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E22F" w14:textId="77777777" w:rsidR="000C7EFF" w:rsidRDefault="000C7EFF">
      <w:pPr>
        <w:shd w:val="clear" w:color="auto" w:fill="FFFFFF"/>
      </w:pPr>
    </w:p>
    <w:p w14:paraId="5CC00F2C" w14:textId="77777777" w:rsidR="00BB2B42" w:rsidRPr="00BB2B42" w:rsidRDefault="00BB2B42" w:rsidP="00BB2B42">
      <w:pPr>
        <w:jc w:val="center"/>
        <w:rPr>
          <w:b/>
        </w:rPr>
      </w:pPr>
      <w:bookmarkStart w:id="0" w:name="_gjdgxs" w:colFirst="0" w:colLast="0"/>
      <w:bookmarkEnd w:id="0"/>
      <w:r w:rsidRPr="00BB2B42">
        <w:rPr>
          <w:b/>
        </w:rPr>
        <w:t>Ministru kabineta noteikumu projekta “Kārtība, kādā klasificē gāzes ieročus un signālieročus, kā arī pārbauda to atbilstību E kategorijai, kā arī E kategorijas ieroču tehniskās specifikācijas”</w:t>
      </w:r>
    </w:p>
    <w:p w14:paraId="4F12EC9E" w14:textId="77777777" w:rsidR="000C7EFF" w:rsidRPr="00BB2B42" w:rsidRDefault="00E203EE" w:rsidP="00FD229D">
      <w:pPr>
        <w:shd w:val="clear" w:color="auto" w:fill="FFFFFF"/>
        <w:spacing w:after="120"/>
        <w:jc w:val="center"/>
        <w:rPr>
          <w:b/>
          <w:color w:val="auto"/>
        </w:rPr>
      </w:pPr>
      <w:r w:rsidRPr="00BB2B42">
        <w:rPr>
          <w:b/>
          <w:color w:val="auto"/>
        </w:rPr>
        <w:t>sākotnējās ietekmes novērtējuma ziņojums (anotācija)</w:t>
      </w:r>
    </w:p>
    <w:p w14:paraId="240C36E0" w14:textId="77777777" w:rsidR="000C7EFF" w:rsidRPr="00F31BFB" w:rsidRDefault="000C7EFF">
      <w:pPr>
        <w:shd w:val="clear" w:color="auto" w:fill="FFFFFF"/>
        <w:ind w:firstLine="300"/>
        <w:jc w:val="center"/>
        <w:rPr>
          <w:color w:val="auto"/>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DF1B2F" w:rsidRPr="00F31BFB" w14:paraId="793A20CE" w14:textId="7777777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A2022D" w14:textId="77777777" w:rsidR="000C7EFF" w:rsidRPr="00F31BFB" w:rsidRDefault="00E203EE">
            <w:pPr>
              <w:jc w:val="center"/>
              <w:rPr>
                <w:rFonts w:ascii="Times New Roman" w:hAnsi="Times New Roman" w:cs="Times New Roman"/>
                <w:b/>
                <w:color w:val="auto"/>
              </w:rPr>
            </w:pPr>
            <w:r w:rsidRPr="00F31BFB">
              <w:rPr>
                <w:rFonts w:ascii="Times New Roman" w:hAnsi="Times New Roman" w:cs="Times New Roman"/>
                <w:b/>
                <w:color w:val="auto"/>
              </w:rPr>
              <w:t xml:space="preserve">Tiesību akta projekta anotācijas kopsavilkums </w:t>
            </w:r>
          </w:p>
        </w:tc>
      </w:tr>
      <w:tr w:rsidR="00DF1B2F" w:rsidRPr="00F31BFB" w14:paraId="44A6C0C9" w14:textId="77777777">
        <w:tc>
          <w:tcPr>
            <w:tcW w:w="3117" w:type="dxa"/>
            <w:tcBorders>
              <w:top w:val="single" w:sz="4" w:space="0" w:color="000000"/>
              <w:left w:val="single" w:sz="4" w:space="0" w:color="000000"/>
              <w:bottom w:val="single" w:sz="4" w:space="0" w:color="000000"/>
              <w:right w:val="single" w:sz="4" w:space="0" w:color="000000"/>
            </w:tcBorders>
            <w:shd w:val="clear" w:color="auto" w:fill="FFFFFF"/>
          </w:tcPr>
          <w:p w14:paraId="46098256" w14:textId="77777777" w:rsidR="000C7EFF" w:rsidRPr="00F31BFB" w:rsidRDefault="00E203EE">
            <w:pPr>
              <w:rPr>
                <w:rFonts w:ascii="Times New Roman" w:hAnsi="Times New Roman" w:cs="Times New Roman"/>
                <w:color w:val="auto"/>
              </w:rPr>
            </w:pPr>
            <w:r w:rsidRPr="00F31BFB">
              <w:rPr>
                <w:rFonts w:ascii="Times New Roman" w:hAnsi="Times New Roman" w:cs="Times New Roman"/>
                <w:color w:val="auto"/>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14:paraId="75D9EEB0" w14:textId="63EE4048" w:rsidR="000C7EFF" w:rsidRPr="00BB2B42" w:rsidRDefault="00610E94" w:rsidP="00D45360">
            <w:pPr>
              <w:ind w:firstLine="720"/>
              <w:jc w:val="both"/>
              <w:rPr>
                <w:rFonts w:ascii="Times New Roman" w:eastAsia="Times New Roman" w:hAnsi="Times New Roman" w:cs="Times New Roman"/>
                <w:color w:val="auto"/>
              </w:rPr>
            </w:pPr>
            <w:r w:rsidRPr="00584370">
              <w:rPr>
                <w:rFonts w:ascii="Times New Roman" w:hAnsi="Times New Roman" w:cs="Times New Roman"/>
                <w:color w:val="auto"/>
              </w:rPr>
              <w:t>Lai pārņemtu</w:t>
            </w:r>
            <w:r w:rsidR="00EA2004" w:rsidRPr="00584370">
              <w:rPr>
                <w:rFonts w:ascii="Times New Roman" w:eastAsia="Times New Roman" w:hAnsi="Times New Roman" w:cs="Times New Roman"/>
                <w:color w:val="auto"/>
              </w:rPr>
              <w:t xml:space="preserve"> Komisijas Īstenošanas Direktīvas (ES) 2019/69</w:t>
            </w:r>
            <w:r w:rsidR="00993F6E">
              <w:rPr>
                <w:rFonts w:ascii="Times New Roman" w:eastAsia="Times New Roman" w:hAnsi="Times New Roman" w:cs="Times New Roman"/>
                <w:color w:val="auto"/>
              </w:rPr>
              <w:t>,</w:t>
            </w:r>
            <w:r w:rsidR="00EA2004" w:rsidRPr="00584370">
              <w:rPr>
                <w:rFonts w:ascii="Times New Roman" w:eastAsia="Times New Roman" w:hAnsi="Times New Roman" w:cs="Times New Roman"/>
                <w:color w:val="auto"/>
              </w:rPr>
              <w:t xml:space="preserve"> ar ko nosaka trauksmes un signālieroču tehniskās specifikācijas saskaņā ar padomes Direktīvu 91/477 EEK par ieroču iegādes un glabāšanas kontroli </w:t>
            </w:r>
            <w:r w:rsidR="00993F6E">
              <w:rPr>
                <w:rFonts w:ascii="Times New Roman" w:eastAsia="Times New Roman" w:hAnsi="Times New Roman" w:cs="Times New Roman"/>
                <w:color w:val="auto"/>
              </w:rPr>
              <w:t>(turpmāk- Īstenošanas Direktīva</w:t>
            </w:r>
            <w:r w:rsidR="00EA2004" w:rsidRPr="00584370">
              <w:rPr>
                <w:rFonts w:ascii="Times New Roman" w:eastAsia="Times New Roman" w:hAnsi="Times New Roman" w:cs="Times New Roman"/>
                <w:color w:val="auto"/>
              </w:rPr>
              <w:t xml:space="preserve"> (ES) 2019/69) prasības tika izstrādāts </w:t>
            </w:r>
            <w:r w:rsidR="00BB2B42">
              <w:rPr>
                <w:rFonts w:ascii="Times New Roman" w:eastAsia="Times New Roman" w:hAnsi="Times New Roman" w:cs="Times New Roman"/>
                <w:color w:val="auto"/>
              </w:rPr>
              <w:t xml:space="preserve">Ministru kabineta noteikumu projekts </w:t>
            </w:r>
            <w:r w:rsidR="00BB2B42" w:rsidRPr="00BB2B42">
              <w:rPr>
                <w:rFonts w:ascii="Times New Roman" w:eastAsia="Times New Roman" w:hAnsi="Times New Roman" w:cs="Times New Roman"/>
                <w:color w:val="auto"/>
              </w:rPr>
              <w:t>“Kārtība, kādā klasificē gāzes ieročus un signālieročus, kā arī pārbauda to atbilstību E kategorijai, kā arī E kategorijas ieroču tehniskās specifikācijas”</w:t>
            </w:r>
            <w:r w:rsidR="00BB2B42">
              <w:rPr>
                <w:rFonts w:ascii="Times New Roman" w:eastAsia="Times New Roman" w:hAnsi="Times New Roman" w:cs="Times New Roman"/>
                <w:color w:val="auto"/>
              </w:rPr>
              <w:t xml:space="preserve"> (turpmāk – Projekts). Projekts </w:t>
            </w:r>
            <w:r w:rsidR="00EA2004" w:rsidRPr="00584370">
              <w:rPr>
                <w:rFonts w:ascii="Times New Roman" w:eastAsia="Times New Roman" w:hAnsi="Times New Roman" w:cs="Times New Roman"/>
                <w:color w:val="auto"/>
              </w:rPr>
              <w:t>pārņem Īstenošanas Direktīvas (ES) 2019/69 prasības.</w:t>
            </w:r>
            <w:r w:rsidR="00BB2B42">
              <w:rPr>
                <w:rFonts w:ascii="Times New Roman" w:eastAsia="Times New Roman" w:hAnsi="Times New Roman" w:cs="Times New Roman"/>
                <w:color w:val="auto"/>
              </w:rPr>
              <w:t xml:space="preserve"> Projektam jāstājas spēkā vienlaikus ar likumprojektu “Grozījumi Iero</w:t>
            </w:r>
            <w:r w:rsidR="00E729CF">
              <w:rPr>
                <w:rFonts w:ascii="Times New Roman" w:eastAsia="Times New Roman" w:hAnsi="Times New Roman" w:cs="Times New Roman"/>
                <w:color w:val="auto"/>
              </w:rPr>
              <w:t>ču aprites likumā</w:t>
            </w:r>
            <w:r w:rsidR="00BB2B42">
              <w:rPr>
                <w:rFonts w:ascii="Times New Roman" w:eastAsia="Times New Roman" w:hAnsi="Times New Roman" w:cs="Times New Roman"/>
                <w:color w:val="auto"/>
              </w:rPr>
              <w:t>” 2020.gada 17.janvārī.</w:t>
            </w:r>
            <w:r w:rsidR="00EA2004" w:rsidRPr="00584370">
              <w:rPr>
                <w:rFonts w:ascii="Times New Roman" w:eastAsia="Times New Roman" w:hAnsi="Times New Roman" w:cs="Times New Roman"/>
                <w:color w:val="auto"/>
              </w:rPr>
              <w:t xml:space="preserve">  </w:t>
            </w:r>
          </w:p>
        </w:tc>
      </w:tr>
    </w:tbl>
    <w:p w14:paraId="4C3EB9C2" w14:textId="77777777" w:rsidR="000C7EFF" w:rsidRPr="00F31BFB" w:rsidRDefault="000C7EFF">
      <w:pPr>
        <w:shd w:val="clear" w:color="auto" w:fill="FFFFFF"/>
        <w:ind w:firstLine="300"/>
        <w:jc w:val="center"/>
        <w:rPr>
          <w:color w:val="auto"/>
        </w:rP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14:paraId="64FF144B" w14:textId="7777777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1D69200B" w14:textId="77777777" w:rsidR="000C7EFF" w:rsidRPr="00F31BFB" w:rsidRDefault="00E203EE">
            <w:pPr>
              <w:jc w:val="center"/>
              <w:rPr>
                <w:b/>
                <w:color w:val="auto"/>
              </w:rPr>
            </w:pPr>
            <w:r w:rsidRPr="00F31BFB">
              <w:rPr>
                <w:b/>
                <w:color w:val="auto"/>
              </w:rPr>
              <w:t>I. Tiesību akta projekta izstrādes nepieciešamība</w:t>
            </w:r>
          </w:p>
        </w:tc>
      </w:tr>
      <w:tr w:rsidR="00DF1B2F" w:rsidRPr="00F31BFB" w14:paraId="24DD5688" w14:textId="77777777">
        <w:trPr>
          <w:trHeight w:val="180"/>
        </w:trPr>
        <w:tc>
          <w:tcPr>
            <w:tcW w:w="520" w:type="dxa"/>
            <w:tcBorders>
              <w:top w:val="single" w:sz="6" w:space="0" w:color="414142"/>
              <w:left w:val="single" w:sz="6" w:space="0" w:color="414142"/>
              <w:bottom w:val="single" w:sz="6" w:space="0" w:color="414142"/>
              <w:right w:val="single" w:sz="6" w:space="0" w:color="414142"/>
            </w:tcBorders>
          </w:tcPr>
          <w:p w14:paraId="28BA7A55" w14:textId="77777777" w:rsidR="000C7EFF" w:rsidRPr="00F31BFB" w:rsidRDefault="00E203EE">
            <w:pPr>
              <w:jc w:val="cente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14F3D6BD" w14:textId="77777777" w:rsidR="000C7EFF" w:rsidRPr="00F31BFB" w:rsidRDefault="00E203EE">
            <w:pPr>
              <w:rPr>
                <w:color w:val="auto"/>
              </w:rPr>
            </w:pPr>
            <w:r w:rsidRPr="00F31BFB">
              <w:rPr>
                <w:color w:val="auto"/>
              </w:rPr>
              <w:t>Pamatojums</w:t>
            </w:r>
          </w:p>
        </w:tc>
        <w:tc>
          <w:tcPr>
            <w:tcW w:w="5460" w:type="dxa"/>
            <w:tcBorders>
              <w:top w:val="single" w:sz="6" w:space="0" w:color="414142"/>
              <w:left w:val="single" w:sz="6" w:space="0" w:color="414142"/>
              <w:bottom w:val="single" w:sz="6" w:space="0" w:color="414142"/>
              <w:right w:val="single" w:sz="6" w:space="0" w:color="414142"/>
            </w:tcBorders>
          </w:tcPr>
          <w:p w14:paraId="6981CB8D" w14:textId="77777777" w:rsidR="002B3A3F" w:rsidRDefault="002B3A3F" w:rsidP="002B3A3F">
            <w:pPr>
              <w:ind w:firstLine="402"/>
              <w:jc w:val="both"/>
              <w:rPr>
                <w:color w:val="auto"/>
              </w:rPr>
            </w:pPr>
            <w:r w:rsidRPr="00F31BFB">
              <w:rPr>
                <w:color w:val="auto"/>
              </w:rPr>
              <w:t xml:space="preserve">Nepieciešams pārņemt </w:t>
            </w:r>
            <w:r w:rsidRPr="00EA2004">
              <w:rPr>
                <w:color w:val="auto"/>
              </w:rPr>
              <w:t>Īstenošanas Direktīvas (ES) 2019/69</w:t>
            </w:r>
            <w:r>
              <w:rPr>
                <w:color w:val="auto"/>
              </w:rPr>
              <w:t xml:space="preserve"> prasības, lai nodrošinātu </w:t>
            </w:r>
            <w:r w:rsidRPr="00F31BFB">
              <w:rPr>
                <w:color w:val="auto"/>
              </w:rPr>
              <w:t xml:space="preserve">Latvijas ieroču aprites nosacījumu harmonizāciju ar citām Eiropas Savienības dalībvalstīm </w:t>
            </w:r>
            <w:r w:rsidRPr="00C652D8">
              <w:rPr>
                <w:color w:val="auto"/>
              </w:rPr>
              <w:t>gāzes ieroču un signālieroču</w:t>
            </w:r>
            <w:r>
              <w:rPr>
                <w:color w:val="auto"/>
              </w:rPr>
              <w:t xml:space="preserve"> aprites jomā.</w:t>
            </w:r>
          </w:p>
          <w:p w14:paraId="336AD796" w14:textId="4624EBF0" w:rsidR="000C7EFF" w:rsidRPr="00F31BFB" w:rsidRDefault="000C7EFF" w:rsidP="00B37C42">
            <w:pPr>
              <w:ind w:firstLine="402"/>
              <w:jc w:val="both"/>
              <w:rPr>
                <w:color w:val="auto"/>
              </w:rPr>
            </w:pPr>
          </w:p>
        </w:tc>
      </w:tr>
      <w:tr w:rsidR="00DF1B2F" w:rsidRPr="00F31BFB" w14:paraId="3333A643"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5A4D6C5B" w14:textId="77777777" w:rsidR="000C7EFF" w:rsidRPr="00F31BFB" w:rsidRDefault="00E203EE">
            <w:pPr>
              <w:jc w:val="cente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6742CDCD" w14:textId="77777777" w:rsidR="000C7EFF" w:rsidRPr="00F31BFB" w:rsidRDefault="00E203EE">
            <w:pPr>
              <w:rPr>
                <w:color w:val="auto"/>
              </w:rPr>
            </w:pPr>
            <w:r w:rsidRPr="00F31BFB">
              <w:rPr>
                <w:color w:val="auto"/>
              </w:rP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14:paraId="08DE1D26" w14:textId="117C319A" w:rsidR="00017406" w:rsidRDefault="00930CF7" w:rsidP="00C60259">
            <w:pPr>
              <w:ind w:firstLine="402"/>
              <w:jc w:val="both"/>
              <w:rPr>
                <w:color w:val="auto"/>
              </w:rPr>
            </w:pPr>
            <w:r w:rsidRPr="00AF798F">
              <w:rPr>
                <w:color w:val="auto"/>
              </w:rPr>
              <w:t>Ieroču aprites likuma</w:t>
            </w:r>
            <w:r w:rsidR="00E729CF">
              <w:rPr>
                <w:color w:val="auto"/>
              </w:rPr>
              <w:t xml:space="preserve"> (turpmāk – l</w:t>
            </w:r>
            <w:r w:rsidR="00C60259" w:rsidRPr="00AF798F">
              <w:rPr>
                <w:color w:val="auto"/>
              </w:rPr>
              <w:t>ikums) 5</w:t>
            </w:r>
            <w:r w:rsidRPr="00AF798F">
              <w:rPr>
                <w:color w:val="auto"/>
              </w:rPr>
              <w:t>. </w:t>
            </w:r>
            <w:r w:rsidR="00C60259" w:rsidRPr="00AF798F">
              <w:rPr>
                <w:color w:val="auto"/>
              </w:rPr>
              <w:t>panta septītā</w:t>
            </w:r>
            <w:r w:rsidRPr="00AF798F">
              <w:rPr>
                <w:color w:val="auto"/>
              </w:rPr>
              <w:t xml:space="preserve"> daļa paredz, ka ieroču klasifikācijā ir izveidota jaun</w:t>
            </w:r>
            <w:r w:rsidR="00C60259" w:rsidRPr="00AF798F">
              <w:rPr>
                <w:color w:val="auto"/>
              </w:rPr>
              <w:t>ā</w:t>
            </w:r>
            <w:r w:rsidRPr="00AF798F">
              <w:rPr>
                <w:color w:val="auto"/>
              </w:rPr>
              <w:t xml:space="preserve"> E kategorija, kurā </w:t>
            </w:r>
            <w:r w:rsidR="00C60259" w:rsidRPr="00AF798F">
              <w:rPr>
                <w:color w:val="auto"/>
              </w:rPr>
              <w:t xml:space="preserve">ir </w:t>
            </w:r>
            <w:r w:rsidRPr="00AF798F">
              <w:rPr>
                <w:color w:val="auto"/>
              </w:rPr>
              <w:t xml:space="preserve">ietverti gāzes ieroči un signālieroči, kurus nevar pārveidot šaušanai ar lodi vai daudzkomponentu šāviņu izsviešanai no stobra kanāla propelenta (šaujampulvera) iedarbības rezultātā. Tehniskā specifikācija minētājai kategorijai </w:t>
            </w:r>
            <w:r w:rsidR="00C60259" w:rsidRPr="00AF798F">
              <w:rPr>
                <w:color w:val="auto"/>
              </w:rPr>
              <w:t xml:space="preserve">ir </w:t>
            </w:r>
            <w:r w:rsidR="002B3A3F" w:rsidRPr="00AF798F">
              <w:rPr>
                <w:color w:val="auto"/>
              </w:rPr>
              <w:t>noteikt</w:t>
            </w:r>
            <w:r w:rsidR="002B3A3F">
              <w:rPr>
                <w:color w:val="auto"/>
              </w:rPr>
              <w:t>a</w:t>
            </w:r>
            <w:r w:rsidR="002B3A3F" w:rsidRPr="00AF798F">
              <w:rPr>
                <w:color w:val="auto"/>
              </w:rPr>
              <w:t xml:space="preserve"> </w:t>
            </w:r>
            <w:r w:rsidR="00C60259" w:rsidRPr="00AF798F">
              <w:rPr>
                <w:color w:val="auto"/>
              </w:rPr>
              <w:t>Īstenošanas Direktīvas (ES) 2019/69 prasībās.</w:t>
            </w:r>
            <w:r w:rsidR="0051405F" w:rsidRPr="0051405F">
              <w:t xml:space="preserve"> </w:t>
            </w:r>
            <w:r w:rsidR="0051405F" w:rsidRPr="0051405F">
              <w:rPr>
                <w:color w:val="auto"/>
              </w:rPr>
              <w:t>Saskaņā ar likuma 5.panta ceturto daļu pusautomātiskos, atkārtotas darbības vai viena šāviena gāzes ieročus un signālieročus, kurus var pārveidot šaušanai ar lodi vai daudzkomponentu šāviņu izsviešanai no stobra kanāla šaujampulvera vai cita propelenta iedarbības rezultātā, uzskata par B kategorijas šaujamieročiem un atkarībā no to darbības principa klasificē atbilstošā B kategorijas apakšgrupā.</w:t>
            </w:r>
            <w:r w:rsidR="00C60259" w:rsidRPr="00AF798F">
              <w:rPr>
                <w:color w:val="auto"/>
              </w:rPr>
              <w:t xml:space="preserve"> </w:t>
            </w:r>
          </w:p>
          <w:p w14:paraId="4C10EEF4" w14:textId="40B8BA95" w:rsidR="00C60259" w:rsidRPr="00AF798F" w:rsidRDefault="00C60259" w:rsidP="00C60259">
            <w:pPr>
              <w:ind w:firstLine="402"/>
              <w:jc w:val="both"/>
              <w:rPr>
                <w:color w:val="auto"/>
              </w:rPr>
            </w:pPr>
            <w:r w:rsidRPr="00AF798F">
              <w:rPr>
                <w:color w:val="auto"/>
              </w:rPr>
              <w:t>Lai nodrošinātu</w:t>
            </w:r>
            <w:r w:rsidR="00FA0A55">
              <w:rPr>
                <w:color w:val="auto"/>
              </w:rPr>
              <w:t xml:space="preserve"> gāzes ieroču un signālieroču klasifikāciju atbilstoši likuma prasībām un</w:t>
            </w:r>
            <w:r w:rsidRPr="00AF798F">
              <w:rPr>
                <w:color w:val="auto"/>
              </w:rPr>
              <w:t xml:space="preserve"> E kategorija</w:t>
            </w:r>
            <w:r w:rsidR="00C652D8" w:rsidRPr="00AF798F">
              <w:rPr>
                <w:color w:val="auto"/>
              </w:rPr>
              <w:t>s</w:t>
            </w:r>
            <w:r w:rsidRPr="00AF798F">
              <w:rPr>
                <w:color w:val="auto"/>
              </w:rPr>
              <w:t xml:space="preserve"> ieroču atbilstību Īstenošanas </w:t>
            </w:r>
            <w:r w:rsidR="00C652D8" w:rsidRPr="00AF798F">
              <w:rPr>
                <w:color w:val="auto"/>
              </w:rPr>
              <w:t>Direktīvas (ES) 2019/69 prasībām</w:t>
            </w:r>
            <w:r w:rsidR="00FA0A55">
              <w:rPr>
                <w:color w:val="auto"/>
              </w:rPr>
              <w:t xml:space="preserve">, </w:t>
            </w:r>
            <w:r w:rsidR="00C652D8" w:rsidRPr="00AF798F">
              <w:rPr>
                <w:color w:val="auto"/>
              </w:rPr>
              <w:t xml:space="preserve"> </w:t>
            </w:r>
            <w:r w:rsidR="00760C58">
              <w:rPr>
                <w:color w:val="auto"/>
              </w:rPr>
              <w:t xml:space="preserve">tika </w:t>
            </w:r>
            <w:r w:rsidR="002B3A3F">
              <w:rPr>
                <w:color w:val="auto"/>
              </w:rPr>
              <w:t>izstrādāts likumprojekts “Grozījumi Ieroču aprites likumā</w:t>
            </w:r>
            <w:r w:rsidR="00017406">
              <w:rPr>
                <w:color w:val="auto"/>
              </w:rPr>
              <w:t xml:space="preserve">”, kas papildina </w:t>
            </w:r>
            <w:r w:rsidR="00B37C42">
              <w:rPr>
                <w:color w:val="auto"/>
              </w:rPr>
              <w:t>likuma 4.</w:t>
            </w:r>
            <w:r w:rsidR="00017406">
              <w:rPr>
                <w:color w:val="auto"/>
              </w:rPr>
              <w:t xml:space="preserve">pantu ar </w:t>
            </w:r>
            <w:r w:rsidR="00017406">
              <w:rPr>
                <w:color w:val="auto"/>
              </w:rPr>
              <w:lastRenderedPageBreak/>
              <w:t xml:space="preserve">piekto daļu, paredzot deleģējumu </w:t>
            </w:r>
            <w:r w:rsidR="0051405F">
              <w:rPr>
                <w:color w:val="auto"/>
              </w:rPr>
              <w:t>Ministru kabinetam</w:t>
            </w:r>
            <w:r w:rsidR="00017406">
              <w:rPr>
                <w:color w:val="auto"/>
              </w:rPr>
              <w:t xml:space="preserve"> </w:t>
            </w:r>
            <w:r w:rsidR="00C652D8" w:rsidRPr="00AF798F">
              <w:rPr>
                <w:color w:val="auto"/>
              </w:rPr>
              <w:t>noteikt:</w:t>
            </w:r>
          </w:p>
          <w:p w14:paraId="40ABF0AA" w14:textId="77777777"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kārtību, kādā klasificē gāzes ieročus un signālieročus, kā arī pārbauda to a</w:t>
            </w:r>
            <w:r w:rsidR="000F039A">
              <w:t xml:space="preserve">tbilstību E kategorijas </w:t>
            </w:r>
            <w:r w:rsidR="000F039A" w:rsidRPr="000F039A">
              <w:t>ieroču tehniskajām specifikācijām</w:t>
            </w:r>
            <w:r w:rsidRPr="00AF798F">
              <w:t>;</w:t>
            </w:r>
          </w:p>
          <w:p w14:paraId="1F3C846C" w14:textId="77777777" w:rsidR="00C652D8" w:rsidRPr="00AF798F" w:rsidRDefault="00C652D8" w:rsidP="00C652D8">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 xml:space="preserve"> kārtību, kādā pieprasa un saņem gāzes ieroču un signālieroču paraugus pārbaudes veikšanai;</w:t>
            </w:r>
          </w:p>
          <w:p w14:paraId="6FB0F4D4" w14:textId="77777777" w:rsidR="0051405F" w:rsidRDefault="00C652D8" w:rsidP="00FA0A55">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jc w:val="both"/>
            </w:pPr>
            <w:r w:rsidRPr="00AF798F">
              <w:t>E kategorijas ieroču tehniskās specifikācijas.</w:t>
            </w:r>
          </w:p>
          <w:p w14:paraId="72AD61CC" w14:textId="77777777" w:rsidR="0051405F" w:rsidRDefault="0051405F" w:rsidP="007E6CB6">
            <w:pPr>
              <w:pBdr>
                <w:top w:val="none" w:sz="0" w:space="0" w:color="auto"/>
                <w:left w:val="none" w:sz="0" w:space="0" w:color="auto"/>
                <w:bottom w:val="none" w:sz="0" w:space="0" w:color="auto"/>
                <w:right w:val="none" w:sz="0" w:space="0" w:color="auto"/>
                <w:between w:val="none" w:sz="0" w:space="0" w:color="auto"/>
              </w:pBdr>
              <w:ind w:firstLine="500"/>
              <w:jc w:val="both"/>
            </w:pPr>
          </w:p>
          <w:p w14:paraId="008DC7D3" w14:textId="77777777" w:rsidR="0051405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pPr>
            <w:r>
              <w:t xml:space="preserve">Projekts paredz, ka </w:t>
            </w:r>
            <w:r w:rsidR="00FA0A55">
              <w:t xml:space="preserve">gāzes ieročus un signālieročus </w:t>
            </w:r>
            <w:r>
              <w:t xml:space="preserve">klasificē Valsts policijas priekšnieka izveidota Šaujamieroču un munīcijas klasificēšanas komisija (turpmāk – Komisija) vismaz trīs amatpersonu sastāvā. Valsts policijas priekšnieks Komisijā iekļauj speciālistus, kas ir kompetenti ieroču uzbūves, darbības un aprites jomā. </w:t>
            </w:r>
          </w:p>
          <w:p w14:paraId="5A378EBE" w14:textId="09DAB615" w:rsidR="0051405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pPr>
            <w:r>
              <w:t xml:space="preserve">Atbilstoši </w:t>
            </w:r>
            <w:r w:rsidR="00017406">
              <w:t xml:space="preserve">projektam </w:t>
            </w:r>
            <w:r w:rsidR="00FA0A55">
              <w:t xml:space="preserve">gāzes ieročus un signālieročus </w:t>
            </w:r>
            <w:r>
              <w:t>klasificēs, kad tik</w:t>
            </w:r>
            <w:r w:rsidR="00FA0A55">
              <w:t xml:space="preserve">s saņemts fiziskās personas, ieroča komersanta vai ieroča brokera </w:t>
            </w:r>
            <w:r>
              <w:t xml:space="preserve">iesniegums. </w:t>
            </w:r>
          </w:p>
          <w:p w14:paraId="206BE57E" w14:textId="2687EFD7" w:rsidR="00FA0A55" w:rsidRDefault="0051405F" w:rsidP="00FA0A55">
            <w:pPr>
              <w:pBdr>
                <w:top w:val="none" w:sz="0" w:space="0" w:color="auto"/>
                <w:left w:val="none" w:sz="0" w:space="0" w:color="auto"/>
                <w:bottom w:val="none" w:sz="0" w:space="0" w:color="auto"/>
                <w:right w:val="none" w:sz="0" w:space="0" w:color="auto"/>
                <w:between w:val="none" w:sz="0" w:space="0" w:color="auto"/>
              </w:pBdr>
              <w:ind w:firstLine="500"/>
              <w:jc w:val="both"/>
            </w:pPr>
            <w:r>
              <w:t xml:space="preserve">Tāpat </w:t>
            </w:r>
            <w:r w:rsidR="00017406">
              <w:t xml:space="preserve">projektā </w:t>
            </w:r>
            <w:r>
              <w:t>tiek paredzēts, ka Komisija pati pēc savas iniciatīvas varēs veikt</w:t>
            </w:r>
            <w:r w:rsidR="00FA0A55">
              <w:t xml:space="preserve"> gāzes ieroču un signālieroču klasifikāciju, </w:t>
            </w:r>
            <w:r w:rsidR="00FA0A55" w:rsidRPr="00FA0A55">
              <w:t>ja tās rīcībā ir informācija no citas Eiropas Savienības dalībvalsts vai Eiropas Ekonomikas zonas valsts kontaktpunkta, kas izveidots atbilstoši Komisijas Īstenošanas Direktīvai (ES) 2019/69 par gāzes ieročiem un signā</w:t>
            </w:r>
            <w:r w:rsidR="000F039A">
              <w:t>lieročiem, par gāzes ieročiem un signālieročiem, kas</w:t>
            </w:r>
            <w:r w:rsidR="00FA0A55" w:rsidRPr="00FA0A55">
              <w:t xml:space="preserve"> atbilst E kategorijas</w:t>
            </w:r>
            <w:r w:rsidR="000F039A" w:rsidRPr="000F039A">
              <w:rPr>
                <w:color w:val="auto"/>
                <w:sz w:val="26"/>
                <w:szCs w:val="26"/>
              </w:rPr>
              <w:t xml:space="preserve"> </w:t>
            </w:r>
            <w:r w:rsidR="000F039A" w:rsidRPr="000F039A">
              <w:t>ieroču tehniskajām specifikācijām</w:t>
            </w:r>
            <w:r w:rsidR="00FA0A55" w:rsidRPr="00FA0A55">
              <w:t>.</w:t>
            </w:r>
          </w:p>
          <w:p w14:paraId="664FE93D" w14:textId="77777777" w:rsidR="0051405F" w:rsidRDefault="0051405F" w:rsidP="000409AA">
            <w:pPr>
              <w:pBdr>
                <w:top w:val="none" w:sz="0" w:space="0" w:color="auto"/>
                <w:left w:val="none" w:sz="0" w:space="0" w:color="auto"/>
                <w:bottom w:val="none" w:sz="0" w:space="0" w:color="auto"/>
                <w:right w:val="none" w:sz="0" w:space="0" w:color="auto"/>
                <w:between w:val="none" w:sz="0" w:space="0" w:color="auto"/>
              </w:pBdr>
              <w:ind w:firstLine="500"/>
              <w:jc w:val="both"/>
            </w:pPr>
            <w:r>
              <w:t xml:space="preserve"> Komisija pēc iesnieguma saņemšanas izvērtēs visus apstākļus un attiecīgi pieņems vai nu lēmumu par </w:t>
            </w:r>
            <w:r w:rsidR="00FA0A55">
              <w:t xml:space="preserve">gāzes ieroču un signālieroču </w:t>
            </w:r>
            <w:r>
              <w:t>klasificēšanu</w:t>
            </w:r>
            <w:r w:rsidR="00017406">
              <w:t>,</w:t>
            </w:r>
            <w:r>
              <w:t xml:space="preserve"> vai nu lēmumu par atteikumu klasificēt</w:t>
            </w:r>
            <w:r w:rsidR="00FA0A55">
              <w:t xml:space="preserve"> gāzes ieročus un sginālieročus</w:t>
            </w:r>
            <w:r>
              <w:t xml:space="preserve">. Komisija lēmumu par atteikumu klasificēt </w:t>
            </w:r>
            <w:r w:rsidR="00FA0A55">
              <w:t xml:space="preserve">gāzes ieročus un signālieročus </w:t>
            </w:r>
            <w:r>
              <w:t xml:space="preserve">pieņems gadījumos, kad tiks konstatēts, </w:t>
            </w:r>
            <w:r w:rsidR="00017406">
              <w:t xml:space="preserve">ka </w:t>
            </w:r>
            <w:r>
              <w:t>to aprite Latvijā ir aizliegta.</w:t>
            </w:r>
          </w:p>
          <w:p w14:paraId="22B3BA87" w14:textId="5AD4826B" w:rsidR="000409AA" w:rsidRDefault="000409AA" w:rsidP="00474412">
            <w:pPr>
              <w:pBdr>
                <w:top w:val="none" w:sz="0" w:space="0" w:color="auto"/>
                <w:left w:val="none" w:sz="0" w:space="0" w:color="auto"/>
                <w:bottom w:val="none" w:sz="0" w:space="0" w:color="auto"/>
                <w:right w:val="none" w:sz="0" w:space="0" w:color="auto"/>
                <w:between w:val="none" w:sz="0" w:space="0" w:color="auto"/>
              </w:pBdr>
              <w:ind w:firstLine="500"/>
              <w:jc w:val="both"/>
            </w:pPr>
            <w:r w:rsidRPr="000409AA">
              <w:t xml:space="preserve">Gadījumā, ja Komisija nevarēs noteikt E kategoriju gāzes ierocim un signālierocim, pamatojoties uz </w:t>
            </w:r>
            <w:r w:rsidR="00017406" w:rsidRPr="000409AA">
              <w:t>iesniegt</w:t>
            </w:r>
            <w:r w:rsidR="00017406">
              <w:t>o</w:t>
            </w:r>
            <w:r w:rsidR="00017406" w:rsidRPr="000409AA">
              <w:t xml:space="preserve"> informācij</w:t>
            </w:r>
            <w:r w:rsidR="00017406">
              <w:t>u</w:t>
            </w:r>
            <w:r w:rsidRPr="000409AA">
              <w:t xml:space="preserve">, Komisija lūgs iesniedzēju iesniegt gāzes ieroču un signālieroču paraugus, kas ir nepieciešami klasificēšanai un lēmuma pieņemšanai. </w:t>
            </w:r>
            <w:r>
              <w:t>Projektā nav noteikts gāzes ieroču un signālieroču paraugu skaits, kāds būtu iesniedzams Komisijā, jo minēto paraugu skaitu Komisija noteiks katrā gadījumā individuāli</w:t>
            </w:r>
            <w:r w:rsidR="00017406">
              <w:t>,</w:t>
            </w:r>
            <w:r>
              <w:t xml:space="preserve"> vadoties no Eiropas Savienības </w:t>
            </w:r>
            <w:r w:rsidR="00017406">
              <w:t xml:space="preserve">dalībvalstu </w:t>
            </w:r>
            <w:r>
              <w:t>laboratorijas izvirzītām prasībām</w:t>
            </w:r>
            <w:r w:rsidR="002031C8">
              <w:t xml:space="preserve">, kas veiks attiecīgu paraugu testēšanu un noteikts to atbilstību </w:t>
            </w:r>
            <w:r w:rsidRPr="000409AA">
              <w:t>Īstenoša</w:t>
            </w:r>
            <w:r>
              <w:t xml:space="preserve">nas Direktīvas (ES) 2019/69 </w:t>
            </w:r>
            <w:r w:rsidR="00017406">
              <w:t xml:space="preserve">tehniskajām </w:t>
            </w:r>
            <w:r>
              <w:t xml:space="preserve">specifikācijām. Vienlaikus </w:t>
            </w:r>
            <w:r w:rsidR="00017406">
              <w:t xml:space="preserve">projektā </w:t>
            </w:r>
            <w:r>
              <w:t>ir paredzēts, ka i</w:t>
            </w:r>
            <w:r w:rsidRPr="000409AA">
              <w:t>esniedzēja iesniegti gāzes ieroču u</w:t>
            </w:r>
            <w:r w:rsidR="002031C8">
              <w:t>n signālieroču paraugi, kas tiks</w:t>
            </w:r>
            <w:r w:rsidRPr="000409AA">
              <w:t xml:space="preserve"> iesniegti pārbaužu veikšanai, nav atgriežami</w:t>
            </w:r>
            <w:r>
              <w:t>, jo</w:t>
            </w:r>
            <w:r w:rsidR="00474412">
              <w:t xml:space="preserve"> </w:t>
            </w:r>
            <w:r>
              <w:t xml:space="preserve">veicot minēto </w:t>
            </w:r>
            <w:r>
              <w:lastRenderedPageBreak/>
              <w:t xml:space="preserve">paraugu testēšanu atbilstoši </w:t>
            </w:r>
            <w:r w:rsidRPr="000409AA">
              <w:t xml:space="preserve">Īstenošanas Direktīvas (ES) 2019/69 </w:t>
            </w:r>
            <w:r w:rsidR="00017406" w:rsidRPr="000409AA">
              <w:t>tehnisk</w:t>
            </w:r>
            <w:r w:rsidR="00017406">
              <w:t>ajā</w:t>
            </w:r>
            <w:r w:rsidR="00017406" w:rsidRPr="000409AA">
              <w:t xml:space="preserve">m </w:t>
            </w:r>
            <w:r w:rsidRPr="000409AA">
              <w:t>specifikācijām</w:t>
            </w:r>
            <w:r w:rsidR="00017406">
              <w:t>,</w:t>
            </w:r>
            <w:r>
              <w:t xml:space="preserve"> būs nepi</w:t>
            </w:r>
            <w:r w:rsidR="002031C8">
              <w:t>e</w:t>
            </w:r>
            <w:r>
              <w:t>ciešams</w:t>
            </w:r>
            <w:r w:rsidR="00474412">
              <w:t xml:space="preserve"> bojāt gāzes ieroču un signālieroču konstrukciju, ka rezultāt</w:t>
            </w:r>
            <w:r w:rsidR="00017406">
              <w:t>ā</w:t>
            </w:r>
            <w:r w:rsidR="00474412">
              <w:t xml:space="preserve"> tie būs neatgriezeniski bojāti.</w:t>
            </w:r>
          </w:p>
          <w:p w14:paraId="6407A010" w14:textId="77777777" w:rsidR="0051405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pPr>
            <w:r>
              <w:t>Komisija visus lēmumus pieņems, ievērojot Administratīvā procesa likumā (turpmāk – APL) noteikto kārtību.</w:t>
            </w:r>
          </w:p>
          <w:p w14:paraId="1394698C" w14:textId="259C397C" w:rsidR="0051405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pPr>
            <w:r>
              <w:t xml:space="preserve">Saskaņā ar APL1. panta trešo daļu administratīvais akts ir uz āru vērsts tiesību akts, ko iestāde izdod publisko tiesību jomā attiecībā uz individuāli noteiktu personu vai personām, nodibinot, grozot, konstatējot vai izbeidzot konkrētas tiesiskās attiecības vai konstatējot faktisko situāciju. Administratīvais akts ir arī tāds lēmums, kuru likumā paredzētajos gadījumos iestāde izdod attiecībā uz individuāli nenoteiktu personu loku, kas atrodas konkrētos un identificējamos apstākļos (vispārīgais administratīvais akts). Ņemot vērā minēto, Komisijas lēmums ir vispārīgais administratīvais akts. Saskaņā ar APL 70.panta otro daļu </w:t>
            </w:r>
            <w:r w:rsidR="00017406">
              <w:t xml:space="preserve">administratīvo </w:t>
            </w:r>
            <w:r>
              <w:t>aktu paziņo adresātam atbilstoši Paziņošanas likumam. Paziņošanas likuma 11.panta pirmās daļas 1.punkts nosaka, ka  dokumentu publiski paziņo, ja tas ir lietderīgi resursu izlietojuma vai steidzamības dēļ un dokuments skar individuāli nenoteiktu adresātu loku. Paziņošanas likuma 11.panta pirmās daļas 3.punkts nosaka, ka dokumentu publiski paziņo ārējā normatīvajā aktā noteiktajos gadījumos. Paziņošanas likuma 11.panta trešā daļa nosaka, ka iestāde dokumentu paziņo ar publikāciju savā mājaslapā internetā ārējos normatīvajos aktos noteiktajos gadījumos un kārtībā.  Ņemot vērā minēto, kā arī to, ka Komisija lēmums ir vispārīgais administratīvais akts, tad tas tiks paziņots</w:t>
            </w:r>
            <w:r w:rsidR="00017406">
              <w:t>,</w:t>
            </w:r>
            <w:r>
              <w:t xml:space="preserve"> publicējot to Valsts policijas</w:t>
            </w:r>
            <w:r w:rsidR="00B37C42" w:rsidRPr="00B37C42">
              <w:rPr>
                <w:color w:val="auto"/>
                <w:sz w:val="28"/>
                <w:szCs w:val="28"/>
              </w:rPr>
              <w:t xml:space="preserve"> </w:t>
            </w:r>
            <w:r w:rsidR="00B37C42" w:rsidRPr="00B37C42">
              <w:t>tīmekļvietnē</w:t>
            </w:r>
            <w:r>
              <w:t xml:space="preserve"> (http://www.vp.gov.lv). Nodrošinot labu pārvaldības principu, Komisija informēs iesniedzēju divu darba dienu laikā par lēmuma paziņošanu Valsts policijas mājaslapā.</w:t>
            </w:r>
          </w:p>
          <w:p w14:paraId="3FA1CA45" w14:textId="77777777" w:rsidR="0051405F" w:rsidRDefault="0051405F" w:rsidP="0051405F">
            <w:pPr>
              <w:pBdr>
                <w:top w:val="none" w:sz="0" w:space="0" w:color="auto"/>
                <w:left w:val="none" w:sz="0" w:space="0" w:color="auto"/>
                <w:bottom w:val="none" w:sz="0" w:space="0" w:color="auto"/>
                <w:right w:val="none" w:sz="0" w:space="0" w:color="auto"/>
                <w:between w:val="none" w:sz="0" w:space="0" w:color="auto"/>
              </w:pBdr>
              <w:ind w:firstLine="500"/>
              <w:jc w:val="both"/>
            </w:pPr>
            <w:r>
              <w:t xml:space="preserve">Komisijas pieņemto lēmumu var apstrīdēt Administratīvā procesa likumā noteiktajā kārtībā, iesniedzot attiecīgu iesniegumu Valsts policijas priekšniekam. Valsts policijas priekšnieka lēmumu var pārsūdzēt Administratīvajā rajona tiesā. </w:t>
            </w:r>
          </w:p>
          <w:p w14:paraId="3CD98B90" w14:textId="75561220" w:rsidR="00E85802" w:rsidRDefault="0051405F" w:rsidP="00716565">
            <w:pPr>
              <w:pBdr>
                <w:top w:val="none" w:sz="0" w:space="0" w:color="auto"/>
                <w:left w:val="none" w:sz="0" w:space="0" w:color="auto"/>
                <w:bottom w:val="none" w:sz="0" w:space="0" w:color="auto"/>
                <w:right w:val="none" w:sz="0" w:space="0" w:color="auto"/>
                <w:between w:val="none" w:sz="0" w:space="0" w:color="auto"/>
              </w:pBdr>
              <w:ind w:firstLine="500"/>
              <w:jc w:val="both"/>
            </w:pPr>
            <w:r>
              <w:t xml:space="preserve">Vienlaikus </w:t>
            </w:r>
            <w:r w:rsidR="00017406">
              <w:t xml:space="preserve">projektā </w:t>
            </w:r>
            <w:r>
              <w:t xml:space="preserve">ietvertais tiesiskais regulējums paredz pienākumu Valsts policijai uzturēt </w:t>
            </w:r>
            <w:r w:rsidR="00B37C42" w:rsidRPr="00B37C42">
              <w:t xml:space="preserve">tīmekļvietnē </w:t>
            </w:r>
            <w:r>
              <w:t xml:space="preserve">(http://www.vp.gov.lv) klasificēto </w:t>
            </w:r>
            <w:r w:rsidR="00FA0A55">
              <w:t xml:space="preserve">E kategorijas gāzes ieroču un signālieroču </w:t>
            </w:r>
            <w:r>
              <w:t>sarakstu, tādējādi nodrošinot pārskatāmu informāciju par klasificētiem</w:t>
            </w:r>
            <w:r w:rsidR="00017406">
              <w:t xml:space="preserve"> </w:t>
            </w:r>
            <w:r w:rsidR="00FA0A55">
              <w:t>E kategorijas gāzes ieročiem un signālieročiem</w:t>
            </w:r>
            <w:r>
              <w:t>.</w:t>
            </w:r>
          </w:p>
          <w:p w14:paraId="00CBECA2" w14:textId="2D224918" w:rsidR="00152741" w:rsidRDefault="00152741" w:rsidP="00716565">
            <w:pPr>
              <w:pBdr>
                <w:top w:val="none" w:sz="0" w:space="0" w:color="auto"/>
                <w:left w:val="none" w:sz="0" w:space="0" w:color="auto"/>
                <w:bottom w:val="none" w:sz="0" w:space="0" w:color="auto"/>
                <w:right w:val="none" w:sz="0" w:space="0" w:color="auto"/>
                <w:between w:val="none" w:sz="0" w:space="0" w:color="auto"/>
              </w:pBdr>
              <w:ind w:firstLine="500"/>
              <w:jc w:val="both"/>
            </w:pPr>
            <w:r>
              <w:t>Papildus</w:t>
            </w:r>
            <w:r w:rsidRPr="00152741">
              <w:t xml:space="preserve"> Īstenošanas Direktīvas (ES) 2019/69</w:t>
            </w:r>
            <w:r>
              <w:t xml:space="preserve"> pielikuma 5.punktā un 6.punktā latviešu valodas tulkojumā ir izmantos tehniski neprecīzs vārdu salikums </w:t>
            </w:r>
            <w:r>
              <w:lastRenderedPageBreak/>
              <w:t>“brīvā telpa stobrā nebūtu garāka par 1 cm”. Gāzes ieroča un signālieroča stobram ir divi gali</w:t>
            </w:r>
            <w:r w:rsidR="000E092B">
              <w:t>, p</w:t>
            </w:r>
            <w:r>
              <w:t xml:space="preserve">roti, </w:t>
            </w:r>
            <w:r w:rsidRPr="00152741">
              <w:t> – tievgalis un patrontelpas gals</w:t>
            </w:r>
            <w:r>
              <w:t>. Minēts attālums</w:t>
            </w:r>
            <w:r w:rsidRPr="00152741">
              <w:t xml:space="preserve"> nevar tikt mērīts no jebkura gala</w:t>
            </w:r>
            <w:r w:rsidR="000E092B">
              <w:t xml:space="preserve">, kā mērītājam izdevīgāk. </w:t>
            </w:r>
            <w:r w:rsidR="000E092B" w:rsidRPr="000E092B">
              <w:t>Īstenošanas Direktīvas (ES) 2019/69 pielikuma 5.punkt</w:t>
            </w:r>
            <w:r w:rsidR="000E092B">
              <w:t>a</w:t>
            </w:r>
            <w:r w:rsidR="000E092B" w:rsidRPr="000E092B">
              <w:t xml:space="preserve"> un 6.punkt</w:t>
            </w:r>
            <w:r w:rsidR="001E719A">
              <w:t>a redakcijā</w:t>
            </w:r>
            <w:r w:rsidR="000E092B">
              <w:t xml:space="preserve"> ir skaidra norāde, ka minēts attālums ir mērāms no stobra </w:t>
            </w:r>
            <w:r w:rsidR="00760C58">
              <w:t xml:space="preserve"> </w:t>
            </w:r>
            <w:r w:rsidR="00017406">
              <w:t>tievgaļa</w:t>
            </w:r>
            <w:r w:rsidR="000E092B">
              <w:t xml:space="preserve">, jo tiek </w:t>
            </w:r>
            <w:r w:rsidR="001E719A">
              <w:t>izmantots</w:t>
            </w:r>
            <w:r w:rsidR="000E092B">
              <w:t xml:space="preserve"> </w:t>
            </w:r>
            <w:r w:rsidR="00B37C42">
              <w:t xml:space="preserve">angļu valodas </w:t>
            </w:r>
            <w:r w:rsidR="000E092B">
              <w:t xml:space="preserve">jēdziens “muzzle”. Ņemot vērā minēto, </w:t>
            </w:r>
            <w:r w:rsidR="00017406">
              <w:t xml:space="preserve">projekta </w:t>
            </w:r>
            <w:r w:rsidR="000E092B">
              <w:t xml:space="preserve">17.7. un 17.8.apakšpunktos ir precizēts vārdu salikums </w:t>
            </w:r>
            <w:r w:rsidR="000E092B" w:rsidRPr="000E092B">
              <w:t>“brīvā telpa stobrā nebūtu garāka par 1 cm”</w:t>
            </w:r>
            <w:r w:rsidR="000E092B">
              <w:t xml:space="preserve"> ar norādi uz stobra tievgali. Minēt</w:t>
            </w:r>
            <w:r w:rsidR="00017406">
              <w:t>ai</w:t>
            </w:r>
            <w:r w:rsidR="000E092B">
              <w:t>s precizējums izslēgs iespēju neprecīzi piemērot Eiropas Komisijas noteiktās tehniskās specifikācijas.</w:t>
            </w:r>
          </w:p>
          <w:p w14:paraId="2A41A3BF" w14:textId="15570E77" w:rsidR="00152741" w:rsidRPr="00716565" w:rsidRDefault="000E092B" w:rsidP="00017406">
            <w:pPr>
              <w:pBdr>
                <w:top w:val="none" w:sz="0" w:space="0" w:color="auto"/>
                <w:left w:val="none" w:sz="0" w:space="0" w:color="auto"/>
                <w:bottom w:val="none" w:sz="0" w:space="0" w:color="auto"/>
                <w:right w:val="none" w:sz="0" w:space="0" w:color="auto"/>
                <w:between w:val="none" w:sz="0" w:space="0" w:color="auto"/>
              </w:pBdr>
              <w:ind w:firstLine="500"/>
              <w:jc w:val="both"/>
            </w:pPr>
            <w:r>
              <w:t xml:space="preserve">Vienlaikus </w:t>
            </w:r>
            <w:r w:rsidR="00017406">
              <w:t xml:space="preserve">projekta </w:t>
            </w:r>
            <w:r>
              <w:t>17.4.</w:t>
            </w:r>
            <w:r w:rsidR="00017406">
              <w:t xml:space="preserve">apakšpunktā </w:t>
            </w:r>
            <w:r>
              <w:t>ir precizēti vārdi “patrontelpa un</w:t>
            </w:r>
            <w:r w:rsidR="001E719A">
              <w:t xml:space="preserve"> stobrs ir saloc</w:t>
            </w:r>
            <w:r>
              <w:t>īti, saliekti vai aizsprostoti” ar vārdiem “</w:t>
            </w:r>
            <w:r w:rsidRPr="000E092B">
              <w:t>patrontelpa un stobrs ir savstarpēji izvietoti ekscentriski vai slīpi</w:t>
            </w:r>
            <w:r>
              <w:t>”.</w:t>
            </w:r>
            <w:r w:rsidR="001E719A">
              <w:t xml:space="preserve"> Ar jēdzienu ekscentrisks izvietojums minētajā kontekstā kriminālistikas terminoloģijā saprot, ka ieroča</w:t>
            </w:r>
            <w:r>
              <w:t xml:space="preserve"> </w:t>
            </w:r>
            <w:r w:rsidR="001E719A">
              <w:t> </w:t>
            </w:r>
            <w:r w:rsidR="001E719A" w:rsidRPr="001E719A">
              <w:t>stobra kanāls attiecībā pret patronte</w:t>
            </w:r>
            <w:r w:rsidR="001E719A">
              <w:t>lpu nav izvietoti uz vienas ass.</w:t>
            </w:r>
          </w:p>
        </w:tc>
      </w:tr>
      <w:tr w:rsidR="00DF1B2F" w:rsidRPr="00F31BFB" w14:paraId="165F472A"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5F7E2F71" w14:textId="77777777" w:rsidR="000C7EFF" w:rsidRPr="00F31BFB" w:rsidRDefault="00EA2004">
            <w:pPr>
              <w:jc w:val="center"/>
              <w:rPr>
                <w:color w:val="auto"/>
              </w:rPr>
            </w:pPr>
            <w:r>
              <w:rPr>
                <w:color w:val="auto"/>
              </w:rPr>
              <w:lastRenderedPageBreak/>
              <w:t>prasīb</w:t>
            </w:r>
            <w:r w:rsidR="00E203EE"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06EEF51B" w14:textId="77777777" w:rsidR="000C7EFF" w:rsidRPr="00F31BFB" w:rsidRDefault="00E203EE">
            <w:pPr>
              <w:rPr>
                <w:color w:val="auto"/>
              </w:rPr>
            </w:pPr>
            <w:r w:rsidRPr="00F31BFB">
              <w:rPr>
                <w:color w:val="auto"/>
              </w:rP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14:paraId="183DCFF2" w14:textId="77777777" w:rsidR="000C7EFF" w:rsidRPr="00F31BFB" w:rsidRDefault="00E203EE">
            <w:pPr>
              <w:spacing w:after="120"/>
              <w:jc w:val="both"/>
              <w:rPr>
                <w:color w:val="auto"/>
              </w:rPr>
            </w:pPr>
            <w:r w:rsidRPr="00F31BFB">
              <w:rPr>
                <w:color w:val="auto"/>
              </w:rPr>
              <w:t>Iekšlietu ministrija, Valsts policija</w:t>
            </w:r>
          </w:p>
        </w:tc>
      </w:tr>
      <w:tr w:rsidR="00DF1B2F" w:rsidRPr="00F31BFB" w14:paraId="7DD73408" w14:textId="77777777">
        <w:tc>
          <w:tcPr>
            <w:tcW w:w="520" w:type="dxa"/>
            <w:tcBorders>
              <w:top w:val="single" w:sz="6" w:space="0" w:color="414142"/>
              <w:left w:val="single" w:sz="6" w:space="0" w:color="414142"/>
              <w:bottom w:val="single" w:sz="6" w:space="0" w:color="414142"/>
              <w:right w:val="single" w:sz="6" w:space="0" w:color="414142"/>
            </w:tcBorders>
          </w:tcPr>
          <w:p w14:paraId="6039DE56" w14:textId="77777777" w:rsidR="000C7EFF" w:rsidRPr="00F31BFB" w:rsidRDefault="00E203EE">
            <w:pPr>
              <w:jc w:val="cente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27137F68" w14:textId="77777777"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320B7D6B" w14:textId="77777777" w:rsidR="000C7EFF" w:rsidRPr="00F31BFB" w:rsidRDefault="00E203EE">
            <w:pPr>
              <w:rPr>
                <w:color w:val="auto"/>
              </w:rPr>
            </w:pPr>
            <w:r w:rsidRPr="00F31BFB">
              <w:rPr>
                <w:color w:val="auto"/>
              </w:rPr>
              <w:t>Nav</w:t>
            </w:r>
          </w:p>
        </w:tc>
      </w:tr>
    </w:tbl>
    <w:p w14:paraId="43F3FFA8" w14:textId="77777777" w:rsidR="000C7EFF" w:rsidRPr="00F31BFB" w:rsidRDefault="000C7EFF">
      <w:pPr>
        <w:shd w:val="clear" w:color="auto" w:fill="FFFFFF"/>
        <w:ind w:firstLine="300"/>
        <w:rPr>
          <w:color w:val="auto"/>
        </w:rPr>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DF1B2F" w:rsidRPr="00F31BFB" w14:paraId="5B5CA5D2" w14:textId="7777777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02A3A77A" w14:textId="77777777" w:rsidR="000C7EFF" w:rsidRPr="00F31BFB" w:rsidRDefault="00E203EE">
            <w:pPr>
              <w:jc w:val="center"/>
              <w:rPr>
                <w:b/>
                <w:color w:val="auto"/>
              </w:rPr>
            </w:pPr>
            <w:r w:rsidRPr="00F31BFB">
              <w:rPr>
                <w:b/>
                <w:color w:val="auto"/>
              </w:rPr>
              <w:t>II. Tiesību akta projekta ietekme uz sabiedrību, tautsaimniecības attīstību un administratīvo slogu</w:t>
            </w:r>
          </w:p>
        </w:tc>
      </w:tr>
      <w:tr w:rsidR="00DF1B2F" w:rsidRPr="00F31BFB" w14:paraId="04D9447F" w14:textId="77777777">
        <w:trPr>
          <w:trHeight w:val="460"/>
        </w:trPr>
        <w:tc>
          <w:tcPr>
            <w:tcW w:w="520" w:type="dxa"/>
            <w:tcBorders>
              <w:top w:val="single" w:sz="6" w:space="0" w:color="414142"/>
              <w:left w:val="single" w:sz="6" w:space="0" w:color="414142"/>
              <w:bottom w:val="single" w:sz="6" w:space="0" w:color="414142"/>
              <w:right w:val="single" w:sz="6" w:space="0" w:color="414142"/>
            </w:tcBorders>
          </w:tcPr>
          <w:p w14:paraId="0C525378" w14:textId="77777777" w:rsidR="000C7EFF" w:rsidRPr="00F31BFB" w:rsidRDefault="00E203EE">
            <w:pPr>
              <w:rPr>
                <w:color w:val="auto"/>
              </w:rPr>
            </w:pPr>
            <w:r w:rsidRPr="00F31BFB">
              <w:rPr>
                <w:color w:val="auto"/>
              </w:rPr>
              <w:t>1.</w:t>
            </w:r>
          </w:p>
        </w:tc>
        <w:tc>
          <w:tcPr>
            <w:tcW w:w="2592" w:type="dxa"/>
            <w:tcBorders>
              <w:top w:val="single" w:sz="6" w:space="0" w:color="414142"/>
              <w:left w:val="single" w:sz="6" w:space="0" w:color="414142"/>
              <w:bottom w:val="single" w:sz="6" w:space="0" w:color="414142"/>
              <w:right w:val="single" w:sz="6" w:space="0" w:color="414142"/>
            </w:tcBorders>
          </w:tcPr>
          <w:p w14:paraId="4D58D578" w14:textId="77777777" w:rsidR="000C7EFF" w:rsidRPr="00F31BFB" w:rsidRDefault="00E203EE">
            <w:pPr>
              <w:rPr>
                <w:color w:val="auto"/>
              </w:rPr>
            </w:pPr>
            <w:r w:rsidRPr="00F31BFB">
              <w:rPr>
                <w:color w:val="auto"/>
              </w:rP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14:paraId="6402433E" w14:textId="77777777" w:rsidR="000C7EFF" w:rsidRPr="00F31BFB" w:rsidRDefault="00E203EE">
            <w:pPr>
              <w:spacing w:after="120"/>
              <w:jc w:val="both"/>
              <w:rPr>
                <w:color w:val="auto"/>
              </w:rPr>
            </w:pPr>
            <w:r w:rsidRPr="00F31BFB">
              <w:rPr>
                <w:color w:val="auto"/>
              </w:rPr>
              <w:t>Saskaņā ar Valsts policijas rīcībā esošo informāciju:</w:t>
            </w:r>
          </w:p>
          <w:p w14:paraId="45DA9BE2" w14:textId="77777777" w:rsidR="007E6CB6" w:rsidRPr="007E6CB6" w:rsidRDefault="00E203EE" w:rsidP="007E6CB6">
            <w:pPr>
              <w:pStyle w:val="ListParagraph"/>
              <w:numPr>
                <w:ilvl w:val="0"/>
                <w:numId w:val="12"/>
              </w:numPr>
              <w:jc w:val="both"/>
              <w:rPr>
                <w:color w:val="auto"/>
              </w:rPr>
            </w:pPr>
            <w:r w:rsidRPr="007E6CB6">
              <w:rPr>
                <w:color w:val="auto"/>
              </w:rPr>
              <w:t>ieroču tirdzniecības komersanti - 41 ar 83</w:t>
            </w:r>
            <w:r w:rsidRPr="007E6CB6">
              <w:rPr>
                <w:b/>
                <w:color w:val="auto"/>
              </w:rPr>
              <w:t xml:space="preserve"> </w:t>
            </w:r>
            <w:r w:rsidRPr="007E6CB6">
              <w:rPr>
                <w:color w:val="auto"/>
              </w:rPr>
              <w:t>ieroču un speciālo līdzekļu tirdzniecības objektiem</w:t>
            </w:r>
          </w:p>
          <w:p w14:paraId="6E9AF854" w14:textId="77777777" w:rsidR="007E6CB6" w:rsidRPr="007E6CB6" w:rsidRDefault="00F045B9" w:rsidP="007E6CB6">
            <w:pPr>
              <w:pStyle w:val="ListParagraph"/>
              <w:numPr>
                <w:ilvl w:val="0"/>
                <w:numId w:val="12"/>
              </w:numPr>
              <w:jc w:val="both"/>
              <w:rPr>
                <w:color w:val="auto"/>
              </w:rPr>
            </w:pPr>
            <w:r>
              <w:rPr>
                <w:color w:val="auto"/>
              </w:rPr>
              <w:t>gāzes ieroču īpašnieki- 23146.</w:t>
            </w:r>
          </w:p>
          <w:p w14:paraId="4A359671" w14:textId="77777777" w:rsidR="000C7EFF" w:rsidRPr="00F31BFB" w:rsidRDefault="000C7EFF" w:rsidP="00D21343">
            <w:pPr>
              <w:jc w:val="both"/>
              <w:rPr>
                <w:color w:val="auto"/>
              </w:rPr>
            </w:pPr>
          </w:p>
        </w:tc>
      </w:tr>
      <w:tr w:rsidR="00DF1B2F" w:rsidRPr="00F31BFB" w14:paraId="5BA1FF07"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1E256EA4" w14:textId="77777777" w:rsidR="000C7EFF" w:rsidRPr="00F31BFB" w:rsidRDefault="00E203EE">
            <w:pPr>
              <w:rPr>
                <w:color w:val="auto"/>
              </w:rPr>
            </w:pPr>
            <w:r w:rsidRPr="00F31BFB">
              <w:rPr>
                <w:color w:val="auto"/>
              </w:rPr>
              <w:t>2.</w:t>
            </w:r>
          </w:p>
        </w:tc>
        <w:tc>
          <w:tcPr>
            <w:tcW w:w="2592" w:type="dxa"/>
            <w:tcBorders>
              <w:top w:val="single" w:sz="6" w:space="0" w:color="414142"/>
              <w:left w:val="single" w:sz="6" w:space="0" w:color="414142"/>
              <w:bottom w:val="single" w:sz="6" w:space="0" w:color="414142"/>
              <w:right w:val="single" w:sz="6" w:space="0" w:color="414142"/>
            </w:tcBorders>
          </w:tcPr>
          <w:p w14:paraId="1D124D64" w14:textId="77777777" w:rsidR="000C7EFF" w:rsidRPr="00F31BFB" w:rsidRDefault="00E203EE">
            <w:pPr>
              <w:rPr>
                <w:color w:val="auto"/>
              </w:rPr>
            </w:pPr>
            <w:r w:rsidRPr="00F31BFB">
              <w:rPr>
                <w:color w:val="auto"/>
              </w:rP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14:paraId="622FB790" w14:textId="77777777" w:rsidR="000C7EFF" w:rsidRPr="00F31BFB" w:rsidRDefault="00716565" w:rsidP="00716565">
            <w:pPr>
              <w:spacing w:after="120"/>
              <w:jc w:val="both"/>
              <w:rPr>
                <w:color w:val="auto"/>
              </w:rPr>
            </w:pPr>
            <w:r>
              <w:rPr>
                <w:color w:val="auto"/>
              </w:rPr>
              <w:t>P</w:t>
            </w:r>
            <w:r w:rsidR="00F045B9" w:rsidRPr="00F045B9">
              <w:rPr>
                <w:color w:val="auto"/>
              </w:rPr>
              <w:t xml:space="preserve">rojekts </w:t>
            </w:r>
            <w:r w:rsidR="00244A38" w:rsidRPr="00F31BFB">
              <w:rPr>
                <w:color w:val="auto"/>
              </w:rPr>
              <w:t>rada papildus administr</w:t>
            </w:r>
            <w:r w:rsidR="00F045B9">
              <w:rPr>
                <w:color w:val="auto"/>
              </w:rPr>
              <w:t>atīvo slogu ieroču tir</w:t>
            </w:r>
            <w:r>
              <w:rPr>
                <w:color w:val="auto"/>
              </w:rPr>
              <w:t>gotājiem un</w:t>
            </w:r>
            <w:r w:rsidR="00F045B9">
              <w:rPr>
                <w:color w:val="auto"/>
              </w:rPr>
              <w:t xml:space="preserve"> gāzes ieroču īpašniekiem</w:t>
            </w:r>
            <w:r>
              <w:rPr>
                <w:color w:val="auto"/>
              </w:rPr>
              <w:t>, kas vēlas Latvijā</w:t>
            </w:r>
            <w:r w:rsidRPr="00716565">
              <w:rPr>
                <w:color w:val="auto"/>
              </w:rPr>
              <w:t xml:space="preserve"> ievest</w:t>
            </w:r>
            <w:r>
              <w:rPr>
                <w:color w:val="auto"/>
              </w:rPr>
              <w:t>, neklasificētus E kategorijas gāzes ieročus un signālieročus</w:t>
            </w:r>
            <w:r w:rsidR="00F045B9">
              <w:rPr>
                <w:color w:val="auto"/>
              </w:rPr>
              <w:t>.</w:t>
            </w:r>
          </w:p>
        </w:tc>
      </w:tr>
      <w:tr w:rsidR="00DF1B2F" w:rsidRPr="00F31BFB" w14:paraId="042AE029"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0C1A913" w14:textId="77777777" w:rsidR="000C7EFF" w:rsidRPr="00F31BFB" w:rsidRDefault="00E203EE">
            <w:pPr>
              <w:rPr>
                <w:color w:val="auto"/>
              </w:rPr>
            </w:pPr>
            <w:r w:rsidRPr="00F31BFB">
              <w:rPr>
                <w:color w:val="auto"/>
              </w:rPr>
              <w:t>3.</w:t>
            </w:r>
          </w:p>
        </w:tc>
        <w:tc>
          <w:tcPr>
            <w:tcW w:w="2592" w:type="dxa"/>
            <w:tcBorders>
              <w:top w:val="single" w:sz="6" w:space="0" w:color="414142"/>
              <w:left w:val="single" w:sz="6" w:space="0" w:color="414142"/>
              <w:bottom w:val="single" w:sz="6" w:space="0" w:color="414142"/>
              <w:right w:val="single" w:sz="6" w:space="0" w:color="414142"/>
            </w:tcBorders>
          </w:tcPr>
          <w:p w14:paraId="50802F91" w14:textId="77777777" w:rsidR="000C7EFF" w:rsidRPr="00F31BFB" w:rsidRDefault="00E203EE">
            <w:pPr>
              <w:rPr>
                <w:color w:val="auto"/>
              </w:rPr>
            </w:pPr>
            <w:r w:rsidRPr="00F31BFB">
              <w:rPr>
                <w:color w:val="auto"/>
              </w:rP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60ADBCA5" w14:textId="77777777" w:rsidR="000C7EFF" w:rsidRPr="00F31BFB" w:rsidRDefault="00716565" w:rsidP="00526DD3">
            <w:pPr>
              <w:pStyle w:val="Standard"/>
              <w:spacing w:after="0" w:line="240" w:lineRule="auto"/>
              <w:ind w:left="57" w:right="57"/>
              <w:jc w:val="both"/>
              <w:rPr>
                <w:b/>
                <w:sz w:val="24"/>
                <w:szCs w:val="24"/>
              </w:rPr>
            </w:pPr>
            <w:r>
              <w:rPr>
                <w:sz w:val="24"/>
                <w:szCs w:val="24"/>
              </w:rPr>
              <w:t>P</w:t>
            </w:r>
            <w:r w:rsidR="00526DD3" w:rsidRPr="00F31BFB">
              <w:rPr>
                <w:sz w:val="24"/>
                <w:szCs w:val="24"/>
              </w:rPr>
              <w:t>rojekts šo jomu neskar.</w:t>
            </w:r>
          </w:p>
        </w:tc>
      </w:tr>
      <w:tr w:rsidR="00DF1B2F" w:rsidRPr="00F31BFB" w14:paraId="05886D92" w14:textId="77777777">
        <w:trPr>
          <w:trHeight w:val="500"/>
        </w:trPr>
        <w:tc>
          <w:tcPr>
            <w:tcW w:w="520" w:type="dxa"/>
            <w:tcBorders>
              <w:top w:val="single" w:sz="6" w:space="0" w:color="414142"/>
              <w:left w:val="single" w:sz="6" w:space="0" w:color="414142"/>
              <w:bottom w:val="single" w:sz="6" w:space="0" w:color="414142"/>
              <w:right w:val="single" w:sz="6" w:space="0" w:color="414142"/>
            </w:tcBorders>
          </w:tcPr>
          <w:p w14:paraId="7BE62CAE" w14:textId="77777777" w:rsidR="000C7EFF" w:rsidRPr="00F31BFB" w:rsidRDefault="00E203EE">
            <w:pPr>
              <w:rPr>
                <w:color w:val="auto"/>
              </w:rPr>
            </w:pPr>
            <w:r w:rsidRPr="00F31BFB">
              <w:rPr>
                <w:color w:val="auto"/>
              </w:rPr>
              <w:t>4.</w:t>
            </w:r>
          </w:p>
        </w:tc>
        <w:tc>
          <w:tcPr>
            <w:tcW w:w="2592" w:type="dxa"/>
            <w:tcBorders>
              <w:top w:val="single" w:sz="6" w:space="0" w:color="414142"/>
              <w:left w:val="single" w:sz="6" w:space="0" w:color="414142"/>
              <w:bottom w:val="single" w:sz="6" w:space="0" w:color="414142"/>
              <w:right w:val="single" w:sz="6" w:space="0" w:color="414142"/>
            </w:tcBorders>
          </w:tcPr>
          <w:p w14:paraId="484CFA5C" w14:textId="77777777" w:rsidR="000C7EFF" w:rsidRPr="00F31BFB" w:rsidRDefault="00E203EE">
            <w:pPr>
              <w:rPr>
                <w:color w:val="auto"/>
              </w:rPr>
            </w:pPr>
            <w:r w:rsidRPr="00F31BFB">
              <w:rPr>
                <w:color w:val="auto"/>
              </w:rP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14:paraId="4C2D6BAB" w14:textId="77777777" w:rsidR="000C7EFF" w:rsidRPr="00F31BFB" w:rsidRDefault="00716565">
            <w:pPr>
              <w:rPr>
                <w:color w:val="auto"/>
              </w:rPr>
            </w:pPr>
            <w:r>
              <w:rPr>
                <w:color w:val="auto"/>
              </w:rPr>
              <w:t>P</w:t>
            </w:r>
            <w:r w:rsidR="00F045B9" w:rsidRPr="00F31BFB">
              <w:rPr>
                <w:color w:val="auto"/>
              </w:rPr>
              <w:t>rojekts</w:t>
            </w:r>
            <w:r w:rsidR="00E203EE" w:rsidRPr="00F31BFB">
              <w:rPr>
                <w:color w:val="auto"/>
              </w:rPr>
              <w:t xml:space="preserve"> šo jomu neskar.</w:t>
            </w:r>
          </w:p>
        </w:tc>
      </w:tr>
      <w:tr w:rsidR="00DF1B2F" w:rsidRPr="00F31BFB" w14:paraId="48F74415" w14:textId="77777777">
        <w:trPr>
          <w:trHeight w:val="340"/>
        </w:trPr>
        <w:tc>
          <w:tcPr>
            <w:tcW w:w="520" w:type="dxa"/>
            <w:tcBorders>
              <w:top w:val="single" w:sz="6" w:space="0" w:color="414142"/>
              <w:left w:val="single" w:sz="6" w:space="0" w:color="414142"/>
              <w:bottom w:val="single" w:sz="6" w:space="0" w:color="414142"/>
              <w:right w:val="single" w:sz="6" w:space="0" w:color="414142"/>
            </w:tcBorders>
          </w:tcPr>
          <w:p w14:paraId="5DE02379" w14:textId="77777777" w:rsidR="000C7EFF" w:rsidRPr="00F31BFB" w:rsidRDefault="00E203EE">
            <w:pPr>
              <w:rPr>
                <w:color w:val="auto"/>
              </w:rPr>
            </w:pPr>
            <w:r w:rsidRPr="00F31BFB">
              <w:rPr>
                <w:color w:val="auto"/>
              </w:rPr>
              <w:t>5.</w:t>
            </w:r>
          </w:p>
        </w:tc>
        <w:tc>
          <w:tcPr>
            <w:tcW w:w="2592" w:type="dxa"/>
            <w:tcBorders>
              <w:top w:val="single" w:sz="6" w:space="0" w:color="414142"/>
              <w:left w:val="single" w:sz="6" w:space="0" w:color="414142"/>
              <w:bottom w:val="single" w:sz="6" w:space="0" w:color="414142"/>
              <w:right w:val="single" w:sz="6" w:space="0" w:color="414142"/>
            </w:tcBorders>
          </w:tcPr>
          <w:p w14:paraId="7ABDC3F4" w14:textId="77777777" w:rsidR="000C7EFF" w:rsidRPr="00F31BFB" w:rsidRDefault="00E203EE">
            <w:pPr>
              <w:rPr>
                <w:color w:val="auto"/>
              </w:rPr>
            </w:pPr>
            <w:r w:rsidRPr="00F31BFB">
              <w:rPr>
                <w:color w:val="auto"/>
              </w:rPr>
              <w:t>Cita informācija</w:t>
            </w:r>
          </w:p>
        </w:tc>
        <w:tc>
          <w:tcPr>
            <w:tcW w:w="5460" w:type="dxa"/>
            <w:tcBorders>
              <w:top w:val="single" w:sz="6" w:space="0" w:color="414142"/>
              <w:left w:val="single" w:sz="6" w:space="0" w:color="414142"/>
              <w:bottom w:val="single" w:sz="6" w:space="0" w:color="414142"/>
              <w:right w:val="single" w:sz="6" w:space="0" w:color="414142"/>
            </w:tcBorders>
          </w:tcPr>
          <w:p w14:paraId="5D13502A" w14:textId="77777777" w:rsidR="000C7EFF" w:rsidRPr="00F31BFB" w:rsidRDefault="00E203EE">
            <w:pPr>
              <w:rPr>
                <w:color w:val="auto"/>
              </w:rPr>
            </w:pPr>
            <w:r w:rsidRPr="00F31BFB">
              <w:rPr>
                <w:color w:val="auto"/>
              </w:rPr>
              <w:t>Nav</w:t>
            </w:r>
          </w:p>
        </w:tc>
      </w:tr>
    </w:tbl>
    <w:p w14:paraId="50FBB7E3" w14:textId="77777777" w:rsidR="00514A64" w:rsidRPr="00F31BFB" w:rsidRDefault="00E203EE" w:rsidP="00E46100">
      <w:pPr>
        <w:shd w:val="clear" w:color="auto" w:fill="FFFFFF"/>
        <w:ind w:firstLine="300"/>
        <w:rPr>
          <w:rFonts w:eastAsia="Arial"/>
          <w:color w:val="auto"/>
        </w:rPr>
      </w:pPr>
      <w:r w:rsidRPr="00F31BFB">
        <w:rPr>
          <w:rFonts w:eastAsia="Arial"/>
          <w:color w:val="auto"/>
        </w:rPr>
        <w:t> </w:t>
      </w:r>
      <w:r w:rsidR="00F045B9">
        <w:rPr>
          <w:rFonts w:eastAsia="Arial"/>
          <w:color w:val="auto"/>
        </w:rPr>
        <w:t xml:space="preserve"> </w:t>
      </w:r>
    </w:p>
    <w:p w14:paraId="63CA6CA2" w14:textId="77777777" w:rsidR="00F24776" w:rsidRPr="00F31BFB" w:rsidRDefault="00E203EE" w:rsidP="00F24776">
      <w:pPr>
        <w:rPr>
          <w:color w:val="auto"/>
        </w:rPr>
      </w:pPr>
      <w:r w:rsidRPr="00F31BFB">
        <w:rPr>
          <w:color w:val="auto"/>
        </w:rPr>
        <w:t> </w:t>
      </w:r>
    </w:p>
    <w:tbl>
      <w:tblPr>
        <w:tblStyle w:val="TableGrid"/>
        <w:tblW w:w="5212" w:type="pct"/>
        <w:tblInd w:w="-147" w:type="dxa"/>
        <w:tblLook w:val="04A0" w:firstRow="1" w:lastRow="0" w:firstColumn="1" w:lastColumn="0" w:noHBand="0" w:noVBand="1"/>
      </w:tblPr>
      <w:tblGrid>
        <w:gridCol w:w="8648"/>
      </w:tblGrid>
      <w:tr w:rsidR="00DF1B2F" w:rsidRPr="00F31BFB" w14:paraId="5DCBF8E8" w14:textId="77777777" w:rsidTr="00F24776">
        <w:trPr>
          <w:trHeight w:val="360"/>
        </w:trPr>
        <w:tc>
          <w:tcPr>
            <w:tcW w:w="5000" w:type="pct"/>
            <w:vAlign w:val="center"/>
            <w:hideMark/>
          </w:tcPr>
          <w:p w14:paraId="67B675A4" w14:textId="77777777" w:rsidR="00F24776" w:rsidRPr="00F31BFB" w:rsidRDefault="00F24776" w:rsidP="006E6375">
            <w:pPr>
              <w:spacing w:before="100" w:beforeAutospacing="1" w:after="100" w:afterAutospacing="1" w:line="360" w:lineRule="auto"/>
              <w:ind w:firstLine="300"/>
              <w:jc w:val="center"/>
              <w:rPr>
                <w:b/>
                <w:bCs/>
                <w:color w:val="auto"/>
              </w:rPr>
            </w:pPr>
            <w:r w:rsidRPr="00F31BFB">
              <w:rPr>
                <w:b/>
                <w:bCs/>
                <w:color w:val="auto"/>
              </w:rPr>
              <w:t>III. Tiesību akta projekta ietekme uz valsts budžetu un pašvaldību budžetiem</w:t>
            </w:r>
          </w:p>
        </w:tc>
      </w:tr>
      <w:tr w:rsidR="00DF1B2F" w:rsidRPr="00F31BFB" w14:paraId="514EA694" w14:textId="77777777" w:rsidTr="00F24776">
        <w:tc>
          <w:tcPr>
            <w:tcW w:w="5000" w:type="pct"/>
            <w:vAlign w:val="center"/>
          </w:tcPr>
          <w:p w14:paraId="7518BE6F" w14:textId="77777777" w:rsidR="00F24776" w:rsidRPr="00F31BFB" w:rsidRDefault="00716565" w:rsidP="006E6375">
            <w:pPr>
              <w:spacing w:before="100" w:beforeAutospacing="1" w:after="100" w:afterAutospacing="1" w:line="360" w:lineRule="auto"/>
              <w:ind w:firstLine="300"/>
              <w:jc w:val="center"/>
              <w:rPr>
                <w:color w:val="auto"/>
              </w:rPr>
            </w:pPr>
            <w:r w:rsidRPr="00ED6D2F">
              <w:rPr>
                <w:color w:val="auto"/>
              </w:rPr>
              <w:lastRenderedPageBreak/>
              <w:t>P</w:t>
            </w:r>
            <w:r w:rsidR="00ED6D2F">
              <w:rPr>
                <w:color w:val="auto"/>
              </w:rPr>
              <w:t xml:space="preserve">rojekts tiks īstenots esoša finansējuma ietvaros. </w:t>
            </w:r>
          </w:p>
        </w:tc>
      </w:tr>
    </w:tbl>
    <w:p w14:paraId="51595827" w14:textId="77777777" w:rsidR="000C7EFF" w:rsidRPr="00F31BFB" w:rsidRDefault="000C7EFF">
      <w:pPr>
        <w:shd w:val="clear" w:color="auto" w:fill="FFFFFF"/>
        <w:ind w:firstLine="300"/>
        <w:rPr>
          <w:color w:val="auto"/>
        </w:rPr>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DF1B2F" w:rsidRPr="00F31BFB" w14:paraId="342B42DB" w14:textId="7777777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B97A895" w14:textId="77777777" w:rsidR="000C7EFF" w:rsidRPr="00F31BFB" w:rsidRDefault="00E203EE">
            <w:pPr>
              <w:jc w:val="center"/>
              <w:rPr>
                <w:b/>
                <w:color w:val="auto"/>
              </w:rPr>
            </w:pPr>
            <w:r w:rsidRPr="00F31BFB">
              <w:rPr>
                <w:b/>
                <w:color w:val="auto"/>
              </w:rPr>
              <w:t>IV. Tiesību akta projekta ietekme uz spēkā esošo tiesību normu sistēmu</w:t>
            </w:r>
          </w:p>
        </w:tc>
      </w:tr>
      <w:tr w:rsidR="00DF1B2F" w:rsidRPr="00F31BFB" w14:paraId="0CB4E995"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AB0A698" w14:textId="77777777" w:rsidR="000C7EFF" w:rsidRPr="00F31BFB" w:rsidRDefault="00E203EE">
            <w:pPr>
              <w:rPr>
                <w:color w:val="auto"/>
              </w:rPr>
            </w:pPr>
            <w:r w:rsidRPr="00F31BFB">
              <w:rPr>
                <w:color w:val="auto"/>
              </w:rPr>
              <w:t>1.</w:t>
            </w:r>
          </w:p>
        </w:tc>
        <w:tc>
          <w:tcPr>
            <w:tcW w:w="2425" w:type="dxa"/>
            <w:tcBorders>
              <w:top w:val="single" w:sz="6" w:space="0" w:color="414142"/>
              <w:left w:val="single" w:sz="6" w:space="0" w:color="414142"/>
              <w:bottom w:val="single" w:sz="6" w:space="0" w:color="414142"/>
              <w:right w:val="single" w:sz="6" w:space="0" w:color="414142"/>
            </w:tcBorders>
          </w:tcPr>
          <w:p w14:paraId="65F409A8" w14:textId="77777777" w:rsidR="000C7EFF" w:rsidRPr="00F31BFB" w:rsidRDefault="00E203EE">
            <w:pPr>
              <w:rPr>
                <w:color w:val="auto"/>
              </w:rPr>
            </w:pPr>
            <w:r w:rsidRPr="00F31BFB">
              <w:rPr>
                <w:color w:val="auto"/>
              </w:rP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14:paraId="5E23565C" w14:textId="77777777" w:rsidR="001279B9" w:rsidRPr="00F31BFB" w:rsidRDefault="00816740" w:rsidP="001279B9">
            <w:pPr>
              <w:spacing w:line="259" w:lineRule="auto"/>
              <w:jc w:val="both"/>
              <w:rPr>
                <w:color w:val="auto"/>
              </w:rPr>
            </w:pPr>
            <w:r w:rsidRPr="00F31BFB">
              <w:rPr>
                <w:color w:val="auto"/>
              </w:rPr>
              <w:t xml:space="preserve">Likumprojekts </w:t>
            </w:r>
            <w:r w:rsidR="00716565">
              <w:rPr>
                <w:color w:val="auto"/>
              </w:rPr>
              <w:t xml:space="preserve">“Grozījumi </w:t>
            </w:r>
            <w:r w:rsidR="00E729CF">
              <w:rPr>
                <w:color w:val="auto"/>
              </w:rPr>
              <w:t>Ieroču aprites likumā</w:t>
            </w:r>
            <w:r w:rsidR="00716565">
              <w:rPr>
                <w:color w:val="auto"/>
              </w:rPr>
              <w:t xml:space="preserve">” </w:t>
            </w:r>
          </w:p>
        </w:tc>
      </w:tr>
      <w:tr w:rsidR="00DF1B2F" w:rsidRPr="00F31BFB" w14:paraId="383F8D5B"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1371AAA9" w14:textId="77777777" w:rsidR="000C7EFF" w:rsidRPr="00F31BFB" w:rsidRDefault="00E203EE">
            <w:pPr>
              <w:rPr>
                <w:color w:val="auto"/>
              </w:rPr>
            </w:pPr>
            <w:r w:rsidRPr="00F31BFB">
              <w:rPr>
                <w:color w:val="auto"/>
              </w:rPr>
              <w:t>2.</w:t>
            </w:r>
          </w:p>
        </w:tc>
        <w:tc>
          <w:tcPr>
            <w:tcW w:w="2425" w:type="dxa"/>
            <w:tcBorders>
              <w:top w:val="single" w:sz="6" w:space="0" w:color="414142"/>
              <w:left w:val="single" w:sz="6" w:space="0" w:color="414142"/>
              <w:bottom w:val="single" w:sz="6" w:space="0" w:color="414142"/>
              <w:right w:val="single" w:sz="6" w:space="0" w:color="414142"/>
            </w:tcBorders>
          </w:tcPr>
          <w:p w14:paraId="0AACCB59" w14:textId="77777777" w:rsidR="000C7EFF" w:rsidRPr="00F31BFB" w:rsidRDefault="00E203EE">
            <w:pPr>
              <w:rPr>
                <w:color w:val="auto"/>
              </w:rPr>
            </w:pPr>
            <w:r w:rsidRPr="00F31BFB">
              <w:rPr>
                <w:color w:val="auto"/>
              </w:rPr>
              <w:t>Atbildīgā institūcija</w:t>
            </w:r>
          </w:p>
        </w:tc>
        <w:tc>
          <w:tcPr>
            <w:tcW w:w="5575" w:type="dxa"/>
            <w:tcBorders>
              <w:top w:val="single" w:sz="6" w:space="0" w:color="414142"/>
              <w:left w:val="single" w:sz="6" w:space="0" w:color="414142"/>
              <w:bottom w:val="single" w:sz="6" w:space="0" w:color="414142"/>
              <w:right w:val="single" w:sz="6" w:space="0" w:color="414142"/>
            </w:tcBorders>
          </w:tcPr>
          <w:p w14:paraId="2201C06B" w14:textId="77777777" w:rsidR="000C7EFF" w:rsidRPr="00F31BFB" w:rsidRDefault="00E203EE">
            <w:pPr>
              <w:spacing w:after="120"/>
              <w:rPr>
                <w:color w:val="auto"/>
              </w:rPr>
            </w:pPr>
            <w:r w:rsidRPr="00F31BFB">
              <w:rPr>
                <w:color w:val="auto"/>
              </w:rPr>
              <w:t>Iekšlietu ministrija, Valsts policija</w:t>
            </w:r>
          </w:p>
        </w:tc>
      </w:tr>
      <w:tr w:rsidR="00DF1B2F" w:rsidRPr="00F31BFB" w14:paraId="076F9B20" w14:textId="77777777">
        <w:trPr>
          <w:jc w:val="center"/>
        </w:trPr>
        <w:tc>
          <w:tcPr>
            <w:tcW w:w="522" w:type="dxa"/>
            <w:tcBorders>
              <w:top w:val="single" w:sz="6" w:space="0" w:color="414142"/>
              <w:left w:val="single" w:sz="6" w:space="0" w:color="414142"/>
              <w:bottom w:val="single" w:sz="6" w:space="0" w:color="414142"/>
              <w:right w:val="single" w:sz="6" w:space="0" w:color="414142"/>
            </w:tcBorders>
          </w:tcPr>
          <w:p w14:paraId="791EB6A5" w14:textId="77777777" w:rsidR="000C7EFF" w:rsidRPr="00F31BFB" w:rsidRDefault="00E203EE">
            <w:pPr>
              <w:rPr>
                <w:color w:val="auto"/>
              </w:rPr>
            </w:pPr>
            <w:r w:rsidRPr="00F31BFB">
              <w:rPr>
                <w:color w:val="auto"/>
              </w:rPr>
              <w:t>3.</w:t>
            </w:r>
          </w:p>
        </w:tc>
        <w:tc>
          <w:tcPr>
            <w:tcW w:w="2425" w:type="dxa"/>
            <w:tcBorders>
              <w:top w:val="single" w:sz="6" w:space="0" w:color="414142"/>
              <w:left w:val="single" w:sz="6" w:space="0" w:color="414142"/>
              <w:bottom w:val="single" w:sz="6" w:space="0" w:color="414142"/>
              <w:right w:val="single" w:sz="6" w:space="0" w:color="414142"/>
            </w:tcBorders>
          </w:tcPr>
          <w:p w14:paraId="2A51C8EF" w14:textId="77777777" w:rsidR="000C7EFF" w:rsidRPr="00F31BFB" w:rsidRDefault="00E203EE">
            <w:pPr>
              <w:rPr>
                <w:color w:val="auto"/>
              </w:rPr>
            </w:pPr>
            <w:r w:rsidRPr="00F31BFB">
              <w:rPr>
                <w:color w:val="auto"/>
              </w:rPr>
              <w:t>Cita informācija</w:t>
            </w:r>
          </w:p>
        </w:tc>
        <w:tc>
          <w:tcPr>
            <w:tcW w:w="5575" w:type="dxa"/>
            <w:tcBorders>
              <w:top w:val="single" w:sz="6" w:space="0" w:color="414142"/>
              <w:left w:val="single" w:sz="6" w:space="0" w:color="414142"/>
              <w:bottom w:val="single" w:sz="6" w:space="0" w:color="414142"/>
              <w:right w:val="single" w:sz="6" w:space="0" w:color="414142"/>
            </w:tcBorders>
          </w:tcPr>
          <w:p w14:paraId="1E964F5E" w14:textId="77777777" w:rsidR="000C7EFF" w:rsidRPr="00F31BFB" w:rsidRDefault="00F045B9" w:rsidP="00F045B9">
            <w:pPr>
              <w:spacing w:before="100" w:after="120"/>
              <w:rPr>
                <w:color w:val="auto"/>
              </w:rPr>
            </w:pPr>
            <w:r>
              <w:rPr>
                <w:color w:val="auto"/>
              </w:rPr>
              <w:t xml:space="preserve"> </w:t>
            </w:r>
            <w:r w:rsidR="00716565" w:rsidRPr="00716565">
              <w:rPr>
                <w:color w:val="auto"/>
              </w:rPr>
              <w:t xml:space="preserve">Projektam jāstājas spēkā vienlaikus ar likumprojektu “Grozījumi Ieroču aprites likuma” 2020.gada 17.janvārī.  </w:t>
            </w:r>
          </w:p>
        </w:tc>
      </w:tr>
    </w:tbl>
    <w:p w14:paraId="5F9EC329" w14:textId="77777777" w:rsidR="000C7EFF" w:rsidRPr="00F31BFB" w:rsidRDefault="00E203EE">
      <w:pPr>
        <w:shd w:val="clear" w:color="auto" w:fill="FFFFFF"/>
        <w:ind w:firstLine="300"/>
        <w:rPr>
          <w:color w:val="auto"/>
        </w:rPr>
      </w:pPr>
      <w:r w:rsidRPr="00F31BFB">
        <w:rPr>
          <w:rFonts w:eastAsia="Arial"/>
          <w:color w:val="auto"/>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DF1B2F" w:rsidRPr="00F31BFB" w14:paraId="0AEB2D41" w14:textId="77777777">
        <w:tc>
          <w:tcPr>
            <w:tcW w:w="8572" w:type="dxa"/>
            <w:gridSpan w:val="3"/>
            <w:tcBorders>
              <w:top w:val="single" w:sz="6" w:space="0" w:color="414142"/>
              <w:left w:val="single" w:sz="6" w:space="0" w:color="414142"/>
              <w:bottom w:val="single" w:sz="6" w:space="0" w:color="414142"/>
              <w:right w:val="single" w:sz="6" w:space="0" w:color="414142"/>
            </w:tcBorders>
            <w:vAlign w:val="center"/>
          </w:tcPr>
          <w:p w14:paraId="68B1DFFF" w14:textId="77777777" w:rsidR="000C7EFF" w:rsidRPr="00F31BFB" w:rsidRDefault="00E203EE">
            <w:pPr>
              <w:jc w:val="center"/>
              <w:rPr>
                <w:b/>
                <w:color w:val="auto"/>
              </w:rPr>
            </w:pPr>
            <w:r w:rsidRPr="00F31BFB">
              <w:rPr>
                <w:b/>
                <w:color w:val="auto"/>
              </w:rPr>
              <w:t>V. Tiesību akta projekta atbilstība Latvijas Republikas starptautiskajām saistībām</w:t>
            </w:r>
          </w:p>
        </w:tc>
      </w:tr>
      <w:tr w:rsidR="00DF1B2F" w:rsidRPr="00F31BFB" w14:paraId="2379921B" w14:textId="77777777">
        <w:tc>
          <w:tcPr>
            <w:tcW w:w="521" w:type="dxa"/>
            <w:tcBorders>
              <w:top w:val="single" w:sz="6" w:space="0" w:color="414142"/>
              <w:left w:val="single" w:sz="6" w:space="0" w:color="414142"/>
              <w:bottom w:val="single" w:sz="6" w:space="0" w:color="414142"/>
              <w:right w:val="single" w:sz="6" w:space="0" w:color="414142"/>
            </w:tcBorders>
          </w:tcPr>
          <w:p w14:paraId="7B33D480" w14:textId="77777777" w:rsidR="000C7EFF" w:rsidRPr="00F31BFB" w:rsidRDefault="00E203EE">
            <w:pPr>
              <w:rPr>
                <w:color w:val="auto"/>
              </w:rPr>
            </w:pPr>
            <w:r w:rsidRPr="00F31BFB">
              <w:rPr>
                <w:color w:val="auto"/>
              </w:rPr>
              <w:t>1.</w:t>
            </w:r>
          </w:p>
        </w:tc>
        <w:tc>
          <w:tcPr>
            <w:tcW w:w="2426" w:type="dxa"/>
            <w:tcBorders>
              <w:top w:val="single" w:sz="6" w:space="0" w:color="414142"/>
              <w:left w:val="single" w:sz="6" w:space="0" w:color="414142"/>
              <w:bottom w:val="single" w:sz="6" w:space="0" w:color="414142"/>
              <w:right w:val="single" w:sz="6" w:space="0" w:color="414142"/>
            </w:tcBorders>
          </w:tcPr>
          <w:p w14:paraId="0E6C340E" w14:textId="77777777" w:rsidR="000C7EFF" w:rsidRPr="00F31BFB" w:rsidRDefault="00E203EE">
            <w:pPr>
              <w:rPr>
                <w:color w:val="auto"/>
              </w:rPr>
            </w:pPr>
            <w:r w:rsidRPr="00F31BFB">
              <w:rPr>
                <w:color w:val="auto"/>
              </w:rPr>
              <w:t>Saistības pret Eiropas Savienību</w:t>
            </w:r>
            <w:r w:rsidR="00F045B9">
              <w:rPr>
                <w:color w:val="auto"/>
              </w:rPr>
              <w:t xml:space="preserve"> </w:t>
            </w:r>
          </w:p>
        </w:tc>
        <w:tc>
          <w:tcPr>
            <w:tcW w:w="5625" w:type="dxa"/>
            <w:tcBorders>
              <w:top w:val="single" w:sz="6" w:space="0" w:color="414142"/>
              <w:left w:val="single" w:sz="6" w:space="0" w:color="414142"/>
              <w:bottom w:val="single" w:sz="6" w:space="0" w:color="414142"/>
              <w:right w:val="single" w:sz="6" w:space="0" w:color="414142"/>
            </w:tcBorders>
          </w:tcPr>
          <w:p w14:paraId="6815B2CF" w14:textId="77777777" w:rsidR="006C025C" w:rsidRPr="00F31BFB" w:rsidRDefault="006C025C">
            <w:pPr>
              <w:jc w:val="both"/>
              <w:rPr>
                <w:color w:val="auto"/>
              </w:rPr>
            </w:pPr>
            <w:r w:rsidRPr="00F31BFB">
              <w:rPr>
                <w:color w:val="auto"/>
              </w:rPr>
              <w:t xml:space="preserve">Eiropas Komisijas </w:t>
            </w:r>
            <w:r w:rsidR="00625C83" w:rsidRPr="00F31BFB">
              <w:rPr>
                <w:color w:val="auto"/>
              </w:rPr>
              <w:t>2019. gada</w:t>
            </w:r>
            <w:r w:rsidRPr="00F31BFB">
              <w:rPr>
                <w:color w:val="auto"/>
              </w:rPr>
              <w:t xml:space="preserve"> </w:t>
            </w:r>
            <w:r w:rsidR="00625C83" w:rsidRPr="00F31BFB">
              <w:rPr>
                <w:color w:val="auto"/>
              </w:rPr>
              <w:t>16. janvāra</w:t>
            </w:r>
            <w:r w:rsidR="00F045B9">
              <w:rPr>
                <w:color w:val="auto"/>
              </w:rPr>
              <w:t xml:space="preserve"> Komisijas Īstenošanas D</w:t>
            </w:r>
            <w:r w:rsidRPr="00F31BFB">
              <w:rPr>
                <w:color w:val="auto"/>
              </w:rPr>
              <w:t>irektīva</w:t>
            </w:r>
            <w:r w:rsidR="00F045B9">
              <w:rPr>
                <w:color w:val="auto"/>
              </w:rPr>
              <w:t xml:space="preserve"> </w:t>
            </w:r>
            <w:r w:rsidR="00F045B9" w:rsidRPr="00F045B9">
              <w:rPr>
                <w:color w:val="auto"/>
              </w:rPr>
              <w:t>(ES) 2019/69 ar ko nosaka trauksmes un signālieroču tehniskās specifikācijas saskaņā ar padomes Direktīvu 91/477 EEK par ieroču iegādes un glabāšanas kontroli</w:t>
            </w:r>
            <w:r w:rsidRPr="00F31BFB">
              <w:rPr>
                <w:color w:val="auto"/>
              </w:rPr>
              <w:t xml:space="preserve"> (</w:t>
            </w:r>
            <w:r w:rsidR="00346CA1" w:rsidRPr="00F31BFB">
              <w:rPr>
                <w:color w:val="auto"/>
              </w:rPr>
              <w:t>direktīva</w:t>
            </w:r>
            <w:r w:rsidR="00E203EE" w:rsidRPr="00F31BFB">
              <w:rPr>
                <w:color w:val="auto"/>
              </w:rPr>
              <w:t xml:space="preserve"> jāpārņem nacionāla</w:t>
            </w:r>
            <w:r w:rsidRPr="00F31BFB">
              <w:rPr>
                <w:color w:val="auto"/>
              </w:rPr>
              <w:t>jos normatīvajos aktos līdz 2020</w:t>
            </w:r>
            <w:r w:rsidR="00E203EE" w:rsidRPr="00F31BFB">
              <w:rPr>
                <w:color w:val="auto"/>
              </w:rPr>
              <w:t>.</w:t>
            </w:r>
            <w:r w:rsidR="000069E7" w:rsidRPr="00F31BFB">
              <w:rPr>
                <w:color w:val="auto"/>
              </w:rPr>
              <w:t> </w:t>
            </w:r>
            <w:r w:rsidR="00625C83" w:rsidRPr="00F31BFB">
              <w:rPr>
                <w:color w:val="auto"/>
              </w:rPr>
              <w:t>gada 17</w:t>
            </w:r>
            <w:r w:rsidR="00E203EE" w:rsidRPr="00F31BFB">
              <w:rPr>
                <w:color w:val="auto"/>
              </w:rPr>
              <w:t>.</w:t>
            </w:r>
            <w:r w:rsidR="00625C83" w:rsidRPr="00F31BFB">
              <w:rPr>
                <w:color w:val="auto"/>
              </w:rPr>
              <w:t>jānvārim).</w:t>
            </w:r>
            <w:r w:rsidR="00716565">
              <w:rPr>
                <w:color w:val="auto"/>
              </w:rPr>
              <w:t xml:space="preserve"> </w:t>
            </w:r>
          </w:p>
        </w:tc>
      </w:tr>
      <w:tr w:rsidR="00DF1B2F" w:rsidRPr="00F31BFB" w14:paraId="34F60196" w14:textId="77777777">
        <w:tc>
          <w:tcPr>
            <w:tcW w:w="521" w:type="dxa"/>
            <w:tcBorders>
              <w:top w:val="single" w:sz="6" w:space="0" w:color="414142"/>
              <w:left w:val="single" w:sz="6" w:space="0" w:color="414142"/>
              <w:bottom w:val="single" w:sz="6" w:space="0" w:color="414142"/>
              <w:right w:val="single" w:sz="6" w:space="0" w:color="414142"/>
            </w:tcBorders>
          </w:tcPr>
          <w:p w14:paraId="09E6E6A9" w14:textId="77777777" w:rsidR="000C7EFF" w:rsidRPr="00F31BFB" w:rsidRDefault="00E203EE">
            <w:pPr>
              <w:rPr>
                <w:color w:val="auto"/>
              </w:rPr>
            </w:pPr>
            <w:r w:rsidRPr="00F31BFB">
              <w:rPr>
                <w:color w:val="auto"/>
              </w:rPr>
              <w:t>2.</w:t>
            </w:r>
          </w:p>
        </w:tc>
        <w:tc>
          <w:tcPr>
            <w:tcW w:w="2426" w:type="dxa"/>
            <w:tcBorders>
              <w:top w:val="single" w:sz="6" w:space="0" w:color="414142"/>
              <w:left w:val="single" w:sz="6" w:space="0" w:color="414142"/>
              <w:bottom w:val="single" w:sz="6" w:space="0" w:color="414142"/>
              <w:right w:val="single" w:sz="6" w:space="0" w:color="414142"/>
            </w:tcBorders>
          </w:tcPr>
          <w:p w14:paraId="7A2B947E" w14:textId="77777777" w:rsidR="000C7EFF" w:rsidRPr="00F31BFB" w:rsidRDefault="00E203EE">
            <w:pPr>
              <w:rPr>
                <w:color w:val="auto"/>
              </w:rPr>
            </w:pPr>
            <w:r w:rsidRPr="00F31BFB">
              <w:rPr>
                <w:color w:val="auto"/>
              </w:rP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14:paraId="74ECA154" w14:textId="77777777" w:rsidR="000C7EFF" w:rsidRPr="00F31BFB" w:rsidRDefault="00993F6E" w:rsidP="00993F6E">
            <w:pPr>
              <w:jc w:val="both"/>
              <w:rPr>
                <w:color w:val="auto"/>
              </w:rPr>
            </w:pPr>
            <w:r w:rsidRPr="00993F6E">
              <w:rPr>
                <w:color w:val="auto"/>
              </w:rPr>
              <w:t>Nav.</w:t>
            </w:r>
            <w:r w:rsidR="00716565">
              <w:rPr>
                <w:color w:val="auto"/>
              </w:rPr>
              <w:t xml:space="preserve"> </w:t>
            </w:r>
          </w:p>
        </w:tc>
      </w:tr>
      <w:tr w:rsidR="00DF1B2F" w:rsidRPr="00F31BFB" w14:paraId="316A28D3" w14:textId="77777777">
        <w:tc>
          <w:tcPr>
            <w:tcW w:w="521" w:type="dxa"/>
            <w:tcBorders>
              <w:top w:val="single" w:sz="6" w:space="0" w:color="414142"/>
              <w:left w:val="single" w:sz="6" w:space="0" w:color="414142"/>
              <w:bottom w:val="single" w:sz="6" w:space="0" w:color="414142"/>
              <w:right w:val="single" w:sz="6" w:space="0" w:color="414142"/>
            </w:tcBorders>
          </w:tcPr>
          <w:p w14:paraId="5CA7AAE3" w14:textId="77777777" w:rsidR="000C7EFF" w:rsidRPr="00F31BFB" w:rsidRDefault="00E203EE">
            <w:pPr>
              <w:rPr>
                <w:color w:val="auto"/>
              </w:rPr>
            </w:pPr>
            <w:r w:rsidRPr="00F31BFB">
              <w:rPr>
                <w:color w:val="auto"/>
              </w:rPr>
              <w:t>3.</w:t>
            </w:r>
          </w:p>
        </w:tc>
        <w:tc>
          <w:tcPr>
            <w:tcW w:w="2426" w:type="dxa"/>
            <w:tcBorders>
              <w:top w:val="single" w:sz="6" w:space="0" w:color="414142"/>
              <w:left w:val="single" w:sz="6" w:space="0" w:color="414142"/>
              <w:bottom w:val="single" w:sz="6" w:space="0" w:color="414142"/>
              <w:right w:val="single" w:sz="6" w:space="0" w:color="414142"/>
            </w:tcBorders>
          </w:tcPr>
          <w:p w14:paraId="2753A6AD" w14:textId="77777777" w:rsidR="000C7EFF" w:rsidRPr="00F31BFB" w:rsidRDefault="00E203EE">
            <w:pPr>
              <w:rPr>
                <w:color w:val="auto"/>
              </w:rPr>
            </w:pPr>
            <w:r w:rsidRPr="00F31BFB">
              <w:rPr>
                <w:color w:val="auto"/>
              </w:rPr>
              <w:t>Cita informācija</w:t>
            </w:r>
          </w:p>
        </w:tc>
        <w:tc>
          <w:tcPr>
            <w:tcW w:w="5625" w:type="dxa"/>
            <w:tcBorders>
              <w:top w:val="single" w:sz="6" w:space="0" w:color="414142"/>
              <w:left w:val="single" w:sz="6" w:space="0" w:color="414142"/>
              <w:bottom w:val="single" w:sz="6" w:space="0" w:color="414142"/>
              <w:right w:val="single" w:sz="6" w:space="0" w:color="414142"/>
            </w:tcBorders>
          </w:tcPr>
          <w:p w14:paraId="4F2DF704" w14:textId="47D2B9D5" w:rsidR="000C7EFF" w:rsidRPr="00F31BFB" w:rsidRDefault="00E010CF" w:rsidP="00993F6E">
            <w:pPr>
              <w:jc w:val="both"/>
              <w:rPr>
                <w:color w:val="auto"/>
              </w:rPr>
            </w:pPr>
            <w:r>
              <w:rPr>
                <w:color w:val="auto"/>
              </w:rPr>
              <w:t>P</w:t>
            </w:r>
            <w:r w:rsidR="00993F6E" w:rsidRPr="00993F6E">
              <w:rPr>
                <w:color w:val="auto"/>
              </w:rPr>
              <w:t>rojektspārņem Eiropas Komisijas 2019. gada 16. janvāra Komisijas Īstenošanas Direktīva (ES) 2019/69 ar ko nosaka trauksmes un signālieroču tehniskās specifikācijas saskaņā ar padomes Direktīvu 91/477 EEK par ieroču iegādes un glabāšanas kontroli prasības.</w:t>
            </w:r>
          </w:p>
        </w:tc>
      </w:tr>
    </w:tbl>
    <w:p w14:paraId="50ACEE5C" w14:textId="77777777" w:rsidR="000C7EFF" w:rsidRPr="00F31BFB" w:rsidRDefault="00E203EE">
      <w:pPr>
        <w:shd w:val="clear" w:color="auto" w:fill="FFFFFF"/>
        <w:ind w:firstLine="300"/>
        <w:rPr>
          <w:color w:val="auto"/>
        </w:rPr>
      </w:pPr>
      <w:r w:rsidRPr="00F31BFB">
        <w:rPr>
          <w:rFonts w:eastAsia="Arial"/>
          <w:color w:val="auto"/>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DF1B2F" w:rsidRPr="00F31BFB" w14:paraId="7C78DC42" w14:textId="77777777">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14:paraId="154112BF" w14:textId="77777777" w:rsidR="000C7EFF" w:rsidRPr="00F31BFB" w:rsidRDefault="00E203EE">
            <w:pPr>
              <w:spacing w:before="100" w:after="100"/>
              <w:jc w:val="center"/>
              <w:rPr>
                <w:b/>
                <w:color w:val="auto"/>
              </w:rPr>
            </w:pPr>
            <w:r w:rsidRPr="00F31BFB">
              <w:rPr>
                <w:b/>
                <w:color w:val="auto"/>
              </w:rPr>
              <w:t>1. tabula</w:t>
            </w:r>
            <w:r w:rsidRPr="00F31BFB">
              <w:rPr>
                <w:b/>
                <w:color w:val="auto"/>
              </w:rPr>
              <w:br/>
              <w:t>Tiesību akta projekta atbilstība ES tiesību aktiem</w:t>
            </w:r>
          </w:p>
        </w:tc>
      </w:tr>
      <w:tr w:rsidR="00DF1B2F" w:rsidRPr="00F31BFB" w14:paraId="7CE0720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3A6DCFE" w14:textId="77777777" w:rsidR="000C7EFF" w:rsidRPr="00F31BFB" w:rsidRDefault="00E203EE">
            <w:pPr>
              <w:rPr>
                <w:color w:val="auto"/>
              </w:rPr>
            </w:pPr>
            <w:r w:rsidRPr="00F31BFB">
              <w:rPr>
                <w:color w:val="auto"/>
              </w:rP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14:paraId="7378D06A" w14:textId="77777777" w:rsidR="000C7EFF" w:rsidRPr="00F31BFB" w:rsidRDefault="00F045B9">
            <w:pPr>
              <w:rPr>
                <w:color w:val="auto"/>
              </w:rPr>
            </w:pPr>
            <w:r w:rsidRPr="00F045B9">
              <w:rPr>
                <w:color w:val="auto"/>
              </w:rPr>
              <w:t>Eiropas Komisijas 2019. gada 16. janvāra Komisijas Īstenošanas Direktīva (ES) 2019/69 ar ko nosaka trauksmes un signālieroču tehniskās specifikācijas saskaņā ar padomes Direktīvu 91/477 EEK par ieroču iegādes un glabāšanas kontroli prasības.</w:t>
            </w:r>
          </w:p>
        </w:tc>
      </w:tr>
      <w:tr w:rsidR="00DF1B2F" w:rsidRPr="00F31BFB" w14:paraId="000D745C" w14:textId="77777777">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14:paraId="4983A31A" w14:textId="77777777" w:rsidR="000C7EFF" w:rsidRPr="00F31BFB" w:rsidRDefault="00E203EE">
            <w:pPr>
              <w:spacing w:before="100" w:after="100"/>
              <w:jc w:val="center"/>
              <w:rPr>
                <w:color w:val="auto"/>
              </w:rPr>
            </w:pPr>
            <w:r w:rsidRPr="00F31BFB">
              <w:rPr>
                <w:color w:val="auto"/>
              </w:rPr>
              <w:t>A</w:t>
            </w:r>
          </w:p>
        </w:tc>
        <w:tc>
          <w:tcPr>
            <w:tcW w:w="1840" w:type="dxa"/>
            <w:tcBorders>
              <w:top w:val="single" w:sz="6" w:space="0" w:color="414142"/>
              <w:left w:val="single" w:sz="6" w:space="0" w:color="414142"/>
              <w:bottom w:val="single" w:sz="6" w:space="0" w:color="414142"/>
              <w:right w:val="single" w:sz="6" w:space="0" w:color="414142"/>
            </w:tcBorders>
            <w:vAlign w:val="center"/>
          </w:tcPr>
          <w:p w14:paraId="5A150292" w14:textId="77777777" w:rsidR="000C7EFF" w:rsidRPr="00F31BFB" w:rsidRDefault="00E203EE">
            <w:pPr>
              <w:spacing w:before="100" w:after="100"/>
              <w:jc w:val="center"/>
              <w:rPr>
                <w:color w:val="auto"/>
              </w:rPr>
            </w:pPr>
            <w:r w:rsidRPr="00F31BFB">
              <w:rPr>
                <w:color w:val="auto"/>
              </w:rPr>
              <w:t>B</w:t>
            </w:r>
          </w:p>
        </w:tc>
        <w:tc>
          <w:tcPr>
            <w:tcW w:w="2340" w:type="dxa"/>
            <w:tcBorders>
              <w:top w:val="single" w:sz="6" w:space="0" w:color="414142"/>
              <w:left w:val="single" w:sz="6" w:space="0" w:color="414142"/>
              <w:bottom w:val="single" w:sz="6" w:space="0" w:color="414142"/>
              <w:right w:val="single" w:sz="6" w:space="0" w:color="414142"/>
            </w:tcBorders>
            <w:vAlign w:val="center"/>
          </w:tcPr>
          <w:p w14:paraId="73108AFB" w14:textId="77777777" w:rsidR="000C7EFF" w:rsidRPr="00F31BFB" w:rsidRDefault="00E203EE">
            <w:pPr>
              <w:spacing w:before="100" w:after="100"/>
              <w:jc w:val="center"/>
              <w:rPr>
                <w:color w:val="auto"/>
              </w:rPr>
            </w:pPr>
            <w:r w:rsidRPr="00F31BFB">
              <w:rPr>
                <w:color w:val="auto"/>
              </w:rPr>
              <w:t>C</w:t>
            </w:r>
          </w:p>
        </w:tc>
        <w:tc>
          <w:tcPr>
            <w:tcW w:w="2373" w:type="dxa"/>
            <w:tcBorders>
              <w:top w:val="single" w:sz="6" w:space="0" w:color="414142"/>
              <w:left w:val="single" w:sz="6" w:space="0" w:color="414142"/>
              <w:bottom w:val="single" w:sz="6" w:space="0" w:color="414142"/>
              <w:right w:val="single" w:sz="6" w:space="0" w:color="414142"/>
            </w:tcBorders>
            <w:vAlign w:val="center"/>
          </w:tcPr>
          <w:p w14:paraId="5CB0A742" w14:textId="77777777" w:rsidR="000C7EFF" w:rsidRPr="00F31BFB" w:rsidRDefault="00E203EE">
            <w:pPr>
              <w:spacing w:before="100" w:after="100"/>
              <w:jc w:val="center"/>
              <w:rPr>
                <w:color w:val="auto"/>
              </w:rPr>
            </w:pPr>
            <w:r w:rsidRPr="00F31BFB">
              <w:rPr>
                <w:color w:val="auto"/>
              </w:rPr>
              <w:t>D</w:t>
            </w:r>
          </w:p>
        </w:tc>
      </w:tr>
      <w:tr w:rsidR="00DF1B2F" w:rsidRPr="00F31BFB" w14:paraId="6B3EEF4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F3597AF" w14:textId="77777777" w:rsidR="000C7EFF" w:rsidRPr="00F31BFB" w:rsidRDefault="00E203EE">
            <w:pPr>
              <w:rPr>
                <w:color w:val="auto"/>
              </w:rPr>
            </w:pPr>
            <w:r w:rsidRPr="00F31BFB">
              <w:rPr>
                <w:color w:val="auto"/>
              </w:rP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14:paraId="6608D922" w14:textId="77777777" w:rsidR="000C7EFF" w:rsidRPr="00F31BFB" w:rsidRDefault="00E203EE">
            <w:pPr>
              <w:rPr>
                <w:color w:val="auto"/>
              </w:rPr>
            </w:pPr>
            <w:r w:rsidRPr="00F31BFB">
              <w:rPr>
                <w:color w:val="auto"/>
              </w:rP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14:paraId="7C7EDC8B" w14:textId="77777777" w:rsidR="000C7EFF" w:rsidRPr="00F31BFB" w:rsidRDefault="00E203EE">
            <w:pPr>
              <w:rPr>
                <w:color w:val="auto"/>
              </w:rPr>
            </w:pPr>
            <w:r w:rsidRPr="00F31BFB">
              <w:rPr>
                <w:color w:val="auto"/>
              </w:rPr>
              <w:t>Informācija par to, vai šīs tabulas A ailē minētās ES tiesību akta vienības tiek pārņemtas vai ieviestas pilnībā vai daļēji.</w:t>
            </w:r>
          </w:p>
          <w:p w14:paraId="29DFAF9E" w14:textId="77777777" w:rsidR="000C7EFF" w:rsidRPr="00F31BFB" w:rsidRDefault="00E203EE">
            <w:pPr>
              <w:spacing w:before="280" w:after="280"/>
              <w:rPr>
                <w:color w:val="auto"/>
              </w:rPr>
            </w:pPr>
            <w:r w:rsidRPr="00F31BFB">
              <w:rPr>
                <w:color w:val="auto"/>
              </w:rPr>
              <w:t xml:space="preserve">Ja attiecīgā ES tiesību akta vienība tiek pārņemta vai ieviesta daļēji, sniedz attiecīgu skaidrojumu, kā arī precīzi norāda, kad un </w:t>
            </w:r>
            <w:r w:rsidRPr="00F31BFB">
              <w:rPr>
                <w:color w:val="auto"/>
              </w:rPr>
              <w:lastRenderedPageBreak/>
              <w:t>kādā veidā ES tiesību akta vienība tiks pārņemta vai ieviesta pilnībā.</w:t>
            </w:r>
          </w:p>
          <w:p w14:paraId="05610244" w14:textId="77777777" w:rsidR="000C7EFF" w:rsidRPr="00F31BFB" w:rsidRDefault="00E203EE">
            <w:pPr>
              <w:spacing w:after="100"/>
              <w:rPr>
                <w:color w:val="auto"/>
              </w:rPr>
            </w:pPr>
            <w:r w:rsidRPr="00F31BFB">
              <w:rPr>
                <w:color w:val="auto"/>
              </w:rP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14:paraId="75A09137" w14:textId="77777777" w:rsidR="000C7EFF" w:rsidRPr="00F31BFB" w:rsidRDefault="00E203EE">
            <w:pPr>
              <w:rPr>
                <w:color w:val="auto"/>
              </w:rPr>
            </w:pPr>
            <w:r w:rsidRPr="00F31BFB">
              <w:rPr>
                <w:color w:val="auto"/>
              </w:rPr>
              <w:lastRenderedPageBreak/>
              <w:t>Informācija par to, vai šīs tabulas B ailē minētās projekta vienības paredz stingrākas prasības nekā šīs tabulas A ailē minētās ES tiesību akta vienības.</w:t>
            </w:r>
          </w:p>
          <w:p w14:paraId="2BEFD2C2" w14:textId="77777777" w:rsidR="000C7EFF" w:rsidRPr="00F31BFB" w:rsidRDefault="00E203EE">
            <w:pPr>
              <w:spacing w:before="280" w:after="280"/>
              <w:rPr>
                <w:color w:val="auto"/>
              </w:rPr>
            </w:pPr>
            <w:r w:rsidRPr="00F31BFB">
              <w:rPr>
                <w:color w:val="auto"/>
              </w:rPr>
              <w:t xml:space="preserve">Ja projekts satur stingrākas prasības nekā attiecīgais ES tiesību akts, norāda </w:t>
            </w:r>
            <w:r w:rsidRPr="00F31BFB">
              <w:rPr>
                <w:color w:val="auto"/>
              </w:rPr>
              <w:lastRenderedPageBreak/>
              <w:t>pamatojumu un samērīgumu.</w:t>
            </w:r>
          </w:p>
          <w:p w14:paraId="2A7525FC" w14:textId="77777777" w:rsidR="000C7EFF" w:rsidRPr="00F31BFB" w:rsidRDefault="00E203EE">
            <w:pPr>
              <w:spacing w:after="100"/>
              <w:rPr>
                <w:color w:val="auto"/>
              </w:rPr>
            </w:pPr>
            <w:r w:rsidRPr="00F31BFB">
              <w:rPr>
                <w:color w:val="auto"/>
              </w:rPr>
              <w:t>Norāda iespējamās alternatīvas (t.sk. alternatīvas, kas neparedz tiesiskā regulējuma izstrādi) – kādos gadījumos būtu iespējams izvairīties no stingrāku prasību noteikšanas, nekā paredzēts attiecīgajos ES tiesību aktos</w:t>
            </w:r>
          </w:p>
        </w:tc>
      </w:tr>
      <w:tr w:rsidR="00640012" w:rsidRPr="00F31BFB" w14:paraId="1DB98980"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34DD8F50" w14:textId="75C32702" w:rsidR="00640012" w:rsidRPr="00F31BFB" w:rsidRDefault="00640012" w:rsidP="00640012">
            <w:pPr>
              <w:rPr>
                <w:color w:val="auto"/>
              </w:rPr>
            </w:pPr>
            <w:r>
              <w:rPr>
                <w:color w:val="auto"/>
              </w:rPr>
              <w:lastRenderedPageBreak/>
              <w:t>1.pants</w:t>
            </w:r>
          </w:p>
        </w:tc>
        <w:tc>
          <w:tcPr>
            <w:tcW w:w="1840" w:type="dxa"/>
            <w:tcBorders>
              <w:top w:val="single" w:sz="6" w:space="0" w:color="414142"/>
              <w:left w:val="single" w:sz="6" w:space="0" w:color="414142"/>
              <w:bottom w:val="single" w:sz="6" w:space="0" w:color="414142"/>
              <w:right w:val="single" w:sz="6" w:space="0" w:color="414142"/>
            </w:tcBorders>
          </w:tcPr>
          <w:p w14:paraId="32CFB3E0" w14:textId="0E0A162A" w:rsidR="00640012" w:rsidRPr="00F31BFB" w:rsidRDefault="00640012" w:rsidP="00640012">
            <w:pPr>
              <w:rPr>
                <w:color w:val="auto"/>
              </w:rPr>
            </w:pPr>
            <w:r>
              <w:rPr>
                <w:color w:val="auto"/>
              </w:rPr>
              <w:t>4.punkts, 17.punkts</w:t>
            </w:r>
          </w:p>
        </w:tc>
        <w:tc>
          <w:tcPr>
            <w:tcW w:w="2340" w:type="dxa"/>
            <w:tcBorders>
              <w:top w:val="single" w:sz="6" w:space="0" w:color="414142"/>
              <w:left w:val="single" w:sz="6" w:space="0" w:color="414142"/>
              <w:bottom w:val="single" w:sz="6" w:space="0" w:color="414142"/>
              <w:right w:val="single" w:sz="6" w:space="0" w:color="414142"/>
            </w:tcBorders>
          </w:tcPr>
          <w:p w14:paraId="65345A9C" w14:textId="0DEEACF5" w:rsidR="00640012" w:rsidRPr="00F31BFB" w:rsidRDefault="00640012" w:rsidP="00640012">
            <w:pPr>
              <w:rPr>
                <w:color w:val="auto"/>
              </w:rPr>
            </w:pPr>
            <w:r>
              <w:rPr>
                <w:color w:val="auto"/>
              </w:rPr>
              <w:t>Daļēji atbilst. Pilnībā direktīvas prasības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24850264" w14:textId="160B5CC1" w:rsidR="00640012" w:rsidRPr="00F31BFB" w:rsidRDefault="00640012" w:rsidP="00640012">
            <w:pPr>
              <w:rPr>
                <w:color w:val="auto"/>
              </w:rPr>
            </w:pPr>
            <w:r>
              <w:rPr>
                <w:color w:val="auto"/>
              </w:rPr>
              <w:t xml:space="preserve"> P</w:t>
            </w:r>
            <w:r w:rsidRPr="00783E69">
              <w:rPr>
                <w:color w:val="auto"/>
              </w:rPr>
              <w:t>rojekts nesatur stingrākas prasības nekā attiecīgais ES tiesību akts.</w:t>
            </w:r>
          </w:p>
        </w:tc>
      </w:tr>
      <w:tr w:rsidR="00640012" w:rsidRPr="00F31BFB" w14:paraId="1AA50AF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86ED34E" w14:textId="77777777" w:rsidR="00640012" w:rsidRPr="00F31BFB" w:rsidRDefault="00640012" w:rsidP="00640012">
            <w:pPr>
              <w:rPr>
                <w:color w:val="auto"/>
              </w:rPr>
            </w:pPr>
            <w:r>
              <w:rPr>
                <w:color w:val="auto"/>
              </w:rPr>
              <w:t>2.panta 1.punkts</w:t>
            </w:r>
          </w:p>
        </w:tc>
        <w:tc>
          <w:tcPr>
            <w:tcW w:w="1840" w:type="dxa"/>
            <w:tcBorders>
              <w:top w:val="single" w:sz="6" w:space="0" w:color="414142"/>
              <w:left w:val="single" w:sz="6" w:space="0" w:color="414142"/>
              <w:bottom w:val="single" w:sz="6" w:space="0" w:color="414142"/>
              <w:right w:val="single" w:sz="6" w:space="0" w:color="414142"/>
            </w:tcBorders>
          </w:tcPr>
          <w:p w14:paraId="7EAD470D" w14:textId="7A2FE89B" w:rsidR="00640012" w:rsidRDefault="00640012" w:rsidP="00640012">
            <w:pPr>
              <w:rPr>
                <w:color w:val="auto"/>
              </w:rPr>
            </w:pPr>
            <w:r>
              <w:rPr>
                <w:color w:val="auto"/>
              </w:rPr>
              <w:t>4.punkts, 5.punkts,6.punkts,7.punkts,9.punkts, 10.punkts,12.punkts, 17.punkts</w:t>
            </w:r>
          </w:p>
          <w:p w14:paraId="588BB741" w14:textId="1AFB8669" w:rsidR="00640012" w:rsidRPr="00F31BFB" w:rsidRDefault="00640012" w:rsidP="00640012">
            <w:pPr>
              <w:rPr>
                <w:color w:val="auto"/>
              </w:rPr>
            </w:pPr>
            <w:r>
              <w:rPr>
                <w:color w:val="auto"/>
              </w:rPr>
              <w:t>.</w:t>
            </w:r>
          </w:p>
        </w:tc>
        <w:tc>
          <w:tcPr>
            <w:tcW w:w="2340" w:type="dxa"/>
            <w:tcBorders>
              <w:top w:val="single" w:sz="6" w:space="0" w:color="414142"/>
              <w:left w:val="single" w:sz="6" w:space="0" w:color="414142"/>
              <w:bottom w:val="single" w:sz="6" w:space="0" w:color="414142"/>
              <w:right w:val="single" w:sz="6" w:space="0" w:color="414142"/>
            </w:tcBorders>
          </w:tcPr>
          <w:p w14:paraId="03022A6F" w14:textId="6B2526AF" w:rsidR="00640012" w:rsidRPr="00F31BFB" w:rsidRDefault="00640012" w:rsidP="00640012">
            <w:pPr>
              <w:rPr>
                <w:color w:val="auto"/>
              </w:rPr>
            </w:pPr>
            <w:r>
              <w:rPr>
                <w:color w:val="auto"/>
              </w:rPr>
              <w:t>Daļēji atbilst. Pilnībā direktīvas prasības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0522946F" w14:textId="77777777" w:rsidR="00640012" w:rsidRPr="0066316C" w:rsidRDefault="00640012" w:rsidP="00640012">
            <w:pPr>
              <w:jc w:val="both"/>
              <w:rPr>
                <w:color w:val="auto"/>
              </w:rPr>
            </w:pPr>
            <w:r>
              <w:rPr>
                <w:color w:val="auto"/>
              </w:rPr>
              <w:t xml:space="preserve"> P</w:t>
            </w:r>
            <w:r w:rsidRPr="00783E69">
              <w:rPr>
                <w:color w:val="auto"/>
              </w:rPr>
              <w:t>rojekts nesatur stingrākas prasības nekā attiecīgais ES tiesību akts.</w:t>
            </w:r>
          </w:p>
        </w:tc>
      </w:tr>
      <w:tr w:rsidR="00640012" w:rsidRPr="00F31BFB" w14:paraId="78008EA5"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8A28FBF" w14:textId="3E60269D" w:rsidR="00640012"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1F715DCE" w14:textId="77777777" w:rsidR="00640012"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5B2867AC" w14:textId="09B61EEB" w:rsidR="00640012" w:rsidRPr="00783E69"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381E2865" w14:textId="77777777" w:rsidR="00640012" w:rsidRPr="00783E69" w:rsidRDefault="00640012" w:rsidP="00640012">
            <w:pPr>
              <w:jc w:val="both"/>
              <w:rPr>
                <w:color w:val="auto"/>
              </w:rPr>
            </w:pPr>
          </w:p>
        </w:tc>
      </w:tr>
      <w:tr w:rsidR="00640012" w:rsidRPr="00F31BFB" w14:paraId="24D41F8F"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86D359E" w14:textId="2ACCD498" w:rsidR="00640012"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20AEDAF9" w14:textId="77777777" w:rsidR="00640012"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6F133D7F" w14:textId="0F04A00A" w:rsidR="00640012" w:rsidRPr="00783E69"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502B366F" w14:textId="77777777" w:rsidR="00640012" w:rsidRPr="00783E69" w:rsidRDefault="00640012" w:rsidP="00640012">
            <w:pPr>
              <w:jc w:val="both"/>
              <w:rPr>
                <w:color w:val="auto"/>
              </w:rPr>
            </w:pPr>
          </w:p>
        </w:tc>
      </w:tr>
      <w:tr w:rsidR="00640012" w:rsidRPr="00F31BFB" w14:paraId="7684410A"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8CB859D" w14:textId="3F7C6AC9" w:rsidR="00640012" w:rsidRDefault="00640012" w:rsidP="00640012">
            <w:pPr>
              <w:rPr>
                <w:color w:val="auto"/>
              </w:rPr>
            </w:pPr>
          </w:p>
        </w:tc>
        <w:tc>
          <w:tcPr>
            <w:tcW w:w="1840" w:type="dxa"/>
            <w:tcBorders>
              <w:top w:val="single" w:sz="6" w:space="0" w:color="414142"/>
              <w:left w:val="single" w:sz="6" w:space="0" w:color="414142"/>
              <w:bottom w:val="single" w:sz="6" w:space="0" w:color="414142"/>
              <w:right w:val="single" w:sz="6" w:space="0" w:color="414142"/>
            </w:tcBorders>
          </w:tcPr>
          <w:p w14:paraId="32D1E1FB" w14:textId="77777777" w:rsidR="00640012" w:rsidRDefault="00640012" w:rsidP="00640012">
            <w:pPr>
              <w:rPr>
                <w:color w:val="auto"/>
              </w:rPr>
            </w:pPr>
          </w:p>
        </w:tc>
        <w:tc>
          <w:tcPr>
            <w:tcW w:w="2340" w:type="dxa"/>
            <w:tcBorders>
              <w:top w:val="single" w:sz="6" w:space="0" w:color="414142"/>
              <w:left w:val="single" w:sz="6" w:space="0" w:color="414142"/>
              <w:bottom w:val="single" w:sz="6" w:space="0" w:color="414142"/>
              <w:right w:val="single" w:sz="6" w:space="0" w:color="414142"/>
            </w:tcBorders>
          </w:tcPr>
          <w:p w14:paraId="38D71D18" w14:textId="231981FB" w:rsidR="00640012" w:rsidRDefault="00640012" w:rsidP="00640012">
            <w:pPr>
              <w:rPr>
                <w:color w:val="auto"/>
              </w:rPr>
            </w:pPr>
          </w:p>
        </w:tc>
        <w:tc>
          <w:tcPr>
            <w:tcW w:w="2373" w:type="dxa"/>
            <w:tcBorders>
              <w:top w:val="single" w:sz="6" w:space="0" w:color="414142"/>
              <w:left w:val="single" w:sz="6" w:space="0" w:color="414142"/>
              <w:bottom w:val="single" w:sz="6" w:space="0" w:color="414142"/>
              <w:right w:val="single" w:sz="6" w:space="0" w:color="414142"/>
            </w:tcBorders>
          </w:tcPr>
          <w:p w14:paraId="2F84036D" w14:textId="77777777" w:rsidR="00640012" w:rsidRPr="00783E69" w:rsidRDefault="00640012" w:rsidP="00640012">
            <w:pPr>
              <w:jc w:val="both"/>
              <w:rPr>
                <w:color w:val="auto"/>
              </w:rPr>
            </w:pPr>
          </w:p>
        </w:tc>
      </w:tr>
      <w:tr w:rsidR="00640012" w:rsidRPr="00F31BFB" w14:paraId="338139D6"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4AC011AC" w14:textId="77777777" w:rsidR="00640012" w:rsidRDefault="00640012" w:rsidP="00640012">
            <w:pPr>
              <w:rPr>
                <w:color w:val="auto"/>
              </w:rPr>
            </w:pPr>
            <w:r>
              <w:rPr>
                <w:color w:val="auto"/>
              </w:rPr>
              <w:t>Pielikums</w:t>
            </w:r>
          </w:p>
        </w:tc>
        <w:tc>
          <w:tcPr>
            <w:tcW w:w="1840" w:type="dxa"/>
            <w:tcBorders>
              <w:top w:val="single" w:sz="6" w:space="0" w:color="414142"/>
              <w:left w:val="single" w:sz="6" w:space="0" w:color="414142"/>
              <w:bottom w:val="single" w:sz="6" w:space="0" w:color="414142"/>
              <w:right w:val="single" w:sz="6" w:space="0" w:color="414142"/>
            </w:tcBorders>
          </w:tcPr>
          <w:p w14:paraId="4572C2D5" w14:textId="77777777" w:rsidR="00640012" w:rsidRDefault="00640012" w:rsidP="00640012">
            <w:pPr>
              <w:rPr>
                <w:color w:val="auto"/>
              </w:rPr>
            </w:pPr>
            <w:r>
              <w:rPr>
                <w:color w:val="auto"/>
              </w:rPr>
              <w:t>17.punkts</w:t>
            </w:r>
          </w:p>
        </w:tc>
        <w:tc>
          <w:tcPr>
            <w:tcW w:w="2340" w:type="dxa"/>
            <w:tcBorders>
              <w:top w:val="single" w:sz="6" w:space="0" w:color="414142"/>
              <w:left w:val="single" w:sz="6" w:space="0" w:color="414142"/>
              <w:bottom w:val="single" w:sz="6" w:space="0" w:color="414142"/>
              <w:right w:val="single" w:sz="6" w:space="0" w:color="414142"/>
            </w:tcBorders>
          </w:tcPr>
          <w:p w14:paraId="5EA94CEE" w14:textId="365627E9" w:rsidR="00640012" w:rsidRPr="00783E69" w:rsidRDefault="00640012" w:rsidP="00640012">
            <w:pPr>
              <w:rPr>
                <w:color w:val="auto"/>
              </w:rPr>
            </w:pPr>
            <w:r>
              <w:rPr>
                <w:color w:val="auto"/>
              </w:rPr>
              <w:t>A</w:t>
            </w:r>
            <w:r w:rsidRPr="00993F6E">
              <w:rPr>
                <w:color w:val="auto"/>
              </w:rPr>
              <w:t>tbilst. Pilnībā direktīvas prasība</w:t>
            </w:r>
            <w:r>
              <w:rPr>
                <w:color w:val="auto"/>
              </w:rPr>
              <w:t>s tiks pārņemtas ar likumu.</w:t>
            </w:r>
          </w:p>
        </w:tc>
        <w:tc>
          <w:tcPr>
            <w:tcW w:w="2373" w:type="dxa"/>
            <w:tcBorders>
              <w:top w:val="single" w:sz="6" w:space="0" w:color="414142"/>
              <w:left w:val="single" w:sz="6" w:space="0" w:color="414142"/>
              <w:bottom w:val="single" w:sz="6" w:space="0" w:color="414142"/>
              <w:right w:val="single" w:sz="6" w:space="0" w:color="414142"/>
            </w:tcBorders>
          </w:tcPr>
          <w:p w14:paraId="1FF9215A" w14:textId="77777777" w:rsidR="00640012" w:rsidRPr="00783E69" w:rsidRDefault="00640012" w:rsidP="00640012">
            <w:pPr>
              <w:jc w:val="both"/>
              <w:rPr>
                <w:color w:val="auto"/>
              </w:rPr>
            </w:pPr>
            <w:r>
              <w:rPr>
                <w:color w:val="auto"/>
              </w:rPr>
              <w:t>P</w:t>
            </w:r>
            <w:r w:rsidRPr="00993F6E">
              <w:rPr>
                <w:color w:val="auto"/>
              </w:rPr>
              <w:t>rojekts nesatur stingrākas prasības nekā attiecīgais ES tiesību akts.</w:t>
            </w:r>
          </w:p>
        </w:tc>
      </w:tr>
      <w:tr w:rsidR="00640012" w:rsidRPr="00F31BFB" w14:paraId="3BA26FE1"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7F948CCC" w14:textId="77777777" w:rsidR="00640012" w:rsidRPr="00F31BFB" w:rsidRDefault="00640012" w:rsidP="00640012">
            <w:pPr>
              <w:rPr>
                <w:color w:val="auto"/>
              </w:rPr>
            </w:pPr>
            <w:r w:rsidRPr="00F31BFB">
              <w:rPr>
                <w:color w:val="auto"/>
              </w:rPr>
              <w:t>Kā ir izmantota ES tiesību aktā paredzētā rīcības brīvība dalībvalstij pārņemt vai ieviest noteiktas ES tiesību akta normas?</w:t>
            </w:r>
            <w:r w:rsidRPr="00F31BFB">
              <w:rPr>
                <w:color w:val="auto"/>
              </w:rP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14:paraId="00EA67F2" w14:textId="77777777" w:rsidR="00640012" w:rsidRPr="00F31BFB" w:rsidRDefault="00640012" w:rsidP="00640012">
            <w:pPr>
              <w:jc w:val="both"/>
              <w:rPr>
                <w:color w:val="auto"/>
              </w:rPr>
            </w:pPr>
            <w:r w:rsidRPr="00F31BFB">
              <w:rPr>
                <w:color w:val="auto"/>
              </w:rPr>
              <w:t xml:space="preserve"> </w:t>
            </w:r>
            <w:r>
              <w:rPr>
                <w:color w:val="auto"/>
              </w:rPr>
              <w:t>P</w:t>
            </w:r>
            <w:r w:rsidRPr="00F31BFB">
              <w:rPr>
                <w:color w:val="auto"/>
              </w:rPr>
              <w:t>rojekts šo jomu neskar.</w:t>
            </w:r>
          </w:p>
        </w:tc>
      </w:tr>
      <w:tr w:rsidR="00640012" w:rsidRPr="00F31BFB" w14:paraId="79037843"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61AAD0B9" w14:textId="77777777" w:rsidR="00640012" w:rsidRPr="00F31BFB" w:rsidRDefault="00640012" w:rsidP="00640012">
            <w:pPr>
              <w:rPr>
                <w:color w:val="auto"/>
              </w:rPr>
            </w:pPr>
            <w:r w:rsidRPr="00F31BFB">
              <w:rPr>
                <w:color w:val="auto"/>
              </w:rPr>
              <w:t xml:space="preserve">Saistības sniegt paziņojumu ES institūcijām un ES dalībvalstīm atbilstoši normatīvajiem aktiem, kas regulē informācijas sniegšanu par </w:t>
            </w:r>
            <w:r w:rsidRPr="00F31BFB">
              <w:rPr>
                <w:color w:val="auto"/>
              </w:rPr>
              <w:lastRenderedPageBreak/>
              <w:t>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14:paraId="7116212C" w14:textId="77777777" w:rsidR="00640012" w:rsidRPr="00F31BFB" w:rsidRDefault="00640012" w:rsidP="00640012">
            <w:pPr>
              <w:rPr>
                <w:color w:val="auto"/>
              </w:rPr>
            </w:pPr>
            <w:r>
              <w:rPr>
                <w:color w:val="auto"/>
              </w:rPr>
              <w:lastRenderedPageBreak/>
              <w:t>P</w:t>
            </w:r>
            <w:r w:rsidRPr="00F31BFB">
              <w:rPr>
                <w:color w:val="auto"/>
              </w:rPr>
              <w:t>rojekts šo jomu neskar.</w:t>
            </w:r>
          </w:p>
        </w:tc>
      </w:tr>
      <w:tr w:rsidR="00640012" w:rsidRPr="00F31BFB" w14:paraId="2B950108" w14:textId="77777777">
        <w:trPr>
          <w:jc w:val="center"/>
        </w:trPr>
        <w:tc>
          <w:tcPr>
            <w:tcW w:w="2037" w:type="dxa"/>
            <w:tcBorders>
              <w:top w:val="single" w:sz="6" w:space="0" w:color="414142"/>
              <w:left w:val="single" w:sz="6" w:space="0" w:color="414142"/>
              <w:bottom w:val="single" w:sz="6" w:space="0" w:color="414142"/>
              <w:right w:val="single" w:sz="6" w:space="0" w:color="414142"/>
            </w:tcBorders>
          </w:tcPr>
          <w:p w14:paraId="1529961B" w14:textId="77777777" w:rsidR="00640012" w:rsidRPr="00F31BFB" w:rsidRDefault="00640012" w:rsidP="00640012">
            <w:pPr>
              <w:rPr>
                <w:color w:val="auto"/>
              </w:rPr>
            </w:pPr>
            <w:r w:rsidRPr="00F31BFB">
              <w:rPr>
                <w:color w:val="auto"/>
              </w:rP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14:paraId="777055B5" w14:textId="77777777" w:rsidR="00640012" w:rsidRPr="00F31BFB" w:rsidRDefault="00640012" w:rsidP="00640012">
            <w:pPr>
              <w:spacing w:after="120"/>
              <w:jc w:val="both"/>
              <w:rPr>
                <w:color w:val="auto"/>
              </w:rPr>
            </w:pPr>
            <w:r w:rsidRPr="0066316C">
              <w:rPr>
                <w:color w:val="auto"/>
              </w:rPr>
              <w:t>Eiropas Komisijas 2019. gada 16. janvāra Komisijas Īstenošanas Direktīva (ES) 2019/69 ar ko nosaka trauksmes un signālieroču tehniskās specifikācijas saskaņā ar padomes Direktīvu 91/477 EEK par ieroču iegādes un glabāšanas kontroli</w:t>
            </w:r>
            <w:r>
              <w:rPr>
                <w:color w:val="auto"/>
              </w:rPr>
              <w:t xml:space="preserve"> </w:t>
            </w:r>
            <w:r w:rsidRPr="00F31BFB">
              <w:rPr>
                <w:color w:val="auto"/>
              </w:rPr>
              <w:t xml:space="preserve">pārejas direktīvas normas tiks pārņemtas ar </w:t>
            </w:r>
            <w:r>
              <w:rPr>
                <w:color w:val="auto"/>
              </w:rPr>
              <w:t>likumprojektu “Grozījumi Ieroču aprites likumā”.</w:t>
            </w:r>
          </w:p>
        </w:tc>
      </w:tr>
    </w:tbl>
    <w:p w14:paraId="0E55688D" w14:textId="77777777" w:rsidR="00856A3C" w:rsidRPr="00F31BFB" w:rsidRDefault="00856A3C">
      <w:pPr>
        <w:rPr>
          <w:color w:val="auto"/>
        </w:rPr>
      </w:pPr>
    </w:p>
    <w:p w14:paraId="7D989820" w14:textId="77777777" w:rsidR="000C7EFF" w:rsidRPr="00F31BFB" w:rsidRDefault="00E203EE">
      <w:pPr>
        <w:shd w:val="clear" w:color="auto" w:fill="FFFFFF"/>
        <w:ind w:firstLine="300"/>
        <w:rPr>
          <w:color w:val="auto"/>
        </w:rPr>
      </w:pPr>
      <w:r w:rsidRPr="00F31BFB">
        <w:rPr>
          <w:rFonts w:eastAsia="Arial"/>
          <w:color w:val="auto"/>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DF1B2F" w:rsidRPr="00F31BFB" w14:paraId="401D8129" w14:textId="7777777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14:paraId="6210F896" w14:textId="77777777" w:rsidR="000C7EFF" w:rsidRPr="00F31BFB" w:rsidRDefault="00E203EE">
            <w:pPr>
              <w:jc w:val="center"/>
              <w:rPr>
                <w:b/>
                <w:color w:val="auto"/>
              </w:rPr>
            </w:pPr>
            <w:r w:rsidRPr="00F31BFB">
              <w:rPr>
                <w:b/>
                <w:color w:val="auto"/>
              </w:rPr>
              <w:t>VI. Sabiedrības līdzdalība un komunikācijas aktivitātes</w:t>
            </w:r>
          </w:p>
        </w:tc>
      </w:tr>
      <w:tr w:rsidR="00DF1B2F" w:rsidRPr="00F31BFB" w14:paraId="2EB9D3AD" w14:textId="7777777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14:paraId="46F0E699" w14:textId="77777777" w:rsidR="000C7EFF" w:rsidRPr="00F31BFB" w:rsidRDefault="00E203EE">
            <w:pPr>
              <w:rPr>
                <w:color w:val="auto"/>
              </w:rPr>
            </w:pPr>
            <w:r w:rsidRPr="00F31BFB">
              <w:rPr>
                <w:color w:val="auto"/>
              </w:rPr>
              <w:t>1.</w:t>
            </w:r>
          </w:p>
        </w:tc>
        <w:tc>
          <w:tcPr>
            <w:tcW w:w="2511" w:type="dxa"/>
            <w:tcBorders>
              <w:top w:val="single" w:sz="6" w:space="0" w:color="414142"/>
              <w:left w:val="single" w:sz="6" w:space="0" w:color="414142"/>
              <w:bottom w:val="single" w:sz="6" w:space="0" w:color="414142"/>
              <w:right w:val="single" w:sz="6" w:space="0" w:color="414142"/>
            </w:tcBorders>
          </w:tcPr>
          <w:p w14:paraId="22CB5A38" w14:textId="77777777" w:rsidR="000C7EFF" w:rsidRPr="00F31BFB" w:rsidRDefault="00E203EE">
            <w:pPr>
              <w:rPr>
                <w:color w:val="auto"/>
              </w:rPr>
            </w:pPr>
            <w:r w:rsidRPr="00F31BFB">
              <w:rPr>
                <w:color w:val="auto"/>
              </w:rP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14:paraId="6E50D9A0" w14:textId="77777777" w:rsidR="000C7EFF" w:rsidRPr="00F31BFB" w:rsidRDefault="007D7232">
            <w:pPr>
              <w:spacing w:after="120"/>
              <w:jc w:val="both"/>
              <w:rPr>
                <w:color w:val="auto"/>
              </w:rPr>
            </w:pPr>
            <w:r w:rsidRPr="00F31BFB">
              <w:rPr>
                <w:color w:val="auto"/>
              </w:rPr>
              <w:t>Sabiedrības līdzdalība tika nodrošināta saskaņā ar Ministru kabineta 2009.</w:t>
            </w:r>
            <w:r w:rsidR="000069E7" w:rsidRPr="00F31BFB">
              <w:rPr>
                <w:color w:val="auto"/>
              </w:rPr>
              <w:t> </w:t>
            </w:r>
            <w:r w:rsidRPr="00F31BFB">
              <w:rPr>
                <w:color w:val="auto"/>
              </w:rPr>
              <w:t>gada 25.</w:t>
            </w:r>
            <w:r w:rsidR="000069E7" w:rsidRPr="00F31BFB">
              <w:rPr>
                <w:color w:val="auto"/>
              </w:rPr>
              <w:t> </w:t>
            </w:r>
            <w:r w:rsidRPr="00F31BFB">
              <w:rPr>
                <w:color w:val="auto"/>
              </w:rPr>
              <w:t>augusta noteikumiem Nr.</w:t>
            </w:r>
            <w:r w:rsidR="000069E7" w:rsidRPr="00F31BFB">
              <w:rPr>
                <w:color w:val="auto"/>
              </w:rPr>
              <w:t xml:space="preserve"> </w:t>
            </w:r>
            <w:r w:rsidRPr="00F31BFB">
              <w:rPr>
                <w:color w:val="auto"/>
              </w:rPr>
              <w:t>970 “Sabiedrības līdzdalības kārtība attīstības plānošanas procesā”, sagatavojot un publicējot paziņojumu par līdzdalības procesu.</w:t>
            </w:r>
          </w:p>
        </w:tc>
      </w:tr>
      <w:tr w:rsidR="00DF1B2F" w:rsidRPr="00F31BFB" w14:paraId="00AE79E2" w14:textId="7777777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14:paraId="29FA53C3" w14:textId="77777777" w:rsidR="000C7EFF" w:rsidRPr="00F31BFB" w:rsidRDefault="00E203EE">
            <w:pPr>
              <w:rPr>
                <w:color w:val="auto"/>
              </w:rPr>
            </w:pPr>
            <w:r w:rsidRPr="00F31BFB">
              <w:rPr>
                <w:color w:val="auto"/>
              </w:rPr>
              <w:t>2.</w:t>
            </w:r>
          </w:p>
        </w:tc>
        <w:tc>
          <w:tcPr>
            <w:tcW w:w="2511" w:type="dxa"/>
            <w:tcBorders>
              <w:top w:val="single" w:sz="6" w:space="0" w:color="414142"/>
              <w:left w:val="single" w:sz="6" w:space="0" w:color="414142"/>
              <w:bottom w:val="single" w:sz="6" w:space="0" w:color="414142"/>
              <w:right w:val="single" w:sz="6" w:space="0" w:color="414142"/>
            </w:tcBorders>
          </w:tcPr>
          <w:p w14:paraId="036C375C" w14:textId="77777777" w:rsidR="000C7EFF" w:rsidRPr="00F31BFB" w:rsidRDefault="00E203EE">
            <w:pPr>
              <w:rPr>
                <w:color w:val="auto"/>
              </w:rPr>
            </w:pPr>
            <w:r w:rsidRPr="00F31BFB">
              <w:rPr>
                <w:color w:val="auto"/>
              </w:rP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14:paraId="60FAB374" w14:textId="1C61B62F" w:rsidR="00DD7DEB" w:rsidRPr="007C4944" w:rsidRDefault="00DD7DEB" w:rsidP="00DD7DEB">
            <w:pPr>
              <w:spacing w:after="120"/>
              <w:jc w:val="both"/>
              <w:rPr>
                <w:color w:val="auto"/>
              </w:rPr>
            </w:pPr>
            <w:r w:rsidRPr="007C4944">
              <w:rPr>
                <w:color w:val="auto"/>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projektu tā izstrādes stadijā, projekts 2019.gada 04.jūnijā ievietots Iekšlietu ministrijas mājas lapā sadaļā „Sabiedrības līdzdalība” apakšsadaļā ,,Diskusiju dokumenti”, tīmekļvietnes adrese: </w:t>
            </w:r>
          </w:p>
          <w:p w14:paraId="3A12C72D" w14:textId="773CE7AE" w:rsidR="00DD7DEB" w:rsidRPr="007C4944" w:rsidRDefault="00DD7DEB" w:rsidP="00DD7DEB">
            <w:pPr>
              <w:spacing w:after="120"/>
              <w:jc w:val="both"/>
              <w:rPr>
                <w:color w:val="auto"/>
              </w:rPr>
            </w:pPr>
            <w:hyperlink r:id="rId8" w:history="1">
              <w:r w:rsidRPr="007C4944">
                <w:rPr>
                  <w:rStyle w:val="Hyperlink"/>
                  <w:color w:val="auto"/>
                </w:rPr>
                <w:t>http://www.iem.gov.lv/lat/sadarbiba_ar_nvo/diskusiju_dokumenti/?doc=41919</w:t>
              </w:r>
            </w:hyperlink>
            <w:r w:rsidRPr="007C4944">
              <w:rPr>
                <w:color w:val="auto"/>
              </w:rPr>
              <w:t>, kur atrodas līdz šim brīdim.</w:t>
            </w:r>
          </w:p>
          <w:p w14:paraId="7D6FD386" w14:textId="2BA0A534" w:rsidR="00DD7DEB" w:rsidRPr="007C4944" w:rsidRDefault="00DD7DEB" w:rsidP="00DD7DEB">
            <w:pPr>
              <w:spacing w:after="120"/>
              <w:jc w:val="both"/>
              <w:rPr>
                <w:color w:val="auto"/>
              </w:rPr>
            </w:pPr>
            <w:r w:rsidRPr="007C4944">
              <w:rPr>
                <w:color w:val="auto"/>
              </w:rPr>
              <w:t xml:space="preserve">Sabiedrība aicināta rakstveida izteikt savu viedokli par projektu līdz 2019. gada 27. jūnijam. </w:t>
            </w:r>
          </w:p>
          <w:p w14:paraId="4612B523" w14:textId="0099DF06" w:rsidR="00DD7DEB" w:rsidRPr="007C4944" w:rsidRDefault="00DD7DEB" w:rsidP="00DD7DEB">
            <w:pPr>
              <w:spacing w:after="120"/>
              <w:jc w:val="both"/>
              <w:rPr>
                <w:color w:val="auto"/>
              </w:rPr>
            </w:pPr>
            <w:r w:rsidRPr="007C4944">
              <w:rPr>
                <w:color w:val="auto"/>
              </w:rPr>
              <w:t>Iekšlietu ministrija, izpildot Mini</w:t>
            </w:r>
            <w:bookmarkStart w:id="1" w:name="_GoBack"/>
            <w:bookmarkEnd w:id="1"/>
            <w:r w:rsidRPr="007C4944">
              <w:rPr>
                <w:color w:val="auto"/>
              </w:rPr>
              <w:t>stru kabineta 2009.gada 25.augusta noteikumu Nr.970 ,,Sabiedrības līdzdalības kārtība attīstības plānošanas procesā" 14.punktu, projektu  2019.gada 04.jūnijā nosūtīja Valsts kancelejai.</w:t>
            </w:r>
          </w:p>
          <w:p w14:paraId="69947DE4" w14:textId="56BBEA7D" w:rsidR="00DD7DEB" w:rsidRPr="00F31BFB" w:rsidRDefault="00DD7DEB" w:rsidP="00DD7DEB">
            <w:pPr>
              <w:spacing w:after="120"/>
              <w:jc w:val="both"/>
              <w:rPr>
                <w:color w:val="auto"/>
              </w:rPr>
            </w:pPr>
            <w:r w:rsidRPr="007C4944">
              <w:rPr>
                <w:color w:val="auto"/>
              </w:rPr>
              <w:t>https://www.mk.gov.lv/content/ministru-kabineta-diskusiju-dokumenti</w:t>
            </w:r>
          </w:p>
        </w:tc>
      </w:tr>
      <w:tr w:rsidR="00DF1B2F" w:rsidRPr="00F31BFB" w14:paraId="29DC91AA"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408695B7" w14:textId="77777777" w:rsidR="000C7EFF" w:rsidRPr="00F31BFB" w:rsidRDefault="00E203EE">
            <w:pPr>
              <w:rPr>
                <w:color w:val="auto"/>
              </w:rPr>
            </w:pPr>
            <w:r w:rsidRPr="00F31BFB">
              <w:rPr>
                <w:color w:val="auto"/>
              </w:rPr>
              <w:t>3.</w:t>
            </w:r>
          </w:p>
        </w:tc>
        <w:tc>
          <w:tcPr>
            <w:tcW w:w="2511" w:type="dxa"/>
            <w:tcBorders>
              <w:top w:val="single" w:sz="6" w:space="0" w:color="414142"/>
              <w:left w:val="single" w:sz="6" w:space="0" w:color="414142"/>
              <w:bottom w:val="single" w:sz="6" w:space="0" w:color="414142"/>
              <w:right w:val="single" w:sz="6" w:space="0" w:color="414142"/>
            </w:tcBorders>
          </w:tcPr>
          <w:p w14:paraId="062A5352" w14:textId="77777777" w:rsidR="000C7EFF" w:rsidRPr="00F31BFB" w:rsidRDefault="00E203EE">
            <w:pPr>
              <w:rPr>
                <w:color w:val="auto"/>
              </w:rPr>
            </w:pPr>
            <w:r w:rsidRPr="00F31BFB">
              <w:rPr>
                <w:color w:val="auto"/>
              </w:rP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14:paraId="20CB1475" w14:textId="1F8CEC1D" w:rsidR="000C7EFF" w:rsidRPr="00F31BFB" w:rsidRDefault="000F039A">
            <w:pPr>
              <w:spacing w:after="120"/>
              <w:rPr>
                <w:color w:val="auto"/>
              </w:rPr>
            </w:pPr>
            <w:r w:rsidRPr="000F039A">
              <w:rPr>
                <w:color w:val="auto"/>
              </w:rPr>
              <w:t xml:space="preserve">Projekta izstrādes laikā priekšlikumi </w:t>
            </w:r>
            <w:r w:rsidR="00DD7DEB">
              <w:rPr>
                <w:color w:val="auto"/>
              </w:rPr>
              <w:t xml:space="preserve">no sabiedrības </w:t>
            </w:r>
            <w:r w:rsidRPr="000F039A">
              <w:rPr>
                <w:color w:val="auto"/>
              </w:rPr>
              <w:t>netika saņemti.</w:t>
            </w:r>
          </w:p>
        </w:tc>
      </w:tr>
      <w:tr w:rsidR="00DF1B2F" w:rsidRPr="00F31BFB" w14:paraId="25FD52B3" w14:textId="7777777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14:paraId="0DCCF357" w14:textId="77777777" w:rsidR="000C7EFF" w:rsidRPr="00F31BFB" w:rsidRDefault="00E203EE">
            <w:pPr>
              <w:rPr>
                <w:color w:val="auto"/>
              </w:rPr>
            </w:pPr>
            <w:r w:rsidRPr="00F31BFB">
              <w:rPr>
                <w:color w:val="auto"/>
              </w:rPr>
              <w:t>4.</w:t>
            </w:r>
          </w:p>
        </w:tc>
        <w:tc>
          <w:tcPr>
            <w:tcW w:w="2511" w:type="dxa"/>
            <w:tcBorders>
              <w:top w:val="single" w:sz="6" w:space="0" w:color="414142"/>
              <w:left w:val="single" w:sz="6" w:space="0" w:color="414142"/>
              <w:bottom w:val="single" w:sz="6" w:space="0" w:color="414142"/>
              <w:right w:val="single" w:sz="6" w:space="0" w:color="414142"/>
            </w:tcBorders>
          </w:tcPr>
          <w:p w14:paraId="0A9FF626" w14:textId="77777777" w:rsidR="000C7EFF" w:rsidRPr="00F31BFB" w:rsidRDefault="00E203EE">
            <w:pPr>
              <w:rPr>
                <w:color w:val="auto"/>
              </w:rPr>
            </w:pPr>
            <w:r w:rsidRPr="00F31BFB">
              <w:rPr>
                <w:color w:val="auto"/>
              </w:rPr>
              <w:t>Cita informācija</w:t>
            </w:r>
          </w:p>
        </w:tc>
        <w:tc>
          <w:tcPr>
            <w:tcW w:w="5490" w:type="dxa"/>
            <w:tcBorders>
              <w:top w:val="single" w:sz="6" w:space="0" w:color="414142"/>
              <w:left w:val="single" w:sz="6" w:space="0" w:color="414142"/>
              <w:bottom w:val="single" w:sz="6" w:space="0" w:color="414142"/>
              <w:right w:val="single" w:sz="6" w:space="0" w:color="414142"/>
            </w:tcBorders>
          </w:tcPr>
          <w:p w14:paraId="35B2C35B" w14:textId="77777777" w:rsidR="000C7EFF" w:rsidRPr="00F31BFB" w:rsidRDefault="00E203EE">
            <w:pPr>
              <w:spacing w:after="120"/>
              <w:rPr>
                <w:color w:val="auto"/>
              </w:rPr>
            </w:pPr>
            <w:r w:rsidRPr="00F31BFB">
              <w:rPr>
                <w:color w:val="auto"/>
              </w:rPr>
              <w:t>Nav</w:t>
            </w:r>
          </w:p>
        </w:tc>
      </w:tr>
    </w:tbl>
    <w:p w14:paraId="025A724D" w14:textId="77777777" w:rsidR="000C7EFF" w:rsidRPr="00F31BFB" w:rsidRDefault="00E203EE">
      <w:pPr>
        <w:shd w:val="clear" w:color="auto" w:fill="FFFFFF"/>
        <w:ind w:firstLine="300"/>
        <w:rPr>
          <w:color w:val="auto"/>
        </w:rPr>
      </w:pPr>
      <w:r w:rsidRPr="00F31BFB">
        <w:rPr>
          <w:rFonts w:eastAsia="Arial"/>
          <w:color w:val="auto"/>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DF1B2F" w:rsidRPr="00F31BFB" w14:paraId="37788BDA" w14:textId="7777777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14:paraId="62DF9C35" w14:textId="77777777" w:rsidR="000C7EFF" w:rsidRPr="00F31BFB" w:rsidRDefault="00E203EE">
            <w:pPr>
              <w:jc w:val="center"/>
              <w:rPr>
                <w:b/>
                <w:color w:val="auto"/>
              </w:rPr>
            </w:pPr>
            <w:r w:rsidRPr="00F31BFB">
              <w:rPr>
                <w:b/>
                <w:color w:val="auto"/>
              </w:rPr>
              <w:lastRenderedPageBreak/>
              <w:t>VII. Tiesību akta projekta izpildes nodrošināšana un tās ietekme uz institūcijām</w:t>
            </w:r>
          </w:p>
        </w:tc>
      </w:tr>
      <w:tr w:rsidR="00DF1B2F" w:rsidRPr="00F31BFB" w14:paraId="312568C1" w14:textId="7777777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14:paraId="2699F892" w14:textId="77777777" w:rsidR="000C7EFF" w:rsidRPr="00F31BFB" w:rsidRDefault="00E203EE">
            <w:pPr>
              <w:rPr>
                <w:color w:val="auto"/>
              </w:rPr>
            </w:pPr>
            <w:r w:rsidRPr="00F31BFB">
              <w:rPr>
                <w:color w:val="auto"/>
              </w:rPr>
              <w:t>1.</w:t>
            </w:r>
          </w:p>
        </w:tc>
        <w:tc>
          <w:tcPr>
            <w:tcW w:w="3180" w:type="dxa"/>
            <w:tcBorders>
              <w:top w:val="single" w:sz="6" w:space="0" w:color="414142"/>
              <w:left w:val="single" w:sz="6" w:space="0" w:color="414142"/>
              <w:bottom w:val="single" w:sz="6" w:space="0" w:color="414142"/>
              <w:right w:val="single" w:sz="6" w:space="0" w:color="414142"/>
            </w:tcBorders>
          </w:tcPr>
          <w:p w14:paraId="7BE1D2BA" w14:textId="77777777" w:rsidR="000C7EFF" w:rsidRPr="00F31BFB" w:rsidRDefault="00E203EE">
            <w:pPr>
              <w:rPr>
                <w:color w:val="auto"/>
              </w:rPr>
            </w:pPr>
            <w:r w:rsidRPr="00F31BFB">
              <w:rPr>
                <w:color w:val="auto"/>
              </w:rP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14:paraId="215E13AC" w14:textId="77777777" w:rsidR="000C7EFF" w:rsidRPr="00F31BFB" w:rsidRDefault="005E5E1D" w:rsidP="005E5E1D">
            <w:pPr>
              <w:spacing w:after="120"/>
              <w:jc w:val="both"/>
              <w:rPr>
                <w:color w:val="auto"/>
              </w:rPr>
            </w:pPr>
            <w:r>
              <w:rPr>
                <w:color w:val="auto"/>
              </w:rPr>
              <w:t>Valsts policija</w:t>
            </w:r>
          </w:p>
        </w:tc>
      </w:tr>
      <w:tr w:rsidR="00DF1B2F" w:rsidRPr="00F31BFB" w14:paraId="1A5FE730" w14:textId="7777777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14:paraId="03308198" w14:textId="77777777" w:rsidR="000C7EFF" w:rsidRPr="00F31BFB" w:rsidRDefault="00E203EE">
            <w:pPr>
              <w:rPr>
                <w:color w:val="auto"/>
              </w:rPr>
            </w:pPr>
            <w:r w:rsidRPr="00F31BFB">
              <w:rPr>
                <w:color w:val="auto"/>
              </w:rPr>
              <w:t>2.</w:t>
            </w:r>
          </w:p>
        </w:tc>
        <w:tc>
          <w:tcPr>
            <w:tcW w:w="3180" w:type="dxa"/>
            <w:tcBorders>
              <w:top w:val="single" w:sz="6" w:space="0" w:color="414142"/>
              <w:left w:val="single" w:sz="6" w:space="0" w:color="414142"/>
              <w:bottom w:val="single" w:sz="6" w:space="0" w:color="414142"/>
              <w:right w:val="single" w:sz="6" w:space="0" w:color="414142"/>
            </w:tcBorders>
          </w:tcPr>
          <w:p w14:paraId="76E850A6" w14:textId="77777777" w:rsidR="000C7EFF" w:rsidRPr="00F31BFB" w:rsidRDefault="00E203EE">
            <w:pPr>
              <w:rPr>
                <w:color w:val="auto"/>
              </w:rPr>
            </w:pPr>
            <w:r w:rsidRPr="00F31BFB">
              <w:rPr>
                <w:color w:val="auto"/>
              </w:rPr>
              <w:t>Projekta izpildes ietekme uz pārvaldes funkcijām un institucionālo struktūru.</w:t>
            </w:r>
          </w:p>
          <w:p w14:paraId="496AE57F" w14:textId="77777777" w:rsidR="000C7EFF" w:rsidRPr="00F31BFB" w:rsidRDefault="00E203EE">
            <w:pPr>
              <w:rPr>
                <w:color w:val="auto"/>
              </w:rPr>
            </w:pPr>
            <w:r w:rsidRPr="00F31BFB">
              <w:rPr>
                <w:color w:val="auto"/>
              </w:rP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14:paraId="24F306FD" w14:textId="77777777" w:rsidR="000C7EFF" w:rsidRPr="00F31BFB" w:rsidRDefault="00E203EE">
            <w:pPr>
              <w:spacing w:after="120"/>
              <w:jc w:val="both"/>
              <w:rPr>
                <w:color w:val="auto"/>
              </w:rPr>
            </w:pPr>
            <w:r w:rsidRPr="00F31BFB">
              <w:rPr>
                <w:color w:val="auto"/>
              </w:rPr>
              <w:t>Projekta izpildes rezultātā nav paredzēta esošu institūciju likvidācija vai reorganizācija. Iestāžu institucionālā struktūra netiek ietekmēta, papildus cilvēkresursi nav nepieciešami.</w:t>
            </w:r>
          </w:p>
        </w:tc>
      </w:tr>
      <w:tr w:rsidR="000C7EFF" w:rsidRPr="00F31BFB" w14:paraId="34564D6C" w14:textId="7777777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14:paraId="6C34D6A8" w14:textId="77777777" w:rsidR="000C7EFF" w:rsidRPr="00F31BFB" w:rsidRDefault="00E203EE">
            <w:pPr>
              <w:rPr>
                <w:color w:val="auto"/>
              </w:rPr>
            </w:pPr>
            <w:r w:rsidRPr="00F31BFB">
              <w:rPr>
                <w:color w:val="auto"/>
              </w:rPr>
              <w:t>3.</w:t>
            </w:r>
          </w:p>
        </w:tc>
        <w:tc>
          <w:tcPr>
            <w:tcW w:w="3180" w:type="dxa"/>
            <w:tcBorders>
              <w:top w:val="single" w:sz="6" w:space="0" w:color="414142"/>
              <w:left w:val="single" w:sz="6" w:space="0" w:color="414142"/>
              <w:bottom w:val="single" w:sz="6" w:space="0" w:color="414142"/>
              <w:right w:val="single" w:sz="6" w:space="0" w:color="414142"/>
            </w:tcBorders>
          </w:tcPr>
          <w:p w14:paraId="421BCA0A" w14:textId="77777777" w:rsidR="000C7EFF" w:rsidRPr="00F31BFB" w:rsidRDefault="00E203EE">
            <w:pPr>
              <w:rPr>
                <w:color w:val="auto"/>
              </w:rPr>
            </w:pPr>
            <w:r w:rsidRPr="00F31BFB">
              <w:rPr>
                <w:color w:val="auto"/>
              </w:rPr>
              <w:t>Cita informācija</w:t>
            </w:r>
          </w:p>
        </w:tc>
        <w:tc>
          <w:tcPr>
            <w:tcW w:w="4872" w:type="dxa"/>
            <w:tcBorders>
              <w:top w:val="single" w:sz="6" w:space="0" w:color="414142"/>
              <w:left w:val="single" w:sz="6" w:space="0" w:color="414142"/>
              <w:bottom w:val="single" w:sz="6" w:space="0" w:color="414142"/>
              <w:right w:val="single" w:sz="6" w:space="0" w:color="414142"/>
            </w:tcBorders>
          </w:tcPr>
          <w:p w14:paraId="3F22C7C3" w14:textId="77777777" w:rsidR="000C7EFF" w:rsidRPr="00F31BFB" w:rsidRDefault="00E203EE">
            <w:pPr>
              <w:spacing w:after="120"/>
              <w:rPr>
                <w:color w:val="auto"/>
              </w:rPr>
            </w:pPr>
            <w:r w:rsidRPr="00F31BFB">
              <w:rPr>
                <w:color w:val="auto"/>
              </w:rPr>
              <w:t>Nav</w:t>
            </w:r>
          </w:p>
        </w:tc>
      </w:tr>
    </w:tbl>
    <w:p w14:paraId="6DE4E9F2" w14:textId="77777777" w:rsidR="00200061" w:rsidRPr="00F31BFB" w:rsidRDefault="00200061">
      <w:pPr>
        <w:tabs>
          <w:tab w:val="left" w:pos="6237"/>
        </w:tabs>
        <w:spacing w:after="120"/>
        <w:rPr>
          <w:color w:val="auto"/>
        </w:rPr>
      </w:pPr>
    </w:p>
    <w:p w14:paraId="01EFCE39" w14:textId="77777777" w:rsidR="000C7EFF" w:rsidRPr="00F31BFB" w:rsidRDefault="008E359E" w:rsidP="001A479C">
      <w:pPr>
        <w:tabs>
          <w:tab w:val="left" w:pos="6237"/>
        </w:tabs>
        <w:spacing w:after="120"/>
        <w:rPr>
          <w:color w:val="auto"/>
        </w:rPr>
      </w:pPr>
      <w:r w:rsidRPr="00F31BFB">
        <w:rPr>
          <w:color w:val="auto"/>
        </w:rPr>
        <w:t>Iekšlietu ministrs</w:t>
      </w:r>
      <w:r w:rsidRPr="00F31BFB">
        <w:rPr>
          <w:color w:val="auto"/>
        </w:rPr>
        <w:tab/>
        <w:t>Sandis Ģirģens</w:t>
      </w:r>
    </w:p>
    <w:p w14:paraId="67C703FF" w14:textId="77777777" w:rsidR="001A479C" w:rsidRPr="00F31BFB" w:rsidRDefault="001A479C">
      <w:pPr>
        <w:spacing w:after="120"/>
        <w:rPr>
          <w:color w:val="auto"/>
        </w:rPr>
      </w:pPr>
    </w:p>
    <w:p w14:paraId="58F13CAE" w14:textId="77777777" w:rsidR="000C7EFF" w:rsidRPr="00F31BFB" w:rsidRDefault="00E203EE">
      <w:pPr>
        <w:spacing w:after="120"/>
        <w:rPr>
          <w:color w:val="auto"/>
        </w:rPr>
      </w:pPr>
      <w:r w:rsidRPr="00F31BFB">
        <w:rPr>
          <w:color w:val="auto"/>
        </w:rPr>
        <w:t>Vīza:</w:t>
      </w:r>
    </w:p>
    <w:p w14:paraId="39B1D766" w14:textId="77777777" w:rsidR="00346CA1" w:rsidRDefault="00E203EE" w:rsidP="000F039A">
      <w:pPr>
        <w:tabs>
          <w:tab w:val="left" w:pos="6237"/>
        </w:tabs>
        <w:spacing w:after="120"/>
        <w:rPr>
          <w:color w:val="auto"/>
        </w:rPr>
      </w:pPr>
      <w:r w:rsidRPr="00F31BFB">
        <w:rPr>
          <w:color w:val="auto"/>
        </w:rPr>
        <w:t>valsts sekretārs</w:t>
      </w:r>
      <w:r w:rsidRPr="00F31BFB">
        <w:rPr>
          <w:color w:val="auto"/>
        </w:rPr>
        <w:tab/>
        <w:t>Dimitrijs Trofimovs</w:t>
      </w:r>
    </w:p>
    <w:p w14:paraId="76A12504" w14:textId="77777777" w:rsidR="00347FCE" w:rsidRDefault="00347FCE">
      <w:pPr>
        <w:rPr>
          <w:color w:val="auto"/>
          <w:sz w:val="18"/>
          <w:szCs w:val="18"/>
        </w:rPr>
      </w:pPr>
    </w:p>
    <w:p w14:paraId="1F15F6CD" w14:textId="77777777" w:rsidR="000C7EFF" w:rsidRPr="00347FCE" w:rsidRDefault="00E203EE">
      <w:pPr>
        <w:rPr>
          <w:color w:val="auto"/>
          <w:sz w:val="18"/>
          <w:szCs w:val="18"/>
        </w:rPr>
      </w:pPr>
      <w:r w:rsidRPr="00347FCE">
        <w:rPr>
          <w:color w:val="auto"/>
          <w:sz w:val="18"/>
          <w:szCs w:val="18"/>
        </w:rPr>
        <w:t>A.Melkers 67208232</w:t>
      </w:r>
    </w:p>
    <w:p w14:paraId="28A9E320" w14:textId="77777777" w:rsidR="000C7EFF" w:rsidRPr="00346CA1" w:rsidRDefault="00ED68C3">
      <w:pPr>
        <w:tabs>
          <w:tab w:val="left" w:pos="6237"/>
        </w:tabs>
        <w:rPr>
          <w:color w:val="auto"/>
          <w:sz w:val="20"/>
          <w:szCs w:val="20"/>
        </w:rPr>
      </w:pPr>
      <w:hyperlink r:id="rId9">
        <w:r w:rsidR="00E203EE" w:rsidRPr="00347FCE">
          <w:rPr>
            <w:color w:val="auto"/>
            <w:sz w:val="18"/>
            <w:szCs w:val="18"/>
            <w:u w:val="single"/>
          </w:rPr>
          <w:t>andris.melkers@vp.gov.lv</w:t>
        </w:r>
      </w:hyperlink>
      <w:r w:rsidR="00E203EE" w:rsidRPr="00346CA1">
        <w:rPr>
          <w:color w:val="auto"/>
          <w:sz w:val="20"/>
          <w:szCs w:val="20"/>
        </w:rPr>
        <w:t xml:space="preserve"> </w:t>
      </w:r>
    </w:p>
    <w:sectPr w:rsidR="000C7EFF" w:rsidRPr="00346CA1">
      <w:headerReference w:type="default" r:id="rId10"/>
      <w:footerReference w:type="default" r:id="rId11"/>
      <w:footerReference w:type="first" r:id="rId12"/>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A3C6C" w14:textId="77777777" w:rsidR="00ED68C3" w:rsidRDefault="00ED68C3">
      <w:r>
        <w:separator/>
      </w:r>
    </w:p>
  </w:endnote>
  <w:endnote w:type="continuationSeparator" w:id="0">
    <w:p w14:paraId="4003C608" w14:textId="77777777" w:rsidR="00ED68C3" w:rsidRDefault="00ED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F13A" w14:textId="77777777" w:rsidR="00816740" w:rsidRDefault="00D24AFE" w:rsidP="00FD229D">
    <w:pPr>
      <w:tabs>
        <w:tab w:val="center" w:pos="4153"/>
        <w:tab w:val="right" w:pos="8306"/>
      </w:tabs>
      <w:jc w:val="both"/>
    </w:pPr>
    <w:r>
      <w:rPr>
        <w:sz w:val="20"/>
        <w:szCs w:val="20"/>
      </w:rPr>
      <w:t>IEMAnot_0407</w:t>
    </w:r>
    <w:r w:rsidR="008E359E">
      <w:rPr>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548FB" w14:textId="77777777" w:rsidR="00816740" w:rsidRDefault="00D24AFE">
    <w:pPr>
      <w:tabs>
        <w:tab w:val="center" w:pos="4153"/>
        <w:tab w:val="right" w:pos="8306"/>
      </w:tabs>
      <w:jc w:val="both"/>
      <w:rPr>
        <w:sz w:val="20"/>
        <w:szCs w:val="20"/>
      </w:rPr>
    </w:pPr>
    <w:r>
      <w:rPr>
        <w:sz w:val="20"/>
        <w:szCs w:val="20"/>
      </w:rPr>
      <w:t>IEMAnot_0407</w:t>
    </w:r>
    <w:r w:rsidR="008E359E">
      <w:rPr>
        <w:sz w:val="20"/>
        <w:szCs w:val="20"/>
      </w:rPr>
      <w:t>19</w:t>
    </w:r>
  </w:p>
  <w:p w14:paraId="17AD98E2" w14:textId="77777777"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4CE9" w14:textId="77777777" w:rsidR="00ED68C3" w:rsidRDefault="00ED68C3">
      <w:r>
        <w:separator/>
      </w:r>
    </w:p>
  </w:footnote>
  <w:footnote w:type="continuationSeparator" w:id="0">
    <w:p w14:paraId="735A5D89" w14:textId="77777777" w:rsidR="00ED68C3" w:rsidRDefault="00ED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8205" w14:textId="4467BA4C" w:rsidR="00816740" w:rsidRDefault="00816740">
    <w:pPr>
      <w:tabs>
        <w:tab w:val="center" w:pos="4153"/>
        <w:tab w:val="right" w:pos="8306"/>
      </w:tabs>
      <w:jc w:val="center"/>
    </w:pPr>
    <w:r>
      <w:fldChar w:fldCharType="begin"/>
    </w:r>
    <w:r>
      <w:instrText>PAGE</w:instrText>
    </w:r>
    <w:r>
      <w:fldChar w:fldCharType="separate"/>
    </w:r>
    <w:r w:rsidR="007C4944">
      <w:rPr>
        <w:noProof/>
      </w:rPr>
      <w:t>2</w:t>
    </w:r>
    <w:r>
      <w:fldChar w:fldCharType="end"/>
    </w:r>
  </w:p>
  <w:p w14:paraId="1099C0DA" w14:textId="77777777" w:rsidR="00816740" w:rsidRDefault="00816740">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3F4C0602"/>
    <w:multiLevelType w:val="hybridMultilevel"/>
    <w:tmpl w:val="90DCE9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D75978"/>
    <w:multiLevelType w:val="hybridMultilevel"/>
    <w:tmpl w:val="CECE54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A9A058D"/>
    <w:multiLevelType w:val="hybridMultilevel"/>
    <w:tmpl w:val="2B2A6214"/>
    <w:lvl w:ilvl="0" w:tplc="ACEA1086">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7" w15:restartNumberingAfterBreak="0">
    <w:nsid w:val="64D80D1F"/>
    <w:multiLevelType w:val="hybridMultilevel"/>
    <w:tmpl w:val="9A82D6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59A1CB2"/>
    <w:multiLevelType w:val="hybridMultilevel"/>
    <w:tmpl w:val="6EBA586E"/>
    <w:lvl w:ilvl="0" w:tplc="CEB452F8">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7"/>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4996"/>
    <w:rsid w:val="0000517D"/>
    <w:rsid w:val="000069E7"/>
    <w:rsid w:val="00014BB1"/>
    <w:rsid w:val="000172FA"/>
    <w:rsid w:val="00017406"/>
    <w:rsid w:val="000273A0"/>
    <w:rsid w:val="000351D1"/>
    <w:rsid w:val="000374AC"/>
    <w:rsid w:val="0004015B"/>
    <w:rsid w:val="000409AA"/>
    <w:rsid w:val="00040A02"/>
    <w:rsid w:val="000533BB"/>
    <w:rsid w:val="00053455"/>
    <w:rsid w:val="0006278D"/>
    <w:rsid w:val="00064CA1"/>
    <w:rsid w:val="00064F4B"/>
    <w:rsid w:val="00075573"/>
    <w:rsid w:val="00081FA0"/>
    <w:rsid w:val="00082410"/>
    <w:rsid w:val="00082E0F"/>
    <w:rsid w:val="000968D6"/>
    <w:rsid w:val="000A077C"/>
    <w:rsid w:val="000A69F3"/>
    <w:rsid w:val="000C3D13"/>
    <w:rsid w:val="000C7EFF"/>
    <w:rsid w:val="000D7FD6"/>
    <w:rsid w:val="000E092B"/>
    <w:rsid w:val="000E67F7"/>
    <w:rsid w:val="000F039A"/>
    <w:rsid w:val="00106765"/>
    <w:rsid w:val="00115578"/>
    <w:rsid w:val="001279B9"/>
    <w:rsid w:val="00141FD1"/>
    <w:rsid w:val="00146F93"/>
    <w:rsid w:val="00147972"/>
    <w:rsid w:val="00151A8E"/>
    <w:rsid w:val="00152741"/>
    <w:rsid w:val="00161D65"/>
    <w:rsid w:val="00166393"/>
    <w:rsid w:val="001719CC"/>
    <w:rsid w:val="00173EDC"/>
    <w:rsid w:val="00180E8E"/>
    <w:rsid w:val="00183A07"/>
    <w:rsid w:val="00192D29"/>
    <w:rsid w:val="00195761"/>
    <w:rsid w:val="001A0ECC"/>
    <w:rsid w:val="001A479C"/>
    <w:rsid w:val="001B0C3C"/>
    <w:rsid w:val="001B4CC7"/>
    <w:rsid w:val="001C677B"/>
    <w:rsid w:val="001C6A4F"/>
    <w:rsid w:val="001C6C02"/>
    <w:rsid w:val="001D744F"/>
    <w:rsid w:val="001E1BED"/>
    <w:rsid w:val="001E719A"/>
    <w:rsid w:val="001F097B"/>
    <w:rsid w:val="001F39A7"/>
    <w:rsid w:val="001F4EB5"/>
    <w:rsid w:val="001F7009"/>
    <w:rsid w:val="00200061"/>
    <w:rsid w:val="00201021"/>
    <w:rsid w:val="00201195"/>
    <w:rsid w:val="002031C8"/>
    <w:rsid w:val="002053E0"/>
    <w:rsid w:val="002163F3"/>
    <w:rsid w:val="00217183"/>
    <w:rsid w:val="002345D2"/>
    <w:rsid w:val="00236044"/>
    <w:rsid w:val="00240E7D"/>
    <w:rsid w:val="00244A38"/>
    <w:rsid w:val="0024768C"/>
    <w:rsid w:val="00254B85"/>
    <w:rsid w:val="00257B87"/>
    <w:rsid w:val="00263E82"/>
    <w:rsid w:val="00272454"/>
    <w:rsid w:val="002B0B65"/>
    <w:rsid w:val="002B2A4E"/>
    <w:rsid w:val="002B3A3F"/>
    <w:rsid w:val="002B790B"/>
    <w:rsid w:val="002C568F"/>
    <w:rsid w:val="002D3D35"/>
    <w:rsid w:val="002D78CD"/>
    <w:rsid w:val="002F26B0"/>
    <w:rsid w:val="00304C06"/>
    <w:rsid w:val="003106E4"/>
    <w:rsid w:val="003127D2"/>
    <w:rsid w:val="0034513B"/>
    <w:rsid w:val="00345BCA"/>
    <w:rsid w:val="00346CA1"/>
    <w:rsid w:val="00347FCE"/>
    <w:rsid w:val="00364CBA"/>
    <w:rsid w:val="00365D46"/>
    <w:rsid w:val="00366251"/>
    <w:rsid w:val="0036749B"/>
    <w:rsid w:val="0037036B"/>
    <w:rsid w:val="00370F7D"/>
    <w:rsid w:val="00373FC4"/>
    <w:rsid w:val="003757F0"/>
    <w:rsid w:val="003A2656"/>
    <w:rsid w:val="003A33ED"/>
    <w:rsid w:val="003A6202"/>
    <w:rsid w:val="003D1CBD"/>
    <w:rsid w:val="003F0F24"/>
    <w:rsid w:val="003F168A"/>
    <w:rsid w:val="00410CB1"/>
    <w:rsid w:val="004257E5"/>
    <w:rsid w:val="004258DE"/>
    <w:rsid w:val="0044150B"/>
    <w:rsid w:val="004424C2"/>
    <w:rsid w:val="00443B70"/>
    <w:rsid w:val="00450C7B"/>
    <w:rsid w:val="004566B2"/>
    <w:rsid w:val="00462AF4"/>
    <w:rsid w:val="0046624B"/>
    <w:rsid w:val="00474412"/>
    <w:rsid w:val="00475636"/>
    <w:rsid w:val="004801A6"/>
    <w:rsid w:val="004873ED"/>
    <w:rsid w:val="004A3AD2"/>
    <w:rsid w:val="004B126D"/>
    <w:rsid w:val="004D5B28"/>
    <w:rsid w:val="004E036B"/>
    <w:rsid w:val="004F3456"/>
    <w:rsid w:val="0051405F"/>
    <w:rsid w:val="00514A64"/>
    <w:rsid w:val="005206FC"/>
    <w:rsid w:val="00526DD3"/>
    <w:rsid w:val="00527753"/>
    <w:rsid w:val="0053381E"/>
    <w:rsid w:val="00553A39"/>
    <w:rsid w:val="0056188E"/>
    <w:rsid w:val="00563335"/>
    <w:rsid w:val="00564577"/>
    <w:rsid w:val="00576CD9"/>
    <w:rsid w:val="00584370"/>
    <w:rsid w:val="00594E21"/>
    <w:rsid w:val="005C18B6"/>
    <w:rsid w:val="005C1D95"/>
    <w:rsid w:val="005C3469"/>
    <w:rsid w:val="005C5BD0"/>
    <w:rsid w:val="005E5E1D"/>
    <w:rsid w:val="005F61D8"/>
    <w:rsid w:val="00610E94"/>
    <w:rsid w:val="00621F6B"/>
    <w:rsid w:val="00625C83"/>
    <w:rsid w:val="0062658A"/>
    <w:rsid w:val="00640012"/>
    <w:rsid w:val="0064014C"/>
    <w:rsid w:val="0064059C"/>
    <w:rsid w:val="00640752"/>
    <w:rsid w:val="00641D91"/>
    <w:rsid w:val="00654B81"/>
    <w:rsid w:val="006563C4"/>
    <w:rsid w:val="00657C0E"/>
    <w:rsid w:val="00660A8B"/>
    <w:rsid w:val="0066316C"/>
    <w:rsid w:val="00683DEA"/>
    <w:rsid w:val="00693FD8"/>
    <w:rsid w:val="006A0462"/>
    <w:rsid w:val="006C025C"/>
    <w:rsid w:val="006C19A6"/>
    <w:rsid w:val="006C2817"/>
    <w:rsid w:val="006D194D"/>
    <w:rsid w:val="006D7400"/>
    <w:rsid w:val="006E7776"/>
    <w:rsid w:val="006F2CD3"/>
    <w:rsid w:val="006F5013"/>
    <w:rsid w:val="006F5FFB"/>
    <w:rsid w:val="00707365"/>
    <w:rsid w:val="00710AB1"/>
    <w:rsid w:val="007149FF"/>
    <w:rsid w:val="00715503"/>
    <w:rsid w:val="00716565"/>
    <w:rsid w:val="00720F90"/>
    <w:rsid w:val="00725E09"/>
    <w:rsid w:val="007307B8"/>
    <w:rsid w:val="00735C7A"/>
    <w:rsid w:val="007438AD"/>
    <w:rsid w:val="0075350C"/>
    <w:rsid w:val="00757368"/>
    <w:rsid w:val="00760C58"/>
    <w:rsid w:val="00760E1C"/>
    <w:rsid w:val="00765C0C"/>
    <w:rsid w:val="007709FE"/>
    <w:rsid w:val="00772216"/>
    <w:rsid w:val="00783E69"/>
    <w:rsid w:val="00792C0B"/>
    <w:rsid w:val="00794596"/>
    <w:rsid w:val="007A42BA"/>
    <w:rsid w:val="007C4944"/>
    <w:rsid w:val="007D7232"/>
    <w:rsid w:val="007E0A11"/>
    <w:rsid w:val="007E1561"/>
    <w:rsid w:val="007E187D"/>
    <w:rsid w:val="007E4D57"/>
    <w:rsid w:val="007E6CB6"/>
    <w:rsid w:val="00807074"/>
    <w:rsid w:val="00816740"/>
    <w:rsid w:val="00816D28"/>
    <w:rsid w:val="00820979"/>
    <w:rsid w:val="00853938"/>
    <w:rsid w:val="008548A0"/>
    <w:rsid w:val="00856A3C"/>
    <w:rsid w:val="00874B66"/>
    <w:rsid w:val="008852C0"/>
    <w:rsid w:val="00891831"/>
    <w:rsid w:val="008B0A50"/>
    <w:rsid w:val="008C4117"/>
    <w:rsid w:val="008D53F1"/>
    <w:rsid w:val="008E359E"/>
    <w:rsid w:val="0091081B"/>
    <w:rsid w:val="00916B6C"/>
    <w:rsid w:val="00922C1D"/>
    <w:rsid w:val="009240C7"/>
    <w:rsid w:val="00924482"/>
    <w:rsid w:val="00925E81"/>
    <w:rsid w:val="00930CF7"/>
    <w:rsid w:val="009337D1"/>
    <w:rsid w:val="00937544"/>
    <w:rsid w:val="00947272"/>
    <w:rsid w:val="009570C9"/>
    <w:rsid w:val="00961FF2"/>
    <w:rsid w:val="009735B0"/>
    <w:rsid w:val="00984D79"/>
    <w:rsid w:val="009873D2"/>
    <w:rsid w:val="00993F6E"/>
    <w:rsid w:val="00994CC4"/>
    <w:rsid w:val="00995543"/>
    <w:rsid w:val="009A685B"/>
    <w:rsid w:val="009B0565"/>
    <w:rsid w:val="009B0C9E"/>
    <w:rsid w:val="009B3C3C"/>
    <w:rsid w:val="009B5F38"/>
    <w:rsid w:val="009C59B9"/>
    <w:rsid w:val="009D2315"/>
    <w:rsid w:val="009E0620"/>
    <w:rsid w:val="009F11D7"/>
    <w:rsid w:val="009F1281"/>
    <w:rsid w:val="009F5B75"/>
    <w:rsid w:val="00A04D1A"/>
    <w:rsid w:val="00A0584A"/>
    <w:rsid w:val="00A067D7"/>
    <w:rsid w:val="00A24E0C"/>
    <w:rsid w:val="00A47B5C"/>
    <w:rsid w:val="00A572D1"/>
    <w:rsid w:val="00A7615F"/>
    <w:rsid w:val="00A7664F"/>
    <w:rsid w:val="00A779FF"/>
    <w:rsid w:val="00A869B1"/>
    <w:rsid w:val="00A97B4C"/>
    <w:rsid w:val="00AA02E7"/>
    <w:rsid w:val="00AB2DC6"/>
    <w:rsid w:val="00AB7D9C"/>
    <w:rsid w:val="00AC32C1"/>
    <w:rsid w:val="00AD467A"/>
    <w:rsid w:val="00AF798F"/>
    <w:rsid w:val="00B02660"/>
    <w:rsid w:val="00B03531"/>
    <w:rsid w:val="00B10B2D"/>
    <w:rsid w:val="00B10B4B"/>
    <w:rsid w:val="00B12C40"/>
    <w:rsid w:val="00B30574"/>
    <w:rsid w:val="00B35C88"/>
    <w:rsid w:val="00B36745"/>
    <w:rsid w:val="00B37C42"/>
    <w:rsid w:val="00B463F5"/>
    <w:rsid w:val="00B51C2B"/>
    <w:rsid w:val="00B56F08"/>
    <w:rsid w:val="00B65E3F"/>
    <w:rsid w:val="00B77A1A"/>
    <w:rsid w:val="00B81E78"/>
    <w:rsid w:val="00B821A6"/>
    <w:rsid w:val="00B908D1"/>
    <w:rsid w:val="00B90F08"/>
    <w:rsid w:val="00BB2B42"/>
    <w:rsid w:val="00BB49EB"/>
    <w:rsid w:val="00BE3AD1"/>
    <w:rsid w:val="00BF024B"/>
    <w:rsid w:val="00BF1C96"/>
    <w:rsid w:val="00BF3228"/>
    <w:rsid w:val="00BF6670"/>
    <w:rsid w:val="00BF682E"/>
    <w:rsid w:val="00C10909"/>
    <w:rsid w:val="00C1428C"/>
    <w:rsid w:val="00C27AA0"/>
    <w:rsid w:val="00C30EA4"/>
    <w:rsid w:val="00C436CF"/>
    <w:rsid w:val="00C50E90"/>
    <w:rsid w:val="00C522B3"/>
    <w:rsid w:val="00C60259"/>
    <w:rsid w:val="00C652D8"/>
    <w:rsid w:val="00C87614"/>
    <w:rsid w:val="00C93646"/>
    <w:rsid w:val="00CC065A"/>
    <w:rsid w:val="00CC2390"/>
    <w:rsid w:val="00CD537F"/>
    <w:rsid w:val="00CF09FD"/>
    <w:rsid w:val="00CF7372"/>
    <w:rsid w:val="00D02ABC"/>
    <w:rsid w:val="00D12BC1"/>
    <w:rsid w:val="00D16102"/>
    <w:rsid w:val="00D16529"/>
    <w:rsid w:val="00D21343"/>
    <w:rsid w:val="00D21A69"/>
    <w:rsid w:val="00D238E9"/>
    <w:rsid w:val="00D24814"/>
    <w:rsid w:val="00D24AFE"/>
    <w:rsid w:val="00D3436A"/>
    <w:rsid w:val="00D36C00"/>
    <w:rsid w:val="00D45360"/>
    <w:rsid w:val="00D64E93"/>
    <w:rsid w:val="00D87C81"/>
    <w:rsid w:val="00DB4E22"/>
    <w:rsid w:val="00DB696D"/>
    <w:rsid w:val="00DD1337"/>
    <w:rsid w:val="00DD5409"/>
    <w:rsid w:val="00DD5D3A"/>
    <w:rsid w:val="00DD7DEB"/>
    <w:rsid w:val="00DF0A68"/>
    <w:rsid w:val="00DF1B2F"/>
    <w:rsid w:val="00E010CF"/>
    <w:rsid w:val="00E0334C"/>
    <w:rsid w:val="00E203EE"/>
    <w:rsid w:val="00E206EE"/>
    <w:rsid w:val="00E2250F"/>
    <w:rsid w:val="00E269B8"/>
    <w:rsid w:val="00E422D3"/>
    <w:rsid w:val="00E46100"/>
    <w:rsid w:val="00E57B17"/>
    <w:rsid w:val="00E6297E"/>
    <w:rsid w:val="00E656D7"/>
    <w:rsid w:val="00E729CF"/>
    <w:rsid w:val="00E7750C"/>
    <w:rsid w:val="00E85802"/>
    <w:rsid w:val="00EA2004"/>
    <w:rsid w:val="00EA5047"/>
    <w:rsid w:val="00EB597F"/>
    <w:rsid w:val="00ED6785"/>
    <w:rsid w:val="00ED68C3"/>
    <w:rsid w:val="00ED6D2F"/>
    <w:rsid w:val="00ED718F"/>
    <w:rsid w:val="00EE3988"/>
    <w:rsid w:val="00EF5296"/>
    <w:rsid w:val="00EF74BB"/>
    <w:rsid w:val="00EF7A3D"/>
    <w:rsid w:val="00F03546"/>
    <w:rsid w:val="00F045B9"/>
    <w:rsid w:val="00F17239"/>
    <w:rsid w:val="00F201CD"/>
    <w:rsid w:val="00F23F09"/>
    <w:rsid w:val="00F24776"/>
    <w:rsid w:val="00F31BFB"/>
    <w:rsid w:val="00F36E47"/>
    <w:rsid w:val="00F50908"/>
    <w:rsid w:val="00F66E5F"/>
    <w:rsid w:val="00F87B92"/>
    <w:rsid w:val="00F9525F"/>
    <w:rsid w:val="00FA0A55"/>
    <w:rsid w:val="00FA184B"/>
    <w:rsid w:val="00FA46A0"/>
    <w:rsid w:val="00FA4CC9"/>
    <w:rsid w:val="00FA5563"/>
    <w:rsid w:val="00FC7297"/>
    <w:rsid w:val="00FC7C0D"/>
    <w:rsid w:val="00FD229D"/>
    <w:rsid w:val="00FD2D00"/>
    <w:rsid w:val="00FD5EBE"/>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7036"/>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25C"/>
    <w:pPr>
      <w:ind w:left="720"/>
      <w:contextualSpacing/>
    </w:pPr>
  </w:style>
  <w:style w:type="character" w:styleId="CommentReference">
    <w:name w:val="annotation reference"/>
    <w:basedOn w:val="DefaultParagraphFont"/>
    <w:uiPriority w:val="99"/>
    <w:semiHidden/>
    <w:unhideWhenUsed/>
    <w:rsid w:val="00017406"/>
    <w:rPr>
      <w:sz w:val="16"/>
      <w:szCs w:val="16"/>
    </w:rPr>
  </w:style>
  <w:style w:type="paragraph" w:styleId="CommentText">
    <w:name w:val="annotation text"/>
    <w:basedOn w:val="Normal"/>
    <w:link w:val="CommentTextChar"/>
    <w:uiPriority w:val="99"/>
    <w:semiHidden/>
    <w:unhideWhenUsed/>
    <w:rsid w:val="00017406"/>
    <w:rPr>
      <w:sz w:val="20"/>
      <w:szCs w:val="20"/>
    </w:rPr>
  </w:style>
  <w:style w:type="character" w:customStyle="1" w:styleId="CommentTextChar">
    <w:name w:val="Comment Text Char"/>
    <w:basedOn w:val="DefaultParagraphFont"/>
    <w:link w:val="CommentText"/>
    <w:uiPriority w:val="99"/>
    <w:semiHidden/>
    <w:rsid w:val="00017406"/>
    <w:rPr>
      <w:sz w:val="20"/>
      <w:szCs w:val="20"/>
    </w:rPr>
  </w:style>
  <w:style w:type="paragraph" w:styleId="CommentSubject">
    <w:name w:val="annotation subject"/>
    <w:basedOn w:val="CommentText"/>
    <w:next w:val="CommentText"/>
    <w:link w:val="CommentSubjectChar"/>
    <w:uiPriority w:val="99"/>
    <w:semiHidden/>
    <w:unhideWhenUsed/>
    <w:rsid w:val="00017406"/>
    <w:rPr>
      <w:b/>
      <w:bCs/>
    </w:rPr>
  </w:style>
  <w:style w:type="character" w:customStyle="1" w:styleId="CommentSubjectChar">
    <w:name w:val="Comment Subject Char"/>
    <w:basedOn w:val="CommentTextChar"/>
    <w:link w:val="CommentSubject"/>
    <w:uiPriority w:val="99"/>
    <w:semiHidden/>
    <w:rsid w:val="00017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adarbiba_ar_nvo/diskusiju_dokumenti/?doc=419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ris.melkers@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D24D-EF8B-4A14-ACA1-CD976E74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10148</Words>
  <Characters>5785</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Andris Melkers</cp:lastModifiedBy>
  <cp:revision>2</cp:revision>
  <cp:lastPrinted>2019-05-21T10:57:00Z</cp:lastPrinted>
  <dcterms:created xsi:type="dcterms:W3CDTF">2019-07-04T13:33:00Z</dcterms:created>
  <dcterms:modified xsi:type="dcterms:W3CDTF">2019-07-04T13:33:00Z</dcterms:modified>
</cp:coreProperties>
</file>