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C92F9" w14:textId="756F8340" w:rsidR="00B963D2" w:rsidRDefault="00B963D2" w:rsidP="00B963D2">
      <w:pPr>
        <w:shd w:val="clear" w:color="auto" w:fill="FFFFFF"/>
        <w:spacing w:before="130" w:line="260" w:lineRule="exact"/>
        <w:jc w:val="center"/>
        <w:rPr>
          <w:b/>
          <w:bCs/>
        </w:rPr>
      </w:pPr>
      <w:r w:rsidRPr="00F566C3">
        <w:rPr>
          <w:b/>
          <w:bCs/>
        </w:rPr>
        <w:t>Likumprojekta “Grozījum</w:t>
      </w:r>
      <w:r w:rsidR="00D8625E">
        <w:rPr>
          <w:b/>
          <w:bCs/>
        </w:rPr>
        <w:t>s</w:t>
      </w:r>
      <w:r w:rsidRPr="00F566C3">
        <w:rPr>
          <w:b/>
          <w:bCs/>
        </w:rPr>
        <w:t xml:space="preserve"> Dzīvesvietas deklarēšanas likumā” sākotnējās ietekmes novērtējuma ziņojums (anotācija)</w:t>
      </w:r>
    </w:p>
    <w:p w14:paraId="49DF6B3F" w14:textId="77777777" w:rsidR="008E7CD7" w:rsidRPr="00F566C3" w:rsidRDefault="008E7CD7" w:rsidP="00B963D2">
      <w:pPr>
        <w:shd w:val="clear" w:color="auto" w:fill="FFFFFF"/>
        <w:spacing w:before="130" w:line="260" w:lineRule="exac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3"/>
        <w:gridCol w:w="5808"/>
      </w:tblGrid>
      <w:tr w:rsidR="00B963D2" w:rsidRPr="00F566C3" w14:paraId="2F7C92FC" w14:textId="77777777" w:rsidTr="00B65C43">
        <w:trPr>
          <w:cantSplit/>
        </w:trPr>
        <w:tc>
          <w:tcPr>
            <w:tcW w:w="9061" w:type="dxa"/>
            <w:gridSpan w:val="2"/>
            <w:shd w:val="clear" w:color="auto" w:fill="FFFFFF"/>
            <w:vAlign w:val="center"/>
            <w:hideMark/>
          </w:tcPr>
          <w:p w14:paraId="2F7C92FB" w14:textId="77777777" w:rsidR="00B963D2" w:rsidRPr="00F566C3" w:rsidRDefault="00B963D2" w:rsidP="00317CE4">
            <w:pPr>
              <w:jc w:val="center"/>
              <w:rPr>
                <w:b/>
                <w:iCs/>
                <w:lang w:eastAsia="en-US"/>
              </w:rPr>
            </w:pPr>
            <w:r w:rsidRPr="00F566C3">
              <w:rPr>
                <w:b/>
                <w:iCs/>
                <w:lang w:eastAsia="en-US"/>
              </w:rPr>
              <w:t>Tiesību akta projekta anotācijas kopsavilkums</w:t>
            </w:r>
          </w:p>
        </w:tc>
      </w:tr>
      <w:tr w:rsidR="00B963D2" w:rsidRPr="00F566C3" w14:paraId="2F7C9300" w14:textId="77777777" w:rsidTr="00B65C43">
        <w:trPr>
          <w:cantSplit/>
        </w:trPr>
        <w:tc>
          <w:tcPr>
            <w:tcW w:w="3253" w:type="dxa"/>
            <w:shd w:val="clear" w:color="auto" w:fill="FFFFFF"/>
            <w:hideMark/>
          </w:tcPr>
          <w:p w14:paraId="2F7C92FD" w14:textId="77777777" w:rsidR="00B963D2" w:rsidRPr="00F566C3" w:rsidRDefault="00B963D2" w:rsidP="00317CE4">
            <w:pPr>
              <w:rPr>
                <w:iCs/>
                <w:lang w:eastAsia="en-US"/>
              </w:rPr>
            </w:pPr>
            <w:r w:rsidRPr="00F566C3">
              <w:rPr>
                <w:iCs/>
                <w:lang w:eastAsia="en-US"/>
              </w:rPr>
              <w:t>Mērķis, risinājums un projekta spēkā stāšanās laiks (500 zīmes bez atstarpēm)</w:t>
            </w:r>
          </w:p>
        </w:tc>
        <w:tc>
          <w:tcPr>
            <w:tcW w:w="5808" w:type="dxa"/>
            <w:shd w:val="clear" w:color="auto" w:fill="FFFFFF"/>
            <w:hideMark/>
          </w:tcPr>
          <w:p w14:paraId="2F7C92FE" w14:textId="77777777" w:rsidR="00B963D2" w:rsidRPr="00F566C3" w:rsidRDefault="002C3EDC" w:rsidP="00317CE4">
            <w:pPr>
              <w:jc w:val="both"/>
            </w:pPr>
            <w:r w:rsidRPr="00F566C3">
              <w:t>Likump</w:t>
            </w:r>
            <w:r w:rsidR="00D63223" w:rsidRPr="00F566C3">
              <w:t>rojektā ietverts regulējums par</w:t>
            </w:r>
            <w:r w:rsidR="00590730" w:rsidRPr="00F566C3">
              <w:t xml:space="preserve"> personu</w:t>
            </w:r>
            <w:r w:rsidR="00D63223" w:rsidRPr="00F566C3">
              <w:t xml:space="preserve"> administratīvo atbildību dzīvesvietas deklarēšanas jomā un</w:t>
            </w:r>
            <w:r w:rsidR="00590730" w:rsidRPr="00F566C3">
              <w:t xml:space="preserve"> iestāžu</w:t>
            </w:r>
            <w:r w:rsidR="00D63223" w:rsidRPr="00F566C3">
              <w:t xml:space="preserve"> kompetenci sodu piemērošanā, ņemot vērā to, ka </w:t>
            </w:r>
            <w:proofErr w:type="gramStart"/>
            <w:r w:rsidR="00D63223" w:rsidRPr="00F566C3">
              <w:t>2020.gada</w:t>
            </w:r>
            <w:proofErr w:type="gramEnd"/>
            <w:r w:rsidR="00D63223" w:rsidRPr="00F566C3">
              <w:t xml:space="preserve"> 1.janvārī</w:t>
            </w:r>
            <w:r w:rsidR="00B963D2" w:rsidRPr="00F566C3">
              <w:t xml:space="preserve"> stāsies spēkā Administratīvās atbildības likums un zaudēs spēku Latvijas Administratīvo pārkāpumu kodekss</w:t>
            </w:r>
            <w:r w:rsidR="00D63223" w:rsidRPr="00F566C3">
              <w:t>.</w:t>
            </w:r>
            <w:r w:rsidR="00B963D2" w:rsidRPr="00F566C3">
              <w:t xml:space="preserve">  </w:t>
            </w:r>
          </w:p>
          <w:p w14:paraId="2F7C92FF" w14:textId="77777777" w:rsidR="00B963D2" w:rsidRPr="00F566C3" w:rsidRDefault="00E60D98" w:rsidP="00C45DD8">
            <w:pPr>
              <w:jc w:val="both"/>
            </w:pPr>
            <w:r>
              <w:t>Likum</w:t>
            </w:r>
            <w:r w:rsidR="008517CE">
              <w:t>p</w:t>
            </w:r>
            <w:r w:rsidR="00B963D2" w:rsidRPr="00F566C3">
              <w:t xml:space="preserve">rojekts stāsies spēkā </w:t>
            </w:r>
            <w:r w:rsidR="00C45DD8" w:rsidRPr="00F566C3">
              <w:t>līdz ar Administratīvās atbildības likuma spēkā stāšanos</w:t>
            </w:r>
            <w:r w:rsidR="00B963D2" w:rsidRPr="00F566C3">
              <w:t>.</w:t>
            </w:r>
          </w:p>
        </w:tc>
      </w:tr>
    </w:tbl>
    <w:p w14:paraId="2F7C9301" w14:textId="77777777" w:rsidR="008841F5" w:rsidRDefault="008841F5" w:rsidP="00B963D2">
      <w:pPr>
        <w:pStyle w:val="Title"/>
        <w:spacing w:before="130" w:line="260" w:lineRule="exact"/>
        <w:ind w:firstLine="539"/>
        <w:jc w:val="both"/>
        <w:rPr>
          <w:sz w:val="20"/>
        </w:rPr>
      </w:pPr>
    </w:p>
    <w:p w14:paraId="4E36425F" w14:textId="77777777" w:rsidR="008E7CD7" w:rsidRPr="00B65C43" w:rsidRDefault="008E7CD7" w:rsidP="00B963D2">
      <w:pPr>
        <w:pStyle w:val="Title"/>
        <w:spacing w:before="130" w:line="260" w:lineRule="exact"/>
        <w:ind w:firstLine="539"/>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963D2" w:rsidRPr="00F566C3" w14:paraId="2F7C9303" w14:textId="77777777" w:rsidTr="00317CE4">
        <w:tc>
          <w:tcPr>
            <w:tcW w:w="5000" w:type="pct"/>
            <w:gridSpan w:val="3"/>
            <w:vAlign w:val="center"/>
            <w:hideMark/>
          </w:tcPr>
          <w:p w14:paraId="2F7C9302" w14:textId="77777777" w:rsidR="00B963D2" w:rsidRPr="00F566C3" w:rsidRDefault="00B963D2" w:rsidP="00317CE4">
            <w:pPr>
              <w:jc w:val="center"/>
              <w:rPr>
                <w:b/>
                <w:bCs/>
              </w:rPr>
            </w:pPr>
            <w:r w:rsidRPr="00F566C3">
              <w:rPr>
                <w:b/>
                <w:bCs/>
              </w:rPr>
              <w:t>I. Tiesību akta projekta izstrādes nepieciešamība</w:t>
            </w:r>
          </w:p>
        </w:tc>
      </w:tr>
      <w:tr w:rsidR="00B963D2" w:rsidRPr="00F566C3" w14:paraId="2F7C9307" w14:textId="77777777" w:rsidTr="00317CE4">
        <w:tc>
          <w:tcPr>
            <w:tcW w:w="311" w:type="pct"/>
            <w:hideMark/>
          </w:tcPr>
          <w:p w14:paraId="2F7C9304" w14:textId="77777777" w:rsidR="00B963D2" w:rsidRPr="00F566C3" w:rsidRDefault="00B963D2" w:rsidP="00317CE4">
            <w:pPr>
              <w:jc w:val="center"/>
            </w:pPr>
            <w:r w:rsidRPr="00F566C3">
              <w:t>1.</w:t>
            </w:r>
          </w:p>
        </w:tc>
        <w:tc>
          <w:tcPr>
            <w:tcW w:w="1479" w:type="pct"/>
            <w:hideMark/>
          </w:tcPr>
          <w:p w14:paraId="2F7C9305" w14:textId="77777777" w:rsidR="00B963D2" w:rsidRPr="00F566C3" w:rsidRDefault="00B963D2" w:rsidP="00317CE4">
            <w:r w:rsidRPr="00F566C3">
              <w:t>Pamatojums</w:t>
            </w:r>
          </w:p>
        </w:tc>
        <w:tc>
          <w:tcPr>
            <w:tcW w:w="3210" w:type="pct"/>
            <w:hideMark/>
          </w:tcPr>
          <w:p w14:paraId="2F7C9306" w14:textId="77777777" w:rsidR="00B963D2" w:rsidRPr="00F566C3" w:rsidRDefault="00B963D2" w:rsidP="00317CE4">
            <w:pPr>
              <w:jc w:val="both"/>
            </w:pPr>
            <w:r w:rsidRPr="00F566C3">
              <w:t>Administratīvās atbildības likums.</w:t>
            </w:r>
          </w:p>
        </w:tc>
      </w:tr>
      <w:tr w:rsidR="00B963D2" w:rsidRPr="00F566C3" w14:paraId="2F7C931F" w14:textId="77777777" w:rsidTr="00317CE4">
        <w:tc>
          <w:tcPr>
            <w:tcW w:w="311" w:type="pct"/>
            <w:hideMark/>
          </w:tcPr>
          <w:p w14:paraId="2F7C9308" w14:textId="77777777" w:rsidR="00B963D2" w:rsidRPr="00F566C3" w:rsidRDefault="00B963D2" w:rsidP="00317CE4">
            <w:pPr>
              <w:jc w:val="center"/>
            </w:pPr>
            <w:r w:rsidRPr="00F566C3">
              <w:t>2.</w:t>
            </w:r>
          </w:p>
        </w:tc>
        <w:tc>
          <w:tcPr>
            <w:tcW w:w="1479" w:type="pct"/>
            <w:hideMark/>
          </w:tcPr>
          <w:p w14:paraId="2F7C9309" w14:textId="77777777" w:rsidR="00B963D2" w:rsidRPr="00F566C3" w:rsidRDefault="00B963D2" w:rsidP="00317CE4">
            <w:r w:rsidRPr="00F566C3">
              <w:t>Pašreizējā situācija un problēmas, kuru risināšanai tiesību akta projekts izstrādāts, tiesiskā regulējuma mērķis un būtība</w:t>
            </w:r>
          </w:p>
          <w:p w14:paraId="2F7C9315" w14:textId="77777777" w:rsidR="00B963D2" w:rsidRPr="00F566C3" w:rsidRDefault="00B963D2" w:rsidP="00EC0AC8"/>
        </w:tc>
        <w:tc>
          <w:tcPr>
            <w:tcW w:w="3210" w:type="pct"/>
            <w:hideMark/>
          </w:tcPr>
          <w:p w14:paraId="2F7C9316" w14:textId="4B1B454B" w:rsidR="00B963D2" w:rsidRDefault="00B963D2" w:rsidP="00317CE4">
            <w:pPr>
              <w:jc w:val="both"/>
            </w:pPr>
            <w:r w:rsidRPr="00F566C3">
              <w:t xml:space="preserve">Dzīvesvietas deklarēšanas </w:t>
            </w:r>
            <w:r w:rsidR="00774B4B">
              <w:t>likums nosaka personas pienākumu</w:t>
            </w:r>
            <w:r w:rsidRPr="00F566C3">
              <w:t xml:space="preserve"> </w:t>
            </w:r>
            <w:r w:rsidR="00774B4B">
              <w:t>deklarēt dzīvesvietas adresi</w:t>
            </w:r>
            <w:r w:rsidRPr="00F566C3">
              <w:t xml:space="preserve">, bet Latvijas Administratīvo pārkāpumu kodeksā (turpmāk </w:t>
            </w:r>
            <w:r w:rsidR="002C3EDC" w:rsidRPr="00F566C3">
              <w:t>–</w:t>
            </w:r>
            <w:r w:rsidR="00774B4B">
              <w:t xml:space="preserve"> Kodekss) ir noteikts administratīvais sods par minētā</w:t>
            </w:r>
            <w:r w:rsidRPr="00F566C3">
              <w:t xml:space="preserve"> pienākumu nepildīšanu. Ņemot vērā, ka pieņemts Administratīvās atbildības likums, kas stāsies spēkā </w:t>
            </w:r>
            <w:proofErr w:type="gramStart"/>
            <w:r w:rsidRPr="00F566C3">
              <w:t>2020.gada</w:t>
            </w:r>
            <w:proofErr w:type="gramEnd"/>
            <w:r w:rsidRPr="00F566C3">
              <w:t xml:space="preserve"> 1.janvārī</w:t>
            </w:r>
            <w:r w:rsidR="00265C8C">
              <w:t>,</w:t>
            </w:r>
            <w:r w:rsidRPr="00F566C3">
              <w:t xml:space="preserve"> un ņemot vērā administratīvās atbildības regulējuma </w:t>
            </w:r>
            <w:proofErr w:type="spellStart"/>
            <w:r w:rsidRPr="00F566C3">
              <w:t>dekodifikāciju</w:t>
            </w:r>
            <w:proofErr w:type="spellEnd"/>
            <w:r w:rsidRPr="00F566C3">
              <w:t>, Kodeksa sevišķajā daļā paredzēt</w:t>
            </w:r>
            <w:r w:rsidR="00B93757">
              <w:t>ie</w:t>
            </w:r>
            <w:r w:rsidRPr="00F566C3">
              <w:t xml:space="preserve"> administratīvo </w:t>
            </w:r>
            <w:r w:rsidRPr="00223647">
              <w:t>pārkāpumu sastāv</w:t>
            </w:r>
            <w:r w:rsidR="00B93757" w:rsidRPr="00223647">
              <w:t>i</w:t>
            </w:r>
            <w:r w:rsidRPr="00223647">
              <w:t xml:space="preserve"> </w:t>
            </w:r>
            <w:r w:rsidR="00B93757" w:rsidRPr="00223647">
              <w:t>būtu iekļaujami</w:t>
            </w:r>
            <w:r w:rsidRPr="00223647">
              <w:t xml:space="preserve"> Dzīvesvietas deklarēšanas likumā.</w:t>
            </w:r>
          </w:p>
          <w:p w14:paraId="4029A4C8" w14:textId="77777777" w:rsidR="00223647" w:rsidRDefault="00223647" w:rsidP="00223647">
            <w:pPr>
              <w:jc w:val="both"/>
            </w:pPr>
            <w:r>
              <w:t xml:space="preserve">Dzīvesvietas deklarēšanas likuma mērķis ir panākt, lai ikviena persona būtu sasniedzama tiesiskajās attiecībās ar valsti un pašvaldību. Ievērojot minēto, Dzīvesvietas deklarēšanas likums paredz, ka personai ir pienākums deklarēt savu dzīvesvietas adresi. </w:t>
            </w:r>
          </w:p>
          <w:p w14:paraId="61C3885C" w14:textId="66C869E6" w:rsidR="00F41A11" w:rsidRPr="00223647" w:rsidRDefault="00F41A11" w:rsidP="00317CE4">
            <w:pPr>
              <w:jc w:val="both"/>
            </w:pPr>
            <w:r w:rsidRPr="00223647">
              <w:t xml:space="preserve">Atbilstoši informatīvajā ziņojumā “Nozaru administratīvo pārkāpumu kodifikācijas ieviešanas sistēmas īstenošana”, kas apstiprināts Ministru kabineta </w:t>
            </w:r>
            <w:proofErr w:type="gramStart"/>
            <w:r w:rsidRPr="00223647">
              <w:t>2018.gada</w:t>
            </w:r>
            <w:proofErr w:type="gramEnd"/>
            <w:r w:rsidRPr="00223647">
              <w:t xml:space="preserve"> 18.decembra sēdē (prot.Nr.60, 98.§)</w:t>
            </w:r>
            <w:r w:rsidR="00265C8C">
              <w:t>,</w:t>
            </w:r>
            <w:r w:rsidRPr="00223647">
              <w:t xml:space="preserve"> noteiktajam, izstrādājot likumprojektus, nepieciešams izvērtēt Kodeksā paredzēto administratīvo pārkāpumu atbilstību Ministru kabineta 2013. gada 4. februāra rīkojuma Nr. 38 “Par Administratīvo sodu sistēmas attīstības koncepciju” 3. punktā noteiktajiem kritērijiem, tas i</w:t>
            </w:r>
            <w:r w:rsidR="00265C8C">
              <w:t>r</w:t>
            </w:r>
            <w:r w:rsidRPr="00223647">
              <w:t>:</w:t>
            </w:r>
          </w:p>
          <w:p w14:paraId="364F8F1A" w14:textId="77777777" w:rsidR="00F41A11" w:rsidRPr="00223647" w:rsidRDefault="00F41A11" w:rsidP="00F41A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eastAsia="en-US"/>
              </w:rPr>
            </w:pPr>
            <w:r w:rsidRPr="00223647">
              <w:rPr>
                <w:color w:val="000000"/>
                <w:lang w:eastAsia="en-US"/>
              </w:rPr>
              <w:t>1) nodarījuma bīstamību;</w:t>
            </w:r>
          </w:p>
          <w:p w14:paraId="2531B595" w14:textId="77777777" w:rsidR="00F41A11" w:rsidRPr="00F41A11" w:rsidRDefault="00F41A11" w:rsidP="00F41A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eastAsia="en-US"/>
              </w:rPr>
            </w:pPr>
            <w:r w:rsidRPr="00223647">
              <w:rPr>
                <w:color w:val="000000"/>
                <w:lang w:eastAsia="en-US"/>
              </w:rPr>
              <w:t>2) sabiedrisko kaitīgumu</w:t>
            </w:r>
            <w:r w:rsidRPr="00F41A11">
              <w:rPr>
                <w:color w:val="000000"/>
                <w:lang w:eastAsia="en-US"/>
              </w:rPr>
              <w:t>;</w:t>
            </w:r>
          </w:p>
          <w:p w14:paraId="7F0FE67F" w14:textId="77777777" w:rsidR="00F41A11" w:rsidRPr="00F41A11" w:rsidRDefault="00F41A11" w:rsidP="00F41A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eastAsia="en-US"/>
              </w:rPr>
            </w:pPr>
            <w:r w:rsidRPr="00F41A11">
              <w:rPr>
                <w:color w:val="000000"/>
                <w:lang w:eastAsia="en-US"/>
              </w:rPr>
              <w:t>3) nodarījuma sekas;</w:t>
            </w:r>
          </w:p>
          <w:p w14:paraId="200AA062" w14:textId="77777777" w:rsidR="00F41A11" w:rsidRPr="00F41A11" w:rsidRDefault="00F41A11" w:rsidP="00F41A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eastAsia="en-US"/>
              </w:rPr>
            </w:pPr>
            <w:r w:rsidRPr="00F41A11">
              <w:rPr>
                <w:color w:val="000000"/>
                <w:lang w:eastAsia="en-US"/>
              </w:rPr>
              <w:t>4) nodarījuma aktualitāti;</w:t>
            </w:r>
          </w:p>
          <w:p w14:paraId="52B78806" w14:textId="77777777" w:rsidR="00F41A11" w:rsidRDefault="00F41A11" w:rsidP="00F41A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eastAsia="en-US"/>
              </w:rPr>
            </w:pPr>
            <w:r w:rsidRPr="00F41A11">
              <w:rPr>
                <w:color w:val="000000"/>
                <w:lang w:eastAsia="en-US"/>
              </w:rPr>
              <w:t>5) nodarījuma attiecināmību uz publiski tiesiskajām attiecībām.</w:t>
            </w:r>
          </w:p>
          <w:p w14:paraId="276D1633" w14:textId="5189B818" w:rsidR="00F41A11" w:rsidRPr="00F41A11" w:rsidRDefault="00F41A11" w:rsidP="00F41A11">
            <w:pPr>
              <w:jc w:val="both"/>
              <w:rPr>
                <w:color w:val="000000"/>
              </w:rPr>
            </w:pPr>
            <w:r w:rsidRPr="00F41A11">
              <w:rPr>
                <w:color w:val="000000"/>
              </w:rPr>
              <w:t>Administratīvā atbildība</w:t>
            </w:r>
            <w:r>
              <w:rPr>
                <w:color w:val="000000"/>
              </w:rPr>
              <w:t xml:space="preserve"> par dzīvesvietas nedeklarēšanu</w:t>
            </w:r>
            <w:r w:rsidRPr="00F41A11">
              <w:rPr>
                <w:color w:val="000000"/>
              </w:rPr>
              <w:t xml:space="preserve"> ir saglabājama šādu iemeslu dēļ:</w:t>
            </w:r>
          </w:p>
          <w:p w14:paraId="1EF9752D" w14:textId="48612804" w:rsidR="00F41A11" w:rsidRPr="00F41A11" w:rsidRDefault="00F41A11" w:rsidP="0039092C">
            <w:pPr>
              <w:jc w:val="both"/>
              <w:rPr>
                <w:color w:val="000000"/>
              </w:rPr>
            </w:pPr>
            <w:r>
              <w:rPr>
                <w:color w:val="000000"/>
              </w:rPr>
              <w:lastRenderedPageBreak/>
              <w:t>1. </w:t>
            </w:r>
            <w:r w:rsidR="0039092C">
              <w:rPr>
                <w:color w:val="000000"/>
              </w:rPr>
              <w:t xml:space="preserve">Nodarījuma bīstamība: </w:t>
            </w:r>
            <w:r>
              <w:t xml:space="preserve">Saskaņā ar </w:t>
            </w:r>
            <w:r w:rsidR="00265C8C">
              <w:t xml:space="preserve">Dzīvesvietas </w:t>
            </w:r>
            <w:r>
              <w:t>dek</w:t>
            </w:r>
            <w:r w:rsidR="00DA62A1">
              <w:t xml:space="preserve">larēšanas likuma </w:t>
            </w:r>
            <w:proofErr w:type="gramStart"/>
            <w:r w:rsidR="00DA62A1">
              <w:t>1.pantu</w:t>
            </w:r>
            <w:proofErr w:type="gramEnd"/>
            <w:r w:rsidR="00DA62A1">
              <w:t xml:space="preserve"> un 3.</w:t>
            </w:r>
            <w:r>
              <w:t xml:space="preserve">panta pirmo daļu dzīvesvietas deklarēšanas mērķis ir nodrošināt, lai </w:t>
            </w:r>
            <w:r w:rsidRPr="00456321">
              <w:t>ikviena persona būtu sasniedzama tiesiskajās attiecībās ar valsti un pašvaldību</w:t>
            </w:r>
            <w:r>
              <w:t xml:space="preserve">, proti, </w:t>
            </w:r>
            <w:r w:rsidRPr="00A26D89">
              <w:rPr>
                <w:bCs/>
              </w:rPr>
              <w:t>lai valstij būtu zināma adrese, kurā persona ir sasniedzama tiesiskajās attiecībās ar valsti un pašvaldību.</w:t>
            </w:r>
            <w:r>
              <w:rPr>
                <w:bCs/>
              </w:rPr>
              <w:t xml:space="preserve"> </w:t>
            </w:r>
            <w:r w:rsidR="00462D4C">
              <w:rPr>
                <w:bCs/>
              </w:rPr>
              <w:t>Atbilstoši Dzīvesvietas deklarēšanas likuma 7.panta otrajai un piektajai daļai ziņas par personas deklarēto dzīvesvietas adresi aktualizējamas Iedzīvotāju reģistrā, tādējādi lielākai daļai valsts un pašvaldību iestā</w:t>
            </w:r>
            <w:r w:rsidR="00E34BFA">
              <w:rPr>
                <w:bCs/>
              </w:rPr>
              <w:t xml:space="preserve">žu </w:t>
            </w:r>
            <w:r w:rsidR="00462D4C">
              <w:rPr>
                <w:bCs/>
              </w:rPr>
              <w:t>atbilstoši to kompetenc</w:t>
            </w:r>
            <w:r w:rsidR="00E34BFA">
              <w:rPr>
                <w:bCs/>
              </w:rPr>
              <w:t>ei</w:t>
            </w:r>
            <w:r w:rsidR="00462D4C">
              <w:rPr>
                <w:bCs/>
              </w:rPr>
              <w:t xml:space="preserve"> ir tiesības iegūt ziņas no Iedzīvotāju reģistra par personas deklarēto dzīvesvietas adresi.</w:t>
            </w:r>
            <w:r w:rsidRPr="00A26D89">
              <w:rPr>
                <w:bCs/>
              </w:rPr>
              <w:t xml:space="preserve"> Līdz ar to reģistrētajām ziņām par personas dzīvesvietu maksimāli jāatbilst </w:t>
            </w:r>
            <w:r w:rsidR="00462D4C">
              <w:rPr>
                <w:bCs/>
              </w:rPr>
              <w:t>faktiskajai</w:t>
            </w:r>
            <w:r w:rsidRPr="00A26D89">
              <w:rPr>
                <w:bCs/>
              </w:rPr>
              <w:t xml:space="preserve"> situācijai</w:t>
            </w:r>
            <w:r w:rsidR="00E2508F">
              <w:rPr>
                <w:bCs/>
              </w:rPr>
              <w:t>, lai</w:t>
            </w:r>
            <w:r w:rsidR="00462D4C">
              <w:rPr>
                <w:bCs/>
              </w:rPr>
              <w:t xml:space="preserve"> valsts un pašvaldību iestādes var sazināties ar personu</w:t>
            </w:r>
            <w:r w:rsidRPr="00A26D89">
              <w:rPr>
                <w:bCs/>
              </w:rPr>
              <w:t>.</w:t>
            </w:r>
            <w:r w:rsidR="00E2508F">
              <w:rPr>
                <w:bCs/>
              </w:rPr>
              <w:t xml:space="preserve"> Tāpat u</w:t>
            </w:r>
            <w:r w:rsidR="00462D4C">
              <w:rPr>
                <w:bCs/>
              </w:rPr>
              <w:t xml:space="preserve">z personas pienākumu deklarēt aktuālo dzīvesvietas adresi norāda arī </w:t>
            </w:r>
            <w:r w:rsidRPr="00A26D89">
              <w:rPr>
                <w:bCs/>
              </w:rPr>
              <w:t>minētā likuma 4.panta pirmā daļa, atbilstoši kurai dzīvesvietas maiņas gadījumā attiecīgās personas pienākums ir mēneša laikā, kopš tā pastāvīgi dzīvo jaunajā dzīvesvietā, deklarēt to d</w:t>
            </w:r>
            <w:r w:rsidR="00462D4C">
              <w:rPr>
                <w:bCs/>
              </w:rPr>
              <w:t>zīvesvietas deklarēšanas iestādē. Tādējādi dzīvesvietas adreses maiņas gadījumā personai ir pienākums to darīt zināmu valstij, lai nodrošinātu, ka persona ir sasniedzama tiesiskajās attiecībās ar valsti un pašvaldību</w:t>
            </w:r>
            <w:r>
              <w:rPr>
                <w:bCs/>
              </w:rPr>
              <w:t xml:space="preserve">. </w:t>
            </w:r>
            <w:r w:rsidRPr="00BA5BF5">
              <w:rPr>
                <w:bCs/>
              </w:rPr>
              <w:t xml:space="preserve">Dzīvesvietu atbilstīga deklarēšana un sistēmas funkcionēšana visā valsts teritorijā ir </w:t>
            </w:r>
            <w:r>
              <w:rPr>
                <w:bCs/>
              </w:rPr>
              <w:t>vispārēja, valstiska interese (</w:t>
            </w:r>
            <w:r w:rsidR="00E34BFA">
              <w:rPr>
                <w:bCs/>
                <w:i/>
              </w:rPr>
              <w:t xml:space="preserve">sk. </w:t>
            </w:r>
            <w:r w:rsidR="00E34BFA" w:rsidRPr="00E34BFA">
              <w:rPr>
                <w:bCs/>
                <w:i/>
              </w:rPr>
              <w:t>Augstākās tiesas Senāta Administratīvo lietu departamenta 2012. gada 27. septembra sprieduma lietā Nr. SKA-391/2012 12. punkt</w:t>
            </w:r>
            <w:r w:rsidR="00E34BFA">
              <w:rPr>
                <w:bCs/>
                <w:i/>
              </w:rPr>
              <w:t xml:space="preserve">u, </w:t>
            </w:r>
            <w:r w:rsidRPr="00DB4FB1">
              <w:rPr>
                <w:bCs/>
                <w:i/>
              </w:rPr>
              <w:t>Augstākās tiesas Senāta Administratīvo lietu departamenta 2013. gada 11. septembra sprieduma lietā Nr. SKA-0273-13 14. punkt</w:t>
            </w:r>
            <w:r w:rsidR="00E34BFA">
              <w:rPr>
                <w:bCs/>
                <w:i/>
              </w:rPr>
              <w:t>u</w:t>
            </w:r>
            <w:r>
              <w:rPr>
                <w:bCs/>
              </w:rPr>
              <w:t xml:space="preserve">). </w:t>
            </w:r>
            <w:r w:rsidR="00914E3A">
              <w:rPr>
                <w:color w:val="000000"/>
              </w:rPr>
              <w:t>Dzīvesvietas nedeklarēšana</w:t>
            </w:r>
            <w:r w:rsidRPr="00F41A11">
              <w:rPr>
                <w:color w:val="000000"/>
              </w:rPr>
              <w:t xml:space="preserve"> aizskar ikvienas </w:t>
            </w:r>
            <w:r>
              <w:rPr>
                <w:color w:val="000000"/>
              </w:rPr>
              <w:t>valsts vai pašvaldību iestādes tiesības uzzināt personas deklarēto dzīvesvietas adresi un sazināties ar personu.</w:t>
            </w:r>
            <w:r w:rsidRPr="00F41A11">
              <w:rPr>
                <w:color w:val="000000"/>
              </w:rPr>
              <w:t xml:space="preserve"> Ņemot vērā minēto, šobrīd </w:t>
            </w:r>
            <w:r>
              <w:rPr>
                <w:color w:val="000000"/>
              </w:rPr>
              <w:t xml:space="preserve">Kodeksa 186.panta otrajā daļā </w:t>
            </w:r>
            <w:r w:rsidRPr="00F41A11">
              <w:rPr>
                <w:color w:val="000000"/>
              </w:rPr>
              <w:t xml:space="preserve"> paredzētais administratīvais pārkāpums ir uzskatāms par bīstamu.</w:t>
            </w:r>
          </w:p>
          <w:p w14:paraId="6311003C" w14:textId="76BD98EC" w:rsidR="00F41A11" w:rsidRPr="00F41A11" w:rsidRDefault="0039092C" w:rsidP="00914E3A">
            <w:pPr>
              <w:jc w:val="both"/>
              <w:rPr>
                <w:color w:val="000000"/>
              </w:rPr>
            </w:pPr>
            <w:r>
              <w:rPr>
                <w:color w:val="000000"/>
              </w:rPr>
              <w:t>2. Sabiedriskais kaitīgums:</w:t>
            </w:r>
            <w:r w:rsidR="00F41A11" w:rsidRPr="00F41A11">
              <w:rPr>
                <w:color w:val="000000"/>
              </w:rPr>
              <w:t xml:space="preserve"> </w:t>
            </w:r>
            <w:r>
              <w:rPr>
                <w:color w:val="000000"/>
              </w:rPr>
              <w:t>Dzīvesvietas nedeklarēšana aizskar ne tikai valsts un pašvaldību tiesības, kuras vēlas sazināties ar personu, bet var</w:t>
            </w:r>
            <w:r w:rsidR="00F41A11" w:rsidRPr="00F41A11">
              <w:rPr>
                <w:color w:val="000000"/>
              </w:rPr>
              <w:t xml:space="preserve"> aizskar</w:t>
            </w:r>
            <w:r>
              <w:rPr>
                <w:color w:val="000000"/>
              </w:rPr>
              <w:t>t arī citu personu tiesības, piemēram, civiltiesiska strīda gadījumā persona nevar uzzināt atbildētāja adresi, lai to norādītu prasības pieteikumā</w:t>
            </w:r>
            <w:r w:rsidR="00F41A11" w:rsidRPr="00F41A11">
              <w:rPr>
                <w:color w:val="000000"/>
              </w:rPr>
              <w:t>. Fakt</w:t>
            </w:r>
            <w:r w:rsidR="006F30DD">
              <w:rPr>
                <w:color w:val="000000"/>
              </w:rPr>
              <w:t xml:space="preserve">iskajai situācijai neatbilstošu ziņu esība Iedzīvotāju reģistrā par personas dzīvesvietas adresi </w:t>
            </w:r>
            <w:r w:rsidR="00F41A11" w:rsidRPr="00F41A11">
              <w:rPr>
                <w:color w:val="000000"/>
              </w:rPr>
              <w:t xml:space="preserve">rada </w:t>
            </w:r>
            <w:r w:rsidR="006F30DD">
              <w:rPr>
                <w:color w:val="000000"/>
              </w:rPr>
              <w:t>valsts</w:t>
            </w:r>
            <w:r w:rsidR="00E34BFA">
              <w:rPr>
                <w:color w:val="000000"/>
              </w:rPr>
              <w:t xml:space="preserve"> un </w:t>
            </w:r>
            <w:r w:rsidR="006F30DD">
              <w:rPr>
                <w:color w:val="000000"/>
              </w:rPr>
              <w:t>pašvaldību</w:t>
            </w:r>
            <w:r w:rsidR="00E34BFA">
              <w:rPr>
                <w:color w:val="000000"/>
              </w:rPr>
              <w:t xml:space="preserve"> institūciju</w:t>
            </w:r>
            <w:r w:rsidR="00914E3A">
              <w:rPr>
                <w:color w:val="000000"/>
              </w:rPr>
              <w:t>, kā arī</w:t>
            </w:r>
            <w:r w:rsidR="00E34BFA">
              <w:rPr>
                <w:color w:val="000000"/>
              </w:rPr>
              <w:t xml:space="preserve"> </w:t>
            </w:r>
            <w:r w:rsidR="006F30DD">
              <w:rPr>
                <w:color w:val="000000"/>
              </w:rPr>
              <w:t>privātpersonu, kam ir tiesības saņemt informāciju</w:t>
            </w:r>
            <w:r w:rsidR="00914E3A">
              <w:rPr>
                <w:color w:val="000000"/>
              </w:rPr>
              <w:t xml:space="preserve">, ja izpildās kāds no </w:t>
            </w:r>
            <w:r w:rsidR="00914E3A" w:rsidRPr="00914E3A">
              <w:t xml:space="preserve">Eiropas Parlamenta un Padomes 2016. gada 27. aprīļa regulas (ES) </w:t>
            </w:r>
            <w:hyperlink r:id="rId7" w:tgtFrame="_blank" w:history="1">
              <w:r w:rsidR="00914E3A" w:rsidRPr="00914E3A">
                <w:t>2016/679</w:t>
              </w:r>
            </w:hyperlink>
            <w:r w:rsidR="00914E3A" w:rsidRPr="00914E3A">
              <w:t xml:space="preserve"> par fizisku personu aizsardzību attiecībā uz personas datu apstrādi un šādu datu brīvu apriti un ar ko atceļ direktīvu </w:t>
            </w:r>
            <w:hyperlink r:id="rId8" w:tgtFrame="_blank" w:history="1">
              <w:r w:rsidR="00914E3A" w:rsidRPr="00914E3A">
                <w:t>95/46/EK</w:t>
              </w:r>
            </w:hyperlink>
            <w:r w:rsidR="00914E3A" w:rsidRPr="00914E3A">
              <w:t xml:space="preserve"> </w:t>
            </w:r>
            <w:proofErr w:type="gramStart"/>
            <w:r w:rsidR="00914E3A" w:rsidRPr="00914E3A">
              <w:t>(</w:t>
            </w:r>
            <w:proofErr w:type="gramEnd"/>
            <w:r w:rsidR="00914E3A" w:rsidRPr="00914E3A">
              <w:t>Vispārīgā datu aizsardzības regula)</w:t>
            </w:r>
            <w:r w:rsidR="00914E3A">
              <w:t xml:space="preserve"> 6.pantā minētajiem nosacījumiem</w:t>
            </w:r>
            <w:r w:rsidR="00E34BFA">
              <w:t>,</w:t>
            </w:r>
            <w:r w:rsidR="00F41A11" w:rsidRPr="00F41A11">
              <w:t xml:space="preserve"> </w:t>
            </w:r>
            <w:r w:rsidR="00F41A11" w:rsidRPr="00F41A11">
              <w:rPr>
                <w:color w:val="000000"/>
              </w:rPr>
              <w:t xml:space="preserve">interešu − saņemt no </w:t>
            </w:r>
            <w:r w:rsidR="006F30DD">
              <w:rPr>
                <w:color w:val="000000"/>
              </w:rPr>
              <w:t>Iedzīvotāju reģistra</w:t>
            </w:r>
            <w:r w:rsidR="00F41A11" w:rsidRPr="00F41A11">
              <w:rPr>
                <w:color w:val="000000"/>
              </w:rPr>
              <w:t xml:space="preserve"> patiesu</w:t>
            </w:r>
            <w:r w:rsidR="006F30DD">
              <w:rPr>
                <w:color w:val="000000"/>
              </w:rPr>
              <w:t xml:space="preserve"> un aktuālu</w:t>
            </w:r>
            <w:r w:rsidR="00F41A11" w:rsidRPr="00F41A11">
              <w:rPr>
                <w:color w:val="000000"/>
              </w:rPr>
              <w:t xml:space="preserve"> informāciju – aizskārumu. </w:t>
            </w:r>
            <w:r w:rsidRPr="00F41A11">
              <w:rPr>
                <w:color w:val="000000"/>
              </w:rPr>
              <w:t xml:space="preserve">Ņemot vērā minēto, šobrīd </w:t>
            </w:r>
            <w:r>
              <w:rPr>
                <w:color w:val="000000"/>
              </w:rPr>
              <w:t xml:space="preserve">Kodeksa 186.panta </w:t>
            </w:r>
            <w:r>
              <w:rPr>
                <w:color w:val="000000"/>
              </w:rPr>
              <w:lastRenderedPageBreak/>
              <w:t xml:space="preserve">otrajā daļā </w:t>
            </w:r>
            <w:r w:rsidRPr="00F41A11">
              <w:rPr>
                <w:color w:val="000000"/>
              </w:rPr>
              <w:t xml:space="preserve"> paredzētais administratīvais pā</w:t>
            </w:r>
            <w:r>
              <w:rPr>
                <w:color w:val="000000"/>
              </w:rPr>
              <w:t>rkāpums</w:t>
            </w:r>
            <w:r w:rsidR="00F41A11" w:rsidRPr="00F41A11">
              <w:rPr>
                <w:color w:val="000000"/>
              </w:rPr>
              <w:t xml:space="preserve"> aizskar sabiedriskās intereses tādā mērā, ka atbildība par pārkāpumu ir saglabājama.</w:t>
            </w:r>
          </w:p>
          <w:p w14:paraId="1E42E32D" w14:textId="5DA80B3A" w:rsidR="00F41A11" w:rsidRPr="00F41A11" w:rsidRDefault="004F7736" w:rsidP="00317CE4">
            <w:pPr>
              <w:jc w:val="both"/>
              <w:rPr>
                <w:color w:val="000000"/>
              </w:rPr>
            </w:pPr>
            <w:r>
              <w:rPr>
                <w:color w:val="000000"/>
              </w:rPr>
              <w:t xml:space="preserve">3. Nodarījuma </w:t>
            </w:r>
            <w:r w:rsidRPr="00EC0AC8">
              <w:rPr>
                <w:color w:val="000000"/>
              </w:rPr>
              <w:t>sekas:</w:t>
            </w:r>
            <w:r w:rsidR="00F41A11" w:rsidRPr="00EC0AC8">
              <w:rPr>
                <w:color w:val="000000"/>
              </w:rPr>
              <w:t xml:space="preserve"> </w:t>
            </w:r>
            <w:r w:rsidR="00317CE4" w:rsidRPr="00EC0AC8">
              <w:rPr>
                <w:color w:val="000000"/>
              </w:rPr>
              <w:t>Dzīvesvietas nedeklarēšana veicina to, ka ne valsts, ne pašvaldība nevar sasniegt personu.</w:t>
            </w:r>
            <w:r w:rsidR="007A48E4" w:rsidRPr="00EC0AC8">
              <w:rPr>
                <w:color w:val="000000"/>
              </w:rPr>
              <w:t xml:space="preserve"> Norādāms, ka </w:t>
            </w:r>
            <w:r w:rsidR="007A48E4" w:rsidRPr="00EC0AC8">
              <w:t>precīzai dzīvesvietas adresei ir liela nozīme ne tikai paziņošanā, ja tiek izmantoti pasta pakalpojumi, bet arī</w:t>
            </w:r>
            <w:proofErr w:type="gramStart"/>
            <w:r w:rsidR="007A48E4" w:rsidRPr="00EC0AC8">
              <w:t xml:space="preserve">  </w:t>
            </w:r>
            <w:proofErr w:type="gramEnd"/>
            <w:r w:rsidR="007A48E4" w:rsidRPr="00EC0AC8">
              <w:t>tiesas piekritības noteikšanā, pašvaldību pakalpojumu sniegšanā</w:t>
            </w:r>
            <w:r w:rsidR="007E4672" w:rsidRPr="00EC0AC8">
              <w:t xml:space="preserve">, </w:t>
            </w:r>
            <w:r w:rsidR="004A0A4B" w:rsidRPr="00EC0AC8">
              <w:t xml:space="preserve">pašvaldības finanšu izlīdzināšanas aprēķinā </w:t>
            </w:r>
            <w:r w:rsidR="007A48E4" w:rsidRPr="00EC0AC8">
              <w:t>u.c. procesos.</w:t>
            </w:r>
            <w:r w:rsidR="004A0A4B" w:rsidRPr="00EC0AC8">
              <w:t xml:space="preserve"> </w:t>
            </w:r>
            <w:r w:rsidR="00317CE4" w:rsidRPr="00EC0AC8">
              <w:rPr>
                <w:color w:val="000000"/>
              </w:rPr>
              <w:t xml:space="preserve">Ņemot vērā minēto, šobrīd Kodeksa 186.panta otrajā daļā </w:t>
            </w:r>
            <w:r w:rsidR="00F41A11" w:rsidRPr="00EC0AC8">
              <w:rPr>
                <w:color w:val="000000"/>
              </w:rPr>
              <w:t>administratīvā pārkāpuma radītās sekas atzīstamas par būtiskām.</w:t>
            </w:r>
          </w:p>
          <w:p w14:paraId="071205F9" w14:textId="79E4C4FE" w:rsidR="00F41A11" w:rsidRPr="00F41A11" w:rsidRDefault="00317CE4" w:rsidP="00317CE4">
            <w:pPr>
              <w:jc w:val="both"/>
              <w:rPr>
                <w:color w:val="000000"/>
              </w:rPr>
            </w:pPr>
            <w:r>
              <w:rPr>
                <w:color w:val="000000"/>
              </w:rPr>
              <w:t xml:space="preserve">4. Nodarījuma aktualitāte: </w:t>
            </w:r>
            <w:r>
              <w:t>Tā kā vēl joprojām ir personas, kuras nepilda savu pienākumu un nedeklarē dzīvesvietas adresi, kā rezultātā gadā tiek sastādīti vairāk kā 6 000 protokolu</w:t>
            </w:r>
            <w:r w:rsidR="00223647">
              <w:t>,</w:t>
            </w:r>
            <w:r w:rsidR="00F41A11" w:rsidRPr="00F41A11">
              <w:rPr>
                <w:color w:val="000000"/>
              </w:rPr>
              <w:t xml:space="preserve"> </w:t>
            </w:r>
            <w:r w:rsidR="00223647">
              <w:rPr>
                <w:color w:val="000000"/>
              </w:rPr>
              <w:t xml:space="preserve">Kodeksa </w:t>
            </w:r>
            <w:proofErr w:type="gramStart"/>
            <w:r w:rsidR="00223647">
              <w:rPr>
                <w:color w:val="000000"/>
              </w:rPr>
              <w:t>186.panta</w:t>
            </w:r>
            <w:proofErr w:type="gramEnd"/>
            <w:r w:rsidR="00223647">
              <w:rPr>
                <w:color w:val="000000"/>
              </w:rPr>
              <w:t xml:space="preserve"> otrajā daļā </w:t>
            </w:r>
            <w:r w:rsidR="00F41A11" w:rsidRPr="00F41A11">
              <w:rPr>
                <w:color w:val="000000"/>
              </w:rPr>
              <w:t>noteiktais administratīvais pārkāpums atzīstams par aktuālu.</w:t>
            </w:r>
          </w:p>
          <w:p w14:paraId="5BDA658D" w14:textId="06D4AA66" w:rsidR="00F41A11" w:rsidRDefault="00F41A11" w:rsidP="00F41A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eastAsia="en-US"/>
              </w:rPr>
            </w:pPr>
            <w:r w:rsidRPr="00F41A11">
              <w:rPr>
                <w:color w:val="000000"/>
              </w:rPr>
              <w:t xml:space="preserve">5. Nodarījuma attiecināmība uz </w:t>
            </w:r>
            <w:r w:rsidR="00223647">
              <w:rPr>
                <w:color w:val="000000"/>
              </w:rPr>
              <w:t>publiski tiesiskajām attiecībām: Kodeksa 186.panta otrajā daļā noteikta administratīvā atbildība par dzīvesvietas nedeklarēšanu</w:t>
            </w:r>
            <w:r w:rsidRPr="00F41A11">
              <w:rPr>
                <w:color w:val="000000"/>
              </w:rPr>
              <w:t>.</w:t>
            </w:r>
            <w:r w:rsidR="00223647">
              <w:rPr>
                <w:color w:val="000000"/>
              </w:rPr>
              <w:t xml:space="preserve"> </w:t>
            </w:r>
            <w:r w:rsidR="00223647" w:rsidRPr="006548F2">
              <w:t>Dzīvesvietas deklarēšana ir publiski tiesiska attiecība starp valsti un privātpersonu</w:t>
            </w:r>
            <w:r w:rsidR="00223647">
              <w:t xml:space="preserve"> (</w:t>
            </w:r>
            <w:r w:rsidR="00223647">
              <w:rPr>
                <w:i/>
              </w:rPr>
              <w:t xml:space="preserve">sk., piem., </w:t>
            </w:r>
            <w:r w:rsidR="00223647" w:rsidRPr="00BF2497">
              <w:rPr>
                <w:bCs/>
                <w:i/>
              </w:rPr>
              <w:t>Augstākās tiesas Administratīvo lietu departamenta 2015.</w:t>
            </w:r>
            <w:r w:rsidR="00223647">
              <w:rPr>
                <w:bCs/>
                <w:i/>
              </w:rPr>
              <w:t> </w:t>
            </w:r>
            <w:r w:rsidR="00223647" w:rsidRPr="00BF2497">
              <w:rPr>
                <w:bCs/>
                <w:i/>
              </w:rPr>
              <w:t>gada 13.</w:t>
            </w:r>
            <w:r w:rsidR="00223647">
              <w:rPr>
                <w:bCs/>
                <w:i/>
              </w:rPr>
              <w:t> </w:t>
            </w:r>
            <w:r w:rsidR="00223647" w:rsidRPr="00BF2497">
              <w:rPr>
                <w:bCs/>
                <w:i/>
              </w:rPr>
              <w:t>marta spriedum</w:t>
            </w:r>
            <w:r w:rsidR="00223647">
              <w:rPr>
                <w:bCs/>
                <w:i/>
              </w:rPr>
              <w:t>u</w:t>
            </w:r>
            <w:r w:rsidR="00223647" w:rsidRPr="00BF2497">
              <w:rPr>
                <w:bCs/>
                <w:i/>
              </w:rPr>
              <w:t xml:space="preserve"> lietā</w:t>
            </w:r>
            <w:r w:rsidR="00223647">
              <w:rPr>
                <w:bCs/>
                <w:i/>
              </w:rPr>
              <w:t xml:space="preserve"> </w:t>
            </w:r>
            <w:r w:rsidR="00223647" w:rsidRPr="00BF2497">
              <w:rPr>
                <w:bCs/>
                <w:i/>
              </w:rPr>
              <w:t>Nr.</w:t>
            </w:r>
            <w:r w:rsidR="00223647">
              <w:rPr>
                <w:bCs/>
                <w:i/>
              </w:rPr>
              <w:t> </w:t>
            </w:r>
            <w:r w:rsidR="00223647" w:rsidRPr="00BF2497">
              <w:rPr>
                <w:bCs/>
                <w:i/>
              </w:rPr>
              <w:t>SKA-92/2015 6.</w:t>
            </w:r>
            <w:r w:rsidR="00223647">
              <w:rPr>
                <w:bCs/>
                <w:i/>
              </w:rPr>
              <w:t> </w:t>
            </w:r>
            <w:r w:rsidR="00223647" w:rsidRPr="00BF2497">
              <w:rPr>
                <w:bCs/>
                <w:i/>
              </w:rPr>
              <w:t>punkt</w:t>
            </w:r>
            <w:r w:rsidR="005F2004">
              <w:rPr>
                <w:bCs/>
                <w:i/>
              </w:rPr>
              <w:t>u</w:t>
            </w:r>
            <w:r w:rsidR="00223647">
              <w:t>)</w:t>
            </w:r>
            <w:r w:rsidR="00223647" w:rsidRPr="006548F2">
              <w:t>.</w:t>
            </w:r>
            <w:r w:rsidRPr="00F41A11">
              <w:rPr>
                <w:color w:val="000000"/>
              </w:rPr>
              <w:t xml:space="preserve"> </w:t>
            </w:r>
            <w:r w:rsidR="00223647">
              <w:rPr>
                <w:color w:val="000000"/>
              </w:rPr>
              <w:t>Dzīvesvietas nedeklarēšana</w:t>
            </w:r>
            <w:r w:rsidRPr="00F41A11">
              <w:rPr>
                <w:color w:val="000000"/>
              </w:rPr>
              <w:t xml:space="preserve"> aizskar visas sabiedrības intereses − saņemt</w:t>
            </w:r>
            <w:proofErr w:type="gramStart"/>
            <w:r w:rsidRPr="00F41A11">
              <w:rPr>
                <w:color w:val="000000"/>
              </w:rPr>
              <w:t xml:space="preserve">  </w:t>
            </w:r>
            <w:proofErr w:type="gramEnd"/>
            <w:r w:rsidRPr="00F41A11">
              <w:rPr>
                <w:color w:val="000000"/>
              </w:rPr>
              <w:t>ticamu informāciju</w:t>
            </w:r>
            <w:r w:rsidR="00223647">
              <w:rPr>
                <w:color w:val="000000"/>
              </w:rPr>
              <w:t xml:space="preserve"> par to, kur persona ir sasniedzama tiesiskajās attiecībās ar valsti un pašvaldību</w:t>
            </w:r>
            <w:r w:rsidRPr="00F41A11">
              <w:rPr>
                <w:color w:val="000000"/>
              </w:rPr>
              <w:t>. Ievērojot minēto, nodarījums ir attiecināms uz publiski tiesiskajām attiecībām.</w:t>
            </w:r>
          </w:p>
          <w:p w14:paraId="276E013A" w14:textId="77777777" w:rsidR="005F2004" w:rsidRPr="00B65C43" w:rsidRDefault="005F2004" w:rsidP="00317CE4">
            <w:pPr>
              <w:jc w:val="both"/>
              <w:rPr>
                <w:sz w:val="16"/>
                <w:szCs w:val="16"/>
              </w:rPr>
            </w:pPr>
          </w:p>
          <w:p w14:paraId="2F7C9319" w14:textId="77777777" w:rsidR="00B93757" w:rsidRDefault="00B93757" w:rsidP="00317CE4">
            <w:pPr>
              <w:jc w:val="both"/>
            </w:pPr>
            <w:r>
              <w:t>Tādējādi, lai nodrošinātu</w:t>
            </w:r>
            <w:r w:rsidR="00F45F41">
              <w:t xml:space="preserve">, ka personas izpilda tām uzlikto pienākumu un tās informē valsti, kur tās ir sasniedzamas tiesiskajās attiecībās ar valsti un pašvaldību, </w:t>
            </w:r>
            <w:r>
              <w:t>ir būtiski saglabāt administratīvo atbildību par dzīvesvietas nedeklarēšanu, ko šobrīd paredz arī Kodeksa 186.panta otrā</w:t>
            </w:r>
            <w:r w:rsidRPr="00F566C3">
              <w:t xml:space="preserve"> daļ</w:t>
            </w:r>
            <w:r>
              <w:t>a, tas ir,</w:t>
            </w:r>
            <w:r w:rsidRPr="00F566C3">
              <w:t xml:space="preserve"> par dzīvesvietas nedeklarēšanu iz</w:t>
            </w:r>
            <w:r>
              <w:t xml:space="preserve">saka </w:t>
            </w:r>
            <w:r w:rsidRPr="00F566C3">
              <w:t xml:space="preserve">brīdinājumu vai uzlikt naudas sodu līdz 350 </w:t>
            </w:r>
            <w:proofErr w:type="spellStart"/>
            <w:r w:rsidRPr="00F566C3">
              <w:rPr>
                <w:i/>
              </w:rPr>
              <w:t>euro</w:t>
            </w:r>
            <w:proofErr w:type="spellEnd"/>
            <w:r w:rsidRPr="00F566C3">
              <w:t>.</w:t>
            </w:r>
          </w:p>
          <w:p w14:paraId="712FA160" w14:textId="77777777" w:rsidR="005F2004" w:rsidRPr="00B65C43" w:rsidRDefault="005F2004" w:rsidP="00317CE4">
            <w:pPr>
              <w:jc w:val="both"/>
              <w:rPr>
                <w:sz w:val="16"/>
                <w:szCs w:val="16"/>
              </w:rPr>
            </w:pPr>
          </w:p>
          <w:p w14:paraId="2F7C931A" w14:textId="346065D6" w:rsidR="00B963D2" w:rsidRDefault="00487611" w:rsidP="00317CE4">
            <w:pPr>
              <w:jc w:val="both"/>
            </w:pPr>
            <w:r w:rsidRPr="00F566C3">
              <w:t>Likump</w:t>
            </w:r>
            <w:r w:rsidR="00B963D2" w:rsidRPr="00F566C3">
              <w:t xml:space="preserve">rojektā par </w:t>
            </w:r>
            <w:r w:rsidR="00762BF0">
              <w:t>dzīvesvietas nedeklarēšanu</w:t>
            </w:r>
            <w:r w:rsidR="00762BF0" w:rsidRPr="00F566C3" w:rsidDel="00762BF0">
              <w:t xml:space="preserve"> </w:t>
            </w:r>
            <w:r w:rsidR="00B963D2" w:rsidRPr="00F566C3">
              <w:t>paredzēts</w:t>
            </w:r>
            <w:r w:rsidR="00B963D2" w:rsidRPr="00F566C3">
              <w:rPr>
                <w:rFonts w:eastAsia="Calibri"/>
              </w:rPr>
              <w:t xml:space="preserve"> </w:t>
            </w:r>
            <w:r w:rsidR="005C1FD3" w:rsidRPr="00F566C3">
              <w:rPr>
                <w:rFonts w:eastAsia="Calibri"/>
              </w:rPr>
              <w:t>piemērot</w:t>
            </w:r>
            <w:r w:rsidR="00B963D2" w:rsidRPr="00F566C3">
              <w:rPr>
                <w:rFonts w:eastAsia="Calibri"/>
              </w:rPr>
              <w:t xml:space="preserve"> </w:t>
            </w:r>
            <w:r w:rsidR="00D63223" w:rsidRPr="00F566C3">
              <w:rPr>
                <w:rFonts w:eastAsia="Calibri"/>
              </w:rPr>
              <w:t>brīdinājumu</w:t>
            </w:r>
            <w:r w:rsidR="00B963D2" w:rsidRPr="00F566C3">
              <w:rPr>
                <w:rFonts w:eastAsia="Calibri"/>
              </w:rPr>
              <w:t xml:space="preserve"> vai naudas sodu līdz septiņdesmit naudas soda vienībām</w:t>
            </w:r>
            <w:r w:rsidR="00B963D2" w:rsidRPr="00F566C3">
              <w:t>.</w:t>
            </w:r>
            <w:r w:rsidR="001A5407">
              <w:t xml:space="preserve"> Tādējādi soda apmērs tiks saglabāts</w:t>
            </w:r>
            <w:r w:rsidR="006E73B6">
              <w:t xml:space="preserve"> esošajā apmērā.</w:t>
            </w:r>
          </w:p>
          <w:p w14:paraId="5061C198" w14:textId="77777777" w:rsidR="005F2004" w:rsidRPr="00B65C43" w:rsidRDefault="005F2004" w:rsidP="007B5712">
            <w:pPr>
              <w:jc w:val="both"/>
              <w:rPr>
                <w:sz w:val="16"/>
                <w:szCs w:val="16"/>
              </w:rPr>
            </w:pPr>
          </w:p>
          <w:p w14:paraId="2F7C931B" w14:textId="65A85BBF" w:rsidR="007B5712" w:rsidRDefault="00B107E6" w:rsidP="007B5712">
            <w:pPr>
              <w:jc w:val="both"/>
            </w:pPr>
            <w:r>
              <w:t>Šobrīd Kodeksa 210., 214.</w:t>
            </w:r>
            <w:r w:rsidRPr="00A10DAE">
              <w:rPr>
                <w:vertAlign w:val="superscript"/>
              </w:rPr>
              <w:t>1</w:t>
            </w:r>
            <w:r>
              <w:t>, 226.</w:t>
            </w:r>
            <w:r w:rsidRPr="00A10DAE">
              <w:rPr>
                <w:vertAlign w:val="superscript"/>
              </w:rPr>
              <w:t>1</w:t>
            </w:r>
            <w:r>
              <w:t>, 236.</w:t>
            </w:r>
            <w:r w:rsidRPr="00A10DAE">
              <w:rPr>
                <w:vertAlign w:val="superscript"/>
              </w:rPr>
              <w:t>13</w:t>
            </w:r>
            <w:r w:rsidR="005F2004">
              <w:rPr>
                <w:vertAlign w:val="superscript"/>
              </w:rPr>
              <w:t> </w:t>
            </w:r>
            <w:r>
              <w:t>pantā nosauktas iestādes</w:t>
            </w:r>
            <w:r w:rsidR="00231445">
              <w:t xml:space="preserve"> (pašvaldības administratīvā komisija vai apakškomisija,</w:t>
            </w:r>
            <w:r w:rsidR="00231445" w:rsidRPr="00F566C3">
              <w:t xml:space="preserve"> Valsts robežsardze, pašvaldības policija un Pilsonīb</w:t>
            </w:r>
            <w:r w:rsidR="00231445">
              <w:t>as un migrācijas lietu pārvalde)</w:t>
            </w:r>
            <w:r>
              <w:t>, kas izskata administratīvo pārkāpumu lietas par dzīvesvietas nedeklarēšanu, arī</w:t>
            </w:r>
            <w:r w:rsidRPr="00F566C3">
              <w:t xml:space="preserve"> </w:t>
            </w:r>
            <w:r w:rsidR="00F56E24">
              <w:t>i</w:t>
            </w:r>
            <w:r w:rsidR="005C1FD3" w:rsidRPr="00F566C3">
              <w:t>nformatīvā ziņojuma “Nozaru administratīvo pārkāpumu kodifikācijas ieviešanas sistēma”,</w:t>
            </w:r>
            <w:r w:rsidR="001D7613" w:rsidRPr="00F566C3">
              <w:t xml:space="preserve"> kas</w:t>
            </w:r>
            <w:r w:rsidR="005C1FD3" w:rsidRPr="00F566C3">
              <w:t xml:space="preserve"> apstiprināts Ministru kabineta 2014.gada 22.aprīļa sēdē (prot.Nr.24, 26.§)</w:t>
            </w:r>
            <w:r w:rsidR="007A48E4">
              <w:t>,</w:t>
            </w:r>
            <w:r w:rsidR="004D325D" w:rsidRPr="00F566C3">
              <w:t xml:space="preserve"> </w:t>
            </w:r>
            <w:r w:rsidR="00226288">
              <w:t>1.pielikuma 309.</w:t>
            </w:r>
            <w:r w:rsidR="005C1FD3" w:rsidRPr="00F566C3">
              <w:t xml:space="preserve">punktā </w:t>
            </w:r>
            <w:r w:rsidR="00231445">
              <w:t>minētas tās pašas iestādes. Ievērojot minēto,</w:t>
            </w:r>
            <w:r w:rsidR="002C3EDC" w:rsidRPr="00F566C3">
              <w:t xml:space="preserve"> ir</w:t>
            </w:r>
            <w:r w:rsidR="005C1FD3" w:rsidRPr="00F566C3">
              <w:t xml:space="preserve"> paredzēts, ka administratīvā pārkāpuma procesu par dzīvesvietas nedeklarēšanu </w:t>
            </w:r>
            <w:r w:rsidR="00A10DAE">
              <w:t xml:space="preserve">arī turpmāk </w:t>
            </w:r>
            <w:r w:rsidR="007A4752">
              <w:t>veiks</w:t>
            </w:r>
            <w:r w:rsidR="00226288">
              <w:t xml:space="preserve"> </w:t>
            </w:r>
            <w:r w:rsidR="007B5712">
              <w:t>pašvaldības administratīvā komisija vai apakškomisija,</w:t>
            </w:r>
            <w:r w:rsidR="005C1FD3" w:rsidRPr="00F566C3">
              <w:t xml:space="preserve"> Valsts robežsardze</w:t>
            </w:r>
            <w:r w:rsidR="00537CB1" w:rsidRPr="00F566C3">
              <w:t xml:space="preserve">, </w:t>
            </w:r>
            <w:r w:rsidR="00C45DD8" w:rsidRPr="00F566C3">
              <w:t>p</w:t>
            </w:r>
            <w:r w:rsidR="00537CB1" w:rsidRPr="00F566C3">
              <w:t>ašvaldības policija</w:t>
            </w:r>
            <w:r w:rsidR="005C1FD3" w:rsidRPr="00F566C3">
              <w:t xml:space="preserve"> un Pilsonīb</w:t>
            </w:r>
            <w:r w:rsidR="007B5712">
              <w:t>as un migrācijas lietu pārvalde.</w:t>
            </w:r>
            <w:r w:rsidR="005C1FD3" w:rsidRPr="00F566C3">
              <w:t xml:space="preserve"> </w:t>
            </w:r>
            <w:r w:rsidR="00A10DAE">
              <w:t>Pašvaldības administratīvā komisija vai apakškomisija,</w:t>
            </w:r>
            <w:r w:rsidR="00A10DAE" w:rsidRPr="00F566C3">
              <w:t xml:space="preserve"> pašvaldības policija un Pilsonīb</w:t>
            </w:r>
            <w:r w:rsidR="00A10DAE">
              <w:t>as un migrācijas lietu pārvalde saglabājamas kā kompetentās iestādes</w:t>
            </w:r>
            <w:r>
              <w:t>,</w:t>
            </w:r>
            <w:r w:rsidR="00A10DAE">
              <w:t xml:space="preserve"> ņemot vērā arī statistikas datus par līdz šim konstatētajiem pārkāpumiem. Lai gan Valsts robežsardze</w:t>
            </w:r>
            <w:r>
              <w:t>,</w:t>
            </w:r>
            <w:r w:rsidR="00A10DAE">
              <w:t xml:space="preserve"> salīdzinot ar iepriekš minētajām kompetentajām iestādēm</w:t>
            </w:r>
            <w:r>
              <w:t>,</w:t>
            </w:r>
            <w:r w:rsidR="00A10DAE">
              <w:t xml:space="preserve"> konstatē mazāk pārkāpumu, tomēr tā arī ir saglabājama kā kompetentā iestāde, ņemot vērā, ka lielākā daļa šo pārkāpumu tiek konstatēta</w:t>
            </w:r>
            <w:r>
              <w:t>, veicot ārzemnieku uzturēšanās kontroli.</w:t>
            </w:r>
          </w:p>
          <w:p w14:paraId="33A257EC" w14:textId="0EEEFCE7" w:rsidR="0073689E" w:rsidRPr="00F47E80" w:rsidRDefault="0073689E" w:rsidP="007B5712">
            <w:pPr>
              <w:jc w:val="both"/>
            </w:pPr>
            <w:r>
              <w:t xml:space="preserve">Minētās iestādes administratīvā pārkāpuma procesu par dzīvesvietas nedeklarēšanu veiks, ja pašas to konstatēs, kas lielākoties notiek veicot savas funkcijas, piemēram, Pilsonības un migrācijas lietu pārvalde, izsniedzot personu apliecinošu </w:t>
            </w:r>
            <w:r w:rsidRPr="00EC0AC8">
              <w:t>dokumentu, pašvaldības policija, fiksējot likumpārkāpumu, pašvaldības administratīv</w:t>
            </w:r>
            <w:r w:rsidR="005F2004" w:rsidRPr="00EC0AC8">
              <w:t>ā</w:t>
            </w:r>
            <w:r w:rsidRPr="00EC0AC8">
              <w:t xml:space="preserve"> komisija vai apakškomisija</w:t>
            </w:r>
            <w:r w:rsidR="00614D8D" w:rsidRPr="00EC0AC8">
              <w:t>,</w:t>
            </w:r>
            <w:r w:rsidRPr="00EC0AC8">
              <w:t xml:space="preserve"> izskatot administratīvā pārkāpuma lietas</w:t>
            </w:r>
            <w:r w:rsidR="00614D8D" w:rsidRPr="00EC0AC8">
              <w:t xml:space="preserve">, kā </w:t>
            </w:r>
            <w:r w:rsidR="00614D8D" w:rsidRPr="00F47E80">
              <w:t>ar</w:t>
            </w:r>
            <w:r w:rsidR="00287E29" w:rsidRPr="00F47E80">
              <w:t>ī uz</w:t>
            </w:r>
            <w:r w:rsidR="007A48E4" w:rsidRPr="00F47E80">
              <w:t xml:space="preserve"> iesnieguma pamata vai</w:t>
            </w:r>
            <w:r w:rsidR="00287E29" w:rsidRPr="00F47E80">
              <w:t xml:space="preserve"> citas iestādes ziņojuma pamata</w:t>
            </w:r>
            <w:r w:rsidR="00614D8D" w:rsidRPr="00F47E80">
              <w:t xml:space="preserve"> atbilstoši Administratīvās atbildības likuma </w:t>
            </w:r>
            <w:r w:rsidR="00287E29" w:rsidRPr="00F47E80">
              <w:t xml:space="preserve">116.panta </w:t>
            </w:r>
            <w:r w:rsidR="007A48E4" w:rsidRPr="00F47E80">
              <w:t xml:space="preserve">1. un </w:t>
            </w:r>
            <w:r w:rsidR="00287E29" w:rsidRPr="00F47E80">
              <w:t>3.punktam</w:t>
            </w:r>
            <w:r w:rsidRPr="00F47E80">
              <w:t>.</w:t>
            </w:r>
          </w:p>
          <w:p w14:paraId="204DE3F2" w14:textId="2A793109" w:rsidR="003022C5" w:rsidRPr="00F47E80" w:rsidRDefault="003022C5" w:rsidP="007B5712">
            <w:pPr>
              <w:jc w:val="both"/>
            </w:pPr>
            <w:r w:rsidRPr="00F47E80">
              <w:t xml:space="preserve">Šobrīd Kodeksa 210.pantā ir minēta tikai </w:t>
            </w:r>
            <w:r w:rsidR="00A31F1C" w:rsidRPr="00F47E80">
              <w:t xml:space="preserve">pašvaldības administratīvās komisijas bērnu lietu apakškomisija. Savukārt Administratīvās atbildības likuma 115.panta pirmās daļas 22.punktā noteikts, ka administratīvā pārkāpuma procesu ir tiesīgas veikt pašvaldības administratīvās komisijas </w:t>
            </w:r>
            <w:r w:rsidR="00651096" w:rsidRPr="00F47E80">
              <w:t>vai</w:t>
            </w:r>
            <w:r w:rsidR="00A31F1C" w:rsidRPr="00F47E80">
              <w:t xml:space="preserve"> apakškomisijas. Lai neierobežotu pašvaldību rīcības brīvību sava darba organizācijā, likumprojektā paredzēts, ka administratīvā pārkāpuma procesu</w:t>
            </w:r>
            <w:r w:rsidR="00651096" w:rsidRPr="00F47E80">
              <w:t xml:space="preserve"> par dzīvesvietas nedeklarēšanu</w:t>
            </w:r>
            <w:r w:rsidR="00A31F1C" w:rsidRPr="00F47E80">
              <w:t xml:space="preserve"> var veikt ne tikai pašvaldības administratīvā komisija, bet arī apakškomisija.</w:t>
            </w:r>
          </w:p>
          <w:p w14:paraId="2F7C931C" w14:textId="5F814542" w:rsidR="00B93757" w:rsidRDefault="007B5712" w:rsidP="007B5712">
            <w:pPr>
              <w:jc w:val="both"/>
            </w:pPr>
            <w:r w:rsidRPr="00F47E80">
              <w:t>Likumprojekta izstrādes</w:t>
            </w:r>
            <w:r w:rsidRPr="00774B4B">
              <w:t xml:space="preserve"> gaitā secināts, ka kā kompetentā iestāde sodu piemērošanā par dzīvesvietas nedeklarēšanu būtu norādām arī </w:t>
            </w:r>
            <w:r w:rsidR="00C45DD8" w:rsidRPr="00774B4B">
              <w:t>Valsts policija, ņemot vērā, ka</w:t>
            </w:r>
            <w:r w:rsidR="00891ED7" w:rsidRPr="00774B4B">
              <w:t xml:space="preserve"> lēmuma pieņemšana un pieņemtā lēmuma paziņošana šādos</w:t>
            </w:r>
            <w:proofErr w:type="gramStart"/>
            <w:r w:rsidR="00891ED7" w:rsidRPr="00774B4B">
              <w:t xml:space="preserve"> </w:t>
            </w:r>
            <w:r w:rsidR="003A43F3" w:rsidRPr="00774B4B">
              <w:t xml:space="preserve"> </w:t>
            </w:r>
            <w:proofErr w:type="gramEnd"/>
            <w:r w:rsidR="003A43F3" w:rsidRPr="00774B4B">
              <w:t>gadījumos visbiežāk ir veicama konstatēšanas brīdi, jo personai nav deklarētās adreses, uz kuru būtu paziņojams lēmums, tāpat lielākoties dzīvesvietas nedeklarēšana tiek konstatēta, policijas darbiniekiem pārbaudot likumpārkāpēja datus saistībā ar kādu citu likumpārkāpumu, kā arī to, ka</w:t>
            </w:r>
            <w:r w:rsidR="00C45DD8" w:rsidRPr="00774B4B">
              <w:t xml:space="preserve"> atsevišķās pašvaldībās nav pašvaldīb</w:t>
            </w:r>
            <w:r w:rsidR="00F52443" w:rsidRPr="00774B4B">
              <w:t>as</w:t>
            </w:r>
            <w:r w:rsidR="00C45DD8" w:rsidRPr="00774B4B">
              <w:t xml:space="preserve"> policija</w:t>
            </w:r>
            <w:r w:rsidR="00D51C1D" w:rsidRPr="00774B4B">
              <w:t>s</w:t>
            </w:r>
            <w:r w:rsidR="00C45DD8" w:rsidRPr="00774B4B">
              <w:t xml:space="preserve"> un ka Valsts policija ik gadu konstatē </w:t>
            </w:r>
            <w:r w:rsidR="00D51C1D" w:rsidRPr="00774B4B">
              <w:t>vidēji 2 500 pārkāpumu</w:t>
            </w:r>
            <w:r w:rsidR="00C45DD8" w:rsidRPr="00774B4B">
              <w:t xml:space="preserve"> </w:t>
            </w:r>
            <w:r w:rsidR="00D51C1D" w:rsidRPr="00774B4B">
              <w:t>p</w:t>
            </w:r>
            <w:r w:rsidR="00C45DD8" w:rsidRPr="00774B4B">
              <w:t xml:space="preserve">ar dzīvesvietas nedeklarēšanu </w:t>
            </w:r>
            <w:r w:rsidR="00D51C1D" w:rsidRPr="00774B4B">
              <w:t>(</w:t>
            </w:r>
            <w:r w:rsidR="00C45DD8" w:rsidRPr="00774B4B">
              <w:t>2016.gadā – 2 332 protokoli, 2017.gadā – 2</w:t>
            </w:r>
            <w:r w:rsidR="00F52443" w:rsidRPr="00774B4B">
              <w:t> </w:t>
            </w:r>
            <w:r w:rsidR="00C45DD8" w:rsidRPr="00774B4B">
              <w:t>708</w:t>
            </w:r>
            <w:r w:rsidR="00F52443" w:rsidRPr="00774B4B">
              <w:t xml:space="preserve"> protokoli</w:t>
            </w:r>
            <w:r w:rsidR="00C45DD8" w:rsidRPr="00774B4B">
              <w:t xml:space="preserve"> un 2018.gadā</w:t>
            </w:r>
            <w:r w:rsidR="00C15F1B">
              <w:t xml:space="preserve"> </w:t>
            </w:r>
            <w:r w:rsidR="00C45DD8" w:rsidRPr="00774B4B">
              <w:t>– 2</w:t>
            </w:r>
            <w:r w:rsidR="00F52443" w:rsidRPr="00774B4B">
              <w:t> </w:t>
            </w:r>
            <w:r w:rsidR="00C15F1B">
              <w:t>710</w:t>
            </w:r>
            <w:r w:rsidR="00F52443" w:rsidRPr="00774B4B">
              <w:t xml:space="preserve"> protokoli</w:t>
            </w:r>
            <w:r w:rsidR="00D51C1D" w:rsidRPr="00774B4B">
              <w:t>)</w:t>
            </w:r>
            <w:r w:rsidR="00C45DD8" w:rsidRPr="00774B4B">
              <w:t>.</w:t>
            </w:r>
          </w:p>
          <w:p w14:paraId="52490661" w14:textId="77777777" w:rsidR="00DA62A1" w:rsidRPr="00DA62A1" w:rsidRDefault="00DA62A1" w:rsidP="007B5712">
            <w:pPr>
              <w:jc w:val="both"/>
              <w:rPr>
                <w:sz w:val="16"/>
                <w:szCs w:val="16"/>
              </w:rPr>
            </w:pPr>
          </w:p>
          <w:p w14:paraId="765817B0" w14:textId="0F0D3737" w:rsidR="00C45DD8" w:rsidRDefault="00B93757" w:rsidP="00891ED7">
            <w:pPr>
              <w:jc w:val="both"/>
            </w:pPr>
            <w:r>
              <w:t xml:space="preserve">Attiecībā uz </w:t>
            </w:r>
            <w:r w:rsidRPr="00F566C3">
              <w:t>Kodeksa 190.</w:t>
            </w:r>
            <w:r w:rsidRPr="00F566C3">
              <w:rPr>
                <w:vertAlign w:val="superscript"/>
              </w:rPr>
              <w:t xml:space="preserve">10 </w:t>
            </w:r>
            <w:r w:rsidRPr="00F566C3">
              <w:t>pant</w:t>
            </w:r>
            <w:r>
              <w:t>u</w:t>
            </w:r>
            <w:r w:rsidRPr="00F566C3">
              <w:t xml:space="preserve"> par apzināti nepatiesu ziņu sniegšanu dzīvesvietas deklarēšanas iestādēm</w:t>
            </w:r>
            <w:r>
              <w:t>, par ko</w:t>
            </w:r>
            <w:r w:rsidRPr="00F566C3">
              <w:t xml:space="preserve"> paredzēts</w:t>
            </w:r>
            <w:r w:rsidR="007B5712">
              <w:t xml:space="preserve"> </w:t>
            </w:r>
            <w:r w:rsidRPr="00F566C3">
              <w:t xml:space="preserve">uzlikt naudas sodu no 70 līdz 500 </w:t>
            </w:r>
            <w:proofErr w:type="spellStart"/>
            <w:r w:rsidRPr="00F566C3">
              <w:rPr>
                <w:i/>
              </w:rPr>
              <w:t>euro</w:t>
            </w:r>
            <w:proofErr w:type="spellEnd"/>
            <w:r w:rsidR="007B5712">
              <w:rPr>
                <w:i/>
              </w:rPr>
              <w:t>,</w:t>
            </w:r>
            <w:r w:rsidR="007B5712">
              <w:t xml:space="preserve"> likumprojektā šāds administratīvais pārkāpums </w:t>
            </w:r>
            <w:r w:rsidR="00891ED7">
              <w:t xml:space="preserve">netiek </w:t>
            </w:r>
            <w:r w:rsidR="001B1E84">
              <w:t>paredzēts.</w:t>
            </w:r>
            <w:r w:rsidR="0090161B">
              <w:t xml:space="preserve"> </w:t>
            </w:r>
            <w:r w:rsidR="001B1E84">
              <w:t xml:space="preserve">Visus </w:t>
            </w:r>
            <w:r w:rsidR="007B5712">
              <w:t>administratīv</w:t>
            </w:r>
            <w:r w:rsidR="001B1E84">
              <w:t>os</w:t>
            </w:r>
            <w:r w:rsidR="00891ED7">
              <w:t xml:space="preserve"> </w:t>
            </w:r>
            <w:r w:rsidR="007B5712">
              <w:t>pārk</w:t>
            </w:r>
            <w:r w:rsidR="00891ED7">
              <w:t>āpum</w:t>
            </w:r>
            <w:r w:rsidR="001B1E84">
              <w:t>us</w:t>
            </w:r>
            <w:r w:rsidR="007B5712">
              <w:t xml:space="preserve"> pārvaldes jomā</w:t>
            </w:r>
            <w:r w:rsidR="00891ED7">
              <w:t xml:space="preserve"> </w:t>
            </w:r>
            <w:r w:rsidR="001B1E84">
              <w:t xml:space="preserve">par </w:t>
            </w:r>
            <w:r w:rsidR="00891ED7" w:rsidRPr="007A48E4">
              <w:t>informācijas nesniegšan</w:t>
            </w:r>
            <w:r w:rsidR="001B1E84" w:rsidRPr="007A48E4">
              <w:t>u</w:t>
            </w:r>
            <w:r w:rsidR="00891ED7" w:rsidRPr="007A48E4">
              <w:t>, informācijas nepienācīga sniegšan</w:t>
            </w:r>
            <w:r w:rsidR="001B1E84" w:rsidRPr="007A48E4">
              <w:t>u</w:t>
            </w:r>
            <w:r w:rsidR="00891ED7" w:rsidRPr="007A48E4">
              <w:t xml:space="preserve"> vai nepatiesas informācijas sniegšan</w:t>
            </w:r>
            <w:r w:rsidR="001B1E84" w:rsidRPr="007A48E4">
              <w:t>u</w:t>
            </w:r>
            <w:r w:rsidR="00891ED7" w:rsidRPr="007A48E4">
              <w:t xml:space="preserve"> iestādei</w:t>
            </w:r>
            <w:r w:rsidR="007B5712">
              <w:t xml:space="preserve"> </w:t>
            </w:r>
            <w:r w:rsidR="00A16618">
              <w:t xml:space="preserve">paredzēts iekļaut </w:t>
            </w:r>
            <w:r w:rsidR="00541AC6" w:rsidRPr="00541AC6">
              <w:t>Tieslietu ministri</w:t>
            </w:r>
            <w:r w:rsidR="00866290">
              <w:t>jas sagatavotajā likumprojektā “</w:t>
            </w:r>
            <w:r w:rsidR="00541AC6" w:rsidRPr="00541AC6">
              <w:t>Administratīvo sodu par pārkāpumiem pārvaldes, sabiedriskās kārtības un valsts valo</w:t>
            </w:r>
            <w:r w:rsidR="00866290">
              <w:t>das lietošanas jomā likums”</w:t>
            </w:r>
            <w:r w:rsidR="0090161B">
              <w:t xml:space="preserve"> </w:t>
            </w:r>
            <w:r>
              <w:t>(VSS-780)</w:t>
            </w:r>
            <w:r w:rsidR="00891ED7">
              <w:t xml:space="preserve">, </w:t>
            </w:r>
            <w:r>
              <w:t xml:space="preserve">izsludināts Valsts sekretāru </w:t>
            </w:r>
            <w:proofErr w:type="gramStart"/>
            <w:r>
              <w:t>2018.gada</w:t>
            </w:r>
            <w:proofErr w:type="gramEnd"/>
            <w:r>
              <w:t xml:space="preserve"> 2.augusta sanāksmē</w:t>
            </w:r>
            <w:r w:rsidR="00F45F41">
              <w:t xml:space="preserve"> </w:t>
            </w:r>
            <w:r w:rsidR="00F45F41" w:rsidRPr="00F566C3">
              <w:t>(prot.Nr.</w:t>
            </w:r>
            <w:r w:rsidR="00D079F8">
              <w:t>30, 11</w:t>
            </w:r>
            <w:r w:rsidR="00F45F41" w:rsidRPr="00F566C3">
              <w:t>.§)</w:t>
            </w:r>
            <w:r>
              <w:t xml:space="preserve">. </w:t>
            </w:r>
          </w:p>
          <w:p w14:paraId="4E7BEF8A" w14:textId="77777777" w:rsidR="0090161B" w:rsidRPr="00B65C43" w:rsidRDefault="0090161B" w:rsidP="007A4752">
            <w:pPr>
              <w:jc w:val="both"/>
              <w:rPr>
                <w:sz w:val="16"/>
                <w:szCs w:val="16"/>
              </w:rPr>
            </w:pPr>
          </w:p>
          <w:p w14:paraId="187BEB50" w14:textId="77777777" w:rsidR="007A4752" w:rsidRDefault="007A4752" w:rsidP="007A4752">
            <w:pPr>
              <w:jc w:val="both"/>
              <w:rPr>
                <w:color w:val="000000"/>
                <w:lang w:eastAsia="en-US"/>
              </w:rPr>
            </w:pPr>
            <w:r w:rsidRPr="007A4752">
              <w:t xml:space="preserve">Likumprojekts izskatīts </w:t>
            </w:r>
            <w:r w:rsidRPr="007A4752">
              <w:rPr>
                <w:color w:val="000000"/>
                <w:lang w:eastAsia="en-US"/>
              </w:rPr>
              <w:t xml:space="preserve">Tieslietu ministrijas Latvijas Administratīvo pārkāpumu kodeksa </w:t>
            </w:r>
            <w:r>
              <w:rPr>
                <w:color w:val="000000"/>
                <w:lang w:eastAsia="en-US"/>
              </w:rPr>
              <w:t xml:space="preserve">pastāvīgās darba grupas </w:t>
            </w:r>
            <w:proofErr w:type="gramStart"/>
            <w:r>
              <w:rPr>
                <w:color w:val="000000"/>
                <w:lang w:eastAsia="en-US"/>
              </w:rPr>
              <w:t>2019.gada</w:t>
            </w:r>
            <w:proofErr w:type="gramEnd"/>
            <w:r>
              <w:rPr>
                <w:color w:val="000000"/>
                <w:lang w:eastAsia="en-US"/>
              </w:rPr>
              <w:t xml:space="preserve"> 13.februāra sēdē un precizēts atbilstoši darba grupas izteiktajiem</w:t>
            </w:r>
            <w:r w:rsidRPr="007A4752">
              <w:rPr>
                <w:color w:val="000000"/>
                <w:lang w:eastAsia="en-US"/>
              </w:rPr>
              <w:t xml:space="preserve"> ieteikumiem.</w:t>
            </w:r>
          </w:p>
          <w:p w14:paraId="5C3B2FBB" w14:textId="77777777" w:rsidR="0090161B" w:rsidRPr="00B65C43" w:rsidRDefault="0090161B" w:rsidP="007A4752">
            <w:pPr>
              <w:jc w:val="both"/>
              <w:rPr>
                <w:color w:val="000000"/>
                <w:sz w:val="16"/>
                <w:szCs w:val="16"/>
                <w:lang w:eastAsia="en-US"/>
              </w:rPr>
            </w:pPr>
          </w:p>
          <w:p w14:paraId="2F7C931E" w14:textId="04A33B76" w:rsidR="0090161B" w:rsidRPr="007A4752" w:rsidRDefault="0090161B" w:rsidP="004A0A4B">
            <w:pPr>
              <w:jc w:val="both"/>
            </w:pPr>
            <w:r>
              <w:rPr>
                <w:color w:val="000000"/>
                <w:lang w:eastAsia="en-US"/>
              </w:rPr>
              <w:t>Likumprojekts stāsies spēkā vienlaikus ar Admin</w:t>
            </w:r>
            <w:r w:rsidR="004A0A4B">
              <w:rPr>
                <w:color w:val="000000"/>
                <w:lang w:eastAsia="en-US"/>
              </w:rPr>
              <w:t>istratīvās atbildības likumu, tas ir</w:t>
            </w:r>
            <w:r>
              <w:rPr>
                <w:color w:val="000000"/>
                <w:lang w:eastAsia="en-US"/>
              </w:rPr>
              <w:t>, 2020. gada 1. janvārī.</w:t>
            </w:r>
          </w:p>
        </w:tc>
      </w:tr>
      <w:tr w:rsidR="00B963D2" w:rsidRPr="00F566C3" w14:paraId="2F7C9323" w14:textId="77777777" w:rsidTr="00317CE4">
        <w:tc>
          <w:tcPr>
            <w:tcW w:w="311" w:type="pct"/>
            <w:hideMark/>
          </w:tcPr>
          <w:p w14:paraId="2F7C9320" w14:textId="132D6E51" w:rsidR="00B963D2" w:rsidRPr="00F566C3" w:rsidRDefault="00B963D2" w:rsidP="00317CE4">
            <w:pPr>
              <w:jc w:val="center"/>
            </w:pPr>
            <w:r w:rsidRPr="00F566C3">
              <w:lastRenderedPageBreak/>
              <w:t>3.</w:t>
            </w:r>
          </w:p>
        </w:tc>
        <w:tc>
          <w:tcPr>
            <w:tcW w:w="1479" w:type="pct"/>
            <w:hideMark/>
          </w:tcPr>
          <w:p w14:paraId="2F7C9321" w14:textId="77777777" w:rsidR="00B963D2" w:rsidRPr="00F566C3" w:rsidRDefault="00B963D2" w:rsidP="00317CE4">
            <w:r w:rsidRPr="00F566C3">
              <w:t>Projekta izstrādē iesaistītās institūcijas un publiskas personas kapitālsabiedrības</w:t>
            </w:r>
          </w:p>
        </w:tc>
        <w:tc>
          <w:tcPr>
            <w:tcW w:w="3210" w:type="pct"/>
            <w:hideMark/>
          </w:tcPr>
          <w:p w14:paraId="2F7C9322" w14:textId="77777777" w:rsidR="00B963D2" w:rsidRPr="00F566C3" w:rsidRDefault="00B963D2" w:rsidP="00212F0D">
            <w:r w:rsidRPr="00F566C3">
              <w:t xml:space="preserve">Pilsonības un migrācijas lietu pārvalde, </w:t>
            </w:r>
            <w:r w:rsidR="00FF22D2" w:rsidRPr="00F566C3">
              <w:t>Valsts robežsardze</w:t>
            </w:r>
            <w:r w:rsidR="000E2D37" w:rsidRPr="00F566C3">
              <w:t>, Valsts policija</w:t>
            </w:r>
            <w:r w:rsidRPr="00F566C3">
              <w:t>.</w:t>
            </w:r>
          </w:p>
        </w:tc>
      </w:tr>
      <w:tr w:rsidR="00B963D2" w:rsidRPr="00F566C3" w14:paraId="2F7C9327" w14:textId="77777777" w:rsidTr="00317CE4">
        <w:tc>
          <w:tcPr>
            <w:tcW w:w="311" w:type="pct"/>
            <w:hideMark/>
          </w:tcPr>
          <w:p w14:paraId="2F7C9324" w14:textId="77777777" w:rsidR="00B963D2" w:rsidRPr="00F566C3" w:rsidRDefault="00B963D2" w:rsidP="00317CE4">
            <w:pPr>
              <w:jc w:val="center"/>
            </w:pPr>
            <w:r w:rsidRPr="00F566C3">
              <w:t>4.</w:t>
            </w:r>
          </w:p>
        </w:tc>
        <w:tc>
          <w:tcPr>
            <w:tcW w:w="1479" w:type="pct"/>
            <w:hideMark/>
          </w:tcPr>
          <w:p w14:paraId="2F7C9325" w14:textId="77777777" w:rsidR="00B963D2" w:rsidRPr="00F566C3" w:rsidRDefault="00B963D2" w:rsidP="00317CE4">
            <w:r w:rsidRPr="00F566C3">
              <w:t>Cita informācija</w:t>
            </w:r>
          </w:p>
        </w:tc>
        <w:tc>
          <w:tcPr>
            <w:tcW w:w="3210" w:type="pct"/>
            <w:hideMark/>
          </w:tcPr>
          <w:p w14:paraId="2F7C9326" w14:textId="77777777" w:rsidR="00B963D2" w:rsidRPr="00F566C3" w:rsidRDefault="00B963D2" w:rsidP="00317CE4">
            <w:r w:rsidRPr="00F566C3">
              <w:t>Nav.</w:t>
            </w:r>
          </w:p>
        </w:tc>
      </w:tr>
    </w:tbl>
    <w:p w14:paraId="2F7C9328" w14:textId="77777777" w:rsidR="008841F5" w:rsidRDefault="008841F5" w:rsidP="00B963D2">
      <w:pPr>
        <w:pStyle w:val="Title"/>
        <w:spacing w:before="130" w:line="260" w:lineRule="exact"/>
        <w:ind w:firstLine="539"/>
        <w:jc w:val="both"/>
        <w:rPr>
          <w:sz w:val="24"/>
          <w:szCs w:val="24"/>
        </w:rPr>
      </w:pPr>
    </w:p>
    <w:p w14:paraId="1B222F33" w14:textId="77777777" w:rsidR="008E7CD7" w:rsidRPr="00F566C3" w:rsidRDefault="008E7CD7" w:rsidP="00B963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963D2" w:rsidRPr="00F566C3" w14:paraId="2F7C932A" w14:textId="77777777" w:rsidTr="00212F0D">
        <w:tc>
          <w:tcPr>
            <w:tcW w:w="5000" w:type="pct"/>
            <w:gridSpan w:val="3"/>
            <w:vAlign w:val="center"/>
            <w:hideMark/>
          </w:tcPr>
          <w:p w14:paraId="2F7C9329" w14:textId="77777777" w:rsidR="00B963D2" w:rsidRPr="00F566C3" w:rsidRDefault="00B963D2" w:rsidP="00317CE4">
            <w:pPr>
              <w:jc w:val="center"/>
              <w:rPr>
                <w:b/>
                <w:bCs/>
              </w:rPr>
            </w:pPr>
            <w:r w:rsidRPr="00F566C3">
              <w:rPr>
                <w:b/>
                <w:bCs/>
              </w:rPr>
              <w:t>II. Tiesību akta projekta ietekme uz sabiedrību, tautsaimniecības attīstību un administratīvo slogu</w:t>
            </w:r>
          </w:p>
        </w:tc>
      </w:tr>
      <w:tr w:rsidR="00B963D2" w:rsidRPr="00F566C3" w14:paraId="2F7C93FA" w14:textId="77777777" w:rsidTr="00212F0D">
        <w:tc>
          <w:tcPr>
            <w:tcW w:w="311" w:type="pct"/>
            <w:hideMark/>
          </w:tcPr>
          <w:p w14:paraId="2F7C932B" w14:textId="77777777" w:rsidR="00B963D2" w:rsidRPr="00F566C3" w:rsidRDefault="00B963D2" w:rsidP="00317CE4">
            <w:pPr>
              <w:jc w:val="center"/>
            </w:pPr>
            <w:r w:rsidRPr="00F566C3">
              <w:t>1.</w:t>
            </w:r>
          </w:p>
        </w:tc>
        <w:tc>
          <w:tcPr>
            <w:tcW w:w="1479" w:type="pct"/>
            <w:hideMark/>
          </w:tcPr>
          <w:p w14:paraId="2F7C932C" w14:textId="77777777" w:rsidR="00B963D2" w:rsidRPr="00F566C3" w:rsidRDefault="00B963D2" w:rsidP="00317CE4">
            <w:r w:rsidRPr="00F566C3">
              <w:t>Sabiedrības mērķgrupas, kuras tiesiskais regulējums ietekmē vai varētu ietekmēt</w:t>
            </w:r>
          </w:p>
        </w:tc>
        <w:tc>
          <w:tcPr>
            <w:tcW w:w="3210" w:type="pct"/>
            <w:hideMark/>
          </w:tcPr>
          <w:p w14:paraId="2F7C932D" w14:textId="77777777" w:rsidR="001D73C2" w:rsidRPr="00F566C3" w:rsidRDefault="00B963D2" w:rsidP="00317CE4">
            <w:pPr>
              <w:jc w:val="both"/>
            </w:pPr>
            <w:r w:rsidRPr="00F566C3">
              <w:t>Pilsonības un migrācijas lietu pārvalde,</w:t>
            </w:r>
            <w:r w:rsidR="00FF22D2" w:rsidRPr="00F566C3">
              <w:t xml:space="preserve"> Valsts robežsardze,</w:t>
            </w:r>
            <w:r w:rsidR="00D51C1D" w:rsidRPr="00F566C3">
              <w:t xml:space="preserve"> Valsts policija,</w:t>
            </w:r>
            <w:r w:rsidRPr="00F566C3">
              <w:t xml:space="preserve"> pašvaldības</w:t>
            </w:r>
            <w:r w:rsidR="00C473A1">
              <w:t xml:space="preserve"> policija un pašvaldību</w:t>
            </w:r>
            <w:r w:rsidR="00FF22D2" w:rsidRPr="00F566C3">
              <w:t xml:space="preserve"> administratīvās komisijas</w:t>
            </w:r>
            <w:r w:rsidRPr="00F566C3">
              <w:t xml:space="preserve">, Dzīvesvietas deklarēšanas likuma </w:t>
            </w:r>
            <w:proofErr w:type="gramStart"/>
            <w:r w:rsidRPr="00F566C3">
              <w:t>6.panta</w:t>
            </w:r>
            <w:proofErr w:type="gramEnd"/>
            <w:r w:rsidRPr="00F566C3">
              <w:t xml:space="preserve"> pirmajā daļā noteiktie subjekti.</w:t>
            </w:r>
          </w:p>
          <w:p w14:paraId="2F7C932E" w14:textId="77777777" w:rsidR="001D73C2" w:rsidRPr="00F566C3" w:rsidRDefault="001D73C2" w:rsidP="00317CE4">
            <w:pPr>
              <w:jc w:val="both"/>
            </w:pPr>
          </w:p>
          <w:p w14:paraId="2F7C932F" w14:textId="77777777" w:rsidR="004D325D" w:rsidRPr="00F566C3" w:rsidRDefault="004D325D" w:rsidP="00317CE4">
            <w:pPr>
              <w:jc w:val="both"/>
            </w:pPr>
            <w:r w:rsidRPr="00F566C3">
              <w:t>Atbilstoši Iekšlietu ministrijas Informācijas centra sniegtajai statistikai:</w:t>
            </w:r>
          </w:p>
          <w:tbl>
            <w:tblPr>
              <w:tblStyle w:val="TableGrid"/>
              <w:tblW w:w="0" w:type="auto"/>
              <w:tblLook w:val="04A0" w:firstRow="1" w:lastRow="0" w:firstColumn="1" w:lastColumn="0" w:noHBand="0" w:noVBand="1"/>
            </w:tblPr>
            <w:tblGrid>
              <w:gridCol w:w="1436"/>
              <w:gridCol w:w="1437"/>
              <w:gridCol w:w="1437"/>
              <w:gridCol w:w="1437"/>
            </w:tblGrid>
            <w:tr w:rsidR="002D34C2" w:rsidRPr="00F566C3" w14:paraId="2F7C9335" w14:textId="77777777" w:rsidTr="00317CE4">
              <w:tc>
                <w:tcPr>
                  <w:tcW w:w="1436" w:type="dxa"/>
                  <w:vAlign w:val="center"/>
                </w:tcPr>
                <w:p w14:paraId="2F7C9330" w14:textId="77777777" w:rsidR="002D34C2" w:rsidRPr="00F566C3" w:rsidRDefault="002D34C2" w:rsidP="002D34C2">
                  <w:pPr>
                    <w:jc w:val="both"/>
                  </w:pPr>
                  <w:r w:rsidRPr="00F566C3">
                    <w:t>186.panta otrā daļa</w:t>
                  </w:r>
                </w:p>
              </w:tc>
              <w:tc>
                <w:tcPr>
                  <w:tcW w:w="1437" w:type="dxa"/>
                  <w:vAlign w:val="center"/>
                </w:tcPr>
                <w:p w14:paraId="2F7C9331" w14:textId="77777777" w:rsidR="002D34C2" w:rsidRPr="00F566C3" w:rsidRDefault="002D34C2" w:rsidP="002D34C2">
                  <w:pPr>
                    <w:jc w:val="center"/>
                  </w:pPr>
                  <w:r w:rsidRPr="00F566C3">
                    <w:t>2016.</w:t>
                  </w:r>
                </w:p>
              </w:tc>
              <w:tc>
                <w:tcPr>
                  <w:tcW w:w="1437" w:type="dxa"/>
                  <w:vAlign w:val="center"/>
                </w:tcPr>
                <w:p w14:paraId="2F7C9332" w14:textId="77777777" w:rsidR="002D34C2" w:rsidRPr="00F566C3" w:rsidRDefault="002D34C2" w:rsidP="002D34C2">
                  <w:pPr>
                    <w:jc w:val="center"/>
                  </w:pPr>
                  <w:r w:rsidRPr="00F566C3">
                    <w:t>2017.</w:t>
                  </w:r>
                </w:p>
              </w:tc>
              <w:tc>
                <w:tcPr>
                  <w:tcW w:w="1437" w:type="dxa"/>
                  <w:vAlign w:val="center"/>
                </w:tcPr>
                <w:p w14:paraId="2F7C9334" w14:textId="3D7390FD" w:rsidR="002D34C2" w:rsidRPr="00F566C3" w:rsidRDefault="002D34C2" w:rsidP="00C15F1B">
                  <w:pPr>
                    <w:jc w:val="center"/>
                  </w:pPr>
                  <w:r w:rsidRPr="00F566C3">
                    <w:t xml:space="preserve">2018. </w:t>
                  </w:r>
                </w:p>
              </w:tc>
            </w:tr>
            <w:tr w:rsidR="002D34C2" w:rsidRPr="00F566C3" w14:paraId="2F7C933A" w14:textId="77777777" w:rsidTr="00317CE4">
              <w:tc>
                <w:tcPr>
                  <w:tcW w:w="1436" w:type="dxa"/>
                </w:tcPr>
                <w:p w14:paraId="2F7C9336" w14:textId="77777777" w:rsidR="002D34C2" w:rsidRPr="00F566C3" w:rsidRDefault="002D34C2" w:rsidP="002D34C2">
                  <w:pPr>
                    <w:jc w:val="both"/>
                  </w:pPr>
                  <w:r w:rsidRPr="00F566C3">
                    <w:t>protokoli</w:t>
                  </w:r>
                </w:p>
              </w:tc>
              <w:tc>
                <w:tcPr>
                  <w:tcW w:w="1437" w:type="dxa"/>
                </w:tcPr>
                <w:p w14:paraId="2F7C9337" w14:textId="77777777" w:rsidR="002D34C2" w:rsidRPr="00F566C3" w:rsidRDefault="002D34C2" w:rsidP="002D34C2">
                  <w:pPr>
                    <w:jc w:val="center"/>
                  </w:pPr>
                  <w:r w:rsidRPr="00F566C3">
                    <w:t>6 274</w:t>
                  </w:r>
                </w:p>
              </w:tc>
              <w:tc>
                <w:tcPr>
                  <w:tcW w:w="1437" w:type="dxa"/>
                </w:tcPr>
                <w:p w14:paraId="2F7C9338" w14:textId="77777777" w:rsidR="002D34C2" w:rsidRPr="00F566C3" w:rsidRDefault="002D34C2" w:rsidP="002D34C2">
                  <w:pPr>
                    <w:jc w:val="center"/>
                  </w:pPr>
                  <w:r w:rsidRPr="00F566C3">
                    <w:t>6 354</w:t>
                  </w:r>
                </w:p>
              </w:tc>
              <w:tc>
                <w:tcPr>
                  <w:tcW w:w="1437" w:type="dxa"/>
                </w:tcPr>
                <w:p w14:paraId="2F7C9339" w14:textId="7F856830" w:rsidR="002D34C2" w:rsidRPr="00F566C3" w:rsidRDefault="00C15F1B" w:rsidP="002D34C2">
                  <w:pPr>
                    <w:jc w:val="center"/>
                  </w:pPr>
                  <w:r>
                    <w:t>5 837</w:t>
                  </w:r>
                </w:p>
              </w:tc>
            </w:tr>
            <w:tr w:rsidR="002D34C2" w:rsidRPr="00F566C3" w14:paraId="2F7C933F" w14:textId="77777777" w:rsidTr="00317CE4">
              <w:tc>
                <w:tcPr>
                  <w:tcW w:w="1436" w:type="dxa"/>
                </w:tcPr>
                <w:p w14:paraId="2F7C933B" w14:textId="77777777" w:rsidR="002D34C2" w:rsidRPr="00F566C3" w:rsidRDefault="002D34C2" w:rsidP="002D34C2">
                  <w:pPr>
                    <w:jc w:val="both"/>
                  </w:pPr>
                  <w:r w:rsidRPr="00F566C3">
                    <w:t>lēmumi</w:t>
                  </w:r>
                </w:p>
              </w:tc>
              <w:tc>
                <w:tcPr>
                  <w:tcW w:w="1437" w:type="dxa"/>
                </w:tcPr>
                <w:p w14:paraId="2F7C933C" w14:textId="77777777" w:rsidR="002D34C2" w:rsidRPr="00F566C3" w:rsidRDefault="004C05D6" w:rsidP="002D34C2">
                  <w:pPr>
                    <w:jc w:val="center"/>
                  </w:pPr>
                  <w:r w:rsidRPr="00F566C3">
                    <w:t>5 920</w:t>
                  </w:r>
                </w:p>
              </w:tc>
              <w:tc>
                <w:tcPr>
                  <w:tcW w:w="1437" w:type="dxa"/>
                </w:tcPr>
                <w:p w14:paraId="2F7C933D" w14:textId="77777777" w:rsidR="002D34C2" w:rsidRPr="00F566C3" w:rsidRDefault="004C05D6" w:rsidP="002D34C2">
                  <w:pPr>
                    <w:jc w:val="center"/>
                  </w:pPr>
                  <w:r w:rsidRPr="00F566C3">
                    <w:t>6 119</w:t>
                  </w:r>
                </w:p>
              </w:tc>
              <w:tc>
                <w:tcPr>
                  <w:tcW w:w="1437" w:type="dxa"/>
                </w:tcPr>
                <w:p w14:paraId="2F7C933E" w14:textId="299FBD68" w:rsidR="002D34C2" w:rsidRPr="00F566C3" w:rsidRDefault="00C15F1B" w:rsidP="002D34C2">
                  <w:pPr>
                    <w:jc w:val="center"/>
                  </w:pPr>
                  <w:r>
                    <w:t>5 276</w:t>
                  </w:r>
                </w:p>
              </w:tc>
            </w:tr>
          </w:tbl>
          <w:p w14:paraId="2F7C9340" w14:textId="77777777" w:rsidR="002D34C2" w:rsidRPr="00F566C3" w:rsidRDefault="002D34C2" w:rsidP="002D34C2">
            <w:pPr>
              <w:jc w:val="both"/>
            </w:pPr>
            <w:r w:rsidRPr="00F566C3">
              <w:t xml:space="preserve"> </w:t>
            </w:r>
          </w:p>
          <w:tbl>
            <w:tblPr>
              <w:tblStyle w:val="TableGrid"/>
              <w:tblW w:w="0" w:type="auto"/>
              <w:tblLook w:val="04A0" w:firstRow="1" w:lastRow="0" w:firstColumn="1" w:lastColumn="0" w:noHBand="0" w:noVBand="1"/>
            </w:tblPr>
            <w:tblGrid>
              <w:gridCol w:w="1436"/>
              <w:gridCol w:w="1437"/>
              <w:gridCol w:w="1437"/>
              <w:gridCol w:w="1437"/>
            </w:tblGrid>
            <w:tr w:rsidR="002D34C2" w:rsidRPr="00F566C3" w14:paraId="2F7C9346" w14:textId="77777777" w:rsidTr="00317CE4">
              <w:tc>
                <w:tcPr>
                  <w:tcW w:w="1436" w:type="dxa"/>
                  <w:vAlign w:val="center"/>
                </w:tcPr>
                <w:p w14:paraId="2F7C9341" w14:textId="77777777" w:rsidR="002D34C2" w:rsidRPr="00F566C3" w:rsidRDefault="002D34C2" w:rsidP="002D34C2">
                  <w:pPr>
                    <w:jc w:val="both"/>
                  </w:pPr>
                  <w:r w:rsidRPr="00F566C3">
                    <w:t>190.</w:t>
                  </w:r>
                  <w:r w:rsidRPr="00F566C3">
                    <w:rPr>
                      <w:vertAlign w:val="superscript"/>
                    </w:rPr>
                    <w:t>10</w:t>
                  </w:r>
                  <w:r w:rsidRPr="00F566C3">
                    <w:t>pants</w:t>
                  </w:r>
                </w:p>
              </w:tc>
              <w:tc>
                <w:tcPr>
                  <w:tcW w:w="1437" w:type="dxa"/>
                  <w:vAlign w:val="center"/>
                </w:tcPr>
                <w:p w14:paraId="2F7C9342" w14:textId="77777777" w:rsidR="002D34C2" w:rsidRPr="00F566C3" w:rsidRDefault="002D34C2" w:rsidP="002D34C2">
                  <w:pPr>
                    <w:jc w:val="center"/>
                  </w:pPr>
                  <w:r w:rsidRPr="00F566C3">
                    <w:t>2016.</w:t>
                  </w:r>
                </w:p>
              </w:tc>
              <w:tc>
                <w:tcPr>
                  <w:tcW w:w="1437" w:type="dxa"/>
                  <w:vAlign w:val="center"/>
                </w:tcPr>
                <w:p w14:paraId="2F7C9343" w14:textId="77777777" w:rsidR="002D34C2" w:rsidRPr="00F566C3" w:rsidRDefault="002D34C2" w:rsidP="002D34C2">
                  <w:pPr>
                    <w:jc w:val="center"/>
                  </w:pPr>
                  <w:r w:rsidRPr="00F566C3">
                    <w:t>2017.</w:t>
                  </w:r>
                </w:p>
              </w:tc>
              <w:tc>
                <w:tcPr>
                  <w:tcW w:w="1437" w:type="dxa"/>
                  <w:vAlign w:val="center"/>
                </w:tcPr>
                <w:p w14:paraId="2F7C9345" w14:textId="4AC53601" w:rsidR="002D34C2" w:rsidRPr="00F566C3" w:rsidRDefault="002D34C2" w:rsidP="00C15F1B">
                  <w:pPr>
                    <w:jc w:val="center"/>
                  </w:pPr>
                  <w:r w:rsidRPr="00F566C3">
                    <w:t xml:space="preserve">2018. </w:t>
                  </w:r>
                </w:p>
              </w:tc>
            </w:tr>
            <w:tr w:rsidR="002D34C2" w:rsidRPr="00F566C3" w14:paraId="2F7C934B" w14:textId="77777777" w:rsidTr="00317CE4">
              <w:tc>
                <w:tcPr>
                  <w:tcW w:w="1436" w:type="dxa"/>
                </w:tcPr>
                <w:p w14:paraId="2F7C9347" w14:textId="77777777" w:rsidR="002D34C2" w:rsidRPr="00F566C3" w:rsidRDefault="002D34C2" w:rsidP="002D34C2">
                  <w:pPr>
                    <w:jc w:val="both"/>
                  </w:pPr>
                  <w:r w:rsidRPr="00F566C3">
                    <w:t>protokoli</w:t>
                  </w:r>
                </w:p>
              </w:tc>
              <w:tc>
                <w:tcPr>
                  <w:tcW w:w="1437" w:type="dxa"/>
                </w:tcPr>
                <w:p w14:paraId="2F7C9348" w14:textId="77777777" w:rsidR="002D34C2" w:rsidRPr="00F566C3" w:rsidRDefault="002D34C2" w:rsidP="002D34C2">
                  <w:pPr>
                    <w:jc w:val="center"/>
                  </w:pPr>
                  <w:r w:rsidRPr="00F566C3">
                    <w:t>71</w:t>
                  </w:r>
                </w:p>
              </w:tc>
              <w:tc>
                <w:tcPr>
                  <w:tcW w:w="1437" w:type="dxa"/>
                </w:tcPr>
                <w:p w14:paraId="2F7C9349" w14:textId="77777777" w:rsidR="002D34C2" w:rsidRPr="00F566C3" w:rsidRDefault="002D34C2" w:rsidP="002D34C2">
                  <w:pPr>
                    <w:jc w:val="center"/>
                  </w:pPr>
                  <w:r w:rsidRPr="00F566C3">
                    <w:t>97</w:t>
                  </w:r>
                </w:p>
              </w:tc>
              <w:tc>
                <w:tcPr>
                  <w:tcW w:w="1437" w:type="dxa"/>
                </w:tcPr>
                <w:p w14:paraId="2F7C934A" w14:textId="41228966" w:rsidR="002D34C2" w:rsidRPr="00F566C3" w:rsidRDefault="00C15F1B" w:rsidP="002D34C2">
                  <w:pPr>
                    <w:jc w:val="center"/>
                  </w:pPr>
                  <w:r>
                    <w:t>68</w:t>
                  </w:r>
                </w:p>
              </w:tc>
            </w:tr>
            <w:tr w:rsidR="002D34C2" w:rsidRPr="00F566C3" w14:paraId="2F7C9350" w14:textId="77777777" w:rsidTr="00317CE4">
              <w:tc>
                <w:tcPr>
                  <w:tcW w:w="1436" w:type="dxa"/>
                </w:tcPr>
                <w:p w14:paraId="2F7C934C" w14:textId="77777777" w:rsidR="002D34C2" w:rsidRPr="00F566C3" w:rsidRDefault="002D34C2" w:rsidP="002D34C2">
                  <w:pPr>
                    <w:jc w:val="both"/>
                  </w:pPr>
                  <w:r w:rsidRPr="00F566C3">
                    <w:t>lēmumi</w:t>
                  </w:r>
                </w:p>
              </w:tc>
              <w:tc>
                <w:tcPr>
                  <w:tcW w:w="1437" w:type="dxa"/>
                </w:tcPr>
                <w:p w14:paraId="2F7C934D" w14:textId="77777777" w:rsidR="002D34C2" w:rsidRPr="00F566C3" w:rsidRDefault="004C05D6" w:rsidP="002D34C2">
                  <w:pPr>
                    <w:jc w:val="center"/>
                  </w:pPr>
                  <w:r w:rsidRPr="00F566C3">
                    <w:t>23</w:t>
                  </w:r>
                </w:p>
              </w:tc>
              <w:tc>
                <w:tcPr>
                  <w:tcW w:w="1437" w:type="dxa"/>
                </w:tcPr>
                <w:p w14:paraId="2F7C934E" w14:textId="77777777" w:rsidR="002D34C2" w:rsidRPr="00F566C3" w:rsidRDefault="004C05D6" w:rsidP="002D34C2">
                  <w:pPr>
                    <w:jc w:val="center"/>
                  </w:pPr>
                  <w:r w:rsidRPr="00F566C3">
                    <w:t>54</w:t>
                  </w:r>
                </w:p>
              </w:tc>
              <w:tc>
                <w:tcPr>
                  <w:tcW w:w="1437" w:type="dxa"/>
                </w:tcPr>
                <w:p w14:paraId="2F7C934F" w14:textId="79EFE24B" w:rsidR="002D34C2" w:rsidRPr="00F566C3" w:rsidRDefault="00C15F1B" w:rsidP="002D34C2">
                  <w:pPr>
                    <w:jc w:val="center"/>
                  </w:pPr>
                  <w:r>
                    <w:t>36</w:t>
                  </w:r>
                </w:p>
              </w:tc>
            </w:tr>
          </w:tbl>
          <w:p w14:paraId="2F7C9351" w14:textId="77777777" w:rsidR="004D325D" w:rsidRPr="00F566C3" w:rsidRDefault="004D325D" w:rsidP="00317CE4">
            <w:pPr>
              <w:jc w:val="both"/>
            </w:pPr>
          </w:p>
          <w:p w14:paraId="2F7C9352" w14:textId="77777777" w:rsidR="004D325D" w:rsidRPr="00F566C3" w:rsidRDefault="004D325D" w:rsidP="00317CE4">
            <w:pPr>
              <w:jc w:val="both"/>
              <w:rPr>
                <w:b/>
              </w:rPr>
            </w:pPr>
            <w:r w:rsidRPr="00F566C3">
              <w:rPr>
                <w:b/>
              </w:rPr>
              <w:t>NO TIEM:</w:t>
            </w:r>
          </w:p>
          <w:p w14:paraId="2F7C9353" w14:textId="77777777" w:rsidR="001D73C2" w:rsidRPr="00F566C3" w:rsidRDefault="001D73C2" w:rsidP="001D73C2">
            <w:pPr>
              <w:jc w:val="both"/>
            </w:pPr>
            <w:r w:rsidRPr="00F566C3">
              <w:rPr>
                <w:u w:val="single"/>
              </w:rPr>
              <w:t>Pilsonības un migrācijas lietu pārvaldes</w:t>
            </w:r>
            <w:r w:rsidRPr="00F566C3">
              <w:t xml:space="preserve"> sastādītie protokoli un pieņemtie lēmumi: </w:t>
            </w:r>
          </w:p>
          <w:tbl>
            <w:tblPr>
              <w:tblStyle w:val="TableGrid"/>
              <w:tblW w:w="0" w:type="auto"/>
              <w:tblLook w:val="04A0" w:firstRow="1" w:lastRow="0" w:firstColumn="1" w:lastColumn="0" w:noHBand="0" w:noVBand="1"/>
            </w:tblPr>
            <w:tblGrid>
              <w:gridCol w:w="1436"/>
              <w:gridCol w:w="1437"/>
              <w:gridCol w:w="1437"/>
              <w:gridCol w:w="1437"/>
            </w:tblGrid>
            <w:tr w:rsidR="001D73C2" w:rsidRPr="00F566C3" w14:paraId="2F7C9359" w14:textId="77777777" w:rsidTr="00317CE4">
              <w:tc>
                <w:tcPr>
                  <w:tcW w:w="1436" w:type="dxa"/>
                  <w:vAlign w:val="center"/>
                </w:tcPr>
                <w:p w14:paraId="2F7C9354" w14:textId="77777777" w:rsidR="001D73C2" w:rsidRPr="00F566C3" w:rsidRDefault="00FF22D2" w:rsidP="00FF22D2">
                  <w:pPr>
                    <w:jc w:val="both"/>
                  </w:pPr>
                  <w:r w:rsidRPr="00F566C3">
                    <w:t>186</w:t>
                  </w:r>
                  <w:r w:rsidR="001D73C2" w:rsidRPr="00F566C3">
                    <w:t>.</w:t>
                  </w:r>
                  <w:r w:rsidRPr="00F566C3">
                    <w:t>panta otrā daļa</w:t>
                  </w:r>
                </w:p>
              </w:tc>
              <w:tc>
                <w:tcPr>
                  <w:tcW w:w="1437" w:type="dxa"/>
                  <w:vAlign w:val="center"/>
                </w:tcPr>
                <w:p w14:paraId="2F7C9355" w14:textId="77777777" w:rsidR="001D73C2" w:rsidRPr="00F566C3" w:rsidRDefault="001D73C2" w:rsidP="001D73C2">
                  <w:pPr>
                    <w:jc w:val="center"/>
                  </w:pPr>
                  <w:r w:rsidRPr="00F566C3">
                    <w:t>2016.</w:t>
                  </w:r>
                </w:p>
              </w:tc>
              <w:tc>
                <w:tcPr>
                  <w:tcW w:w="1437" w:type="dxa"/>
                  <w:vAlign w:val="center"/>
                </w:tcPr>
                <w:p w14:paraId="2F7C9356" w14:textId="77777777" w:rsidR="001D73C2" w:rsidRPr="00F566C3" w:rsidRDefault="001D73C2" w:rsidP="001D73C2">
                  <w:pPr>
                    <w:jc w:val="center"/>
                  </w:pPr>
                  <w:r w:rsidRPr="00F566C3">
                    <w:t>2017.</w:t>
                  </w:r>
                </w:p>
              </w:tc>
              <w:tc>
                <w:tcPr>
                  <w:tcW w:w="1437" w:type="dxa"/>
                  <w:vAlign w:val="center"/>
                </w:tcPr>
                <w:p w14:paraId="2F7C9358" w14:textId="00F32B1D" w:rsidR="001D73C2" w:rsidRPr="00F566C3" w:rsidRDefault="001D73C2" w:rsidP="00C15F1B">
                  <w:pPr>
                    <w:jc w:val="center"/>
                  </w:pPr>
                  <w:r w:rsidRPr="00F566C3">
                    <w:t xml:space="preserve">2018. </w:t>
                  </w:r>
                </w:p>
              </w:tc>
            </w:tr>
            <w:tr w:rsidR="001D73C2" w:rsidRPr="00F566C3" w14:paraId="2F7C935E" w14:textId="77777777" w:rsidTr="00317CE4">
              <w:tc>
                <w:tcPr>
                  <w:tcW w:w="1436" w:type="dxa"/>
                </w:tcPr>
                <w:p w14:paraId="2F7C935A" w14:textId="77777777" w:rsidR="001D73C2" w:rsidRPr="00F566C3" w:rsidRDefault="001D73C2" w:rsidP="001D73C2">
                  <w:pPr>
                    <w:jc w:val="both"/>
                  </w:pPr>
                  <w:r w:rsidRPr="00F566C3">
                    <w:t>protokoli</w:t>
                  </w:r>
                </w:p>
              </w:tc>
              <w:tc>
                <w:tcPr>
                  <w:tcW w:w="1437" w:type="dxa"/>
                </w:tcPr>
                <w:p w14:paraId="2F7C935B" w14:textId="77777777" w:rsidR="001D73C2" w:rsidRPr="00F566C3" w:rsidRDefault="00FF22D2" w:rsidP="004D325D">
                  <w:pPr>
                    <w:jc w:val="center"/>
                  </w:pPr>
                  <w:r w:rsidRPr="00F566C3">
                    <w:t>8</w:t>
                  </w:r>
                  <w:r w:rsidR="004D325D" w:rsidRPr="00F566C3">
                    <w:t>89</w:t>
                  </w:r>
                </w:p>
              </w:tc>
              <w:tc>
                <w:tcPr>
                  <w:tcW w:w="1437" w:type="dxa"/>
                </w:tcPr>
                <w:p w14:paraId="2F7C935C" w14:textId="77777777" w:rsidR="001D73C2" w:rsidRPr="00F566C3" w:rsidRDefault="00FF22D2" w:rsidP="004D325D">
                  <w:pPr>
                    <w:jc w:val="center"/>
                  </w:pPr>
                  <w:r w:rsidRPr="00F566C3">
                    <w:t>8</w:t>
                  </w:r>
                  <w:r w:rsidR="004D325D" w:rsidRPr="00F566C3">
                    <w:t>21</w:t>
                  </w:r>
                </w:p>
              </w:tc>
              <w:tc>
                <w:tcPr>
                  <w:tcW w:w="1437" w:type="dxa"/>
                </w:tcPr>
                <w:p w14:paraId="2F7C935D" w14:textId="5AF1B437" w:rsidR="001D73C2" w:rsidRPr="00F566C3" w:rsidRDefault="00C15F1B" w:rsidP="004D325D">
                  <w:pPr>
                    <w:jc w:val="center"/>
                  </w:pPr>
                  <w:r>
                    <w:t>708</w:t>
                  </w:r>
                </w:p>
              </w:tc>
            </w:tr>
            <w:tr w:rsidR="001D73C2" w:rsidRPr="00F566C3" w14:paraId="2F7C9363" w14:textId="77777777" w:rsidTr="00317CE4">
              <w:tc>
                <w:tcPr>
                  <w:tcW w:w="1436" w:type="dxa"/>
                </w:tcPr>
                <w:p w14:paraId="2F7C935F" w14:textId="77777777" w:rsidR="001D73C2" w:rsidRPr="00F566C3" w:rsidRDefault="001D73C2" w:rsidP="001D73C2">
                  <w:pPr>
                    <w:jc w:val="both"/>
                  </w:pPr>
                  <w:r w:rsidRPr="00F566C3">
                    <w:t>lēmumi</w:t>
                  </w:r>
                </w:p>
              </w:tc>
              <w:tc>
                <w:tcPr>
                  <w:tcW w:w="1437" w:type="dxa"/>
                </w:tcPr>
                <w:p w14:paraId="2F7C9360" w14:textId="77777777" w:rsidR="001D73C2" w:rsidRPr="00F566C3" w:rsidRDefault="00FF22D2" w:rsidP="004D325D">
                  <w:pPr>
                    <w:jc w:val="center"/>
                  </w:pPr>
                  <w:r w:rsidRPr="00F566C3">
                    <w:t xml:space="preserve">2 </w:t>
                  </w:r>
                  <w:r w:rsidR="004D325D" w:rsidRPr="00F566C3">
                    <w:t>217</w:t>
                  </w:r>
                </w:p>
              </w:tc>
              <w:tc>
                <w:tcPr>
                  <w:tcW w:w="1437" w:type="dxa"/>
                </w:tcPr>
                <w:p w14:paraId="2F7C9361" w14:textId="77777777" w:rsidR="001D73C2" w:rsidRPr="00F566C3" w:rsidRDefault="00FF22D2" w:rsidP="001D73C2">
                  <w:pPr>
                    <w:jc w:val="center"/>
                  </w:pPr>
                  <w:r w:rsidRPr="00F566C3">
                    <w:t>2</w:t>
                  </w:r>
                  <w:r w:rsidR="004D325D" w:rsidRPr="00F566C3">
                    <w:t xml:space="preserve"> 203</w:t>
                  </w:r>
                </w:p>
              </w:tc>
              <w:tc>
                <w:tcPr>
                  <w:tcW w:w="1437" w:type="dxa"/>
                </w:tcPr>
                <w:p w14:paraId="2F7C9362" w14:textId="04C895B8" w:rsidR="001D73C2" w:rsidRPr="00F566C3" w:rsidRDefault="00C15F1B" w:rsidP="001D73C2">
                  <w:pPr>
                    <w:jc w:val="center"/>
                  </w:pPr>
                  <w:r>
                    <w:t>1 993</w:t>
                  </w:r>
                </w:p>
              </w:tc>
            </w:tr>
            <w:tr w:rsidR="00FF22D2" w:rsidRPr="00F566C3" w14:paraId="2F7C9368" w14:textId="77777777" w:rsidTr="00317CE4">
              <w:tc>
                <w:tcPr>
                  <w:tcW w:w="1436" w:type="dxa"/>
                </w:tcPr>
                <w:p w14:paraId="2F7C9364" w14:textId="77777777" w:rsidR="00FF22D2" w:rsidRPr="00F566C3" w:rsidRDefault="00FF22D2" w:rsidP="001D73C2">
                  <w:pPr>
                    <w:jc w:val="both"/>
                  </w:pPr>
                </w:p>
              </w:tc>
              <w:tc>
                <w:tcPr>
                  <w:tcW w:w="1437" w:type="dxa"/>
                </w:tcPr>
                <w:p w14:paraId="2F7C9365" w14:textId="77777777" w:rsidR="00FF22D2" w:rsidRPr="00F566C3" w:rsidRDefault="00FF22D2" w:rsidP="001D73C2">
                  <w:pPr>
                    <w:jc w:val="center"/>
                  </w:pPr>
                </w:p>
              </w:tc>
              <w:tc>
                <w:tcPr>
                  <w:tcW w:w="1437" w:type="dxa"/>
                </w:tcPr>
                <w:p w14:paraId="2F7C9366" w14:textId="77777777" w:rsidR="00FF22D2" w:rsidRPr="00F566C3" w:rsidRDefault="00FF22D2" w:rsidP="001D73C2">
                  <w:pPr>
                    <w:jc w:val="center"/>
                  </w:pPr>
                </w:p>
              </w:tc>
              <w:tc>
                <w:tcPr>
                  <w:tcW w:w="1437" w:type="dxa"/>
                </w:tcPr>
                <w:p w14:paraId="2F7C9367" w14:textId="77777777" w:rsidR="00FF22D2" w:rsidRPr="00F566C3" w:rsidRDefault="00FF22D2" w:rsidP="001D73C2">
                  <w:pPr>
                    <w:jc w:val="center"/>
                  </w:pPr>
                </w:p>
              </w:tc>
            </w:tr>
            <w:tr w:rsidR="00FF22D2" w:rsidRPr="00F566C3" w14:paraId="2F7C936E" w14:textId="77777777" w:rsidTr="00317CE4">
              <w:tc>
                <w:tcPr>
                  <w:tcW w:w="1436" w:type="dxa"/>
                  <w:vAlign w:val="center"/>
                </w:tcPr>
                <w:p w14:paraId="2F7C9369" w14:textId="77777777" w:rsidR="00FF22D2" w:rsidRPr="00F566C3" w:rsidRDefault="00FF22D2" w:rsidP="00FF22D2">
                  <w:pPr>
                    <w:jc w:val="both"/>
                  </w:pPr>
                  <w:r w:rsidRPr="00F566C3">
                    <w:t>190.</w:t>
                  </w:r>
                  <w:r w:rsidRPr="00F566C3">
                    <w:rPr>
                      <w:vertAlign w:val="superscript"/>
                    </w:rPr>
                    <w:t>10</w:t>
                  </w:r>
                  <w:r w:rsidRPr="00F566C3">
                    <w:t xml:space="preserve">pants </w:t>
                  </w:r>
                </w:p>
              </w:tc>
              <w:tc>
                <w:tcPr>
                  <w:tcW w:w="1437" w:type="dxa"/>
                  <w:vAlign w:val="center"/>
                </w:tcPr>
                <w:p w14:paraId="2F7C936A" w14:textId="77777777" w:rsidR="00FF22D2" w:rsidRPr="00F566C3" w:rsidRDefault="00FF22D2" w:rsidP="00FF22D2">
                  <w:pPr>
                    <w:jc w:val="center"/>
                  </w:pPr>
                  <w:r w:rsidRPr="00F566C3">
                    <w:t>2016.</w:t>
                  </w:r>
                </w:p>
              </w:tc>
              <w:tc>
                <w:tcPr>
                  <w:tcW w:w="1437" w:type="dxa"/>
                  <w:vAlign w:val="center"/>
                </w:tcPr>
                <w:p w14:paraId="2F7C936B" w14:textId="77777777" w:rsidR="00FF22D2" w:rsidRPr="00F566C3" w:rsidRDefault="00FF22D2" w:rsidP="00FF22D2">
                  <w:pPr>
                    <w:jc w:val="center"/>
                  </w:pPr>
                  <w:r w:rsidRPr="00F566C3">
                    <w:t>2017.</w:t>
                  </w:r>
                </w:p>
              </w:tc>
              <w:tc>
                <w:tcPr>
                  <w:tcW w:w="1437" w:type="dxa"/>
                  <w:vAlign w:val="center"/>
                </w:tcPr>
                <w:p w14:paraId="2F7C936D" w14:textId="73CADB69" w:rsidR="00FF22D2" w:rsidRPr="00F566C3" w:rsidRDefault="00FF22D2" w:rsidP="00C15F1B">
                  <w:pPr>
                    <w:jc w:val="center"/>
                  </w:pPr>
                  <w:r w:rsidRPr="00F566C3">
                    <w:t xml:space="preserve">2018. </w:t>
                  </w:r>
                </w:p>
              </w:tc>
            </w:tr>
            <w:tr w:rsidR="00FF22D2" w:rsidRPr="00F566C3" w14:paraId="2F7C9373" w14:textId="77777777" w:rsidTr="00317CE4">
              <w:tc>
                <w:tcPr>
                  <w:tcW w:w="1436" w:type="dxa"/>
                </w:tcPr>
                <w:p w14:paraId="2F7C936F" w14:textId="77777777" w:rsidR="00FF22D2" w:rsidRPr="00F566C3" w:rsidRDefault="00FF22D2" w:rsidP="00FF22D2">
                  <w:pPr>
                    <w:jc w:val="both"/>
                  </w:pPr>
                  <w:r w:rsidRPr="00F566C3">
                    <w:t>protokoli</w:t>
                  </w:r>
                </w:p>
              </w:tc>
              <w:tc>
                <w:tcPr>
                  <w:tcW w:w="1437" w:type="dxa"/>
                </w:tcPr>
                <w:p w14:paraId="2F7C9370" w14:textId="77777777" w:rsidR="00FF22D2" w:rsidRPr="00F566C3" w:rsidRDefault="004D325D" w:rsidP="00FF22D2">
                  <w:pPr>
                    <w:jc w:val="center"/>
                  </w:pPr>
                  <w:r w:rsidRPr="00F566C3">
                    <w:t>1</w:t>
                  </w:r>
                </w:p>
              </w:tc>
              <w:tc>
                <w:tcPr>
                  <w:tcW w:w="1437" w:type="dxa"/>
                </w:tcPr>
                <w:p w14:paraId="2F7C9371" w14:textId="77777777" w:rsidR="00FF22D2" w:rsidRPr="00F566C3" w:rsidRDefault="004D325D" w:rsidP="00FF22D2">
                  <w:pPr>
                    <w:jc w:val="center"/>
                  </w:pPr>
                  <w:r w:rsidRPr="00F566C3">
                    <w:t>1</w:t>
                  </w:r>
                </w:p>
              </w:tc>
              <w:tc>
                <w:tcPr>
                  <w:tcW w:w="1437" w:type="dxa"/>
                </w:tcPr>
                <w:p w14:paraId="2F7C9372" w14:textId="77777777" w:rsidR="00FF22D2" w:rsidRPr="00F566C3" w:rsidRDefault="00FF22D2" w:rsidP="00FF22D2">
                  <w:pPr>
                    <w:jc w:val="center"/>
                  </w:pPr>
                  <w:r w:rsidRPr="00F566C3">
                    <w:t>2</w:t>
                  </w:r>
                </w:p>
              </w:tc>
            </w:tr>
            <w:tr w:rsidR="00FF22D2" w:rsidRPr="00F566C3" w14:paraId="2F7C9378" w14:textId="77777777" w:rsidTr="00317CE4">
              <w:tc>
                <w:tcPr>
                  <w:tcW w:w="1436" w:type="dxa"/>
                </w:tcPr>
                <w:p w14:paraId="2F7C9374" w14:textId="77777777" w:rsidR="00FF22D2" w:rsidRPr="00F566C3" w:rsidRDefault="00FF22D2" w:rsidP="00FF22D2">
                  <w:pPr>
                    <w:jc w:val="both"/>
                  </w:pPr>
                  <w:r w:rsidRPr="00F566C3">
                    <w:t>lēmumi</w:t>
                  </w:r>
                </w:p>
              </w:tc>
              <w:tc>
                <w:tcPr>
                  <w:tcW w:w="1437" w:type="dxa"/>
                </w:tcPr>
                <w:p w14:paraId="2F7C9375" w14:textId="77777777" w:rsidR="00FF22D2" w:rsidRPr="00F566C3" w:rsidRDefault="004D325D" w:rsidP="00FF22D2">
                  <w:pPr>
                    <w:jc w:val="center"/>
                  </w:pPr>
                  <w:r w:rsidRPr="00F566C3">
                    <w:t>0</w:t>
                  </w:r>
                </w:p>
              </w:tc>
              <w:tc>
                <w:tcPr>
                  <w:tcW w:w="1437" w:type="dxa"/>
                </w:tcPr>
                <w:p w14:paraId="2F7C9376" w14:textId="77777777" w:rsidR="00FF22D2" w:rsidRPr="00F566C3" w:rsidRDefault="004D325D" w:rsidP="00FF22D2">
                  <w:pPr>
                    <w:jc w:val="center"/>
                  </w:pPr>
                  <w:r w:rsidRPr="00F566C3">
                    <w:t>3</w:t>
                  </w:r>
                </w:p>
              </w:tc>
              <w:tc>
                <w:tcPr>
                  <w:tcW w:w="1437" w:type="dxa"/>
                </w:tcPr>
                <w:p w14:paraId="2F7C9377" w14:textId="77777777" w:rsidR="00FF22D2" w:rsidRPr="00F566C3" w:rsidRDefault="004D325D" w:rsidP="00FF22D2">
                  <w:pPr>
                    <w:jc w:val="center"/>
                  </w:pPr>
                  <w:r w:rsidRPr="00F566C3">
                    <w:t>2</w:t>
                  </w:r>
                </w:p>
              </w:tc>
            </w:tr>
          </w:tbl>
          <w:p w14:paraId="2F7C9379" w14:textId="77777777" w:rsidR="00B963D2" w:rsidRPr="00F566C3" w:rsidRDefault="00B963D2" w:rsidP="00317CE4">
            <w:pPr>
              <w:jc w:val="both"/>
            </w:pPr>
            <w:r w:rsidRPr="00F566C3">
              <w:t xml:space="preserve"> </w:t>
            </w:r>
          </w:p>
          <w:p w14:paraId="2F7C937A" w14:textId="77777777" w:rsidR="004D325D" w:rsidRPr="00F566C3" w:rsidRDefault="00FF22D2" w:rsidP="00FF22D2">
            <w:pPr>
              <w:jc w:val="both"/>
            </w:pPr>
            <w:r w:rsidRPr="00F566C3">
              <w:rPr>
                <w:u w:val="single"/>
              </w:rPr>
              <w:t>Valsts robežsardzes</w:t>
            </w:r>
            <w:r w:rsidRPr="00F566C3">
              <w:t xml:space="preserve"> </w:t>
            </w:r>
            <w:r w:rsidR="004D325D" w:rsidRPr="00F566C3">
              <w:t>sastādītie protokoli un pieņemtie lēmumi</w:t>
            </w:r>
            <w:r w:rsidRPr="00F566C3">
              <w:t xml:space="preserve">: </w:t>
            </w:r>
          </w:p>
          <w:tbl>
            <w:tblPr>
              <w:tblStyle w:val="TableGrid"/>
              <w:tblW w:w="0" w:type="auto"/>
              <w:tblLook w:val="04A0" w:firstRow="1" w:lastRow="0" w:firstColumn="1" w:lastColumn="0" w:noHBand="0" w:noVBand="1"/>
            </w:tblPr>
            <w:tblGrid>
              <w:gridCol w:w="1436"/>
              <w:gridCol w:w="1437"/>
              <w:gridCol w:w="1437"/>
              <w:gridCol w:w="1437"/>
            </w:tblGrid>
            <w:tr w:rsidR="00FF22D2" w:rsidRPr="00F566C3" w14:paraId="2F7C9380" w14:textId="77777777" w:rsidTr="00317CE4">
              <w:tc>
                <w:tcPr>
                  <w:tcW w:w="1436" w:type="dxa"/>
                  <w:vAlign w:val="center"/>
                </w:tcPr>
                <w:p w14:paraId="2F7C937B" w14:textId="77777777" w:rsidR="00FF22D2" w:rsidRPr="00F566C3" w:rsidRDefault="00FF22D2" w:rsidP="00FF22D2">
                  <w:pPr>
                    <w:jc w:val="both"/>
                  </w:pPr>
                  <w:r w:rsidRPr="00F566C3">
                    <w:t>186.panta otrā daļa</w:t>
                  </w:r>
                </w:p>
              </w:tc>
              <w:tc>
                <w:tcPr>
                  <w:tcW w:w="1437" w:type="dxa"/>
                  <w:vAlign w:val="center"/>
                </w:tcPr>
                <w:p w14:paraId="2F7C937C" w14:textId="77777777" w:rsidR="00FF22D2" w:rsidRPr="00F566C3" w:rsidRDefault="00FF22D2" w:rsidP="00FF22D2">
                  <w:pPr>
                    <w:jc w:val="center"/>
                  </w:pPr>
                  <w:r w:rsidRPr="00F566C3">
                    <w:t>2016.</w:t>
                  </w:r>
                </w:p>
              </w:tc>
              <w:tc>
                <w:tcPr>
                  <w:tcW w:w="1437" w:type="dxa"/>
                  <w:vAlign w:val="center"/>
                </w:tcPr>
                <w:p w14:paraId="2F7C937D" w14:textId="77777777" w:rsidR="00FF22D2" w:rsidRPr="00F566C3" w:rsidRDefault="00FF22D2" w:rsidP="00FF22D2">
                  <w:pPr>
                    <w:jc w:val="center"/>
                  </w:pPr>
                  <w:r w:rsidRPr="00F566C3">
                    <w:t>2017.</w:t>
                  </w:r>
                </w:p>
              </w:tc>
              <w:tc>
                <w:tcPr>
                  <w:tcW w:w="1437" w:type="dxa"/>
                  <w:vAlign w:val="center"/>
                </w:tcPr>
                <w:p w14:paraId="2F7C937F" w14:textId="47E68F6E" w:rsidR="00FF22D2" w:rsidRPr="00F566C3" w:rsidRDefault="00FF22D2" w:rsidP="00C15F1B">
                  <w:pPr>
                    <w:jc w:val="center"/>
                  </w:pPr>
                  <w:r w:rsidRPr="00F566C3">
                    <w:t xml:space="preserve">2018. </w:t>
                  </w:r>
                </w:p>
              </w:tc>
            </w:tr>
            <w:tr w:rsidR="004D325D" w:rsidRPr="00F566C3" w14:paraId="2F7C9385" w14:textId="77777777" w:rsidTr="00317CE4">
              <w:tc>
                <w:tcPr>
                  <w:tcW w:w="1436" w:type="dxa"/>
                </w:tcPr>
                <w:p w14:paraId="2F7C9381" w14:textId="77777777" w:rsidR="004D325D" w:rsidRPr="00F566C3" w:rsidRDefault="004D325D" w:rsidP="004D325D">
                  <w:pPr>
                    <w:jc w:val="both"/>
                  </w:pPr>
                  <w:r w:rsidRPr="00F566C3">
                    <w:t>protokoli</w:t>
                  </w:r>
                </w:p>
              </w:tc>
              <w:tc>
                <w:tcPr>
                  <w:tcW w:w="1437" w:type="dxa"/>
                </w:tcPr>
                <w:p w14:paraId="2F7C9382" w14:textId="77777777" w:rsidR="004D325D" w:rsidRPr="00F566C3" w:rsidRDefault="004D325D" w:rsidP="004D325D">
                  <w:pPr>
                    <w:jc w:val="center"/>
                  </w:pPr>
                  <w:r w:rsidRPr="00F566C3">
                    <w:t>70</w:t>
                  </w:r>
                </w:p>
              </w:tc>
              <w:tc>
                <w:tcPr>
                  <w:tcW w:w="1437" w:type="dxa"/>
                </w:tcPr>
                <w:p w14:paraId="2F7C9383" w14:textId="77777777" w:rsidR="004D325D" w:rsidRPr="00F566C3" w:rsidRDefault="004D325D" w:rsidP="004D325D">
                  <w:pPr>
                    <w:jc w:val="center"/>
                  </w:pPr>
                  <w:r w:rsidRPr="00F566C3">
                    <w:t>54</w:t>
                  </w:r>
                </w:p>
              </w:tc>
              <w:tc>
                <w:tcPr>
                  <w:tcW w:w="1437" w:type="dxa"/>
                </w:tcPr>
                <w:p w14:paraId="2F7C9384" w14:textId="57187682" w:rsidR="004D325D" w:rsidRPr="00F566C3" w:rsidRDefault="00C15F1B" w:rsidP="004D325D">
                  <w:pPr>
                    <w:jc w:val="center"/>
                  </w:pPr>
                  <w:r>
                    <w:t>32</w:t>
                  </w:r>
                </w:p>
              </w:tc>
            </w:tr>
            <w:tr w:rsidR="004D325D" w:rsidRPr="00F566C3" w14:paraId="2F7C938A" w14:textId="77777777" w:rsidTr="00317CE4">
              <w:tc>
                <w:tcPr>
                  <w:tcW w:w="1436" w:type="dxa"/>
                </w:tcPr>
                <w:p w14:paraId="2F7C9386" w14:textId="77777777" w:rsidR="004D325D" w:rsidRPr="00F566C3" w:rsidRDefault="004D325D" w:rsidP="004D325D">
                  <w:pPr>
                    <w:jc w:val="both"/>
                  </w:pPr>
                  <w:r w:rsidRPr="00F566C3">
                    <w:t>lēmumi</w:t>
                  </w:r>
                </w:p>
              </w:tc>
              <w:tc>
                <w:tcPr>
                  <w:tcW w:w="1437" w:type="dxa"/>
                </w:tcPr>
                <w:p w14:paraId="2F7C9387" w14:textId="77777777" w:rsidR="004D325D" w:rsidRPr="00F566C3" w:rsidRDefault="00EA3FB0" w:rsidP="004D325D">
                  <w:pPr>
                    <w:jc w:val="center"/>
                  </w:pPr>
                  <w:r w:rsidRPr="00F566C3">
                    <w:t>62</w:t>
                  </w:r>
                </w:p>
              </w:tc>
              <w:tc>
                <w:tcPr>
                  <w:tcW w:w="1437" w:type="dxa"/>
                </w:tcPr>
                <w:p w14:paraId="2F7C9388" w14:textId="77777777" w:rsidR="004D325D" w:rsidRPr="00F566C3" w:rsidRDefault="004D325D" w:rsidP="004D325D">
                  <w:pPr>
                    <w:jc w:val="center"/>
                  </w:pPr>
                  <w:r w:rsidRPr="00F566C3">
                    <w:t>49</w:t>
                  </w:r>
                </w:p>
              </w:tc>
              <w:tc>
                <w:tcPr>
                  <w:tcW w:w="1437" w:type="dxa"/>
                </w:tcPr>
                <w:p w14:paraId="2F7C9389" w14:textId="008D230F" w:rsidR="004D325D" w:rsidRPr="00F566C3" w:rsidRDefault="00C15F1B" w:rsidP="004D325D">
                  <w:pPr>
                    <w:jc w:val="center"/>
                  </w:pPr>
                  <w:r>
                    <w:t>30</w:t>
                  </w:r>
                </w:p>
              </w:tc>
            </w:tr>
          </w:tbl>
          <w:p w14:paraId="2F7C938B" w14:textId="77777777" w:rsidR="00FF22D2" w:rsidRPr="00F566C3" w:rsidRDefault="004D325D" w:rsidP="00317CE4">
            <w:pPr>
              <w:jc w:val="both"/>
            </w:pPr>
            <w:r w:rsidRPr="00F566C3">
              <w:t xml:space="preserve"> </w:t>
            </w:r>
          </w:p>
          <w:tbl>
            <w:tblPr>
              <w:tblStyle w:val="TableGrid"/>
              <w:tblW w:w="0" w:type="auto"/>
              <w:tblLook w:val="04A0" w:firstRow="1" w:lastRow="0" w:firstColumn="1" w:lastColumn="0" w:noHBand="0" w:noVBand="1"/>
            </w:tblPr>
            <w:tblGrid>
              <w:gridCol w:w="1436"/>
              <w:gridCol w:w="1437"/>
              <w:gridCol w:w="1437"/>
              <w:gridCol w:w="1437"/>
            </w:tblGrid>
            <w:tr w:rsidR="004D325D" w:rsidRPr="00F566C3" w14:paraId="2F7C9391" w14:textId="77777777" w:rsidTr="00317CE4">
              <w:tc>
                <w:tcPr>
                  <w:tcW w:w="1436" w:type="dxa"/>
                  <w:vAlign w:val="center"/>
                </w:tcPr>
                <w:p w14:paraId="2F7C938C" w14:textId="77777777" w:rsidR="004D325D" w:rsidRPr="00F566C3" w:rsidRDefault="004D325D" w:rsidP="004D325D">
                  <w:pPr>
                    <w:jc w:val="both"/>
                  </w:pPr>
                  <w:r w:rsidRPr="00F566C3">
                    <w:t>190.</w:t>
                  </w:r>
                  <w:r w:rsidRPr="00F566C3">
                    <w:rPr>
                      <w:vertAlign w:val="superscript"/>
                    </w:rPr>
                    <w:t>10</w:t>
                  </w:r>
                  <w:r w:rsidRPr="00F566C3">
                    <w:t>pants</w:t>
                  </w:r>
                </w:p>
              </w:tc>
              <w:tc>
                <w:tcPr>
                  <w:tcW w:w="1437" w:type="dxa"/>
                  <w:vAlign w:val="center"/>
                </w:tcPr>
                <w:p w14:paraId="2F7C938D" w14:textId="77777777" w:rsidR="004D325D" w:rsidRPr="00F566C3" w:rsidRDefault="004D325D" w:rsidP="004D325D">
                  <w:pPr>
                    <w:jc w:val="center"/>
                  </w:pPr>
                  <w:r w:rsidRPr="00F566C3">
                    <w:t>2016.</w:t>
                  </w:r>
                </w:p>
              </w:tc>
              <w:tc>
                <w:tcPr>
                  <w:tcW w:w="1437" w:type="dxa"/>
                  <w:vAlign w:val="center"/>
                </w:tcPr>
                <w:p w14:paraId="2F7C938E" w14:textId="77777777" w:rsidR="004D325D" w:rsidRPr="00F566C3" w:rsidRDefault="004D325D" w:rsidP="004D325D">
                  <w:pPr>
                    <w:jc w:val="center"/>
                  </w:pPr>
                  <w:r w:rsidRPr="00F566C3">
                    <w:t>2017.</w:t>
                  </w:r>
                </w:p>
              </w:tc>
              <w:tc>
                <w:tcPr>
                  <w:tcW w:w="1437" w:type="dxa"/>
                  <w:vAlign w:val="center"/>
                </w:tcPr>
                <w:p w14:paraId="2F7C9390" w14:textId="6784EB82" w:rsidR="004D325D" w:rsidRPr="00F566C3" w:rsidRDefault="004D325D" w:rsidP="00C15F1B">
                  <w:pPr>
                    <w:jc w:val="center"/>
                  </w:pPr>
                  <w:r w:rsidRPr="00F566C3">
                    <w:t xml:space="preserve">2018. </w:t>
                  </w:r>
                </w:p>
              </w:tc>
            </w:tr>
            <w:tr w:rsidR="004D325D" w:rsidRPr="00F566C3" w14:paraId="2F7C9396" w14:textId="77777777" w:rsidTr="00317CE4">
              <w:tc>
                <w:tcPr>
                  <w:tcW w:w="1436" w:type="dxa"/>
                </w:tcPr>
                <w:p w14:paraId="2F7C9392" w14:textId="77777777" w:rsidR="004D325D" w:rsidRPr="00F566C3" w:rsidRDefault="004D325D" w:rsidP="004D325D">
                  <w:pPr>
                    <w:jc w:val="both"/>
                  </w:pPr>
                  <w:r w:rsidRPr="00F566C3">
                    <w:t>protokoli</w:t>
                  </w:r>
                </w:p>
              </w:tc>
              <w:tc>
                <w:tcPr>
                  <w:tcW w:w="1437" w:type="dxa"/>
                </w:tcPr>
                <w:p w14:paraId="2F7C9393" w14:textId="77777777" w:rsidR="004D325D" w:rsidRPr="00F566C3" w:rsidRDefault="002D34C2" w:rsidP="004D325D">
                  <w:pPr>
                    <w:jc w:val="center"/>
                  </w:pPr>
                  <w:r w:rsidRPr="00F566C3">
                    <w:t>0</w:t>
                  </w:r>
                </w:p>
              </w:tc>
              <w:tc>
                <w:tcPr>
                  <w:tcW w:w="1437" w:type="dxa"/>
                </w:tcPr>
                <w:p w14:paraId="2F7C9394" w14:textId="77777777" w:rsidR="004D325D" w:rsidRPr="00F566C3" w:rsidRDefault="002D34C2" w:rsidP="004D325D">
                  <w:pPr>
                    <w:jc w:val="center"/>
                  </w:pPr>
                  <w:r w:rsidRPr="00F566C3">
                    <w:t>10</w:t>
                  </w:r>
                </w:p>
              </w:tc>
              <w:tc>
                <w:tcPr>
                  <w:tcW w:w="1437" w:type="dxa"/>
                </w:tcPr>
                <w:p w14:paraId="2F7C9395" w14:textId="77777777" w:rsidR="004D325D" w:rsidRPr="00F566C3" w:rsidRDefault="002D34C2" w:rsidP="004D325D">
                  <w:pPr>
                    <w:jc w:val="center"/>
                  </w:pPr>
                  <w:r w:rsidRPr="00F566C3">
                    <w:t>0</w:t>
                  </w:r>
                </w:p>
              </w:tc>
            </w:tr>
          </w:tbl>
          <w:p w14:paraId="2F7C9397" w14:textId="77777777" w:rsidR="004D325D" w:rsidRPr="00F566C3" w:rsidRDefault="004D325D" w:rsidP="00317CE4">
            <w:pPr>
              <w:jc w:val="both"/>
            </w:pPr>
          </w:p>
          <w:p w14:paraId="2F7C9398" w14:textId="77777777" w:rsidR="002D34C2" w:rsidRPr="00F566C3" w:rsidRDefault="002D34C2" w:rsidP="002D34C2">
            <w:pPr>
              <w:jc w:val="both"/>
            </w:pPr>
            <w:r w:rsidRPr="00F566C3">
              <w:rPr>
                <w:u w:val="single"/>
              </w:rPr>
              <w:t>Valsts policijas</w:t>
            </w:r>
            <w:r w:rsidRPr="00F566C3">
              <w:t xml:space="preserve"> sastādītie protokoli un pieņemtie lēmumi: </w:t>
            </w:r>
          </w:p>
          <w:tbl>
            <w:tblPr>
              <w:tblStyle w:val="TableGrid"/>
              <w:tblW w:w="0" w:type="auto"/>
              <w:tblLook w:val="04A0" w:firstRow="1" w:lastRow="0" w:firstColumn="1" w:lastColumn="0" w:noHBand="0" w:noVBand="1"/>
            </w:tblPr>
            <w:tblGrid>
              <w:gridCol w:w="1436"/>
              <w:gridCol w:w="1437"/>
              <w:gridCol w:w="1437"/>
              <w:gridCol w:w="1437"/>
            </w:tblGrid>
            <w:tr w:rsidR="002D34C2" w:rsidRPr="00F566C3" w14:paraId="2F7C939E" w14:textId="77777777" w:rsidTr="00317CE4">
              <w:tc>
                <w:tcPr>
                  <w:tcW w:w="1436" w:type="dxa"/>
                  <w:vAlign w:val="center"/>
                </w:tcPr>
                <w:p w14:paraId="2F7C9399" w14:textId="77777777" w:rsidR="002D34C2" w:rsidRPr="00F566C3" w:rsidRDefault="002D34C2" w:rsidP="002D34C2">
                  <w:pPr>
                    <w:jc w:val="both"/>
                  </w:pPr>
                  <w:r w:rsidRPr="00F566C3">
                    <w:t>186.panta otrā daļa</w:t>
                  </w:r>
                </w:p>
              </w:tc>
              <w:tc>
                <w:tcPr>
                  <w:tcW w:w="1437" w:type="dxa"/>
                  <w:vAlign w:val="center"/>
                </w:tcPr>
                <w:p w14:paraId="2F7C939A" w14:textId="77777777" w:rsidR="002D34C2" w:rsidRPr="00F566C3" w:rsidRDefault="002D34C2" w:rsidP="002D34C2">
                  <w:pPr>
                    <w:jc w:val="center"/>
                  </w:pPr>
                  <w:r w:rsidRPr="00F566C3">
                    <w:t>2016.</w:t>
                  </w:r>
                </w:p>
              </w:tc>
              <w:tc>
                <w:tcPr>
                  <w:tcW w:w="1437" w:type="dxa"/>
                  <w:vAlign w:val="center"/>
                </w:tcPr>
                <w:p w14:paraId="2F7C939B" w14:textId="77777777" w:rsidR="002D34C2" w:rsidRPr="00F566C3" w:rsidRDefault="002D34C2" w:rsidP="002D34C2">
                  <w:pPr>
                    <w:jc w:val="center"/>
                  </w:pPr>
                  <w:r w:rsidRPr="00F566C3">
                    <w:t>2017.</w:t>
                  </w:r>
                </w:p>
              </w:tc>
              <w:tc>
                <w:tcPr>
                  <w:tcW w:w="1437" w:type="dxa"/>
                  <w:vAlign w:val="center"/>
                </w:tcPr>
                <w:p w14:paraId="2F7C939D" w14:textId="03CB795F" w:rsidR="002D34C2" w:rsidRPr="00F566C3" w:rsidRDefault="002D34C2" w:rsidP="00C15F1B">
                  <w:pPr>
                    <w:jc w:val="center"/>
                  </w:pPr>
                  <w:r w:rsidRPr="00F566C3">
                    <w:t xml:space="preserve">2018. </w:t>
                  </w:r>
                </w:p>
              </w:tc>
            </w:tr>
            <w:tr w:rsidR="002D34C2" w:rsidRPr="00F566C3" w14:paraId="2F7C93A3" w14:textId="77777777" w:rsidTr="00317CE4">
              <w:tc>
                <w:tcPr>
                  <w:tcW w:w="1436" w:type="dxa"/>
                </w:tcPr>
                <w:p w14:paraId="2F7C939F" w14:textId="77777777" w:rsidR="002D34C2" w:rsidRPr="00F566C3" w:rsidRDefault="002D34C2" w:rsidP="002D34C2">
                  <w:pPr>
                    <w:jc w:val="both"/>
                  </w:pPr>
                  <w:r w:rsidRPr="00F566C3">
                    <w:t>protokoli</w:t>
                  </w:r>
                </w:p>
              </w:tc>
              <w:tc>
                <w:tcPr>
                  <w:tcW w:w="1437" w:type="dxa"/>
                </w:tcPr>
                <w:p w14:paraId="2F7C93A0" w14:textId="77777777" w:rsidR="002D34C2" w:rsidRPr="00F566C3" w:rsidRDefault="002D34C2" w:rsidP="002D34C2">
                  <w:pPr>
                    <w:jc w:val="center"/>
                  </w:pPr>
                  <w:r w:rsidRPr="00F566C3">
                    <w:t>2 332</w:t>
                  </w:r>
                </w:p>
              </w:tc>
              <w:tc>
                <w:tcPr>
                  <w:tcW w:w="1437" w:type="dxa"/>
                </w:tcPr>
                <w:p w14:paraId="2F7C93A1" w14:textId="77777777" w:rsidR="002D34C2" w:rsidRPr="00F566C3" w:rsidRDefault="002D34C2" w:rsidP="002D34C2">
                  <w:pPr>
                    <w:jc w:val="center"/>
                  </w:pPr>
                  <w:r w:rsidRPr="00F566C3">
                    <w:t>2 708</w:t>
                  </w:r>
                </w:p>
              </w:tc>
              <w:tc>
                <w:tcPr>
                  <w:tcW w:w="1437" w:type="dxa"/>
                </w:tcPr>
                <w:p w14:paraId="2F7C93A2" w14:textId="4022E3F7" w:rsidR="002D34C2" w:rsidRPr="00F566C3" w:rsidRDefault="002D34C2" w:rsidP="00C15F1B">
                  <w:pPr>
                    <w:jc w:val="center"/>
                  </w:pPr>
                  <w:r w:rsidRPr="00F566C3">
                    <w:t xml:space="preserve">2 </w:t>
                  </w:r>
                  <w:r w:rsidR="00C15F1B">
                    <w:t>710</w:t>
                  </w:r>
                </w:p>
              </w:tc>
            </w:tr>
            <w:tr w:rsidR="002D34C2" w:rsidRPr="00F566C3" w14:paraId="2F7C93A8" w14:textId="77777777" w:rsidTr="00317CE4">
              <w:tc>
                <w:tcPr>
                  <w:tcW w:w="1436" w:type="dxa"/>
                </w:tcPr>
                <w:p w14:paraId="2F7C93A4" w14:textId="77777777" w:rsidR="002D34C2" w:rsidRPr="00F566C3" w:rsidRDefault="002D34C2" w:rsidP="002D34C2">
                  <w:pPr>
                    <w:jc w:val="both"/>
                  </w:pPr>
                  <w:r w:rsidRPr="00F566C3">
                    <w:t>lēmumi</w:t>
                  </w:r>
                </w:p>
              </w:tc>
              <w:tc>
                <w:tcPr>
                  <w:tcW w:w="1437" w:type="dxa"/>
                </w:tcPr>
                <w:p w14:paraId="2F7C93A5" w14:textId="77777777" w:rsidR="002D34C2" w:rsidRPr="00F566C3" w:rsidRDefault="002D34C2" w:rsidP="002D34C2">
                  <w:pPr>
                    <w:jc w:val="center"/>
                  </w:pPr>
                  <w:r w:rsidRPr="00F566C3">
                    <w:t>0</w:t>
                  </w:r>
                </w:p>
              </w:tc>
              <w:tc>
                <w:tcPr>
                  <w:tcW w:w="1437" w:type="dxa"/>
                </w:tcPr>
                <w:p w14:paraId="2F7C93A6" w14:textId="77777777" w:rsidR="002D34C2" w:rsidRPr="00F566C3" w:rsidRDefault="002D34C2" w:rsidP="002D34C2">
                  <w:pPr>
                    <w:jc w:val="center"/>
                  </w:pPr>
                  <w:r w:rsidRPr="00F566C3">
                    <w:t>0</w:t>
                  </w:r>
                </w:p>
              </w:tc>
              <w:tc>
                <w:tcPr>
                  <w:tcW w:w="1437" w:type="dxa"/>
                </w:tcPr>
                <w:p w14:paraId="2F7C93A7" w14:textId="77777777" w:rsidR="002D34C2" w:rsidRPr="00F566C3" w:rsidRDefault="002D34C2" w:rsidP="002D34C2">
                  <w:pPr>
                    <w:jc w:val="center"/>
                  </w:pPr>
                  <w:r w:rsidRPr="00F566C3">
                    <w:t>1</w:t>
                  </w:r>
                </w:p>
              </w:tc>
            </w:tr>
          </w:tbl>
          <w:p w14:paraId="2F7C93A9" w14:textId="77777777" w:rsidR="002D34C2" w:rsidRPr="00F566C3" w:rsidRDefault="002D34C2" w:rsidP="002D34C2">
            <w:pPr>
              <w:jc w:val="both"/>
            </w:pPr>
            <w:r w:rsidRPr="00F566C3">
              <w:t xml:space="preserve"> </w:t>
            </w:r>
          </w:p>
          <w:tbl>
            <w:tblPr>
              <w:tblStyle w:val="TableGrid"/>
              <w:tblW w:w="0" w:type="auto"/>
              <w:tblLook w:val="04A0" w:firstRow="1" w:lastRow="0" w:firstColumn="1" w:lastColumn="0" w:noHBand="0" w:noVBand="1"/>
            </w:tblPr>
            <w:tblGrid>
              <w:gridCol w:w="1436"/>
              <w:gridCol w:w="1437"/>
              <w:gridCol w:w="1437"/>
              <w:gridCol w:w="1437"/>
            </w:tblGrid>
            <w:tr w:rsidR="002D34C2" w:rsidRPr="00F566C3" w14:paraId="2F7C93AF" w14:textId="77777777" w:rsidTr="00317CE4">
              <w:tc>
                <w:tcPr>
                  <w:tcW w:w="1436" w:type="dxa"/>
                  <w:vAlign w:val="center"/>
                </w:tcPr>
                <w:p w14:paraId="2F7C93AA" w14:textId="77777777" w:rsidR="002D34C2" w:rsidRPr="00F566C3" w:rsidRDefault="002D34C2" w:rsidP="002D34C2">
                  <w:pPr>
                    <w:jc w:val="both"/>
                  </w:pPr>
                  <w:r w:rsidRPr="00F566C3">
                    <w:t>190.</w:t>
                  </w:r>
                  <w:r w:rsidRPr="00F566C3">
                    <w:rPr>
                      <w:vertAlign w:val="superscript"/>
                    </w:rPr>
                    <w:t>10</w:t>
                  </w:r>
                  <w:r w:rsidRPr="00F566C3">
                    <w:t>pants</w:t>
                  </w:r>
                </w:p>
              </w:tc>
              <w:tc>
                <w:tcPr>
                  <w:tcW w:w="1437" w:type="dxa"/>
                  <w:vAlign w:val="center"/>
                </w:tcPr>
                <w:p w14:paraId="2F7C93AB" w14:textId="77777777" w:rsidR="002D34C2" w:rsidRPr="00F566C3" w:rsidRDefault="002D34C2" w:rsidP="002D34C2">
                  <w:pPr>
                    <w:jc w:val="center"/>
                  </w:pPr>
                  <w:r w:rsidRPr="00F566C3">
                    <w:t>2016.</w:t>
                  </w:r>
                </w:p>
              </w:tc>
              <w:tc>
                <w:tcPr>
                  <w:tcW w:w="1437" w:type="dxa"/>
                  <w:vAlign w:val="center"/>
                </w:tcPr>
                <w:p w14:paraId="2F7C93AC" w14:textId="77777777" w:rsidR="002D34C2" w:rsidRPr="00F566C3" w:rsidRDefault="002D34C2" w:rsidP="002D34C2">
                  <w:pPr>
                    <w:jc w:val="center"/>
                  </w:pPr>
                  <w:r w:rsidRPr="00F566C3">
                    <w:t>2017.</w:t>
                  </w:r>
                </w:p>
              </w:tc>
              <w:tc>
                <w:tcPr>
                  <w:tcW w:w="1437" w:type="dxa"/>
                  <w:vAlign w:val="center"/>
                </w:tcPr>
                <w:p w14:paraId="2F7C93AE" w14:textId="5A5D157D" w:rsidR="002D34C2" w:rsidRPr="00F566C3" w:rsidRDefault="002D34C2" w:rsidP="00C15F1B">
                  <w:pPr>
                    <w:jc w:val="center"/>
                  </w:pPr>
                  <w:r w:rsidRPr="00F566C3">
                    <w:t xml:space="preserve">2018. </w:t>
                  </w:r>
                </w:p>
              </w:tc>
            </w:tr>
            <w:tr w:rsidR="002D34C2" w:rsidRPr="00F566C3" w14:paraId="2F7C93B4" w14:textId="77777777" w:rsidTr="00317CE4">
              <w:tc>
                <w:tcPr>
                  <w:tcW w:w="1436" w:type="dxa"/>
                </w:tcPr>
                <w:p w14:paraId="2F7C93B0" w14:textId="77777777" w:rsidR="002D34C2" w:rsidRPr="00F566C3" w:rsidRDefault="002D34C2" w:rsidP="002D34C2">
                  <w:pPr>
                    <w:jc w:val="both"/>
                  </w:pPr>
                  <w:r w:rsidRPr="00F566C3">
                    <w:t>protokoli</w:t>
                  </w:r>
                </w:p>
              </w:tc>
              <w:tc>
                <w:tcPr>
                  <w:tcW w:w="1437" w:type="dxa"/>
                </w:tcPr>
                <w:p w14:paraId="2F7C93B1" w14:textId="77777777" w:rsidR="002D34C2" w:rsidRPr="00F566C3" w:rsidRDefault="002D34C2" w:rsidP="002D34C2">
                  <w:pPr>
                    <w:jc w:val="center"/>
                  </w:pPr>
                  <w:r w:rsidRPr="00F566C3">
                    <w:t>1</w:t>
                  </w:r>
                </w:p>
              </w:tc>
              <w:tc>
                <w:tcPr>
                  <w:tcW w:w="1437" w:type="dxa"/>
                </w:tcPr>
                <w:p w14:paraId="2F7C93B2" w14:textId="77777777" w:rsidR="002D34C2" w:rsidRPr="00F566C3" w:rsidRDefault="002D34C2" w:rsidP="002D34C2">
                  <w:pPr>
                    <w:jc w:val="center"/>
                  </w:pPr>
                  <w:r w:rsidRPr="00F566C3">
                    <w:t>4</w:t>
                  </w:r>
                </w:p>
              </w:tc>
              <w:tc>
                <w:tcPr>
                  <w:tcW w:w="1437" w:type="dxa"/>
                </w:tcPr>
                <w:p w14:paraId="2F7C93B3" w14:textId="7F746231" w:rsidR="002D34C2" w:rsidRPr="00F566C3" w:rsidRDefault="00C15F1B" w:rsidP="002D34C2">
                  <w:pPr>
                    <w:jc w:val="center"/>
                  </w:pPr>
                  <w:r>
                    <w:t>3</w:t>
                  </w:r>
                </w:p>
              </w:tc>
            </w:tr>
          </w:tbl>
          <w:p w14:paraId="2F7C93B5" w14:textId="77777777" w:rsidR="002D34C2" w:rsidRPr="00F566C3" w:rsidRDefault="002D34C2" w:rsidP="002D34C2">
            <w:pPr>
              <w:jc w:val="both"/>
            </w:pPr>
          </w:p>
          <w:p w14:paraId="2F7C93B6" w14:textId="77777777" w:rsidR="002D34C2" w:rsidRPr="00F566C3" w:rsidRDefault="002D34C2" w:rsidP="002D34C2">
            <w:pPr>
              <w:jc w:val="both"/>
            </w:pPr>
            <w:r w:rsidRPr="00F566C3">
              <w:rPr>
                <w:u w:val="single"/>
              </w:rPr>
              <w:t>Pašvaldību policijas</w:t>
            </w:r>
            <w:r w:rsidRPr="00F566C3">
              <w:t xml:space="preserve"> sastādītie protokoli un pieņemtie lēmumi: </w:t>
            </w:r>
          </w:p>
          <w:tbl>
            <w:tblPr>
              <w:tblStyle w:val="TableGrid"/>
              <w:tblW w:w="0" w:type="auto"/>
              <w:tblLook w:val="04A0" w:firstRow="1" w:lastRow="0" w:firstColumn="1" w:lastColumn="0" w:noHBand="0" w:noVBand="1"/>
            </w:tblPr>
            <w:tblGrid>
              <w:gridCol w:w="1436"/>
              <w:gridCol w:w="1437"/>
              <w:gridCol w:w="1437"/>
              <w:gridCol w:w="1437"/>
            </w:tblGrid>
            <w:tr w:rsidR="002D34C2" w:rsidRPr="00F566C3" w14:paraId="2F7C93BC" w14:textId="77777777" w:rsidTr="00317CE4">
              <w:tc>
                <w:tcPr>
                  <w:tcW w:w="1436" w:type="dxa"/>
                  <w:vAlign w:val="center"/>
                </w:tcPr>
                <w:p w14:paraId="2F7C93B7" w14:textId="77777777" w:rsidR="002D34C2" w:rsidRPr="00F566C3" w:rsidRDefault="002D34C2" w:rsidP="002D34C2">
                  <w:pPr>
                    <w:jc w:val="both"/>
                  </w:pPr>
                  <w:r w:rsidRPr="00F566C3">
                    <w:t>186.panta otrā daļa</w:t>
                  </w:r>
                </w:p>
              </w:tc>
              <w:tc>
                <w:tcPr>
                  <w:tcW w:w="1437" w:type="dxa"/>
                  <w:vAlign w:val="center"/>
                </w:tcPr>
                <w:p w14:paraId="2F7C93B8" w14:textId="77777777" w:rsidR="002D34C2" w:rsidRPr="00F566C3" w:rsidRDefault="002D34C2" w:rsidP="002D34C2">
                  <w:pPr>
                    <w:jc w:val="center"/>
                  </w:pPr>
                  <w:r w:rsidRPr="00F566C3">
                    <w:t>2016.</w:t>
                  </w:r>
                </w:p>
              </w:tc>
              <w:tc>
                <w:tcPr>
                  <w:tcW w:w="1437" w:type="dxa"/>
                  <w:vAlign w:val="center"/>
                </w:tcPr>
                <w:p w14:paraId="2F7C93B9" w14:textId="77777777" w:rsidR="002D34C2" w:rsidRPr="00F566C3" w:rsidRDefault="002D34C2" w:rsidP="002D34C2">
                  <w:pPr>
                    <w:jc w:val="center"/>
                  </w:pPr>
                  <w:r w:rsidRPr="00F566C3">
                    <w:t>2017.</w:t>
                  </w:r>
                </w:p>
              </w:tc>
              <w:tc>
                <w:tcPr>
                  <w:tcW w:w="1437" w:type="dxa"/>
                  <w:vAlign w:val="center"/>
                </w:tcPr>
                <w:p w14:paraId="2F7C93BB" w14:textId="103F4484" w:rsidR="002D34C2" w:rsidRPr="00F566C3" w:rsidRDefault="002D34C2" w:rsidP="00C15F1B">
                  <w:pPr>
                    <w:jc w:val="center"/>
                  </w:pPr>
                  <w:r w:rsidRPr="00F566C3">
                    <w:t xml:space="preserve">2018. </w:t>
                  </w:r>
                </w:p>
              </w:tc>
            </w:tr>
            <w:tr w:rsidR="002D34C2" w:rsidRPr="00F566C3" w14:paraId="2F7C93C1" w14:textId="77777777" w:rsidTr="00317CE4">
              <w:tc>
                <w:tcPr>
                  <w:tcW w:w="1436" w:type="dxa"/>
                </w:tcPr>
                <w:p w14:paraId="2F7C93BD" w14:textId="77777777" w:rsidR="002D34C2" w:rsidRPr="00F566C3" w:rsidRDefault="002D34C2" w:rsidP="002D34C2">
                  <w:pPr>
                    <w:jc w:val="both"/>
                  </w:pPr>
                  <w:r w:rsidRPr="00F566C3">
                    <w:t>protokoli</w:t>
                  </w:r>
                </w:p>
              </w:tc>
              <w:tc>
                <w:tcPr>
                  <w:tcW w:w="1437" w:type="dxa"/>
                </w:tcPr>
                <w:p w14:paraId="2F7C93BE" w14:textId="77777777" w:rsidR="002D34C2" w:rsidRPr="00F566C3" w:rsidRDefault="002D34C2" w:rsidP="002D34C2">
                  <w:pPr>
                    <w:jc w:val="center"/>
                  </w:pPr>
                  <w:r w:rsidRPr="00F566C3">
                    <w:t>2 983</w:t>
                  </w:r>
                </w:p>
              </w:tc>
              <w:tc>
                <w:tcPr>
                  <w:tcW w:w="1437" w:type="dxa"/>
                </w:tcPr>
                <w:p w14:paraId="2F7C93BF" w14:textId="77777777" w:rsidR="002D34C2" w:rsidRPr="00F566C3" w:rsidRDefault="002D34C2" w:rsidP="002D34C2">
                  <w:pPr>
                    <w:jc w:val="center"/>
                  </w:pPr>
                  <w:r w:rsidRPr="00F566C3">
                    <w:t>2 771</w:t>
                  </w:r>
                </w:p>
              </w:tc>
              <w:tc>
                <w:tcPr>
                  <w:tcW w:w="1437" w:type="dxa"/>
                </w:tcPr>
                <w:p w14:paraId="2F7C93C0" w14:textId="36DBD091" w:rsidR="002D34C2" w:rsidRPr="00F566C3" w:rsidRDefault="00C15F1B" w:rsidP="002D34C2">
                  <w:pPr>
                    <w:jc w:val="center"/>
                  </w:pPr>
                  <w:r>
                    <w:t>2 387</w:t>
                  </w:r>
                </w:p>
              </w:tc>
            </w:tr>
            <w:tr w:rsidR="002D34C2" w:rsidRPr="00F566C3" w14:paraId="2F7C93C6" w14:textId="77777777" w:rsidTr="00317CE4">
              <w:tc>
                <w:tcPr>
                  <w:tcW w:w="1436" w:type="dxa"/>
                </w:tcPr>
                <w:p w14:paraId="2F7C93C2" w14:textId="77777777" w:rsidR="002D34C2" w:rsidRPr="00F566C3" w:rsidRDefault="002D34C2" w:rsidP="002D34C2">
                  <w:pPr>
                    <w:jc w:val="both"/>
                  </w:pPr>
                  <w:r w:rsidRPr="00F566C3">
                    <w:t>lēmumi</w:t>
                  </w:r>
                </w:p>
              </w:tc>
              <w:tc>
                <w:tcPr>
                  <w:tcW w:w="1437" w:type="dxa"/>
                </w:tcPr>
                <w:p w14:paraId="2F7C93C3" w14:textId="77777777" w:rsidR="002D34C2" w:rsidRPr="00F566C3" w:rsidRDefault="002D34C2" w:rsidP="002D34C2">
                  <w:pPr>
                    <w:jc w:val="center"/>
                  </w:pPr>
                  <w:r w:rsidRPr="00F566C3">
                    <w:t>2 242</w:t>
                  </w:r>
                </w:p>
              </w:tc>
              <w:tc>
                <w:tcPr>
                  <w:tcW w:w="1437" w:type="dxa"/>
                </w:tcPr>
                <w:p w14:paraId="2F7C93C4" w14:textId="77777777" w:rsidR="002D34C2" w:rsidRPr="00F566C3" w:rsidRDefault="002D34C2" w:rsidP="002D34C2">
                  <w:pPr>
                    <w:jc w:val="center"/>
                  </w:pPr>
                  <w:r w:rsidRPr="00F566C3">
                    <w:t>2 120</w:t>
                  </w:r>
                </w:p>
              </w:tc>
              <w:tc>
                <w:tcPr>
                  <w:tcW w:w="1437" w:type="dxa"/>
                </w:tcPr>
                <w:p w14:paraId="2F7C93C5" w14:textId="497D3CE1" w:rsidR="002D34C2" w:rsidRPr="00F566C3" w:rsidRDefault="00C15F1B" w:rsidP="002D34C2">
                  <w:pPr>
                    <w:jc w:val="center"/>
                  </w:pPr>
                  <w:r>
                    <w:t>1 805</w:t>
                  </w:r>
                </w:p>
              </w:tc>
            </w:tr>
          </w:tbl>
          <w:p w14:paraId="2F7C93C7" w14:textId="77777777" w:rsidR="002D34C2" w:rsidRPr="00F566C3" w:rsidRDefault="002D34C2" w:rsidP="002D34C2">
            <w:pPr>
              <w:jc w:val="both"/>
            </w:pPr>
            <w:r w:rsidRPr="00F566C3">
              <w:t xml:space="preserve"> </w:t>
            </w:r>
          </w:p>
          <w:tbl>
            <w:tblPr>
              <w:tblStyle w:val="TableGrid"/>
              <w:tblW w:w="0" w:type="auto"/>
              <w:tblLook w:val="04A0" w:firstRow="1" w:lastRow="0" w:firstColumn="1" w:lastColumn="0" w:noHBand="0" w:noVBand="1"/>
            </w:tblPr>
            <w:tblGrid>
              <w:gridCol w:w="1436"/>
              <w:gridCol w:w="1437"/>
              <w:gridCol w:w="1437"/>
              <w:gridCol w:w="1437"/>
            </w:tblGrid>
            <w:tr w:rsidR="002D34C2" w:rsidRPr="00F566C3" w14:paraId="2F7C93CD" w14:textId="77777777" w:rsidTr="00317CE4">
              <w:tc>
                <w:tcPr>
                  <w:tcW w:w="1436" w:type="dxa"/>
                  <w:vAlign w:val="center"/>
                </w:tcPr>
                <w:p w14:paraId="2F7C93C8" w14:textId="77777777" w:rsidR="002D34C2" w:rsidRPr="00F566C3" w:rsidRDefault="002D34C2" w:rsidP="002D34C2">
                  <w:pPr>
                    <w:jc w:val="both"/>
                  </w:pPr>
                  <w:r w:rsidRPr="00F566C3">
                    <w:t>190.</w:t>
                  </w:r>
                  <w:r w:rsidRPr="00F566C3">
                    <w:rPr>
                      <w:vertAlign w:val="superscript"/>
                    </w:rPr>
                    <w:t>10</w:t>
                  </w:r>
                  <w:r w:rsidRPr="00F566C3">
                    <w:t>pants</w:t>
                  </w:r>
                </w:p>
              </w:tc>
              <w:tc>
                <w:tcPr>
                  <w:tcW w:w="1437" w:type="dxa"/>
                  <w:vAlign w:val="center"/>
                </w:tcPr>
                <w:p w14:paraId="2F7C93C9" w14:textId="77777777" w:rsidR="002D34C2" w:rsidRPr="00F566C3" w:rsidRDefault="002D34C2" w:rsidP="002D34C2">
                  <w:pPr>
                    <w:jc w:val="center"/>
                  </w:pPr>
                  <w:r w:rsidRPr="00F566C3">
                    <w:t>2016.</w:t>
                  </w:r>
                </w:p>
              </w:tc>
              <w:tc>
                <w:tcPr>
                  <w:tcW w:w="1437" w:type="dxa"/>
                  <w:vAlign w:val="center"/>
                </w:tcPr>
                <w:p w14:paraId="2F7C93CA" w14:textId="77777777" w:rsidR="002D34C2" w:rsidRPr="00F566C3" w:rsidRDefault="002D34C2" w:rsidP="002D34C2">
                  <w:pPr>
                    <w:jc w:val="center"/>
                  </w:pPr>
                  <w:r w:rsidRPr="00F566C3">
                    <w:t>2017.</w:t>
                  </w:r>
                </w:p>
              </w:tc>
              <w:tc>
                <w:tcPr>
                  <w:tcW w:w="1437" w:type="dxa"/>
                  <w:vAlign w:val="center"/>
                </w:tcPr>
                <w:p w14:paraId="2F7C93CC" w14:textId="5017353D" w:rsidR="002D34C2" w:rsidRPr="00F566C3" w:rsidRDefault="002D34C2" w:rsidP="00C15F1B">
                  <w:pPr>
                    <w:jc w:val="center"/>
                  </w:pPr>
                  <w:r w:rsidRPr="00F566C3">
                    <w:t xml:space="preserve">2018. </w:t>
                  </w:r>
                </w:p>
              </w:tc>
            </w:tr>
            <w:tr w:rsidR="002D34C2" w:rsidRPr="00F566C3" w14:paraId="2F7C93D2" w14:textId="77777777" w:rsidTr="00317CE4">
              <w:tc>
                <w:tcPr>
                  <w:tcW w:w="1436" w:type="dxa"/>
                </w:tcPr>
                <w:p w14:paraId="2F7C93CE" w14:textId="77777777" w:rsidR="002D34C2" w:rsidRPr="00F566C3" w:rsidRDefault="002D34C2" w:rsidP="002D34C2">
                  <w:pPr>
                    <w:jc w:val="both"/>
                  </w:pPr>
                  <w:r w:rsidRPr="00F566C3">
                    <w:t>protokoli</w:t>
                  </w:r>
                </w:p>
              </w:tc>
              <w:tc>
                <w:tcPr>
                  <w:tcW w:w="1437" w:type="dxa"/>
                </w:tcPr>
                <w:p w14:paraId="2F7C93CF" w14:textId="77777777" w:rsidR="002D34C2" w:rsidRPr="00F566C3" w:rsidRDefault="002D34C2" w:rsidP="002D34C2">
                  <w:pPr>
                    <w:jc w:val="center"/>
                  </w:pPr>
                  <w:r w:rsidRPr="00F566C3">
                    <w:t>69</w:t>
                  </w:r>
                </w:p>
              </w:tc>
              <w:tc>
                <w:tcPr>
                  <w:tcW w:w="1437" w:type="dxa"/>
                </w:tcPr>
                <w:p w14:paraId="2F7C93D0" w14:textId="77777777" w:rsidR="002D34C2" w:rsidRPr="00F566C3" w:rsidRDefault="002D34C2" w:rsidP="002D34C2">
                  <w:pPr>
                    <w:jc w:val="center"/>
                  </w:pPr>
                  <w:r w:rsidRPr="00F566C3">
                    <w:t>82</w:t>
                  </w:r>
                </w:p>
              </w:tc>
              <w:tc>
                <w:tcPr>
                  <w:tcW w:w="1437" w:type="dxa"/>
                </w:tcPr>
                <w:p w14:paraId="2F7C93D1" w14:textId="2338F6FF" w:rsidR="002D34C2" w:rsidRPr="00F566C3" w:rsidRDefault="00C15F1B" w:rsidP="002D34C2">
                  <w:pPr>
                    <w:jc w:val="center"/>
                  </w:pPr>
                  <w:r>
                    <w:t>63</w:t>
                  </w:r>
                </w:p>
              </w:tc>
            </w:tr>
          </w:tbl>
          <w:p w14:paraId="2F7C93D3" w14:textId="77777777" w:rsidR="004D325D" w:rsidRPr="00F566C3" w:rsidRDefault="004D325D" w:rsidP="00317CE4">
            <w:pPr>
              <w:jc w:val="both"/>
            </w:pPr>
          </w:p>
          <w:p w14:paraId="2F7C93D4" w14:textId="77777777" w:rsidR="002D34C2" w:rsidRPr="00F566C3" w:rsidRDefault="002D34C2" w:rsidP="002D34C2">
            <w:pPr>
              <w:jc w:val="both"/>
            </w:pPr>
            <w:r w:rsidRPr="00F566C3">
              <w:rPr>
                <w:u w:val="single"/>
              </w:rPr>
              <w:t>Administratīvās komisijas</w:t>
            </w:r>
            <w:r w:rsidRPr="00F566C3">
              <w:t xml:space="preserve"> pieņemtie lēmumi: </w:t>
            </w:r>
          </w:p>
          <w:tbl>
            <w:tblPr>
              <w:tblStyle w:val="TableGrid"/>
              <w:tblW w:w="0" w:type="auto"/>
              <w:tblLook w:val="04A0" w:firstRow="1" w:lastRow="0" w:firstColumn="1" w:lastColumn="0" w:noHBand="0" w:noVBand="1"/>
            </w:tblPr>
            <w:tblGrid>
              <w:gridCol w:w="1436"/>
              <w:gridCol w:w="1437"/>
              <w:gridCol w:w="1437"/>
              <w:gridCol w:w="1437"/>
            </w:tblGrid>
            <w:tr w:rsidR="002D34C2" w:rsidRPr="00F566C3" w14:paraId="2F7C93DA" w14:textId="77777777" w:rsidTr="00317CE4">
              <w:tc>
                <w:tcPr>
                  <w:tcW w:w="1436" w:type="dxa"/>
                  <w:vAlign w:val="center"/>
                </w:tcPr>
                <w:p w14:paraId="2F7C93D5" w14:textId="77777777" w:rsidR="002D34C2" w:rsidRPr="00F566C3" w:rsidRDefault="002D34C2" w:rsidP="002D34C2">
                  <w:pPr>
                    <w:jc w:val="both"/>
                  </w:pPr>
                  <w:r w:rsidRPr="00F566C3">
                    <w:t>186.panta otrā daļa</w:t>
                  </w:r>
                </w:p>
              </w:tc>
              <w:tc>
                <w:tcPr>
                  <w:tcW w:w="1437" w:type="dxa"/>
                  <w:vAlign w:val="center"/>
                </w:tcPr>
                <w:p w14:paraId="2F7C93D6" w14:textId="77777777" w:rsidR="002D34C2" w:rsidRPr="00F566C3" w:rsidRDefault="002D34C2" w:rsidP="002D34C2">
                  <w:pPr>
                    <w:jc w:val="center"/>
                  </w:pPr>
                  <w:r w:rsidRPr="00F566C3">
                    <w:t>2016.</w:t>
                  </w:r>
                </w:p>
              </w:tc>
              <w:tc>
                <w:tcPr>
                  <w:tcW w:w="1437" w:type="dxa"/>
                  <w:vAlign w:val="center"/>
                </w:tcPr>
                <w:p w14:paraId="2F7C93D7" w14:textId="77777777" w:rsidR="002D34C2" w:rsidRPr="00F566C3" w:rsidRDefault="002D34C2" w:rsidP="002D34C2">
                  <w:pPr>
                    <w:jc w:val="center"/>
                  </w:pPr>
                  <w:r w:rsidRPr="00F566C3">
                    <w:t>2017.</w:t>
                  </w:r>
                </w:p>
              </w:tc>
              <w:tc>
                <w:tcPr>
                  <w:tcW w:w="1437" w:type="dxa"/>
                  <w:vAlign w:val="center"/>
                </w:tcPr>
                <w:p w14:paraId="2F7C93D9" w14:textId="4F4F1C68" w:rsidR="002D34C2" w:rsidRPr="00F566C3" w:rsidRDefault="002D34C2" w:rsidP="00C15F1B">
                  <w:pPr>
                    <w:jc w:val="center"/>
                  </w:pPr>
                  <w:r w:rsidRPr="00F566C3">
                    <w:t xml:space="preserve">2018. </w:t>
                  </w:r>
                </w:p>
              </w:tc>
            </w:tr>
            <w:tr w:rsidR="002D34C2" w:rsidRPr="00F566C3" w14:paraId="2F7C93DF" w14:textId="77777777" w:rsidTr="00317CE4">
              <w:tc>
                <w:tcPr>
                  <w:tcW w:w="1436" w:type="dxa"/>
                </w:tcPr>
                <w:p w14:paraId="2F7C93DB" w14:textId="77777777" w:rsidR="002D34C2" w:rsidRPr="00F566C3" w:rsidRDefault="002D34C2" w:rsidP="002D34C2">
                  <w:pPr>
                    <w:jc w:val="both"/>
                  </w:pPr>
                  <w:r w:rsidRPr="00F566C3">
                    <w:t>lēmumi</w:t>
                  </w:r>
                </w:p>
              </w:tc>
              <w:tc>
                <w:tcPr>
                  <w:tcW w:w="1437" w:type="dxa"/>
                </w:tcPr>
                <w:p w14:paraId="2F7C93DC" w14:textId="77777777" w:rsidR="002D34C2" w:rsidRPr="00F566C3" w:rsidRDefault="002D34C2" w:rsidP="002D34C2">
                  <w:pPr>
                    <w:jc w:val="center"/>
                  </w:pPr>
                  <w:r w:rsidRPr="00F566C3">
                    <w:t>1 399</w:t>
                  </w:r>
                </w:p>
              </w:tc>
              <w:tc>
                <w:tcPr>
                  <w:tcW w:w="1437" w:type="dxa"/>
                </w:tcPr>
                <w:p w14:paraId="2F7C93DD" w14:textId="77777777" w:rsidR="002D34C2" w:rsidRPr="00F566C3" w:rsidRDefault="002D34C2" w:rsidP="002D34C2">
                  <w:pPr>
                    <w:jc w:val="center"/>
                  </w:pPr>
                  <w:r w:rsidRPr="00F566C3">
                    <w:t>1 744</w:t>
                  </w:r>
                </w:p>
              </w:tc>
              <w:tc>
                <w:tcPr>
                  <w:tcW w:w="1437" w:type="dxa"/>
                </w:tcPr>
                <w:p w14:paraId="2F7C93DE" w14:textId="44F8D2E0" w:rsidR="002D34C2" w:rsidRPr="00F566C3" w:rsidRDefault="00C15F1B" w:rsidP="002D34C2">
                  <w:pPr>
                    <w:jc w:val="center"/>
                  </w:pPr>
                  <w:r>
                    <w:t>1 447</w:t>
                  </w:r>
                </w:p>
              </w:tc>
            </w:tr>
          </w:tbl>
          <w:p w14:paraId="2F7C93E0" w14:textId="77777777" w:rsidR="002D34C2" w:rsidRPr="00F566C3" w:rsidRDefault="002D34C2" w:rsidP="002D34C2">
            <w:pPr>
              <w:jc w:val="both"/>
            </w:pPr>
            <w:r w:rsidRPr="00F566C3">
              <w:t xml:space="preserve"> </w:t>
            </w:r>
          </w:p>
          <w:tbl>
            <w:tblPr>
              <w:tblStyle w:val="TableGrid"/>
              <w:tblW w:w="0" w:type="auto"/>
              <w:tblLook w:val="04A0" w:firstRow="1" w:lastRow="0" w:firstColumn="1" w:lastColumn="0" w:noHBand="0" w:noVBand="1"/>
            </w:tblPr>
            <w:tblGrid>
              <w:gridCol w:w="1436"/>
              <w:gridCol w:w="1437"/>
              <w:gridCol w:w="1437"/>
              <w:gridCol w:w="1437"/>
            </w:tblGrid>
            <w:tr w:rsidR="002D34C2" w:rsidRPr="00F566C3" w14:paraId="2F7C93E6" w14:textId="77777777" w:rsidTr="00317CE4">
              <w:tc>
                <w:tcPr>
                  <w:tcW w:w="1436" w:type="dxa"/>
                  <w:vAlign w:val="center"/>
                </w:tcPr>
                <w:p w14:paraId="2F7C93E1" w14:textId="77777777" w:rsidR="002D34C2" w:rsidRPr="00F566C3" w:rsidRDefault="002D34C2" w:rsidP="002D34C2">
                  <w:pPr>
                    <w:jc w:val="both"/>
                  </w:pPr>
                  <w:r w:rsidRPr="00F566C3">
                    <w:t>190.</w:t>
                  </w:r>
                  <w:r w:rsidRPr="00F566C3">
                    <w:rPr>
                      <w:vertAlign w:val="superscript"/>
                    </w:rPr>
                    <w:t>10</w:t>
                  </w:r>
                  <w:r w:rsidRPr="00F566C3">
                    <w:t>pants</w:t>
                  </w:r>
                </w:p>
              </w:tc>
              <w:tc>
                <w:tcPr>
                  <w:tcW w:w="1437" w:type="dxa"/>
                  <w:vAlign w:val="center"/>
                </w:tcPr>
                <w:p w14:paraId="2F7C93E2" w14:textId="77777777" w:rsidR="002D34C2" w:rsidRPr="00F566C3" w:rsidRDefault="002D34C2" w:rsidP="002D34C2">
                  <w:pPr>
                    <w:jc w:val="center"/>
                  </w:pPr>
                  <w:r w:rsidRPr="00F566C3">
                    <w:t>2016.</w:t>
                  </w:r>
                </w:p>
              </w:tc>
              <w:tc>
                <w:tcPr>
                  <w:tcW w:w="1437" w:type="dxa"/>
                  <w:vAlign w:val="center"/>
                </w:tcPr>
                <w:p w14:paraId="2F7C93E3" w14:textId="77777777" w:rsidR="002D34C2" w:rsidRPr="00F566C3" w:rsidRDefault="002D34C2" w:rsidP="002D34C2">
                  <w:pPr>
                    <w:jc w:val="center"/>
                  </w:pPr>
                  <w:r w:rsidRPr="00F566C3">
                    <w:t>2017.</w:t>
                  </w:r>
                </w:p>
              </w:tc>
              <w:tc>
                <w:tcPr>
                  <w:tcW w:w="1437" w:type="dxa"/>
                  <w:vAlign w:val="center"/>
                </w:tcPr>
                <w:p w14:paraId="2F7C93E5" w14:textId="6862E354" w:rsidR="002D34C2" w:rsidRPr="00F566C3" w:rsidRDefault="002D34C2" w:rsidP="00C15F1B">
                  <w:pPr>
                    <w:jc w:val="center"/>
                  </w:pPr>
                  <w:r w:rsidRPr="00F566C3">
                    <w:t xml:space="preserve">2018. </w:t>
                  </w:r>
                </w:p>
              </w:tc>
            </w:tr>
            <w:tr w:rsidR="002D34C2" w:rsidRPr="00F566C3" w14:paraId="2F7C93EB" w14:textId="77777777" w:rsidTr="00317CE4">
              <w:tc>
                <w:tcPr>
                  <w:tcW w:w="1436" w:type="dxa"/>
                </w:tcPr>
                <w:p w14:paraId="2F7C93E7" w14:textId="77777777" w:rsidR="002D34C2" w:rsidRPr="00F566C3" w:rsidRDefault="002D34C2" w:rsidP="002D34C2">
                  <w:pPr>
                    <w:jc w:val="both"/>
                  </w:pPr>
                  <w:r w:rsidRPr="00F566C3">
                    <w:t>lēmumi</w:t>
                  </w:r>
                </w:p>
              </w:tc>
              <w:tc>
                <w:tcPr>
                  <w:tcW w:w="1437" w:type="dxa"/>
                </w:tcPr>
                <w:p w14:paraId="2F7C93E8" w14:textId="77777777" w:rsidR="002D34C2" w:rsidRPr="00F566C3" w:rsidRDefault="002D34C2" w:rsidP="002D34C2">
                  <w:pPr>
                    <w:jc w:val="center"/>
                  </w:pPr>
                  <w:r w:rsidRPr="00F566C3">
                    <w:t>23</w:t>
                  </w:r>
                </w:p>
              </w:tc>
              <w:tc>
                <w:tcPr>
                  <w:tcW w:w="1437" w:type="dxa"/>
                </w:tcPr>
                <w:p w14:paraId="2F7C93E9" w14:textId="77777777" w:rsidR="002D34C2" w:rsidRPr="00F566C3" w:rsidRDefault="002D34C2" w:rsidP="002D34C2">
                  <w:pPr>
                    <w:jc w:val="center"/>
                  </w:pPr>
                  <w:r w:rsidRPr="00F566C3">
                    <w:t>51</w:t>
                  </w:r>
                </w:p>
              </w:tc>
              <w:tc>
                <w:tcPr>
                  <w:tcW w:w="1437" w:type="dxa"/>
                </w:tcPr>
                <w:p w14:paraId="2F7C93EA" w14:textId="13830290" w:rsidR="002D34C2" w:rsidRPr="00F566C3" w:rsidRDefault="002D34C2" w:rsidP="00C15F1B">
                  <w:pPr>
                    <w:jc w:val="center"/>
                  </w:pPr>
                  <w:r w:rsidRPr="00F566C3">
                    <w:t>3</w:t>
                  </w:r>
                  <w:r w:rsidR="00C15F1B">
                    <w:t>4</w:t>
                  </w:r>
                </w:p>
              </w:tc>
            </w:tr>
          </w:tbl>
          <w:p w14:paraId="2F7C93EC" w14:textId="77777777" w:rsidR="004D325D" w:rsidRPr="00F566C3" w:rsidRDefault="00EA3FB0" w:rsidP="00317CE4">
            <w:pPr>
              <w:jc w:val="both"/>
            </w:pPr>
            <w:r w:rsidRPr="00F566C3">
              <w:t xml:space="preserve"> </w:t>
            </w:r>
          </w:p>
          <w:p w14:paraId="2F7C93ED" w14:textId="77777777" w:rsidR="00EA3FB0" w:rsidRPr="00F566C3" w:rsidRDefault="00EA3FB0" w:rsidP="00EA3FB0">
            <w:pPr>
              <w:jc w:val="both"/>
            </w:pPr>
            <w:r w:rsidRPr="00F566C3">
              <w:rPr>
                <w:u w:val="single"/>
              </w:rPr>
              <w:t>Tiesas</w:t>
            </w:r>
            <w:r w:rsidRPr="00F566C3">
              <w:t xml:space="preserve"> pieņemtie lēmumi: </w:t>
            </w:r>
          </w:p>
          <w:tbl>
            <w:tblPr>
              <w:tblStyle w:val="TableGrid"/>
              <w:tblW w:w="0" w:type="auto"/>
              <w:tblLook w:val="04A0" w:firstRow="1" w:lastRow="0" w:firstColumn="1" w:lastColumn="0" w:noHBand="0" w:noVBand="1"/>
            </w:tblPr>
            <w:tblGrid>
              <w:gridCol w:w="1436"/>
              <w:gridCol w:w="1437"/>
              <w:gridCol w:w="1437"/>
              <w:gridCol w:w="1437"/>
            </w:tblGrid>
            <w:tr w:rsidR="00EA3FB0" w:rsidRPr="00F566C3" w14:paraId="2F7C93F3" w14:textId="77777777" w:rsidTr="00317CE4">
              <w:tc>
                <w:tcPr>
                  <w:tcW w:w="1436" w:type="dxa"/>
                  <w:vAlign w:val="center"/>
                </w:tcPr>
                <w:p w14:paraId="2F7C93EE" w14:textId="77777777" w:rsidR="00EA3FB0" w:rsidRPr="00F566C3" w:rsidRDefault="00EA3FB0" w:rsidP="00EA3FB0">
                  <w:pPr>
                    <w:jc w:val="both"/>
                  </w:pPr>
                  <w:r w:rsidRPr="00F566C3">
                    <w:t>186.panta otrā daļa</w:t>
                  </w:r>
                </w:p>
              </w:tc>
              <w:tc>
                <w:tcPr>
                  <w:tcW w:w="1437" w:type="dxa"/>
                  <w:vAlign w:val="center"/>
                </w:tcPr>
                <w:p w14:paraId="2F7C93EF" w14:textId="77777777" w:rsidR="00EA3FB0" w:rsidRPr="00F566C3" w:rsidRDefault="00EA3FB0" w:rsidP="00EA3FB0">
                  <w:pPr>
                    <w:jc w:val="center"/>
                  </w:pPr>
                  <w:r w:rsidRPr="00F566C3">
                    <w:t>2016.</w:t>
                  </w:r>
                </w:p>
              </w:tc>
              <w:tc>
                <w:tcPr>
                  <w:tcW w:w="1437" w:type="dxa"/>
                  <w:vAlign w:val="center"/>
                </w:tcPr>
                <w:p w14:paraId="2F7C93F0" w14:textId="77777777" w:rsidR="00EA3FB0" w:rsidRPr="00F566C3" w:rsidRDefault="00EA3FB0" w:rsidP="00EA3FB0">
                  <w:pPr>
                    <w:jc w:val="center"/>
                  </w:pPr>
                  <w:r w:rsidRPr="00F566C3">
                    <w:t>2017.</w:t>
                  </w:r>
                </w:p>
              </w:tc>
              <w:tc>
                <w:tcPr>
                  <w:tcW w:w="1437" w:type="dxa"/>
                  <w:vAlign w:val="center"/>
                </w:tcPr>
                <w:p w14:paraId="2F7C93F2" w14:textId="1685084A" w:rsidR="00EA3FB0" w:rsidRPr="00F566C3" w:rsidRDefault="00EA3FB0" w:rsidP="00C15F1B">
                  <w:pPr>
                    <w:jc w:val="center"/>
                  </w:pPr>
                  <w:r w:rsidRPr="00F566C3">
                    <w:t xml:space="preserve">2018. </w:t>
                  </w:r>
                </w:p>
              </w:tc>
            </w:tr>
            <w:tr w:rsidR="00EA3FB0" w:rsidRPr="00F566C3" w14:paraId="2F7C93F8" w14:textId="77777777" w:rsidTr="00317CE4">
              <w:tc>
                <w:tcPr>
                  <w:tcW w:w="1436" w:type="dxa"/>
                </w:tcPr>
                <w:p w14:paraId="2F7C93F4" w14:textId="77777777" w:rsidR="00EA3FB0" w:rsidRPr="00F566C3" w:rsidRDefault="00EA3FB0" w:rsidP="00EA3FB0">
                  <w:pPr>
                    <w:jc w:val="both"/>
                  </w:pPr>
                  <w:r w:rsidRPr="00F566C3">
                    <w:t>lēmumi</w:t>
                  </w:r>
                </w:p>
              </w:tc>
              <w:tc>
                <w:tcPr>
                  <w:tcW w:w="1437" w:type="dxa"/>
                </w:tcPr>
                <w:p w14:paraId="2F7C93F5" w14:textId="77777777" w:rsidR="00EA3FB0" w:rsidRPr="00F566C3" w:rsidRDefault="00EA3FB0" w:rsidP="00EA3FB0">
                  <w:pPr>
                    <w:jc w:val="center"/>
                  </w:pPr>
                  <w:r w:rsidRPr="00F566C3">
                    <w:t>0</w:t>
                  </w:r>
                </w:p>
              </w:tc>
              <w:tc>
                <w:tcPr>
                  <w:tcW w:w="1437" w:type="dxa"/>
                </w:tcPr>
                <w:p w14:paraId="2F7C93F6" w14:textId="77777777" w:rsidR="00EA3FB0" w:rsidRPr="00F566C3" w:rsidRDefault="00EA3FB0" w:rsidP="00EA3FB0">
                  <w:pPr>
                    <w:jc w:val="center"/>
                  </w:pPr>
                  <w:r w:rsidRPr="00F566C3">
                    <w:t>3</w:t>
                  </w:r>
                </w:p>
              </w:tc>
              <w:tc>
                <w:tcPr>
                  <w:tcW w:w="1437" w:type="dxa"/>
                </w:tcPr>
                <w:p w14:paraId="2F7C93F7" w14:textId="77777777" w:rsidR="00EA3FB0" w:rsidRPr="00F566C3" w:rsidRDefault="00EA3FB0" w:rsidP="00EA3FB0">
                  <w:pPr>
                    <w:jc w:val="center"/>
                  </w:pPr>
                  <w:r w:rsidRPr="00F566C3">
                    <w:t>0</w:t>
                  </w:r>
                </w:p>
              </w:tc>
            </w:tr>
          </w:tbl>
          <w:p w14:paraId="2F7C93F9" w14:textId="77777777" w:rsidR="00EA3FB0" w:rsidRPr="00F566C3" w:rsidRDefault="00EA3FB0" w:rsidP="00317CE4">
            <w:pPr>
              <w:jc w:val="both"/>
            </w:pPr>
          </w:p>
        </w:tc>
      </w:tr>
      <w:tr w:rsidR="00B963D2" w:rsidRPr="00F566C3" w14:paraId="2F7C93FE" w14:textId="77777777" w:rsidTr="00212F0D">
        <w:tc>
          <w:tcPr>
            <w:tcW w:w="311" w:type="pct"/>
            <w:hideMark/>
          </w:tcPr>
          <w:p w14:paraId="2F7C93FB" w14:textId="77777777" w:rsidR="00B963D2" w:rsidRPr="00F566C3" w:rsidRDefault="00B963D2" w:rsidP="00317CE4">
            <w:pPr>
              <w:jc w:val="center"/>
            </w:pPr>
            <w:r w:rsidRPr="00F566C3">
              <w:t>2.</w:t>
            </w:r>
          </w:p>
        </w:tc>
        <w:tc>
          <w:tcPr>
            <w:tcW w:w="1479" w:type="pct"/>
            <w:hideMark/>
          </w:tcPr>
          <w:p w14:paraId="2F7C93FC" w14:textId="77777777" w:rsidR="00B963D2" w:rsidRPr="00F566C3" w:rsidRDefault="00B963D2" w:rsidP="00317CE4">
            <w:r w:rsidRPr="00F566C3">
              <w:t>Tiesiskā regulējuma ietekme uz tautsaimniecību un administratīvo slogu</w:t>
            </w:r>
          </w:p>
        </w:tc>
        <w:tc>
          <w:tcPr>
            <w:tcW w:w="3210" w:type="pct"/>
            <w:hideMark/>
          </w:tcPr>
          <w:p w14:paraId="2F7C93FD" w14:textId="77777777" w:rsidR="00B963D2" w:rsidRPr="00F566C3" w:rsidRDefault="00D63223" w:rsidP="00317CE4">
            <w:pPr>
              <w:jc w:val="both"/>
            </w:pPr>
            <w:r w:rsidRPr="00F566C3">
              <w:rPr>
                <w:rFonts w:eastAsia="Calibri"/>
              </w:rPr>
              <w:t>Projekts šo jomu neskar.</w:t>
            </w:r>
          </w:p>
        </w:tc>
      </w:tr>
      <w:tr w:rsidR="00B963D2" w:rsidRPr="00F566C3" w14:paraId="2F7C9402" w14:textId="77777777" w:rsidTr="00212F0D">
        <w:tc>
          <w:tcPr>
            <w:tcW w:w="311" w:type="pct"/>
            <w:hideMark/>
          </w:tcPr>
          <w:p w14:paraId="2F7C93FF" w14:textId="77777777" w:rsidR="00B963D2" w:rsidRPr="00F566C3" w:rsidRDefault="00B963D2" w:rsidP="00317CE4">
            <w:pPr>
              <w:jc w:val="center"/>
            </w:pPr>
            <w:r w:rsidRPr="00F566C3">
              <w:t>3.</w:t>
            </w:r>
          </w:p>
        </w:tc>
        <w:tc>
          <w:tcPr>
            <w:tcW w:w="1479" w:type="pct"/>
            <w:hideMark/>
          </w:tcPr>
          <w:p w14:paraId="2F7C9400" w14:textId="77777777" w:rsidR="00B963D2" w:rsidRPr="00F566C3" w:rsidRDefault="00B963D2" w:rsidP="00317CE4">
            <w:r w:rsidRPr="00F566C3">
              <w:t>Administratīvo izmaksu monetārs novērtējums</w:t>
            </w:r>
          </w:p>
        </w:tc>
        <w:tc>
          <w:tcPr>
            <w:tcW w:w="3210" w:type="pct"/>
            <w:hideMark/>
          </w:tcPr>
          <w:p w14:paraId="2F7C9401" w14:textId="77777777" w:rsidR="00B963D2" w:rsidRPr="00F566C3" w:rsidRDefault="00D63223" w:rsidP="00317CE4">
            <w:pPr>
              <w:jc w:val="both"/>
            </w:pPr>
            <w:r w:rsidRPr="00F566C3">
              <w:rPr>
                <w:rFonts w:eastAsia="Calibri"/>
              </w:rPr>
              <w:t>Projekts šo jomu neskar.</w:t>
            </w:r>
          </w:p>
        </w:tc>
      </w:tr>
      <w:tr w:rsidR="00B963D2" w:rsidRPr="00F566C3" w14:paraId="2F7C9406" w14:textId="77777777" w:rsidTr="00212F0D">
        <w:tc>
          <w:tcPr>
            <w:tcW w:w="311" w:type="pct"/>
            <w:hideMark/>
          </w:tcPr>
          <w:p w14:paraId="2F7C9403" w14:textId="77777777" w:rsidR="00B963D2" w:rsidRPr="00F566C3" w:rsidRDefault="00B963D2" w:rsidP="00317CE4">
            <w:pPr>
              <w:jc w:val="center"/>
            </w:pPr>
            <w:r w:rsidRPr="00F566C3">
              <w:t>4.</w:t>
            </w:r>
          </w:p>
        </w:tc>
        <w:tc>
          <w:tcPr>
            <w:tcW w:w="1479" w:type="pct"/>
            <w:hideMark/>
          </w:tcPr>
          <w:p w14:paraId="2F7C9404" w14:textId="77777777" w:rsidR="00B963D2" w:rsidRPr="00F566C3" w:rsidRDefault="00B963D2" w:rsidP="00317CE4">
            <w:r w:rsidRPr="00F566C3">
              <w:t>Atbilstības izmaksu monetārs novērtējums</w:t>
            </w:r>
          </w:p>
        </w:tc>
        <w:tc>
          <w:tcPr>
            <w:tcW w:w="3210" w:type="pct"/>
            <w:hideMark/>
          </w:tcPr>
          <w:p w14:paraId="2F7C9405" w14:textId="77777777" w:rsidR="00B963D2" w:rsidRPr="00F566C3" w:rsidRDefault="00B963D2" w:rsidP="00317CE4">
            <w:r w:rsidRPr="00F566C3">
              <w:t>Projekts šo jomu neskar.</w:t>
            </w:r>
          </w:p>
        </w:tc>
      </w:tr>
      <w:tr w:rsidR="00B963D2" w:rsidRPr="00F566C3" w14:paraId="2F7C940A" w14:textId="77777777" w:rsidTr="00212F0D">
        <w:tc>
          <w:tcPr>
            <w:tcW w:w="311" w:type="pct"/>
            <w:hideMark/>
          </w:tcPr>
          <w:p w14:paraId="2F7C9407" w14:textId="77777777" w:rsidR="00B963D2" w:rsidRPr="00F566C3" w:rsidRDefault="00B963D2" w:rsidP="00317CE4">
            <w:pPr>
              <w:jc w:val="center"/>
            </w:pPr>
            <w:r w:rsidRPr="00F566C3">
              <w:t>5.</w:t>
            </w:r>
          </w:p>
        </w:tc>
        <w:tc>
          <w:tcPr>
            <w:tcW w:w="1479" w:type="pct"/>
            <w:hideMark/>
          </w:tcPr>
          <w:p w14:paraId="2F7C9408" w14:textId="77777777" w:rsidR="00B963D2" w:rsidRPr="00F566C3" w:rsidRDefault="00B963D2" w:rsidP="00317CE4">
            <w:r w:rsidRPr="00F566C3">
              <w:t>Cita informācija</w:t>
            </w:r>
          </w:p>
        </w:tc>
        <w:tc>
          <w:tcPr>
            <w:tcW w:w="3210" w:type="pct"/>
            <w:hideMark/>
          </w:tcPr>
          <w:p w14:paraId="2F7C9409" w14:textId="77777777" w:rsidR="00B963D2" w:rsidRPr="00F566C3" w:rsidRDefault="00B963D2" w:rsidP="00317CE4">
            <w:r w:rsidRPr="00F566C3">
              <w:t>Nav.</w:t>
            </w:r>
          </w:p>
        </w:tc>
      </w:tr>
    </w:tbl>
    <w:p w14:paraId="2F7C940B" w14:textId="77777777" w:rsidR="00B963D2" w:rsidRDefault="00B963D2" w:rsidP="00B963D2"/>
    <w:p w14:paraId="09796CCE" w14:textId="77777777" w:rsidR="008E7CD7" w:rsidRPr="00F566C3" w:rsidRDefault="008E7CD7" w:rsidP="00B963D2"/>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B963D2" w:rsidRPr="00F566C3" w14:paraId="2F7C940D" w14:textId="77777777" w:rsidTr="00317CE4">
        <w:trPr>
          <w:cantSplit/>
        </w:trPr>
        <w:tc>
          <w:tcPr>
            <w:tcW w:w="9065" w:type="dxa"/>
            <w:shd w:val="clear" w:color="auto" w:fill="auto"/>
            <w:vAlign w:val="center"/>
            <w:hideMark/>
          </w:tcPr>
          <w:p w14:paraId="2F7C940C" w14:textId="77777777" w:rsidR="00B963D2" w:rsidRPr="00F566C3" w:rsidRDefault="00B963D2" w:rsidP="00317CE4">
            <w:pPr>
              <w:jc w:val="center"/>
              <w:rPr>
                <w:b/>
                <w:bCs/>
                <w:lang w:eastAsia="en-US"/>
              </w:rPr>
            </w:pPr>
            <w:r w:rsidRPr="00F566C3">
              <w:rPr>
                <w:b/>
                <w:bCs/>
                <w:lang w:eastAsia="en-US"/>
              </w:rPr>
              <w:t>III. Tiesību akta projekta ietekme uz valsts budžetu un pašvaldību budžetiem</w:t>
            </w:r>
          </w:p>
        </w:tc>
      </w:tr>
      <w:tr w:rsidR="00D63223" w:rsidRPr="00F566C3" w14:paraId="2F7C940F" w14:textId="77777777" w:rsidTr="00D63223">
        <w:trPr>
          <w:cantSplit/>
        </w:trPr>
        <w:tc>
          <w:tcPr>
            <w:tcW w:w="9065" w:type="dxa"/>
            <w:shd w:val="clear" w:color="auto" w:fill="FFFFFF"/>
            <w:vAlign w:val="center"/>
          </w:tcPr>
          <w:p w14:paraId="2F7C940E" w14:textId="77777777" w:rsidR="00D63223" w:rsidRPr="00F566C3" w:rsidRDefault="00D63223" w:rsidP="00317CE4">
            <w:pPr>
              <w:jc w:val="center"/>
              <w:rPr>
                <w:lang w:eastAsia="en-US"/>
              </w:rPr>
            </w:pPr>
            <w:r w:rsidRPr="00F566C3">
              <w:rPr>
                <w:rFonts w:eastAsia="Calibri"/>
              </w:rPr>
              <w:t>Projekts šo jomu neskar.</w:t>
            </w:r>
          </w:p>
        </w:tc>
      </w:tr>
    </w:tbl>
    <w:p w14:paraId="2F7C9410" w14:textId="77777777" w:rsidR="00B963D2" w:rsidRDefault="00B963D2" w:rsidP="00B963D2"/>
    <w:p w14:paraId="124FD3EF" w14:textId="77777777" w:rsidR="008E7CD7" w:rsidRPr="00F566C3" w:rsidRDefault="008E7CD7" w:rsidP="00B963D2"/>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B963D2" w:rsidRPr="00F566C3" w14:paraId="2F7C9412" w14:textId="77777777" w:rsidTr="00317CE4">
        <w:trPr>
          <w:cantSplit/>
        </w:trPr>
        <w:tc>
          <w:tcPr>
            <w:tcW w:w="9065" w:type="dxa"/>
            <w:tcBorders>
              <w:bottom w:val="single" w:sz="4" w:space="0" w:color="auto"/>
            </w:tcBorders>
            <w:vAlign w:val="center"/>
            <w:hideMark/>
          </w:tcPr>
          <w:p w14:paraId="2F7C9411" w14:textId="77777777" w:rsidR="00B963D2" w:rsidRPr="00F566C3" w:rsidRDefault="00B963D2" w:rsidP="00317CE4">
            <w:pPr>
              <w:jc w:val="center"/>
              <w:rPr>
                <w:b/>
                <w:bCs/>
              </w:rPr>
            </w:pPr>
            <w:r w:rsidRPr="00F566C3">
              <w:rPr>
                <w:b/>
                <w:bCs/>
              </w:rPr>
              <w:t>IV. Tiesību akta projekta ietekme uz spēkā esošo tiesību normu sistēmu</w:t>
            </w:r>
          </w:p>
        </w:tc>
      </w:tr>
      <w:tr w:rsidR="00D63223" w:rsidRPr="00F566C3" w14:paraId="2F7C9414" w14:textId="77777777" w:rsidTr="00D63223">
        <w:trPr>
          <w:cantSplit/>
          <w:trHeight w:val="290"/>
        </w:trPr>
        <w:tc>
          <w:tcPr>
            <w:tcW w:w="9065" w:type="dxa"/>
          </w:tcPr>
          <w:p w14:paraId="2F7C9413" w14:textId="77777777" w:rsidR="00D63223" w:rsidRPr="00F566C3" w:rsidRDefault="00D63223" w:rsidP="00D63223">
            <w:pPr>
              <w:jc w:val="center"/>
            </w:pPr>
            <w:r w:rsidRPr="00F566C3">
              <w:rPr>
                <w:rFonts w:eastAsia="Calibri"/>
              </w:rPr>
              <w:t>Projekts šo jomu neskar.</w:t>
            </w:r>
          </w:p>
        </w:tc>
      </w:tr>
    </w:tbl>
    <w:p w14:paraId="2F7C9415" w14:textId="77777777" w:rsidR="00B963D2" w:rsidRDefault="00B963D2" w:rsidP="00B963D2">
      <w:pPr>
        <w:pStyle w:val="Title"/>
        <w:spacing w:before="130" w:line="260" w:lineRule="exact"/>
        <w:ind w:firstLine="539"/>
        <w:jc w:val="both"/>
        <w:rPr>
          <w:sz w:val="24"/>
          <w:szCs w:val="24"/>
        </w:rPr>
      </w:pPr>
    </w:p>
    <w:p w14:paraId="1B823B0A" w14:textId="77777777" w:rsidR="008E7CD7" w:rsidRPr="00F566C3" w:rsidRDefault="008E7CD7" w:rsidP="00B963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963D2" w:rsidRPr="00F566C3" w14:paraId="2F7C9417" w14:textId="77777777" w:rsidTr="00317CE4">
        <w:trPr>
          <w:cantSplit/>
        </w:trPr>
        <w:tc>
          <w:tcPr>
            <w:tcW w:w="5000" w:type="pct"/>
            <w:vAlign w:val="center"/>
            <w:hideMark/>
          </w:tcPr>
          <w:p w14:paraId="2F7C9416" w14:textId="77777777" w:rsidR="00B963D2" w:rsidRPr="00F566C3" w:rsidRDefault="00B963D2" w:rsidP="00317CE4">
            <w:pPr>
              <w:jc w:val="center"/>
              <w:rPr>
                <w:b/>
                <w:bCs/>
              </w:rPr>
            </w:pPr>
            <w:r w:rsidRPr="00F566C3">
              <w:rPr>
                <w:b/>
                <w:bCs/>
              </w:rPr>
              <w:t>V. Tiesību akta projekta atbilstība Latvijas Republikas starptautiskajām saistībām</w:t>
            </w:r>
          </w:p>
        </w:tc>
      </w:tr>
      <w:tr w:rsidR="00B963D2" w:rsidRPr="00F566C3" w14:paraId="2F7C9419" w14:textId="77777777" w:rsidTr="00317CE4">
        <w:trPr>
          <w:cantSplit/>
          <w:trHeight w:val="162"/>
        </w:trPr>
        <w:tc>
          <w:tcPr>
            <w:tcW w:w="5000" w:type="pct"/>
          </w:tcPr>
          <w:p w14:paraId="2F7C9418" w14:textId="77777777" w:rsidR="00B963D2" w:rsidRPr="00F566C3" w:rsidRDefault="00B963D2" w:rsidP="00317CE4">
            <w:pPr>
              <w:jc w:val="center"/>
            </w:pPr>
            <w:r w:rsidRPr="00F566C3">
              <w:t>Projekts šo jomu neskar.</w:t>
            </w:r>
          </w:p>
        </w:tc>
      </w:tr>
    </w:tbl>
    <w:p w14:paraId="2F7C941A" w14:textId="77777777" w:rsidR="00B963D2" w:rsidRDefault="00B963D2" w:rsidP="00B963D2">
      <w:pPr>
        <w:pStyle w:val="Title"/>
        <w:spacing w:before="130" w:line="260" w:lineRule="exact"/>
        <w:ind w:firstLine="539"/>
        <w:jc w:val="both"/>
        <w:rPr>
          <w:sz w:val="24"/>
          <w:szCs w:val="24"/>
        </w:rPr>
      </w:pPr>
    </w:p>
    <w:p w14:paraId="6E1F9F7C" w14:textId="77777777" w:rsidR="008E7CD7" w:rsidRPr="00F566C3" w:rsidRDefault="008E7CD7" w:rsidP="00B963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355"/>
        <w:gridCol w:w="6466"/>
      </w:tblGrid>
      <w:tr w:rsidR="00B963D2" w:rsidRPr="00F566C3" w14:paraId="2F7C941C" w14:textId="77777777" w:rsidTr="00B20B29">
        <w:tc>
          <w:tcPr>
            <w:tcW w:w="5000" w:type="pct"/>
            <w:gridSpan w:val="3"/>
            <w:vAlign w:val="center"/>
            <w:hideMark/>
          </w:tcPr>
          <w:p w14:paraId="2F7C941B" w14:textId="77777777" w:rsidR="00B963D2" w:rsidRPr="00F566C3" w:rsidRDefault="00B963D2" w:rsidP="00317CE4">
            <w:pPr>
              <w:jc w:val="center"/>
              <w:rPr>
                <w:b/>
                <w:bCs/>
              </w:rPr>
            </w:pPr>
            <w:r w:rsidRPr="00F566C3">
              <w:rPr>
                <w:b/>
                <w:bCs/>
              </w:rPr>
              <w:t>VI. Sabiedrības līdzdalība un komunikācijas aktivitātes</w:t>
            </w:r>
          </w:p>
        </w:tc>
      </w:tr>
      <w:tr w:rsidR="00B963D2" w:rsidRPr="00F566C3" w14:paraId="2F7C9420" w14:textId="77777777" w:rsidTr="00B20B29">
        <w:tc>
          <w:tcPr>
            <w:tcW w:w="311" w:type="pct"/>
            <w:hideMark/>
          </w:tcPr>
          <w:p w14:paraId="2F7C941D" w14:textId="77777777" w:rsidR="00B963D2" w:rsidRPr="00F566C3" w:rsidRDefault="00B963D2" w:rsidP="00317CE4">
            <w:pPr>
              <w:jc w:val="center"/>
            </w:pPr>
            <w:r w:rsidRPr="00F566C3">
              <w:t>1.</w:t>
            </w:r>
          </w:p>
        </w:tc>
        <w:tc>
          <w:tcPr>
            <w:tcW w:w="1479" w:type="pct"/>
            <w:hideMark/>
          </w:tcPr>
          <w:p w14:paraId="2F7C941E" w14:textId="77777777" w:rsidR="00B963D2" w:rsidRPr="00F566C3" w:rsidRDefault="00B963D2" w:rsidP="00317CE4">
            <w:r w:rsidRPr="00F566C3">
              <w:t>Plānotās sabiedrības līdzdalības un komunikācijas aktivitātes saistībā ar projektu</w:t>
            </w:r>
          </w:p>
        </w:tc>
        <w:tc>
          <w:tcPr>
            <w:tcW w:w="3210" w:type="pct"/>
            <w:hideMark/>
          </w:tcPr>
          <w:p w14:paraId="2F7C941F" w14:textId="77777777" w:rsidR="00B963D2" w:rsidRPr="00F566C3" w:rsidRDefault="001D73C2" w:rsidP="00D63223">
            <w:pPr>
              <w:jc w:val="both"/>
              <w:rPr>
                <w:color w:val="000000" w:themeColor="text1"/>
              </w:rPr>
            </w:pPr>
            <w:r w:rsidRPr="00F566C3">
              <w:rPr>
                <w:color w:val="000000" w:themeColor="text1"/>
              </w:rPr>
              <w:t>Par projektu informēta sabiedrība, informāciju publicējot Iekšlietu ministrijas, Pilsonības un migrācijas lietu pārvaldes, Ministru kabineta tīmekļvietnēs.</w:t>
            </w:r>
          </w:p>
        </w:tc>
      </w:tr>
      <w:tr w:rsidR="00B963D2" w:rsidRPr="00F566C3" w14:paraId="2F7C9429" w14:textId="77777777" w:rsidTr="00B20B29">
        <w:tc>
          <w:tcPr>
            <w:tcW w:w="311" w:type="pct"/>
            <w:hideMark/>
          </w:tcPr>
          <w:p w14:paraId="2F7C9421" w14:textId="77777777" w:rsidR="00B963D2" w:rsidRPr="00F566C3" w:rsidRDefault="00B963D2" w:rsidP="00317CE4">
            <w:pPr>
              <w:jc w:val="center"/>
            </w:pPr>
            <w:r w:rsidRPr="00F566C3">
              <w:t>2.</w:t>
            </w:r>
          </w:p>
        </w:tc>
        <w:tc>
          <w:tcPr>
            <w:tcW w:w="1479" w:type="pct"/>
            <w:hideMark/>
          </w:tcPr>
          <w:p w14:paraId="2F7C9422" w14:textId="77777777" w:rsidR="00B963D2" w:rsidRPr="00F566C3" w:rsidRDefault="00B963D2" w:rsidP="00317CE4">
            <w:r w:rsidRPr="00F566C3">
              <w:t>Sabiedrības līdzdalība projekta izstrādē</w:t>
            </w:r>
          </w:p>
        </w:tc>
        <w:tc>
          <w:tcPr>
            <w:tcW w:w="3210" w:type="pct"/>
            <w:hideMark/>
          </w:tcPr>
          <w:p w14:paraId="2F7C9423" w14:textId="0102C9C4" w:rsidR="001D73C2" w:rsidRPr="00F566C3" w:rsidRDefault="001D73C2" w:rsidP="001D73C2">
            <w:pPr>
              <w:jc w:val="both"/>
              <w:rPr>
                <w:rFonts w:eastAsia="Calibri"/>
              </w:rPr>
            </w:pPr>
            <w:r w:rsidRPr="00F566C3">
              <w:rPr>
                <w:rFonts w:eastAsia="Calibri"/>
              </w:rPr>
              <w:t>Projekts</w:t>
            </w:r>
            <w:r w:rsidR="00EC0AC8">
              <w:rPr>
                <w:rFonts w:eastAsia="Calibri"/>
              </w:rPr>
              <w:t xml:space="preserve"> </w:t>
            </w:r>
            <w:proofErr w:type="gramStart"/>
            <w:r w:rsidR="00EC0AC8">
              <w:rPr>
                <w:rFonts w:eastAsia="Calibri"/>
              </w:rPr>
              <w:t>2019.gada</w:t>
            </w:r>
            <w:proofErr w:type="gramEnd"/>
            <w:r w:rsidR="00EC0AC8">
              <w:rPr>
                <w:rFonts w:eastAsia="Calibri"/>
              </w:rPr>
              <w:t xml:space="preserve"> </w:t>
            </w:r>
            <w:r w:rsidR="00F60219">
              <w:rPr>
                <w:rFonts w:eastAsia="Calibri"/>
              </w:rPr>
              <w:t>8</w:t>
            </w:r>
            <w:r w:rsidR="00EC0AC8">
              <w:rPr>
                <w:rFonts w:eastAsia="Calibri"/>
              </w:rPr>
              <w:t>.martā</w:t>
            </w:r>
            <w:r w:rsidRPr="00F566C3">
              <w:rPr>
                <w:rFonts w:eastAsia="Calibri"/>
              </w:rPr>
              <w:t xml:space="preserve"> publicēts:</w:t>
            </w:r>
          </w:p>
          <w:p w14:paraId="2F7C9424" w14:textId="77777777" w:rsidR="001D73C2" w:rsidRPr="00F566C3" w:rsidRDefault="001D73C2" w:rsidP="001D73C2">
            <w:pPr>
              <w:jc w:val="both"/>
              <w:rPr>
                <w:rFonts w:eastAsia="Calibri"/>
              </w:rPr>
            </w:pPr>
            <w:r w:rsidRPr="00F566C3">
              <w:rPr>
                <w:rFonts w:eastAsia="Calibri"/>
              </w:rPr>
              <w:t>1) Pilsonības un migrācijas lietu pārvalde</w:t>
            </w:r>
            <w:r w:rsidR="00275FFA" w:rsidRPr="00F566C3">
              <w:rPr>
                <w:rFonts w:eastAsia="Calibri"/>
              </w:rPr>
              <w:t>s</w:t>
            </w:r>
            <w:r w:rsidRPr="00F566C3">
              <w:rPr>
                <w:rFonts w:eastAsia="Calibri"/>
              </w:rPr>
              <w:t xml:space="preserve"> tīmekļvietnē, adrese: </w:t>
            </w:r>
            <w:hyperlink r:id="rId9" w:history="1">
              <w:r w:rsidRPr="00F566C3">
                <w:rPr>
                  <w:rStyle w:val="Hyperlink"/>
                  <w:rFonts w:eastAsia="Calibri"/>
                  <w:u w:val="none"/>
                </w:rPr>
                <w:t>http://www.pmlp.gov.lv/lv/sakums/tiesibu-akti/tiesibu-aktu-projekti/</w:t>
              </w:r>
            </w:hyperlink>
          </w:p>
          <w:p w14:paraId="2F7C9425" w14:textId="77777777" w:rsidR="001D73C2" w:rsidRPr="00F566C3" w:rsidRDefault="001D73C2" w:rsidP="001D73C2">
            <w:pPr>
              <w:jc w:val="both"/>
              <w:rPr>
                <w:rFonts w:eastAsia="Calibri"/>
              </w:rPr>
            </w:pPr>
            <w:r w:rsidRPr="00F566C3">
              <w:rPr>
                <w:rFonts w:eastAsia="Calibri"/>
              </w:rPr>
              <w:t xml:space="preserve">2) Iekšlietu ministrijas tīmekļvietnē, adrese: </w:t>
            </w:r>
            <w:hyperlink r:id="rId10" w:history="1">
              <w:r w:rsidRPr="00F566C3">
                <w:rPr>
                  <w:rStyle w:val="Hyperlink"/>
                  <w:rFonts w:eastAsia="Calibri"/>
                  <w:u w:val="none"/>
                </w:rPr>
                <w:t>http://www.iem.gov.lv/lat/sadarbiba_ar_nvo/diskusiju_dokumenti/</w:t>
              </w:r>
            </w:hyperlink>
          </w:p>
          <w:p w14:paraId="2F7C9426" w14:textId="77777777" w:rsidR="001D73C2" w:rsidRPr="00F566C3" w:rsidRDefault="001D73C2" w:rsidP="001D73C2">
            <w:pPr>
              <w:jc w:val="both"/>
              <w:rPr>
                <w:rFonts w:eastAsia="Calibri"/>
              </w:rPr>
            </w:pPr>
            <w:r w:rsidRPr="00F566C3">
              <w:rPr>
                <w:rFonts w:eastAsia="Calibri"/>
              </w:rPr>
              <w:t xml:space="preserve">3) Ministru kabineta tīmekļvietnē, adrese: </w:t>
            </w:r>
            <w:hyperlink r:id="rId11" w:history="1">
              <w:r w:rsidRPr="00F566C3">
                <w:rPr>
                  <w:rStyle w:val="Hyperlink"/>
                  <w:rFonts w:eastAsia="Calibri"/>
                  <w:u w:val="none"/>
                </w:rPr>
                <w:t>http://www.mk.gov.lv/content/ministru-kabineta-diskusiju-dokumenti</w:t>
              </w:r>
            </w:hyperlink>
          </w:p>
          <w:p w14:paraId="2F7C9428" w14:textId="01D8C9FC" w:rsidR="00B963D2" w:rsidRPr="00F566C3" w:rsidRDefault="001D73C2" w:rsidP="00F60219">
            <w:pPr>
              <w:jc w:val="both"/>
            </w:pPr>
            <w:r w:rsidRPr="00F566C3">
              <w:rPr>
                <w:rFonts w:eastAsia="Calibri"/>
                <w:color w:val="000000" w:themeColor="text1"/>
              </w:rPr>
              <w:t xml:space="preserve">Sabiedrības </w:t>
            </w:r>
            <w:r w:rsidRPr="00F566C3">
              <w:rPr>
                <w:rFonts w:eastAsia="Calibri"/>
              </w:rPr>
              <w:t xml:space="preserve">pārstāvjiem tika dota iespēja līdzdarboties projekta izstrādē, rakstveidā sniedzot viedokli par projektu līdz </w:t>
            </w:r>
            <w:proofErr w:type="gramStart"/>
            <w:r w:rsidR="0024595A">
              <w:rPr>
                <w:rFonts w:eastAsia="Calibri"/>
              </w:rPr>
              <w:t>2019.gada</w:t>
            </w:r>
            <w:proofErr w:type="gramEnd"/>
            <w:r w:rsidR="0024595A">
              <w:rPr>
                <w:rFonts w:eastAsia="Calibri"/>
              </w:rPr>
              <w:t xml:space="preserve"> </w:t>
            </w:r>
            <w:r w:rsidR="00F60219">
              <w:rPr>
                <w:rFonts w:eastAsia="Calibri"/>
              </w:rPr>
              <w:t>22</w:t>
            </w:r>
            <w:r w:rsidR="0024595A">
              <w:rPr>
                <w:rFonts w:eastAsia="Calibri"/>
              </w:rPr>
              <w:t>.martam</w:t>
            </w:r>
            <w:r w:rsidRPr="00F566C3">
              <w:rPr>
                <w:color w:val="000000"/>
              </w:rPr>
              <w:t>.</w:t>
            </w:r>
          </w:p>
        </w:tc>
      </w:tr>
      <w:tr w:rsidR="00B963D2" w:rsidRPr="00F566C3" w14:paraId="2F7C942D" w14:textId="77777777" w:rsidTr="00B20B29">
        <w:tc>
          <w:tcPr>
            <w:tcW w:w="311" w:type="pct"/>
            <w:hideMark/>
          </w:tcPr>
          <w:p w14:paraId="2F7C942A" w14:textId="77777777" w:rsidR="00B963D2" w:rsidRPr="00F566C3" w:rsidRDefault="00B963D2" w:rsidP="00317CE4">
            <w:pPr>
              <w:jc w:val="center"/>
            </w:pPr>
            <w:r w:rsidRPr="00F566C3">
              <w:t>3.</w:t>
            </w:r>
          </w:p>
        </w:tc>
        <w:tc>
          <w:tcPr>
            <w:tcW w:w="1479" w:type="pct"/>
            <w:hideMark/>
          </w:tcPr>
          <w:p w14:paraId="2F7C942B" w14:textId="77777777" w:rsidR="00B963D2" w:rsidRPr="00F566C3" w:rsidRDefault="00B963D2" w:rsidP="00317CE4">
            <w:r w:rsidRPr="00F566C3">
              <w:t>Sabiedrības līdzdalības rezultāti</w:t>
            </w:r>
          </w:p>
        </w:tc>
        <w:tc>
          <w:tcPr>
            <w:tcW w:w="3210" w:type="pct"/>
            <w:hideMark/>
          </w:tcPr>
          <w:p w14:paraId="2F7C942C" w14:textId="4F12FC99" w:rsidR="00B963D2" w:rsidRPr="00F566C3" w:rsidRDefault="007A48E4" w:rsidP="00317CE4">
            <w:pPr>
              <w:jc w:val="both"/>
            </w:pPr>
            <w:r w:rsidRPr="00EC0AC8">
              <w:rPr>
                <w:color w:val="000000"/>
              </w:rPr>
              <w:t>Komentāri par projektu nav saņemti.</w:t>
            </w:r>
          </w:p>
        </w:tc>
      </w:tr>
      <w:tr w:rsidR="00B963D2" w:rsidRPr="00F566C3" w14:paraId="2F7C9431" w14:textId="77777777" w:rsidTr="00B20B29">
        <w:tc>
          <w:tcPr>
            <w:tcW w:w="311" w:type="pct"/>
            <w:hideMark/>
          </w:tcPr>
          <w:p w14:paraId="2F7C942E" w14:textId="77777777" w:rsidR="00B963D2" w:rsidRPr="00F566C3" w:rsidRDefault="00B963D2" w:rsidP="00317CE4">
            <w:pPr>
              <w:jc w:val="center"/>
            </w:pPr>
            <w:r w:rsidRPr="00F566C3">
              <w:t>4.</w:t>
            </w:r>
          </w:p>
        </w:tc>
        <w:tc>
          <w:tcPr>
            <w:tcW w:w="1479" w:type="pct"/>
            <w:hideMark/>
          </w:tcPr>
          <w:p w14:paraId="2F7C942F" w14:textId="77777777" w:rsidR="00B963D2" w:rsidRPr="00F566C3" w:rsidRDefault="00B963D2" w:rsidP="00317CE4">
            <w:r w:rsidRPr="00F566C3">
              <w:t>Cita informācija</w:t>
            </w:r>
          </w:p>
        </w:tc>
        <w:tc>
          <w:tcPr>
            <w:tcW w:w="3210" w:type="pct"/>
            <w:hideMark/>
          </w:tcPr>
          <w:p w14:paraId="2F7C9430" w14:textId="77777777" w:rsidR="00B963D2" w:rsidRPr="00F566C3" w:rsidRDefault="00B963D2" w:rsidP="00317CE4">
            <w:r w:rsidRPr="00F566C3">
              <w:t>Nav.</w:t>
            </w:r>
          </w:p>
        </w:tc>
      </w:tr>
    </w:tbl>
    <w:p w14:paraId="2F7C9432" w14:textId="77777777" w:rsidR="00B963D2" w:rsidRPr="00F566C3" w:rsidRDefault="00B963D2" w:rsidP="00B963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1"/>
        <w:gridCol w:w="2823"/>
        <w:gridCol w:w="5817"/>
      </w:tblGrid>
      <w:tr w:rsidR="00B963D2" w:rsidRPr="00F566C3" w14:paraId="2F7C9436" w14:textId="77777777" w:rsidTr="00317CE4">
        <w:trPr>
          <w:cantSplit/>
        </w:trPr>
        <w:tc>
          <w:tcPr>
            <w:tcW w:w="5000" w:type="pct"/>
            <w:gridSpan w:val="3"/>
            <w:vAlign w:val="center"/>
            <w:hideMark/>
          </w:tcPr>
          <w:p w14:paraId="2F7C9435" w14:textId="4D66C7D9" w:rsidR="00B963D2" w:rsidRPr="00B65C43" w:rsidRDefault="00B963D2" w:rsidP="00B65C43">
            <w:pPr>
              <w:jc w:val="center"/>
              <w:rPr>
                <w:b/>
                <w:bCs/>
              </w:rPr>
            </w:pPr>
            <w:r w:rsidRPr="00F566C3">
              <w:rPr>
                <w:b/>
                <w:bCs/>
              </w:rPr>
              <w:t>VII. Tiesību akta projekta izpildes nodrošināšana un tās ietekme uz institūcijām</w:t>
            </w:r>
          </w:p>
        </w:tc>
      </w:tr>
      <w:tr w:rsidR="00B963D2" w:rsidRPr="00F566C3" w14:paraId="2F7C943A" w14:textId="77777777" w:rsidTr="00B65C43">
        <w:trPr>
          <w:cantSplit/>
        </w:trPr>
        <w:tc>
          <w:tcPr>
            <w:tcW w:w="232" w:type="pct"/>
            <w:hideMark/>
          </w:tcPr>
          <w:p w14:paraId="2F7C9437" w14:textId="77777777" w:rsidR="00B963D2" w:rsidRPr="00F566C3" w:rsidRDefault="00B963D2" w:rsidP="00317CE4">
            <w:pPr>
              <w:jc w:val="center"/>
            </w:pPr>
            <w:r w:rsidRPr="00F566C3">
              <w:t>1.</w:t>
            </w:r>
          </w:p>
        </w:tc>
        <w:tc>
          <w:tcPr>
            <w:tcW w:w="1558" w:type="pct"/>
            <w:hideMark/>
          </w:tcPr>
          <w:p w14:paraId="2F7C9438" w14:textId="77777777" w:rsidR="00B963D2" w:rsidRPr="00F566C3" w:rsidRDefault="00B963D2" w:rsidP="00317CE4">
            <w:r w:rsidRPr="00F566C3">
              <w:t>Projekta izpildē iesaistītās institūcijas</w:t>
            </w:r>
          </w:p>
        </w:tc>
        <w:tc>
          <w:tcPr>
            <w:tcW w:w="3210" w:type="pct"/>
            <w:hideMark/>
          </w:tcPr>
          <w:p w14:paraId="2F7C9439" w14:textId="77777777" w:rsidR="00B963D2" w:rsidRPr="00F566C3" w:rsidRDefault="00B963D2" w:rsidP="00317CE4">
            <w:r w:rsidRPr="00F566C3">
              <w:t>Pilsonības un migrāci</w:t>
            </w:r>
            <w:r w:rsidR="001D73C2" w:rsidRPr="00F566C3">
              <w:t>jas lietu pārvalde, pašvaldības, Val</w:t>
            </w:r>
            <w:r w:rsidR="005C1FD3" w:rsidRPr="00F566C3">
              <w:t>s</w:t>
            </w:r>
            <w:r w:rsidR="00C473A1">
              <w:t>ts robežsardze, Valsts policija.</w:t>
            </w:r>
          </w:p>
        </w:tc>
      </w:tr>
      <w:tr w:rsidR="00B963D2" w:rsidRPr="00F566C3" w14:paraId="2F7C943E" w14:textId="77777777" w:rsidTr="00B65C43">
        <w:trPr>
          <w:cantSplit/>
        </w:trPr>
        <w:tc>
          <w:tcPr>
            <w:tcW w:w="232" w:type="pct"/>
            <w:hideMark/>
          </w:tcPr>
          <w:p w14:paraId="2F7C943B" w14:textId="77777777" w:rsidR="00B963D2" w:rsidRPr="00F566C3" w:rsidRDefault="00B963D2" w:rsidP="00317CE4">
            <w:pPr>
              <w:jc w:val="center"/>
            </w:pPr>
            <w:r w:rsidRPr="00F566C3">
              <w:t>2.</w:t>
            </w:r>
          </w:p>
        </w:tc>
        <w:tc>
          <w:tcPr>
            <w:tcW w:w="1558" w:type="pct"/>
            <w:hideMark/>
          </w:tcPr>
          <w:p w14:paraId="2F7C943C" w14:textId="77777777" w:rsidR="00B963D2" w:rsidRPr="00F566C3" w:rsidRDefault="00B963D2" w:rsidP="00317CE4">
            <w:r w:rsidRPr="00F566C3">
              <w:t>Projekta izpildes ietekme uz pārvaldes funkcijām un institucionālo struktūru.</w:t>
            </w:r>
            <w:r w:rsidRPr="00F566C3">
              <w:br/>
              <w:t>Jaunu institūciju izveide, esošu institūciju likvidācija vai reorganizācija, to ietekme uz institūcijas cilvēkresursiem</w:t>
            </w:r>
          </w:p>
        </w:tc>
        <w:tc>
          <w:tcPr>
            <w:tcW w:w="3210" w:type="pct"/>
            <w:hideMark/>
          </w:tcPr>
          <w:p w14:paraId="646802E6" w14:textId="77777777" w:rsidR="00B963D2" w:rsidRDefault="00B963D2" w:rsidP="00317CE4">
            <w:pPr>
              <w:jc w:val="both"/>
            </w:pPr>
            <w:r w:rsidRPr="00F566C3">
              <w:t>Projekta izpildes rezultātā nav paredzēta esošu institūciju likvidācija vai reorganizācija. Iestāžu institucionālā struktūra netiek ietekmēta, papildus cilvēkresursi nav nepieciešami.</w:t>
            </w:r>
          </w:p>
          <w:p w14:paraId="2F7C943D" w14:textId="5B75F656" w:rsidR="006B3712" w:rsidRPr="00F566C3" w:rsidRDefault="001A5407" w:rsidP="006B3712">
            <w:pPr>
              <w:jc w:val="both"/>
            </w:pPr>
            <w:r>
              <w:t>Projekta izpilde notiks esošo funkciju ietvaros.</w:t>
            </w:r>
          </w:p>
        </w:tc>
      </w:tr>
      <w:tr w:rsidR="00B963D2" w:rsidRPr="00F566C3" w14:paraId="2F7C9442" w14:textId="77777777" w:rsidTr="00B65C43">
        <w:trPr>
          <w:cantSplit/>
        </w:trPr>
        <w:tc>
          <w:tcPr>
            <w:tcW w:w="232" w:type="pct"/>
            <w:hideMark/>
          </w:tcPr>
          <w:p w14:paraId="2F7C943F" w14:textId="77777777" w:rsidR="00B963D2" w:rsidRPr="00F566C3" w:rsidRDefault="00B963D2" w:rsidP="00317CE4">
            <w:pPr>
              <w:jc w:val="center"/>
            </w:pPr>
            <w:r w:rsidRPr="00F566C3">
              <w:t>3.</w:t>
            </w:r>
          </w:p>
        </w:tc>
        <w:tc>
          <w:tcPr>
            <w:tcW w:w="1558" w:type="pct"/>
            <w:hideMark/>
          </w:tcPr>
          <w:p w14:paraId="2F7C9440" w14:textId="77777777" w:rsidR="00B963D2" w:rsidRPr="00F566C3" w:rsidRDefault="00B963D2" w:rsidP="00317CE4">
            <w:r w:rsidRPr="00F566C3">
              <w:t>Cita informācija</w:t>
            </w:r>
          </w:p>
        </w:tc>
        <w:tc>
          <w:tcPr>
            <w:tcW w:w="3210" w:type="pct"/>
            <w:hideMark/>
          </w:tcPr>
          <w:p w14:paraId="2F7C9441" w14:textId="77777777" w:rsidR="00B963D2" w:rsidRPr="00F566C3" w:rsidRDefault="00B963D2" w:rsidP="00317CE4">
            <w:r w:rsidRPr="00F566C3">
              <w:t>Nav.</w:t>
            </w:r>
          </w:p>
        </w:tc>
      </w:tr>
    </w:tbl>
    <w:p w14:paraId="089BBA88" w14:textId="578D0875" w:rsidR="00C15F1B" w:rsidRDefault="00C15F1B" w:rsidP="00B963D2">
      <w:pPr>
        <w:tabs>
          <w:tab w:val="left" w:pos="6521"/>
        </w:tabs>
        <w:jc w:val="both"/>
      </w:pPr>
    </w:p>
    <w:p w14:paraId="588A4B51" w14:textId="77777777" w:rsidR="001E4BEA" w:rsidRDefault="001E4BEA" w:rsidP="00B963D2">
      <w:pPr>
        <w:tabs>
          <w:tab w:val="left" w:pos="6521"/>
        </w:tabs>
        <w:jc w:val="both"/>
      </w:pPr>
    </w:p>
    <w:p w14:paraId="594F96FF" w14:textId="77777777" w:rsidR="00C15F1B" w:rsidRDefault="00C15F1B" w:rsidP="00B963D2">
      <w:pPr>
        <w:tabs>
          <w:tab w:val="left" w:pos="6521"/>
        </w:tabs>
        <w:jc w:val="both"/>
      </w:pPr>
    </w:p>
    <w:p w14:paraId="59F7A755" w14:textId="45BA4914" w:rsidR="001E4BEA" w:rsidRPr="00D262A4" w:rsidRDefault="001E4BEA" w:rsidP="001E4BEA">
      <w:pPr>
        <w:tabs>
          <w:tab w:val="left" w:pos="6521"/>
          <w:tab w:val="right" w:pos="8820"/>
        </w:tabs>
        <w:ind w:firstLine="709"/>
        <w:rPr>
          <w:sz w:val="28"/>
          <w:szCs w:val="28"/>
        </w:rPr>
      </w:pPr>
      <w:r w:rsidRPr="00D262A4">
        <w:rPr>
          <w:sz w:val="28"/>
          <w:szCs w:val="28"/>
        </w:rPr>
        <w:t>Iekšlietu ministrs</w:t>
      </w:r>
      <w:r w:rsidRPr="00D262A4">
        <w:rPr>
          <w:sz w:val="28"/>
          <w:szCs w:val="28"/>
        </w:rPr>
        <w:tab/>
      </w:r>
      <w:r w:rsidRPr="00F456EF">
        <w:rPr>
          <w:sz w:val="28"/>
          <w:szCs w:val="28"/>
        </w:rPr>
        <w:t>S</w:t>
      </w:r>
      <w:r>
        <w:rPr>
          <w:sz w:val="28"/>
          <w:szCs w:val="28"/>
        </w:rPr>
        <w:t>. </w:t>
      </w:r>
      <w:proofErr w:type="spellStart"/>
      <w:r w:rsidRPr="00F456EF">
        <w:rPr>
          <w:sz w:val="28"/>
          <w:szCs w:val="28"/>
        </w:rPr>
        <w:t>Ģirģens</w:t>
      </w:r>
      <w:proofErr w:type="spellEnd"/>
    </w:p>
    <w:p w14:paraId="2F7C9445" w14:textId="23499C23" w:rsidR="00B963D2" w:rsidRPr="001E4BEA" w:rsidRDefault="00B963D2" w:rsidP="00B963D2">
      <w:pPr>
        <w:tabs>
          <w:tab w:val="left" w:pos="6521"/>
        </w:tabs>
        <w:jc w:val="both"/>
        <w:rPr>
          <w:sz w:val="28"/>
          <w:szCs w:val="28"/>
        </w:rPr>
      </w:pPr>
    </w:p>
    <w:p w14:paraId="2F7C9447" w14:textId="77777777" w:rsidR="00B963D2" w:rsidRPr="001E4BEA" w:rsidRDefault="00B963D2" w:rsidP="00B963D2">
      <w:pPr>
        <w:pStyle w:val="naisf"/>
        <w:spacing w:before="0" w:after="0"/>
        <w:rPr>
          <w:sz w:val="28"/>
          <w:szCs w:val="28"/>
        </w:rPr>
      </w:pPr>
    </w:p>
    <w:p w14:paraId="5DE1BD7F" w14:textId="77777777" w:rsidR="00C15F1B" w:rsidRPr="001E4BEA" w:rsidRDefault="00C15F1B" w:rsidP="00B963D2">
      <w:pPr>
        <w:jc w:val="both"/>
        <w:rPr>
          <w:sz w:val="28"/>
          <w:szCs w:val="28"/>
        </w:rPr>
      </w:pPr>
    </w:p>
    <w:p w14:paraId="2F7C944D" w14:textId="77777777" w:rsidR="00B963D2" w:rsidRPr="001E4BEA" w:rsidRDefault="00B963D2" w:rsidP="00B963D2">
      <w:pPr>
        <w:jc w:val="both"/>
        <w:rPr>
          <w:sz w:val="20"/>
          <w:szCs w:val="20"/>
        </w:rPr>
      </w:pPr>
      <w:r w:rsidRPr="001E4BEA">
        <w:rPr>
          <w:sz w:val="20"/>
          <w:szCs w:val="20"/>
        </w:rPr>
        <w:t>Stone, 67219425</w:t>
      </w:r>
    </w:p>
    <w:p w14:paraId="2F7C944E" w14:textId="20552387" w:rsidR="00B963D2" w:rsidRPr="001E4BEA" w:rsidRDefault="001E4BEA" w:rsidP="00B963D2">
      <w:pPr>
        <w:jc w:val="both"/>
        <w:rPr>
          <w:sz w:val="20"/>
          <w:szCs w:val="20"/>
        </w:rPr>
      </w:pPr>
      <w:hyperlink r:id="rId12" w:history="1">
        <w:r w:rsidRPr="001E4BEA">
          <w:rPr>
            <w:rStyle w:val="Hyperlink"/>
            <w:sz w:val="20"/>
            <w:szCs w:val="20"/>
          </w:rPr>
          <w:t>kristine.stone@pmlp.gov.lv</w:t>
        </w:r>
      </w:hyperlink>
    </w:p>
    <w:p w14:paraId="3BCF6EC3" w14:textId="5A87BEC6" w:rsidR="001E4BEA" w:rsidRPr="001E4BEA" w:rsidRDefault="001E4BEA" w:rsidP="00B963D2">
      <w:pPr>
        <w:jc w:val="both"/>
        <w:rPr>
          <w:sz w:val="20"/>
          <w:szCs w:val="20"/>
        </w:rPr>
      </w:pPr>
    </w:p>
    <w:p w14:paraId="24AEA82B" w14:textId="49BEBBF9" w:rsidR="001E4BEA" w:rsidRPr="001E4BEA" w:rsidRDefault="001E4BEA" w:rsidP="00B963D2">
      <w:pPr>
        <w:jc w:val="both"/>
        <w:rPr>
          <w:sz w:val="20"/>
          <w:szCs w:val="20"/>
        </w:rPr>
      </w:pPr>
    </w:p>
    <w:p w14:paraId="353E2B48" w14:textId="5A509B7A" w:rsidR="001E4BEA" w:rsidRPr="001E4BEA" w:rsidRDefault="001E4BEA" w:rsidP="00B963D2">
      <w:pPr>
        <w:jc w:val="both"/>
        <w:rPr>
          <w:sz w:val="20"/>
          <w:szCs w:val="20"/>
        </w:rPr>
      </w:pPr>
    </w:p>
    <w:p w14:paraId="61698DA1" w14:textId="0063EC0E" w:rsidR="001E4BEA" w:rsidRPr="001E4BEA" w:rsidRDefault="001E4BEA" w:rsidP="00B963D2">
      <w:pPr>
        <w:jc w:val="both"/>
        <w:rPr>
          <w:sz w:val="20"/>
          <w:szCs w:val="20"/>
        </w:rPr>
      </w:pPr>
      <w:proofErr w:type="spellStart"/>
      <w:r w:rsidRPr="001E4BEA">
        <w:rPr>
          <w:sz w:val="20"/>
          <w:szCs w:val="20"/>
        </w:rPr>
        <w:t>v_sk</w:t>
      </w:r>
      <w:proofErr w:type="spellEnd"/>
      <w:r w:rsidRPr="001E4BEA">
        <w:rPr>
          <w:sz w:val="20"/>
          <w:szCs w:val="20"/>
        </w:rPr>
        <w:t>. = 1900</w:t>
      </w:r>
      <w:bookmarkStart w:id="0" w:name="_GoBack"/>
      <w:bookmarkEnd w:id="0"/>
    </w:p>
    <w:sectPr w:rsidR="001E4BEA" w:rsidRPr="001E4BEA" w:rsidSect="00212F0D">
      <w:headerReference w:type="default" r:id="rId13"/>
      <w:footerReference w:type="defaul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20E53" w14:textId="77777777" w:rsidR="00950A49" w:rsidRDefault="00950A49" w:rsidP="00C558A8">
      <w:r>
        <w:separator/>
      </w:r>
    </w:p>
  </w:endnote>
  <w:endnote w:type="continuationSeparator" w:id="0">
    <w:p w14:paraId="095D7BD3" w14:textId="77777777" w:rsidR="00950A49" w:rsidRDefault="00950A49" w:rsidP="00C5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9C96" w14:textId="77777777" w:rsidR="001E4BEA" w:rsidRPr="00216D8C" w:rsidRDefault="001E4BEA" w:rsidP="001E4BEA">
    <w:pPr>
      <w:pStyle w:val="Footer"/>
      <w:jc w:val="both"/>
      <w:rPr>
        <w:sz w:val="20"/>
        <w:szCs w:val="20"/>
      </w:rPr>
    </w:pPr>
    <w:r>
      <w:rPr>
        <w:sz w:val="20"/>
        <w:szCs w:val="20"/>
      </w:rPr>
      <w:t>IEMAnot_150519_grozDzL</w:t>
    </w:r>
    <w:proofErr w:type="gramStart"/>
    <w:r>
      <w:rPr>
        <w:sz w:val="20"/>
        <w:szCs w:val="20"/>
      </w:rPr>
      <w:t xml:space="preserve">  </w:t>
    </w:r>
    <w:proofErr w:type="gramEnd"/>
    <w:r>
      <w:rPr>
        <w:sz w:val="20"/>
        <w:szCs w:val="20"/>
      </w:rPr>
      <w:t>(TA-1204)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9456" w14:textId="2D53AF7B" w:rsidR="00E34BFA" w:rsidRPr="00216D8C" w:rsidRDefault="00E34BFA" w:rsidP="00317CE4">
    <w:pPr>
      <w:pStyle w:val="Footer"/>
      <w:jc w:val="both"/>
      <w:rPr>
        <w:sz w:val="20"/>
        <w:szCs w:val="20"/>
      </w:rPr>
    </w:pPr>
    <w:r>
      <w:rPr>
        <w:sz w:val="20"/>
        <w:szCs w:val="20"/>
      </w:rPr>
      <w:t>IEMAnot_</w:t>
    </w:r>
    <w:r w:rsidR="00A31F1C">
      <w:rPr>
        <w:sz w:val="20"/>
        <w:szCs w:val="20"/>
      </w:rPr>
      <w:t>15</w:t>
    </w:r>
    <w:r w:rsidR="003022C5">
      <w:rPr>
        <w:sz w:val="20"/>
        <w:szCs w:val="20"/>
      </w:rPr>
      <w:t>05</w:t>
    </w:r>
    <w:r>
      <w:rPr>
        <w:sz w:val="20"/>
        <w:szCs w:val="20"/>
      </w:rPr>
      <w:t>19_grozDzL</w:t>
    </w:r>
    <w:proofErr w:type="gramStart"/>
    <w:r w:rsidR="001E4BEA">
      <w:rPr>
        <w:sz w:val="20"/>
        <w:szCs w:val="20"/>
      </w:rPr>
      <w:t xml:space="preserve">  </w:t>
    </w:r>
    <w:proofErr w:type="gramEnd"/>
    <w:r w:rsidR="001E4BEA">
      <w:rPr>
        <w:sz w:val="20"/>
        <w:szCs w:val="20"/>
      </w:rPr>
      <w:t>(TA-1204)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18E3B" w14:textId="77777777" w:rsidR="00950A49" w:rsidRDefault="00950A49" w:rsidP="00C558A8">
      <w:r>
        <w:separator/>
      </w:r>
    </w:p>
  </w:footnote>
  <w:footnote w:type="continuationSeparator" w:id="0">
    <w:p w14:paraId="2CB3055B" w14:textId="77777777" w:rsidR="00950A49" w:rsidRDefault="00950A49" w:rsidP="00C55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753383"/>
      <w:docPartObj>
        <w:docPartGallery w:val="Page Numbers (Top of Page)"/>
        <w:docPartUnique/>
      </w:docPartObj>
    </w:sdtPr>
    <w:sdtEndPr>
      <w:rPr>
        <w:noProof/>
      </w:rPr>
    </w:sdtEndPr>
    <w:sdtContent>
      <w:p w14:paraId="2F7C9453" w14:textId="33FC2166" w:rsidR="00E34BFA" w:rsidRDefault="00E34BFA">
        <w:pPr>
          <w:pStyle w:val="Header"/>
          <w:jc w:val="center"/>
        </w:pPr>
        <w:r>
          <w:fldChar w:fldCharType="begin"/>
        </w:r>
        <w:r>
          <w:instrText xml:space="preserve"> PAGE   \* MERGEFORMAT </w:instrText>
        </w:r>
        <w:r>
          <w:fldChar w:fldCharType="separate"/>
        </w:r>
        <w:r w:rsidR="001E4BEA">
          <w:rPr>
            <w:noProof/>
          </w:rPr>
          <w:t>8</w:t>
        </w:r>
        <w:r>
          <w:rPr>
            <w:noProof/>
          </w:rPr>
          <w:fldChar w:fldCharType="end"/>
        </w:r>
      </w:p>
    </w:sdtContent>
  </w:sdt>
  <w:p w14:paraId="2F7C9454" w14:textId="77777777" w:rsidR="00E34BFA" w:rsidRDefault="00E34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03DA"/>
    <w:multiLevelType w:val="hybridMultilevel"/>
    <w:tmpl w:val="8C8EA5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E17038A"/>
    <w:multiLevelType w:val="hybridMultilevel"/>
    <w:tmpl w:val="890610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3D2"/>
    <w:rsid w:val="000E2210"/>
    <w:rsid w:val="000E2D37"/>
    <w:rsid w:val="00110CA5"/>
    <w:rsid w:val="00133C28"/>
    <w:rsid w:val="00141016"/>
    <w:rsid w:val="00152DE1"/>
    <w:rsid w:val="00152EC1"/>
    <w:rsid w:val="00184E82"/>
    <w:rsid w:val="001A5407"/>
    <w:rsid w:val="001B1E84"/>
    <w:rsid w:val="001D73C2"/>
    <w:rsid w:val="001D7613"/>
    <w:rsid w:val="001E4BEA"/>
    <w:rsid w:val="002104FE"/>
    <w:rsid w:val="00212F0D"/>
    <w:rsid w:val="002208D5"/>
    <w:rsid w:val="00223647"/>
    <w:rsid w:val="00226288"/>
    <w:rsid w:val="00231445"/>
    <w:rsid w:val="002437C2"/>
    <w:rsid w:val="0024595A"/>
    <w:rsid w:val="00250CE2"/>
    <w:rsid w:val="00265C8C"/>
    <w:rsid w:val="00270316"/>
    <w:rsid w:val="00275FFA"/>
    <w:rsid w:val="00287E29"/>
    <w:rsid w:val="002C3EDC"/>
    <w:rsid w:val="002D34C2"/>
    <w:rsid w:val="002D64A4"/>
    <w:rsid w:val="003022C5"/>
    <w:rsid w:val="003028DC"/>
    <w:rsid w:val="0030469F"/>
    <w:rsid w:val="00317CE4"/>
    <w:rsid w:val="003228C4"/>
    <w:rsid w:val="0039092C"/>
    <w:rsid w:val="003A43F3"/>
    <w:rsid w:val="003D7BBA"/>
    <w:rsid w:val="00423FC0"/>
    <w:rsid w:val="00435D60"/>
    <w:rsid w:val="00462D4C"/>
    <w:rsid w:val="00477026"/>
    <w:rsid w:val="00487611"/>
    <w:rsid w:val="004A0A4B"/>
    <w:rsid w:val="004C05D6"/>
    <w:rsid w:val="004D325D"/>
    <w:rsid w:val="004F7736"/>
    <w:rsid w:val="00531367"/>
    <w:rsid w:val="00537CB1"/>
    <w:rsid w:val="00541AC6"/>
    <w:rsid w:val="005467FE"/>
    <w:rsid w:val="00590730"/>
    <w:rsid w:val="00591E1D"/>
    <w:rsid w:val="005C1FD3"/>
    <w:rsid w:val="005F2004"/>
    <w:rsid w:val="00602F96"/>
    <w:rsid w:val="00614D8D"/>
    <w:rsid w:val="00651096"/>
    <w:rsid w:val="006931B7"/>
    <w:rsid w:val="006B3712"/>
    <w:rsid w:val="006C1DF6"/>
    <w:rsid w:val="006D035F"/>
    <w:rsid w:val="006D6EC0"/>
    <w:rsid w:val="006E4DA9"/>
    <w:rsid w:val="006E73B6"/>
    <w:rsid w:val="006F30DD"/>
    <w:rsid w:val="0072038A"/>
    <w:rsid w:val="0073689E"/>
    <w:rsid w:val="00741D3F"/>
    <w:rsid w:val="0075601E"/>
    <w:rsid w:val="00762BF0"/>
    <w:rsid w:val="00774B4B"/>
    <w:rsid w:val="007A4752"/>
    <w:rsid w:val="007A48E4"/>
    <w:rsid w:val="007B5712"/>
    <w:rsid w:val="007E4672"/>
    <w:rsid w:val="008517CE"/>
    <w:rsid w:val="00866290"/>
    <w:rsid w:val="008841F5"/>
    <w:rsid w:val="00886530"/>
    <w:rsid w:val="00891ED7"/>
    <w:rsid w:val="008952A4"/>
    <w:rsid w:val="008E1505"/>
    <w:rsid w:val="008E608E"/>
    <w:rsid w:val="008E7CD7"/>
    <w:rsid w:val="0090161B"/>
    <w:rsid w:val="00907EE3"/>
    <w:rsid w:val="00914E3A"/>
    <w:rsid w:val="009264BB"/>
    <w:rsid w:val="00950A49"/>
    <w:rsid w:val="0096708F"/>
    <w:rsid w:val="009671B4"/>
    <w:rsid w:val="009A6E86"/>
    <w:rsid w:val="009F02A4"/>
    <w:rsid w:val="00A10DAE"/>
    <w:rsid w:val="00A16618"/>
    <w:rsid w:val="00A31F1C"/>
    <w:rsid w:val="00A86458"/>
    <w:rsid w:val="00AB0BAD"/>
    <w:rsid w:val="00AD1D7C"/>
    <w:rsid w:val="00B107E6"/>
    <w:rsid w:val="00B20B29"/>
    <w:rsid w:val="00B27202"/>
    <w:rsid w:val="00B60F1C"/>
    <w:rsid w:val="00B65C43"/>
    <w:rsid w:val="00B92328"/>
    <w:rsid w:val="00B93757"/>
    <w:rsid w:val="00B963D2"/>
    <w:rsid w:val="00BA3AA5"/>
    <w:rsid w:val="00BA7CE6"/>
    <w:rsid w:val="00BB725F"/>
    <w:rsid w:val="00BC2F29"/>
    <w:rsid w:val="00BD3AE0"/>
    <w:rsid w:val="00BD4BAE"/>
    <w:rsid w:val="00BE4080"/>
    <w:rsid w:val="00C15F1B"/>
    <w:rsid w:val="00C22743"/>
    <w:rsid w:val="00C45DD8"/>
    <w:rsid w:val="00C473A1"/>
    <w:rsid w:val="00C558A8"/>
    <w:rsid w:val="00C6262F"/>
    <w:rsid w:val="00C961B4"/>
    <w:rsid w:val="00D079F8"/>
    <w:rsid w:val="00D51C1D"/>
    <w:rsid w:val="00D63223"/>
    <w:rsid w:val="00D8625E"/>
    <w:rsid w:val="00DA62A1"/>
    <w:rsid w:val="00DB2E7A"/>
    <w:rsid w:val="00DF5024"/>
    <w:rsid w:val="00E2508F"/>
    <w:rsid w:val="00E323D0"/>
    <w:rsid w:val="00E34BFA"/>
    <w:rsid w:val="00E60D98"/>
    <w:rsid w:val="00E811C9"/>
    <w:rsid w:val="00EA3FB0"/>
    <w:rsid w:val="00EC0AC8"/>
    <w:rsid w:val="00F15FBF"/>
    <w:rsid w:val="00F41A11"/>
    <w:rsid w:val="00F42493"/>
    <w:rsid w:val="00F45F41"/>
    <w:rsid w:val="00F47E80"/>
    <w:rsid w:val="00F52443"/>
    <w:rsid w:val="00F566C3"/>
    <w:rsid w:val="00F56E24"/>
    <w:rsid w:val="00F60219"/>
    <w:rsid w:val="00F72223"/>
    <w:rsid w:val="00F94C9C"/>
    <w:rsid w:val="00FF22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7C92F9"/>
  <w15:chartTrackingRefBased/>
  <w15:docId w15:val="{F508C6A9-C23A-4031-B6F0-CF6B6BA5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3D2"/>
    <w:pPr>
      <w:spacing w:after="0" w:line="240" w:lineRule="auto"/>
    </w:pPr>
    <w:rPr>
      <w:rFonts w:eastAsia="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63D2"/>
    <w:pPr>
      <w:jc w:val="center"/>
    </w:pPr>
    <w:rPr>
      <w:sz w:val="28"/>
      <w:szCs w:val="20"/>
      <w:lang w:eastAsia="en-US"/>
    </w:rPr>
  </w:style>
  <w:style w:type="character" w:customStyle="1" w:styleId="TitleChar">
    <w:name w:val="Title Char"/>
    <w:basedOn w:val="DefaultParagraphFont"/>
    <w:link w:val="Title"/>
    <w:rsid w:val="00B963D2"/>
    <w:rPr>
      <w:rFonts w:eastAsia="Times New Roman"/>
      <w:szCs w:val="20"/>
    </w:rPr>
  </w:style>
  <w:style w:type="character" w:styleId="Hyperlink">
    <w:name w:val="Hyperlink"/>
    <w:basedOn w:val="DefaultParagraphFont"/>
    <w:uiPriority w:val="99"/>
    <w:unhideWhenUsed/>
    <w:rsid w:val="00B963D2"/>
    <w:rPr>
      <w:color w:val="0000FF"/>
      <w:u w:val="single"/>
    </w:rPr>
  </w:style>
  <w:style w:type="paragraph" w:styleId="Header">
    <w:name w:val="header"/>
    <w:basedOn w:val="Normal"/>
    <w:link w:val="HeaderChar"/>
    <w:uiPriority w:val="99"/>
    <w:unhideWhenUsed/>
    <w:rsid w:val="00B963D2"/>
    <w:pPr>
      <w:tabs>
        <w:tab w:val="center" w:pos="4153"/>
        <w:tab w:val="right" w:pos="8306"/>
      </w:tabs>
    </w:pPr>
  </w:style>
  <w:style w:type="character" w:customStyle="1" w:styleId="HeaderChar">
    <w:name w:val="Header Char"/>
    <w:basedOn w:val="DefaultParagraphFont"/>
    <w:link w:val="Header"/>
    <w:uiPriority w:val="99"/>
    <w:rsid w:val="00B963D2"/>
    <w:rPr>
      <w:rFonts w:eastAsia="Times New Roman"/>
      <w:sz w:val="24"/>
      <w:szCs w:val="24"/>
      <w:lang w:eastAsia="lv-LV"/>
    </w:rPr>
  </w:style>
  <w:style w:type="paragraph" w:styleId="Footer">
    <w:name w:val="footer"/>
    <w:basedOn w:val="Normal"/>
    <w:link w:val="FooterChar"/>
    <w:unhideWhenUsed/>
    <w:rsid w:val="00B963D2"/>
    <w:pPr>
      <w:tabs>
        <w:tab w:val="center" w:pos="4153"/>
        <w:tab w:val="right" w:pos="8306"/>
      </w:tabs>
    </w:pPr>
  </w:style>
  <w:style w:type="character" w:customStyle="1" w:styleId="FooterChar">
    <w:name w:val="Footer Char"/>
    <w:basedOn w:val="DefaultParagraphFont"/>
    <w:link w:val="Footer"/>
    <w:rsid w:val="00B963D2"/>
    <w:rPr>
      <w:rFonts w:eastAsia="Times New Roman"/>
      <w:sz w:val="24"/>
      <w:szCs w:val="24"/>
      <w:lang w:eastAsia="lv-LV"/>
    </w:rPr>
  </w:style>
  <w:style w:type="paragraph" w:customStyle="1" w:styleId="naisf">
    <w:name w:val="naisf"/>
    <w:basedOn w:val="Normal"/>
    <w:rsid w:val="00B963D2"/>
    <w:pPr>
      <w:spacing w:before="100" w:after="100"/>
    </w:pPr>
    <w:rPr>
      <w:szCs w:val="20"/>
    </w:rPr>
  </w:style>
  <w:style w:type="paragraph" w:styleId="ListParagraph">
    <w:name w:val="List Paragraph"/>
    <w:basedOn w:val="Normal"/>
    <w:uiPriority w:val="34"/>
    <w:qFormat/>
    <w:rsid w:val="00B963D2"/>
    <w:pPr>
      <w:ind w:left="720"/>
      <w:contextualSpacing/>
    </w:pPr>
  </w:style>
  <w:style w:type="paragraph" w:customStyle="1" w:styleId="NormalWebCharChar">
    <w:name w:val="Normal (Web) Char Char"/>
    <w:basedOn w:val="Normal"/>
    <w:rsid w:val="00B963D2"/>
    <w:pPr>
      <w:widowControl w:val="0"/>
      <w:suppressAutoHyphens/>
      <w:spacing w:before="280" w:after="280"/>
    </w:pPr>
    <w:rPr>
      <w:color w:val="000000"/>
      <w:sz w:val="20"/>
      <w:szCs w:val="20"/>
      <w:lang w:eastAsia="zh-CN"/>
    </w:rPr>
  </w:style>
  <w:style w:type="paragraph" w:customStyle="1" w:styleId="tv213">
    <w:name w:val="tv213"/>
    <w:basedOn w:val="Normal"/>
    <w:rsid w:val="00B963D2"/>
    <w:pPr>
      <w:spacing w:before="100" w:beforeAutospacing="1" w:after="100" w:afterAutospacing="1"/>
    </w:pPr>
  </w:style>
  <w:style w:type="paragraph" w:styleId="NormalWeb">
    <w:name w:val="Normal (Web)"/>
    <w:basedOn w:val="Normal"/>
    <w:uiPriority w:val="99"/>
    <w:semiHidden/>
    <w:unhideWhenUsed/>
    <w:rsid w:val="00B963D2"/>
    <w:pPr>
      <w:spacing w:before="100" w:beforeAutospacing="1" w:after="100" w:afterAutospacing="1"/>
    </w:pPr>
  </w:style>
  <w:style w:type="paragraph" w:styleId="BalloonText">
    <w:name w:val="Balloon Text"/>
    <w:basedOn w:val="Normal"/>
    <w:link w:val="BalloonTextChar"/>
    <w:uiPriority w:val="99"/>
    <w:semiHidden/>
    <w:unhideWhenUsed/>
    <w:rsid w:val="00C558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8A8"/>
    <w:rPr>
      <w:rFonts w:ascii="Segoe UI" w:eastAsia="Times New Roman" w:hAnsi="Segoe UI" w:cs="Segoe UI"/>
      <w:sz w:val="18"/>
      <w:szCs w:val="18"/>
      <w:lang w:eastAsia="lv-LV"/>
    </w:rPr>
  </w:style>
  <w:style w:type="table" w:styleId="TableGrid">
    <w:name w:val="Table Grid"/>
    <w:basedOn w:val="TableNormal"/>
    <w:uiPriority w:val="39"/>
    <w:rsid w:val="001D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7BBA"/>
    <w:rPr>
      <w:sz w:val="16"/>
      <w:szCs w:val="16"/>
    </w:rPr>
  </w:style>
  <w:style w:type="paragraph" w:styleId="CommentText">
    <w:name w:val="annotation text"/>
    <w:basedOn w:val="Normal"/>
    <w:link w:val="CommentTextChar"/>
    <w:uiPriority w:val="99"/>
    <w:semiHidden/>
    <w:unhideWhenUsed/>
    <w:rsid w:val="003D7BBA"/>
    <w:rPr>
      <w:sz w:val="20"/>
      <w:szCs w:val="20"/>
    </w:rPr>
  </w:style>
  <w:style w:type="character" w:customStyle="1" w:styleId="CommentTextChar">
    <w:name w:val="Comment Text Char"/>
    <w:basedOn w:val="DefaultParagraphFont"/>
    <w:link w:val="CommentText"/>
    <w:uiPriority w:val="99"/>
    <w:semiHidden/>
    <w:rsid w:val="003D7BBA"/>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D7BBA"/>
    <w:rPr>
      <w:b/>
      <w:bCs/>
    </w:rPr>
  </w:style>
  <w:style w:type="character" w:customStyle="1" w:styleId="CommentSubjectChar">
    <w:name w:val="Comment Subject Char"/>
    <w:basedOn w:val="CommentTextChar"/>
    <w:link w:val="CommentSubject"/>
    <w:uiPriority w:val="99"/>
    <w:semiHidden/>
    <w:rsid w:val="003D7BBA"/>
    <w:rPr>
      <w:rFonts w:eastAsia="Times New Roman"/>
      <w:b/>
      <w:bCs/>
      <w:sz w:val="20"/>
      <w:szCs w:val="20"/>
      <w:lang w:eastAsia="lv-LV"/>
    </w:rPr>
  </w:style>
  <w:style w:type="character" w:customStyle="1" w:styleId="Neatrisintapieminana1">
    <w:name w:val="Neatrisināta pieminēšana1"/>
    <w:basedOn w:val="DefaultParagraphFont"/>
    <w:uiPriority w:val="99"/>
    <w:semiHidden/>
    <w:unhideWhenUsed/>
    <w:rsid w:val="00BD3AE0"/>
    <w:rPr>
      <w:color w:val="605E5C"/>
      <w:shd w:val="clear" w:color="auto" w:fill="E1DFDD"/>
    </w:rPr>
  </w:style>
  <w:style w:type="paragraph" w:styleId="Revision">
    <w:name w:val="Revision"/>
    <w:hidden/>
    <w:uiPriority w:val="99"/>
    <w:semiHidden/>
    <w:rsid w:val="00265C8C"/>
    <w:pPr>
      <w:spacing w:after="0" w:line="240" w:lineRule="auto"/>
    </w:pPr>
    <w:rPr>
      <w:rFonts w:eastAsia="Times New Roman"/>
      <w:sz w:val="24"/>
      <w:szCs w:val="24"/>
      <w:lang w:eastAsia="lv-LV"/>
    </w:rPr>
  </w:style>
  <w:style w:type="character" w:styleId="UnresolvedMention">
    <w:name w:val="Unresolved Mention"/>
    <w:basedOn w:val="DefaultParagraphFont"/>
    <w:uiPriority w:val="99"/>
    <w:semiHidden/>
    <w:unhideWhenUsed/>
    <w:rsid w:val="001E4B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67440">
      <w:bodyDiv w:val="1"/>
      <w:marLeft w:val="0"/>
      <w:marRight w:val="0"/>
      <w:marTop w:val="0"/>
      <w:marBottom w:val="0"/>
      <w:divBdr>
        <w:top w:val="none" w:sz="0" w:space="0" w:color="auto"/>
        <w:left w:val="none" w:sz="0" w:space="0" w:color="auto"/>
        <w:bottom w:val="none" w:sz="0" w:space="0" w:color="auto"/>
        <w:right w:val="none" w:sz="0" w:space="0" w:color="auto"/>
      </w:divBdr>
    </w:div>
    <w:div w:id="121873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95/46/oj/?locale=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eli/reg/2016/679/oj/?locale=LV" TargetMode="External"/><Relationship Id="rId12" Type="http://schemas.openxmlformats.org/officeDocument/2006/relationships/hyperlink" Target="mailto:kristine.stone@pmlp.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k.gov.lv/content/ministru-kabineta-diskusiju-dokument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em.gov.lv/lat/sadarbiba_ar_nvo/diskusiju_dokumenti/" TargetMode="External"/><Relationship Id="rId4" Type="http://schemas.openxmlformats.org/officeDocument/2006/relationships/webSettings" Target="webSettings.xml"/><Relationship Id="rId9" Type="http://schemas.openxmlformats.org/officeDocument/2006/relationships/hyperlink" Target="http://www.pmlp.gov.lv/lv/sakums/tiesibu-akti/tiesibu-aktu-projekt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8</Pages>
  <Words>2095</Words>
  <Characters>14023</Characters>
  <Application>Microsoft Office Word</Application>
  <DocSecurity>0</DocSecurity>
  <Lines>467</Lines>
  <Paragraphs>233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Aija Talmane</cp:lastModifiedBy>
  <cp:revision>17</cp:revision>
  <cp:lastPrinted>2019-01-21T07:13:00Z</cp:lastPrinted>
  <dcterms:created xsi:type="dcterms:W3CDTF">2019-03-04T09:54:00Z</dcterms:created>
  <dcterms:modified xsi:type="dcterms:W3CDTF">2019-06-28T07:24:00Z</dcterms:modified>
</cp:coreProperties>
</file>