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D9F" w:rsidRPr="00A33594" w:rsidRDefault="00965309" w:rsidP="00DF0D9F">
      <w:pPr>
        <w:pStyle w:val="Footer"/>
        <w:ind w:firstLine="0"/>
        <w:jc w:val="center"/>
        <w:rPr>
          <w:b/>
          <w:szCs w:val="28"/>
        </w:rPr>
      </w:pPr>
      <w:r w:rsidRPr="00A33594">
        <w:rPr>
          <w:b/>
          <w:szCs w:val="28"/>
        </w:rPr>
        <w:t>Ministru kabineta noteikumu projekta</w:t>
      </w:r>
      <w:r w:rsidR="000C6111" w:rsidRPr="00A33594">
        <w:rPr>
          <w:b/>
          <w:szCs w:val="28"/>
        </w:rPr>
        <w:t xml:space="preserve"> </w:t>
      </w:r>
      <w:r w:rsidR="00DF0D9F" w:rsidRPr="00A33594">
        <w:rPr>
          <w:b/>
          <w:szCs w:val="28"/>
        </w:rPr>
        <w:t>“</w:t>
      </w:r>
      <w:r w:rsidR="00254C8D" w:rsidRPr="00A33594">
        <w:rPr>
          <w:b/>
          <w:szCs w:val="28"/>
        </w:rPr>
        <w:t xml:space="preserve">Grozījumi Ministru kabineta 2012.gada 11.decembra noteikumos Nr.839 </w:t>
      </w:r>
      <w:r w:rsidR="00254C8D" w:rsidRPr="00A33594">
        <w:rPr>
          <w:b/>
          <w:szCs w:val="28"/>
          <w:lang w:val="en-US"/>
        </w:rPr>
        <w:t>“</w:t>
      </w:r>
      <w:r w:rsidR="00254C8D" w:rsidRPr="00A33594">
        <w:rPr>
          <w:b/>
          <w:szCs w:val="28"/>
        </w:rPr>
        <w:t>Nodrošinājuma valsts aģentūras nolikums”</w:t>
      </w:r>
      <w:r w:rsidR="00DF0D9F" w:rsidRPr="00A33594">
        <w:rPr>
          <w:b/>
          <w:szCs w:val="28"/>
        </w:rPr>
        <w:t>” sākotnējās ietekmes novērtējuma ziņojums (anotācija)</w:t>
      </w:r>
    </w:p>
    <w:p w:rsidR="00965309" w:rsidRPr="00A33594" w:rsidRDefault="00DF0D9F" w:rsidP="00DF0D9F">
      <w:pPr>
        <w:jc w:val="center"/>
        <w:rPr>
          <w:b/>
          <w:bCs/>
          <w:szCs w:val="28"/>
          <w:lang w:eastAsia="lv-LV"/>
        </w:rPr>
      </w:pPr>
      <w:r w:rsidRPr="00A33594">
        <w:rPr>
          <w:b/>
          <w:bCs/>
          <w:szCs w:val="28"/>
          <w:lang w:eastAsia="lv-LV"/>
        </w:rPr>
        <w:t xml:space="preserve"> </w:t>
      </w:r>
    </w:p>
    <w:tbl>
      <w:tblPr>
        <w:tblW w:w="5147"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569"/>
        <w:gridCol w:w="5818"/>
      </w:tblGrid>
      <w:tr w:rsidR="006344D1" w:rsidRPr="00A33594" w:rsidTr="00772BF6">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6344D1" w:rsidRPr="00A33594" w:rsidRDefault="006344D1" w:rsidP="001B36A4">
            <w:pPr>
              <w:spacing w:before="100" w:beforeAutospacing="1" w:after="100" w:afterAutospacing="1" w:line="293" w:lineRule="atLeast"/>
              <w:jc w:val="center"/>
              <w:rPr>
                <w:rFonts w:eastAsia="Times New Roman"/>
                <w:b/>
                <w:bCs/>
                <w:szCs w:val="28"/>
                <w:lang w:eastAsia="lv-LV"/>
              </w:rPr>
            </w:pPr>
            <w:r w:rsidRPr="00A33594">
              <w:rPr>
                <w:rFonts w:eastAsia="Times New Roman"/>
                <w:b/>
                <w:bCs/>
                <w:szCs w:val="28"/>
                <w:lang w:eastAsia="lv-LV"/>
              </w:rPr>
              <w:t>Tiesību akta projekta anotācijas kopsavilkums</w:t>
            </w:r>
          </w:p>
        </w:tc>
      </w:tr>
      <w:tr w:rsidR="006344D1" w:rsidRPr="00A33594" w:rsidTr="00772BF6">
        <w:tc>
          <w:tcPr>
            <w:tcW w:w="1901" w:type="pct"/>
            <w:tcBorders>
              <w:top w:val="outset" w:sz="6" w:space="0" w:color="414142"/>
              <w:left w:val="outset" w:sz="6" w:space="0" w:color="414142"/>
              <w:bottom w:val="outset" w:sz="6" w:space="0" w:color="414142"/>
              <w:right w:val="outset" w:sz="6" w:space="0" w:color="414142"/>
            </w:tcBorders>
            <w:hideMark/>
          </w:tcPr>
          <w:p w:rsidR="006344D1" w:rsidRPr="00A33594" w:rsidRDefault="006344D1" w:rsidP="00217E50">
            <w:pPr>
              <w:ind w:firstLine="0"/>
              <w:rPr>
                <w:rFonts w:eastAsia="Times New Roman"/>
                <w:szCs w:val="28"/>
                <w:lang w:eastAsia="lv-LV"/>
              </w:rPr>
            </w:pPr>
            <w:r w:rsidRPr="00A33594">
              <w:rPr>
                <w:rFonts w:eastAsia="Times New Roman"/>
                <w:szCs w:val="28"/>
                <w:lang w:eastAsia="lv-LV"/>
              </w:rPr>
              <w:t>Mērķis, risinājums un projekta spēkā stāšanās laiks (500 zīmes bez atstarpēm)</w:t>
            </w:r>
          </w:p>
        </w:tc>
        <w:tc>
          <w:tcPr>
            <w:tcW w:w="3099" w:type="pct"/>
            <w:tcBorders>
              <w:top w:val="outset" w:sz="6" w:space="0" w:color="414142"/>
              <w:left w:val="outset" w:sz="6" w:space="0" w:color="414142"/>
              <w:bottom w:val="outset" w:sz="6" w:space="0" w:color="414142"/>
              <w:right w:val="outset" w:sz="6" w:space="0" w:color="414142"/>
            </w:tcBorders>
            <w:hideMark/>
          </w:tcPr>
          <w:p w:rsidR="006344D1" w:rsidRPr="00A33594" w:rsidRDefault="003C083D" w:rsidP="0034432D">
            <w:pPr>
              <w:ind w:firstLine="409"/>
              <w:rPr>
                <w:szCs w:val="28"/>
              </w:rPr>
            </w:pPr>
            <w:r w:rsidRPr="00A33594">
              <w:rPr>
                <w:szCs w:val="28"/>
              </w:rPr>
              <w:t>Ministru kabineta noteikumu p</w:t>
            </w:r>
            <w:r w:rsidR="002060AC" w:rsidRPr="00A33594">
              <w:rPr>
                <w:szCs w:val="28"/>
              </w:rPr>
              <w:t xml:space="preserve">rojekta </w:t>
            </w:r>
            <w:r w:rsidRPr="00A33594">
              <w:rPr>
                <w:szCs w:val="28"/>
              </w:rPr>
              <w:t xml:space="preserve">(turpmāk – projekts) </w:t>
            </w:r>
            <w:r w:rsidR="002060AC" w:rsidRPr="00A33594">
              <w:rPr>
                <w:szCs w:val="28"/>
              </w:rPr>
              <w:t>m</w:t>
            </w:r>
            <w:r w:rsidR="00F17B02" w:rsidRPr="00A33594">
              <w:rPr>
                <w:szCs w:val="28"/>
              </w:rPr>
              <w:t xml:space="preserve">ērķis ir </w:t>
            </w:r>
            <w:r w:rsidR="004A63EA" w:rsidRPr="00A33594">
              <w:rPr>
                <w:szCs w:val="28"/>
              </w:rPr>
              <w:t>precizēt</w:t>
            </w:r>
            <w:r w:rsidR="006344D1" w:rsidRPr="00A33594">
              <w:rPr>
                <w:szCs w:val="28"/>
              </w:rPr>
              <w:t xml:space="preserve"> </w:t>
            </w:r>
            <w:r w:rsidR="003B1FCF" w:rsidRPr="00A33594">
              <w:rPr>
                <w:szCs w:val="28"/>
              </w:rPr>
              <w:t xml:space="preserve">Nodrošinājuma valsts aģentūras (turpmāk – aģentūra) </w:t>
            </w:r>
            <w:r w:rsidR="00F17B02" w:rsidRPr="00A33594">
              <w:rPr>
                <w:szCs w:val="28"/>
              </w:rPr>
              <w:t>funkcijas un uzdevumus valsts materiālo rezervju jomā</w:t>
            </w:r>
            <w:r w:rsidR="009F2EF3" w:rsidRPr="00A33594">
              <w:rPr>
                <w:szCs w:val="28"/>
              </w:rPr>
              <w:t xml:space="preserve"> atbilstoši Iekšlietu ministrijas deleģējumam</w:t>
            </w:r>
            <w:r w:rsidR="006B76F1" w:rsidRPr="00A33594">
              <w:rPr>
                <w:szCs w:val="28"/>
              </w:rPr>
              <w:t>, lai nodrošinātu valsts materiālo rezervju veidošanu un pārvaldīšanu iekšlietu nozarē</w:t>
            </w:r>
            <w:r w:rsidR="008F49EF" w:rsidRPr="00A33594">
              <w:rPr>
                <w:szCs w:val="28"/>
              </w:rPr>
              <w:t xml:space="preserve"> atbildoši Valsts materiālo rezervju likumā noteiktajam.</w:t>
            </w:r>
          </w:p>
          <w:p w:rsidR="00EE75C8" w:rsidRPr="00A33594" w:rsidRDefault="005B7E59" w:rsidP="005B7E59">
            <w:pPr>
              <w:ind w:firstLine="409"/>
              <w:rPr>
                <w:szCs w:val="28"/>
              </w:rPr>
            </w:pPr>
            <w:r w:rsidRPr="00A33594">
              <w:rPr>
                <w:szCs w:val="28"/>
              </w:rPr>
              <w:t>P</w:t>
            </w:r>
            <w:r w:rsidR="002422C6" w:rsidRPr="00A33594">
              <w:rPr>
                <w:szCs w:val="28"/>
              </w:rPr>
              <w:t>rojekts stāsies spēkā atbilstoši Oficiālo publikāciju un tiesiskās informācijas likumā noteiktajai kārtībai.</w:t>
            </w:r>
          </w:p>
        </w:tc>
      </w:tr>
    </w:tbl>
    <w:p w:rsidR="006344D1" w:rsidRPr="00A33594" w:rsidRDefault="006344D1" w:rsidP="00DF0D9F">
      <w:pPr>
        <w:jc w:val="center"/>
        <w:rPr>
          <w:szCs w:val="28"/>
        </w:rPr>
      </w:pPr>
    </w:p>
    <w:tbl>
      <w:tblPr>
        <w:tblStyle w:val="TableGrid"/>
        <w:tblpPr w:leftFromText="180" w:rightFromText="180" w:vertAnchor="text" w:tblpXSpec="right" w:tblpY="1"/>
        <w:tblOverlap w:val="never"/>
        <w:tblW w:w="5061" w:type="pct"/>
        <w:tblLook w:val="00A0" w:firstRow="1" w:lastRow="0" w:firstColumn="1" w:lastColumn="0" w:noHBand="0" w:noVBand="0"/>
      </w:tblPr>
      <w:tblGrid>
        <w:gridCol w:w="528"/>
        <w:gridCol w:w="3053"/>
        <w:gridCol w:w="5819"/>
      </w:tblGrid>
      <w:tr w:rsidR="00965309" w:rsidRPr="00A33594" w:rsidTr="00A07D4D">
        <w:trPr>
          <w:trHeight w:val="405"/>
        </w:trPr>
        <w:tc>
          <w:tcPr>
            <w:tcW w:w="5000" w:type="pct"/>
            <w:gridSpan w:val="3"/>
          </w:tcPr>
          <w:p w:rsidR="00965309" w:rsidRPr="00A33594" w:rsidRDefault="00965309" w:rsidP="00217FB7">
            <w:pPr>
              <w:spacing w:before="100" w:beforeAutospacing="1" w:after="100" w:afterAutospacing="1"/>
              <w:ind w:firstLine="0"/>
              <w:jc w:val="center"/>
              <w:rPr>
                <w:b/>
                <w:bCs/>
                <w:szCs w:val="28"/>
                <w:lang w:eastAsia="lv-LV"/>
              </w:rPr>
            </w:pPr>
            <w:r w:rsidRPr="00A33594">
              <w:rPr>
                <w:b/>
                <w:bCs/>
                <w:szCs w:val="28"/>
                <w:lang w:eastAsia="lv-LV"/>
              </w:rPr>
              <w:t>I. Tiesību akta projekta izstrādes nepieciešamība</w:t>
            </w:r>
          </w:p>
        </w:tc>
      </w:tr>
      <w:tr w:rsidR="00965309" w:rsidRPr="00A33594" w:rsidTr="00A07D4D">
        <w:trPr>
          <w:trHeight w:val="405"/>
        </w:trPr>
        <w:tc>
          <w:tcPr>
            <w:tcW w:w="281" w:type="pct"/>
          </w:tcPr>
          <w:p w:rsidR="00965309" w:rsidRPr="00A33594" w:rsidRDefault="00965309" w:rsidP="00217FB7">
            <w:pPr>
              <w:spacing w:before="100" w:beforeAutospacing="1" w:after="100" w:afterAutospacing="1"/>
              <w:ind w:firstLine="0"/>
              <w:jc w:val="center"/>
              <w:rPr>
                <w:szCs w:val="28"/>
                <w:lang w:eastAsia="lv-LV"/>
              </w:rPr>
            </w:pPr>
            <w:r w:rsidRPr="00A33594">
              <w:rPr>
                <w:szCs w:val="28"/>
                <w:lang w:eastAsia="lv-LV"/>
              </w:rPr>
              <w:t>1.</w:t>
            </w:r>
          </w:p>
        </w:tc>
        <w:tc>
          <w:tcPr>
            <w:tcW w:w="1624" w:type="pct"/>
          </w:tcPr>
          <w:p w:rsidR="00965309" w:rsidRPr="00A33594" w:rsidRDefault="00965309" w:rsidP="00217FB7">
            <w:pPr>
              <w:ind w:firstLine="0"/>
              <w:jc w:val="left"/>
              <w:rPr>
                <w:szCs w:val="28"/>
                <w:lang w:eastAsia="lv-LV"/>
              </w:rPr>
            </w:pPr>
            <w:r w:rsidRPr="00A33594">
              <w:rPr>
                <w:szCs w:val="28"/>
                <w:lang w:eastAsia="lv-LV"/>
              </w:rPr>
              <w:t>Pamatojums</w:t>
            </w:r>
          </w:p>
        </w:tc>
        <w:tc>
          <w:tcPr>
            <w:tcW w:w="3095" w:type="pct"/>
          </w:tcPr>
          <w:p w:rsidR="004E0B7B" w:rsidRPr="00A33594" w:rsidRDefault="004E0B7B" w:rsidP="004E0B7B">
            <w:pPr>
              <w:pStyle w:val="Heading5"/>
              <w:ind w:firstLine="388"/>
              <w:jc w:val="both"/>
              <w:rPr>
                <w:b w:val="0"/>
              </w:rPr>
            </w:pPr>
            <w:r w:rsidRPr="00A33594">
              <w:rPr>
                <w:b w:val="0"/>
              </w:rPr>
              <w:t>Valsts pārvaldes iekārtas likuma 13.pants, 16.panta pirmā un otrā daļa.</w:t>
            </w:r>
          </w:p>
          <w:p w:rsidR="00392B26" w:rsidRPr="00A33594" w:rsidRDefault="00392B26" w:rsidP="0034432D">
            <w:pPr>
              <w:pStyle w:val="Heading5"/>
              <w:ind w:firstLine="388"/>
              <w:jc w:val="both"/>
              <w:rPr>
                <w:b w:val="0"/>
              </w:rPr>
            </w:pPr>
            <w:r w:rsidRPr="00A33594">
              <w:rPr>
                <w:b w:val="0"/>
              </w:rPr>
              <w:t>Valsts materiālo rezervju likums, kas stājās spēkā 2019.gada 1.janvārī.</w:t>
            </w:r>
          </w:p>
          <w:p w:rsidR="005606CA" w:rsidRPr="00A33594" w:rsidRDefault="000B39DB" w:rsidP="005606CA">
            <w:pPr>
              <w:pStyle w:val="Heading5"/>
              <w:ind w:firstLine="388"/>
              <w:jc w:val="both"/>
              <w:rPr>
                <w:b w:val="0"/>
              </w:rPr>
            </w:pPr>
            <w:r w:rsidRPr="00A33594">
              <w:rPr>
                <w:b w:val="0"/>
              </w:rPr>
              <w:t xml:space="preserve">Ministru kabineta 2003.gada 29.aprīļa noteikumu Nr.240 </w:t>
            </w:r>
            <w:r w:rsidR="00887746" w:rsidRPr="00A33594">
              <w:rPr>
                <w:b w:val="0"/>
              </w:rPr>
              <w:t>“</w:t>
            </w:r>
            <w:r w:rsidRPr="00A33594">
              <w:rPr>
                <w:b w:val="0"/>
              </w:rPr>
              <w:t>Iekšlietu ministrijas nolikums” 4.2.apakšpunkts.</w:t>
            </w:r>
          </w:p>
          <w:p w:rsidR="006156D9" w:rsidRPr="00A33594" w:rsidRDefault="006156D9" w:rsidP="005606CA">
            <w:pPr>
              <w:pStyle w:val="Heading5"/>
              <w:ind w:firstLine="388"/>
              <w:jc w:val="both"/>
              <w:rPr>
                <w:b w:val="0"/>
              </w:rPr>
            </w:pPr>
            <w:r w:rsidRPr="00A33594">
              <w:rPr>
                <w:b w:val="0"/>
              </w:rPr>
              <w:t>Iekšlietu ministrijas 2019.gada 21.marta rīkojum</w:t>
            </w:r>
            <w:r w:rsidR="00DE546C" w:rsidRPr="00A33594">
              <w:rPr>
                <w:b w:val="0"/>
              </w:rPr>
              <w:t>a</w:t>
            </w:r>
            <w:r w:rsidRPr="00A33594">
              <w:rPr>
                <w:b w:val="0"/>
              </w:rPr>
              <w:t xml:space="preserve"> Nr.1-12/401 </w:t>
            </w:r>
            <w:r w:rsidR="00887746" w:rsidRPr="00A33594">
              <w:rPr>
                <w:b w:val="0"/>
              </w:rPr>
              <w:t>“</w:t>
            </w:r>
            <w:r w:rsidRPr="00A33594">
              <w:rPr>
                <w:b w:val="0"/>
              </w:rPr>
              <w:t>Par valsts materiālo rezervju veidošanu un pārvaldīšanu</w:t>
            </w:r>
            <w:r w:rsidR="00DE546C" w:rsidRPr="00A33594">
              <w:rPr>
                <w:b w:val="0"/>
              </w:rPr>
              <w:t>” 3.punkts</w:t>
            </w:r>
            <w:r w:rsidRPr="00A33594">
              <w:rPr>
                <w:b w:val="0"/>
              </w:rPr>
              <w:t>.</w:t>
            </w:r>
          </w:p>
        </w:tc>
      </w:tr>
      <w:tr w:rsidR="00965309" w:rsidRPr="00A33594" w:rsidTr="00B610F8">
        <w:trPr>
          <w:trHeight w:val="1408"/>
        </w:trPr>
        <w:tc>
          <w:tcPr>
            <w:tcW w:w="281" w:type="pct"/>
          </w:tcPr>
          <w:p w:rsidR="00965309" w:rsidRPr="00A33594" w:rsidRDefault="00965309" w:rsidP="00217FB7">
            <w:pPr>
              <w:spacing w:before="100" w:beforeAutospacing="1" w:after="100" w:afterAutospacing="1"/>
              <w:ind w:firstLine="0"/>
              <w:jc w:val="center"/>
              <w:rPr>
                <w:szCs w:val="28"/>
                <w:lang w:eastAsia="lv-LV"/>
              </w:rPr>
            </w:pPr>
            <w:r w:rsidRPr="00A33594">
              <w:rPr>
                <w:szCs w:val="28"/>
                <w:lang w:eastAsia="lv-LV"/>
              </w:rPr>
              <w:t>2.</w:t>
            </w:r>
          </w:p>
        </w:tc>
        <w:tc>
          <w:tcPr>
            <w:tcW w:w="1624" w:type="pct"/>
          </w:tcPr>
          <w:p w:rsidR="00965309" w:rsidRPr="00A33594" w:rsidRDefault="00965309" w:rsidP="00217FB7">
            <w:pPr>
              <w:ind w:firstLine="0"/>
              <w:jc w:val="left"/>
              <w:rPr>
                <w:szCs w:val="28"/>
                <w:lang w:eastAsia="lv-LV"/>
              </w:rPr>
            </w:pPr>
            <w:r w:rsidRPr="00A33594">
              <w:rPr>
                <w:szCs w:val="28"/>
                <w:lang w:eastAsia="lv-LV"/>
              </w:rPr>
              <w:t>Pašreizējā situācija un problēmas, kuru risināšanai tiesību akta projekts izstrādāts, tiesiskā regulējuma mērķis un būtība</w:t>
            </w:r>
          </w:p>
        </w:tc>
        <w:tc>
          <w:tcPr>
            <w:tcW w:w="3095" w:type="pct"/>
          </w:tcPr>
          <w:p w:rsidR="00BD0AFB" w:rsidRPr="00A33594" w:rsidRDefault="00344721" w:rsidP="00BD0AFB">
            <w:pPr>
              <w:ind w:firstLine="388"/>
              <w:rPr>
                <w:iCs/>
                <w:szCs w:val="28"/>
              </w:rPr>
            </w:pPr>
            <w:r w:rsidRPr="00A33594">
              <w:rPr>
                <w:iCs/>
                <w:szCs w:val="28"/>
              </w:rPr>
              <w:t>Ministru kabineta 2012.gada 11.decembra noteikumi Nr.839 “Nodrošinājuma valsts aģentūras nolikums” (turpmāk – nolikums) nosaka aģentūras funkcijas, uzdevumus un kompetenci.</w:t>
            </w:r>
            <w:r w:rsidR="0034432D" w:rsidRPr="00A33594">
              <w:rPr>
                <w:iCs/>
                <w:szCs w:val="28"/>
              </w:rPr>
              <w:t xml:space="preserve"> </w:t>
            </w:r>
            <w:r w:rsidR="00DD0D5E" w:rsidRPr="00A33594">
              <w:rPr>
                <w:iCs/>
                <w:szCs w:val="28"/>
              </w:rPr>
              <w:t>A</w:t>
            </w:r>
            <w:r w:rsidR="00395519" w:rsidRPr="00A33594">
              <w:rPr>
                <w:iCs/>
                <w:szCs w:val="28"/>
              </w:rPr>
              <w:t>ģentūras funkcij</w:t>
            </w:r>
            <w:r w:rsidR="00DD0D5E" w:rsidRPr="00A33594">
              <w:rPr>
                <w:iCs/>
                <w:szCs w:val="28"/>
              </w:rPr>
              <w:t>a valsts materiālo rezervju jomā</w:t>
            </w:r>
            <w:r w:rsidR="00395519" w:rsidRPr="00A33594">
              <w:rPr>
                <w:iCs/>
                <w:szCs w:val="28"/>
              </w:rPr>
              <w:t xml:space="preserve"> ir organizēt valsts materiālo rezervju iegādi, uzglabāšanu, atjaunināšanu, uzskaiti, realizāciju, izsniegšanu, iznomāšanu, aizdošanu, norakstīšanu, pārstrādi (utilizāciju) vai apglabāšanu.</w:t>
            </w:r>
            <w:r w:rsidR="00BD0AFB" w:rsidRPr="00A33594">
              <w:rPr>
                <w:iCs/>
                <w:szCs w:val="28"/>
              </w:rPr>
              <w:t xml:space="preserve"> Lai īstenotu minēto funkciju, aģentūrai noteikts </w:t>
            </w:r>
            <w:r w:rsidR="00FB1BC7" w:rsidRPr="00A33594">
              <w:rPr>
                <w:iCs/>
                <w:szCs w:val="28"/>
              </w:rPr>
              <w:t xml:space="preserve">valsts </w:t>
            </w:r>
            <w:r w:rsidR="00BD0AFB" w:rsidRPr="00A33594">
              <w:rPr>
                <w:iCs/>
                <w:szCs w:val="28"/>
              </w:rPr>
              <w:t>materiālo rezervju pārvaldīšanas jomā:</w:t>
            </w:r>
          </w:p>
          <w:p w:rsidR="00FA6BC7" w:rsidRPr="00A33594" w:rsidRDefault="00FA6BC7" w:rsidP="00FA6BC7">
            <w:pPr>
              <w:pStyle w:val="ListParagraph"/>
              <w:numPr>
                <w:ilvl w:val="0"/>
                <w:numId w:val="15"/>
              </w:numPr>
              <w:rPr>
                <w:iCs/>
                <w:szCs w:val="28"/>
              </w:rPr>
            </w:pPr>
            <w:r w:rsidRPr="00A33594">
              <w:rPr>
                <w:iCs/>
                <w:szCs w:val="28"/>
              </w:rPr>
              <w:t xml:space="preserve">uzskaitīt, uzglabāt, izsniegt, iznomāt un aizdot </w:t>
            </w:r>
            <w:r w:rsidR="00E03D19" w:rsidRPr="00A33594">
              <w:rPr>
                <w:iCs/>
                <w:szCs w:val="28"/>
              </w:rPr>
              <w:t xml:space="preserve">valsts </w:t>
            </w:r>
            <w:r w:rsidRPr="00A33594">
              <w:rPr>
                <w:iCs/>
                <w:szCs w:val="28"/>
              </w:rPr>
              <w:t xml:space="preserve">materiālās rezerves un </w:t>
            </w:r>
            <w:r w:rsidRPr="00A33594">
              <w:rPr>
                <w:iCs/>
                <w:szCs w:val="28"/>
              </w:rPr>
              <w:lastRenderedPageBreak/>
              <w:t xml:space="preserve">sagatavot ikgadējo pārskatu par darbībām ar </w:t>
            </w:r>
            <w:r w:rsidR="00E03D19" w:rsidRPr="00A33594">
              <w:rPr>
                <w:iCs/>
                <w:szCs w:val="28"/>
              </w:rPr>
              <w:t xml:space="preserve">valsts </w:t>
            </w:r>
            <w:r w:rsidRPr="00A33594">
              <w:rPr>
                <w:iCs/>
                <w:szCs w:val="28"/>
              </w:rPr>
              <w:t>materiālajām rezervēm;</w:t>
            </w:r>
          </w:p>
          <w:p w:rsidR="00FA6BC7" w:rsidRPr="00A33594" w:rsidRDefault="006B33DD" w:rsidP="00FA6BC7">
            <w:pPr>
              <w:pStyle w:val="ListParagraph"/>
              <w:numPr>
                <w:ilvl w:val="0"/>
                <w:numId w:val="15"/>
              </w:numPr>
              <w:rPr>
                <w:iCs/>
                <w:szCs w:val="28"/>
              </w:rPr>
            </w:pPr>
            <w:r w:rsidRPr="00A33594">
              <w:rPr>
                <w:iCs/>
                <w:szCs w:val="28"/>
              </w:rPr>
              <w:t>i</w:t>
            </w:r>
            <w:r w:rsidR="00FA6BC7" w:rsidRPr="00A33594">
              <w:rPr>
                <w:iCs/>
                <w:szCs w:val="28"/>
              </w:rPr>
              <w:t xml:space="preserve">zvērtēt atbildīgo </w:t>
            </w:r>
            <w:r w:rsidR="00892D34" w:rsidRPr="00A33594">
              <w:rPr>
                <w:iCs/>
                <w:szCs w:val="28"/>
              </w:rPr>
              <w:t xml:space="preserve">valsts </w:t>
            </w:r>
            <w:r w:rsidR="00FA6BC7" w:rsidRPr="00A33594">
              <w:rPr>
                <w:iCs/>
                <w:szCs w:val="28"/>
              </w:rPr>
              <w:t xml:space="preserve">materiālo rezervju glabātāju iesniegtos priekšlikumus un sagatavot </w:t>
            </w:r>
            <w:r w:rsidR="00892D34" w:rsidRPr="00A33594">
              <w:rPr>
                <w:iCs/>
                <w:szCs w:val="28"/>
              </w:rPr>
              <w:t xml:space="preserve">valsts </w:t>
            </w:r>
            <w:r w:rsidR="00FA6BC7" w:rsidRPr="00A33594">
              <w:rPr>
                <w:iCs/>
                <w:szCs w:val="28"/>
              </w:rPr>
              <w:t>materiālo rezervju atjaunināšanas plānu kārtējam gadam;</w:t>
            </w:r>
          </w:p>
          <w:p w:rsidR="00FA6BC7" w:rsidRPr="00A33594" w:rsidRDefault="00892D34" w:rsidP="00FA6BC7">
            <w:pPr>
              <w:pStyle w:val="ListParagraph"/>
              <w:numPr>
                <w:ilvl w:val="0"/>
                <w:numId w:val="15"/>
              </w:numPr>
              <w:rPr>
                <w:iCs/>
                <w:szCs w:val="28"/>
              </w:rPr>
            </w:pPr>
            <w:r w:rsidRPr="00A33594">
              <w:rPr>
                <w:iCs/>
                <w:szCs w:val="28"/>
              </w:rPr>
              <w:t>v</w:t>
            </w:r>
            <w:r w:rsidR="00FA6BC7" w:rsidRPr="00A33594">
              <w:rPr>
                <w:iCs/>
                <w:szCs w:val="28"/>
              </w:rPr>
              <w:t xml:space="preserve">eikt un nodrošināt </w:t>
            </w:r>
            <w:r w:rsidR="00412E17" w:rsidRPr="00A33594">
              <w:rPr>
                <w:iCs/>
                <w:szCs w:val="28"/>
              </w:rPr>
              <w:t xml:space="preserve">valsts </w:t>
            </w:r>
            <w:r w:rsidR="00FA6BC7" w:rsidRPr="00A33594">
              <w:rPr>
                <w:iCs/>
                <w:szCs w:val="28"/>
              </w:rPr>
              <w:t xml:space="preserve">materiālo rezervju atjaunināšanu, tostarp novērtēt un noteikt </w:t>
            </w:r>
            <w:r w:rsidR="00412E17" w:rsidRPr="00A33594">
              <w:rPr>
                <w:iCs/>
                <w:szCs w:val="28"/>
              </w:rPr>
              <w:t xml:space="preserve">valsts </w:t>
            </w:r>
            <w:r w:rsidR="00FA6BC7" w:rsidRPr="00A33594">
              <w:rPr>
                <w:iCs/>
                <w:szCs w:val="28"/>
              </w:rPr>
              <w:t xml:space="preserve">materiālo rezervju nosacīto cenu, sagatavot atzinumu par </w:t>
            </w:r>
            <w:r w:rsidR="00412E17" w:rsidRPr="00A33594">
              <w:rPr>
                <w:iCs/>
                <w:szCs w:val="28"/>
              </w:rPr>
              <w:t xml:space="preserve">valsts </w:t>
            </w:r>
            <w:r w:rsidR="00FA6BC7" w:rsidRPr="00A33594">
              <w:rPr>
                <w:iCs/>
                <w:szCs w:val="28"/>
              </w:rPr>
              <w:t>materiālo rezervju iespējamo realizāciju;</w:t>
            </w:r>
          </w:p>
          <w:p w:rsidR="00FA6BC7" w:rsidRPr="00A33594" w:rsidRDefault="00473F09" w:rsidP="00FA6BC7">
            <w:pPr>
              <w:pStyle w:val="ListParagraph"/>
              <w:numPr>
                <w:ilvl w:val="0"/>
                <w:numId w:val="15"/>
              </w:numPr>
              <w:rPr>
                <w:iCs/>
                <w:szCs w:val="28"/>
              </w:rPr>
            </w:pPr>
            <w:r w:rsidRPr="00A33594">
              <w:rPr>
                <w:iCs/>
                <w:szCs w:val="28"/>
              </w:rPr>
              <w:t>i</w:t>
            </w:r>
            <w:r w:rsidR="00FA6BC7" w:rsidRPr="00A33594">
              <w:rPr>
                <w:iCs/>
                <w:szCs w:val="28"/>
              </w:rPr>
              <w:t xml:space="preserve">zvērtēt un pieņemt lēmumu par </w:t>
            </w:r>
            <w:r w:rsidRPr="00A33594">
              <w:rPr>
                <w:iCs/>
                <w:szCs w:val="28"/>
              </w:rPr>
              <w:t xml:space="preserve">valsts </w:t>
            </w:r>
            <w:r w:rsidR="00FA6BC7" w:rsidRPr="00A33594">
              <w:rPr>
                <w:iCs/>
                <w:szCs w:val="28"/>
              </w:rPr>
              <w:t xml:space="preserve">materiālo rezervju atbildīgo glabātāju priekšlikumiem </w:t>
            </w:r>
            <w:r w:rsidRPr="00A33594">
              <w:rPr>
                <w:iCs/>
                <w:szCs w:val="28"/>
              </w:rPr>
              <w:t xml:space="preserve">valsts </w:t>
            </w:r>
            <w:r w:rsidR="00FA6BC7" w:rsidRPr="00A33594">
              <w:rPr>
                <w:iCs/>
                <w:szCs w:val="28"/>
              </w:rPr>
              <w:t xml:space="preserve">materiālo rezervju norakstīšanai un norakstīt </w:t>
            </w:r>
            <w:r w:rsidRPr="00A33594">
              <w:rPr>
                <w:iCs/>
                <w:szCs w:val="28"/>
              </w:rPr>
              <w:t xml:space="preserve">valsts </w:t>
            </w:r>
            <w:r w:rsidR="00FA6BC7" w:rsidRPr="00A33594">
              <w:rPr>
                <w:iCs/>
                <w:szCs w:val="28"/>
              </w:rPr>
              <w:t>materiālajās rezerves;</w:t>
            </w:r>
          </w:p>
          <w:p w:rsidR="00FA6BC7" w:rsidRPr="00A33594" w:rsidRDefault="00473F09" w:rsidP="00FA6BC7">
            <w:pPr>
              <w:pStyle w:val="ListParagraph"/>
              <w:numPr>
                <w:ilvl w:val="0"/>
                <w:numId w:val="15"/>
              </w:numPr>
              <w:rPr>
                <w:iCs/>
                <w:szCs w:val="28"/>
              </w:rPr>
            </w:pPr>
            <w:r w:rsidRPr="00A33594">
              <w:rPr>
                <w:iCs/>
                <w:szCs w:val="28"/>
              </w:rPr>
              <w:t>o</w:t>
            </w:r>
            <w:r w:rsidR="00FA6BC7" w:rsidRPr="00A33594">
              <w:rPr>
                <w:iCs/>
                <w:szCs w:val="28"/>
              </w:rPr>
              <w:t xml:space="preserve">rganizēt no </w:t>
            </w:r>
            <w:r w:rsidRPr="00A33594">
              <w:rPr>
                <w:iCs/>
                <w:szCs w:val="28"/>
              </w:rPr>
              <w:t xml:space="preserve">valsts </w:t>
            </w:r>
            <w:r w:rsidR="00FA6BC7" w:rsidRPr="00A33594">
              <w:rPr>
                <w:iCs/>
                <w:szCs w:val="28"/>
              </w:rPr>
              <w:t xml:space="preserve">materiālo rezervju nomenklatūras izņemto </w:t>
            </w:r>
            <w:r w:rsidRPr="00A33594">
              <w:rPr>
                <w:iCs/>
                <w:szCs w:val="28"/>
              </w:rPr>
              <w:t xml:space="preserve">valsts </w:t>
            </w:r>
            <w:r w:rsidR="00FA6BC7" w:rsidRPr="00A33594">
              <w:rPr>
                <w:iCs/>
                <w:szCs w:val="28"/>
              </w:rPr>
              <w:t>materiālo rezervju realiz</w:t>
            </w:r>
            <w:r w:rsidRPr="00A33594">
              <w:rPr>
                <w:iCs/>
                <w:szCs w:val="28"/>
              </w:rPr>
              <w:t>ā</w:t>
            </w:r>
            <w:r w:rsidR="00FA6BC7" w:rsidRPr="00A33594">
              <w:rPr>
                <w:iCs/>
                <w:szCs w:val="28"/>
              </w:rPr>
              <w:t xml:space="preserve">ciju, kā arī izņemto un norakstīto </w:t>
            </w:r>
            <w:r w:rsidRPr="00A33594">
              <w:rPr>
                <w:iCs/>
                <w:szCs w:val="28"/>
              </w:rPr>
              <w:t xml:space="preserve">valsts </w:t>
            </w:r>
            <w:r w:rsidR="00FA6BC7" w:rsidRPr="00A33594">
              <w:rPr>
                <w:iCs/>
                <w:szCs w:val="28"/>
              </w:rPr>
              <w:t>materiālo rezervju pārstrādi (utilizācij</w:t>
            </w:r>
            <w:r w:rsidRPr="00A33594">
              <w:rPr>
                <w:iCs/>
                <w:szCs w:val="28"/>
              </w:rPr>
              <w:t>u</w:t>
            </w:r>
            <w:r w:rsidR="00FA6BC7" w:rsidRPr="00A33594">
              <w:rPr>
                <w:iCs/>
                <w:szCs w:val="28"/>
              </w:rPr>
              <w:t>) vai apglabāšanu;</w:t>
            </w:r>
          </w:p>
          <w:p w:rsidR="00FA6BC7" w:rsidRPr="00A33594" w:rsidRDefault="00473F09" w:rsidP="00FA6BC7">
            <w:pPr>
              <w:pStyle w:val="ListParagraph"/>
              <w:numPr>
                <w:ilvl w:val="0"/>
                <w:numId w:val="15"/>
              </w:numPr>
              <w:rPr>
                <w:iCs/>
                <w:szCs w:val="28"/>
              </w:rPr>
            </w:pPr>
            <w:r w:rsidRPr="00A33594">
              <w:rPr>
                <w:iCs/>
                <w:szCs w:val="28"/>
              </w:rPr>
              <w:t>n</w:t>
            </w:r>
            <w:r w:rsidR="00FA6BC7" w:rsidRPr="00A33594">
              <w:rPr>
                <w:iCs/>
                <w:szCs w:val="28"/>
              </w:rPr>
              <w:t xml:space="preserve">odrošināt </w:t>
            </w:r>
            <w:r w:rsidRPr="00A33594">
              <w:rPr>
                <w:iCs/>
                <w:szCs w:val="28"/>
              </w:rPr>
              <w:t xml:space="preserve">valsts </w:t>
            </w:r>
            <w:r w:rsidR="00FA6BC7" w:rsidRPr="00A33594">
              <w:rPr>
                <w:iCs/>
                <w:szCs w:val="28"/>
              </w:rPr>
              <w:t>materiālo rezervju gatavību katastrofu seku likvidēšanas neatliekamo pasākumu veikšanai;</w:t>
            </w:r>
          </w:p>
          <w:p w:rsidR="00FA6BC7" w:rsidRPr="00A33594" w:rsidRDefault="00B87684" w:rsidP="00FA6BC7">
            <w:pPr>
              <w:pStyle w:val="ListParagraph"/>
              <w:numPr>
                <w:ilvl w:val="0"/>
                <w:numId w:val="15"/>
              </w:numPr>
              <w:rPr>
                <w:iCs/>
                <w:szCs w:val="28"/>
              </w:rPr>
            </w:pPr>
            <w:r w:rsidRPr="00A33594">
              <w:rPr>
                <w:iCs/>
                <w:szCs w:val="28"/>
              </w:rPr>
              <w:t>a</w:t>
            </w:r>
            <w:r w:rsidR="00FA6BC7" w:rsidRPr="00A33594">
              <w:rPr>
                <w:iCs/>
                <w:szCs w:val="28"/>
              </w:rPr>
              <w:t xml:space="preserve">pmaksāt izdevumus par </w:t>
            </w:r>
            <w:r w:rsidRPr="00A33594">
              <w:rPr>
                <w:iCs/>
                <w:szCs w:val="28"/>
              </w:rPr>
              <w:t xml:space="preserve">valsts </w:t>
            </w:r>
            <w:r w:rsidR="00FA6BC7" w:rsidRPr="00A33594">
              <w:rPr>
                <w:iCs/>
                <w:szCs w:val="28"/>
              </w:rPr>
              <w:t>materiālo rezervju aprīkojuma pārbaudi un apkopi.</w:t>
            </w:r>
          </w:p>
          <w:p w:rsidR="005F6B0C" w:rsidRPr="00A33594" w:rsidRDefault="00AC62DD" w:rsidP="0034432D">
            <w:pPr>
              <w:ind w:firstLine="388"/>
              <w:rPr>
                <w:iCs/>
                <w:szCs w:val="28"/>
              </w:rPr>
            </w:pPr>
            <w:r w:rsidRPr="00A33594">
              <w:rPr>
                <w:iCs/>
                <w:szCs w:val="28"/>
              </w:rPr>
              <w:t>201</w:t>
            </w:r>
            <w:r w:rsidR="007258A2" w:rsidRPr="00A33594">
              <w:rPr>
                <w:iCs/>
                <w:szCs w:val="28"/>
              </w:rPr>
              <w:t>9</w:t>
            </w:r>
            <w:r w:rsidRPr="00A33594">
              <w:rPr>
                <w:iCs/>
                <w:szCs w:val="28"/>
              </w:rPr>
              <w:t>.gada 1.</w:t>
            </w:r>
            <w:r w:rsidR="007258A2" w:rsidRPr="00A33594">
              <w:rPr>
                <w:iCs/>
                <w:szCs w:val="28"/>
              </w:rPr>
              <w:t>janvārī</w:t>
            </w:r>
            <w:r w:rsidRPr="00A33594">
              <w:rPr>
                <w:iCs/>
                <w:szCs w:val="28"/>
              </w:rPr>
              <w:t xml:space="preserve"> stā</w:t>
            </w:r>
            <w:r w:rsidR="002D29FC" w:rsidRPr="00A33594">
              <w:rPr>
                <w:iCs/>
                <w:szCs w:val="28"/>
              </w:rPr>
              <w:t>jās</w:t>
            </w:r>
            <w:r w:rsidRPr="00A33594">
              <w:rPr>
                <w:iCs/>
                <w:szCs w:val="28"/>
              </w:rPr>
              <w:t xml:space="preserve"> spēkā </w:t>
            </w:r>
            <w:r w:rsidR="007258A2" w:rsidRPr="00A33594">
              <w:rPr>
                <w:iCs/>
                <w:szCs w:val="28"/>
              </w:rPr>
              <w:t>Valsts materiālo rezervju likums</w:t>
            </w:r>
            <w:r w:rsidR="00762DBF" w:rsidRPr="00A33594">
              <w:rPr>
                <w:iCs/>
                <w:szCs w:val="28"/>
              </w:rPr>
              <w:t xml:space="preserve"> (turpmāk </w:t>
            </w:r>
            <w:r w:rsidR="00762DBF" w:rsidRPr="00A33594">
              <w:rPr>
                <w:szCs w:val="28"/>
              </w:rPr>
              <w:t>–</w:t>
            </w:r>
            <w:r w:rsidR="00762DBF" w:rsidRPr="00A33594">
              <w:rPr>
                <w:iCs/>
                <w:szCs w:val="28"/>
              </w:rPr>
              <w:t xml:space="preserve"> likums)</w:t>
            </w:r>
            <w:r w:rsidR="00FC0273" w:rsidRPr="00A33594">
              <w:rPr>
                <w:iCs/>
                <w:szCs w:val="28"/>
              </w:rPr>
              <w:t>, ar kuru</w:t>
            </w:r>
            <w:r w:rsidR="00FC0273" w:rsidRPr="00A33594">
              <w:rPr>
                <w:szCs w:val="28"/>
              </w:rPr>
              <w:t xml:space="preserve"> </w:t>
            </w:r>
            <w:r w:rsidR="00FC0273" w:rsidRPr="00A33594">
              <w:rPr>
                <w:iCs/>
                <w:szCs w:val="28"/>
              </w:rPr>
              <w:t xml:space="preserve">ieviesta </w:t>
            </w:r>
            <w:r w:rsidR="005100FB">
              <w:rPr>
                <w:iCs/>
                <w:szCs w:val="28"/>
              </w:rPr>
              <w:t xml:space="preserve">jauna </w:t>
            </w:r>
            <w:r w:rsidR="00FC0273" w:rsidRPr="00A33594">
              <w:rPr>
                <w:iCs/>
                <w:szCs w:val="28"/>
              </w:rPr>
              <w:t>valsts materiālo rezervju veidošanas un pārvaldīšanas sistēma</w:t>
            </w:r>
            <w:r w:rsidR="00AC4699" w:rsidRPr="00A33594">
              <w:rPr>
                <w:iCs/>
                <w:szCs w:val="28"/>
              </w:rPr>
              <w:t>, nosakot</w:t>
            </w:r>
            <w:r w:rsidR="00982B79" w:rsidRPr="00A33594">
              <w:rPr>
                <w:iCs/>
                <w:szCs w:val="28"/>
              </w:rPr>
              <w:t xml:space="preserve"> nozares ministrija</w:t>
            </w:r>
            <w:r w:rsidR="006063D7" w:rsidRPr="00A33594">
              <w:rPr>
                <w:iCs/>
                <w:szCs w:val="28"/>
              </w:rPr>
              <w:t xml:space="preserve">i </w:t>
            </w:r>
            <w:r w:rsidR="003329BC" w:rsidRPr="00A33594">
              <w:rPr>
                <w:iCs/>
                <w:szCs w:val="28"/>
              </w:rPr>
              <w:t xml:space="preserve">uzdevumus valsts materiālo rezervju jomā, tai skaitā </w:t>
            </w:r>
            <w:r w:rsidR="00982B79" w:rsidRPr="00A33594">
              <w:rPr>
                <w:iCs/>
                <w:szCs w:val="28"/>
              </w:rPr>
              <w:t>nodrošināt tās vajadzībām uzglabāto valsts materiālo rezervju veidošanu (iegādi un atjaunināšanu) un pārvaldīšanu (uzskaiti, uzglabāšanu, uzturēšanu, izsniegšanu, atsavināšanu, norakstīšanu, inventarizāciju) vai atbilstoši valsts pārvaldes uzdevumu izpildes nodrošināšanu reglamentējošajiem normatīvajiem aktiem nozares ministrija minētos uzdevumus pilnībā vai daļēji var uzdot veikt valsts vai pašvaldīb</w:t>
            </w:r>
            <w:r w:rsidR="003528D9" w:rsidRPr="00A33594">
              <w:rPr>
                <w:iCs/>
                <w:szCs w:val="28"/>
              </w:rPr>
              <w:t>as institūcijai vai komersantam</w:t>
            </w:r>
            <w:r w:rsidR="00116B09" w:rsidRPr="00A33594">
              <w:rPr>
                <w:iCs/>
                <w:szCs w:val="28"/>
              </w:rPr>
              <w:t xml:space="preserve">, kā arī </w:t>
            </w:r>
            <w:r w:rsidR="00C462EA" w:rsidRPr="00A33594">
              <w:rPr>
                <w:iCs/>
                <w:szCs w:val="28"/>
              </w:rPr>
              <w:t xml:space="preserve">nosakot nozares ministrijai </w:t>
            </w:r>
            <w:r w:rsidR="00116B09" w:rsidRPr="00A33594">
              <w:rPr>
                <w:iCs/>
                <w:szCs w:val="28"/>
              </w:rPr>
              <w:t xml:space="preserve">administrēt </w:t>
            </w:r>
            <w:r w:rsidR="00D4286F" w:rsidRPr="00A33594">
              <w:rPr>
                <w:iCs/>
                <w:szCs w:val="28"/>
              </w:rPr>
              <w:t xml:space="preserve">tās vajadzībām </w:t>
            </w:r>
            <w:r w:rsidR="00116B09" w:rsidRPr="00A33594">
              <w:rPr>
                <w:iCs/>
                <w:szCs w:val="28"/>
              </w:rPr>
              <w:lastRenderedPageBreak/>
              <w:t>nepieciešamo</w:t>
            </w:r>
            <w:r w:rsidR="00D4286F" w:rsidRPr="00A33594">
              <w:rPr>
                <w:iCs/>
                <w:szCs w:val="28"/>
              </w:rPr>
              <w:t xml:space="preserve"> valsts materiālo rezervju iegādei un pārvaldīšanai nepieciešamos</w:t>
            </w:r>
            <w:r w:rsidR="00116B09" w:rsidRPr="00A33594">
              <w:rPr>
                <w:iCs/>
                <w:szCs w:val="28"/>
              </w:rPr>
              <w:t xml:space="preserve"> finanšu līdzekļus</w:t>
            </w:r>
            <w:r w:rsidR="00982B79" w:rsidRPr="00A33594">
              <w:rPr>
                <w:iCs/>
                <w:szCs w:val="28"/>
              </w:rPr>
              <w:t>.</w:t>
            </w:r>
            <w:r w:rsidR="003329BC" w:rsidRPr="00A33594">
              <w:rPr>
                <w:iCs/>
                <w:szCs w:val="28"/>
              </w:rPr>
              <w:t xml:space="preserve"> </w:t>
            </w:r>
            <w:r w:rsidR="00DC404C" w:rsidRPr="00A33594">
              <w:rPr>
                <w:iCs/>
                <w:szCs w:val="28"/>
              </w:rPr>
              <w:t>N</w:t>
            </w:r>
            <w:r w:rsidR="005F6B0C" w:rsidRPr="00A33594">
              <w:rPr>
                <w:iCs/>
                <w:szCs w:val="28"/>
              </w:rPr>
              <w:t xml:space="preserve">ozares ministrijai </w:t>
            </w:r>
            <w:r w:rsidR="00DC404C" w:rsidRPr="00A33594">
              <w:rPr>
                <w:iCs/>
                <w:szCs w:val="28"/>
              </w:rPr>
              <w:t xml:space="preserve">papildus </w:t>
            </w:r>
            <w:r w:rsidR="005F6B0C" w:rsidRPr="00A33594">
              <w:rPr>
                <w:iCs/>
                <w:szCs w:val="28"/>
              </w:rPr>
              <w:t>noteiktajiem uzdevumiem likumā noteikti Iekšlietu ministrijas uzdevumi, tai skaitā sadarbībā ar attiecīgajām nozaru ministrijām sagatavot valsts materiālo rezervju nomenklatūru un, ja nepieciešams, arī izmaiņas tajā, kā arī katru gadu iesniegt Ministru kabinetam informatīvo ziņojumu par iepriekšējā gadā veiktajām darbībām ar valsts materiālajām rezervēm.</w:t>
            </w:r>
          </w:p>
          <w:p w:rsidR="00FC0273" w:rsidRPr="00A33594" w:rsidRDefault="006B6477" w:rsidP="0034432D">
            <w:pPr>
              <w:ind w:firstLine="388"/>
              <w:rPr>
                <w:iCs/>
                <w:szCs w:val="28"/>
              </w:rPr>
            </w:pPr>
            <w:r w:rsidRPr="00A33594">
              <w:rPr>
                <w:szCs w:val="28"/>
              </w:rPr>
              <w:t>Iepriekš</w:t>
            </w:r>
            <w:r w:rsidR="003528D9" w:rsidRPr="00A33594">
              <w:rPr>
                <w:szCs w:val="28"/>
              </w:rPr>
              <w:t>ējais valsts materiālo rezervju jomas normatīvo aktu regulējums</w:t>
            </w:r>
            <w:r w:rsidRPr="00A33594">
              <w:rPr>
                <w:iCs/>
                <w:szCs w:val="28"/>
              </w:rPr>
              <w:t xml:space="preserve"> </w:t>
            </w:r>
            <w:r w:rsidR="003528D9" w:rsidRPr="00A33594">
              <w:rPr>
                <w:iCs/>
                <w:szCs w:val="28"/>
              </w:rPr>
              <w:t>noteica</w:t>
            </w:r>
            <w:r w:rsidR="00AC74ED" w:rsidRPr="00A33594">
              <w:rPr>
                <w:iCs/>
                <w:szCs w:val="28"/>
              </w:rPr>
              <w:t xml:space="preserve"> aģentūrai sadarbībā ar atbildīgajiem valsts materiālo rezervju glabātājiem – valsts institūcijām un komersantiem, kuriem uz glabājuma līguma pamata tika nodotas glabāšanā valsts materiālās rezerves (turpmāk – atbildīgais glabātājs)</w:t>
            </w:r>
            <w:r w:rsidR="003528D9" w:rsidRPr="00A33594">
              <w:rPr>
                <w:iCs/>
                <w:szCs w:val="28"/>
              </w:rPr>
              <w:t xml:space="preserve">, </w:t>
            </w:r>
            <w:r w:rsidR="00B81AD8" w:rsidRPr="00A33594">
              <w:rPr>
                <w:iCs/>
                <w:szCs w:val="28"/>
              </w:rPr>
              <w:t xml:space="preserve">nodrošināt valsts materiālo rezervju glabāšanu, uzskaiti, iegādi, atjaunināšanu, iznomāšanu, aizdošanu, realizāciju un norakstīšanu, </w:t>
            </w:r>
            <w:r w:rsidR="00017944" w:rsidRPr="00A33594">
              <w:rPr>
                <w:iCs/>
                <w:szCs w:val="28"/>
              </w:rPr>
              <w:t>kā arī aģentūrai bija noteikts administrēt valsts mater</w:t>
            </w:r>
            <w:r w:rsidR="002C1AF1" w:rsidRPr="00A33594">
              <w:rPr>
                <w:iCs/>
                <w:szCs w:val="28"/>
              </w:rPr>
              <w:t>iālo rezervju finanšu līdzekļus</w:t>
            </w:r>
            <w:r w:rsidR="008D6987" w:rsidRPr="00A33594">
              <w:rPr>
                <w:iCs/>
                <w:szCs w:val="28"/>
              </w:rPr>
              <w:t xml:space="preserve"> un </w:t>
            </w:r>
            <w:r w:rsidR="002C1AF1" w:rsidRPr="00A33594">
              <w:rPr>
                <w:iCs/>
                <w:szCs w:val="28"/>
              </w:rPr>
              <w:t>sagatavo</w:t>
            </w:r>
            <w:r w:rsidR="008D6987" w:rsidRPr="00A33594">
              <w:rPr>
                <w:iCs/>
                <w:szCs w:val="28"/>
              </w:rPr>
              <w:t>t</w:t>
            </w:r>
            <w:r w:rsidR="002C1AF1" w:rsidRPr="00A33594">
              <w:rPr>
                <w:iCs/>
                <w:szCs w:val="28"/>
              </w:rPr>
              <w:t xml:space="preserve"> ikgadējo pārskatu par darbībām ar valsts materiālajām rezervēm iepriekšējā gadā</w:t>
            </w:r>
            <w:r w:rsidR="008D6987" w:rsidRPr="00A33594">
              <w:rPr>
                <w:iCs/>
                <w:szCs w:val="28"/>
              </w:rPr>
              <w:t>.</w:t>
            </w:r>
          </w:p>
          <w:p w:rsidR="00CF0720" w:rsidRPr="00A33594" w:rsidRDefault="00CF0720" w:rsidP="00D34250">
            <w:pPr>
              <w:ind w:firstLine="388"/>
              <w:rPr>
                <w:iCs/>
                <w:szCs w:val="28"/>
              </w:rPr>
            </w:pPr>
            <w:r w:rsidRPr="00A33594">
              <w:rPr>
                <w:iCs/>
                <w:szCs w:val="28"/>
              </w:rPr>
              <w:t xml:space="preserve">Lai īstenotu jaunajā likumā nozaru ministrijām noteiktos uzdevumus valsts materiālo rezervju pārvaldīšanas jomā, aģentūra ir nodevusi nozaru ministriju noteiktai par valsts materiālo rezervju pārvaldīšanu atbildīgai institūcijai attiecīgās nozares ministrijas vajadzībām uzglabātās valsts materiālās rezerves. </w:t>
            </w:r>
          </w:p>
          <w:p w:rsidR="00B26EBE" w:rsidRPr="00A33594" w:rsidRDefault="00CF0720" w:rsidP="00D34250">
            <w:pPr>
              <w:ind w:firstLine="388"/>
              <w:rPr>
                <w:iCs/>
                <w:szCs w:val="28"/>
              </w:rPr>
            </w:pPr>
            <w:r w:rsidRPr="00A33594">
              <w:rPr>
                <w:iCs/>
                <w:szCs w:val="28"/>
              </w:rPr>
              <w:t>Savukārt, la</w:t>
            </w:r>
            <w:r w:rsidR="00B2365D" w:rsidRPr="00A33594">
              <w:rPr>
                <w:iCs/>
                <w:szCs w:val="28"/>
              </w:rPr>
              <w:t xml:space="preserve">i īstenotu </w:t>
            </w:r>
            <w:r w:rsidR="009D1A85" w:rsidRPr="00A33594">
              <w:rPr>
                <w:iCs/>
                <w:szCs w:val="28"/>
              </w:rPr>
              <w:t xml:space="preserve">jaunajā </w:t>
            </w:r>
            <w:r w:rsidR="00B2365D" w:rsidRPr="00A33594">
              <w:rPr>
                <w:iCs/>
                <w:szCs w:val="28"/>
              </w:rPr>
              <w:t xml:space="preserve">likumā </w:t>
            </w:r>
            <w:r w:rsidR="009B4A7B" w:rsidRPr="00A33594">
              <w:rPr>
                <w:iCs/>
                <w:szCs w:val="28"/>
              </w:rPr>
              <w:t>Iekšlietu</w:t>
            </w:r>
            <w:r w:rsidR="0026692E" w:rsidRPr="00A33594">
              <w:rPr>
                <w:iCs/>
                <w:szCs w:val="28"/>
              </w:rPr>
              <w:t xml:space="preserve"> ministrijai </w:t>
            </w:r>
            <w:r w:rsidR="00B2365D" w:rsidRPr="00A33594">
              <w:rPr>
                <w:iCs/>
                <w:szCs w:val="28"/>
              </w:rPr>
              <w:t xml:space="preserve">noteiktos uzdevumus </w:t>
            </w:r>
            <w:r w:rsidR="0026692E" w:rsidRPr="00A33594">
              <w:rPr>
                <w:iCs/>
                <w:szCs w:val="28"/>
              </w:rPr>
              <w:t>valsts materiālo rezervju jomā</w:t>
            </w:r>
            <w:r w:rsidR="00B2365D" w:rsidRPr="00A33594">
              <w:rPr>
                <w:iCs/>
                <w:szCs w:val="28"/>
              </w:rPr>
              <w:t xml:space="preserve">, </w:t>
            </w:r>
            <w:r w:rsidR="0026692E" w:rsidRPr="00A33594">
              <w:rPr>
                <w:iCs/>
                <w:szCs w:val="28"/>
              </w:rPr>
              <w:t xml:space="preserve">Iekšlietu ministrija </w:t>
            </w:r>
            <w:r w:rsidR="00B2365D" w:rsidRPr="00A33594">
              <w:rPr>
                <w:iCs/>
                <w:szCs w:val="28"/>
              </w:rPr>
              <w:t xml:space="preserve">2019.gada 21.martā </w:t>
            </w:r>
            <w:r w:rsidR="0026692E" w:rsidRPr="00A33594">
              <w:rPr>
                <w:iCs/>
                <w:szCs w:val="28"/>
              </w:rPr>
              <w:t xml:space="preserve">ar rīkojumu </w:t>
            </w:r>
            <w:r w:rsidR="00B2365D" w:rsidRPr="00A33594">
              <w:rPr>
                <w:iCs/>
                <w:szCs w:val="28"/>
              </w:rPr>
              <w:t>N</w:t>
            </w:r>
            <w:r w:rsidR="00DC404C" w:rsidRPr="00A33594">
              <w:rPr>
                <w:iCs/>
                <w:szCs w:val="28"/>
              </w:rPr>
              <w:t>r.1-12/401 “</w:t>
            </w:r>
            <w:r w:rsidR="00B2365D" w:rsidRPr="00A33594">
              <w:rPr>
                <w:iCs/>
                <w:szCs w:val="28"/>
              </w:rPr>
              <w:t>Par valsts materiālo rezervju veidošanu un p</w:t>
            </w:r>
            <w:r w:rsidR="0026692E" w:rsidRPr="00A33594">
              <w:rPr>
                <w:iCs/>
                <w:szCs w:val="28"/>
              </w:rPr>
              <w:t>ārvaldīšanu” uzdevusi</w:t>
            </w:r>
            <w:r w:rsidR="00B2365D" w:rsidRPr="00A33594">
              <w:rPr>
                <w:iCs/>
                <w:szCs w:val="28"/>
              </w:rPr>
              <w:t xml:space="preserve"> aģentūrai</w:t>
            </w:r>
            <w:r w:rsidR="00D34250" w:rsidRPr="00A33594">
              <w:rPr>
                <w:iCs/>
                <w:szCs w:val="28"/>
              </w:rPr>
              <w:t xml:space="preserve"> </w:t>
            </w:r>
            <w:r w:rsidR="00B2365D" w:rsidRPr="00A33594">
              <w:rPr>
                <w:iCs/>
                <w:szCs w:val="28"/>
              </w:rPr>
              <w:t xml:space="preserve">centralizēti veikt valsts materiālo rezervju </w:t>
            </w:r>
            <w:r w:rsidR="001C4293" w:rsidRPr="00A33594">
              <w:rPr>
                <w:iCs/>
                <w:szCs w:val="28"/>
              </w:rPr>
              <w:t xml:space="preserve">iepirkumus un </w:t>
            </w:r>
            <w:r w:rsidR="00B26EBE" w:rsidRPr="00A33594">
              <w:rPr>
                <w:iCs/>
                <w:szCs w:val="28"/>
              </w:rPr>
              <w:t>atsavināšanu</w:t>
            </w:r>
            <w:r w:rsidR="001C4293" w:rsidRPr="00A33594">
              <w:rPr>
                <w:iCs/>
                <w:szCs w:val="28"/>
              </w:rPr>
              <w:t xml:space="preserve">, </w:t>
            </w:r>
            <w:r w:rsidR="00B26EBE" w:rsidRPr="00A33594">
              <w:rPr>
                <w:iCs/>
                <w:szCs w:val="28"/>
              </w:rPr>
              <w:t>sagatavot valsts materiālo rezervju nom</w:t>
            </w:r>
            <w:r w:rsidR="001C4293" w:rsidRPr="00A33594">
              <w:rPr>
                <w:iCs/>
                <w:szCs w:val="28"/>
              </w:rPr>
              <w:t xml:space="preserve">enklatūru, kā arī izmaiņas tajā un </w:t>
            </w:r>
            <w:r w:rsidR="00B2365D" w:rsidRPr="00A33594">
              <w:rPr>
                <w:iCs/>
                <w:szCs w:val="28"/>
              </w:rPr>
              <w:t>sagatavot informatīvo ziņojumu par iepriekšējā gadā veiktajām darbībām ar valsts materiālajām rezervēm</w:t>
            </w:r>
            <w:r w:rsidR="00B26EBE" w:rsidRPr="00A33594">
              <w:rPr>
                <w:iCs/>
                <w:szCs w:val="28"/>
              </w:rPr>
              <w:t>.</w:t>
            </w:r>
            <w:r w:rsidR="00C633A0" w:rsidRPr="00A33594">
              <w:rPr>
                <w:iCs/>
                <w:szCs w:val="28"/>
              </w:rPr>
              <w:t xml:space="preserve"> </w:t>
            </w:r>
            <w:r w:rsidR="00C633A0" w:rsidRPr="00A33594">
              <w:rPr>
                <w:iCs/>
                <w:szCs w:val="28"/>
              </w:rPr>
              <w:lastRenderedPageBreak/>
              <w:t>Savukārt valsts materiālo rezervju resursi to turpmākai pārvaldīšanai nodoti Iekšlietu ministrijas noteiktām par valsts materiālo rezervju pārvaldīšanu atbildīgām institūcijām</w:t>
            </w:r>
            <w:r w:rsidR="00FE295D" w:rsidRPr="00A33594">
              <w:rPr>
                <w:iCs/>
                <w:szCs w:val="28"/>
              </w:rPr>
              <w:t xml:space="preserve">, kas </w:t>
            </w:r>
            <w:r w:rsidR="00227A78" w:rsidRPr="00A33594">
              <w:rPr>
                <w:iCs/>
                <w:szCs w:val="28"/>
              </w:rPr>
              <w:t>ir atbildīgas par tām nepieciešamo valsts materiālo rezervju iegādes un atjaunināšanas plānošanu</w:t>
            </w:r>
            <w:r w:rsidR="00BC4B52" w:rsidRPr="00A33594">
              <w:rPr>
                <w:iCs/>
                <w:szCs w:val="28"/>
              </w:rPr>
              <w:t xml:space="preserve">, valsts materiālo rezervju </w:t>
            </w:r>
            <w:r w:rsidR="00A32DAC" w:rsidRPr="00A33594">
              <w:rPr>
                <w:iCs/>
                <w:szCs w:val="28"/>
              </w:rPr>
              <w:t>uzskaiti, izsniegšanu, uzglabāšanu, uzturēšanu, norakstīšanu un inventarizāciju.</w:t>
            </w:r>
          </w:p>
          <w:p w:rsidR="00525338" w:rsidRPr="00A33594" w:rsidRDefault="00BA0905" w:rsidP="0034432D">
            <w:pPr>
              <w:ind w:firstLine="388"/>
              <w:rPr>
                <w:iCs/>
                <w:szCs w:val="28"/>
              </w:rPr>
            </w:pPr>
            <w:r w:rsidRPr="00A33594">
              <w:rPr>
                <w:iCs/>
                <w:szCs w:val="28"/>
              </w:rPr>
              <w:t xml:space="preserve">Ievērojot minēto, </w:t>
            </w:r>
            <w:r w:rsidR="00F27AA2" w:rsidRPr="00A33594">
              <w:rPr>
                <w:iCs/>
                <w:szCs w:val="28"/>
              </w:rPr>
              <w:t>ir izstrādāts projekts ar mērķi precizēt</w:t>
            </w:r>
            <w:r w:rsidR="0011742A" w:rsidRPr="00A33594">
              <w:rPr>
                <w:iCs/>
                <w:szCs w:val="28"/>
              </w:rPr>
              <w:t xml:space="preserve"> </w:t>
            </w:r>
            <w:r w:rsidR="00D64EF7" w:rsidRPr="00A33594">
              <w:rPr>
                <w:iCs/>
                <w:szCs w:val="28"/>
              </w:rPr>
              <w:t xml:space="preserve">nolikumā noteiktās </w:t>
            </w:r>
            <w:r w:rsidR="0011742A" w:rsidRPr="00A33594">
              <w:rPr>
                <w:iCs/>
                <w:szCs w:val="28"/>
              </w:rPr>
              <w:t xml:space="preserve">aģentūras darbības </w:t>
            </w:r>
            <w:r w:rsidR="00F27AA2" w:rsidRPr="00A33594">
              <w:rPr>
                <w:iCs/>
                <w:szCs w:val="28"/>
              </w:rPr>
              <w:t xml:space="preserve">valsts materiālo rezervju jomā </w:t>
            </w:r>
            <w:r w:rsidR="00525338" w:rsidRPr="00A33594">
              <w:rPr>
                <w:iCs/>
                <w:szCs w:val="28"/>
              </w:rPr>
              <w:t>atbilst</w:t>
            </w:r>
            <w:r w:rsidR="0011742A" w:rsidRPr="00A33594">
              <w:rPr>
                <w:iCs/>
                <w:szCs w:val="28"/>
              </w:rPr>
              <w:t>oši deleģēju</w:t>
            </w:r>
            <w:r w:rsidR="00FD08E5" w:rsidRPr="00A33594">
              <w:rPr>
                <w:iCs/>
                <w:szCs w:val="28"/>
              </w:rPr>
              <w:t>m</w:t>
            </w:r>
            <w:r w:rsidR="0011742A" w:rsidRPr="00A33594">
              <w:rPr>
                <w:iCs/>
                <w:szCs w:val="28"/>
              </w:rPr>
              <w:t>am, nodrošinot iekšlietu nozare</w:t>
            </w:r>
            <w:r w:rsidR="00F27AA2" w:rsidRPr="00A33594">
              <w:rPr>
                <w:iCs/>
                <w:szCs w:val="28"/>
              </w:rPr>
              <w:t>i</w:t>
            </w:r>
            <w:r w:rsidR="0011742A" w:rsidRPr="00A33594">
              <w:rPr>
                <w:iCs/>
                <w:szCs w:val="28"/>
              </w:rPr>
              <w:t xml:space="preserve"> </w:t>
            </w:r>
            <w:r w:rsidR="00F27AA2" w:rsidRPr="00A33594">
              <w:rPr>
                <w:iCs/>
                <w:szCs w:val="28"/>
              </w:rPr>
              <w:t xml:space="preserve">noteikto </w:t>
            </w:r>
            <w:r w:rsidR="0011742A" w:rsidRPr="00A33594">
              <w:rPr>
                <w:iCs/>
                <w:szCs w:val="28"/>
              </w:rPr>
              <w:t>uzdevumu izpildi valsts materiālo rezervju veidošanā un pārvaldīšanā</w:t>
            </w:r>
            <w:r w:rsidR="00FD08E5" w:rsidRPr="00A33594">
              <w:rPr>
                <w:iCs/>
                <w:szCs w:val="28"/>
              </w:rPr>
              <w:t xml:space="preserve"> </w:t>
            </w:r>
            <w:r w:rsidR="00D64EF7" w:rsidRPr="00A33594">
              <w:rPr>
                <w:szCs w:val="28"/>
              </w:rPr>
              <w:t xml:space="preserve"> </w:t>
            </w:r>
            <w:r w:rsidR="00D64EF7" w:rsidRPr="00A33594">
              <w:rPr>
                <w:iCs/>
                <w:szCs w:val="28"/>
              </w:rPr>
              <w:t>atbildoši Valsts materiālo rezervju likumā noteiktajam</w:t>
            </w:r>
            <w:r w:rsidR="00FD08E5" w:rsidRPr="00A33594">
              <w:rPr>
                <w:iCs/>
                <w:szCs w:val="28"/>
              </w:rPr>
              <w:t>.</w:t>
            </w:r>
          </w:p>
          <w:p w:rsidR="000D4CDE" w:rsidRPr="00A33594" w:rsidRDefault="007C7BFA" w:rsidP="000D4CDE">
            <w:pPr>
              <w:ind w:firstLine="388"/>
              <w:rPr>
                <w:iCs/>
                <w:szCs w:val="28"/>
              </w:rPr>
            </w:pPr>
            <w:r w:rsidRPr="00A33594">
              <w:rPr>
                <w:iCs/>
                <w:szCs w:val="28"/>
              </w:rPr>
              <w:t>P</w:t>
            </w:r>
            <w:r w:rsidR="00F12558" w:rsidRPr="00A33594">
              <w:rPr>
                <w:iCs/>
                <w:szCs w:val="28"/>
              </w:rPr>
              <w:t xml:space="preserve">rojekts paredz </w:t>
            </w:r>
            <w:r w:rsidR="000D4CDE" w:rsidRPr="00A33594">
              <w:rPr>
                <w:iCs/>
                <w:szCs w:val="28"/>
              </w:rPr>
              <w:t>šādas izmaiņas nolikumā:</w:t>
            </w:r>
          </w:p>
          <w:p w:rsidR="000D4CDE" w:rsidRPr="00A33594" w:rsidRDefault="000D4CDE" w:rsidP="000D4CDE">
            <w:pPr>
              <w:pStyle w:val="ListParagraph"/>
              <w:numPr>
                <w:ilvl w:val="0"/>
                <w:numId w:val="13"/>
              </w:numPr>
              <w:rPr>
                <w:iCs/>
                <w:szCs w:val="28"/>
              </w:rPr>
            </w:pPr>
            <w:r w:rsidRPr="00A33594">
              <w:rPr>
                <w:iCs/>
                <w:szCs w:val="28"/>
              </w:rPr>
              <w:t xml:space="preserve">noteikt, ka aģentūra </w:t>
            </w:r>
            <w:r w:rsidR="002851A2" w:rsidRPr="00A33594">
              <w:rPr>
                <w:iCs/>
                <w:szCs w:val="28"/>
              </w:rPr>
              <w:t>organizē</w:t>
            </w:r>
            <w:r w:rsidRPr="00A33594">
              <w:rPr>
                <w:iCs/>
                <w:szCs w:val="28"/>
              </w:rPr>
              <w:t xml:space="preserve"> </w:t>
            </w:r>
            <w:r w:rsidR="00B1121B" w:rsidRPr="00A33594">
              <w:rPr>
                <w:iCs/>
                <w:szCs w:val="28"/>
              </w:rPr>
              <w:t>Iekšlietu ministrijas</w:t>
            </w:r>
            <w:r w:rsidR="000B23F8" w:rsidRPr="00A33594">
              <w:rPr>
                <w:iCs/>
                <w:szCs w:val="28"/>
              </w:rPr>
              <w:t xml:space="preserve"> un tās </w:t>
            </w:r>
            <w:r w:rsidR="00B1121B" w:rsidRPr="00A33594">
              <w:rPr>
                <w:iCs/>
                <w:szCs w:val="28"/>
              </w:rPr>
              <w:t>padot</w:t>
            </w:r>
            <w:r w:rsidR="000B23F8" w:rsidRPr="00A33594">
              <w:rPr>
                <w:iCs/>
                <w:szCs w:val="28"/>
              </w:rPr>
              <w:t>ībā esošo</w:t>
            </w:r>
            <w:r w:rsidR="00B1121B" w:rsidRPr="00A33594">
              <w:rPr>
                <w:iCs/>
                <w:szCs w:val="28"/>
              </w:rPr>
              <w:t xml:space="preserve"> iestāžu</w:t>
            </w:r>
            <w:r w:rsidR="00A30EF9" w:rsidRPr="00A33594">
              <w:rPr>
                <w:iCs/>
                <w:szCs w:val="28"/>
              </w:rPr>
              <w:t xml:space="preserve"> </w:t>
            </w:r>
            <w:r w:rsidR="003F3475" w:rsidRPr="00A33594">
              <w:rPr>
                <w:iCs/>
                <w:szCs w:val="28"/>
              </w:rPr>
              <w:t xml:space="preserve">(turpmāk – iestādes) </w:t>
            </w:r>
            <w:r w:rsidR="00A30EF9" w:rsidRPr="00A33594">
              <w:rPr>
                <w:iCs/>
                <w:szCs w:val="28"/>
              </w:rPr>
              <w:t xml:space="preserve">vajadzībām nepieciešamo </w:t>
            </w:r>
            <w:r w:rsidRPr="00A33594">
              <w:rPr>
                <w:iCs/>
                <w:szCs w:val="28"/>
              </w:rPr>
              <w:t xml:space="preserve">valsts materiālo rezervju </w:t>
            </w:r>
            <w:r w:rsidR="00AF0B90">
              <w:rPr>
                <w:iCs/>
                <w:szCs w:val="28"/>
              </w:rPr>
              <w:t>iegādes</w:t>
            </w:r>
            <w:r w:rsidR="000C37BB" w:rsidRPr="00A33594">
              <w:rPr>
                <w:iCs/>
                <w:szCs w:val="28"/>
              </w:rPr>
              <w:t xml:space="preserve"> un </w:t>
            </w:r>
            <w:r w:rsidR="003F3475" w:rsidRPr="00A33594">
              <w:rPr>
                <w:iCs/>
                <w:szCs w:val="28"/>
              </w:rPr>
              <w:t xml:space="preserve">iestāžu pārvaldīšanā esošo valsts materiālo rezervju </w:t>
            </w:r>
            <w:r w:rsidRPr="00A33594">
              <w:rPr>
                <w:iCs/>
                <w:szCs w:val="28"/>
              </w:rPr>
              <w:t>atsavināšanu;</w:t>
            </w:r>
          </w:p>
          <w:p w:rsidR="000D4CDE" w:rsidRPr="00A33594" w:rsidRDefault="000D4CDE" w:rsidP="000D4CDE">
            <w:pPr>
              <w:pStyle w:val="ListParagraph"/>
              <w:numPr>
                <w:ilvl w:val="0"/>
                <w:numId w:val="13"/>
              </w:numPr>
              <w:rPr>
                <w:iCs/>
                <w:szCs w:val="28"/>
              </w:rPr>
            </w:pPr>
            <w:r w:rsidRPr="00A33594">
              <w:rPr>
                <w:iCs/>
                <w:szCs w:val="28"/>
              </w:rPr>
              <w:t>precizēt aģentūras uzdevumus, nosakot, ka aģentūra valsts materiālo rezervju veidošanas un pārvaldīšanas jomā</w:t>
            </w:r>
            <w:r w:rsidR="00AF1058" w:rsidRPr="00A33594">
              <w:rPr>
                <w:iCs/>
                <w:szCs w:val="28"/>
              </w:rPr>
              <w:t>:</w:t>
            </w:r>
          </w:p>
          <w:p w:rsidR="00E80B68" w:rsidRDefault="0098393F" w:rsidP="00E80B68">
            <w:pPr>
              <w:pStyle w:val="ListParagraph"/>
              <w:numPr>
                <w:ilvl w:val="0"/>
                <w:numId w:val="14"/>
              </w:numPr>
              <w:rPr>
                <w:iCs/>
                <w:szCs w:val="28"/>
              </w:rPr>
            </w:pPr>
            <w:r>
              <w:rPr>
                <w:iCs/>
                <w:szCs w:val="28"/>
              </w:rPr>
              <w:t>veic</w:t>
            </w:r>
            <w:r w:rsidR="005B36D6" w:rsidRPr="00A33594">
              <w:rPr>
                <w:iCs/>
                <w:szCs w:val="28"/>
              </w:rPr>
              <w:t xml:space="preserve"> </w:t>
            </w:r>
            <w:r w:rsidR="00E80B68" w:rsidRPr="00A33594">
              <w:rPr>
                <w:iCs/>
                <w:szCs w:val="28"/>
              </w:rPr>
              <w:t xml:space="preserve">iestāžu vajadzībām nepieciešamo </w:t>
            </w:r>
            <w:r w:rsidR="005B36D6" w:rsidRPr="00A33594">
              <w:rPr>
                <w:iCs/>
                <w:szCs w:val="28"/>
              </w:rPr>
              <w:t>valsts materiālo rezervju iegādi</w:t>
            </w:r>
            <w:r w:rsidR="006C107F" w:rsidRPr="00A33594">
              <w:rPr>
                <w:iCs/>
                <w:szCs w:val="28"/>
              </w:rPr>
              <w:t xml:space="preserve"> </w:t>
            </w:r>
            <w:r>
              <w:rPr>
                <w:iCs/>
                <w:szCs w:val="28"/>
              </w:rPr>
              <w:t>saskaņā ar Iekšlietu ministrijas centralizēto iepirkumu plānu kārtējam gadam</w:t>
            </w:r>
            <w:r w:rsidR="00E80B68" w:rsidRPr="00A33594">
              <w:rPr>
                <w:iCs/>
                <w:szCs w:val="28"/>
              </w:rPr>
              <w:t>;</w:t>
            </w:r>
          </w:p>
          <w:p w:rsidR="0098393F" w:rsidRPr="00A33594" w:rsidRDefault="0098393F" w:rsidP="0098393F">
            <w:pPr>
              <w:pStyle w:val="ListParagraph"/>
              <w:ind w:left="0" w:firstLine="388"/>
              <w:rPr>
                <w:iCs/>
                <w:szCs w:val="28"/>
              </w:rPr>
            </w:pPr>
            <w:r w:rsidRPr="0098393F">
              <w:rPr>
                <w:iCs/>
                <w:szCs w:val="28"/>
              </w:rPr>
              <w:t>Plānotās valsts materiālo rezervju iegādes, tai skaitā iegādes valsts materiālo rezervju atjaunināšanas nolūkā, tiks iekļautas Iekšlietu ministrijas centralizēto iepirkumu plānā. Aģentūra iepirks centralizēti normatīvajos aktos par publisko iepirkumu veikšanu noteiktajā kārtībā iestāžu vajadzībām nepieciešamās valsts materiālās rezerves saskaņā ar apstiprināto  Iekšlietu ministrijas centralizēto iepirkumu plānu. Atsevišķs valsts materiālo rezervju iegādes plāns netiks sagatavots.</w:t>
            </w:r>
          </w:p>
          <w:p w:rsidR="00BB53AD" w:rsidRDefault="00681D6D" w:rsidP="00681D6D">
            <w:pPr>
              <w:pStyle w:val="ListParagraph"/>
              <w:numPr>
                <w:ilvl w:val="0"/>
                <w:numId w:val="14"/>
              </w:numPr>
              <w:rPr>
                <w:iCs/>
                <w:szCs w:val="28"/>
              </w:rPr>
            </w:pPr>
            <w:r w:rsidRPr="00BB53AD">
              <w:rPr>
                <w:iCs/>
                <w:szCs w:val="28"/>
              </w:rPr>
              <w:t>veic</w:t>
            </w:r>
            <w:r w:rsidR="00E95BCE" w:rsidRPr="00BB53AD">
              <w:rPr>
                <w:iCs/>
                <w:szCs w:val="28"/>
              </w:rPr>
              <w:t xml:space="preserve"> </w:t>
            </w:r>
            <w:r w:rsidR="00E80B68" w:rsidRPr="00BB53AD">
              <w:rPr>
                <w:iCs/>
                <w:szCs w:val="28"/>
              </w:rPr>
              <w:t xml:space="preserve">iestāžu pārvaldīšanā esošo valsts materiālo rezervju </w:t>
            </w:r>
            <w:r w:rsidR="005B36D6" w:rsidRPr="00BB53AD">
              <w:rPr>
                <w:iCs/>
                <w:szCs w:val="28"/>
              </w:rPr>
              <w:t>atsavināšanu</w:t>
            </w:r>
            <w:r w:rsidRPr="00BB53AD">
              <w:rPr>
                <w:iCs/>
                <w:szCs w:val="28"/>
              </w:rPr>
              <w:t>;</w:t>
            </w:r>
          </w:p>
          <w:p w:rsidR="00BB53AD" w:rsidRPr="00BB53AD" w:rsidRDefault="00BB53AD" w:rsidP="00BB53AD">
            <w:pPr>
              <w:ind w:firstLine="388"/>
              <w:rPr>
                <w:iCs/>
                <w:szCs w:val="28"/>
              </w:rPr>
            </w:pPr>
            <w:r w:rsidRPr="00BB53AD">
              <w:rPr>
                <w:iCs/>
                <w:szCs w:val="28"/>
              </w:rPr>
              <w:lastRenderedPageBreak/>
              <w:t>Iestāžu pārvaldīšanā esošās valsts materiālās rezerves, kas būs aizstātas ar attiecīgiem jauniem materiāliem resursiem, vai arī, kas būs izslēgtas no valsts materiālo rezervju nomenklatūras un būs zaudējušas valsts materiālo rezervju statusu, aģentūra centralizēti atsavinās, organizējot to pārdošanu normatīvajos aktos par publiskas personas mantas atsavināšanu noteiktajā kārtībā.</w:t>
            </w:r>
          </w:p>
          <w:p w:rsidR="00681D6D" w:rsidRDefault="00681D6D" w:rsidP="00681D6D">
            <w:pPr>
              <w:pStyle w:val="ListParagraph"/>
              <w:numPr>
                <w:ilvl w:val="0"/>
                <w:numId w:val="14"/>
              </w:numPr>
              <w:rPr>
                <w:iCs/>
                <w:szCs w:val="28"/>
              </w:rPr>
            </w:pPr>
            <w:r w:rsidRPr="00BB53AD">
              <w:rPr>
                <w:iCs/>
                <w:szCs w:val="28"/>
              </w:rPr>
              <w:t xml:space="preserve">sagatavo ikgadējo informatīvo ziņojumu par </w:t>
            </w:r>
            <w:r w:rsidR="00185C50">
              <w:rPr>
                <w:iCs/>
                <w:szCs w:val="28"/>
              </w:rPr>
              <w:t xml:space="preserve">iepriekšējā gadā veiktajām </w:t>
            </w:r>
            <w:r w:rsidRPr="00BB53AD">
              <w:rPr>
                <w:iCs/>
                <w:szCs w:val="28"/>
              </w:rPr>
              <w:t>darbībām ar valsts materiālajā rezervēm;</w:t>
            </w:r>
          </w:p>
          <w:p w:rsidR="00185C50" w:rsidRPr="00185C50" w:rsidRDefault="00185C50" w:rsidP="00185C50">
            <w:pPr>
              <w:ind w:firstLine="388"/>
              <w:rPr>
                <w:iCs/>
                <w:szCs w:val="28"/>
              </w:rPr>
            </w:pPr>
            <w:r w:rsidRPr="00185C50">
              <w:rPr>
                <w:iCs/>
                <w:szCs w:val="28"/>
              </w:rPr>
              <w:t>Aģentūra apkopos nozaru ministriju un iestāžu sniegtos pārskatus par iepriekšējā gadā veiktajām darbībām ar valsts materiālajām rezervēm un sagatavos iesniegšanai Ministru kabinetā ikgadējo informatīvo ziņojumu par iepriekšējā gadā veiktajām darbībām ar valsts materiālajām rezervēm.</w:t>
            </w:r>
          </w:p>
          <w:p w:rsidR="00520A4F" w:rsidRDefault="00681D6D" w:rsidP="00520A4F">
            <w:pPr>
              <w:pStyle w:val="ListParagraph"/>
              <w:numPr>
                <w:ilvl w:val="0"/>
                <w:numId w:val="14"/>
              </w:numPr>
              <w:rPr>
                <w:iCs/>
                <w:szCs w:val="28"/>
              </w:rPr>
            </w:pPr>
            <w:r w:rsidRPr="00A33594">
              <w:rPr>
                <w:iCs/>
                <w:szCs w:val="28"/>
              </w:rPr>
              <w:t>sagatavo valsts materiālo rezervju nomenklatūru un izmaiņas tajā.</w:t>
            </w:r>
          </w:p>
          <w:p w:rsidR="00520A4F" w:rsidRPr="00520A4F" w:rsidRDefault="00520A4F" w:rsidP="00520A4F">
            <w:pPr>
              <w:ind w:firstLine="388"/>
              <w:rPr>
                <w:iCs/>
                <w:szCs w:val="28"/>
              </w:rPr>
            </w:pPr>
            <w:r w:rsidRPr="00520A4F">
              <w:rPr>
                <w:iCs/>
                <w:szCs w:val="28"/>
              </w:rPr>
              <w:t>Aģentūra apkopos nozaru ministriju un iestāžu sniegtos priekšlikumus par izmaiņām valsts materiālo rezervju nomenklatūrā un sagatavos valsts materiālo rezervju nomenklatūru iesniegšanai apstiprināšanai Ministru kabinetam.</w:t>
            </w:r>
          </w:p>
        </w:tc>
      </w:tr>
      <w:tr w:rsidR="00965309" w:rsidRPr="00A33594" w:rsidTr="00A07D4D">
        <w:trPr>
          <w:trHeight w:val="465"/>
        </w:trPr>
        <w:tc>
          <w:tcPr>
            <w:tcW w:w="281" w:type="pct"/>
          </w:tcPr>
          <w:p w:rsidR="00965309" w:rsidRPr="00A33594" w:rsidRDefault="00965309" w:rsidP="00217FB7">
            <w:pPr>
              <w:spacing w:before="100" w:beforeAutospacing="1" w:after="100" w:afterAutospacing="1"/>
              <w:ind w:firstLine="0"/>
              <w:jc w:val="center"/>
              <w:rPr>
                <w:szCs w:val="28"/>
                <w:lang w:eastAsia="lv-LV"/>
              </w:rPr>
            </w:pPr>
            <w:r w:rsidRPr="00A33594">
              <w:rPr>
                <w:szCs w:val="28"/>
                <w:lang w:eastAsia="lv-LV"/>
              </w:rPr>
              <w:lastRenderedPageBreak/>
              <w:t>3.</w:t>
            </w:r>
          </w:p>
        </w:tc>
        <w:tc>
          <w:tcPr>
            <w:tcW w:w="1624" w:type="pct"/>
          </w:tcPr>
          <w:p w:rsidR="00965309" w:rsidRPr="00A33594" w:rsidRDefault="00965309" w:rsidP="00217FB7">
            <w:pPr>
              <w:ind w:firstLine="0"/>
              <w:jc w:val="left"/>
              <w:rPr>
                <w:szCs w:val="28"/>
                <w:lang w:eastAsia="lv-LV"/>
              </w:rPr>
            </w:pPr>
            <w:r w:rsidRPr="00A33594">
              <w:rPr>
                <w:szCs w:val="28"/>
                <w:lang w:eastAsia="lv-LV"/>
              </w:rPr>
              <w:t>Projekta izstrādē iesaistītās institūcijas</w:t>
            </w:r>
            <w:r w:rsidR="00CF15F6" w:rsidRPr="00A33594">
              <w:rPr>
                <w:szCs w:val="28"/>
                <w:lang w:eastAsia="lv-LV"/>
              </w:rPr>
              <w:t xml:space="preserve"> un publiskas personas kapitālsabiedrības</w:t>
            </w:r>
          </w:p>
        </w:tc>
        <w:tc>
          <w:tcPr>
            <w:tcW w:w="3095" w:type="pct"/>
          </w:tcPr>
          <w:p w:rsidR="00965309" w:rsidRPr="00A33594" w:rsidRDefault="00965309" w:rsidP="001F2D8D">
            <w:pPr>
              <w:ind w:firstLine="0"/>
              <w:jc w:val="left"/>
              <w:rPr>
                <w:szCs w:val="28"/>
                <w:lang w:eastAsia="lv-LV"/>
              </w:rPr>
            </w:pPr>
            <w:r w:rsidRPr="00A33594">
              <w:rPr>
                <w:szCs w:val="28"/>
                <w:lang w:eastAsia="lv-LV"/>
              </w:rPr>
              <w:t>Iekšlietu ministrija</w:t>
            </w:r>
            <w:r w:rsidR="00390C55" w:rsidRPr="00A33594">
              <w:rPr>
                <w:szCs w:val="28"/>
                <w:lang w:eastAsia="lv-LV"/>
              </w:rPr>
              <w:t xml:space="preserve">, </w:t>
            </w:r>
            <w:r w:rsidR="001F2D8D" w:rsidRPr="00A33594">
              <w:rPr>
                <w:szCs w:val="28"/>
                <w:lang w:eastAsia="lv-LV"/>
              </w:rPr>
              <w:t>Nodrošinājuma valsts aģentūra</w:t>
            </w:r>
            <w:r w:rsidRPr="00A33594">
              <w:rPr>
                <w:szCs w:val="28"/>
                <w:lang w:eastAsia="lv-LV"/>
              </w:rPr>
              <w:t>.</w:t>
            </w:r>
          </w:p>
        </w:tc>
      </w:tr>
      <w:tr w:rsidR="00965309" w:rsidRPr="00A33594" w:rsidTr="00A07D4D">
        <w:tc>
          <w:tcPr>
            <w:tcW w:w="281" w:type="pct"/>
          </w:tcPr>
          <w:p w:rsidR="00965309" w:rsidRPr="00A33594" w:rsidRDefault="00965309" w:rsidP="00217FB7">
            <w:pPr>
              <w:spacing w:before="100" w:beforeAutospacing="1" w:after="100" w:afterAutospacing="1"/>
              <w:ind w:firstLine="0"/>
              <w:jc w:val="center"/>
              <w:rPr>
                <w:szCs w:val="28"/>
                <w:lang w:eastAsia="lv-LV"/>
              </w:rPr>
            </w:pPr>
            <w:r w:rsidRPr="00A33594">
              <w:rPr>
                <w:szCs w:val="28"/>
                <w:lang w:eastAsia="lv-LV"/>
              </w:rPr>
              <w:t>4.</w:t>
            </w:r>
          </w:p>
        </w:tc>
        <w:tc>
          <w:tcPr>
            <w:tcW w:w="1624" w:type="pct"/>
          </w:tcPr>
          <w:p w:rsidR="00965309" w:rsidRPr="00A33594" w:rsidRDefault="00965309" w:rsidP="00217FB7">
            <w:pPr>
              <w:ind w:firstLine="0"/>
              <w:jc w:val="left"/>
              <w:rPr>
                <w:szCs w:val="28"/>
                <w:lang w:eastAsia="lv-LV"/>
              </w:rPr>
            </w:pPr>
            <w:r w:rsidRPr="00A33594">
              <w:rPr>
                <w:szCs w:val="28"/>
                <w:lang w:eastAsia="lv-LV"/>
              </w:rPr>
              <w:t>Cita informācija</w:t>
            </w:r>
          </w:p>
        </w:tc>
        <w:tc>
          <w:tcPr>
            <w:tcW w:w="3095" w:type="pct"/>
          </w:tcPr>
          <w:p w:rsidR="00965309" w:rsidRPr="00A33594" w:rsidRDefault="00965309" w:rsidP="00217FB7">
            <w:pPr>
              <w:tabs>
                <w:tab w:val="center" w:pos="3516"/>
              </w:tabs>
              <w:spacing w:before="100" w:beforeAutospacing="1" w:after="100" w:afterAutospacing="1"/>
              <w:ind w:firstLine="0"/>
              <w:jc w:val="left"/>
              <w:rPr>
                <w:szCs w:val="28"/>
                <w:lang w:eastAsia="lv-LV"/>
              </w:rPr>
            </w:pPr>
            <w:r w:rsidRPr="00A33594">
              <w:rPr>
                <w:szCs w:val="28"/>
                <w:lang w:eastAsia="lv-LV"/>
              </w:rPr>
              <w:t>Nav.</w:t>
            </w:r>
            <w:r w:rsidR="00D52F89" w:rsidRPr="00A33594">
              <w:rPr>
                <w:szCs w:val="28"/>
                <w:lang w:eastAsia="lv-LV"/>
              </w:rPr>
              <w:tab/>
            </w:r>
          </w:p>
        </w:tc>
      </w:tr>
    </w:tbl>
    <w:p w:rsidR="00394F72" w:rsidRPr="00A33594" w:rsidRDefault="00394F72" w:rsidP="00F50C84">
      <w:pPr>
        <w:ind w:firstLine="0"/>
        <w:jc w:val="left"/>
        <w:rPr>
          <w:szCs w:val="28"/>
          <w:lang w:eastAsia="lv-LV"/>
        </w:rPr>
      </w:pPr>
    </w:p>
    <w:tbl>
      <w:tblPr>
        <w:tblStyle w:val="TableGrid"/>
        <w:tblW w:w="9469" w:type="dxa"/>
        <w:tblInd w:w="-147" w:type="dxa"/>
        <w:tblLook w:val="04A0" w:firstRow="1" w:lastRow="0" w:firstColumn="1" w:lastColumn="0" w:noHBand="0" w:noVBand="1"/>
      </w:tblPr>
      <w:tblGrid>
        <w:gridCol w:w="568"/>
        <w:gridCol w:w="2976"/>
        <w:gridCol w:w="5925"/>
      </w:tblGrid>
      <w:tr w:rsidR="00D1691E" w:rsidRPr="00A33594" w:rsidTr="00772BF6">
        <w:tc>
          <w:tcPr>
            <w:tcW w:w="9469" w:type="dxa"/>
            <w:gridSpan w:val="3"/>
          </w:tcPr>
          <w:p w:rsidR="00D1691E" w:rsidRPr="00A33594" w:rsidRDefault="00D1691E" w:rsidP="00485A47">
            <w:pPr>
              <w:pStyle w:val="NormalWeb"/>
              <w:tabs>
                <w:tab w:val="left" w:pos="552"/>
              </w:tabs>
              <w:spacing w:before="0" w:beforeAutospacing="0" w:after="0" w:afterAutospacing="0"/>
              <w:ind w:firstLine="525"/>
              <w:jc w:val="center"/>
              <w:rPr>
                <w:bCs/>
                <w:color w:val="FF0000"/>
                <w:sz w:val="28"/>
                <w:szCs w:val="28"/>
              </w:rPr>
            </w:pPr>
            <w:r w:rsidRPr="00A33594">
              <w:rPr>
                <w:b/>
                <w:bCs/>
                <w:sz w:val="28"/>
                <w:szCs w:val="28"/>
              </w:rPr>
              <w:t>II. Tiesību akta projekta ietekme uz sabiedrību, tautsaimniecības attīstību un administratīvo slogu</w:t>
            </w:r>
          </w:p>
        </w:tc>
      </w:tr>
      <w:tr w:rsidR="00D1691E" w:rsidRPr="00A33594" w:rsidTr="00772BF6">
        <w:tc>
          <w:tcPr>
            <w:tcW w:w="568" w:type="dxa"/>
          </w:tcPr>
          <w:p w:rsidR="00D1691E" w:rsidRPr="00A33594" w:rsidRDefault="00D1691E" w:rsidP="007A7ADE">
            <w:pPr>
              <w:spacing w:before="100" w:beforeAutospacing="1" w:after="100" w:afterAutospacing="1"/>
              <w:ind w:firstLine="0"/>
              <w:jc w:val="center"/>
              <w:rPr>
                <w:szCs w:val="28"/>
              </w:rPr>
            </w:pPr>
            <w:r w:rsidRPr="00A33594">
              <w:rPr>
                <w:szCs w:val="28"/>
              </w:rPr>
              <w:t>1.</w:t>
            </w:r>
          </w:p>
        </w:tc>
        <w:tc>
          <w:tcPr>
            <w:tcW w:w="2976" w:type="dxa"/>
          </w:tcPr>
          <w:p w:rsidR="00D1691E" w:rsidRPr="00A33594" w:rsidRDefault="00D1691E" w:rsidP="00217E50">
            <w:pPr>
              <w:spacing w:before="100" w:beforeAutospacing="1" w:after="100" w:afterAutospacing="1"/>
              <w:ind w:firstLine="0"/>
              <w:rPr>
                <w:szCs w:val="28"/>
              </w:rPr>
            </w:pPr>
            <w:r w:rsidRPr="00A33594">
              <w:rPr>
                <w:szCs w:val="28"/>
              </w:rPr>
              <w:t>Sabiedrības mērķgrupas, kuras tiesiskais regulējums ietekmē vai varētu ietekmēt</w:t>
            </w:r>
          </w:p>
        </w:tc>
        <w:tc>
          <w:tcPr>
            <w:tcW w:w="5925" w:type="dxa"/>
          </w:tcPr>
          <w:p w:rsidR="00D1691E" w:rsidRPr="00A33594" w:rsidRDefault="00D35E66" w:rsidP="00525338">
            <w:pPr>
              <w:ind w:firstLine="0"/>
              <w:rPr>
                <w:szCs w:val="28"/>
              </w:rPr>
            </w:pPr>
            <w:r w:rsidRPr="00A33594">
              <w:rPr>
                <w:szCs w:val="28"/>
              </w:rPr>
              <w:t>Nodrošinājuma valsts aģentūr</w:t>
            </w:r>
            <w:r w:rsidR="00D74172" w:rsidRPr="00A33594">
              <w:rPr>
                <w:szCs w:val="28"/>
              </w:rPr>
              <w:t>a</w:t>
            </w:r>
            <w:r w:rsidR="003F1BA8" w:rsidRPr="00A33594">
              <w:rPr>
                <w:szCs w:val="28"/>
              </w:rPr>
              <w:t>.</w:t>
            </w:r>
          </w:p>
        </w:tc>
      </w:tr>
      <w:tr w:rsidR="00D1691E" w:rsidRPr="00A33594" w:rsidTr="00772BF6">
        <w:trPr>
          <w:trHeight w:val="284"/>
        </w:trPr>
        <w:tc>
          <w:tcPr>
            <w:tcW w:w="568" w:type="dxa"/>
          </w:tcPr>
          <w:p w:rsidR="00D1691E" w:rsidRPr="00A33594" w:rsidRDefault="00D1691E" w:rsidP="007A7ADE">
            <w:pPr>
              <w:spacing w:before="100" w:beforeAutospacing="1" w:after="100" w:afterAutospacing="1"/>
              <w:ind w:firstLine="0"/>
              <w:jc w:val="center"/>
              <w:rPr>
                <w:szCs w:val="28"/>
              </w:rPr>
            </w:pPr>
            <w:r w:rsidRPr="00A33594">
              <w:rPr>
                <w:szCs w:val="28"/>
              </w:rPr>
              <w:t>2.</w:t>
            </w:r>
          </w:p>
        </w:tc>
        <w:tc>
          <w:tcPr>
            <w:tcW w:w="2976" w:type="dxa"/>
          </w:tcPr>
          <w:p w:rsidR="00D1691E" w:rsidRPr="00A33594" w:rsidRDefault="00D1691E" w:rsidP="00217E50">
            <w:pPr>
              <w:spacing w:before="100" w:beforeAutospacing="1" w:after="100" w:afterAutospacing="1"/>
              <w:ind w:firstLine="0"/>
              <w:rPr>
                <w:szCs w:val="28"/>
              </w:rPr>
            </w:pPr>
            <w:r w:rsidRPr="00A33594">
              <w:rPr>
                <w:szCs w:val="28"/>
              </w:rPr>
              <w:t>Tiesiskā regulējuma ietekme uz tautsaimniecību</w:t>
            </w:r>
            <w:r w:rsidR="006677FF" w:rsidRPr="00A33594">
              <w:rPr>
                <w:szCs w:val="28"/>
              </w:rPr>
              <w:t xml:space="preserve"> </w:t>
            </w:r>
            <w:r w:rsidRPr="00A33594">
              <w:rPr>
                <w:szCs w:val="28"/>
              </w:rPr>
              <w:t>un administratīvo slogu</w:t>
            </w:r>
          </w:p>
        </w:tc>
        <w:tc>
          <w:tcPr>
            <w:tcW w:w="5925" w:type="dxa"/>
          </w:tcPr>
          <w:p w:rsidR="00B46319" w:rsidRPr="00A33594" w:rsidRDefault="002E5CB0" w:rsidP="00DC404C">
            <w:pPr>
              <w:ind w:firstLine="0"/>
              <w:rPr>
                <w:szCs w:val="28"/>
              </w:rPr>
            </w:pPr>
            <w:r w:rsidRPr="00A33594">
              <w:rPr>
                <w:szCs w:val="28"/>
              </w:rPr>
              <w:t>P</w:t>
            </w:r>
            <w:r w:rsidR="009E0DE8" w:rsidRPr="00A33594">
              <w:rPr>
                <w:szCs w:val="28"/>
              </w:rPr>
              <w:t>rojekts p</w:t>
            </w:r>
            <w:r w:rsidR="008C5CEE" w:rsidRPr="00A33594">
              <w:rPr>
                <w:szCs w:val="28"/>
              </w:rPr>
              <w:t>aredz</w:t>
            </w:r>
            <w:r w:rsidR="00511854" w:rsidRPr="00A33594">
              <w:rPr>
                <w:szCs w:val="28"/>
              </w:rPr>
              <w:t>, ka sama</w:t>
            </w:r>
            <w:r w:rsidR="008C5CEE" w:rsidRPr="00A33594">
              <w:rPr>
                <w:szCs w:val="28"/>
              </w:rPr>
              <w:t>zinā</w:t>
            </w:r>
            <w:r w:rsidR="00511854" w:rsidRPr="00A33594">
              <w:rPr>
                <w:szCs w:val="28"/>
              </w:rPr>
              <w:t>sies</w:t>
            </w:r>
            <w:r w:rsidR="008C5CEE" w:rsidRPr="00A33594">
              <w:rPr>
                <w:szCs w:val="28"/>
              </w:rPr>
              <w:t xml:space="preserve"> administratīv</w:t>
            </w:r>
            <w:r w:rsidR="00511854" w:rsidRPr="00A33594">
              <w:rPr>
                <w:szCs w:val="28"/>
              </w:rPr>
              <w:t>ais slogs valsts materiālo rezervju pārvaldīšanas procesā</w:t>
            </w:r>
            <w:r w:rsidRPr="00A33594">
              <w:rPr>
                <w:szCs w:val="28"/>
              </w:rPr>
              <w:t>, jo turpmāk aģentūra neuzglabās valsts materiālās rezerves</w:t>
            </w:r>
            <w:r w:rsidR="00357DA6" w:rsidRPr="00A33594">
              <w:rPr>
                <w:szCs w:val="28"/>
              </w:rPr>
              <w:t xml:space="preserve">, līdz ar to samazināsies darba </w:t>
            </w:r>
            <w:r w:rsidR="00357DA6" w:rsidRPr="00A33594">
              <w:rPr>
                <w:szCs w:val="28"/>
              </w:rPr>
              <w:lastRenderedPageBreak/>
              <w:t>apjoms saistībā ar valsts materiālo rezervju uzskaiti, glabāšanu, norakstīšanu un inventarizāciju, tomēr aģentūra turpinās centralizēti iepirkt un atsavināt iekšlietu nozares vajadzībām nepieciešamās valsts materiālās rezerves</w:t>
            </w:r>
            <w:r w:rsidR="004F72F5" w:rsidRPr="00A33594">
              <w:rPr>
                <w:szCs w:val="28"/>
              </w:rPr>
              <w:t xml:space="preserve">, </w:t>
            </w:r>
            <w:r w:rsidR="00357DA6" w:rsidRPr="00A33594">
              <w:rPr>
                <w:szCs w:val="28"/>
              </w:rPr>
              <w:t xml:space="preserve">apkopos nozaru ministriju ikgadējos pārskatus un sagatavos informatīvo ziņojumu iesniegšanai Ministru kabinetā, </w:t>
            </w:r>
            <w:r w:rsidR="00797FB0" w:rsidRPr="00A33594">
              <w:rPr>
                <w:szCs w:val="28"/>
              </w:rPr>
              <w:t xml:space="preserve">kā arī turpmāk </w:t>
            </w:r>
            <w:r w:rsidR="00357DA6" w:rsidRPr="00A33594">
              <w:rPr>
                <w:szCs w:val="28"/>
              </w:rPr>
              <w:t>apkopos nozaru ministriju sniegtos priekšlikumus valsts materiālo rezervju nomenklatūras izmaiņām un sagatavos valsts materiālo rezervju nomenklatūru iesniegšanai Ministru kabinetā</w:t>
            </w:r>
            <w:r w:rsidR="00797FB0" w:rsidRPr="00A33594">
              <w:rPr>
                <w:szCs w:val="28"/>
              </w:rPr>
              <w:t xml:space="preserve"> un</w:t>
            </w:r>
            <w:r w:rsidR="00357DA6" w:rsidRPr="00A33594">
              <w:rPr>
                <w:szCs w:val="28"/>
              </w:rPr>
              <w:t xml:space="preserve"> kopīgi ar Iekšlietu ministriju nodrošinās procesu koordināciju un atbalsta sniegšanu citām nozaru ministrijām</w:t>
            </w:r>
            <w:r w:rsidR="00797FB0" w:rsidRPr="00A33594">
              <w:rPr>
                <w:szCs w:val="28"/>
              </w:rPr>
              <w:t>, to noteiktām atbildīgajām institūcijām,</w:t>
            </w:r>
            <w:r w:rsidR="00357DA6" w:rsidRPr="00A33594">
              <w:rPr>
                <w:szCs w:val="28"/>
              </w:rPr>
              <w:t xml:space="preserve"> un Iekšlietu ministrijas noteiktām par valsts materiālo rezervju pārvaldīšanu atbildīgām institūcijām</w:t>
            </w:r>
            <w:r w:rsidR="00AD7882" w:rsidRPr="00A33594">
              <w:rPr>
                <w:szCs w:val="28"/>
              </w:rPr>
              <w:t>, kā arī sagatavos starpnozaru prioritārā pasākuma pieteikumu valsts materiālo rezervju veidošanai un pārvaldīšanai nepieciešamo papildu finanšu līdzekļu piešķiršanai</w:t>
            </w:r>
            <w:r w:rsidRPr="00A33594">
              <w:rPr>
                <w:szCs w:val="28"/>
              </w:rPr>
              <w:t>.</w:t>
            </w:r>
          </w:p>
        </w:tc>
      </w:tr>
      <w:tr w:rsidR="00D1691E" w:rsidRPr="00A33594" w:rsidTr="00772BF6">
        <w:trPr>
          <w:trHeight w:val="227"/>
        </w:trPr>
        <w:tc>
          <w:tcPr>
            <w:tcW w:w="568" w:type="dxa"/>
          </w:tcPr>
          <w:p w:rsidR="00D1691E" w:rsidRPr="00A33594" w:rsidRDefault="00D1691E" w:rsidP="007A7ADE">
            <w:pPr>
              <w:spacing w:before="100" w:beforeAutospacing="1" w:after="100" w:afterAutospacing="1"/>
              <w:ind w:firstLine="0"/>
              <w:jc w:val="center"/>
              <w:rPr>
                <w:szCs w:val="28"/>
              </w:rPr>
            </w:pPr>
            <w:r w:rsidRPr="00A33594">
              <w:rPr>
                <w:szCs w:val="28"/>
              </w:rPr>
              <w:lastRenderedPageBreak/>
              <w:t>3.</w:t>
            </w:r>
          </w:p>
        </w:tc>
        <w:tc>
          <w:tcPr>
            <w:tcW w:w="2976" w:type="dxa"/>
          </w:tcPr>
          <w:p w:rsidR="00D1691E" w:rsidRPr="00A33594" w:rsidRDefault="00D1691E" w:rsidP="00217E50">
            <w:pPr>
              <w:spacing w:before="100" w:beforeAutospacing="1" w:after="100" w:afterAutospacing="1"/>
              <w:ind w:firstLine="0"/>
              <w:rPr>
                <w:szCs w:val="28"/>
              </w:rPr>
            </w:pPr>
            <w:r w:rsidRPr="00A33594">
              <w:rPr>
                <w:szCs w:val="28"/>
              </w:rPr>
              <w:t>Administratīvo izmaksu monetārs novērtējums</w:t>
            </w:r>
          </w:p>
        </w:tc>
        <w:tc>
          <w:tcPr>
            <w:tcW w:w="5925" w:type="dxa"/>
          </w:tcPr>
          <w:p w:rsidR="002E5CB0" w:rsidRPr="00A33594" w:rsidRDefault="00B46319" w:rsidP="00DC404C">
            <w:pPr>
              <w:ind w:firstLine="0"/>
              <w:rPr>
                <w:szCs w:val="28"/>
              </w:rPr>
            </w:pPr>
            <w:r w:rsidRPr="00A33594">
              <w:rPr>
                <w:szCs w:val="28"/>
              </w:rPr>
              <w:t>Samazinoties dublējošu dokumentu (galvenokārt grāmatvedības jomā) apritei, neuzglabājot valsts materiālās rezerves</w:t>
            </w:r>
            <w:r w:rsidR="00DC404C" w:rsidRPr="00A33594">
              <w:rPr>
                <w:szCs w:val="28"/>
              </w:rPr>
              <w:t>,</w:t>
            </w:r>
            <w:r w:rsidRPr="00A33594">
              <w:rPr>
                <w:szCs w:val="28"/>
              </w:rPr>
              <w:t xml:space="preserve"> </w:t>
            </w:r>
            <w:r w:rsidR="00DC404C" w:rsidRPr="00A33594">
              <w:rPr>
                <w:szCs w:val="28"/>
              </w:rPr>
              <w:t xml:space="preserve">aģentūrai samazināsies </w:t>
            </w:r>
            <w:r w:rsidRPr="00A33594">
              <w:rPr>
                <w:szCs w:val="28"/>
              </w:rPr>
              <w:t>administratīvās izmaksas.</w:t>
            </w:r>
          </w:p>
        </w:tc>
      </w:tr>
      <w:tr w:rsidR="002E5CB0" w:rsidRPr="00A33594" w:rsidTr="00772BF6">
        <w:trPr>
          <w:trHeight w:val="284"/>
        </w:trPr>
        <w:tc>
          <w:tcPr>
            <w:tcW w:w="568" w:type="dxa"/>
          </w:tcPr>
          <w:p w:rsidR="00D1691E" w:rsidRPr="00A33594" w:rsidRDefault="00372AE8" w:rsidP="007A7ADE">
            <w:pPr>
              <w:spacing w:before="100" w:beforeAutospacing="1" w:after="100" w:afterAutospacing="1"/>
              <w:ind w:firstLine="0"/>
              <w:jc w:val="center"/>
              <w:rPr>
                <w:szCs w:val="28"/>
              </w:rPr>
            </w:pPr>
            <w:r w:rsidRPr="00A33594">
              <w:rPr>
                <w:szCs w:val="28"/>
              </w:rPr>
              <w:t>4.</w:t>
            </w:r>
          </w:p>
        </w:tc>
        <w:tc>
          <w:tcPr>
            <w:tcW w:w="2976" w:type="dxa"/>
          </w:tcPr>
          <w:p w:rsidR="00D1691E" w:rsidRPr="00A33594" w:rsidRDefault="00372AE8" w:rsidP="00217E50">
            <w:pPr>
              <w:spacing w:before="100" w:beforeAutospacing="1" w:after="100" w:afterAutospacing="1"/>
              <w:ind w:firstLine="0"/>
              <w:rPr>
                <w:szCs w:val="28"/>
              </w:rPr>
            </w:pPr>
            <w:r w:rsidRPr="00A33594">
              <w:rPr>
                <w:szCs w:val="28"/>
              </w:rPr>
              <w:t>Atbilstības izmaksu monetārs novērtējums</w:t>
            </w:r>
          </w:p>
        </w:tc>
        <w:tc>
          <w:tcPr>
            <w:tcW w:w="5925" w:type="dxa"/>
          </w:tcPr>
          <w:p w:rsidR="00D1691E" w:rsidRPr="00A33594" w:rsidRDefault="00372AE8" w:rsidP="00023DF8">
            <w:pPr>
              <w:spacing w:before="100" w:beforeAutospacing="1" w:after="100" w:afterAutospacing="1"/>
              <w:ind w:firstLine="0"/>
              <w:rPr>
                <w:szCs w:val="28"/>
              </w:rPr>
            </w:pPr>
            <w:r w:rsidRPr="00A33594">
              <w:rPr>
                <w:szCs w:val="28"/>
              </w:rPr>
              <w:t>Projekts šo jomu neskar.</w:t>
            </w:r>
          </w:p>
        </w:tc>
      </w:tr>
      <w:tr w:rsidR="002E5CB0" w:rsidRPr="00A33594" w:rsidTr="00772BF6">
        <w:trPr>
          <w:trHeight w:val="284"/>
        </w:trPr>
        <w:tc>
          <w:tcPr>
            <w:tcW w:w="568" w:type="dxa"/>
          </w:tcPr>
          <w:p w:rsidR="00372AE8" w:rsidRPr="00A33594" w:rsidRDefault="00372AE8" w:rsidP="00372AE8">
            <w:pPr>
              <w:spacing w:before="100" w:beforeAutospacing="1" w:after="100" w:afterAutospacing="1"/>
              <w:ind w:firstLine="0"/>
              <w:jc w:val="center"/>
              <w:rPr>
                <w:szCs w:val="28"/>
              </w:rPr>
            </w:pPr>
            <w:r w:rsidRPr="00A33594">
              <w:rPr>
                <w:szCs w:val="28"/>
              </w:rPr>
              <w:t>5.</w:t>
            </w:r>
          </w:p>
        </w:tc>
        <w:tc>
          <w:tcPr>
            <w:tcW w:w="2976" w:type="dxa"/>
          </w:tcPr>
          <w:p w:rsidR="00372AE8" w:rsidRPr="00A33594" w:rsidRDefault="00372AE8" w:rsidP="00217E50">
            <w:pPr>
              <w:spacing w:before="100" w:beforeAutospacing="1" w:after="100" w:afterAutospacing="1"/>
              <w:ind w:firstLine="0"/>
              <w:rPr>
                <w:szCs w:val="28"/>
              </w:rPr>
            </w:pPr>
            <w:r w:rsidRPr="00A33594">
              <w:rPr>
                <w:szCs w:val="28"/>
              </w:rPr>
              <w:t>Cita informācija</w:t>
            </w:r>
          </w:p>
        </w:tc>
        <w:tc>
          <w:tcPr>
            <w:tcW w:w="5925" w:type="dxa"/>
          </w:tcPr>
          <w:p w:rsidR="00372AE8" w:rsidRPr="00A33594" w:rsidRDefault="00372AE8" w:rsidP="00023DF8">
            <w:pPr>
              <w:spacing w:before="100" w:beforeAutospacing="1" w:after="100" w:afterAutospacing="1"/>
              <w:ind w:firstLine="0"/>
              <w:rPr>
                <w:szCs w:val="28"/>
              </w:rPr>
            </w:pPr>
            <w:r w:rsidRPr="00A33594">
              <w:rPr>
                <w:szCs w:val="28"/>
              </w:rPr>
              <w:t>Nav.</w:t>
            </w:r>
          </w:p>
        </w:tc>
      </w:tr>
    </w:tbl>
    <w:p w:rsidR="00394F72" w:rsidRPr="00A33594" w:rsidRDefault="00394F72" w:rsidP="00F50C84">
      <w:pPr>
        <w:ind w:firstLine="0"/>
        <w:jc w:val="left"/>
        <w:rPr>
          <w:szCs w:val="28"/>
          <w:lang w:eastAsia="lv-LV"/>
        </w:rPr>
      </w:pPr>
    </w:p>
    <w:tbl>
      <w:tblPr>
        <w:tblStyle w:val="TableGrid"/>
        <w:tblW w:w="9469" w:type="dxa"/>
        <w:tblInd w:w="-147" w:type="dxa"/>
        <w:tblLook w:val="04A0" w:firstRow="1" w:lastRow="0" w:firstColumn="1" w:lastColumn="0" w:noHBand="0" w:noVBand="1"/>
      </w:tblPr>
      <w:tblGrid>
        <w:gridCol w:w="9469"/>
      </w:tblGrid>
      <w:tr w:rsidR="00926206" w:rsidRPr="00A33594" w:rsidTr="00772BF6">
        <w:tc>
          <w:tcPr>
            <w:tcW w:w="9469" w:type="dxa"/>
          </w:tcPr>
          <w:p w:rsidR="00926206" w:rsidRPr="00A33594" w:rsidRDefault="00926206" w:rsidP="00A25C68">
            <w:pPr>
              <w:pStyle w:val="NormalWeb"/>
              <w:tabs>
                <w:tab w:val="left" w:pos="552"/>
                <w:tab w:val="left" w:pos="2145"/>
                <w:tab w:val="center" w:pos="5043"/>
              </w:tabs>
              <w:spacing w:before="0" w:beforeAutospacing="0" w:after="0" w:afterAutospacing="0"/>
              <w:ind w:firstLine="525"/>
              <w:jc w:val="center"/>
              <w:rPr>
                <w:b/>
                <w:bCs/>
                <w:sz w:val="28"/>
                <w:szCs w:val="28"/>
              </w:rPr>
            </w:pPr>
            <w:r w:rsidRPr="00A33594">
              <w:rPr>
                <w:b/>
                <w:bCs/>
                <w:sz w:val="28"/>
                <w:szCs w:val="28"/>
                <w:lang w:eastAsia="en-US"/>
              </w:rPr>
              <w:t>III. Tiesību akta projekta ietekme uz valsts budžetu un pašvaldību budžetiem</w:t>
            </w:r>
          </w:p>
        </w:tc>
      </w:tr>
      <w:tr w:rsidR="00926206" w:rsidRPr="00A33594" w:rsidTr="00772BF6">
        <w:tc>
          <w:tcPr>
            <w:tcW w:w="9469" w:type="dxa"/>
          </w:tcPr>
          <w:p w:rsidR="00926206" w:rsidRPr="00A33594" w:rsidRDefault="00926206" w:rsidP="00926206">
            <w:pPr>
              <w:ind w:left="57" w:firstLine="346"/>
              <w:jc w:val="center"/>
              <w:rPr>
                <w:szCs w:val="28"/>
              </w:rPr>
            </w:pPr>
            <w:r w:rsidRPr="00A33594">
              <w:rPr>
                <w:bCs/>
                <w:szCs w:val="28"/>
              </w:rPr>
              <w:t>Projekts šo jomu neskar</w:t>
            </w:r>
          </w:p>
        </w:tc>
      </w:tr>
    </w:tbl>
    <w:p w:rsidR="00926206" w:rsidRPr="00A33594" w:rsidRDefault="00926206" w:rsidP="00F50C84">
      <w:pPr>
        <w:ind w:firstLine="0"/>
        <w:jc w:val="left"/>
        <w:rPr>
          <w:szCs w:val="28"/>
          <w:lang w:eastAsia="lv-LV"/>
        </w:rPr>
      </w:pPr>
    </w:p>
    <w:tbl>
      <w:tblPr>
        <w:tblStyle w:val="TableGrid"/>
        <w:tblW w:w="9469" w:type="dxa"/>
        <w:tblInd w:w="-147" w:type="dxa"/>
        <w:tblLook w:val="04A0" w:firstRow="1" w:lastRow="0" w:firstColumn="1" w:lastColumn="0" w:noHBand="0" w:noVBand="1"/>
      </w:tblPr>
      <w:tblGrid>
        <w:gridCol w:w="9469"/>
      </w:tblGrid>
      <w:tr w:rsidR="005874FB" w:rsidRPr="00A33594" w:rsidTr="00772BF6">
        <w:tc>
          <w:tcPr>
            <w:tcW w:w="9469" w:type="dxa"/>
          </w:tcPr>
          <w:p w:rsidR="005874FB" w:rsidRPr="00A33594" w:rsidRDefault="00F70DFF" w:rsidP="00F70DFF">
            <w:pPr>
              <w:pStyle w:val="NormalWeb"/>
              <w:tabs>
                <w:tab w:val="left" w:pos="552"/>
                <w:tab w:val="left" w:pos="2145"/>
                <w:tab w:val="center" w:pos="5043"/>
              </w:tabs>
              <w:spacing w:before="0" w:beforeAutospacing="0" w:after="0" w:afterAutospacing="0"/>
              <w:ind w:firstLine="525"/>
              <w:jc w:val="center"/>
              <w:rPr>
                <w:b/>
                <w:bCs/>
                <w:sz w:val="28"/>
                <w:szCs w:val="28"/>
              </w:rPr>
            </w:pPr>
            <w:r w:rsidRPr="00A33594">
              <w:rPr>
                <w:b/>
                <w:bCs/>
                <w:color w:val="0D0D0D" w:themeColor="text1" w:themeTint="F2"/>
                <w:sz w:val="28"/>
                <w:szCs w:val="28"/>
              </w:rPr>
              <w:t>IV. Tiesību akta projekta ietekme uz spēkā esošo tiesību normu sistēmu</w:t>
            </w:r>
          </w:p>
        </w:tc>
      </w:tr>
      <w:tr w:rsidR="005874FB" w:rsidRPr="00A33594" w:rsidTr="00772BF6">
        <w:tc>
          <w:tcPr>
            <w:tcW w:w="9469" w:type="dxa"/>
          </w:tcPr>
          <w:p w:rsidR="005874FB" w:rsidRPr="00A33594" w:rsidRDefault="005874FB" w:rsidP="00A25C68">
            <w:pPr>
              <w:ind w:left="57" w:firstLine="346"/>
              <w:jc w:val="center"/>
              <w:rPr>
                <w:szCs w:val="28"/>
              </w:rPr>
            </w:pPr>
            <w:r w:rsidRPr="00A33594">
              <w:rPr>
                <w:bCs/>
                <w:color w:val="0D0D0D" w:themeColor="text1" w:themeTint="F2"/>
                <w:szCs w:val="28"/>
              </w:rPr>
              <w:t>Projekts šo jomu neskar</w:t>
            </w:r>
          </w:p>
        </w:tc>
      </w:tr>
    </w:tbl>
    <w:p w:rsidR="005874FB" w:rsidRPr="00A33594" w:rsidRDefault="005874FB" w:rsidP="00F50C84">
      <w:pPr>
        <w:ind w:firstLine="0"/>
        <w:jc w:val="left"/>
        <w:rPr>
          <w:szCs w:val="28"/>
          <w:lang w:eastAsia="lv-LV"/>
        </w:rPr>
      </w:pPr>
    </w:p>
    <w:tbl>
      <w:tblPr>
        <w:tblStyle w:val="TableGrid"/>
        <w:tblW w:w="9469" w:type="dxa"/>
        <w:tblInd w:w="-147" w:type="dxa"/>
        <w:tblLook w:val="04A0" w:firstRow="1" w:lastRow="0" w:firstColumn="1" w:lastColumn="0" w:noHBand="0" w:noVBand="1"/>
      </w:tblPr>
      <w:tblGrid>
        <w:gridCol w:w="9469"/>
      </w:tblGrid>
      <w:tr w:rsidR="00F70DFF" w:rsidRPr="00A33594" w:rsidTr="00772BF6">
        <w:tc>
          <w:tcPr>
            <w:tcW w:w="9469" w:type="dxa"/>
          </w:tcPr>
          <w:p w:rsidR="00F70DFF" w:rsidRPr="00A33594" w:rsidRDefault="0091490C" w:rsidP="0091490C">
            <w:pPr>
              <w:pStyle w:val="NormalWeb"/>
              <w:tabs>
                <w:tab w:val="left" w:pos="552"/>
                <w:tab w:val="left" w:pos="2145"/>
                <w:tab w:val="center" w:pos="5043"/>
              </w:tabs>
              <w:spacing w:before="0" w:beforeAutospacing="0" w:after="0" w:afterAutospacing="0"/>
              <w:ind w:firstLine="525"/>
              <w:jc w:val="center"/>
              <w:rPr>
                <w:b/>
                <w:bCs/>
                <w:sz w:val="28"/>
                <w:szCs w:val="28"/>
              </w:rPr>
            </w:pPr>
            <w:r w:rsidRPr="00A33594">
              <w:rPr>
                <w:b/>
                <w:bCs/>
                <w:color w:val="0D0D0D" w:themeColor="text1" w:themeTint="F2"/>
                <w:sz w:val="28"/>
                <w:szCs w:val="28"/>
              </w:rPr>
              <w:t>V. Tiesību akta projekta atbilstība Latvijas Republikas starptautiskajām saistībām</w:t>
            </w:r>
          </w:p>
        </w:tc>
      </w:tr>
      <w:tr w:rsidR="00F70DFF" w:rsidRPr="00A33594" w:rsidTr="00772BF6">
        <w:tc>
          <w:tcPr>
            <w:tcW w:w="9469" w:type="dxa"/>
          </w:tcPr>
          <w:p w:rsidR="00F70DFF" w:rsidRPr="00A33594" w:rsidRDefault="00F70DFF" w:rsidP="00A25C68">
            <w:pPr>
              <w:ind w:left="57" w:firstLine="346"/>
              <w:jc w:val="center"/>
              <w:rPr>
                <w:szCs w:val="28"/>
              </w:rPr>
            </w:pPr>
            <w:r w:rsidRPr="00A33594">
              <w:rPr>
                <w:bCs/>
                <w:color w:val="0D0D0D" w:themeColor="text1" w:themeTint="F2"/>
                <w:szCs w:val="28"/>
              </w:rPr>
              <w:t>Projekts šo jomu neskar</w:t>
            </w:r>
          </w:p>
        </w:tc>
      </w:tr>
    </w:tbl>
    <w:p w:rsidR="005874FB" w:rsidRPr="00A33594" w:rsidRDefault="005874FB" w:rsidP="00F50C84">
      <w:pPr>
        <w:ind w:firstLine="0"/>
        <w:jc w:val="left"/>
        <w:rPr>
          <w:szCs w:val="28"/>
          <w:lang w:eastAsia="lv-LV"/>
        </w:rPr>
      </w:pPr>
    </w:p>
    <w:tbl>
      <w:tblPr>
        <w:tblStyle w:val="TableGrid"/>
        <w:tblW w:w="9469" w:type="dxa"/>
        <w:tblInd w:w="-147" w:type="dxa"/>
        <w:tblLook w:val="04A0" w:firstRow="1" w:lastRow="0" w:firstColumn="1" w:lastColumn="0" w:noHBand="0" w:noVBand="1"/>
      </w:tblPr>
      <w:tblGrid>
        <w:gridCol w:w="687"/>
        <w:gridCol w:w="3240"/>
        <w:gridCol w:w="5542"/>
      </w:tblGrid>
      <w:tr w:rsidR="00394F72" w:rsidRPr="00A33594" w:rsidTr="00772BF6">
        <w:tc>
          <w:tcPr>
            <w:tcW w:w="9469" w:type="dxa"/>
            <w:gridSpan w:val="3"/>
          </w:tcPr>
          <w:p w:rsidR="00394F72" w:rsidRPr="00A33594" w:rsidRDefault="00394F72" w:rsidP="00485A47">
            <w:pPr>
              <w:pStyle w:val="NormalWeb"/>
              <w:tabs>
                <w:tab w:val="left" w:pos="552"/>
                <w:tab w:val="left" w:pos="2145"/>
                <w:tab w:val="center" w:pos="5043"/>
              </w:tabs>
              <w:spacing w:before="0" w:beforeAutospacing="0" w:after="0" w:afterAutospacing="0"/>
              <w:ind w:firstLine="525"/>
              <w:jc w:val="center"/>
              <w:rPr>
                <w:b/>
                <w:bCs/>
                <w:sz w:val="28"/>
                <w:szCs w:val="28"/>
              </w:rPr>
            </w:pPr>
            <w:r w:rsidRPr="00A33594">
              <w:rPr>
                <w:b/>
                <w:bCs/>
                <w:sz w:val="28"/>
                <w:szCs w:val="28"/>
              </w:rPr>
              <w:t>VI. Sabiedrības līdzdalība un komunikācijas aktivitātes</w:t>
            </w:r>
          </w:p>
        </w:tc>
      </w:tr>
      <w:tr w:rsidR="00394F72" w:rsidRPr="00A33594" w:rsidTr="00772BF6">
        <w:tc>
          <w:tcPr>
            <w:tcW w:w="687" w:type="dxa"/>
          </w:tcPr>
          <w:p w:rsidR="00394F72" w:rsidRPr="00A33594" w:rsidRDefault="00394F72" w:rsidP="00592E2E">
            <w:pPr>
              <w:spacing w:before="100" w:beforeAutospacing="1" w:after="100" w:afterAutospacing="1"/>
              <w:ind w:firstLine="29"/>
              <w:rPr>
                <w:szCs w:val="28"/>
              </w:rPr>
            </w:pPr>
            <w:r w:rsidRPr="00A33594">
              <w:rPr>
                <w:szCs w:val="28"/>
              </w:rPr>
              <w:t>1.</w:t>
            </w:r>
          </w:p>
        </w:tc>
        <w:tc>
          <w:tcPr>
            <w:tcW w:w="3240" w:type="dxa"/>
          </w:tcPr>
          <w:p w:rsidR="00394F72" w:rsidRPr="00A33594" w:rsidRDefault="00394F72" w:rsidP="00525338">
            <w:pPr>
              <w:spacing w:before="100" w:beforeAutospacing="1" w:after="100" w:afterAutospacing="1"/>
              <w:ind w:firstLine="0"/>
              <w:rPr>
                <w:szCs w:val="28"/>
              </w:rPr>
            </w:pPr>
            <w:r w:rsidRPr="00A33594">
              <w:rPr>
                <w:szCs w:val="28"/>
                <w:shd w:val="clear" w:color="auto" w:fill="FFFFFF"/>
              </w:rPr>
              <w:t xml:space="preserve">Plānotās sabiedrības līdzdalības un </w:t>
            </w:r>
            <w:r w:rsidRPr="00A33594">
              <w:rPr>
                <w:szCs w:val="28"/>
                <w:shd w:val="clear" w:color="auto" w:fill="FFFFFF"/>
              </w:rPr>
              <w:lastRenderedPageBreak/>
              <w:t>komunikācijas aktivitātes saistībā ar projektu</w:t>
            </w:r>
          </w:p>
        </w:tc>
        <w:tc>
          <w:tcPr>
            <w:tcW w:w="5542" w:type="dxa"/>
          </w:tcPr>
          <w:p w:rsidR="00525338" w:rsidRPr="00A33594" w:rsidRDefault="00337858" w:rsidP="00530F69">
            <w:pPr>
              <w:ind w:firstLine="0"/>
              <w:rPr>
                <w:color w:val="000000" w:themeColor="text1"/>
                <w:szCs w:val="28"/>
              </w:rPr>
            </w:pPr>
            <w:r w:rsidRPr="00A33594">
              <w:rPr>
                <w:color w:val="000000" w:themeColor="text1"/>
                <w:szCs w:val="28"/>
              </w:rPr>
              <w:lastRenderedPageBreak/>
              <w:t>Sabiedrības līdzdalība netiek plānota.</w:t>
            </w:r>
          </w:p>
          <w:p w:rsidR="00394F72" w:rsidRPr="00A33594" w:rsidRDefault="00337858" w:rsidP="00337858">
            <w:pPr>
              <w:ind w:firstLine="0"/>
              <w:rPr>
                <w:color w:val="000000" w:themeColor="text1"/>
                <w:szCs w:val="28"/>
              </w:rPr>
            </w:pPr>
            <w:r w:rsidRPr="00A33594">
              <w:rPr>
                <w:szCs w:val="28"/>
              </w:rPr>
              <w:t xml:space="preserve">Projekts pēc izsludināšanas valsts sekretāru </w:t>
            </w:r>
            <w:r w:rsidRPr="00A33594">
              <w:rPr>
                <w:szCs w:val="28"/>
              </w:rPr>
              <w:lastRenderedPageBreak/>
              <w:t>sanāksmē ir pieejams</w:t>
            </w:r>
            <w:r w:rsidR="008A3735" w:rsidRPr="00A33594">
              <w:rPr>
                <w:szCs w:val="28"/>
              </w:rPr>
              <w:t xml:space="preserve"> Ministru kabineta tīmekļvietnē</w:t>
            </w:r>
            <w:r w:rsidRPr="00A33594">
              <w:rPr>
                <w:szCs w:val="28"/>
              </w:rPr>
              <w:t xml:space="preserve"> </w:t>
            </w:r>
            <w:hyperlink r:id="rId8" w:history="1">
              <w:r w:rsidRPr="00A33594">
                <w:rPr>
                  <w:rStyle w:val="Hyperlink"/>
                  <w:color w:val="auto"/>
                  <w:szCs w:val="28"/>
                  <w:u w:val="none"/>
                </w:rPr>
                <w:t>www.mk.gov.lv</w:t>
              </w:r>
            </w:hyperlink>
            <w:r w:rsidRPr="00A33594">
              <w:rPr>
                <w:szCs w:val="28"/>
              </w:rPr>
              <w:t>.</w:t>
            </w:r>
          </w:p>
        </w:tc>
      </w:tr>
      <w:tr w:rsidR="00394F72" w:rsidRPr="00A33594" w:rsidTr="00772BF6">
        <w:trPr>
          <w:trHeight w:val="284"/>
        </w:trPr>
        <w:tc>
          <w:tcPr>
            <w:tcW w:w="687" w:type="dxa"/>
          </w:tcPr>
          <w:p w:rsidR="00394F72" w:rsidRPr="00A33594" w:rsidRDefault="00394F72" w:rsidP="00592E2E">
            <w:pPr>
              <w:spacing w:before="100" w:beforeAutospacing="1" w:after="100" w:afterAutospacing="1"/>
              <w:ind w:firstLine="29"/>
              <w:rPr>
                <w:szCs w:val="28"/>
              </w:rPr>
            </w:pPr>
            <w:r w:rsidRPr="00A33594">
              <w:rPr>
                <w:szCs w:val="28"/>
              </w:rPr>
              <w:lastRenderedPageBreak/>
              <w:t>2.</w:t>
            </w:r>
          </w:p>
        </w:tc>
        <w:tc>
          <w:tcPr>
            <w:tcW w:w="3240" w:type="dxa"/>
          </w:tcPr>
          <w:p w:rsidR="00394F72" w:rsidRPr="00A33594" w:rsidRDefault="00394F72" w:rsidP="00716E22">
            <w:pPr>
              <w:spacing w:before="100" w:beforeAutospacing="1" w:after="100" w:afterAutospacing="1"/>
              <w:ind w:firstLine="0"/>
              <w:rPr>
                <w:szCs w:val="28"/>
              </w:rPr>
            </w:pPr>
            <w:r w:rsidRPr="00A33594">
              <w:rPr>
                <w:szCs w:val="28"/>
                <w:shd w:val="clear" w:color="auto" w:fill="FFFFFF"/>
              </w:rPr>
              <w:t>Sabiedrības līdzdalība projekta izstrādē</w:t>
            </w:r>
          </w:p>
        </w:tc>
        <w:tc>
          <w:tcPr>
            <w:tcW w:w="5542" w:type="dxa"/>
          </w:tcPr>
          <w:p w:rsidR="00394F72" w:rsidRPr="00A33594" w:rsidRDefault="0075691E" w:rsidP="00D24E47">
            <w:pPr>
              <w:ind w:firstLine="0"/>
              <w:jc w:val="left"/>
              <w:rPr>
                <w:szCs w:val="28"/>
              </w:rPr>
            </w:pPr>
            <w:r w:rsidRPr="00A33594">
              <w:rPr>
                <w:iCs/>
                <w:color w:val="000000" w:themeColor="text1"/>
                <w:szCs w:val="28"/>
                <w:lang w:eastAsia="lv-LV"/>
              </w:rPr>
              <w:t>Nav.</w:t>
            </w:r>
          </w:p>
        </w:tc>
      </w:tr>
      <w:tr w:rsidR="00394F72" w:rsidRPr="00A33594" w:rsidTr="00772BF6">
        <w:trPr>
          <w:trHeight w:val="284"/>
        </w:trPr>
        <w:tc>
          <w:tcPr>
            <w:tcW w:w="687" w:type="dxa"/>
          </w:tcPr>
          <w:p w:rsidR="00394F72" w:rsidRPr="00A33594" w:rsidRDefault="00394F72" w:rsidP="00592E2E">
            <w:pPr>
              <w:spacing w:before="100" w:beforeAutospacing="1" w:after="100" w:afterAutospacing="1"/>
              <w:ind w:firstLine="29"/>
              <w:rPr>
                <w:szCs w:val="28"/>
              </w:rPr>
            </w:pPr>
            <w:r w:rsidRPr="00A33594">
              <w:rPr>
                <w:szCs w:val="28"/>
              </w:rPr>
              <w:t>3.</w:t>
            </w:r>
          </w:p>
        </w:tc>
        <w:tc>
          <w:tcPr>
            <w:tcW w:w="3240" w:type="dxa"/>
          </w:tcPr>
          <w:p w:rsidR="00394F72" w:rsidRPr="00A33594" w:rsidRDefault="00394F72" w:rsidP="00716E22">
            <w:pPr>
              <w:spacing w:before="100" w:beforeAutospacing="1" w:after="100" w:afterAutospacing="1"/>
              <w:ind w:firstLine="0"/>
              <w:rPr>
                <w:szCs w:val="28"/>
              </w:rPr>
            </w:pPr>
            <w:r w:rsidRPr="00A33594">
              <w:rPr>
                <w:szCs w:val="28"/>
                <w:shd w:val="clear" w:color="auto" w:fill="FFFFFF"/>
              </w:rPr>
              <w:t>Sabiedrības līdzdalības rezultāti</w:t>
            </w:r>
          </w:p>
        </w:tc>
        <w:tc>
          <w:tcPr>
            <w:tcW w:w="5542" w:type="dxa"/>
          </w:tcPr>
          <w:p w:rsidR="00394F72" w:rsidRPr="00A33594" w:rsidRDefault="00753EF2" w:rsidP="00D24E47">
            <w:pPr>
              <w:ind w:firstLine="0"/>
              <w:jc w:val="left"/>
              <w:rPr>
                <w:szCs w:val="28"/>
              </w:rPr>
            </w:pPr>
            <w:r w:rsidRPr="00A33594">
              <w:rPr>
                <w:szCs w:val="28"/>
              </w:rPr>
              <w:t>Priekšlikumu nav.</w:t>
            </w:r>
          </w:p>
        </w:tc>
      </w:tr>
      <w:tr w:rsidR="00394F72" w:rsidRPr="00A33594" w:rsidTr="00772BF6">
        <w:trPr>
          <w:trHeight w:val="284"/>
        </w:trPr>
        <w:tc>
          <w:tcPr>
            <w:tcW w:w="687" w:type="dxa"/>
          </w:tcPr>
          <w:p w:rsidR="00394F72" w:rsidRPr="00A33594" w:rsidRDefault="00394F72" w:rsidP="00592E2E">
            <w:pPr>
              <w:spacing w:before="100" w:beforeAutospacing="1" w:after="100" w:afterAutospacing="1"/>
              <w:ind w:firstLine="29"/>
              <w:rPr>
                <w:szCs w:val="28"/>
              </w:rPr>
            </w:pPr>
            <w:r w:rsidRPr="00A33594">
              <w:rPr>
                <w:szCs w:val="28"/>
              </w:rPr>
              <w:t>4.</w:t>
            </w:r>
          </w:p>
        </w:tc>
        <w:tc>
          <w:tcPr>
            <w:tcW w:w="3240" w:type="dxa"/>
          </w:tcPr>
          <w:p w:rsidR="00394F72" w:rsidRPr="00A33594" w:rsidRDefault="00394F72" w:rsidP="00716E22">
            <w:pPr>
              <w:spacing w:before="100" w:beforeAutospacing="1" w:after="100" w:afterAutospacing="1"/>
              <w:ind w:firstLine="0"/>
              <w:rPr>
                <w:szCs w:val="28"/>
              </w:rPr>
            </w:pPr>
            <w:r w:rsidRPr="00A33594">
              <w:rPr>
                <w:szCs w:val="28"/>
                <w:shd w:val="clear" w:color="auto" w:fill="FFFFFF"/>
              </w:rPr>
              <w:t>Cita informācija</w:t>
            </w:r>
          </w:p>
        </w:tc>
        <w:tc>
          <w:tcPr>
            <w:tcW w:w="5542" w:type="dxa"/>
          </w:tcPr>
          <w:p w:rsidR="00394F72" w:rsidRPr="00A33594" w:rsidRDefault="00394F72" w:rsidP="00D24E47">
            <w:pPr>
              <w:spacing w:before="100" w:beforeAutospacing="1" w:after="100" w:afterAutospacing="1"/>
              <w:ind w:firstLine="0"/>
              <w:jc w:val="left"/>
              <w:rPr>
                <w:szCs w:val="28"/>
              </w:rPr>
            </w:pPr>
            <w:r w:rsidRPr="00A33594">
              <w:rPr>
                <w:szCs w:val="28"/>
              </w:rPr>
              <w:t>Nav.</w:t>
            </w:r>
          </w:p>
        </w:tc>
      </w:tr>
    </w:tbl>
    <w:p w:rsidR="008D64D3" w:rsidRPr="00A33594" w:rsidRDefault="008D64D3" w:rsidP="00F50C84">
      <w:pPr>
        <w:ind w:firstLine="0"/>
        <w:jc w:val="left"/>
        <w:rPr>
          <w:szCs w:val="28"/>
          <w:lang w:eastAsia="lv-LV"/>
        </w:rPr>
      </w:pPr>
    </w:p>
    <w:tbl>
      <w:tblPr>
        <w:tblStyle w:val="TableGrid"/>
        <w:tblW w:w="5098" w:type="pct"/>
        <w:tblInd w:w="-147" w:type="dxa"/>
        <w:tblLook w:val="00A0" w:firstRow="1" w:lastRow="0" w:firstColumn="1" w:lastColumn="0" w:noHBand="0" w:noVBand="0"/>
      </w:tblPr>
      <w:tblGrid>
        <w:gridCol w:w="668"/>
        <w:gridCol w:w="3197"/>
        <w:gridCol w:w="5604"/>
      </w:tblGrid>
      <w:tr w:rsidR="00965309" w:rsidRPr="00A33594" w:rsidTr="00772BF6">
        <w:trPr>
          <w:trHeight w:val="375"/>
        </w:trPr>
        <w:tc>
          <w:tcPr>
            <w:tcW w:w="5000" w:type="pct"/>
            <w:gridSpan w:val="3"/>
          </w:tcPr>
          <w:p w:rsidR="00965309" w:rsidRPr="00A33594" w:rsidRDefault="00510DE8" w:rsidP="00862D0F">
            <w:pPr>
              <w:spacing w:before="100" w:beforeAutospacing="1" w:after="100" w:afterAutospacing="1"/>
              <w:ind w:firstLine="0"/>
              <w:jc w:val="center"/>
              <w:rPr>
                <w:b/>
                <w:bCs/>
                <w:szCs w:val="28"/>
                <w:lang w:eastAsia="lv-LV"/>
              </w:rPr>
            </w:pPr>
            <w:r w:rsidRPr="00A33594">
              <w:rPr>
                <w:b/>
                <w:bCs/>
                <w:szCs w:val="28"/>
                <w:lang w:eastAsia="lv-LV"/>
              </w:rPr>
              <w:t>VII</w:t>
            </w:r>
            <w:r w:rsidR="00965309" w:rsidRPr="00A33594">
              <w:rPr>
                <w:b/>
                <w:bCs/>
                <w:szCs w:val="28"/>
                <w:lang w:eastAsia="lv-LV"/>
              </w:rPr>
              <w:t>. Tiesību akta projekta izpildes nodrošināšana un tās ietekme uz institūcijām</w:t>
            </w:r>
          </w:p>
        </w:tc>
      </w:tr>
      <w:tr w:rsidR="00965309" w:rsidRPr="00A33594" w:rsidTr="00772BF6">
        <w:trPr>
          <w:trHeight w:val="420"/>
        </w:trPr>
        <w:tc>
          <w:tcPr>
            <w:tcW w:w="353" w:type="pct"/>
          </w:tcPr>
          <w:p w:rsidR="00965309" w:rsidRPr="00A33594" w:rsidRDefault="00965309" w:rsidP="00862D0F">
            <w:pPr>
              <w:ind w:firstLine="0"/>
              <w:jc w:val="left"/>
              <w:rPr>
                <w:szCs w:val="28"/>
                <w:lang w:eastAsia="lv-LV"/>
              </w:rPr>
            </w:pPr>
            <w:r w:rsidRPr="00A33594">
              <w:rPr>
                <w:szCs w:val="28"/>
                <w:lang w:eastAsia="lv-LV"/>
              </w:rPr>
              <w:t>1.</w:t>
            </w:r>
          </w:p>
        </w:tc>
        <w:tc>
          <w:tcPr>
            <w:tcW w:w="1688" w:type="pct"/>
          </w:tcPr>
          <w:p w:rsidR="00965309" w:rsidRPr="00A33594" w:rsidRDefault="00965309" w:rsidP="00862D0F">
            <w:pPr>
              <w:ind w:firstLine="0"/>
              <w:jc w:val="left"/>
              <w:rPr>
                <w:szCs w:val="28"/>
                <w:lang w:eastAsia="lv-LV"/>
              </w:rPr>
            </w:pPr>
            <w:r w:rsidRPr="00A33594">
              <w:rPr>
                <w:szCs w:val="28"/>
                <w:lang w:eastAsia="lv-LV"/>
              </w:rPr>
              <w:t>Projekta izpildē iesaistītās institūcijas</w:t>
            </w:r>
          </w:p>
        </w:tc>
        <w:tc>
          <w:tcPr>
            <w:tcW w:w="2959" w:type="pct"/>
          </w:tcPr>
          <w:p w:rsidR="00965309" w:rsidRPr="00A33594" w:rsidRDefault="004458C3" w:rsidP="00023DF8">
            <w:pPr>
              <w:ind w:firstLine="0"/>
              <w:rPr>
                <w:szCs w:val="28"/>
                <w:lang w:eastAsia="lv-LV"/>
              </w:rPr>
            </w:pPr>
            <w:r w:rsidRPr="00A33594">
              <w:rPr>
                <w:szCs w:val="28"/>
                <w:lang w:eastAsia="lv-LV"/>
              </w:rPr>
              <w:t xml:space="preserve">Iekšlietu ministrija, </w:t>
            </w:r>
            <w:r w:rsidR="00530F69" w:rsidRPr="00A33594">
              <w:rPr>
                <w:szCs w:val="28"/>
                <w:lang w:eastAsia="lv-LV"/>
              </w:rPr>
              <w:t>Nodrošinājuma valsts aģentūra</w:t>
            </w:r>
            <w:r w:rsidR="0078077B" w:rsidRPr="00A33594">
              <w:rPr>
                <w:szCs w:val="28"/>
                <w:lang w:eastAsia="lv-LV"/>
              </w:rPr>
              <w:t>.</w:t>
            </w:r>
            <w:r w:rsidR="0039002B" w:rsidRPr="00A33594">
              <w:rPr>
                <w:szCs w:val="28"/>
                <w:lang w:eastAsia="lv-LV"/>
              </w:rPr>
              <w:t xml:space="preserve"> </w:t>
            </w:r>
          </w:p>
        </w:tc>
      </w:tr>
      <w:tr w:rsidR="00965309" w:rsidRPr="00A33594" w:rsidTr="00772BF6">
        <w:trPr>
          <w:trHeight w:val="450"/>
        </w:trPr>
        <w:tc>
          <w:tcPr>
            <w:tcW w:w="353" w:type="pct"/>
          </w:tcPr>
          <w:p w:rsidR="00965309" w:rsidRPr="00A33594" w:rsidRDefault="00965309" w:rsidP="00862D0F">
            <w:pPr>
              <w:ind w:firstLine="0"/>
              <w:jc w:val="left"/>
              <w:rPr>
                <w:szCs w:val="28"/>
                <w:lang w:eastAsia="lv-LV"/>
              </w:rPr>
            </w:pPr>
            <w:r w:rsidRPr="00A33594">
              <w:rPr>
                <w:szCs w:val="28"/>
                <w:lang w:eastAsia="lv-LV"/>
              </w:rPr>
              <w:t>2.</w:t>
            </w:r>
          </w:p>
        </w:tc>
        <w:tc>
          <w:tcPr>
            <w:tcW w:w="1688" w:type="pct"/>
          </w:tcPr>
          <w:p w:rsidR="00965309" w:rsidRPr="00A33594" w:rsidRDefault="00965309" w:rsidP="00FF7CC5">
            <w:pPr>
              <w:ind w:firstLine="0"/>
              <w:rPr>
                <w:szCs w:val="28"/>
                <w:lang w:eastAsia="lv-LV"/>
              </w:rPr>
            </w:pPr>
            <w:r w:rsidRPr="00A33594">
              <w:rPr>
                <w:szCs w:val="28"/>
                <w:lang w:eastAsia="lv-LV"/>
              </w:rPr>
              <w:t>Projekta izpildes ietekme uz pārvaldes funkcijām un institucionālo struktūru.</w:t>
            </w:r>
            <w:r w:rsidR="00FF7CC5" w:rsidRPr="00A33594">
              <w:rPr>
                <w:szCs w:val="28"/>
                <w:lang w:eastAsia="lv-LV"/>
              </w:rPr>
              <w:t xml:space="preserve"> </w:t>
            </w:r>
            <w:r w:rsidRPr="00A33594">
              <w:rPr>
                <w:szCs w:val="28"/>
                <w:lang w:eastAsia="lv-LV"/>
              </w:rPr>
              <w:t>Jaunu institūciju izveide, esošu institūciju likvidācija vai reorganizācija, to ietekme uz institūcijas cilvēkresursiem.</w:t>
            </w:r>
          </w:p>
        </w:tc>
        <w:tc>
          <w:tcPr>
            <w:tcW w:w="2959" w:type="pct"/>
          </w:tcPr>
          <w:p w:rsidR="00965309" w:rsidRPr="00A33594" w:rsidRDefault="00390C55" w:rsidP="00EF1A41">
            <w:pPr>
              <w:ind w:right="140" w:firstLine="0"/>
              <w:rPr>
                <w:szCs w:val="28"/>
              </w:rPr>
            </w:pPr>
            <w:r w:rsidRPr="00A33594">
              <w:rPr>
                <w:rFonts w:eastAsia="Times New Roman"/>
                <w:bCs/>
                <w:szCs w:val="28"/>
                <w:lang w:eastAsia="lv-LV"/>
              </w:rPr>
              <w:t>Jaunas funkcijas un uzdevumi netiek radīti</w:t>
            </w:r>
            <w:r w:rsidR="002467CA" w:rsidRPr="00A33594">
              <w:rPr>
                <w:rFonts w:eastAsia="Times New Roman"/>
                <w:bCs/>
                <w:szCs w:val="28"/>
                <w:lang w:eastAsia="lv-LV"/>
              </w:rPr>
              <w:t>, j</w:t>
            </w:r>
            <w:r w:rsidRPr="00A33594">
              <w:rPr>
                <w:rFonts w:eastAsia="Times New Roman"/>
                <w:bCs/>
                <w:szCs w:val="28"/>
                <w:lang w:eastAsia="lv-LV"/>
              </w:rPr>
              <w:t xml:space="preserve">aunas institūcijas netiks veidotas. </w:t>
            </w:r>
            <w:r w:rsidR="004458C3" w:rsidRPr="00A33594">
              <w:rPr>
                <w:rFonts w:eastAsia="Times New Roman"/>
                <w:bCs/>
                <w:szCs w:val="28"/>
                <w:lang w:eastAsia="lv-LV"/>
              </w:rPr>
              <w:t>Projekts paredz uzdevumu pārņemšanu nozares ietvaros un projekta izpilde tiks nodrošināta nozare</w:t>
            </w:r>
            <w:r w:rsidR="00EF1A41" w:rsidRPr="00A33594">
              <w:rPr>
                <w:rFonts w:eastAsia="Times New Roman"/>
                <w:bCs/>
                <w:szCs w:val="28"/>
                <w:lang w:eastAsia="lv-LV"/>
              </w:rPr>
              <w:t>s esošo cilvēkresursu ietvaros.</w:t>
            </w:r>
          </w:p>
        </w:tc>
      </w:tr>
      <w:tr w:rsidR="00965309" w:rsidRPr="00A33594" w:rsidTr="00772BF6">
        <w:trPr>
          <w:trHeight w:val="390"/>
        </w:trPr>
        <w:tc>
          <w:tcPr>
            <w:tcW w:w="353" w:type="pct"/>
          </w:tcPr>
          <w:p w:rsidR="00965309" w:rsidRPr="00A33594" w:rsidRDefault="00965309" w:rsidP="00862D0F">
            <w:pPr>
              <w:ind w:firstLine="0"/>
              <w:jc w:val="left"/>
              <w:rPr>
                <w:szCs w:val="28"/>
                <w:lang w:eastAsia="lv-LV"/>
              </w:rPr>
            </w:pPr>
            <w:r w:rsidRPr="00A33594">
              <w:rPr>
                <w:szCs w:val="28"/>
                <w:lang w:eastAsia="lv-LV"/>
              </w:rPr>
              <w:t>3.</w:t>
            </w:r>
          </w:p>
        </w:tc>
        <w:tc>
          <w:tcPr>
            <w:tcW w:w="1688" w:type="pct"/>
          </w:tcPr>
          <w:p w:rsidR="00965309" w:rsidRPr="00A33594" w:rsidRDefault="00965309" w:rsidP="00862D0F">
            <w:pPr>
              <w:ind w:firstLine="0"/>
              <w:jc w:val="left"/>
              <w:rPr>
                <w:szCs w:val="28"/>
                <w:lang w:eastAsia="lv-LV"/>
              </w:rPr>
            </w:pPr>
            <w:r w:rsidRPr="00A33594">
              <w:rPr>
                <w:szCs w:val="28"/>
                <w:lang w:eastAsia="lv-LV"/>
              </w:rPr>
              <w:t>Cita informācija</w:t>
            </w:r>
          </w:p>
        </w:tc>
        <w:tc>
          <w:tcPr>
            <w:tcW w:w="2959" w:type="pct"/>
          </w:tcPr>
          <w:p w:rsidR="00965309" w:rsidRPr="00A33594" w:rsidRDefault="00965309" w:rsidP="00862D0F">
            <w:pPr>
              <w:spacing w:before="100" w:beforeAutospacing="1" w:after="100" w:afterAutospacing="1"/>
              <w:ind w:firstLine="0"/>
              <w:jc w:val="left"/>
              <w:rPr>
                <w:szCs w:val="28"/>
                <w:lang w:eastAsia="lv-LV"/>
              </w:rPr>
            </w:pPr>
            <w:r w:rsidRPr="00A33594">
              <w:rPr>
                <w:szCs w:val="28"/>
                <w:lang w:eastAsia="lv-LV"/>
              </w:rPr>
              <w:t>Nav.</w:t>
            </w:r>
          </w:p>
        </w:tc>
      </w:tr>
    </w:tbl>
    <w:p w:rsidR="00772BF6" w:rsidRDefault="00772BF6" w:rsidP="00226A78">
      <w:pPr>
        <w:tabs>
          <w:tab w:val="right" w:pos="9071"/>
        </w:tabs>
        <w:ind w:firstLine="0"/>
        <w:rPr>
          <w:szCs w:val="28"/>
        </w:rPr>
      </w:pPr>
    </w:p>
    <w:p w:rsidR="00C55B94" w:rsidRPr="00A33594" w:rsidRDefault="00C55B94" w:rsidP="00226A78">
      <w:pPr>
        <w:tabs>
          <w:tab w:val="right" w:pos="9071"/>
        </w:tabs>
        <w:ind w:firstLine="0"/>
        <w:rPr>
          <w:szCs w:val="28"/>
        </w:rPr>
      </w:pPr>
    </w:p>
    <w:p w:rsidR="00965309" w:rsidRPr="00A33594" w:rsidRDefault="00965309" w:rsidP="00226A78">
      <w:pPr>
        <w:tabs>
          <w:tab w:val="right" w:pos="9071"/>
        </w:tabs>
        <w:ind w:firstLine="0"/>
        <w:rPr>
          <w:szCs w:val="28"/>
        </w:rPr>
      </w:pPr>
      <w:r w:rsidRPr="00A33594">
        <w:rPr>
          <w:szCs w:val="28"/>
        </w:rPr>
        <w:t>Iekšlietu ministrs</w:t>
      </w:r>
      <w:r w:rsidRPr="00A33594">
        <w:rPr>
          <w:szCs w:val="28"/>
        </w:rPr>
        <w:tab/>
      </w:r>
      <w:r w:rsidR="00535677" w:rsidRPr="00A33594">
        <w:rPr>
          <w:szCs w:val="28"/>
        </w:rPr>
        <w:t>Sandis</w:t>
      </w:r>
      <w:r w:rsidR="0099080B" w:rsidRPr="00A33594">
        <w:rPr>
          <w:szCs w:val="28"/>
        </w:rPr>
        <w:t xml:space="preserve"> </w:t>
      </w:r>
      <w:proofErr w:type="spellStart"/>
      <w:r w:rsidR="00535677" w:rsidRPr="00A33594">
        <w:rPr>
          <w:szCs w:val="28"/>
        </w:rPr>
        <w:t>Ģir</w:t>
      </w:r>
      <w:r w:rsidR="00343F24" w:rsidRPr="00A33594">
        <w:rPr>
          <w:szCs w:val="28"/>
        </w:rPr>
        <w:t>ģ</w:t>
      </w:r>
      <w:r w:rsidR="00535677" w:rsidRPr="00A33594">
        <w:rPr>
          <w:szCs w:val="28"/>
        </w:rPr>
        <w:t>ens</w:t>
      </w:r>
      <w:proofErr w:type="spellEnd"/>
    </w:p>
    <w:p w:rsidR="00965309" w:rsidRPr="00A33594" w:rsidRDefault="00965309" w:rsidP="00140597">
      <w:pPr>
        <w:ind w:firstLine="0"/>
        <w:rPr>
          <w:szCs w:val="28"/>
        </w:rPr>
      </w:pPr>
    </w:p>
    <w:p w:rsidR="00965309" w:rsidRPr="00A33594" w:rsidRDefault="0099080B" w:rsidP="00C55B94">
      <w:pPr>
        <w:ind w:firstLine="0"/>
        <w:rPr>
          <w:szCs w:val="28"/>
        </w:rPr>
      </w:pPr>
      <w:r w:rsidRPr="00A33594">
        <w:rPr>
          <w:szCs w:val="28"/>
        </w:rPr>
        <w:t>Vīza:</w:t>
      </w:r>
      <w:r w:rsidR="00C55B94">
        <w:rPr>
          <w:szCs w:val="28"/>
        </w:rPr>
        <w:t xml:space="preserve"> </w:t>
      </w:r>
      <w:r w:rsidR="000D79E6" w:rsidRPr="00A33594">
        <w:rPr>
          <w:szCs w:val="28"/>
        </w:rPr>
        <w:t>v</w:t>
      </w:r>
      <w:r w:rsidR="00965309" w:rsidRPr="00A33594">
        <w:rPr>
          <w:szCs w:val="28"/>
        </w:rPr>
        <w:t>alsts sekretār</w:t>
      </w:r>
      <w:r w:rsidRPr="00A33594">
        <w:rPr>
          <w:szCs w:val="28"/>
        </w:rPr>
        <w:t>s</w:t>
      </w:r>
      <w:r w:rsidR="00965309" w:rsidRPr="00A33594">
        <w:rPr>
          <w:szCs w:val="28"/>
        </w:rPr>
        <w:tab/>
      </w:r>
      <w:r w:rsidR="00C55B94">
        <w:rPr>
          <w:szCs w:val="28"/>
        </w:rPr>
        <w:tab/>
      </w:r>
      <w:r w:rsidR="00C55B94">
        <w:rPr>
          <w:szCs w:val="28"/>
        </w:rPr>
        <w:tab/>
      </w:r>
      <w:r w:rsidR="00C55B94">
        <w:rPr>
          <w:szCs w:val="28"/>
        </w:rPr>
        <w:tab/>
      </w:r>
      <w:r w:rsidR="00C55B94">
        <w:rPr>
          <w:szCs w:val="28"/>
        </w:rPr>
        <w:tab/>
      </w:r>
      <w:r w:rsidR="00C55B94">
        <w:rPr>
          <w:szCs w:val="28"/>
        </w:rPr>
        <w:tab/>
        <w:t xml:space="preserve">    </w:t>
      </w:r>
      <w:proofErr w:type="spellStart"/>
      <w:r w:rsidRPr="00A33594">
        <w:rPr>
          <w:szCs w:val="28"/>
        </w:rPr>
        <w:t>Dimitrijs</w:t>
      </w:r>
      <w:proofErr w:type="spellEnd"/>
      <w:r w:rsidRPr="00A33594">
        <w:rPr>
          <w:szCs w:val="28"/>
        </w:rPr>
        <w:t xml:space="preserve"> </w:t>
      </w:r>
      <w:proofErr w:type="spellStart"/>
      <w:r w:rsidRPr="00A33594">
        <w:rPr>
          <w:szCs w:val="28"/>
        </w:rPr>
        <w:t>Trofimovs</w:t>
      </w:r>
      <w:proofErr w:type="spellEnd"/>
    </w:p>
    <w:p w:rsidR="00B2695E" w:rsidRPr="00A33594" w:rsidRDefault="00B2695E" w:rsidP="00A36B55">
      <w:pPr>
        <w:tabs>
          <w:tab w:val="center" w:pos="4535"/>
        </w:tabs>
        <w:ind w:firstLine="0"/>
        <w:jc w:val="left"/>
        <w:rPr>
          <w:rFonts w:eastAsia="Times New Roman"/>
          <w:szCs w:val="28"/>
          <w:lang w:eastAsia="lv-LV"/>
        </w:rPr>
      </w:pPr>
    </w:p>
    <w:p w:rsidR="00C84D04" w:rsidRPr="00A33594" w:rsidRDefault="00C84D04" w:rsidP="005D6F32">
      <w:pPr>
        <w:suppressAutoHyphens/>
        <w:ind w:firstLine="0"/>
        <w:jc w:val="left"/>
        <w:rPr>
          <w:rFonts w:eastAsia="Times New Roman"/>
          <w:szCs w:val="28"/>
          <w:lang w:eastAsia="ar-SA"/>
        </w:rPr>
      </w:pPr>
    </w:p>
    <w:p w:rsidR="00B7432D" w:rsidRPr="00A33594" w:rsidRDefault="00B7432D" w:rsidP="005D6F32">
      <w:pPr>
        <w:suppressAutoHyphens/>
        <w:ind w:firstLine="0"/>
        <w:jc w:val="left"/>
        <w:rPr>
          <w:rFonts w:eastAsia="Times New Roman"/>
          <w:sz w:val="20"/>
          <w:szCs w:val="20"/>
          <w:lang w:eastAsia="ar-SA"/>
        </w:rPr>
      </w:pPr>
    </w:p>
    <w:p w:rsidR="00B7432D" w:rsidRPr="00A33594" w:rsidRDefault="00B7432D" w:rsidP="005D6F32">
      <w:pPr>
        <w:suppressAutoHyphens/>
        <w:ind w:firstLine="0"/>
        <w:jc w:val="left"/>
        <w:rPr>
          <w:rFonts w:eastAsia="Times New Roman"/>
          <w:sz w:val="20"/>
          <w:szCs w:val="20"/>
          <w:lang w:eastAsia="ar-SA"/>
        </w:rPr>
      </w:pPr>
    </w:p>
    <w:p w:rsidR="00772BF6" w:rsidRPr="00A33594" w:rsidRDefault="00772BF6" w:rsidP="005D6F32">
      <w:pPr>
        <w:suppressAutoHyphens/>
        <w:ind w:firstLine="0"/>
        <w:jc w:val="left"/>
        <w:rPr>
          <w:rFonts w:eastAsia="Times New Roman"/>
          <w:sz w:val="20"/>
          <w:szCs w:val="20"/>
          <w:lang w:eastAsia="ar-SA"/>
        </w:rPr>
      </w:pPr>
    </w:p>
    <w:p w:rsidR="00772BF6" w:rsidRPr="00A33594" w:rsidRDefault="00772BF6" w:rsidP="005D6F32">
      <w:pPr>
        <w:suppressAutoHyphens/>
        <w:ind w:firstLine="0"/>
        <w:jc w:val="left"/>
        <w:rPr>
          <w:rFonts w:eastAsia="Times New Roman"/>
          <w:sz w:val="20"/>
          <w:szCs w:val="20"/>
          <w:lang w:eastAsia="ar-SA"/>
        </w:rPr>
      </w:pPr>
    </w:p>
    <w:p w:rsidR="00772BF6" w:rsidRPr="00A33594" w:rsidRDefault="00772BF6" w:rsidP="005D6F32">
      <w:pPr>
        <w:suppressAutoHyphens/>
        <w:ind w:firstLine="0"/>
        <w:jc w:val="left"/>
        <w:rPr>
          <w:rFonts w:eastAsia="Times New Roman"/>
          <w:sz w:val="20"/>
          <w:szCs w:val="20"/>
          <w:lang w:eastAsia="ar-SA"/>
        </w:rPr>
      </w:pPr>
    </w:p>
    <w:p w:rsidR="00772BF6" w:rsidRPr="00A33594" w:rsidRDefault="00772BF6" w:rsidP="005D6F32">
      <w:pPr>
        <w:suppressAutoHyphens/>
        <w:ind w:firstLine="0"/>
        <w:jc w:val="left"/>
        <w:rPr>
          <w:rFonts w:eastAsia="Times New Roman"/>
          <w:sz w:val="20"/>
          <w:szCs w:val="20"/>
          <w:lang w:eastAsia="ar-SA"/>
        </w:rPr>
      </w:pPr>
    </w:p>
    <w:p w:rsidR="008A3735" w:rsidRPr="00A33594" w:rsidRDefault="008A3735" w:rsidP="005D6F32">
      <w:pPr>
        <w:suppressAutoHyphens/>
        <w:ind w:firstLine="0"/>
        <w:jc w:val="left"/>
        <w:rPr>
          <w:rFonts w:eastAsia="Times New Roman"/>
          <w:sz w:val="20"/>
          <w:szCs w:val="20"/>
          <w:lang w:eastAsia="ar-SA"/>
        </w:rPr>
      </w:pPr>
    </w:p>
    <w:p w:rsidR="008A3735" w:rsidRPr="00A33594" w:rsidRDefault="008A3735" w:rsidP="005D6F32">
      <w:pPr>
        <w:suppressAutoHyphens/>
        <w:ind w:firstLine="0"/>
        <w:jc w:val="left"/>
        <w:rPr>
          <w:rFonts w:eastAsia="Times New Roman"/>
          <w:sz w:val="20"/>
          <w:szCs w:val="20"/>
          <w:lang w:eastAsia="ar-SA"/>
        </w:rPr>
      </w:pPr>
    </w:p>
    <w:p w:rsidR="008A3735" w:rsidRPr="00A33594" w:rsidRDefault="008A3735" w:rsidP="005D6F32">
      <w:pPr>
        <w:suppressAutoHyphens/>
        <w:ind w:firstLine="0"/>
        <w:jc w:val="left"/>
        <w:rPr>
          <w:rFonts w:eastAsia="Times New Roman"/>
          <w:sz w:val="20"/>
          <w:szCs w:val="20"/>
          <w:lang w:eastAsia="ar-SA"/>
        </w:rPr>
      </w:pPr>
    </w:p>
    <w:p w:rsidR="008A3735" w:rsidRPr="00A33594" w:rsidRDefault="008A3735" w:rsidP="005D6F32">
      <w:pPr>
        <w:suppressAutoHyphens/>
        <w:ind w:firstLine="0"/>
        <w:jc w:val="left"/>
        <w:rPr>
          <w:rFonts w:eastAsia="Times New Roman"/>
          <w:sz w:val="20"/>
          <w:szCs w:val="20"/>
          <w:lang w:eastAsia="ar-SA"/>
        </w:rPr>
      </w:pPr>
    </w:p>
    <w:p w:rsidR="008A3735" w:rsidRPr="00A33594" w:rsidRDefault="008A3735" w:rsidP="005D6F32">
      <w:pPr>
        <w:suppressAutoHyphens/>
        <w:ind w:firstLine="0"/>
        <w:jc w:val="left"/>
        <w:rPr>
          <w:rFonts w:eastAsia="Times New Roman"/>
          <w:sz w:val="20"/>
          <w:szCs w:val="20"/>
          <w:lang w:eastAsia="ar-SA"/>
        </w:rPr>
      </w:pPr>
    </w:p>
    <w:p w:rsidR="00B7432D" w:rsidRPr="00A33594" w:rsidRDefault="00B7432D" w:rsidP="005D6F32">
      <w:pPr>
        <w:suppressAutoHyphens/>
        <w:ind w:firstLine="0"/>
        <w:jc w:val="left"/>
        <w:rPr>
          <w:rFonts w:eastAsia="Times New Roman"/>
          <w:sz w:val="20"/>
          <w:szCs w:val="20"/>
          <w:lang w:eastAsia="ar-SA"/>
        </w:rPr>
      </w:pPr>
    </w:p>
    <w:p w:rsidR="00DC404C" w:rsidRDefault="00DC404C" w:rsidP="005D6F32">
      <w:pPr>
        <w:suppressAutoHyphens/>
        <w:ind w:firstLine="0"/>
        <w:jc w:val="left"/>
        <w:rPr>
          <w:rFonts w:eastAsia="Times New Roman"/>
          <w:sz w:val="20"/>
          <w:szCs w:val="20"/>
          <w:lang w:eastAsia="ar-SA"/>
        </w:rPr>
      </w:pPr>
    </w:p>
    <w:p w:rsidR="00C55B94" w:rsidRPr="00A33594" w:rsidRDefault="00C55B94" w:rsidP="005D6F32">
      <w:pPr>
        <w:suppressAutoHyphens/>
        <w:ind w:firstLine="0"/>
        <w:jc w:val="left"/>
        <w:rPr>
          <w:rFonts w:eastAsia="Times New Roman"/>
          <w:sz w:val="20"/>
          <w:szCs w:val="20"/>
          <w:lang w:eastAsia="ar-SA"/>
        </w:rPr>
      </w:pPr>
    </w:p>
    <w:p w:rsidR="00B7432D" w:rsidRPr="00A33594" w:rsidRDefault="00B7432D" w:rsidP="005D6F32">
      <w:pPr>
        <w:suppressAutoHyphens/>
        <w:ind w:firstLine="0"/>
        <w:jc w:val="left"/>
        <w:rPr>
          <w:rFonts w:eastAsia="Times New Roman"/>
          <w:sz w:val="20"/>
          <w:szCs w:val="20"/>
          <w:lang w:eastAsia="ar-SA"/>
        </w:rPr>
      </w:pPr>
      <w:r w:rsidRPr="00A33594">
        <w:rPr>
          <w:rFonts w:eastAsia="Times New Roman"/>
          <w:sz w:val="20"/>
          <w:szCs w:val="20"/>
          <w:lang w:eastAsia="ar-SA"/>
        </w:rPr>
        <w:fldChar w:fldCharType="begin"/>
      </w:r>
      <w:r w:rsidRPr="00A33594">
        <w:rPr>
          <w:rFonts w:eastAsia="Times New Roman"/>
          <w:sz w:val="20"/>
          <w:szCs w:val="20"/>
          <w:lang w:eastAsia="ar-SA"/>
        </w:rPr>
        <w:instrText xml:space="preserve"> DATE  \@ "dd.MM.yyyy HH:mm"  \* MERGEFORMAT </w:instrText>
      </w:r>
      <w:r w:rsidRPr="00A33594">
        <w:rPr>
          <w:rFonts w:eastAsia="Times New Roman"/>
          <w:sz w:val="20"/>
          <w:szCs w:val="20"/>
          <w:lang w:eastAsia="ar-SA"/>
        </w:rPr>
        <w:fldChar w:fldCharType="separate"/>
      </w:r>
      <w:r w:rsidR="00B11122">
        <w:rPr>
          <w:rFonts w:eastAsia="Times New Roman"/>
          <w:noProof/>
          <w:sz w:val="20"/>
          <w:szCs w:val="20"/>
          <w:lang w:eastAsia="ar-SA"/>
        </w:rPr>
        <w:t>09.07.2019 13:56</w:t>
      </w:r>
      <w:r w:rsidRPr="00A33594">
        <w:rPr>
          <w:rFonts w:eastAsia="Times New Roman"/>
          <w:sz w:val="20"/>
          <w:szCs w:val="20"/>
          <w:lang w:eastAsia="ar-SA"/>
        </w:rPr>
        <w:fldChar w:fldCharType="end"/>
      </w:r>
      <w:bookmarkStart w:id="0" w:name="_GoBack"/>
      <w:bookmarkEnd w:id="0"/>
    </w:p>
    <w:p w:rsidR="00E90D2F" w:rsidRPr="00A33594" w:rsidRDefault="00CB14AA" w:rsidP="005D6F32">
      <w:pPr>
        <w:suppressAutoHyphens/>
        <w:ind w:firstLine="0"/>
        <w:jc w:val="left"/>
        <w:rPr>
          <w:rFonts w:eastAsia="Times New Roman"/>
          <w:sz w:val="20"/>
          <w:szCs w:val="20"/>
          <w:lang w:eastAsia="ar-SA"/>
        </w:rPr>
      </w:pPr>
      <w:r w:rsidRPr="00A33594">
        <w:rPr>
          <w:rFonts w:eastAsia="Times New Roman"/>
          <w:sz w:val="20"/>
          <w:szCs w:val="20"/>
          <w:lang w:eastAsia="ar-SA"/>
        </w:rPr>
        <w:fldChar w:fldCharType="begin"/>
      </w:r>
      <w:r w:rsidRPr="00A33594">
        <w:rPr>
          <w:rFonts w:eastAsia="Times New Roman"/>
          <w:sz w:val="20"/>
          <w:szCs w:val="20"/>
          <w:lang w:eastAsia="ar-SA"/>
        </w:rPr>
        <w:instrText xml:space="preserve"> NUMWORDS   \* MERGEFORMAT </w:instrText>
      </w:r>
      <w:r w:rsidRPr="00A33594">
        <w:rPr>
          <w:rFonts w:eastAsia="Times New Roman"/>
          <w:sz w:val="20"/>
          <w:szCs w:val="20"/>
          <w:lang w:eastAsia="ar-SA"/>
        </w:rPr>
        <w:fldChar w:fldCharType="separate"/>
      </w:r>
      <w:r w:rsidR="00B11122">
        <w:rPr>
          <w:rFonts w:eastAsia="Times New Roman"/>
          <w:noProof/>
          <w:sz w:val="20"/>
          <w:szCs w:val="20"/>
          <w:lang w:eastAsia="ar-SA"/>
        </w:rPr>
        <w:t>1370</w:t>
      </w:r>
      <w:r w:rsidRPr="00A33594">
        <w:rPr>
          <w:rFonts w:eastAsia="Times New Roman"/>
          <w:sz w:val="20"/>
          <w:szCs w:val="20"/>
          <w:lang w:eastAsia="ar-SA"/>
        </w:rPr>
        <w:fldChar w:fldCharType="end"/>
      </w:r>
    </w:p>
    <w:p w:rsidR="00C55B94" w:rsidRDefault="00C55B94" w:rsidP="00E90D2F">
      <w:pPr>
        <w:suppressAutoHyphens/>
        <w:ind w:firstLine="0"/>
        <w:jc w:val="left"/>
        <w:rPr>
          <w:rFonts w:eastAsia="Times New Roman"/>
          <w:sz w:val="20"/>
          <w:szCs w:val="20"/>
          <w:lang w:eastAsia="ar-SA"/>
        </w:rPr>
      </w:pPr>
    </w:p>
    <w:p w:rsidR="00C84D04" w:rsidRPr="00A33594" w:rsidRDefault="00CB14AA" w:rsidP="00E90D2F">
      <w:pPr>
        <w:suppressAutoHyphens/>
        <w:ind w:firstLine="0"/>
        <w:jc w:val="left"/>
        <w:rPr>
          <w:rFonts w:eastAsia="Times New Roman"/>
          <w:sz w:val="20"/>
          <w:szCs w:val="20"/>
          <w:lang w:eastAsia="ar-SA"/>
        </w:rPr>
      </w:pPr>
      <w:proofErr w:type="spellStart"/>
      <w:r w:rsidRPr="00A33594">
        <w:rPr>
          <w:rFonts w:eastAsia="Times New Roman"/>
          <w:sz w:val="20"/>
          <w:szCs w:val="20"/>
          <w:lang w:eastAsia="ar-SA"/>
        </w:rPr>
        <w:t>Rudzite</w:t>
      </w:r>
      <w:proofErr w:type="spellEnd"/>
      <w:r w:rsidRPr="00A33594">
        <w:rPr>
          <w:rFonts w:eastAsia="Times New Roman"/>
          <w:sz w:val="20"/>
          <w:szCs w:val="20"/>
          <w:lang w:eastAsia="ar-SA"/>
        </w:rPr>
        <w:t xml:space="preserve"> 26698094</w:t>
      </w:r>
    </w:p>
    <w:p w:rsidR="005D6F32" w:rsidRPr="00D05951" w:rsidRDefault="00CB14AA" w:rsidP="00E90D2F">
      <w:pPr>
        <w:suppressAutoHyphens/>
        <w:ind w:firstLine="0"/>
        <w:jc w:val="left"/>
        <w:rPr>
          <w:rFonts w:eastAsia="Times New Roman"/>
          <w:sz w:val="20"/>
          <w:szCs w:val="20"/>
          <w:lang w:eastAsia="ar-SA"/>
        </w:rPr>
      </w:pPr>
      <w:r w:rsidRPr="00A33594">
        <w:rPr>
          <w:sz w:val="20"/>
          <w:szCs w:val="20"/>
        </w:rPr>
        <w:t>ilze.rudzite@agentura.iem.gov.lv</w:t>
      </w:r>
    </w:p>
    <w:sectPr w:rsidR="005D6F32" w:rsidRPr="00D05951" w:rsidSect="00274A29">
      <w:headerReference w:type="default" r:id="rId9"/>
      <w:footerReference w:type="default" r:id="rId10"/>
      <w:footerReference w:type="first" r:id="rId11"/>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4D7" w:rsidRDefault="00ED54D7" w:rsidP="00F3628F">
      <w:r>
        <w:separator/>
      </w:r>
    </w:p>
  </w:endnote>
  <w:endnote w:type="continuationSeparator" w:id="0">
    <w:p w:rsidR="00ED54D7" w:rsidRDefault="00ED54D7" w:rsidP="00F36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313" w:rsidRPr="00E86A6C" w:rsidRDefault="00BD1761" w:rsidP="00ED4313">
    <w:pPr>
      <w:pStyle w:val="Footer"/>
      <w:ind w:firstLine="0"/>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D82370">
      <w:rPr>
        <w:noProof/>
        <w:sz w:val="20"/>
        <w:szCs w:val="20"/>
      </w:rPr>
      <w:t>IEMAnot_MKNot839groz_090719</w:t>
    </w:r>
    <w:r>
      <w:rPr>
        <w:sz w:val="20"/>
        <w:szCs w:val="20"/>
      </w:rPr>
      <w:fldChar w:fldCharType="end"/>
    </w:r>
  </w:p>
  <w:p w:rsidR="00965309" w:rsidRPr="00E86A6C" w:rsidRDefault="00965309" w:rsidP="00E86A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309" w:rsidRPr="000D79E6" w:rsidRDefault="007E5B3B" w:rsidP="00C55B94">
    <w:pPr>
      <w:pStyle w:val="Footer"/>
      <w:ind w:firstLine="0"/>
    </w:pPr>
    <w:r>
      <w:rPr>
        <w:sz w:val="20"/>
        <w:szCs w:val="20"/>
      </w:rPr>
      <w:fldChar w:fldCharType="begin"/>
    </w:r>
    <w:r>
      <w:rPr>
        <w:sz w:val="20"/>
        <w:szCs w:val="20"/>
      </w:rPr>
      <w:instrText xml:space="preserve"> FILENAME   \* MERGEFORMAT </w:instrText>
    </w:r>
    <w:r>
      <w:rPr>
        <w:sz w:val="20"/>
        <w:szCs w:val="20"/>
      </w:rPr>
      <w:fldChar w:fldCharType="separate"/>
    </w:r>
    <w:r w:rsidR="00772BF6">
      <w:rPr>
        <w:noProof/>
        <w:sz w:val="20"/>
        <w:szCs w:val="20"/>
      </w:rPr>
      <w:t>IEMAnot_MK</w:t>
    </w:r>
    <w:r w:rsidR="00C55B94">
      <w:rPr>
        <w:noProof/>
        <w:sz w:val="20"/>
        <w:szCs w:val="20"/>
      </w:rPr>
      <w:t>N</w:t>
    </w:r>
    <w:r w:rsidR="00B11122">
      <w:rPr>
        <w:noProof/>
        <w:sz w:val="20"/>
        <w:szCs w:val="20"/>
      </w:rPr>
      <w:t>ot839groz_0907</w:t>
    </w:r>
    <w:r w:rsidR="00772BF6">
      <w:rPr>
        <w:noProof/>
        <w:sz w:val="20"/>
        <w:szCs w:val="20"/>
      </w:rPr>
      <w:t>19</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4D7" w:rsidRDefault="00ED54D7" w:rsidP="00F3628F">
      <w:r>
        <w:separator/>
      </w:r>
    </w:p>
  </w:footnote>
  <w:footnote w:type="continuationSeparator" w:id="0">
    <w:p w:rsidR="00ED54D7" w:rsidRDefault="00ED54D7" w:rsidP="00F36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309" w:rsidRPr="00F50C84" w:rsidRDefault="00965309">
    <w:pPr>
      <w:pStyle w:val="Header"/>
      <w:jc w:val="center"/>
      <w:rPr>
        <w:sz w:val="24"/>
        <w:szCs w:val="24"/>
      </w:rPr>
    </w:pPr>
    <w:r w:rsidRPr="00F50C84">
      <w:rPr>
        <w:sz w:val="24"/>
        <w:szCs w:val="24"/>
      </w:rPr>
      <w:fldChar w:fldCharType="begin"/>
    </w:r>
    <w:r w:rsidRPr="00F50C84">
      <w:rPr>
        <w:sz w:val="24"/>
        <w:szCs w:val="24"/>
      </w:rPr>
      <w:instrText xml:space="preserve"> PAGE   \* MERGEFORMAT </w:instrText>
    </w:r>
    <w:r w:rsidRPr="00F50C84">
      <w:rPr>
        <w:sz w:val="24"/>
        <w:szCs w:val="24"/>
      </w:rPr>
      <w:fldChar w:fldCharType="separate"/>
    </w:r>
    <w:r w:rsidR="00B11122">
      <w:rPr>
        <w:noProof/>
        <w:sz w:val="24"/>
        <w:szCs w:val="24"/>
      </w:rPr>
      <w:t>2</w:t>
    </w:r>
    <w:r w:rsidRPr="00F50C84">
      <w:rPr>
        <w:sz w:val="24"/>
        <w:szCs w:val="24"/>
      </w:rPr>
      <w:fldChar w:fldCharType="end"/>
    </w:r>
  </w:p>
  <w:p w:rsidR="00965309" w:rsidRPr="00F50C84" w:rsidRDefault="00965309">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E13D5"/>
    <w:multiLevelType w:val="hybridMultilevel"/>
    <w:tmpl w:val="0A2EE3D6"/>
    <w:lvl w:ilvl="0" w:tplc="F5DA6696">
      <w:start w:val="1"/>
      <w:numFmt w:val="decimal"/>
      <w:lvlText w:val="%1."/>
      <w:lvlJc w:val="left"/>
      <w:pPr>
        <w:ind w:left="760" w:hanging="360"/>
      </w:pPr>
      <w:rPr>
        <w:rFonts w:hint="default"/>
      </w:rPr>
    </w:lvl>
    <w:lvl w:ilvl="1" w:tplc="04260019" w:tentative="1">
      <w:start w:val="1"/>
      <w:numFmt w:val="lowerLetter"/>
      <w:lvlText w:val="%2."/>
      <w:lvlJc w:val="left"/>
      <w:pPr>
        <w:ind w:left="1480" w:hanging="360"/>
      </w:pPr>
    </w:lvl>
    <w:lvl w:ilvl="2" w:tplc="0426001B" w:tentative="1">
      <w:start w:val="1"/>
      <w:numFmt w:val="lowerRoman"/>
      <w:lvlText w:val="%3."/>
      <w:lvlJc w:val="right"/>
      <w:pPr>
        <w:ind w:left="2200" w:hanging="180"/>
      </w:pPr>
    </w:lvl>
    <w:lvl w:ilvl="3" w:tplc="0426000F" w:tentative="1">
      <w:start w:val="1"/>
      <w:numFmt w:val="decimal"/>
      <w:lvlText w:val="%4."/>
      <w:lvlJc w:val="left"/>
      <w:pPr>
        <w:ind w:left="2920" w:hanging="360"/>
      </w:pPr>
    </w:lvl>
    <w:lvl w:ilvl="4" w:tplc="04260019" w:tentative="1">
      <w:start w:val="1"/>
      <w:numFmt w:val="lowerLetter"/>
      <w:lvlText w:val="%5."/>
      <w:lvlJc w:val="left"/>
      <w:pPr>
        <w:ind w:left="3640" w:hanging="360"/>
      </w:pPr>
    </w:lvl>
    <w:lvl w:ilvl="5" w:tplc="0426001B" w:tentative="1">
      <w:start w:val="1"/>
      <w:numFmt w:val="lowerRoman"/>
      <w:lvlText w:val="%6."/>
      <w:lvlJc w:val="right"/>
      <w:pPr>
        <w:ind w:left="4360" w:hanging="180"/>
      </w:pPr>
    </w:lvl>
    <w:lvl w:ilvl="6" w:tplc="0426000F" w:tentative="1">
      <w:start w:val="1"/>
      <w:numFmt w:val="decimal"/>
      <w:lvlText w:val="%7."/>
      <w:lvlJc w:val="left"/>
      <w:pPr>
        <w:ind w:left="5080" w:hanging="360"/>
      </w:pPr>
    </w:lvl>
    <w:lvl w:ilvl="7" w:tplc="04260019" w:tentative="1">
      <w:start w:val="1"/>
      <w:numFmt w:val="lowerLetter"/>
      <w:lvlText w:val="%8."/>
      <w:lvlJc w:val="left"/>
      <w:pPr>
        <w:ind w:left="5800" w:hanging="360"/>
      </w:pPr>
    </w:lvl>
    <w:lvl w:ilvl="8" w:tplc="0426001B" w:tentative="1">
      <w:start w:val="1"/>
      <w:numFmt w:val="lowerRoman"/>
      <w:lvlText w:val="%9."/>
      <w:lvlJc w:val="right"/>
      <w:pPr>
        <w:ind w:left="6520" w:hanging="180"/>
      </w:pPr>
    </w:lvl>
  </w:abstractNum>
  <w:abstractNum w:abstractNumId="1">
    <w:nsid w:val="096C20B5"/>
    <w:multiLevelType w:val="hybridMultilevel"/>
    <w:tmpl w:val="EF50613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12E459FF"/>
    <w:multiLevelType w:val="hybridMultilevel"/>
    <w:tmpl w:val="8C66A744"/>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49C6A7B"/>
    <w:multiLevelType w:val="multilevel"/>
    <w:tmpl w:val="5686E08C"/>
    <w:lvl w:ilvl="0">
      <w:start w:val="1"/>
      <w:numFmt w:val="decimal"/>
      <w:lvlText w:val="%1."/>
      <w:lvlJc w:val="left"/>
      <w:pPr>
        <w:ind w:left="1211" w:hanging="360"/>
      </w:pPr>
      <w:rPr>
        <w:rFonts w:hint="default"/>
        <w:b w:val="0"/>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7AC5D0B"/>
    <w:multiLevelType w:val="hybridMultilevel"/>
    <w:tmpl w:val="F5D8F722"/>
    <w:lvl w:ilvl="0" w:tplc="458806FA">
      <w:start w:val="2014"/>
      <w:numFmt w:val="bullet"/>
      <w:lvlText w:val="-"/>
      <w:lvlJc w:val="left"/>
      <w:pPr>
        <w:ind w:left="502" w:hanging="360"/>
      </w:pPr>
      <w:rPr>
        <w:rFonts w:ascii="Times New Roman" w:eastAsia="Times New Roman" w:hAnsi="Times New Roman" w:hint="default"/>
      </w:rPr>
    </w:lvl>
    <w:lvl w:ilvl="1" w:tplc="04260003" w:tentative="1">
      <w:start w:val="1"/>
      <w:numFmt w:val="bullet"/>
      <w:lvlText w:val="o"/>
      <w:lvlJc w:val="left"/>
      <w:pPr>
        <w:ind w:left="1222" w:hanging="360"/>
      </w:pPr>
      <w:rPr>
        <w:rFonts w:ascii="Courier New" w:hAnsi="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5">
    <w:nsid w:val="37B60AA1"/>
    <w:multiLevelType w:val="hybridMultilevel"/>
    <w:tmpl w:val="215C2D0A"/>
    <w:lvl w:ilvl="0" w:tplc="269A608A">
      <w:start w:val="1"/>
      <w:numFmt w:val="decimal"/>
      <w:lvlText w:val="%1."/>
      <w:lvlJc w:val="left"/>
      <w:pPr>
        <w:ind w:left="748" w:hanging="360"/>
      </w:pPr>
      <w:rPr>
        <w:rFonts w:hint="default"/>
      </w:rPr>
    </w:lvl>
    <w:lvl w:ilvl="1" w:tplc="04260019" w:tentative="1">
      <w:start w:val="1"/>
      <w:numFmt w:val="lowerLetter"/>
      <w:lvlText w:val="%2."/>
      <w:lvlJc w:val="left"/>
      <w:pPr>
        <w:ind w:left="1468" w:hanging="360"/>
      </w:pPr>
    </w:lvl>
    <w:lvl w:ilvl="2" w:tplc="0426001B" w:tentative="1">
      <w:start w:val="1"/>
      <w:numFmt w:val="lowerRoman"/>
      <w:lvlText w:val="%3."/>
      <w:lvlJc w:val="right"/>
      <w:pPr>
        <w:ind w:left="2188" w:hanging="180"/>
      </w:pPr>
    </w:lvl>
    <w:lvl w:ilvl="3" w:tplc="0426000F" w:tentative="1">
      <w:start w:val="1"/>
      <w:numFmt w:val="decimal"/>
      <w:lvlText w:val="%4."/>
      <w:lvlJc w:val="left"/>
      <w:pPr>
        <w:ind w:left="2908" w:hanging="360"/>
      </w:pPr>
    </w:lvl>
    <w:lvl w:ilvl="4" w:tplc="04260019" w:tentative="1">
      <w:start w:val="1"/>
      <w:numFmt w:val="lowerLetter"/>
      <w:lvlText w:val="%5."/>
      <w:lvlJc w:val="left"/>
      <w:pPr>
        <w:ind w:left="3628" w:hanging="360"/>
      </w:pPr>
    </w:lvl>
    <w:lvl w:ilvl="5" w:tplc="0426001B" w:tentative="1">
      <w:start w:val="1"/>
      <w:numFmt w:val="lowerRoman"/>
      <w:lvlText w:val="%6."/>
      <w:lvlJc w:val="right"/>
      <w:pPr>
        <w:ind w:left="4348" w:hanging="180"/>
      </w:pPr>
    </w:lvl>
    <w:lvl w:ilvl="6" w:tplc="0426000F" w:tentative="1">
      <w:start w:val="1"/>
      <w:numFmt w:val="decimal"/>
      <w:lvlText w:val="%7."/>
      <w:lvlJc w:val="left"/>
      <w:pPr>
        <w:ind w:left="5068" w:hanging="360"/>
      </w:pPr>
    </w:lvl>
    <w:lvl w:ilvl="7" w:tplc="04260019" w:tentative="1">
      <w:start w:val="1"/>
      <w:numFmt w:val="lowerLetter"/>
      <w:lvlText w:val="%8."/>
      <w:lvlJc w:val="left"/>
      <w:pPr>
        <w:ind w:left="5788" w:hanging="360"/>
      </w:pPr>
    </w:lvl>
    <w:lvl w:ilvl="8" w:tplc="0426001B" w:tentative="1">
      <w:start w:val="1"/>
      <w:numFmt w:val="lowerRoman"/>
      <w:lvlText w:val="%9."/>
      <w:lvlJc w:val="right"/>
      <w:pPr>
        <w:ind w:left="6508" w:hanging="180"/>
      </w:pPr>
    </w:lvl>
  </w:abstractNum>
  <w:abstractNum w:abstractNumId="6">
    <w:nsid w:val="3A2C5AA4"/>
    <w:multiLevelType w:val="hybridMultilevel"/>
    <w:tmpl w:val="EF50613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nsid w:val="49713258"/>
    <w:multiLevelType w:val="hybridMultilevel"/>
    <w:tmpl w:val="8C2AD162"/>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nsid w:val="4BC74D31"/>
    <w:multiLevelType w:val="hybridMultilevel"/>
    <w:tmpl w:val="A57860EA"/>
    <w:lvl w:ilvl="0" w:tplc="8EDC1F42">
      <w:start w:val="1"/>
      <w:numFmt w:val="decimal"/>
      <w:lvlText w:val="%1)"/>
      <w:lvlJc w:val="left"/>
      <w:pPr>
        <w:ind w:left="760" w:hanging="360"/>
      </w:pPr>
      <w:rPr>
        <w:rFonts w:hint="default"/>
      </w:rPr>
    </w:lvl>
    <w:lvl w:ilvl="1" w:tplc="04260019" w:tentative="1">
      <w:start w:val="1"/>
      <w:numFmt w:val="lowerLetter"/>
      <w:lvlText w:val="%2."/>
      <w:lvlJc w:val="left"/>
      <w:pPr>
        <w:ind w:left="1480" w:hanging="360"/>
      </w:pPr>
    </w:lvl>
    <w:lvl w:ilvl="2" w:tplc="0426001B" w:tentative="1">
      <w:start w:val="1"/>
      <w:numFmt w:val="lowerRoman"/>
      <w:lvlText w:val="%3."/>
      <w:lvlJc w:val="right"/>
      <w:pPr>
        <w:ind w:left="2200" w:hanging="180"/>
      </w:pPr>
    </w:lvl>
    <w:lvl w:ilvl="3" w:tplc="0426000F" w:tentative="1">
      <w:start w:val="1"/>
      <w:numFmt w:val="decimal"/>
      <w:lvlText w:val="%4."/>
      <w:lvlJc w:val="left"/>
      <w:pPr>
        <w:ind w:left="2920" w:hanging="360"/>
      </w:pPr>
    </w:lvl>
    <w:lvl w:ilvl="4" w:tplc="04260019" w:tentative="1">
      <w:start w:val="1"/>
      <w:numFmt w:val="lowerLetter"/>
      <w:lvlText w:val="%5."/>
      <w:lvlJc w:val="left"/>
      <w:pPr>
        <w:ind w:left="3640" w:hanging="360"/>
      </w:pPr>
    </w:lvl>
    <w:lvl w:ilvl="5" w:tplc="0426001B" w:tentative="1">
      <w:start w:val="1"/>
      <w:numFmt w:val="lowerRoman"/>
      <w:lvlText w:val="%6."/>
      <w:lvlJc w:val="right"/>
      <w:pPr>
        <w:ind w:left="4360" w:hanging="180"/>
      </w:pPr>
    </w:lvl>
    <w:lvl w:ilvl="6" w:tplc="0426000F" w:tentative="1">
      <w:start w:val="1"/>
      <w:numFmt w:val="decimal"/>
      <w:lvlText w:val="%7."/>
      <w:lvlJc w:val="left"/>
      <w:pPr>
        <w:ind w:left="5080" w:hanging="360"/>
      </w:pPr>
    </w:lvl>
    <w:lvl w:ilvl="7" w:tplc="04260019" w:tentative="1">
      <w:start w:val="1"/>
      <w:numFmt w:val="lowerLetter"/>
      <w:lvlText w:val="%8."/>
      <w:lvlJc w:val="left"/>
      <w:pPr>
        <w:ind w:left="5800" w:hanging="360"/>
      </w:pPr>
    </w:lvl>
    <w:lvl w:ilvl="8" w:tplc="0426001B" w:tentative="1">
      <w:start w:val="1"/>
      <w:numFmt w:val="lowerRoman"/>
      <w:lvlText w:val="%9."/>
      <w:lvlJc w:val="right"/>
      <w:pPr>
        <w:ind w:left="6520" w:hanging="180"/>
      </w:pPr>
    </w:lvl>
  </w:abstractNum>
  <w:abstractNum w:abstractNumId="9">
    <w:nsid w:val="4FCE6809"/>
    <w:multiLevelType w:val="hybridMultilevel"/>
    <w:tmpl w:val="185A8E2A"/>
    <w:lvl w:ilvl="0" w:tplc="5AD07B06">
      <w:start w:val="2013"/>
      <w:numFmt w:val="bullet"/>
      <w:lvlText w:val="-"/>
      <w:lvlJc w:val="left"/>
      <w:pPr>
        <w:ind w:left="760" w:hanging="360"/>
      </w:pPr>
      <w:rPr>
        <w:rFonts w:ascii="Times New Roman" w:eastAsia="Calibri" w:hAnsi="Times New Roman" w:cs="Times New Roman" w:hint="default"/>
      </w:rPr>
    </w:lvl>
    <w:lvl w:ilvl="1" w:tplc="04260003" w:tentative="1">
      <w:start w:val="1"/>
      <w:numFmt w:val="bullet"/>
      <w:lvlText w:val="o"/>
      <w:lvlJc w:val="left"/>
      <w:pPr>
        <w:ind w:left="1480" w:hanging="360"/>
      </w:pPr>
      <w:rPr>
        <w:rFonts w:ascii="Courier New" w:hAnsi="Courier New" w:cs="Courier New" w:hint="default"/>
      </w:rPr>
    </w:lvl>
    <w:lvl w:ilvl="2" w:tplc="04260005" w:tentative="1">
      <w:start w:val="1"/>
      <w:numFmt w:val="bullet"/>
      <w:lvlText w:val=""/>
      <w:lvlJc w:val="left"/>
      <w:pPr>
        <w:ind w:left="2200" w:hanging="360"/>
      </w:pPr>
      <w:rPr>
        <w:rFonts w:ascii="Wingdings" w:hAnsi="Wingdings" w:hint="default"/>
      </w:rPr>
    </w:lvl>
    <w:lvl w:ilvl="3" w:tplc="04260001" w:tentative="1">
      <w:start w:val="1"/>
      <w:numFmt w:val="bullet"/>
      <w:lvlText w:val=""/>
      <w:lvlJc w:val="left"/>
      <w:pPr>
        <w:ind w:left="2920" w:hanging="360"/>
      </w:pPr>
      <w:rPr>
        <w:rFonts w:ascii="Symbol" w:hAnsi="Symbol" w:hint="default"/>
      </w:rPr>
    </w:lvl>
    <w:lvl w:ilvl="4" w:tplc="04260003" w:tentative="1">
      <w:start w:val="1"/>
      <w:numFmt w:val="bullet"/>
      <w:lvlText w:val="o"/>
      <w:lvlJc w:val="left"/>
      <w:pPr>
        <w:ind w:left="3640" w:hanging="360"/>
      </w:pPr>
      <w:rPr>
        <w:rFonts w:ascii="Courier New" w:hAnsi="Courier New" w:cs="Courier New" w:hint="default"/>
      </w:rPr>
    </w:lvl>
    <w:lvl w:ilvl="5" w:tplc="04260005" w:tentative="1">
      <w:start w:val="1"/>
      <w:numFmt w:val="bullet"/>
      <w:lvlText w:val=""/>
      <w:lvlJc w:val="left"/>
      <w:pPr>
        <w:ind w:left="4360" w:hanging="360"/>
      </w:pPr>
      <w:rPr>
        <w:rFonts w:ascii="Wingdings" w:hAnsi="Wingdings" w:hint="default"/>
      </w:rPr>
    </w:lvl>
    <w:lvl w:ilvl="6" w:tplc="04260001" w:tentative="1">
      <w:start w:val="1"/>
      <w:numFmt w:val="bullet"/>
      <w:lvlText w:val=""/>
      <w:lvlJc w:val="left"/>
      <w:pPr>
        <w:ind w:left="5080" w:hanging="360"/>
      </w:pPr>
      <w:rPr>
        <w:rFonts w:ascii="Symbol" w:hAnsi="Symbol" w:hint="default"/>
      </w:rPr>
    </w:lvl>
    <w:lvl w:ilvl="7" w:tplc="04260003" w:tentative="1">
      <w:start w:val="1"/>
      <w:numFmt w:val="bullet"/>
      <w:lvlText w:val="o"/>
      <w:lvlJc w:val="left"/>
      <w:pPr>
        <w:ind w:left="5800" w:hanging="360"/>
      </w:pPr>
      <w:rPr>
        <w:rFonts w:ascii="Courier New" w:hAnsi="Courier New" w:cs="Courier New" w:hint="default"/>
      </w:rPr>
    </w:lvl>
    <w:lvl w:ilvl="8" w:tplc="04260005" w:tentative="1">
      <w:start w:val="1"/>
      <w:numFmt w:val="bullet"/>
      <w:lvlText w:val=""/>
      <w:lvlJc w:val="left"/>
      <w:pPr>
        <w:ind w:left="6520" w:hanging="360"/>
      </w:pPr>
      <w:rPr>
        <w:rFonts w:ascii="Wingdings" w:hAnsi="Wingdings" w:hint="default"/>
      </w:rPr>
    </w:lvl>
  </w:abstractNum>
  <w:abstractNum w:abstractNumId="10">
    <w:nsid w:val="6D8A0B6C"/>
    <w:multiLevelType w:val="hybridMultilevel"/>
    <w:tmpl w:val="161800A4"/>
    <w:lvl w:ilvl="0" w:tplc="41E69E72">
      <w:start w:val="1"/>
      <w:numFmt w:val="decimal"/>
      <w:lvlText w:val="%1."/>
      <w:lvlJc w:val="left"/>
      <w:pPr>
        <w:ind w:left="748" w:hanging="360"/>
      </w:pPr>
      <w:rPr>
        <w:rFonts w:hint="default"/>
      </w:rPr>
    </w:lvl>
    <w:lvl w:ilvl="1" w:tplc="04260019" w:tentative="1">
      <w:start w:val="1"/>
      <w:numFmt w:val="lowerLetter"/>
      <w:lvlText w:val="%2."/>
      <w:lvlJc w:val="left"/>
      <w:pPr>
        <w:ind w:left="1468" w:hanging="360"/>
      </w:pPr>
    </w:lvl>
    <w:lvl w:ilvl="2" w:tplc="0426001B" w:tentative="1">
      <w:start w:val="1"/>
      <w:numFmt w:val="lowerRoman"/>
      <w:lvlText w:val="%3."/>
      <w:lvlJc w:val="right"/>
      <w:pPr>
        <w:ind w:left="2188" w:hanging="180"/>
      </w:pPr>
    </w:lvl>
    <w:lvl w:ilvl="3" w:tplc="0426000F" w:tentative="1">
      <w:start w:val="1"/>
      <w:numFmt w:val="decimal"/>
      <w:lvlText w:val="%4."/>
      <w:lvlJc w:val="left"/>
      <w:pPr>
        <w:ind w:left="2908" w:hanging="360"/>
      </w:pPr>
    </w:lvl>
    <w:lvl w:ilvl="4" w:tplc="04260019" w:tentative="1">
      <w:start w:val="1"/>
      <w:numFmt w:val="lowerLetter"/>
      <w:lvlText w:val="%5."/>
      <w:lvlJc w:val="left"/>
      <w:pPr>
        <w:ind w:left="3628" w:hanging="360"/>
      </w:pPr>
    </w:lvl>
    <w:lvl w:ilvl="5" w:tplc="0426001B" w:tentative="1">
      <w:start w:val="1"/>
      <w:numFmt w:val="lowerRoman"/>
      <w:lvlText w:val="%6."/>
      <w:lvlJc w:val="right"/>
      <w:pPr>
        <w:ind w:left="4348" w:hanging="180"/>
      </w:pPr>
    </w:lvl>
    <w:lvl w:ilvl="6" w:tplc="0426000F" w:tentative="1">
      <w:start w:val="1"/>
      <w:numFmt w:val="decimal"/>
      <w:lvlText w:val="%7."/>
      <w:lvlJc w:val="left"/>
      <w:pPr>
        <w:ind w:left="5068" w:hanging="360"/>
      </w:pPr>
    </w:lvl>
    <w:lvl w:ilvl="7" w:tplc="04260019" w:tentative="1">
      <w:start w:val="1"/>
      <w:numFmt w:val="lowerLetter"/>
      <w:lvlText w:val="%8."/>
      <w:lvlJc w:val="left"/>
      <w:pPr>
        <w:ind w:left="5788" w:hanging="360"/>
      </w:pPr>
    </w:lvl>
    <w:lvl w:ilvl="8" w:tplc="0426001B" w:tentative="1">
      <w:start w:val="1"/>
      <w:numFmt w:val="lowerRoman"/>
      <w:lvlText w:val="%9."/>
      <w:lvlJc w:val="right"/>
      <w:pPr>
        <w:ind w:left="6508" w:hanging="180"/>
      </w:pPr>
    </w:lvl>
  </w:abstractNum>
  <w:abstractNum w:abstractNumId="11">
    <w:nsid w:val="6E0D3663"/>
    <w:multiLevelType w:val="hybridMultilevel"/>
    <w:tmpl w:val="89CCBAB0"/>
    <w:lvl w:ilvl="0" w:tplc="F0F69BB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nsid w:val="7A1D6E08"/>
    <w:multiLevelType w:val="hybridMultilevel"/>
    <w:tmpl w:val="FAA0778A"/>
    <w:lvl w:ilvl="0" w:tplc="E4AE95D8">
      <w:start w:val="1"/>
      <w:numFmt w:val="decimal"/>
      <w:lvlText w:val="%1."/>
      <w:lvlJc w:val="left"/>
      <w:pPr>
        <w:ind w:left="1080" w:hanging="360"/>
      </w:pPr>
      <w:rPr>
        <w:rFonts w:cs="Times New Roman" w:hint="default"/>
        <w:color w:val="000000"/>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3">
    <w:nsid w:val="7AA43FC3"/>
    <w:multiLevelType w:val="hybridMultilevel"/>
    <w:tmpl w:val="CA84BF3A"/>
    <w:lvl w:ilvl="0" w:tplc="F0F69BB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nsid w:val="7ABB2A88"/>
    <w:multiLevelType w:val="hybridMultilevel"/>
    <w:tmpl w:val="DFB47948"/>
    <w:lvl w:ilvl="0" w:tplc="04260011">
      <w:start w:val="1"/>
      <w:numFmt w:val="decimal"/>
      <w:lvlText w:val="%1)"/>
      <w:lvlJc w:val="left"/>
      <w:pPr>
        <w:ind w:left="1108" w:hanging="360"/>
      </w:pPr>
      <w:rPr>
        <w:rFonts w:hint="default"/>
      </w:rPr>
    </w:lvl>
    <w:lvl w:ilvl="1" w:tplc="04260003" w:tentative="1">
      <w:start w:val="1"/>
      <w:numFmt w:val="bullet"/>
      <w:lvlText w:val="o"/>
      <w:lvlJc w:val="left"/>
      <w:pPr>
        <w:ind w:left="1828" w:hanging="360"/>
      </w:pPr>
      <w:rPr>
        <w:rFonts w:ascii="Courier New" w:hAnsi="Courier New" w:cs="Courier New" w:hint="default"/>
      </w:rPr>
    </w:lvl>
    <w:lvl w:ilvl="2" w:tplc="04260005" w:tentative="1">
      <w:start w:val="1"/>
      <w:numFmt w:val="bullet"/>
      <w:lvlText w:val=""/>
      <w:lvlJc w:val="left"/>
      <w:pPr>
        <w:ind w:left="2548" w:hanging="360"/>
      </w:pPr>
      <w:rPr>
        <w:rFonts w:ascii="Wingdings" w:hAnsi="Wingdings" w:hint="default"/>
      </w:rPr>
    </w:lvl>
    <w:lvl w:ilvl="3" w:tplc="04260001" w:tentative="1">
      <w:start w:val="1"/>
      <w:numFmt w:val="bullet"/>
      <w:lvlText w:val=""/>
      <w:lvlJc w:val="left"/>
      <w:pPr>
        <w:ind w:left="3268" w:hanging="360"/>
      </w:pPr>
      <w:rPr>
        <w:rFonts w:ascii="Symbol" w:hAnsi="Symbol" w:hint="default"/>
      </w:rPr>
    </w:lvl>
    <w:lvl w:ilvl="4" w:tplc="04260003" w:tentative="1">
      <w:start w:val="1"/>
      <w:numFmt w:val="bullet"/>
      <w:lvlText w:val="o"/>
      <w:lvlJc w:val="left"/>
      <w:pPr>
        <w:ind w:left="3988" w:hanging="360"/>
      </w:pPr>
      <w:rPr>
        <w:rFonts w:ascii="Courier New" w:hAnsi="Courier New" w:cs="Courier New" w:hint="default"/>
      </w:rPr>
    </w:lvl>
    <w:lvl w:ilvl="5" w:tplc="04260005" w:tentative="1">
      <w:start w:val="1"/>
      <w:numFmt w:val="bullet"/>
      <w:lvlText w:val=""/>
      <w:lvlJc w:val="left"/>
      <w:pPr>
        <w:ind w:left="4708" w:hanging="360"/>
      </w:pPr>
      <w:rPr>
        <w:rFonts w:ascii="Wingdings" w:hAnsi="Wingdings" w:hint="default"/>
      </w:rPr>
    </w:lvl>
    <w:lvl w:ilvl="6" w:tplc="04260001" w:tentative="1">
      <w:start w:val="1"/>
      <w:numFmt w:val="bullet"/>
      <w:lvlText w:val=""/>
      <w:lvlJc w:val="left"/>
      <w:pPr>
        <w:ind w:left="5428" w:hanging="360"/>
      </w:pPr>
      <w:rPr>
        <w:rFonts w:ascii="Symbol" w:hAnsi="Symbol" w:hint="default"/>
      </w:rPr>
    </w:lvl>
    <w:lvl w:ilvl="7" w:tplc="04260003" w:tentative="1">
      <w:start w:val="1"/>
      <w:numFmt w:val="bullet"/>
      <w:lvlText w:val="o"/>
      <w:lvlJc w:val="left"/>
      <w:pPr>
        <w:ind w:left="6148" w:hanging="360"/>
      </w:pPr>
      <w:rPr>
        <w:rFonts w:ascii="Courier New" w:hAnsi="Courier New" w:cs="Courier New" w:hint="default"/>
      </w:rPr>
    </w:lvl>
    <w:lvl w:ilvl="8" w:tplc="04260005" w:tentative="1">
      <w:start w:val="1"/>
      <w:numFmt w:val="bullet"/>
      <w:lvlText w:val=""/>
      <w:lvlJc w:val="left"/>
      <w:pPr>
        <w:ind w:left="6868" w:hanging="360"/>
      </w:pPr>
      <w:rPr>
        <w:rFonts w:ascii="Wingdings" w:hAnsi="Wingdings" w:hint="default"/>
      </w:rPr>
    </w:lvl>
  </w:abstractNum>
  <w:num w:numId="1">
    <w:abstractNumId w:val="4"/>
  </w:num>
  <w:num w:numId="2">
    <w:abstractNumId w:val="1"/>
  </w:num>
  <w:num w:numId="3">
    <w:abstractNumId w:val="12"/>
  </w:num>
  <w:num w:numId="4">
    <w:abstractNumId w:val="7"/>
  </w:num>
  <w:num w:numId="5">
    <w:abstractNumId w:val="2"/>
  </w:num>
  <w:num w:numId="6">
    <w:abstractNumId w:val="13"/>
  </w:num>
  <w:num w:numId="7">
    <w:abstractNumId w:val="11"/>
  </w:num>
  <w:num w:numId="8">
    <w:abstractNumId w:val="6"/>
  </w:num>
  <w:num w:numId="9">
    <w:abstractNumId w:val="8"/>
  </w:num>
  <w:num w:numId="10">
    <w:abstractNumId w:val="9"/>
  </w:num>
  <w:num w:numId="11">
    <w:abstractNumId w:val="3"/>
  </w:num>
  <w:num w:numId="12">
    <w:abstractNumId w:val="0"/>
  </w:num>
  <w:num w:numId="13">
    <w:abstractNumId w:val="10"/>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D0F"/>
    <w:rsid w:val="00001823"/>
    <w:rsid w:val="00003E54"/>
    <w:rsid w:val="00004C67"/>
    <w:rsid w:val="0001142B"/>
    <w:rsid w:val="00014974"/>
    <w:rsid w:val="00015E7D"/>
    <w:rsid w:val="00017944"/>
    <w:rsid w:val="0002314E"/>
    <w:rsid w:val="00023DF8"/>
    <w:rsid w:val="00026B5B"/>
    <w:rsid w:val="0003289D"/>
    <w:rsid w:val="00035347"/>
    <w:rsid w:val="0004061E"/>
    <w:rsid w:val="000446D7"/>
    <w:rsid w:val="00045906"/>
    <w:rsid w:val="00045FDC"/>
    <w:rsid w:val="00047085"/>
    <w:rsid w:val="000479EB"/>
    <w:rsid w:val="000513C2"/>
    <w:rsid w:val="00062A6F"/>
    <w:rsid w:val="0006572A"/>
    <w:rsid w:val="000662E7"/>
    <w:rsid w:val="00067791"/>
    <w:rsid w:val="00071778"/>
    <w:rsid w:val="0007566F"/>
    <w:rsid w:val="00077DEA"/>
    <w:rsid w:val="000819AE"/>
    <w:rsid w:val="00083D16"/>
    <w:rsid w:val="0008799E"/>
    <w:rsid w:val="00095E60"/>
    <w:rsid w:val="000A0168"/>
    <w:rsid w:val="000A3926"/>
    <w:rsid w:val="000A431D"/>
    <w:rsid w:val="000A4BFC"/>
    <w:rsid w:val="000B23F8"/>
    <w:rsid w:val="000B32E5"/>
    <w:rsid w:val="000B3750"/>
    <w:rsid w:val="000B39DB"/>
    <w:rsid w:val="000B448C"/>
    <w:rsid w:val="000C02DA"/>
    <w:rsid w:val="000C1801"/>
    <w:rsid w:val="000C37BB"/>
    <w:rsid w:val="000C4566"/>
    <w:rsid w:val="000C6111"/>
    <w:rsid w:val="000D28E0"/>
    <w:rsid w:val="000D4CDE"/>
    <w:rsid w:val="000D513D"/>
    <w:rsid w:val="000D79E6"/>
    <w:rsid w:val="000E5184"/>
    <w:rsid w:val="000E5608"/>
    <w:rsid w:val="000E6E36"/>
    <w:rsid w:val="000E784E"/>
    <w:rsid w:val="000E7ED0"/>
    <w:rsid w:val="000F6679"/>
    <w:rsid w:val="000F757E"/>
    <w:rsid w:val="0011004C"/>
    <w:rsid w:val="00116B09"/>
    <w:rsid w:val="0011742A"/>
    <w:rsid w:val="00117AFC"/>
    <w:rsid w:val="00120439"/>
    <w:rsid w:val="001222B2"/>
    <w:rsid w:val="00126571"/>
    <w:rsid w:val="0013070F"/>
    <w:rsid w:val="001347D1"/>
    <w:rsid w:val="0013550B"/>
    <w:rsid w:val="0013569A"/>
    <w:rsid w:val="00140597"/>
    <w:rsid w:val="00141133"/>
    <w:rsid w:val="0014431E"/>
    <w:rsid w:val="001462B8"/>
    <w:rsid w:val="00151C8F"/>
    <w:rsid w:val="001538D6"/>
    <w:rsid w:val="00157B3D"/>
    <w:rsid w:val="00161FC1"/>
    <w:rsid w:val="00164382"/>
    <w:rsid w:val="00171E4F"/>
    <w:rsid w:val="0017251A"/>
    <w:rsid w:val="00173968"/>
    <w:rsid w:val="001742AE"/>
    <w:rsid w:val="001811EA"/>
    <w:rsid w:val="001816BD"/>
    <w:rsid w:val="00183AE1"/>
    <w:rsid w:val="001844D3"/>
    <w:rsid w:val="00185C50"/>
    <w:rsid w:val="001865B0"/>
    <w:rsid w:val="001963E5"/>
    <w:rsid w:val="0019763B"/>
    <w:rsid w:val="001A0BAB"/>
    <w:rsid w:val="001A1E8C"/>
    <w:rsid w:val="001A4487"/>
    <w:rsid w:val="001B71B1"/>
    <w:rsid w:val="001C0F27"/>
    <w:rsid w:val="001C1E10"/>
    <w:rsid w:val="001C4293"/>
    <w:rsid w:val="001C56BA"/>
    <w:rsid w:val="001C58DA"/>
    <w:rsid w:val="001D0E04"/>
    <w:rsid w:val="001D510D"/>
    <w:rsid w:val="001D5646"/>
    <w:rsid w:val="001D681A"/>
    <w:rsid w:val="001E4331"/>
    <w:rsid w:val="001E4DC4"/>
    <w:rsid w:val="001E5E74"/>
    <w:rsid w:val="001F2D8D"/>
    <w:rsid w:val="001F52E8"/>
    <w:rsid w:val="001F5735"/>
    <w:rsid w:val="00205CD5"/>
    <w:rsid w:val="002060AC"/>
    <w:rsid w:val="00206680"/>
    <w:rsid w:val="0021213F"/>
    <w:rsid w:val="002121FE"/>
    <w:rsid w:val="002171F7"/>
    <w:rsid w:val="00217E50"/>
    <w:rsid w:val="00217FB7"/>
    <w:rsid w:val="00221A97"/>
    <w:rsid w:val="00221C68"/>
    <w:rsid w:val="00223C57"/>
    <w:rsid w:val="00226A78"/>
    <w:rsid w:val="00226D12"/>
    <w:rsid w:val="00226F66"/>
    <w:rsid w:val="00227A78"/>
    <w:rsid w:val="00227ED8"/>
    <w:rsid w:val="00230A3D"/>
    <w:rsid w:val="00235DF9"/>
    <w:rsid w:val="00236A39"/>
    <w:rsid w:val="002422C6"/>
    <w:rsid w:val="00242A78"/>
    <w:rsid w:val="00243873"/>
    <w:rsid w:val="002467CA"/>
    <w:rsid w:val="00254C8D"/>
    <w:rsid w:val="002572D4"/>
    <w:rsid w:val="0025773E"/>
    <w:rsid w:val="0026692E"/>
    <w:rsid w:val="0027319E"/>
    <w:rsid w:val="0027455A"/>
    <w:rsid w:val="00274A29"/>
    <w:rsid w:val="0027656E"/>
    <w:rsid w:val="00282ADF"/>
    <w:rsid w:val="002836E1"/>
    <w:rsid w:val="002851A2"/>
    <w:rsid w:val="002910C1"/>
    <w:rsid w:val="00294B40"/>
    <w:rsid w:val="00295EA0"/>
    <w:rsid w:val="00296449"/>
    <w:rsid w:val="002A3D3A"/>
    <w:rsid w:val="002A5A1F"/>
    <w:rsid w:val="002A6CD7"/>
    <w:rsid w:val="002A70AB"/>
    <w:rsid w:val="002A77BC"/>
    <w:rsid w:val="002B51B0"/>
    <w:rsid w:val="002B7BE5"/>
    <w:rsid w:val="002C01C2"/>
    <w:rsid w:val="002C0F74"/>
    <w:rsid w:val="002C16D3"/>
    <w:rsid w:val="002C1AF1"/>
    <w:rsid w:val="002C20B4"/>
    <w:rsid w:val="002C307E"/>
    <w:rsid w:val="002D1CA7"/>
    <w:rsid w:val="002D29FC"/>
    <w:rsid w:val="002D2B36"/>
    <w:rsid w:val="002D7A33"/>
    <w:rsid w:val="002E099D"/>
    <w:rsid w:val="002E0E01"/>
    <w:rsid w:val="002E13FB"/>
    <w:rsid w:val="002E4A57"/>
    <w:rsid w:val="002E5CB0"/>
    <w:rsid w:val="003102AA"/>
    <w:rsid w:val="003124CB"/>
    <w:rsid w:val="00313576"/>
    <w:rsid w:val="003149E9"/>
    <w:rsid w:val="003212FD"/>
    <w:rsid w:val="00321EEC"/>
    <w:rsid w:val="003235AA"/>
    <w:rsid w:val="003265F3"/>
    <w:rsid w:val="00327260"/>
    <w:rsid w:val="0032774F"/>
    <w:rsid w:val="00332417"/>
    <w:rsid w:val="003329BC"/>
    <w:rsid w:val="00334387"/>
    <w:rsid w:val="0033578A"/>
    <w:rsid w:val="00337858"/>
    <w:rsid w:val="003417A9"/>
    <w:rsid w:val="00343F24"/>
    <w:rsid w:val="0034432D"/>
    <w:rsid w:val="00344721"/>
    <w:rsid w:val="00345C48"/>
    <w:rsid w:val="003528D9"/>
    <w:rsid w:val="00355F5D"/>
    <w:rsid w:val="00356B54"/>
    <w:rsid w:val="00357DA6"/>
    <w:rsid w:val="0036053F"/>
    <w:rsid w:val="0036204A"/>
    <w:rsid w:val="00372AE8"/>
    <w:rsid w:val="00372B9A"/>
    <w:rsid w:val="00374EE1"/>
    <w:rsid w:val="00381DB1"/>
    <w:rsid w:val="00382B50"/>
    <w:rsid w:val="0039002B"/>
    <w:rsid w:val="00390C55"/>
    <w:rsid w:val="00392B26"/>
    <w:rsid w:val="00394F72"/>
    <w:rsid w:val="00395519"/>
    <w:rsid w:val="003A2C1D"/>
    <w:rsid w:val="003A451A"/>
    <w:rsid w:val="003A537D"/>
    <w:rsid w:val="003A6E22"/>
    <w:rsid w:val="003B0273"/>
    <w:rsid w:val="003B1FCF"/>
    <w:rsid w:val="003C083D"/>
    <w:rsid w:val="003C3021"/>
    <w:rsid w:val="003C3CD4"/>
    <w:rsid w:val="003C5128"/>
    <w:rsid w:val="003C530F"/>
    <w:rsid w:val="003C7551"/>
    <w:rsid w:val="003C7CF3"/>
    <w:rsid w:val="003D171B"/>
    <w:rsid w:val="003D6EA8"/>
    <w:rsid w:val="003E19FA"/>
    <w:rsid w:val="003E43F2"/>
    <w:rsid w:val="003F03F7"/>
    <w:rsid w:val="003F1BA8"/>
    <w:rsid w:val="003F3475"/>
    <w:rsid w:val="00407DCE"/>
    <w:rsid w:val="004118C9"/>
    <w:rsid w:val="00412E17"/>
    <w:rsid w:val="004146D9"/>
    <w:rsid w:val="00414930"/>
    <w:rsid w:val="004151A9"/>
    <w:rsid w:val="00416071"/>
    <w:rsid w:val="00420A06"/>
    <w:rsid w:val="004226D9"/>
    <w:rsid w:val="004261EB"/>
    <w:rsid w:val="00430129"/>
    <w:rsid w:val="00430257"/>
    <w:rsid w:val="0043084A"/>
    <w:rsid w:val="004327B0"/>
    <w:rsid w:val="00432B84"/>
    <w:rsid w:val="0043661A"/>
    <w:rsid w:val="0044584E"/>
    <w:rsid w:val="004458C3"/>
    <w:rsid w:val="004463C6"/>
    <w:rsid w:val="00446D53"/>
    <w:rsid w:val="00451713"/>
    <w:rsid w:val="00457411"/>
    <w:rsid w:val="00461F72"/>
    <w:rsid w:val="00462123"/>
    <w:rsid w:val="004625F8"/>
    <w:rsid w:val="00464E4E"/>
    <w:rsid w:val="004701FD"/>
    <w:rsid w:val="004734AF"/>
    <w:rsid w:val="00473F09"/>
    <w:rsid w:val="00476B02"/>
    <w:rsid w:val="00476E9D"/>
    <w:rsid w:val="004774B2"/>
    <w:rsid w:val="00482339"/>
    <w:rsid w:val="00483928"/>
    <w:rsid w:val="00483C51"/>
    <w:rsid w:val="00483FFF"/>
    <w:rsid w:val="00490159"/>
    <w:rsid w:val="004964A8"/>
    <w:rsid w:val="004A0899"/>
    <w:rsid w:val="004A0D89"/>
    <w:rsid w:val="004A63EA"/>
    <w:rsid w:val="004A68EF"/>
    <w:rsid w:val="004A7072"/>
    <w:rsid w:val="004B1DA3"/>
    <w:rsid w:val="004C2FE0"/>
    <w:rsid w:val="004C514D"/>
    <w:rsid w:val="004C5BEA"/>
    <w:rsid w:val="004C70B4"/>
    <w:rsid w:val="004D2053"/>
    <w:rsid w:val="004D5AEA"/>
    <w:rsid w:val="004D79D0"/>
    <w:rsid w:val="004E0B7B"/>
    <w:rsid w:val="004E51C4"/>
    <w:rsid w:val="004E7EC2"/>
    <w:rsid w:val="004F2964"/>
    <w:rsid w:val="004F55B2"/>
    <w:rsid w:val="004F62C2"/>
    <w:rsid w:val="004F6E52"/>
    <w:rsid w:val="004F72F5"/>
    <w:rsid w:val="00500AD3"/>
    <w:rsid w:val="00502065"/>
    <w:rsid w:val="00506EE0"/>
    <w:rsid w:val="00507BA0"/>
    <w:rsid w:val="00507CB4"/>
    <w:rsid w:val="005100FB"/>
    <w:rsid w:val="00510DE8"/>
    <w:rsid w:val="00511854"/>
    <w:rsid w:val="00512301"/>
    <w:rsid w:val="00516DA6"/>
    <w:rsid w:val="00520A4F"/>
    <w:rsid w:val="00521BF3"/>
    <w:rsid w:val="00525338"/>
    <w:rsid w:val="00530F69"/>
    <w:rsid w:val="00533246"/>
    <w:rsid w:val="00535677"/>
    <w:rsid w:val="00536BE1"/>
    <w:rsid w:val="005401E9"/>
    <w:rsid w:val="00541B5D"/>
    <w:rsid w:val="00544401"/>
    <w:rsid w:val="0055049F"/>
    <w:rsid w:val="005575B9"/>
    <w:rsid w:val="005606CA"/>
    <w:rsid w:val="0056180C"/>
    <w:rsid w:val="00563480"/>
    <w:rsid w:val="00571B50"/>
    <w:rsid w:val="00576235"/>
    <w:rsid w:val="00576B4F"/>
    <w:rsid w:val="00580DDF"/>
    <w:rsid w:val="0058120E"/>
    <w:rsid w:val="00582BFC"/>
    <w:rsid w:val="00583CFA"/>
    <w:rsid w:val="005855AB"/>
    <w:rsid w:val="005874FB"/>
    <w:rsid w:val="00587970"/>
    <w:rsid w:val="00587B5D"/>
    <w:rsid w:val="005915AB"/>
    <w:rsid w:val="00592E2E"/>
    <w:rsid w:val="005937BE"/>
    <w:rsid w:val="005978A6"/>
    <w:rsid w:val="005A12C9"/>
    <w:rsid w:val="005A22E4"/>
    <w:rsid w:val="005A2741"/>
    <w:rsid w:val="005A4FD7"/>
    <w:rsid w:val="005A710B"/>
    <w:rsid w:val="005B36D6"/>
    <w:rsid w:val="005B4F3F"/>
    <w:rsid w:val="005B64A1"/>
    <w:rsid w:val="005B7774"/>
    <w:rsid w:val="005B7E59"/>
    <w:rsid w:val="005C313E"/>
    <w:rsid w:val="005C5C34"/>
    <w:rsid w:val="005D08F3"/>
    <w:rsid w:val="005D443A"/>
    <w:rsid w:val="005D5148"/>
    <w:rsid w:val="005D6F32"/>
    <w:rsid w:val="005E0095"/>
    <w:rsid w:val="005E36D1"/>
    <w:rsid w:val="005E6989"/>
    <w:rsid w:val="005F032E"/>
    <w:rsid w:val="005F0EE2"/>
    <w:rsid w:val="005F1404"/>
    <w:rsid w:val="005F6B0C"/>
    <w:rsid w:val="006020DB"/>
    <w:rsid w:val="00604D7B"/>
    <w:rsid w:val="00605A66"/>
    <w:rsid w:val="006063D7"/>
    <w:rsid w:val="00613847"/>
    <w:rsid w:val="006156D9"/>
    <w:rsid w:val="00616268"/>
    <w:rsid w:val="00616CC7"/>
    <w:rsid w:val="00617E10"/>
    <w:rsid w:val="006206EC"/>
    <w:rsid w:val="00622F65"/>
    <w:rsid w:val="00623A32"/>
    <w:rsid w:val="00631057"/>
    <w:rsid w:val="00633F6F"/>
    <w:rsid w:val="006344D1"/>
    <w:rsid w:val="00635085"/>
    <w:rsid w:val="006406DB"/>
    <w:rsid w:val="00641B20"/>
    <w:rsid w:val="006462A7"/>
    <w:rsid w:val="006546EA"/>
    <w:rsid w:val="006569D9"/>
    <w:rsid w:val="006569DF"/>
    <w:rsid w:val="0066599D"/>
    <w:rsid w:val="006677FF"/>
    <w:rsid w:val="00681203"/>
    <w:rsid w:val="00681D6D"/>
    <w:rsid w:val="00683920"/>
    <w:rsid w:val="00683BBE"/>
    <w:rsid w:val="00687DEE"/>
    <w:rsid w:val="00692AEA"/>
    <w:rsid w:val="006A290D"/>
    <w:rsid w:val="006A4326"/>
    <w:rsid w:val="006B01BA"/>
    <w:rsid w:val="006B279B"/>
    <w:rsid w:val="006B33DD"/>
    <w:rsid w:val="006B6477"/>
    <w:rsid w:val="006B76F1"/>
    <w:rsid w:val="006C052A"/>
    <w:rsid w:val="006C107F"/>
    <w:rsid w:val="006C1D4B"/>
    <w:rsid w:val="006C7180"/>
    <w:rsid w:val="006C76BC"/>
    <w:rsid w:val="006D22F9"/>
    <w:rsid w:val="006D6A94"/>
    <w:rsid w:val="006E4925"/>
    <w:rsid w:val="006F0E22"/>
    <w:rsid w:val="006F223E"/>
    <w:rsid w:val="006F2559"/>
    <w:rsid w:val="006F2757"/>
    <w:rsid w:val="006F357C"/>
    <w:rsid w:val="006F3958"/>
    <w:rsid w:val="006F492E"/>
    <w:rsid w:val="0070036B"/>
    <w:rsid w:val="007032AC"/>
    <w:rsid w:val="00703D46"/>
    <w:rsid w:val="00707F33"/>
    <w:rsid w:val="0071489B"/>
    <w:rsid w:val="00714D96"/>
    <w:rsid w:val="00715FE0"/>
    <w:rsid w:val="007164AC"/>
    <w:rsid w:val="00716E22"/>
    <w:rsid w:val="00721776"/>
    <w:rsid w:val="00721B5C"/>
    <w:rsid w:val="007258A2"/>
    <w:rsid w:val="00727142"/>
    <w:rsid w:val="00730500"/>
    <w:rsid w:val="00732F16"/>
    <w:rsid w:val="007341F5"/>
    <w:rsid w:val="0073700E"/>
    <w:rsid w:val="00744C86"/>
    <w:rsid w:val="00745E1A"/>
    <w:rsid w:val="007518A8"/>
    <w:rsid w:val="007536A2"/>
    <w:rsid w:val="00753EF2"/>
    <w:rsid w:val="007552BE"/>
    <w:rsid w:val="007552DE"/>
    <w:rsid w:val="00755EDC"/>
    <w:rsid w:val="0075691E"/>
    <w:rsid w:val="00762DBF"/>
    <w:rsid w:val="00765176"/>
    <w:rsid w:val="0076636C"/>
    <w:rsid w:val="0076711D"/>
    <w:rsid w:val="007673B9"/>
    <w:rsid w:val="0076791E"/>
    <w:rsid w:val="00767FD3"/>
    <w:rsid w:val="00772BF6"/>
    <w:rsid w:val="007747B8"/>
    <w:rsid w:val="00776399"/>
    <w:rsid w:val="00776CAA"/>
    <w:rsid w:val="007770AC"/>
    <w:rsid w:val="0078077B"/>
    <w:rsid w:val="00785725"/>
    <w:rsid w:val="00787F59"/>
    <w:rsid w:val="00791DB5"/>
    <w:rsid w:val="00797FB0"/>
    <w:rsid w:val="007A37EB"/>
    <w:rsid w:val="007A7A49"/>
    <w:rsid w:val="007A7ADE"/>
    <w:rsid w:val="007B0DE6"/>
    <w:rsid w:val="007B20D7"/>
    <w:rsid w:val="007B2C1F"/>
    <w:rsid w:val="007B4FD7"/>
    <w:rsid w:val="007C3329"/>
    <w:rsid w:val="007C434B"/>
    <w:rsid w:val="007C51D0"/>
    <w:rsid w:val="007C7BFA"/>
    <w:rsid w:val="007C7F66"/>
    <w:rsid w:val="007D3319"/>
    <w:rsid w:val="007E03A6"/>
    <w:rsid w:val="007E0AEF"/>
    <w:rsid w:val="007E486A"/>
    <w:rsid w:val="007E5B3B"/>
    <w:rsid w:val="007E7C99"/>
    <w:rsid w:val="007F3BE1"/>
    <w:rsid w:val="007F459D"/>
    <w:rsid w:val="007F50AD"/>
    <w:rsid w:val="007F5ACC"/>
    <w:rsid w:val="007F7C2E"/>
    <w:rsid w:val="00800BE8"/>
    <w:rsid w:val="008034D8"/>
    <w:rsid w:val="0080485C"/>
    <w:rsid w:val="0081050B"/>
    <w:rsid w:val="00812DAE"/>
    <w:rsid w:val="00813E3E"/>
    <w:rsid w:val="00816EF2"/>
    <w:rsid w:val="00821ED1"/>
    <w:rsid w:val="008230AB"/>
    <w:rsid w:val="0082602A"/>
    <w:rsid w:val="0083114B"/>
    <w:rsid w:val="008319EA"/>
    <w:rsid w:val="00832C13"/>
    <w:rsid w:val="0084143A"/>
    <w:rsid w:val="008420A0"/>
    <w:rsid w:val="00844FE7"/>
    <w:rsid w:val="00845A25"/>
    <w:rsid w:val="00845DE8"/>
    <w:rsid w:val="00850A1C"/>
    <w:rsid w:val="00862D0F"/>
    <w:rsid w:val="00864391"/>
    <w:rsid w:val="00875390"/>
    <w:rsid w:val="008773AE"/>
    <w:rsid w:val="00877FDA"/>
    <w:rsid w:val="0088127D"/>
    <w:rsid w:val="0088221C"/>
    <w:rsid w:val="00887746"/>
    <w:rsid w:val="00887DF1"/>
    <w:rsid w:val="008925DF"/>
    <w:rsid w:val="00892D34"/>
    <w:rsid w:val="00893484"/>
    <w:rsid w:val="0089767B"/>
    <w:rsid w:val="008A295E"/>
    <w:rsid w:val="008A3735"/>
    <w:rsid w:val="008A427F"/>
    <w:rsid w:val="008A43D3"/>
    <w:rsid w:val="008A504B"/>
    <w:rsid w:val="008A7E54"/>
    <w:rsid w:val="008B0502"/>
    <w:rsid w:val="008B1F45"/>
    <w:rsid w:val="008B3B7C"/>
    <w:rsid w:val="008C16EE"/>
    <w:rsid w:val="008C4429"/>
    <w:rsid w:val="008C5CEE"/>
    <w:rsid w:val="008C67B0"/>
    <w:rsid w:val="008C7F21"/>
    <w:rsid w:val="008D0EB0"/>
    <w:rsid w:val="008D46B1"/>
    <w:rsid w:val="008D4F58"/>
    <w:rsid w:val="008D5328"/>
    <w:rsid w:val="008D5E43"/>
    <w:rsid w:val="008D64D3"/>
    <w:rsid w:val="008D6987"/>
    <w:rsid w:val="008D71A1"/>
    <w:rsid w:val="008D722E"/>
    <w:rsid w:val="008E2044"/>
    <w:rsid w:val="008E398C"/>
    <w:rsid w:val="008E402B"/>
    <w:rsid w:val="008E6A80"/>
    <w:rsid w:val="008E7586"/>
    <w:rsid w:val="008F4718"/>
    <w:rsid w:val="008F4997"/>
    <w:rsid w:val="008F49EF"/>
    <w:rsid w:val="00902BE1"/>
    <w:rsid w:val="0090415E"/>
    <w:rsid w:val="009043E0"/>
    <w:rsid w:val="00907B1F"/>
    <w:rsid w:val="0091370E"/>
    <w:rsid w:val="0091490C"/>
    <w:rsid w:val="00915D58"/>
    <w:rsid w:val="009168F3"/>
    <w:rsid w:val="0092222F"/>
    <w:rsid w:val="00923A7E"/>
    <w:rsid w:val="00925DED"/>
    <w:rsid w:val="00926206"/>
    <w:rsid w:val="009310A1"/>
    <w:rsid w:val="0095313E"/>
    <w:rsid w:val="00954D39"/>
    <w:rsid w:val="00954D9E"/>
    <w:rsid w:val="009566B4"/>
    <w:rsid w:val="00957BD6"/>
    <w:rsid w:val="00961452"/>
    <w:rsid w:val="009629B8"/>
    <w:rsid w:val="00963E11"/>
    <w:rsid w:val="00965309"/>
    <w:rsid w:val="009677AF"/>
    <w:rsid w:val="00972E90"/>
    <w:rsid w:val="00977A7F"/>
    <w:rsid w:val="00981C4A"/>
    <w:rsid w:val="00982B79"/>
    <w:rsid w:val="0098393F"/>
    <w:rsid w:val="00990253"/>
    <w:rsid w:val="0099080B"/>
    <w:rsid w:val="00995ECC"/>
    <w:rsid w:val="00996150"/>
    <w:rsid w:val="009A0E3A"/>
    <w:rsid w:val="009A432F"/>
    <w:rsid w:val="009B120E"/>
    <w:rsid w:val="009B1349"/>
    <w:rsid w:val="009B2E47"/>
    <w:rsid w:val="009B479F"/>
    <w:rsid w:val="009B4A7B"/>
    <w:rsid w:val="009B70A7"/>
    <w:rsid w:val="009C1D16"/>
    <w:rsid w:val="009C5B54"/>
    <w:rsid w:val="009D1A85"/>
    <w:rsid w:val="009D6FFF"/>
    <w:rsid w:val="009E0DE8"/>
    <w:rsid w:val="009E3B34"/>
    <w:rsid w:val="009E3C80"/>
    <w:rsid w:val="009E49B1"/>
    <w:rsid w:val="009E4FCF"/>
    <w:rsid w:val="009E6169"/>
    <w:rsid w:val="009F1827"/>
    <w:rsid w:val="009F2EF3"/>
    <w:rsid w:val="009F49C6"/>
    <w:rsid w:val="009F78BC"/>
    <w:rsid w:val="00A0497D"/>
    <w:rsid w:val="00A06BB7"/>
    <w:rsid w:val="00A07D4D"/>
    <w:rsid w:val="00A162F6"/>
    <w:rsid w:val="00A16D78"/>
    <w:rsid w:val="00A1755F"/>
    <w:rsid w:val="00A17D97"/>
    <w:rsid w:val="00A22D25"/>
    <w:rsid w:val="00A24594"/>
    <w:rsid w:val="00A26085"/>
    <w:rsid w:val="00A30EF9"/>
    <w:rsid w:val="00A32DAC"/>
    <w:rsid w:val="00A33594"/>
    <w:rsid w:val="00A36B55"/>
    <w:rsid w:val="00A36D60"/>
    <w:rsid w:val="00A411F0"/>
    <w:rsid w:val="00A43CF6"/>
    <w:rsid w:val="00A46467"/>
    <w:rsid w:val="00A51903"/>
    <w:rsid w:val="00A5312C"/>
    <w:rsid w:val="00A63B44"/>
    <w:rsid w:val="00A67BC0"/>
    <w:rsid w:val="00A73787"/>
    <w:rsid w:val="00A770C7"/>
    <w:rsid w:val="00A82305"/>
    <w:rsid w:val="00A834B9"/>
    <w:rsid w:val="00A86E4A"/>
    <w:rsid w:val="00A900F4"/>
    <w:rsid w:val="00A913C7"/>
    <w:rsid w:val="00A9559E"/>
    <w:rsid w:val="00A961E1"/>
    <w:rsid w:val="00A974F2"/>
    <w:rsid w:val="00A97A9F"/>
    <w:rsid w:val="00AA12CF"/>
    <w:rsid w:val="00AA1952"/>
    <w:rsid w:val="00AA5B0E"/>
    <w:rsid w:val="00AB4E60"/>
    <w:rsid w:val="00AB6F4E"/>
    <w:rsid w:val="00AC4699"/>
    <w:rsid w:val="00AC62DD"/>
    <w:rsid w:val="00AC74ED"/>
    <w:rsid w:val="00AC7E83"/>
    <w:rsid w:val="00AD3CD4"/>
    <w:rsid w:val="00AD7882"/>
    <w:rsid w:val="00AE2CC9"/>
    <w:rsid w:val="00AF0B90"/>
    <w:rsid w:val="00AF1058"/>
    <w:rsid w:val="00AF1141"/>
    <w:rsid w:val="00AF1735"/>
    <w:rsid w:val="00AF2B4C"/>
    <w:rsid w:val="00AF4B51"/>
    <w:rsid w:val="00AF56F2"/>
    <w:rsid w:val="00AF6149"/>
    <w:rsid w:val="00AF7FCC"/>
    <w:rsid w:val="00B00591"/>
    <w:rsid w:val="00B00C88"/>
    <w:rsid w:val="00B00F73"/>
    <w:rsid w:val="00B01308"/>
    <w:rsid w:val="00B0508E"/>
    <w:rsid w:val="00B0749D"/>
    <w:rsid w:val="00B11122"/>
    <w:rsid w:val="00B1121B"/>
    <w:rsid w:val="00B140F4"/>
    <w:rsid w:val="00B16423"/>
    <w:rsid w:val="00B21D01"/>
    <w:rsid w:val="00B2365D"/>
    <w:rsid w:val="00B2695E"/>
    <w:rsid w:val="00B26EBE"/>
    <w:rsid w:val="00B30091"/>
    <w:rsid w:val="00B32574"/>
    <w:rsid w:val="00B35A2B"/>
    <w:rsid w:val="00B37FF8"/>
    <w:rsid w:val="00B40AF0"/>
    <w:rsid w:val="00B41D52"/>
    <w:rsid w:val="00B46319"/>
    <w:rsid w:val="00B54542"/>
    <w:rsid w:val="00B603FA"/>
    <w:rsid w:val="00B605EA"/>
    <w:rsid w:val="00B610F8"/>
    <w:rsid w:val="00B64931"/>
    <w:rsid w:val="00B66D7F"/>
    <w:rsid w:val="00B701C1"/>
    <w:rsid w:val="00B725BF"/>
    <w:rsid w:val="00B7432D"/>
    <w:rsid w:val="00B75620"/>
    <w:rsid w:val="00B81AD8"/>
    <w:rsid w:val="00B87684"/>
    <w:rsid w:val="00B91689"/>
    <w:rsid w:val="00B94FE3"/>
    <w:rsid w:val="00BA05B8"/>
    <w:rsid w:val="00BA0905"/>
    <w:rsid w:val="00BA35CF"/>
    <w:rsid w:val="00BA4D7B"/>
    <w:rsid w:val="00BA5524"/>
    <w:rsid w:val="00BA60EB"/>
    <w:rsid w:val="00BA74DB"/>
    <w:rsid w:val="00BB35C5"/>
    <w:rsid w:val="00BB53AD"/>
    <w:rsid w:val="00BB56D9"/>
    <w:rsid w:val="00BC485F"/>
    <w:rsid w:val="00BC4B52"/>
    <w:rsid w:val="00BC7D5C"/>
    <w:rsid w:val="00BD0AFB"/>
    <w:rsid w:val="00BD1761"/>
    <w:rsid w:val="00BD46E8"/>
    <w:rsid w:val="00BD6361"/>
    <w:rsid w:val="00BE147B"/>
    <w:rsid w:val="00BE1D9F"/>
    <w:rsid w:val="00BE22DB"/>
    <w:rsid w:val="00BE3F75"/>
    <w:rsid w:val="00BE5F28"/>
    <w:rsid w:val="00BE6D54"/>
    <w:rsid w:val="00BF2ED7"/>
    <w:rsid w:val="00BF4C08"/>
    <w:rsid w:val="00BF51A8"/>
    <w:rsid w:val="00C00832"/>
    <w:rsid w:val="00C00BF4"/>
    <w:rsid w:val="00C139B6"/>
    <w:rsid w:val="00C20BB3"/>
    <w:rsid w:val="00C22A7A"/>
    <w:rsid w:val="00C25020"/>
    <w:rsid w:val="00C26FF2"/>
    <w:rsid w:val="00C347CD"/>
    <w:rsid w:val="00C414D3"/>
    <w:rsid w:val="00C462EA"/>
    <w:rsid w:val="00C46783"/>
    <w:rsid w:val="00C469CC"/>
    <w:rsid w:val="00C5218C"/>
    <w:rsid w:val="00C53E67"/>
    <w:rsid w:val="00C544AD"/>
    <w:rsid w:val="00C55171"/>
    <w:rsid w:val="00C55B94"/>
    <w:rsid w:val="00C604CF"/>
    <w:rsid w:val="00C6177A"/>
    <w:rsid w:val="00C633A0"/>
    <w:rsid w:val="00C64146"/>
    <w:rsid w:val="00C669B5"/>
    <w:rsid w:val="00C7318E"/>
    <w:rsid w:val="00C735B1"/>
    <w:rsid w:val="00C75CD7"/>
    <w:rsid w:val="00C84D04"/>
    <w:rsid w:val="00C91483"/>
    <w:rsid w:val="00CA2C35"/>
    <w:rsid w:val="00CA505B"/>
    <w:rsid w:val="00CB0FEC"/>
    <w:rsid w:val="00CB14AA"/>
    <w:rsid w:val="00CC131A"/>
    <w:rsid w:val="00CC29F8"/>
    <w:rsid w:val="00CC2CE6"/>
    <w:rsid w:val="00CD3498"/>
    <w:rsid w:val="00CD6044"/>
    <w:rsid w:val="00CE10C2"/>
    <w:rsid w:val="00CE29C6"/>
    <w:rsid w:val="00CE60DB"/>
    <w:rsid w:val="00CE7A51"/>
    <w:rsid w:val="00CF0720"/>
    <w:rsid w:val="00CF1022"/>
    <w:rsid w:val="00CF15F6"/>
    <w:rsid w:val="00CF35F7"/>
    <w:rsid w:val="00CF767B"/>
    <w:rsid w:val="00D03670"/>
    <w:rsid w:val="00D054EA"/>
    <w:rsid w:val="00D05951"/>
    <w:rsid w:val="00D068AD"/>
    <w:rsid w:val="00D0737C"/>
    <w:rsid w:val="00D10525"/>
    <w:rsid w:val="00D106E5"/>
    <w:rsid w:val="00D12454"/>
    <w:rsid w:val="00D12AF7"/>
    <w:rsid w:val="00D1691E"/>
    <w:rsid w:val="00D16D46"/>
    <w:rsid w:val="00D22081"/>
    <w:rsid w:val="00D2380C"/>
    <w:rsid w:val="00D24E47"/>
    <w:rsid w:val="00D250CF"/>
    <w:rsid w:val="00D26496"/>
    <w:rsid w:val="00D34250"/>
    <w:rsid w:val="00D35C80"/>
    <w:rsid w:val="00D35E66"/>
    <w:rsid w:val="00D364F0"/>
    <w:rsid w:val="00D37BC1"/>
    <w:rsid w:val="00D40C1D"/>
    <w:rsid w:val="00D41C76"/>
    <w:rsid w:val="00D422B6"/>
    <w:rsid w:val="00D4286F"/>
    <w:rsid w:val="00D4453F"/>
    <w:rsid w:val="00D45C0A"/>
    <w:rsid w:val="00D52F89"/>
    <w:rsid w:val="00D53CE1"/>
    <w:rsid w:val="00D5544D"/>
    <w:rsid w:val="00D5553F"/>
    <w:rsid w:val="00D5573F"/>
    <w:rsid w:val="00D559AC"/>
    <w:rsid w:val="00D62C13"/>
    <w:rsid w:val="00D63A07"/>
    <w:rsid w:val="00D64EF7"/>
    <w:rsid w:val="00D65CD3"/>
    <w:rsid w:val="00D74172"/>
    <w:rsid w:val="00D74B88"/>
    <w:rsid w:val="00D82370"/>
    <w:rsid w:val="00D82659"/>
    <w:rsid w:val="00D846DD"/>
    <w:rsid w:val="00D847A7"/>
    <w:rsid w:val="00D87E7A"/>
    <w:rsid w:val="00D910B0"/>
    <w:rsid w:val="00D92DCC"/>
    <w:rsid w:val="00DA01E7"/>
    <w:rsid w:val="00DA192D"/>
    <w:rsid w:val="00DA4A8C"/>
    <w:rsid w:val="00DB0ED8"/>
    <w:rsid w:val="00DB1169"/>
    <w:rsid w:val="00DC27BA"/>
    <w:rsid w:val="00DC404C"/>
    <w:rsid w:val="00DC53CC"/>
    <w:rsid w:val="00DC7DDC"/>
    <w:rsid w:val="00DD072D"/>
    <w:rsid w:val="00DD0D5E"/>
    <w:rsid w:val="00DD20F4"/>
    <w:rsid w:val="00DD22B3"/>
    <w:rsid w:val="00DD7078"/>
    <w:rsid w:val="00DE0A42"/>
    <w:rsid w:val="00DE546C"/>
    <w:rsid w:val="00DE6CD9"/>
    <w:rsid w:val="00DF0D9F"/>
    <w:rsid w:val="00DF157D"/>
    <w:rsid w:val="00DF183D"/>
    <w:rsid w:val="00DF1871"/>
    <w:rsid w:val="00DF1A58"/>
    <w:rsid w:val="00DF3ACB"/>
    <w:rsid w:val="00DF5DA2"/>
    <w:rsid w:val="00E03D19"/>
    <w:rsid w:val="00E070CA"/>
    <w:rsid w:val="00E100ED"/>
    <w:rsid w:val="00E13D23"/>
    <w:rsid w:val="00E13F52"/>
    <w:rsid w:val="00E1463F"/>
    <w:rsid w:val="00E209F6"/>
    <w:rsid w:val="00E21D7E"/>
    <w:rsid w:val="00E22306"/>
    <w:rsid w:val="00E2692A"/>
    <w:rsid w:val="00E27ED1"/>
    <w:rsid w:val="00E3289B"/>
    <w:rsid w:val="00E33180"/>
    <w:rsid w:val="00E33CF1"/>
    <w:rsid w:val="00E361DC"/>
    <w:rsid w:val="00E373AC"/>
    <w:rsid w:val="00E42023"/>
    <w:rsid w:val="00E4219F"/>
    <w:rsid w:val="00E57BD8"/>
    <w:rsid w:val="00E65526"/>
    <w:rsid w:val="00E655B2"/>
    <w:rsid w:val="00E67260"/>
    <w:rsid w:val="00E74BF6"/>
    <w:rsid w:val="00E80B68"/>
    <w:rsid w:val="00E81234"/>
    <w:rsid w:val="00E81C0C"/>
    <w:rsid w:val="00E82CCC"/>
    <w:rsid w:val="00E84650"/>
    <w:rsid w:val="00E86A6C"/>
    <w:rsid w:val="00E90D2F"/>
    <w:rsid w:val="00E93F6A"/>
    <w:rsid w:val="00E9484E"/>
    <w:rsid w:val="00E95BCE"/>
    <w:rsid w:val="00EA0FC6"/>
    <w:rsid w:val="00EA1991"/>
    <w:rsid w:val="00EA402B"/>
    <w:rsid w:val="00EA5740"/>
    <w:rsid w:val="00EA6BA9"/>
    <w:rsid w:val="00EB0963"/>
    <w:rsid w:val="00EB75F1"/>
    <w:rsid w:val="00EC1DC1"/>
    <w:rsid w:val="00ED04FE"/>
    <w:rsid w:val="00ED4313"/>
    <w:rsid w:val="00ED54D7"/>
    <w:rsid w:val="00ED5A7F"/>
    <w:rsid w:val="00EE0463"/>
    <w:rsid w:val="00EE382F"/>
    <w:rsid w:val="00EE560E"/>
    <w:rsid w:val="00EE75C8"/>
    <w:rsid w:val="00EF0B69"/>
    <w:rsid w:val="00EF1A41"/>
    <w:rsid w:val="00EF35E7"/>
    <w:rsid w:val="00EF52DE"/>
    <w:rsid w:val="00EF7DB3"/>
    <w:rsid w:val="00F02221"/>
    <w:rsid w:val="00F0237B"/>
    <w:rsid w:val="00F03016"/>
    <w:rsid w:val="00F03494"/>
    <w:rsid w:val="00F03514"/>
    <w:rsid w:val="00F03652"/>
    <w:rsid w:val="00F04140"/>
    <w:rsid w:val="00F061AB"/>
    <w:rsid w:val="00F10736"/>
    <w:rsid w:val="00F12558"/>
    <w:rsid w:val="00F14DD6"/>
    <w:rsid w:val="00F1568B"/>
    <w:rsid w:val="00F170C9"/>
    <w:rsid w:val="00F17B02"/>
    <w:rsid w:val="00F2418C"/>
    <w:rsid w:val="00F26636"/>
    <w:rsid w:val="00F27AA2"/>
    <w:rsid w:val="00F313A1"/>
    <w:rsid w:val="00F322B0"/>
    <w:rsid w:val="00F34631"/>
    <w:rsid w:val="00F3474A"/>
    <w:rsid w:val="00F36207"/>
    <w:rsid w:val="00F3628F"/>
    <w:rsid w:val="00F36502"/>
    <w:rsid w:val="00F37DCD"/>
    <w:rsid w:val="00F37EB7"/>
    <w:rsid w:val="00F4021C"/>
    <w:rsid w:val="00F42508"/>
    <w:rsid w:val="00F50C84"/>
    <w:rsid w:val="00F51BD6"/>
    <w:rsid w:val="00F53312"/>
    <w:rsid w:val="00F5383B"/>
    <w:rsid w:val="00F555BE"/>
    <w:rsid w:val="00F578EC"/>
    <w:rsid w:val="00F6068A"/>
    <w:rsid w:val="00F620BE"/>
    <w:rsid w:val="00F62606"/>
    <w:rsid w:val="00F65DE8"/>
    <w:rsid w:val="00F66AD9"/>
    <w:rsid w:val="00F705E3"/>
    <w:rsid w:val="00F70DFF"/>
    <w:rsid w:val="00F71F05"/>
    <w:rsid w:val="00F73CB8"/>
    <w:rsid w:val="00F76159"/>
    <w:rsid w:val="00F771CE"/>
    <w:rsid w:val="00F8104D"/>
    <w:rsid w:val="00F81D8F"/>
    <w:rsid w:val="00F8250F"/>
    <w:rsid w:val="00F83BDB"/>
    <w:rsid w:val="00F86EBD"/>
    <w:rsid w:val="00F90E64"/>
    <w:rsid w:val="00F93863"/>
    <w:rsid w:val="00F953D7"/>
    <w:rsid w:val="00F97028"/>
    <w:rsid w:val="00FA3566"/>
    <w:rsid w:val="00FA6BC7"/>
    <w:rsid w:val="00FB029B"/>
    <w:rsid w:val="00FB1BC7"/>
    <w:rsid w:val="00FB256C"/>
    <w:rsid w:val="00FB4891"/>
    <w:rsid w:val="00FC0273"/>
    <w:rsid w:val="00FC31CA"/>
    <w:rsid w:val="00FC5381"/>
    <w:rsid w:val="00FC640E"/>
    <w:rsid w:val="00FC65E7"/>
    <w:rsid w:val="00FC6E7B"/>
    <w:rsid w:val="00FC7025"/>
    <w:rsid w:val="00FD08E5"/>
    <w:rsid w:val="00FD1865"/>
    <w:rsid w:val="00FD45F9"/>
    <w:rsid w:val="00FD61B9"/>
    <w:rsid w:val="00FE0A2F"/>
    <w:rsid w:val="00FE295D"/>
    <w:rsid w:val="00FE33C2"/>
    <w:rsid w:val="00FE68D5"/>
    <w:rsid w:val="00FE7269"/>
    <w:rsid w:val="00FE794E"/>
    <w:rsid w:val="00FF0E79"/>
    <w:rsid w:val="00FF7C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206"/>
    <w:pPr>
      <w:ind w:firstLine="720"/>
      <w:jc w:val="both"/>
    </w:pPr>
    <w:rPr>
      <w:sz w:val="28"/>
      <w:lang w:eastAsia="en-US"/>
    </w:rPr>
  </w:style>
  <w:style w:type="paragraph" w:styleId="Heading5">
    <w:name w:val="heading 5"/>
    <w:basedOn w:val="Normal"/>
    <w:next w:val="Normal"/>
    <w:link w:val="Heading5Char"/>
    <w:qFormat/>
    <w:locked/>
    <w:rsid w:val="00864391"/>
    <w:pPr>
      <w:keepNext/>
      <w:autoSpaceDE w:val="0"/>
      <w:autoSpaceDN w:val="0"/>
      <w:adjustRightInd w:val="0"/>
      <w:ind w:firstLine="0"/>
      <w:jc w:val="center"/>
      <w:outlineLvl w:val="4"/>
    </w:pPr>
    <w:rPr>
      <w:rFonts w:eastAsia="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
    <w:name w:val="normal--char"/>
    <w:uiPriority w:val="99"/>
    <w:rsid w:val="001D510D"/>
    <w:rPr>
      <w:rFonts w:ascii="Times New Roman" w:hAnsi="Times New Roman"/>
    </w:rPr>
  </w:style>
  <w:style w:type="paragraph" w:styleId="FootnoteText">
    <w:name w:val="footnote text"/>
    <w:basedOn w:val="Normal"/>
    <w:link w:val="FootnoteTextChar"/>
    <w:uiPriority w:val="99"/>
    <w:rsid w:val="00F3628F"/>
    <w:pPr>
      <w:ind w:firstLine="0"/>
      <w:jc w:val="left"/>
    </w:pPr>
    <w:rPr>
      <w:rFonts w:eastAsia="Times New Roman"/>
      <w:sz w:val="20"/>
      <w:szCs w:val="20"/>
      <w:lang w:eastAsia="lv-LV"/>
    </w:rPr>
  </w:style>
  <w:style w:type="character" w:customStyle="1" w:styleId="FootnoteTextChar">
    <w:name w:val="Footnote Text Char"/>
    <w:basedOn w:val="DefaultParagraphFont"/>
    <w:link w:val="FootnoteText"/>
    <w:uiPriority w:val="99"/>
    <w:locked/>
    <w:rsid w:val="00F3628F"/>
    <w:rPr>
      <w:rFonts w:eastAsia="Times New Roman" w:cs="Times New Roman"/>
      <w:sz w:val="20"/>
      <w:szCs w:val="20"/>
      <w:lang w:eastAsia="lv-LV"/>
    </w:rPr>
  </w:style>
  <w:style w:type="character" w:styleId="FootnoteReference">
    <w:name w:val="footnote reference"/>
    <w:aliases w:val="Footnote Reference Number"/>
    <w:basedOn w:val="DefaultParagraphFont"/>
    <w:uiPriority w:val="99"/>
    <w:rsid w:val="00F3628F"/>
    <w:rPr>
      <w:rFonts w:cs="Times New Roman"/>
      <w:vertAlign w:val="superscript"/>
    </w:rPr>
  </w:style>
  <w:style w:type="paragraph" w:customStyle="1" w:styleId="naisf">
    <w:name w:val="naisf"/>
    <w:basedOn w:val="Normal"/>
    <w:uiPriority w:val="99"/>
    <w:rsid w:val="00F3628F"/>
    <w:pPr>
      <w:spacing w:before="75" w:after="75"/>
      <w:ind w:firstLine="375"/>
    </w:pPr>
    <w:rPr>
      <w:sz w:val="24"/>
      <w:szCs w:val="24"/>
      <w:lang w:eastAsia="lv-LV"/>
    </w:rPr>
  </w:style>
  <w:style w:type="paragraph" w:styleId="ListParagraph">
    <w:name w:val="List Paragraph"/>
    <w:basedOn w:val="Normal"/>
    <w:uiPriority w:val="99"/>
    <w:qFormat/>
    <w:rsid w:val="00623A32"/>
    <w:pPr>
      <w:ind w:left="720"/>
      <w:contextualSpacing/>
    </w:pPr>
  </w:style>
  <w:style w:type="paragraph" w:customStyle="1" w:styleId="naisnod">
    <w:name w:val="naisnod"/>
    <w:basedOn w:val="Normal"/>
    <w:rsid w:val="003D6EA8"/>
    <w:pPr>
      <w:spacing w:before="100" w:beforeAutospacing="1" w:after="100" w:afterAutospacing="1"/>
      <w:ind w:firstLine="0"/>
      <w:jc w:val="left"/>
    </w:pPr>
    <w:rPr>
      <w:rFonts w:eastAsia="Times New Roman"/>
      <w:sz w:val="24"/>
      <w:szCs w:val="24"/>
      <w:lang w:eastAsia="lv-LV"/>
    </w:rPr>
  </w:style>
  <w:style w:type="paragraph" w:customStyle="1" w:styleId="naiskr">
    <w:name w:val="naiskr"/>
    <w:basedOn w:val="Normal"/>
    <w:uiPriority w:val="99"/>
    <w:rsid w:val="003D6EA8"/>
    <w:pPr>
      <w:spacing w:before="100" w:beforeAutospacing="1" w:after="100" w:afterAutospacing="1"/>
      <w:ind w:firstLine="0"/>
      <w:jc w:val="left"/>
    </w:pPr>
    <w:rPr>
      <w:rFonts w:eastAsia="Times New Roman"/>
      <w:sz w:val="24"/>
      <w:szCs w:val="24"/>
      <w:lang w:eastAsia="lv-LV"/>
    </w:rPr>
  </w:style>
  <w:style w:type="paragraph" w:styleId="NormalWeb">
    <w:name w:val="Normal (Web)"/>
    <w:basedOn w:val="Normal"/>
    <w:uiPriority w:val="99"/>
    <w:rsid w:val="003D6EA8"/>
    <w:pPr>
      <w:spacing w:before="100" w:beforeAutospacing="1" w:after="100" w:afterAutospacing="1"/>
      <w:ind w:firstLine="0"/>
      <w:jc w:val="left"/>
    </w:pPr>
    <w:rPr>
      <w:rFonts w:eastAsia="Times New Roman"/>
      <w:sz w:val="24"/>
      <w:szCs w:val="24"/>
      <w:lang w:eastAsia="lv-LV"/>
    </w:rPr>
  </w:style>
  <w:style w:type="paragraph" w:styleId="Header">
    <w:name w:val="header"/>
    <w:basedOn w:val="Normal"/>
    <w:link w:val="HeaderChar"/>
    <w:uiPriority w:val="99"/>
    <w:rsid w:val="00B605EA"/>
    <w:pPr>
      <w:tabs>
        <w:tab w:val="center" w:pos="4153"/>
        <w:tab w:val="right" w:pos="8306"/>
      </w:tabs>
    </w:pPr>
  </w:style>
  <w:style w:type="character" w:customStyle="1" w:styleId="HeaderChar">
    <w:name w:val="Header Char"/>
    <w:basedOn w:val="DefaultParagraphFont"/>
    <w:link w:val="Header"/>
    <w:uiPriority w:val="99"/>
    <w:locked/>
    <w:rsid w:val="00B605EA"/>
    <w:rPr>
      <w:rFonts w:cs="Times New Roman"/>
    </w:rPr>
  </w:style>
  <w:style w:type="paragraph" w:styleId="Footer">
    <w:name w:val="footer"/>
    <w:basedOn w:val="Normal"/>
    <w:link w:val="FooterChar"/>
    <w:uiPriority w:val="99"/>
    <w:rsid w:val="00B605EA"/>
    <w:pPr>
      <w:tabs>
        <w:tab w:val="center" w:pos="4153"/>
        <w:tab w:val="right" w:pos="8306"/>
      </w:tabs>
    </w:pPr>
  </w:style>
  <w:style w:type="character" w:customStyle="1" w:styleId="FooterChar">
    <w:name w:val="Footer Char"/>
    <w:basedOn w:val="DefaultParagraphFont"/>
    <w:link w:val="Footer"/>
    <w:uiPriority w:val="99"/>
    <w:locked/>
    <w:rsid w:val="00B605EA"/>
    <w:rPr>
      <w:rFonts w:cs="Times New Roman"/>
    </w:rPr>
  </w:style>
  <w:style w:type="paragraph" w:styleId="BalloonText">
    <w:name w:val="Balloon Text"/>
    <w:basedOn w:val="Normal"/>
    <w:link w:val="BalloonTextChar"/>
    <w:uiPriority w:val="99"/>
    <w:semiHidden/>
    <w:rsid w:val="00887DF1"/>
    <w:rPr>
      <w:rFonts w:ascii="Arial" w:hAnsi="Arial" w:cs="Arial"/>
      <w:sz w:val="18"/>
      <w:szCs w:val="18"/>
    </w:rPr>
  </w:style>
  <w:style w:type="character" w:customStyle="1" w:styleId="BalloonTextChar">
    <w:name w:val="Balloon Text Char"/>
    <w:basedOn w:val="DefaultParagraphFont"/>
    <w:link w:val="BalloonText"/>
    <w:uiPriority w:val="99"/>
    <w:semiHidden/>
    <w:locked/>
    <w:rsid w:val="00887DF1"/>
    <w:rPr>
      <w:rFonts w:ascii="Arial" w:hAnsi="Arial" w:cs="Arial"/>
      <w:sz w:val="18"/>
      <w:szCs w:val="18"/>
    </w:rPr>
  </w:style>
  <w:style w:type="character" w:styleId="Hyperlink">
    <w:name w:val="Hyperlink"/>
    <w:basedOn w:val="DefaultParagraphFont"/>
    <w:uiPriority w:val="99"/>
    <w:rsid w:val="00963E11"/>
    <w:rPr>
      <w:rFonts w:cs="Times New Roman"/>
      <w:color w:val="0563C1"/>
      <w:u w:val="single"/>
    </w:rPr>
  </w:style>
  <w:style w:type="character" w:customStyle="1" w:styleId="Heading5Char">
    <w:name w:val="Heading 5 Char"/>
    <w:basedOn w:val="DefaultParagraphFont"/>
    <w:link w:val="Heading5"/>
    <w:rsid w:val="00864391"/>
    <w:rPr>
      <w:rFonts w:eastAsia="Times New Roman"/>
      <w:b/>
      <w:bCs/>
      <w:sz w:val="28"/>
      <w:szCs w:val="28"/>
      <w:lang w:eastAsia="en-US"/>
    </w:rPr>
  </w:style>
  <w:style w:type="table" w:styleId="TableGrid">
    <w:name w:val="Table Grid"/>
    <w:basedOn w:val="TableNormal"/>
    <w:locked/>
    <w:rsid w:val="00394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206"/>
    <w:pPr>
      <w:ind w:firstLine="720"/>
      <w:jc w:val="both"/>
    </w:pPr>
    <w:rPr>
      <w:sz w:val="28"/>
      <w:lang w:eastAsia="en-US"/>
    </w:rPr>
  </w:style>
  <w:style w:type="paragraph" w:styleId="Heading5">
    <w:name w:val="heading 5"/>
    <w:basedOn w:val="Normal"/>
    <w:next w:val="Normal"/>
    <w:link w:val="Heading5Char"/>
    <w:qFormat/>
    <w:locked/>
    <w:rsid w:val="00864391"/>
    <w:pPr>
      <w:keepNext/>
      <w:autoSpaceDE w:val="0"/>
      <w:autoSpaceDN w:val="0"/>
      <w:adjustRightInd w:val="0"/>
      <w:ind w:firstLine="0"/>
      <w:jc w:val="center"/>
      <w:outlineLvl w:val="4"/>
    </w:pPr>
    <w:rPr>
      <w:rFonts w:eastAsia="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
    <w:name w:val="normal--char"/>
    <w:uiPriority w:val="99"/>
    <w:rsid w:val="001D510D"/>
    <w:rPr>
      <w:rFonts w:ascii="Times New Roman" w:hAnsi="Times New Roman"/>
    </w:rPr>
  </w:style>
  <w:style w:type="paragraph" w:styleId="FootnoteText">
    <w:name w:val="footnote text"/>
    <w:basedOn w:val="Normal"/>
    <w:link w:val="FootnoteTextChar"/>
    <w:uiPriority w:val="99"/>
    <w:rsid w:val="00F3628F"/>
    <w:pPr>
      <w:ind w:firstLine="0"/>
      <w:jc w:val="left"/>
    </w:pPr>
    <w:rPr>
      <w:rFonts w:eastAsia="Times New Roman"/>
      <w:sz w:val="20"/>
      <w:szCs w:val="20"/>
      <w:lang w:eastAsia="lv-LV"/>
    </w:rPr>
  </w:style>
  <w:style w:type="character" w:customStyle="1" w:styleId="FootnoteTextChar">
    <w:name w:val="Footnote Text Char"/>
    <w:basedOn w:val="DefaultParagraphFont"/>
    <w:link w:val="FootnoteText"/>
    <w:uiPriority w:val="99"/>
    <w:locked/>
    <w:rsid w:val="00F3628F"/>
    <w:rPr>
      <w:rFonts w:eastAsia="Times New Roman" w:cs="Times New Roman"/>
      <w:sz w:val="20"/>
      <w:szCs w:val="20"/>
      <w:lang w:eastAsia="lv-LV"/>
    </w:rPr>
  </w:style>
  <w:style w:type="character" w:styleId="FootnoteReference">
    <w:name w:val="footnote reference"/>
    <w:aliases w:val="Footnote Reference Number"/>
    <w:basedOn w:val="DefaultParagraphFont"/>
    <w:uiPriority w:val="99"/>
    <w:rsid w:val="00F3628F"/>
    <w:rPr>
      <w:rFonts w:cs="Times New Roman"/>
      <w:vertAlign w:val="superscript"/>
    </w:rPr>
  </w:style>
  <w:style w:type="paragraph" w:customStyle="1" w:styleId="naisf">
    <w:name w:val="naisf"/>
    <w:basedOn w:val="Normal"/>
    <w:uiPriority w:val="99"/>
    <w:rsid w:val="00F3628F"/>
    <w:pPr>
      <w:spacing w:before="75" w:after="75"/>
      <w:ind w:firstLine="375"/>
    </w:pPr>
    <w:rPr>
      <w:sz w:val="24"/>
      <w:szCs w:val="24"/>
      <w:lang w:eastAsia="lv-LV"/>
    </w:rPr>
  </w:style>
  <w:style w:type="paragraph" w:styleId="ListParagraph">
    <w:name w:val="List Paragraph"/>
    <w:basedOn w:val="Normal"/>
    <w:uiPriority w:val="99"/>
    <w:qFormat/>
    <w:rsid w:val="00623A32"/>
    <w:pPr>
      <w:ind w:left="720"/>
      <w:contextualSpacing/>
    </w:pPr>
  </w:style>
  <w:style w:type="paragraph" w:customStyle="1" w:styleId="naisnod">
    <w:name w:val="naisnod"/>
    <w:basedOn w:val="Normal"/>
    <w:rsid w:val="003D6EA8"/>
    <w:pPr>
      <w:spacing w:before="100" w:beforeAutospacing="1" w:after="100" w:afterAutospacing="1"/>
      <w:ind w:firstLine="0"/>
      <w:jc w:val="left"/>
    </w:pPr>
    <w:rPr>
      <w:rFonts w:eastAsia="Times New Roman"/>
      <w:sz w:val="24"/>
      <w:szCs w:val="24"/>
      <w:lang w:eastAsia="lv-LV"/>
    </w:rPr>
  </w:style>
  <w:style w:type="paragraph" w:customStyle="1" w:styleId="naiskr">
    <w:name w:val="naiskr"/>
    <w:basedOn w:val="Normal"/>
    <w:uiPriority w:val="99"/>
    <w:rsid w:val="003D6EA8"/>
    <w:pPr>
      <w:spacing w:before="100" w:beforeAutospacing="1" w:after="100" w:afterAutospacing="1"/>
      <w:ind w:firstLine="0"/>
      <w:jc w:val="left"/>
    </w:pPr>
    <w:rPr>
      <w:rFonts w:eastAsia="Times New Roman"/>
      <w:sz w:val="24"/>
      <w:szCs w:val="24"/>
      <w:lang w:eastAsia="lv-LV"/>
    </w:rPr>
  </w:style>
  <w:style w:type="paragraph" w:styleId="NormalWeb">
    <w:name w:val="Normal (Web)"/>
    <w:basedOn w:val="Normal"/>
    <w:uiPriority w:val="99"/>
    <w:rsid w:val="003D6EA8"/>
    <w:pPr>
      <w:spacing w:before="100" w:beforeAutospacing="1" w:after="100" w:afterAutospacing="1"/>
      <w:ind w:firstLine="0"/>
      <w:jc w:val="left"/>
    </w:pPr>
    <w:rPr>
      <w:rFonts w:eastAsia="Times New Roman"/>
      <w:sz w:val="24"/>
      <w:szCs w:val="24"/>
      <w:lang w:eastAsia="lv-LV"/>
    </w:rPr>
  </w:style>
  <w:style w:type="paragraph" w:styleId="Header">
    <w:name w:val="header"/>
    <w:basedOn w:val="Normal"/>
    <w:link w:val="HeaderChar"/>
    <w:uiPriority w:val="99"/>
    <w:rsid w:val="00B605EA"/>
    <w:pPr>
      <w:tabs>
        <w:tab w:val="center" w:pos="4153"/>
        <w:tab w:val="right" w:pos="8306"/>
      </w:tabs>
    </w:pPr>
  </w:style>
  <w:style w:type="character" w:customStyle="1" w:styleId="HeaderChar">
    <w:name w:val="Header Char"/>
    <w:basedOn w:val="DefaultParagraphFont"/>
    <w:link w:val="Header"/>
    <w:uiPriority w:val="99"/>
    <w:locked/>
    <w:rsid w:val="00B605EA"/>
    <w:rPr>
      <w:rFonts w:cs="Times New Roman"/>
    </w:rPr>
  </w:style>
  <w:style w:type="paragraph" w:styleId="Footer">
    <w:name w:val="footer"/>
    <w:basedOn w:val="Normal"/>
    <w:link w:val="FooterChar"/>
    <w:uiPriority w:val="99"/>
    <w:rsid w:val="00B605EA"/>
    <w:pPr>
      <w:tabs>
        <w:tab w:val="center" w:pos="4153"/>
        <w:tab w:val="right" w:pos="8306"/>
      </w:tabs>
    </w:pPr>
  </w:style>
  <w:style w:type="character" w:customStyle="1" w:styleId="FooterChar">
    <w:name w:val="Footer Char"/>
    <w:basedOn w:val="DefaultParagraphFont"/>
    <w:link w:val="Footer"/>
    <w:uiPriority w:val="99"/>
    <w:locked/>
    <w:rsid w:val="00B605EA"/>
    <w:rPr>
      <w:rFonts w:cs="Times New Roman"/>
    </w:rPr>
  </w:style>
  <w:style w:type="paragraph" w:styleId="BalloonText">
    <w:name w:val="Balloon Text"/>
    <w:basedOn w:val="Normal"/>
    <w:link w:val="BalloonTextChar"/>
    <w:uiPriority w:val="99"/>
    <w:semiHidden/>
    <w:rsid w:val="00887DF1"/>
    <w:rPr>
      <w:rFonts w:ascii="Arial" w:hAnsi="Arial" w:cs="Arial"/>
      <w:sz w:val="18"/>
      <w:szCs w:val="18"/>
    </w:rPr>
  </w:style>
  <w:style w:type="character" w:customStyle="1" w:styleId="BalloonTextChar">
    <w:name w:val="Balloon Text Char"/>
    <w:basedOn w:val="DefaultParagraphFont"/>
    <w:link w:val="BalloonText"/>
    <w:uiPriority w:val="99"/>
    <w:semiHidden/>
    <w:locked/>
    <w:rsid w:val="00887DF1"/>
    <w:rPr>
      <w:rFonts w:ascii="Arial" w:hAnsi="Arial" w:cs="Arial"/>
      <w:sz w:val="18"/>
      <w:szCs w:val="18"/>
    </w:rPr>
  </w:style>
  <w:style w:type="character" w:styleId="Hyperlink">
    <w:name w:val="Hyperlink"/>
    <w:basedOn w:val="DefaultParagraphFont"/>
    <w:uiPriority w:val="99"/>
    <w:rsid w:val="00963E11"/>
    <w:rPr>
      <w:rFonts w:cs="Times New Roman"/>
      <w:color w:val="0563C1"/>
      <w:u w:val="single"/>
    </w:rPr>
  </w:style>
  <w:style w:type="character" w:customStyle="1" w:styleId="Heading5Char">
    <w:name w:val="Heading 5 Char"/>
    <w:basedOn w:val="DefaultParagraphFont"/>
    <w:link w:val="Heading5"/>
    <w:rsid w:val="00864391"/>
    <w:rPr>
      <w:rFonts w:eastAsia="Times New Roman"/>
      <w:b/>
      <w:bCs/>
      <w:sz w:val="28"/>
      <w:szCs w:val="28"/>
      <w:lang w:eastAsia="en-US"/>
    </w:rPr>
  </w:style>
  <w:style w:type="table" w:styleId="TableGrid">
    <w:name w:val="Table Grid"/>
    <w:basedOn w:val="TableNormal"/>
    <w:locked/>
    <w:rsid w:val="00394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026875">
      <w:marLeft w:val="0"/>
      <w:marRight w:val="0"/>
      <w:marTop w:val="0"/>
      <w:marBottom w:val="0"/>
      <w:divBdr>
        <w:top w:val="none" w:sz="0" w:space="0" w:color="auto"/>
        <w:left w:val="none" w:sz="0" w:space="0" w:color="auto"/>
        <w:bottom w:val="none" w:sz="0" w:space="0" w:color="auto"/>
        <w:right w:val="none" w:sz="0" w:space="0" w:color="auto"/>
      </w:divBdr>
    </w:div>
    <w:div w:id="953026876">
      <w:marLeft w:val="0"/>
      <w:marRight w:val="0"/>
      <w:marTop w:val="0"/>
      <w:marBottom w:val="0"/>
      <w:divBdr>
        <w:top w:val="none" w:sz="0" w:space="0" w:color="auto"/>
        <w:left w:val="none" w:sz="0" w:space="0" w:color="auto"/>
        <w:bottom w:val="none" w:sz="0" w:space="0" w:color="auto"/>
        <w:right w:val="none" w:sz="0" w:space="0" w:color="auto"/>
      </w:divBdr>
    </w:div>
    <w:div w:id="163021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1388</Words>
  <Characters>10680</Characters>
  <Application>Microsoft Office Word</Application>
  <DocSecurity>0</DocSecurity>
  <Lines>368</Lines>
  <Paragraphs>109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2012.gada 11.decembra noteikumos Nr.839 "Nodrošinājuma valsts aģentūras nolikums"" sākptnējās ietekmes novērtējuma ziņojums (anotācija)</vt:lpstr>
      <vt:lpstr>Anotācija Ministru kabineta noteikumu projektam “Valsts materiālo rezervju iesaistīšanas un pārbaudes kārtība"</vt:lpstr>
    </vt:vector>
  </TitlesOfParts>
  <Manager>Iekšlietu ministrija</Manager>
  <Company>Nodrošinājuma valsts aģentūra</Company>
  <LinksUpToDate>false</LinksUpToDate>
  <CharactersWithSpaces>11959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2012.gada 11.decembra noteikumos Nr.839 "Nodrošinājuma valsts aģentūras nolikums"" sākptnējās ietekmes novērtējuma ziņojums (anotācija)</dc:title>
  <dc:subject>Anotācija</dc:subject>
  <dc:creator>Ilze Rudzīte</dc:creator>
  <dc:description>Ilze Rudzīte_x000d_
ilze.rudzite@agentura.iem.gov.lv_x000d_
tālr.26698094</dc:description>
  <cp:lastModifiedBy>Agate Pupova Ozera</cp:lastModifiedBy>
  <cp:revision>2</cp:revision>
  <cp:lastPrinted>2019-06-14T05:19:00Z</cp:lastPrinted>
  <dcterms:created xsi:type="dcterms:W3CDTF">2019-07-09T10:56:00Z</dcterms:created>
  <dcterms:modified xsi:type="dcterms:W3CDTF">2019-07-09T10:56:00Z</dcterms:modified>
</cp:coreProperties>
</file>