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B5" w:rsidRPr="005D10D8" w:rsidRDefault="00C555B5" w:rsidP="00C555B5">
      <w:pPr>
        <w:pStyle w:val="naisnod"/>
        <w:spacing w:before="0" w:after="0"/>
      </w:pPr>
      <w:r w:rsidRPr="005D10D8">
        <w:t>Izziņa par atzinumos sniegtajiem iebildumiem</w:t>
      </w:r>
    </w:p>
    <w:tbl>
      <w:tblPr>
        <w:tblW w:w="0" w:type="auto"/>
        <w:jc w:val="center"/>
        <w:tblLook w:val="00A0" w:firstRow="1" w:lastRow="0" w:firstColumn="1" w:lastColumn="0" w:noHBand="0" w:noVBand="0"/>
      </w:tblPr>
      <w:tblGrid>
        <w:gridCol w:w="10188"/>
      </w:tblGrid>
      <w:tr w:rsidR="00C555B5" w:rsidRPr="005D10D8" w:rsidTr="00EA2B49">
        <w:trPr>
          <w:jc w:val="center"/>
        </w:trPr>
        <w:tc>
          <w:tcPr>
            <w:tcW w:w="10188" w:type="dxa"/>
          </w:tcPr>
          <w:p w:rsidR="00C555B5" w:rsidRPr="005D10D8" w:rsidRDefault="00C555B5" w:rsidP="00EA2B49">
            <w:pPr>
              <w:jc w:val="center"/>
              <w:rPr>
                <w:b/>
              </w:rPr>
            </w:pPr>
            <w:r w:rsidRPr="005D10D8">
              <w:rPr>
                <w:b/>
              </w:rPr>
              <w:t xml:space="preserve">par likumprojektu </w:t>
            </w:r>
            <w:r w:rsidRPr="005D10D8">
              <w:rPr>
                <w:b/>
                <w:bCs/>
              </w:rPr>
              <w:t>“Grozījumi Dzīvesvietas deklarēšanas likumā” (VSS</w:t>
            </w:r>
            <w:r w:rsidRPr="005D10D8">
              <w:rPr>
                <w:b/>
              </w:rPr>
              <w:t>-247)</w:t>
            </w:r>
          </w:p>
          <w:p w:rsidR="00C555B5" w:rsidRPr="005D10D8" w:rsidRDefault="00C555B5" w:rsidP="00EA2B49">
            <w:pPr>
              <w:jc w:val="center"/>
              <w:rPr>
                <w:b/>
              </w:rPr>
            </w:pPr>
          </w:p>
        </w:tc>
      </w:tr>
    </w:tbl>
    <w:p w:rsidR="00C555B5" w:rsidRPr="005D10D8" w:rsidRDefault="00C555B5" w:rsidP="00C555B5">
      <w:pPr>
        <w:pStyle w:val="naisf"/>
        <w:spacing w:before="0" w:after="0"/>
        <w:ind w:firstLine="0"/>
        <w:jc w:val="center"/>
        <w:rPr>
          <w:b/>
        </w:rPr>
      </w:pPr>
      <w:r w:rsidRPr="005D10D8">
        <w:rPr>
          <w:b/>
        </w:rPr>
        <w:t>I. Jautājumi, par kuriem saskaņošanā vienošanās nav panākta</w:t>
      </w:r>
    </w:p>
    <w:p w:rsidR="00C555B5" w:rsidRPr="005D10D8" w:rsidRDefault="00C555B5" w:rsidP="00C555B5">
      <w:pPr>
        <w:pStyle w:val="naisf"/>
        <w:spacing w:before="0" w:after="0"/>
        <w:ind w:firstLine="0"/>
        <w:jc w:val="center"/>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51"/>
        <w:gridCol w:w="3118"/>
        <w:gridCol w:w="2977"/>
        <w:gridCol w:w="2459"/>
        <w:gridCol w:w="1920"/>
      </w:tblGrid>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2951"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C555B5" w:rsidRPr="005D10D8" w:rsidRDefault="00C555B5" w:rsidP="00EA2B49">
            <w:pPr>
              <w:jc w:val="center"/>
            </w:pPr>
            <w:r w:rsidRPr="005D10D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2951"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311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2459" w:type="dxa"/>
            <w:tcBorders>
              <w:top w:val="single" w:sz="4" w:space="0" w:color="auto"/>
              <w:left w:val="single" w:sz="4" w:space="0" w:color="auto"/>
              <w:bottom w:val="single" w:sz="4" w:space="0" w:color="auto"/>
              <w:right w:val="single" w:sz="4" w:space="0" w:color="auto"/>
            </w:tcBorders>
          </w:tcPr>
          <w:p w:rsidR="00C555B5" w:rsidRPr="005D10D8" w:rsidRDefault="00C555B5" w:rsidP="00EA2B49">
            <w:pPr>
              <w:jc w:val="center"/>
            </w:pPr>
            <w:r w:rsidRPr="005D10D8">
              <w:t>5</w:t>
            </w:r>
          </w:p>
        </w:tc>
        <w:tc>
          <w:tcPr>
            <w:tcW w:w="1920"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6</w:t>
            </w:r>
          </w:p>
        </w:tc>
      </w:tr>
      <w:tr w:rsidR="00C555B5" w:rsidRPr="005D10D8" w:rsidTr="00C555B5">
        <w:tc>
          <w:tcPr>
            <w:tcW w:w="735" w:type="dxa"/>
            <w:tcBorders>
              <w:left w:val="single" w:sz="6" w:space="0" w:color="000000"/>
              <w:bottom w:val="single" w:sz="4" w:space="0" w:color="auto"/>
              <w:right w:val="single" w:sz="6" w:space="0" w:color="000000"/>
            </w:tcBorders>
          </w:tcPr>
          <w:p w:rsidR="00C555B5" w:rsidRPr="005D10D8" w:rsidRDefault="00C555B5" w:rsidP="00EA2B49">
            <w:pPr>
              <w:jc w:val="center"/>
            </w:pPr>
            <w:r w:rsidRPr="005D10D8">
              <w:t>1.</w:t>
            </w:r>
          </w:p>
        </w:tc>
        <w:tc>
          <w:tcPr>
            <w:tcW w:w="2951" w:type="dxa"/>
            <w:tcBorders>
              <w:left w:val="single" w:sz="6" w:space="0" w:color="000000"/>
              <w:bottom w:val="single" w:sz="4" w:space="0" w:color="auto"/>
              <w:right w:val="single" w:sz="6" w:space="0" w:color="000000"/>
            </w:tcBorders>
          </w:tcPr>
          <w:p w:rsidR="00C555B5" w:rsidRPr="005D10D8" w:rsidRDefault="00C555B5" w:rsidP="00240CB3">
            <w:pPr>
              <w:pStyle w:val="ListParagraph"/>
              <w:ind w:left="0"/>
              <w:jc w:val="both"/>
              <w:rPr>
                <w:lang w:val="lv-LV"/>
              </w:rPr>
            </w:pPr>
          </w:p>
        </w:tc>
        <w:tc>
          <w:tcPr>
            <w:tcW w:w="3118" w:type="dxa"/>
            <w:tcBorders>
              <w:left w:val="single" w:sz="6" w:space="0" w:color="000000"/>
              <w:bottom w:val="single" w:sz="4" w:space="0" w:color="auto"/>
              <w:right w:val="single" w:sz="6" w:space="0" w:color="000000"/>
            </w:tcBorders>
          </w:tcPr>
          <w:p w:rsidR="00C555B5" w:rsidRPr="005D10D8" w:rsidRDefault="00C555B5" w:rsidP="005D10D8">
            <w:pPr>
              <w:jc w:val="both"/>
            </w:pPr>
          </w:p>
        </w:tc>
        <w:tc>
          <w:tcPr>
            <w:tcW w:w="2977" w:type="dxa"/>
            <w:tcBorders>
              <w:left w:val="single" w:sz="6" w:space="0" w:color="000000"/>
              <w:bottom w:val="single" w:sz="4" w:space="0" w:color="auto"/>
              <w:right w:val="single" w:sz="6" w:space="0" w:color="000000"/>
            </w:tcBorders>
          </w:tcPr>
          <w:p w:rsidR="00256207" w:rsidRPr="005D10D8" w:rsidRDefault="00256207" w:rsidP="00256207">
            <w:pPr>
              <w:jc w:val="both"/>
            </w:pPr>
          </w:p>
        </w:tc>
        <w:tc>
          <w:tcPr>
            <w:tcW w:w="2459" w:type="dxa"/>
            <w:tcBorders>
              <w:top w:val="single" w:sz="4" w:space="0" w:color="auto"/>
              <w:left w:val="single" w:sz="4" w:space="0" w:color="auto"/>
              <w:bottom w:val="single" w:sz="4" w:space="0" w:color="auto"/>
              <w:right w:val="single" w:sz="4" w:space="0" w:color="auto"/>
            </w:tcBorders>
          </w:tcPr>
          <w:p w:rsidR="001B4E7E" w:rsidRPr="005D10D8" w:rsidRDefault="001B4E7E" w:rsidP="001B4E7E">
            <w:pPr>
              <w:jc w:val="both"/>
              <w:rPr>
                <w:b/>
              </w:rPr>
            </w:pPr>
          </w:p>
        </w:tc>
        <w:tc>
          <w:tcPr>
            <w:tcW w:w="1920" w:type="dxa"/>
            <w:tcBorders>
              <w:top w:val="single" w:sz="4" w:space="0" w:color="auto"/>
              <w:left w:val="single" w:sz="4" w:space="0" w:color="auto"/>
              <w:bottom w:val="single" w:sz="4" w:space="0" w:color="auto"/>
            </w:tcBorders>
          </w:tcPr>
          <w:p w:rsidR="00C555B5" w:rsidRPr="005D10D8" w:rsidRDefault="00C555B5" w:rsidP="001B4E7E">
            <w:pPr>
              <w:jc w:val="both"/>
            </w:pPr>
          </w:p>
        </w:tc>
      </w:tr>
    </w:tbl>
    <w:p w:rsidR="00C555B5" w:rsidRPr="005D10D8" w:rsidRDefault="00C555B5" w:rsidP="00C555B5">
      <w:pPr>
        <w:pStyle w:val="naisf"/>
        <w:spacing w:before="0" w:after="0"/>
        <w:ind w:firstLine="0"/>
      </w:pPr>
    </w:p>
    <w:p w:rsidR="00C555B5" w:rsidRPr="005D10D8" w:rsidRDefault="00C555B5" w:rsidP="00C555B5">
      <w:pPr>
        <w:pStyle w:val="naisf"/>
        <w:spacing w:before="0" w:after="0"/>
        <w:ind w:firstLine="0"/>
        <w:rPr>
          <w:b/>
        </w:rPr>
      </w:pPr>
      <w:r w:rsidRPr="005D10D8">
        <w:rPr>
          <w:b/>
        </w:rPr>
        <w:t>Informācija par starpministriju (starpinstitūciju) sanāksmi vai elektronisko saskaņošanu</w:t>
      </w:r>
    </w:p>
    <w:p w:rsidR="00C555B5" w:rsidRPr="005D10D8" w:rsidRDefault="00C555B5" w:rsidP="00C555B5">
      <w:pPr>
        <w:pStyle w:val="naisf"/>
        <w:spacing w:before="0" w:after="0"/>
        <w:ind w:firstLine="0"/>
        <w:rPr>
          <w:b/>
        </w:rPr>
      </w:pPr>
    </w:p>
    <w:tbl>
      <w:tblPr>
        <w:tblW w:w="12582" w:type="dxa"/>
        <w:tblLook w:val="00A0" w:firstRow="1" w:lastRow="0" w:firstColumn="1" w:lastColumn="0" w:noHBand="0" w:noVBand="0"/>
      </w:tblPr>
      <w:tblGrid>
        <w:gridCol w:w="6157"/>
        <w:gridCol w:w="349"/>
        <w:gridCol w:w="1230"/>
        <w:gridCol w:w="4846"/>
      </w:tblGrid>
      <w:tr w:rsidR="00C555B5" w:rsidRPr="005D10D8" w:rsidTr="00EA2B49">
        <w:tc>
          <w:tcPr>
            <w:tcW w:w="6157" w:type="dxa"/>
          </w:tcPr>
          <w:p w:rsidR="00C555B5" w:rsidRPr="005D10D8" w:rsidRDefault="00C555B5" w:rsidP="00EA2B49">
            <w:pPr>
              <w:pStyle w:val="naisf"/>
              <w:spacing w:before="0" w:after="0"/>
              <w:ind w:firstLine="0"/>
            </w:pPr>
            <w:r w:rsidRPr="005D10D8">
              <w:t>Datums</w:t>
            </w:r>
          </w:p>
        </w:tc>
        <w:tc>
          <w:tcPr>
            <w:tcW w:w="6425" w:type="dxa"/>
            <w:gridSpan w:val="3"/>
          </w:tcPr>
          <w:p w:rsidR="00C555B5" w:rsidRPr="005D10D8" w:rsidRDefault="00C555B5" w:rsidP="00240CB3">
            <w:pPr>
              <w:pStyle w:val="NormalWeb"/>
              <w:spacing w:before="0" w:beforeAutospacing="0" w:after="0" w:afterAutospacing="0"/>
              <w:ind w:left="114"/>
            </w:pPr>
            <w:r w:rsidRPr="005D10D8">
              <w:t xml:space="preserve">    </w:t>
            </w:r>
            <w:proofErr w:type="gramStart"/>
            <w:r w:rsidRPr="005D10D8">
              <w:t>2019.gada</w:t>
            </w:r>
            <w:proofErr w:type="gramEnd"/>
            <w:r w:rsidRPr="005D10D8">
              <w:t xml:space="preserve"> 1</w:t>
            </w:r>
            <w:r w:rsidR="00240CB3" w:rsidRPr="005D10D8">
              <w:t>5</w:t>
            </w:r>
            <w:r w:rsidRPr="005D10D8">
              <w:t>.</w:t>
            </w:r>
            <w:r w:rsidR="005D10D8" w:rsidRPr="005D10D8">
              <w:t xml:space="preserve"> un 28.</w:t>
            </w:r>
            <w:r w:rsidRPr="005D10D8">
              <w:t>maijs</w:t>
            </w:r>
            <w:r w:rsidR="005D10D8">
              <w:t>.</w:t>
            </w:r>
          </w:p>
        </w:tc>
      </w:tr>
      <w:tr w:rsidR="00C555B5" w:rsidRPr="005D10D8" w:rsidTr="00EA2B49">
        <w:tc>
          <w:tcPr>
            <w:tcW w:w="6157" w:type="dxa"/>
          </w:tcPr>
          <w:p w:rsidR="00C555B5" w:rsidRPr="005D10D8" w:rsidRDefault="00C555B5" w:rsidP="00EA2B49">
            <w:pPr>
              <w:pStyle w:val="naisf"/>
              <w:spacing w:before="0" w:after="0"/>
              <w:ind w:firstLine="0"/>
            </w:pPr>
          </w:p>
        </w:tc>
        <w:tc>
          <w:tcPr>
            <w:tcW w:w="6425" w:type="dxa"/>
            <w:gridSpan w:val="3"/>
          </w:tcPr>
          <w:p w:rsidR="00C555B5" w:rsidRPr="005D10D8" w:rsidRDefault="00C555B5" w:rsidP="00EA2B49">
            <w:pPr>
              <w:pStyle w:val="NormalWeb"/>
              <w:spacing w:before="0" w:beforeAutospacing="0" w:after="0" w:afterAutospacing="0"/>
            </w:pPr>
          </w:p>
        </w:tc>
      </w:tr>
      <w:tr w:rsidR="00C555B5" w:rsidRPr="005D10D8" w:rsidTr="00EA2B49">
        <w:tc>
          <w:tcPr>
            <w:tcW w:w="6157" w:type="dxa"/>
          </w:tcPr>
          <w:p w:rsidR="00C555B5" w:rsidRPr="005D10D8" w:rsidRDefault="00C555B5" w:rsidP="00EA2B49">
            <w:pPr>
              <w:pStyle w:val="naiskr"/>
              <w:spacing w:before="0" w:after="0"/>
            </w:pPr>
            <w:r w:rsidRPr="005D10D8">
              <w:t>Saskaņošanas dalībnieki</w:t>
            </w:r>
          </w:p>
        </w:tc>
        <w:tc>
          <w:tcPr>
            <w:tcW w:w="6425" w:type="dxa"/>
            <w:gridSpan w:val="3"/>
          </w:tcPr>
          <w:p w:rsidR="00C555B5" w:rsidRPr="005D10D8" w:rsidRDefault="00C555B5" w:rsidP="00EA2B49">
            <w:pPr>
              <w:pStyle w:val="naisf"/>
              <w:spacing w:before="0" w:after="0"/>
              <w:ind w:left="364" w:firstLine="0"/>
            </w:pPr>
            <w:r w:rsidRPr="005D10D8">
              <w:t>Vides aizsardzības un reģionālās attīstības ministrija, Tieslietu ministrija, Finanšu ministrija, Latvijas Pašvaldību savienība.</w:t>
            </w:r>
          </w:p>
        </w:tc>
      </w:tr>
      <w:tr w:rsidR="00C555B5" w:rsidRPr="005D10D8" w:rsidTr="00EA2B49">
        <w:trPr>
          <w:trHeight w:val="285"/>
        </w:trPr>
        <w:tc>
          <w:tcPr>
            <w:tcW w:w="6157" w:type="dxa"/>
          </w:tcPr>
          <w:p w:rsidR="00C555B5" w:rsidRPr="005D10D8" w:rsidRDefault="00C555B5" w:rsidP="00EA2B49">
            <w:pPr>
              <w:pStyle w:val="naiskr"/>
              <w:spacing w:before="0" w:after="0"/>
            </w:pPr>
          </w:p>
        </w:tc>
        <w:tc>
          <w:tcPr>
            <w:tcW w:w="1579" w:type="dxa"/>
            <w:gridSpan w:val="2"/>
          </w:tcPr>
          <w:p w:rsidR="00C555B5" w:rsidRPr="005D10D8" w:rsidRDefault="00C555B5" w:rsidP="00EA2B49">
            <w:pPr>
              <w:pStyle w:val="naiskr"/>
              <w:spacing w:before="0" w:after="0"/>
              <w:ind w:firstLine="720"/>
            </w:pPr>
          </w:p>
        </w:tc>
        <w:tc>
          <w:tcPr>
            <w:tcW w:w="4846" w:type="dxa"/>
          </w:tcPr>
          <w:p w:rsidR="00C555B5" w:rsidRPr="005D10D8" w:rsidRDefault="00C555B5" w:rsidP="00EA2B49">
            <w:pPr>
              <w:pStyle w:val="naiskr"/>
              <w:spacing w:before="0" w:after="0"/>
              <w:ind w:firstLine="12"/>
            </w:pPr>
          </w:p>
        </w:tc>
      </w:tr>
      <w:tr w:rsidR="00C555B5" w:rsidRPr="005D10D8" w:rsidTr="00EA2B49">
        <w:trPr>
          <w:trHeight w:val="383"/>
        </w:trPr>
        <w:tc>
          <w:tcPr>
            <w:tcW w:w="6506" w:type="dxa"/>
            <w:gridSpan w:val="2"/>
          </w:tcPr>
          <w:p w:rsidR="00C555B5" w:rsidRPr="005D10D8" w:rsidRDefault="00C555B5" w:rsidP="00EA2B49">
            <w:pPr>
              <w:pStyle w:val="naiskr"/>
              <w:spacing w:before="0" w:after="0"/>
            </w:pPr>
            <w:r w:rsidRPr="005D10D8">
              <w:t>Saskaņošanas dalībnieki izskatīja šādu ministriju (citu institūciju) iebildumus</w:t>
            </w:r>
          </w:p>
        </w:tc>
        <w:tc>
          <w:tcPr>
            <w:tcW w:w="6076" w:type="dxa"/>
            <w:gridSpan w:val="2"/>
          </w:tcPr>
          <w:p w:rsidR="00C555B5" w:rsidRPr="005D10D8" w:rsidRDefault="00C555B5" w:rsidP="00EA2B49">
            <w:pPr>
              <w:pStyle w:val="naiskr"/>
              <w:spacing w:before="0" w:after="0"/>
              <w:ind w:left="15" w:firstLine="12"/>
            </w:pPr>
            <w:r w:rsidRPr="005D10D8">
              <w:t>Latvijas Pašvaldību savienības</w:t>
            </w:r>
          </w:p>
        </w:tc>
      </w:tr>
      <w:tr w:rsidR="00C555B5" w:rsidRPr="005D10D8" w:rsidTr="00EA2B49">
        <w:tc>
          <w:tcPr>
            <w:tcW w:w="6506" w:type="dxa"/>
            <w:gridSpan w:val="2"/>
          </w:tcPr>
          <w:p w:rsidR="00C555B5" w:rsidRPr="005D10D8" w:rsidRDefault="00C555B5" w:rsidP="00EA2B49">
            <w:pPr>
              <w:pStyle w:val="naiskr"/>
              <w:spacing w:before="0" w:after="0"/>
            </w:pPr>
          </w:p>
          <w:p w:rsidR="00C555B5" w:rsidRPr="005D10D8" w:rsidRDefault="00C555B5" w:rsidP="00EA2B49">
            <w:pPr>
              <w:pStyle w:val="naiskr"/>
              <w:spacing w:before="0" w:after="0"/>
            </w:pPr>
            <w:r w:rsidRPr="005D10D8">
              <w:t>Ministrijas (citas institūcijas), kuras nav ieradušās uz sanāksmi vai kuras nav atbildējušas uz uzaicinājumu piedalīties elektroniskajā saskaņošanā</w:t>
            </w:r>
          </w:p>
        </w:tc>
        <w:tc>
          <w:tcPr>
            <w:tcW w:w="6076" w:type="dxa"/>
            <w:gridSpan w:val="2"/>
          </w:tcPr>
          <w:p w:rsidR="00C555B5" w:rsidRPr="005D10D8" w:rsidRDefault="00C555B5" w:rsidP="00EA2B49">
            <w:pPr>
              <w:pStyle w:val="naiskr"/>
              <w:spacing w:before="0" w:after="0"/>
              <w:ind w:firstLine="720"/>
            </w:pPr>
          </w:p>
          <w:p w:rsidR="00C555B5" w:rsidRPr="005D10D8" w:rsidRDefault="00C555B5" w:rsidP="00EA2B49"/>
          <w:p w:rsidR="00C555B5" w:rsidRPr="005D10D8" w:rsidRDefault="00C555B5" w:rsidP="00EA2B49"/>
        </w:tc>
      </w:tr>
    </w:tbl>
    <w:p w:rsidR="00643E1C" w:rsidRPr="005D10D8" w:rsidRDefault="00643E1C" w:rsidP="00C555B5">
      <w:pPr>
        <w:pStyle w:val="naisf"/>
        <w:spacing w:before="0" w:after="0"/>
        <w:ind w:firstLine="0"/>
        <w:jc w:val="center"/>
        <w:rPr>
          <w:b/>
        </w:rPr>
      </w:pPr>
    </w:p>
    <w:p w:rsidR="00C555B5" w:rsidRPr="005D10D8" w:rsidRDefault="00C555B5" w:rsidP="00C555B5">
      <w:pPr>
        <w:pStyle w:val="naisf"/>
        <w:spacing w:before="0" w:after="0"/>
        <w:ind w:firstLine="0"/>
        <w:jc w:val="center"/>
        <w:rPr>
          <w:b/>
        </w:rPr>
      </w:pPr>
      <w:r w:rsidRPr="005D10D8">
        <w:rPr>
          <w:b/>
        </w:rPr>
        <w:t>II. Jautājumi, par kuriem saskaņošanā vienošanās ir panākta</w:t>
      </w:r>
    </w:p>
    <w:p w:rsidR="00C555B5" w:rsidRPr="005D10D8" w:rsidRDefault="00C555B5" w:rsidP="00C555B5">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977"/>
        <w:gridCol w:w="3118"/>
      </w:tblGrid>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 xml:space="preserve">Atbildīgās ministrijas norāde par to, ka iebildums ir ņemts vērā, vai informācija par saskaņošanā </w:t>
            </w:r>
            <w:r w:rsidRPr="005D10D8">
              <w:lastRenderedPageBreak/>
              <w:t>panākto alternatīvo risinājumu</w:t>
            </w:r>
          </w:p>
        </w:tc>
        <w:tc>
          <w:tcPr>
            <w:tcW w:w="3118"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lastRenderedPageBreak/>
              <w:t>Projekta attiecīgā punkta (panta) galīgā redakcija</w:t>
            </w:r>
          </w:p>
        </w:tc>
      </w:tr>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lastRenderedPageBreak/>
              <w:t>1</w:t>
            </w:r>
          </w:p>
        </w:tc>
        <w:tc>
          <w:tcPr>
            <w:tcW w:w="3086"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4394"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3118"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5</w:t>
            </w:r>
          </w:p>
        </w:tc>
      </w:tr>
      <w:tr w:rsidR="005D10D8" w:rsidRPr="005D10D8" w:rsidTr="00EA2B49">
        <w:trPr>
          <w:trHeight w:val="557"/>
        </w:trPr>
        <w:tc>
          <w:tcPr>
            <w:tcW w:w="708" w:type="dxa"/>
            <w:tcBorders>
              <w:left w:val="single" w:sz="6" w:space="0" w:color="000000"/>
              <w:bottom w:val="single" w:sz="4" w:space="0" w:color="auto"/>
              <w:right w:val="single" w:sz="6" w:space="0" w:color="000000"/>
            </w:tcBorders>
          </w:tcPr>
          <w:p w:rsidR="005D10D8" w:rsidRPr="005D10D8" w:rsidRDefault="005D10D8" w:rsidP="001B4E7E">
            <w:pPr>
              <w:jc w:val="center"/>
            </w:pPr>
            <w:r>
              <w:t>1.</w:t>
            </w:r>
          </w:p>
        </w:tc>
        <w:tc>
          <w:tcPr>
            <w:tcW w:w="3086" w:type="dxa"/>
            <w:tcBorders>
              <w:left w:val="single" w:sz="6" w:space="0" w:color="000000"/>
              <w:bottom w:val="single" w:sz="4" w:space="0" w:color="auto"/>
              <w:right w:val="single" w:sz="6" w:space="0" w:color="000000"/>
            </w:tcBorders>
          </w:tcPr>
          <w:p w:rsidR="005D10D8" w:rsidRPr="005D10D8" w:rsidRDefault="005D10D8" w:rsidP="005D10D8">
            <w:pPr>
              <w:jc w:val="both"/>
            </w:pPr>
            <w:r w:rsidRPr="005D10D8">
              <w:t xml:space="preserve">Papildināt </w:t>
            </w:r>
            <w:r w:rsidRPr="005D10D8">
              <w:rPr>
                <w:color w:val="000000"/>
              </w:rPr>
              <w:t xml:space="preserve">likumu ar 16. un </w:t>
            </w:r>
            <w:proofErr w:type="gramStart"/>
            <w:r w:rsidRPr="005D10D8">
              <w:rPr>
                <w:color w:val="000000"/>
              </w:rPr>
              <w:t>17.pantu</w:t>
            </w:r>
            <w:proofErr w:type="gramEnd"/>
            <w:r w:rsidRPr="005D10D8">
              <w:rPr>
                <w:color w:val="000000"/>
              </w:rPr>
              <w:t xml:space="preserve"> šādā redakcijā:</w:t>
            </w:r>
          </w:p>
          <w:p w:rsidR="005D10D8" w:rsidRPr="005D10D8" w:rsidRDefault="005D10D8" w:rsidP="005D10D8">
            <w:pPr>
              <w:jc w:val="both"/>
            </w:pPr>
            <w:r w:rsidRPr="005D10D8">
              <w:rPr>
                <w:color w:val="000000"/>
              </w:rPr>
              <w:t>“</w:t>
            </w:r>
            <w:proofErr w:type="gramStart"/>
            <w:r w:rsidRPr="005D10D8">
              <w:rPr>
                <w:b/>
              </w:rPr>
              <w:t>16.pants</w:t>
            </w:r>
            <w:proofErr w:type="gramEnd"/>
            <w:r w:rsidRPr="005D10D8">
              <w:rPr>
                <w:b/>
              </w:rPr>
              <w:t xml:space="preserve">. Administratīvā atbildība dzīvesvietas deklarēšanas jomā </w:t>
            </w:r>
          </w:p>
          <w:p w:rsidR="005D10D8" w:rsidRPr="005D10D8" w:rsidRDefault="005D10D8" w:rsidP="005D10D8">
            <w:pPr>
              <w:pStyle w:val="naisf"/>
              <w:tabs>
                <w:tab w:val="left" w:pos="851"/>
              </w:tabs>
              <w:spacing w:before="0" w:after="0"/>
              <w:ind w:firstLine="0"/>
            </w:pPr>
            <w:r w:rsidRPr="005D10D8">
              <w:t>Par dzīvesvietas nedeklarēšanu –</w:t>
            </w:r>
          </w:p>
          <w:p w:rsidR="005D10D8" w:rsidRPr="005D10D8" w:rsidRDefault="005D10D8" w:rsidP="005D10D8">
            <w:pPr>
              <w:pStyle w:val="naisf"/>
              <w:tabs>
                <w:tab w:val="left" w:pos="851"/>
              </w:tabs>
              <w:spacing w:before="0" w:after="0"/>
              <w:ind w:firstLine="0"/>
            </w:pPr>
            <w:r w:rsidRPr="005D10D8">
              <w:t xml:space="preserve"> piemēro brīdinājumu vai naudas sodu līdz septiņdesmit naudas soda vienībām.</w:t>
            </w:r>
          </w:p>
          <w:p w:rsidR="005D10D8" w:rsidRPr="005D10D8" w:rsidRDefault="005D10D8" w:rsidP="005D10D8">
            <w:pPr>
              <w:pStyle w:val="naisf"/>
              <w:tabs>
                <w:tab w:val="left" w:pos="851"/>
              </w:tabs>
              <w:spacing w:before="0" w:after="0"/>
              <w:ind w:firstLine="0"/>
            </w:pPr>
            <w:proofErr w:type="gramStart"/>
            <w:r w:rsidRPr="005D10D8">
              <w:rPr>
                <w:b/>
              </w:rPr>
              <w:t>17.pants</w:t>
            </w:r>
            <w:proofErr w:type="gramEnd"/>
            <w:r w:rsidRPr="005D10D8">
              <w:rPr>
                <w:b/>
              </w:rPr>
              <w:t>.  Kompetence sodu piemērošanā</w:t>
            </w:r>
          </w:p>
          <w:p w:rsidR="005D10D8" w:rsidRPr="005D10D8" w:rsidRDefault="005D10D8" w:rsidP="005D10D8">
            <w:pPr>
              <w:jc w:val="both"/>
            </w:pPr>
            <w:r w:rsidRPr="005D10D8">
              <w:t xml:space="preserve">Administratīvā pārkāpuma procesu par šā likuma </w:t>
            </w:r>
            <w:proofErr w:type="gramStart"/>
            <w:r w:rsidRPr="005D10D8">
              <w:t>16.pantā</w:t>
            </w:r>
            <w:proofErr w:type="gramEnd"/>
            <w:r w:rsidRPr="005D10D8">
              <w:t xml:space="preserve"> minēto pārkāpumu veic Pārvalde, pašvaldības administratīvā komisija vai apakškomisija, pašvaldības policija, Valsts policija vai Valsts robežsardze.”.</w:t>
            </w:r>
          </w:p>
        </w:tc>
        <w:tc>
          <w:tcPr>
            <w:tcW w:w="4394" w:type="dxa"/>
            <w:tcBorders>
              <w:left w:val="single" w:sz="6" w:space="0" w:color="000000"/>
              <w:bottom w:val="single" w:sz="4" w:space="0" w:color="auto"/>
              <w:right w:val="single" w:sz="6" w:space="0" w:color="000000"/>
            </w:tcBorders>
          </w:tcPr>
          <w:p w:rsidR="005D10D8" w:rsidRPr="005D10D8" w:rsidRDefault="005D10D8" w:rsidP="005D10D8">
            <w:pPr>
              <w:pStyle w:val="ListParagraph"/>
              <w:tabs>
                <w:tab w:val="left" w:pos="993"/>
              </w:tabs>
              <w:ind w:left="0"/>
              <w:jc w:val="center"/>
              <w:rPr>
                <w:b/>
                <w:lang w:val="lv-LV"/>
              </w:rPr>
            </w:pPr>
            <w:r w:rsidRPr="005D10D8">
              <w:rPr>
                <w:b/>
                <w:lang w:val="lv-LV"/>
              </w:rPr>
              <w:t>Latvijas Pašvaldību savienība</w:t>
            </w:r>
          </w:p>
          <w:p w:rsidR="005D10D8" w:rsidRPr="005D10D8" w:rsidRDefault="005D10D8" w:rsidP="005D10D8">
            <w:pPr>
              <w:jc w:val="both"/>
            </w:pPr>
            <w:r w:rsidRPr="005D10D8">
              <w:t>Par dzīvesvietas nedeklarēšanu. Rosinām pantā par kompetenci sodu piemērošanā attiecībā uz pašvaldību administratīvajām komisijām šobrīd saglabāt apspriešanai sākotnēji piedāvāto redakciju ar t.s. dalīto kompetenci, proti, kā sākotnējās institūcijas ietverot Valsts policiju un pašvaldības policiju, kas uzsāk administratīvā pārkāpuma procesu un veic iespējamās procesuālās darbības.</w:t>
            </w:r>
          </w:p>
          <w:p w:rsidR="005D10D8" w:rsidRPr="005D10D8" w:rsidRDefault="005D10D8" w:rsidP="005D10D8">
            <w:pPr>
              <w:jc w:val="both"/>
            </w:pPr>
            <w:r w:rsidRPr="005D10D8">
              <w:t xml:space="preserve">Par </w:t>
            </w:r>
            <w:proofErr w:type="spellStart"/>
            <w:r w:rsidRPr="005D10D8">
              <w:t>optimālāko</w:t>
            </w:r>
            <w:proofErr w:type="spellEnd"/>
            <w:r w:rsidRPr="005D10D8">
              <w:t xml:space="preserve"> un vienotu formulējumu t.s. dalītajai kompetencei (to salāgojot ar Administratīvās atbildības likumu) virknē nozaru likumu šobrīd norit diskusija, tomēr uzskatām, ka tas vien nevar būt par pamatu kādām būtiskām izmaiņām attiecībā uz pašvaldību administratīvo komisiju kompetenci.</w:t>
            </w:r>
          </w:p>
          <w:p w:rsidR="005D10D8" w:rsidRPr="005D10D8" w:rsidRDefault="005D10D8" w:rsidP="005D10D8">
            <w:pPr>
              <w:jc w:val="both"/>
            </w:pPr>
            <w:bookmarkStart w:id="0" w:name="_GoBack"/>
            <w:bookmarkEnd w:id="0"/>
          </w:p>
          <w:p w:rsidR="005D10D8" w:rsidRPr="005D10D8" w:rsidRDefault="005D10D8" w:rsidP="005D10D8">
            <w:pPr>
              <w:jc w:val="center"/>
              <w:rPr>
                <w:b/>
              </w:rPr>
            </w:pPr>
            <w:r w:rsidRPr="005D10D8">
              <w:rPr>
                <w:b/>
              </w:rPr>
              <w:t xml:space="preserve">Latvijas Pašvaldību savienības </w:t>
            </w:r>
            <w:proofErr w:type="gramStart"/>
            <w:r w:rsidRPr="005D10D8">
              <w:rPr>
                <w:b/>
              </w:rPr>
              <w:t>2019.gada</w:t>
            </w:r>
            <w:proofErr w:type="gramEnd"/>
            <w:r w:rsidRPr="005D10D8">
              <w:rPr>
                <w:b/>
              </w:rPr>
              <w:t xml:space="preserve"> 23.maija iebildums</w:t>
            </w:r>
          </w:p>
          <w:p w:rsidR="005D10D8" w:rsidRPr="005D10D8" w:rsidRDefault="005D10D8" w:rsidP="005D10D8">
            <w:pPr>
              <w:jc w:val="both"/>
              <w:rPr>
                <w:b/>
              </w:rPr>
            </w:pPr>
          </w:p>
          <w:p w:rsidR="005D10D8" w:rsidRPr="005D10D8" w:rsidRDefault="005D10D8" w:rsidP="005D10D8">
            <w:pPr>
              <w:pStyle w:val="ListParagraph"/>
              <w:tabs>
                <w:tab w:val="left" w:pos="993"/>
              </w:tabs>
              <w:ind w:left="0"/>
              <w:jc w:val="both"/>
              <w:rPr>
                <w:b/>
                <w:lang w:val="lv-LV"/>
              </w:rPr>
            </w:pPr>
            <w:r w:rsidRPr="005D10D8">
              <w:rPr>
                <w:lang w:val="lv-LV"/>
              </w:rPr>
              <w:t xml:space="preserve">Latvijas Pašvaldību savienība ir izvērtējusi precizēto likumprojektu un uztur iepriekš izteikto pirmo iebildi </w:t>
            </w:r>
            <w:proofErr w:type="gramStart"/>
            <w:r w:rsidRPr="005D10D8">
              <w:rPr>
                <w:lang w:val="lv-LV"/>
              </w:rPr>
              <w:t>(atbilstoši izziņai</w:t>
            </w:r>
            <w:proofErr w:type="gramEnd"/>
            <w:r w:rsidRPr="005D10D8">
              <w:rPr>
                <w:lang w:val="lv-LV"/>
              </w:rPr>
              <w:t xml:space="preserve">.) Kā papildus pamatojumu vēršam uzmanību uz to, ka esam aptaujājuši visas pašvaldības un attiecībā par pilno kompetenci administratīvajām komisijām viedoklis ir noraidošs no lielākās daļas pašvaldību. Nevar neņemt vērā, ka administratīvās </w:t>
            </w:r>
            <w:r w:rsidRPr="005D10D8">
              <w:rPr>
                <w:lang w:val="lv-LV"/>
              </w:rPr>
              <w:lastRenderedPageBreak/>
              <w:t xml:space="preserve">komisijas ir koleģiālas lēmējinstitūcijas, kas sanāk uz sēdēm konkrētu lietu izskatīšanai. Tāpat nevar neņemt vērā administratīvo komisiju struktūru un uzbūvi. Administratīvās </w:t>
            </w:r>
            <w:r w:rsidRPr="005D10D8">
              <w:rPr>
                <w:lang w:val="lv-LV"/>
              </w:rPr>
              <w:br/>
              <w:t xml:space="preserve">atbildības likuma tapšanas gaitā nav bijis uzstādījums no likumdevēja par izmaiņām attiecībā uz iepriekšminēto. Līdz ar ko uzsverams, ka pilnā kompetence administratīvajām komisijām rada gan </w:t>
            </w:r>
            <w:r w:rsidRPr="005D10D8">
              <w:rPr>
                <w:lang w:val="lv-LV"/>
              </w:rPr>
              <w:br/>
              <w:t>ietekmi uz pašvaldību budžetiem, gan neatbilst administratīvās komisijas kā koleģiālas lēmējinstitūcijas būtībai un uzbūvei.</w:t>
            </w:r>
            <w:r w:rsidRPr="005D10D8">
              <w:rPr>
                <w:lang w:val="lv-LV"/>
              </w:rPr>
              <w:br/>
              <w:t>Šobrīd arī ir panākta vienošanās par dalītās kompetences formulējumu. Ņemot vērā iepriekšminēto, rosinām šajā projektā pilno kompetenci noteikt PMLP, Valsts robežsardzei un Pašvaldību policijai. Savukārt Valsts policijai un pašvaldību administratīvajām komisijām noteikt dalīto kompetenci. Ievērojot arī Dzīvesvietas deklarēšanas likumā pašvaldībām noteikto plašo kompetenci dzīvesvietas deklarēšanas jomā, neapšaubāmi arī pie kompetentajām institūcijām nosakot administratīvo atbildību dzīvesvietas deklarēšanas jomā, ir jābūt pašvaldību institūcijām.</w:t>
            </w:r>
          </w:p>
        </w:tc>
        <w:tc>
          <w:tcPr>
            <w:tcW w:w="2977" w:type="dxa"/>
            <w:tcBorders>
              <w:left w:val="single" w:sz="6" w:space="0" w:color="000000"/>
              <w:bottom w:val="single" w:sz="4" w:space="0" w:color="auto"/>
              <w:right w:val="single" w:sz="6" w:space="0" w:color="000000"/>
            </w:tcBorders>
          </w:tcPr>
          <w:p w:rsidR="005D10D8" w:rsidRPr="005D10D8" w:rsidRDefault="005D10D8" w:rsidP="005D10D8">
            <w:pPr>
              <w:pStyle w:val="naisc"/>
              <w:spacing w:before="0" w:after="0"/>
              <w:jc w:val="both"/>
              <w:rPr>
                <w:b/>
              </w:rPr>
            </w:pPr>
            <w:r w:rsidRPr="005D10D8">
              <w:rPr>
                <w:b/>
                <w:szCs w:val="28"/>
              </w:rPr>
              <w:lastRenderedPageBreak/>
              <w:t xml:space="preserve">Saskaņā ar </w:t>
            </w:r>
            <w:r w:rsidRPr="005D10D8">
              <w:rPr>
                <w:b/>
                <w:szCs w:val="28"/>
              </w:rPr>
              <w:t xml:space="preserve">Ministru kabineta </w:t>
            </w:r>
            <w:proofErr w:type="gramStart"/>
            <w:r w:rsidRPr="005D10D8">
              <w:rPr>
                <w:b/>
                <w:szCs w:val="28"/>
              </w:rPr>
              <w:t>2009.gada</w:t>
            </w:r>
            <w:proofErr w:type="gramEnd"/>
            <w:r w:rsidRPr="005D10D8">
              <w:rPr>
                <w:b/>
                <w:szCs w:val="28"/>
              </w:rPr>
              <w:t xml:space="preserve"> 7.aprīļa noteikum</w:t>
            </w:r>
            <w:r w:rsidRPr="005D10D8">
              <w:rPr>
                <w:b/>
                <w:szCs w:val="28"/>
              </w:rPr>
              <w:t>u</w:t>
            </w:r>
            <w:r w:rsidRPr="005D10D8">
              <w:rPr>
                <w:b/>
                <w:szCs w:val="28"/>
              </w:rPr>
              <w:t xml:space="preserve"> Nr.300 “Ministru kabineta kārtības rullis”</w:t>
            </w:r>
            <w:r w:rsidRPr="005D10D8">
              <w:rPr>
                <w:b/>
                <w:szCs w:val="28"/>
              </w:rPr>
              <w:t xml:space="preserve"> 103.punktu uzskatāms par atsauktu.</w:t>
            </w:r>
          </w:p>
        </w:tc>
        <w:tc>
          <w:tcPr>
            <w:tcW w:w="3118" w:type="dxa"/>
            <w:tcBorders>
              <w:top w:val="single" w:sz="4" w:space="0" w:color="auto"/>
              <w:left w:val="single" w:sz="4" w:space="0" w:color="auto"/>
              <w:bottom w:val="single" w:sz="4" w:space="0" w:color="auto"/>
            </w:tcBorders>
          </w:tcPr>
          <w:p w:rsidR="005D10D8" w:rsidRPr="005D10D8" w:rsidRDefault="005D10D8" w:rsidP="005D10D8">
            <w:pPr>
              <w:jc w:val="both"/>
            </w:pPr>
            <w:r w:rsidRPr="005D10D8">
              <w:t xml:space="preserve">Papildināt </w:t>
            </w:r>
            <w:r w:rsidRPr="005D10D8">
              <w:rPr>
                <w:color w:val="000000"/>
              </w:rPr>
              <w:t xml:space="preserve">likumu ar 16. un </w:t>
            </w:r>
            <w:proofErr w:type="gramStart"/>
            <w:r w:rsidRPr="005D10D8">
              <w:rPr>
                <w:color w:val="000000"/>
              </w:rPr>
              <w:t>17.pantu</w:t>
            </w:r>
            <w:proofErr w:type="gramEnd"/>
            <w:r w:rsidRPr="005D10D8">
              <w:rPr>
                <w:color w:val="000000"/>
              </w:rPr>
              <w:t xml:space="preserve"> šādā redakcijā:</w:t>
            </w:r>
          </w:p>
          <w:p w:rsidR="005D10D8" w:rsidRPr="005D10D8" w:rsidRDefault="005D10D8" w:rsidP="005D10D8">
            <w:pPr>
              <w:jc w:val="both"/>
            </w:pPr>
            <w:r w:rsidRPr="005D10D8">
              <w:rPr>
                <w:color w:val="000000"/>
              </w:rPr>
              <w:t>“</w:t>
            </w:r>
            <w:proofErr w:type="gramStart"/>
            <w:r w:rsidRPr="005D10D8">
              <w:rPr>
                <w:b/>
              </w:rPr>
              <w:t>16.pants</w:t>
            </w:r>
            <w:proofErr w:type="gramEnd"/>
            <w:r w:rsidRPr="005D10D8">
              <w:rPr>
                <w:b/>
              </w:rPr>
              <w:t xml:space="preserve">. Administratīvā atbildība dzīvesvietas deklarēšanas jomā </w:t>
            </w:r>
          </w:p>
          <w:p w:rsidR="005D10D8" w:rsidRPr="005D10D8" w:rsidRDefault="005D10D8" w:rsidP="005D10D8">
            <w:pPr>
              <w:pStyle w:val="naisf"/>
              <w:tabs>
                <w:tab w:val="left" w:pos="851"/>
              </w:tabs>
              <w:spacing w:before="0" w:after="0"/>
              <w:ind w:firstLine="0"/>
            </w:pPr>
            <w:r w:rsidRPr="005D10D8">
              <w:t>Par dzīvesvietas nedeklarēšanu –</w:t>
            </w:r>
          </w:p>
          <w:p w:rsidR="005D10D8" w:rsidRPr="005D10D8" w:rsidRDefault="005D10D8" w:rsidP="005D10D8">
            <w:pPr>
              <w:pStyle w:val="naisf"/>
              <w:tabs>
                <w:tab w:val="left" w:pos="851"/>
              </w:tabs>
              <w:spacing w:before="0" w:after="0"/>
              <w:ind w:firstLine="0"/>
            </w:pPr>
            <w:r w:rsidRPr="005D10D8">
              <w:t xml:space="preserve"> piemēro brīdinājumu vai naudas sodu līdz septiņdesmit naudas soda vienībām.</w:t>
            </w:r>
          </w:p>
          <w:p w:rsidR="005D10D8" w:rsidRPr="005D10D8" w:rsidRDefault="005D10D8" w:rsidP="005D10D8">
            <w:pPr>
              <w:pStyle w:val="naisf"/>
              <w:tabs>
                <w:tab w:val="left" w:pos="851"/>
              </w:tabs>
              <w:spacing w:before="0" w:after="0"/>
              <w:ind w:firstLine="0"/>
            </w:pPr>
            <w:proofErr w:type="gramStart"/>
            <w:r w:rsidRPr="005D10D8">
              <w:rPr>
                <w:b/>
              </w:rPr>
              <w:t>17.pants</w:t>
            </w:r>
            <w:proofErr w:type="gramEnd"/>
            <w:r w:rsidRPr="005D10D8">
              <w:rPr>
                <w:b/>
              </w:rPr>
              <w:t>.  Kompetence administratīvā pārkāpuma procesā</w:t>
            </w:r>
          </w:p>
          <w:p w:rsidR="005D10D8" w:rsidRPr="005D10D8" w:rsidRDefault="005D10D8" w:rsidP="005D10D8">
            <w:pPr>
              <w:jc w:val="both"/>
            </w:pPr>
            <w:r w:rsidRPr="005D10D8">
              <w:t xml:space="preserve">Administratīvā pārkāpuma procesu par šā likuma </w:t>
            </w:r>
            <w:proofErr w:type="gramStart"/>
            <w:r w:rsidRPr="005D10D8">
              <w:t>16.pantā</w:t>
            </w:r>
            <w:proofErr w:type="gramEnd"/>
            <w:r w:rsidRPr="005D10D8">
              <w:t xml:space="preserve"> minēto pārkāpumu veic Pārvalde, pašvaldības administratīvā komisija vai apakškomisija, pašvaldības policija, Valsts policija vai Valsts robežsardze.”.</w:t>
            </w:r>
          </w:p>
        </w:tc>
      </w:tr>
      <w:tr w:rsidR="001B4E7E" w:rsidRPr="005D10D8" w:rsidTr="00EA2B49">
        <w:trPr>
          <w:trHeight w:val="557"/>
        </w:trPr>
        <w:tc>
          <w:tcPr>
            <w:tcW w:w="708" w:type="dxa"/>
            <w:tcBorders>
              <w:left w:val="single" w:sz="6" w:space="0" w:color="000000"/>
              <w:bottom w:val="single" w:sz="4" w:space="0" w:color="auto"/>
              <w:right w:val="single" w:sz="6" w:space="0" w:color="000000"/>
            </w:tcBorders>
          </w:tcPr>
          <w:p w:rsidR="001B4E7E" w:rsidRPr="005D10D8" w:rsidRDefault="005D10D8" w:rsidP="001B4E7E">
            <w:pPr>
              <w:jc w:val="center"/>
            </w:pPr>
            <w:r w:rsidRPr="005D10D8">
              <w:lastRenderedPageBreak/>
              <w:t>2</w:t>
            </w:r>
            <w:r w:rsidR="001B4E7E" w:rsidRPr="005D10D8">
              <w:t>.</w:t>
            </w:r>
          </w:p>
        </w:tc>
        <w:tc>
          <w:tcPr>
            <w:tcW w:w="3086" w:type="dxa"/>
            <w:tcBorders>
              <w:left w:val="single" w:sz="6" w:space="0" w:color="000000"/>
              <w:bottom w:val="single" w:sz="4" w:space="0" w:color="auto"/>
              <w:right w:val="single" w:sz="6" w:space="0" w:color="000000"/>
            </w:tcBorders>
          </w:tcPr>
          <w:p w:rsidR="001B4E7E" w:rsidRPr="005D10D8" w:rsidRDefault="001B4E7E" w:rsidP="001B4E7E">
            <w:pPr>
              <w:jc w:val="both"/>
            </w:pPr>
            <w:r w:rsidRPr="005D10D8">
              <w:t xml:space="preserve">Papildināt </w:t>
            </w:r>
            <w:r w:rsidRPr="005D10D8">
              <w:rPr>
                <w:color w:val="000000"/>
              </w:rPr>
              <w:t xml:space="preserve">likumu ar 16. un </w:t>
            </w:r>
            <w:proofErr w:type="gramStart"/>
            <w:r w:rsidRPr="005D10D8">
              <w:rPr>
                <w:color w:val="000000"/>
              </w:rPr>
              <w:t>17.pantu</w:t>
            </w:r>
            <w:proofErr w:type="gramEnd"/>
            <w:r w:rsidRPr="005D10D8">
              <w:rPr>
                <w:color w:val="000000"/>
              </w:rPr>
              <w:t xml:space="preserve"> šādā redakcijā:</w:t>
            </w:r>
          </w:p>
          <w:p w:rsidR="001B4E7E" w:rsidRPr="005D10D8" w:rsidRDefault="001B4E7E" w:rsidP="001B4E7E">
            <w:pPr>
              <w:jc w:val="both"/>
            </w:pPr>
            <w:r w:rsidRPr="005D10D8">
              <w:rPr>
                <w:color w:val="000000"/>
              </w:rPr>
              <w:t>“</w:t>
            </w:r>
            <w:proofErr w:type="gramStart"/>
            <w:r w:rsidRPr="005D10D8">
              <w:rPr>
                <w:b/>
              </w:rPr>
              <w:t>16.pants</w:t>
            </w:r>
            <w:proofErr w:type="gramEnd"/>
            <w:r w:rsidRPr="005D10D8">
              <w:rPr>
                <w:b/>
              </w:rPr>
              <w:t xml:space="preserve">. Administratīvā atbildība dzīvesvietas deklarēšanas jomā </w:t>
            </w:r>
          </w:p>
          <w:p w:rsidR="001B4E7E" w:rsidRPr="005D10D8" w:rsidRDefault="001B4E7E" w:rsidP="001B4E7E">
            <w:pPr>
              <w:pStyle w:val="naisf"/>
              <w:tabs>
                <w:tab w:val="left" w:pos="851"/>
              </w:tabs>
              <w:spacing w:before="0" w:after="0"/>
              <w:ind w:firstLine="0"/>
            </w:pPr>
            <w:r w:rsidRPr="005D10D8">
              <w:t>Par dzīvesvietas nedeklarēšanu –</w:t>
            </w:r>
          </w:p>
          <w:p w:rsidR="001B4E7E" w:rsidRPr="005D10D8" w:rsidRDefault="001B4E7E" w:rsidP="001B4E7E">
            <w:pPr>
              <w:pStyle w:val="naisf"/>
              <w:tabs>
                <w:tab w:val="left" w:pos="851"/>
              </w:tabs>
              <w:spacing w:before="0" w:after="0"/>
              <w:ind w:firstLine="0"/>
            </w:pPr>
            <w:r w:rsidRPr="005D10D8">
              <w:lastRenderedPageBreak/>
              <w:t xml:space="preserve"> piemēro brīdinājumu vai naudas sodu līdz septiņdesmit naudas soda vienībām.</w:t>
            </w:r>
          </w:p>
          <w:p w:rsidR="001B4E7E" w:rsidRPr="005D10D8" w:rsidRDefault="001B4E7E" w:rsidP="001B4E7E">
            <w:pPr>
              <w:pStyle w:val="naisf"/>
              <w:tabs>
                <w:tab w:val="left" w:pos="851"/>
              </w:tabs>
              <w:spacing w:before="0" w:after="0"/>
              <w:ind w:firstLine="0"/>
            </w:pPr>
            <w:proofErr w:type="gramStart"/>
            <w:r w:rsidRPr="005D10D8">
              <w:rPr>
                <w:b/>
              </w:rPr>
              <w:t>17.pants</w:t>
            </w:r>
            <w:proofErr w:type="gramEnd"/>
            <w:r w:rsidRPr="005D10D8">
              <w:rPr>
                <w:b/>
              </w:rPr>
              <w:t>.  Kompetence sodu piemērošanā</w:t>
            </w:r>
          </w:p>
          <w:p w:rsidR="001B4E7E" w:rsidRPr="005D10D8" w:rsidRDefault="001B4E7E" w:rsidP="001B4E7E">
            <w:pPr>
              <w:pStyle w:val="ListParagraph"/>
              <w:ind w:left="0"/>
              <w:jc w:val="both"/>
              <w:rPr>
                <w:lang w:val="lv-LV"/>
              </w:rPr>
            </w:pPr>
            <w:r w:rsidRPr="005D10D8">
              <w:rPr>
                <w:lang w:val="lv-LV"/>
              </w:rPr>
              <w:t xml:space="preserve">Administratīvā pārkāpuma procesu par šā likuma </w:t>
            </w:r>
            <w:proofErr w:type="gramStart"/>
            <w:r w:rsidRPr="005D10D8">
              <w:rPr>
                <w:lang w:val="lv-LV"/>
              </w:rPr>
              <w:t>16.pantā</w:t>
            </w:r>
            <w:proofErr w:type="gramEnd"/>
            <w:r w:rsidRPr="005D10D8">
              <w:rPr>
                <w:lang w:val="lv-LV"/>
              </w:rPr>
              <w:t xml:space="preserve"> minēto pārkāpumu veic Pārvalde, </w:t>
            </w:r>
            <w:r w:rsidRPr="005D10D8">
              <w:rPr>
                <w:lang w:val="lv-LV" w:eastAsia="lv-LV"/>
              </w:rPr>
              <w:t>pašvaldības administratīvā komisija vai apakškomisija, pašvaldības policija, Valsts policija vai Valsts robežsardze.</w:t>
            </w:r>
            <w:r w:rsidRPr="005D10D8">
              <w:rPr>
                <w:lang w:val="lv-LV"/>
              </w:rPr>
              <w:t>”.</w:t>
            </w:r>
          </w:p>
        </w:tc>
        <w:tc>
          <w:tcPr>
            <w:tcW w:w="4394" w:type="dxa"/>
            <w:tcBorders>
              <w:left w:val="single" w:sz="6" w:space="0" w:color="000000"/>
              <w:bottom w:val="single" w:sz="4" w:space="0" w:color="auto"/>
              <w:right w:val="single" w:sz="6" w:space="0" w:color="000000"/>
            </w:tcBorders>
          </w:tcPr>
          <w:p w:rsidR="001B4E7E" w:rsidRPr="005D10D8" w:rsidRDefault="001B4E7E" w:rsidP="001B4E7E">
            <w:pPr>
              <w:pStyle w:val="ListParagraph"/>
              <w:tabs>
                <w:tab w:val="left" w:pos="993"/>
              </w:tabs>
              <w:ind w:left="0"/>
              <w:jc w:val="center"/>
              <w:rPr>
                <w:b/>
                <w:lang w:val="lv-LV"/>
              </w:rPr>
            </w:pPr>
            <w:r w:rsidRPr="005D10D8">
              <w:rPr>
                <w:b/>
                <w:lang w:val="lv-LV"/>
              </w:rPr>
              <w:lastRenderedPageBreak/>
              <w:t>Latvijas Pašvaldību savienība</w:t>
            </w:r>
          </w:p>
          <w:p w:rsidR="001B4E7E" w:rsidRPr="005D10D8" w:rsidRDefault="001B4E7E" w:rsidP="001B4E7E">
            <w:pPr>
              <w:jc w:val="both"/>
            </w:pPr>
            <w:r w:rsidRPr="005D10D8">
              <w:t>Par pārkāpumu - apzināti nepatiesu ziņu sniegšana, deklarējot dzīvesvietu (kas nav ietverts likumprojektā).</w:t>
            </w:r>
          </w:p>
          <w:p w:rsidR="001B4E7E" w:rsidRPr="005D10D8" w:rsidRDefault="001B4E7E" w:rsidP="001B4E7E">
            <w:pPr>
              <w:jc w:val="both"/>
            </w:pPr>
            <w:r w:rsidRPr="005D10D8">
              <w:t xml:space="preserve">Kā jau tika informēts, šā likumprojekta tapšanas gaitā un atbilstoši anotācijā esošajai informācijai, visus administratīvos </w:t>
            </w:r>
            <w:r w:rsidRPr="005D10D8">
              <w:lastRenderedPageBreak/>
              <w:t>pārkāpumus pārvaldes jomā par informācijas nesniegšanu, informācijas nepienācīgu sniegšanu vai nepatiesas informācijas sniegšanu iestādei paredzēts iekļaut Tieslietu ministrijas sagatavotajā likumprojektā “Administratīvo sodu par pārkāpumiem pārvaldes, sabiedriskās kārtības un valsts valodas lietošanas jomā likums” (turpmāk tekstā - Sabiedriskās kārtības likumprojekts) (VSS-780).  Iepriekšminētajam principam teorētiski varētu piekrist, tomēr</w:t>
            </w:r>
            <w:proofErr w:type="gramStart"/>
            <w:r w:rsidRPr="005D10D8">
              <w:t xml:space="preserve"> praksē izvērtējot minēto piedāvājumu</w:t>
            </w:r>
            <w:proofErr w:type="gramEnd"/>
            <w:r w:rsidRPr="005D10D8">
              <w:t>, tam nevaram piekrist sekojošu apsvērumu dēļ.</w:t>
            </w:r>
          </w:p>
          <w:p w:rsidR="001B4E7E" w:rsidRPr="005D10D8" w:rsidRDefault="001B4E7E" w:rsidP="001B4E7E">
            <w:pPr>
              <w:jc w:val="both"/>
            </w:pPr>
            <w:r w:rsidRPr="005D10D8">
              <w:t xml:space="preserve"> Sabiedriskās kārtības likumprojektā</w:t>
            </w:r>
            <w:proofErr w:type="gramStart"/>
            <w:r w:rsidRPr="005D10D8">
              <w:t xml:space="preserve">  </w:t>
            </w:r>
            <w:proofErr w:type="gramEnd"/>
            <w:r w:rsidRPr="005D10D8">
              <w:t>attiecīgi  šāds pants arī ir ietverts (3. panta otrā daļa) un tiktāl it kā viss ir kārtībā. Tomēr Sabiedriskās kārtības likumprojekta 28. panta otrajā daļā ietverts šāds formulējums:</w:t>
            </w:r>
          </w:p>
          <w:p w:rsidR="001B4E7E" w:rsidRPr="005D10D8" w:rsidRDefault="001B4E7E" w:rsidP="001B4E7E">
            <w:pPr>
              <w:jc w:val="both"/>
            </w:pPr>
            <w:r w:rsidRPr="005D10D8">
              <w:t xml:space="preserve"> (2) Administratīvā pārkāpuma procesu par šā likuma 3. panta otrajā daļā minēto pārkāpumu, kas skar attiecīgās iestādes pamatfunkcijas, veic …(seko visdažādāko valsts institūciju garš</w:t>
            </w:r>
            <w:proofErr w:type="gramStart"/>
            <w:r w:rsidRPr="005D10D8">
              <w:t xml:space="preserve">  </w:t>
            </w:r>
            <w:proofErr w:type="gramEnd"/>
            <w:r w:rsidRPr="005D10D8">
              <w:t>uzskaitījums) un  tiek arī kā vienīgā no pašvaldību institūcijām minēta pašvaldības administratīvā komisija vai apakškomisija.</w:t>
            </w:r>
          </w:p>
          <w:p w:rsidR="001B4E7E" w:rsidRPr="005D10D8" w:rsidRDefault="001B4E7E" w:rsidP="001B4E7E">
            <w:pPr>
              <w:jc w:val="both"/>
            </w:pPr>
            <w:r w:rsidRPr="005D10D8">
              <w:t xml:space="preserve"> Minētajā jomā būtu saglabājama arī pašvaldību institūciju kompetence</w:t>
            </w:r>
            <w:proofErr w:type="gramStart"/>
            <w:r w:rsidRPr="005D10D8">
              <w:t xml:space="preserve">  </w:t>
            </w:r>
            <w:proofErr w:type="gramEnd"/>
            <w:r w:rsidRPr="005D10D8">
              <w:t>un tā patiešām tiek saglabāta. Tomēr bažas raisa formulējums “kas skar attiecīgās iestādes pamatfunkcijas” un tā interpretācija.</w:t>
            </w:r>
          </w:p>
          <w:p w:rsidR="001B4E7E" w:rsidRPr="005D10D8" w:rsidRDefault="001B4E7E" w:rsidP="001B4E7E">
            <w:pPr>
              <w:jc w:val="both"/>
            </w:pPr>
            <w:r w:rsidRPr="005D10D8">
              <w:t xml:space="preserve"> Ja analizējam, piemēram,</w:t>
            </w:r>
            <w:proofErr w:type="gramStart"/>
            <w:r w:rsidRPr="005D10D8">
              <w:t xml:space="preserve">  </w:t>
            </w:r>
            <w:proofErr w:type="gramEnd"/>
            <w:r w:rsidRPr="005D10D8">
              <w:t xml:space="preserve">nepatiesu ziņu sniegšanu deklarējoties, tad  tas neskar </w:t>
            </w:r>
            <w:r w:rsidRPr="005D10D8">
              <w:lastRenderedPageBreak/>
              <w:t xml:space="preserve">administratīvās komisijas pamatfunkcijas. Līdz ar ko visdrīzāk secināms, ka šāda satura pārkāpumu izskatīšana pēc šādas redakcijas iziet vispār ārpus pašvaldību kompetences, kaut arī pašvaldībai līdztekus PMLP ir diezgan ievērojama kompetence Dzīvesvietas deklarēšanas likuma jomā. </w:t>
            </w:r>
            <w:proofErr w:type="gramStart"/>
            <w:r w:rsidRPr="005D10D8">
              <w:t>Pie tam</w:t>
            </w:r>
            <w:proofErr w:type="gramEnd"/>
            <w:r w:rsidRPr="005D10D8">
              <w:t xml:space="preserve"> mūsuprāt ir diskutabli, vai pie šādas redakcijas vispār nepatiesu ziņu sniegšana, deklarējot dzīvesvietu, tiek saglabāta, jo minētā norma, kā jau tika minēts, paredz sasaisti ar iestādes pamatfunkcijām.</w:t>
            </w:r>
          </w:p>
          <w:p w:rsidR="001B4E7E" w:rsidRPr="005D10D8" w:rsidRDefault="001B4E7E" w:rsidP="001B4E7E">
            <w:pPr>
              <w:pStyle w:val="ListParagraph"/>
              <w:tabs>
                <w:tab w:val="left" w:pos="993"/>
              </w:tabs>
              <w:ind w:left="0"/>
              <w:jc w:val="both"/>
              <w:rPr>
                <w:b/>
                <w:lang w:val="lv-LV"/>
              </w:rPr>
            </w:pPr>
            <w:r w:rsidRPr="005D10D8">
              <w:rPr>
                <w:lang w:val="lv-LV"/>
              </w:rPr>
              <w:t>Ņemot vērā visu iepriekšminēto, rosinām atkārtoti izvērtēt, vai norma par nepatiesu ziņu sniegšanu dzīvesvietas deklarēšanas jomā nebūtu saglabājama sākotnēji plānotajā redakcijā, neietverot to pavisam citā likumā, kur rezultātā, mēģinot to universāli pielāgot visām jomām, rodas virkne problēmjautājumu.</w:t>
            </w:r>
          </w:p>
        </w:tc>
        <w:tc>
          <w:tcPr>
            <w:tcW w:w="2977" w:type="dxa"/>
            <w:tcBorders>
              <w:left w:val="single" w:sz="6" w:space="0" w:color="000000"/>
              <w:bottom w:val="single" w:sz="4" w:space="0" w:color="auto"/>
              <w:right w:val="single" w:sz="6" w:space="0" w:color="000000"/>
            </w:tcBorders>
          </w:tcPr>
          <w:p w:rsidR="001B4E7E" w:rsidRPr="005D10D8" w:rsidRDefault="001B4E7E" w:rsidP="001B4E7E">
            <w:pPr>
              <w:pStyle w:val="naisc"/>
              <w:spacing w:before="0" w:after="0"/>
              <w:jc w:val="both"/>
              <w:rPr>
                <w:b/>
              </w:rPr>
            </w:pPr>
            <w:r w:rsidRPr="005D10D8">
              <w:rPr>
                <w:b/>
              </w:rPr>
              <w:lastRenderedPageBreak/>
              <w:t>Panākta vienošanās elektroniskās saskaņošanas laikā</w:t>
            </w:r>
          </w:p>
          <w:p w:rsidR="001B4E7E" w:rsidRPr="005D10D8" w:rsidRDefault="001B4E7E" w:rsidP="001B4E7E">
            <w:pPr>
              <w:pStyle w:val="naisc"/>
              <w:spacing w:before="0" w:after="0"/>
              <w:jc w:val="both"/>
            </w:pPr>
          </w:p>
        </w:tc>
        <w:tc>
          <w:tcPr>
            <w:tcW w:w="3118" w:type="dxa"/>
            <w:tcBorders>
              <w:top w:val="single" w:sz="4" w:space="0" w:color="auto"/>
              <w:left w:val="single" w:sz="4" w:space="0" w:color="auto"/>
              <w:bottom w:val="single" w:sz="4" w:space="0" w:color="auto"/>
            </w:tcBorders>
          </w:tcPr>
          <w:p w:rsidR="001B4E7E" w:rsidRPr="005D10D8" w:rsidRDefault="001B4E7E" w:rsidP="001B4E7E">
            <w:pPr>
              <w:jc w:val="both"/>
            </w:pPr>
            <w:r w:rsidRPr="005D10D8">
              <w:t xml:space="preserve">Papildināt </w:t>
            </w:r>
            <w:r w:rsidRPr="005D10D8">
              <w:rPr>
                <w:color w:val="000000"/>
              </w:rPr>
              <w:t xml:space="preserve">likumu ar 16. un </w:t>
            </w:r>
            <w:proofErr w:type="gramStart"/>
            <w:r w:rsidRPr="005D10D8">
              <w:rPr>
                <w:color w:val="000000"/>
              </w:rPr>
              <w:t>17.pantu</w:t>
            </w:r>
            <w:proofErr w:type="gramEnd"/>
            <w:r w:rsidRPr="005D10D8">
              <w:rPr>
                <w:color w:val="000000"/>
              </w:rPr>
              <w:t xml:space="preserve"> šādā redakcijā:</w:t>
            </w:r>
          </w:p>
          <w:p w:rsidR="001B4E7E" w:rsidRPr="005D10D8" w:rsidRDefault="001B4E7E" w:rsidP="001B4E7E">
            <w:pPr>
              <w:jc w:val="both"/>
            </w:pPr>
            <w:r w:rsidRPr="005D10D8">
              <w:rPr>
                <w:color w:val="000000"/>
              </w:rPr>
              <w:t>“</w:t>
            </w:r>
            <w:proofErr w:type="gramStart"/>
            <w:r w:rsidRPr="005D10D8">
              <w:rPr>
                <w:b/>
              </w:rPr>
              <w:t>16.pants</w:t>
            </w:r>
            <w:proofErr w:type="gramEnd"/>
            <w:r w:rsidRPr="005D10D8">
              <w:rPr>
                <w:b/>
              </w:rPr>
              <w:t xml:space="preserve">. Administratīvā atbildība dzīvesvietas deklarēšanas jomā </w:t>
            </w:r>
          </w:p>
          <w:p w:rsidR="001B4E7E" w:rsidRPr="005D10D8" w:rsidRDefault="001B4E7E" w:rsidP="001B4E7E">
            <w:pPr>
              <w:pStyle w:val="naisf"/>
              <w:tabs>
                <w:tab w:val="left" w:pos="851"/>
              </w:tabs>
              <w:spacing w:before="0" w:after="0"/>
              <w:ind w:firstLine="0"/>
            </w:pPr>
            <w:r w:rsidRPr="005D10D8">
              <w:t>Par dzīvesvietas nedeklarēšanu –</w:t>
            </w:r>
          </w:p>
          <w:p w:rsidR="001B4E7E" w:rsidRPr="005D10D8" w:rsidRDefault="001B4E7E" w:rsidP="001B4E7E">
            <w:pPr>
              <w:pStyle w:val="naisf"/>
              <w:tabs>
                <w:tab w:val="left" w:pos="851"/>
              </w:tabs>
              <w:spacing w:before="0" w:after="0"/>
              <w:ind w:firstLine="0"/>
            </w:pPr>
            <w:r w:rsidRPr="005D10D8">
              <w:lastRenderedPageBreak/>
              <w:t xml:space="preserve"> piemēro brīdinājumu vai naudas sodu līdz septiņdesmit naudas soda vienībām.</w:t>
            </w:r>
          </w:p>
          <w:p w:rsidR="001B4E7E" w:rsidRPr="005D10D8" w:rsidRDefault="001B4E7E" w:rsidP="001B4E7E">
            <w:pPr>
              <w:pStyle w:val="naisf"/>
              <w:tabs>
                <w:tab w:val="left" w:pos="851"/>
              </w:tabs>
              <w:spacing w:before="0" w:after="0"/>
              <w:ind w:firstLine="0"/>
            </w:pPr>
            <w:proofErr w:type="gramStart"/>
            <w:r w:rsidRPr="005D10D8">
              <w:rPr>
                <w:b/>
              </w:rPr>
              <w:t>17.pants</w:t>
            </w:r>
            <w:proofErr w:type="gramEnd"/>
            <w:r w:rsidRPr="005D10D8">
              <w:rPr>
                <w:b/>
              </w:rPr>
              <w:t>.  Kompetence administratīvā pārkāpuma procesā</w:t>
            </w:r>
          </w:p>
          <w:p w:rsidR="001B4E7E" w:rsidRPr="005D10D8" w:rsidRDefault="001B4E7E" w:rsidP="001B4E7E">
            <w:pPr>
              <w:jc w:val="both"/>
            </w:pPr>
            <w:r w:rsidRPr="005D10D8">
              <w:t xml:space="preserve">Administratīvā pārkāpuma procesu par šā likuma </w:t>
            </w:r>
            <w:proofErr w:type="gramStart"/>
            <w:r w:rsidRPr="005D10D8">
              <w:t>16.pantā</w:t>
            </w:r>
            <w:proofErr w:type="gramEnd"/>
            <w:r w:rsidRPr="005D10D8">
              <w:t xml:space="preserve"> minēto pārkāpumu veic Pārvalde, pašvaldības administratīvā komisija vai apakškomisija, pašvaldības policija, Valsts policija vai Valsts robežsardze.”.</w:t>
            </w:r>
          </w:p>
        </w:tc>
      </w:tr>
    </w:tbl>
    <w:p w:rsidR="00C555B5" w:rsidRPr="005D10D8" w:rsidRDefault="00C555B5" w:rsidP="00C555B5">
      <w:pPr>
        <w:pStyle w:val="naisf"/>
        <w:spacing w:before="0" w:after="0"/>
        <w:ind w:firstLine="0"/>
        <w:jc w:val="left"/>
      </w:pPr>
    </w:p>
    <w:p w:rsidR="00256207" w:rsidRPr="005D10D8" w:rsidRDefault="00256207" w:rsidP="00C555B5">
      <w:pPr>
        <w:pStyle w:val="naisf"/>
        <w:spacing w:before="0" w:after="0"/>
        <w:ind w:firstLine="0"/>
        <w:jc w:val="left"/>
      </w:pPr>
    </w:p>
    <w:p w:rsidR="00C555B5" w:rsidRPr="005D10D8" w:rsidRDefault="00C555B5" w:rsidP="00C555B5">
      <w:pPr>
        <w:pStyle w:val="naisf"/>
        <w:spacing w:before="0" w:after="0"/>
        <w:ind w:firstLine="0"/>
        <w:jc w:val="left"/>
      </w:pPr>
      <w:r w:rsidRPr="005D10D8">
        <w:t>Atbildīgā amatpersona</w:t>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t>K.Stone</w:t>
      </w:r>
    </w:p>
    <w:p w:rsidR="00C555B5" w:rsidRPr="005D10D8" w:rsidRDefault="00C555B5" w:rsidP="00C555B5">
      <w:pPr>
        <w:pStyle w:val="naisf"/>
        <w:spacing w:before="0" w:after="0"/>
        <w:ind w:firstLine="0"/>
        <w:jc w:val="left"/>
      </w:pP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0D8">
        <w:rPr>
          <w:sz w:val="20"/>
          <w:szCs w:val="20"/>
        </w:rPr>
        <w:t>Kristīne Stone</w:t>
      </w: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0D8">
        <w:rPr>
          <w:sz w:val="20"/>
          <w:szCs w:val="20"/>
        </w:rPr>
        <w:t>Pilsonības un migrācijas lietu pārvaldes</w:t>
      </w: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0D8">
        <w:rPr>
          <w:sz w:val="20"/>
          <w:szCs w:val="20"/>
        </w:rPr>
        <w:t>Juridiskās nodaļas vadītāja vietniece</w:t>
      </w:r>
    </w:p>
    <w:p w:rsidR="00E811C9" w:rsidRPr="005D10D8" w:rsidRDefault="00C555B5">
      <w:r w:rsidRPr="005D10D8">
        <w:rPr>
          <w:sz w:val="20"/>
          <w:szCs w:val="20"/>
        </w:rPr>
        <w:t>tālr. 6721</w:t>
      </w:r>
      <w:r w:rsidR="008F2449" w:rsidRPr="005D10D8">
        <w:rPr>
          <w:sz w:val="20"/>
          <w:szCs w:val="20"/>
        </w:rPr>
        <w:t>9425, kristine.stone@pmlp.gov.lv</w:t>
      </w:r>
    </w:p>
    <w:sectPr w:rsidR="00E811C9" w:rsidRPr="005D10D8" w:rsidSect="00A84F6D">
      <w:headerReference w:type="even" r:id="rId6"/>
      <w:headerReference w:type="default" r:id="rId7"/>
      <w:footerReference w:type="default" r:id="rId8"/>
      <w:footerReference w:type="first" r:id="rId9"/>
      <w:pgSz w:w="16838" w:h="11906" w:orient="landscape"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85" w:rsidRDefault="00D6564D">
      <w:r>
        <w:separator/>
      </w:r>
    </w:p>
  </w:endnote>
  <w:endnote w:type="continuationSeparator" w:id="0">
    <w:p w:rsidR="00824085" w:rsidRDefault="00D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2C48E9" w:rsidRDefault="001B4E7E" w:rsidP="004D141E">
    <w:pPr>
      <w:pStyle w:val="Footer"/>
      <w:jc w:val="both"/>
      <w:rPr>
        <w:noProof/>
        <w:color w:val="000000"/>
        <w:sz w:val="20"/>
        <w:szCs w:val="20"/>
      </w:rPr>
    </w:pPr>
    <w:r>
      <w:rPr>
        <w:color w:val="000000"/>
        <w:sz w:val="20"/>
        <w:szCs w:val="20"/>
      </w:rPr>
      <w:t>IEMIzz_</w:t>
    </w:r>
    <w:r w:rsidR="005D10D8">
      <w:rPr>
        <w:color w:val="000000"/>
        <w:sz w:val="20"/>
        <w:szCs w:val="20"/>
      </w:rPr>
      <w:t>0606</w:t>
    </w:r>
    <w:r w:rsidR="0074555C">
      <w:rPr>
        <w:color w:val="000000"/>
        <w:sz w:val="20"/>
        <w:szCs w:val="20"/>
      </w:rPr>
      <w:t>19_grozDzL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0111FE" w:rsidRDefault="001B4E7E" w:rsidP="004D141E">
    <w:pPr>
      <w:pStyle w:val="Footer"/>
      <w:jc w:val="both"/>
      <w:rPr>
        <w:noProof/>
        <w:color w:val="000000"/>
        <w:sz w:val="20"/>
        <w:szCs w:val="20"/>
      </w:rPr>
    </w:pPr>
    <w:r>
      <w:rPr>
        <w:color w:val="000000"/>
        <w:sz w:val="20"/>
        <w:szCs w:val="20"/>
      </w:rPr>
      <w:t>IEMIzz_</w:t>
    </w:r>
    <w:r w:rsidR="005D10D8">
      <w:rPr>
        <w:color w:val="000000"/>
        <w:sz w:val="20"/>
        <w:szCs w:val="20"/>
      </w:rPr>
      <w:t>0606</w:t>
    </w:r>
    <w:r w:rsidR="0074555C">
      <w:rPr>
        <w:color w:val="000000"/>
        <w:sz w:val="20"/>
        <w:szCs w:val="20"/>
      </w:rPr>
      <w:t>19_grozDzL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85" w:rsidRDefault="00D6564D">
      <w:r>
        <w:separator/>
      </w:r>
    </w:p>
  </w:footnote>
  <w:footnote w:type="continuationSeparator" w:id="0">
    <w:p w:rsidR="00824085" w:rsidRDefault="00D6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829" w:rsidRDefault="005D1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0D8">
      <w:rPr>
        <w:rStyle w:val="PageNumber"/>
        <w:noProof/>
      </w:rPr>
      <w:t>5</w:t>
    </w:r>
    <w:r>
      <w:rPr>
        <w:rStyle w:val="PageNumber"/>
      </w:rPr>
      <w:fldChar w:fldCharType="end"/>
    </w:r>
  </w:p>
  <w:p w:rsidR="004A0829" w:rsidRDefault="005D1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B5"/>
    <w:rsid w:val="00184E82"/>
    <w:rsid w:val="001B4E7E"/>
    <w:rsid w:val="00240CB3"/>
    <w:rsid w:val="00256207"/>
    <w:rsid w:val="003602C8"/>
    <w:rsid w:val="003A4D75"/>
    <w:rsid w:val="003C32A7"/>
    <w:rsid w:val="003F5D8A"/>
    <w:rsid w:val="005D10D8"/>
    <w:rsid w:val="00643E1C"/>
    <w:rsid w:val="0074555C"/>
    <w:rsid w:val="00824085"/>
    <w:rsid w:val="008E1505"/>
    <w:rsid w:val="008E608E"/>
    <w:rsid w:val="008E7F6C"/>
    <w:rsid w:val="008F2449"/>
    <w:rsid w:val="00C26EAD"/>
    <w:rsid w:val="00C555B5"/>
    <w:rsid w:val="00D6564D"/>
    <w:rsid w:val="00E811C9"/>
    <w:rsid w:val="00EE6909"/>
    <w:rsid w:val="00F61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5E268-C2E1-4688-BBA7-B2DCD556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B5"/>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55B5"/>
    <w:pPr>
      <w:spacing w:before="100" w:beforeAutospacing="1" w:after="100" w:afterAutospacing="1"/>
    </w:pPr>
  </w:style>
  <w:style w:type="paragraph" w:customStyle="1" w:styleId="naisf">
    <w:name w:val="naisf"/>
    <w:basedOn w:val="Normal"/>
    <w:rsid w:val="00C555B5"/>
    <w:pPr>
      <w:spacing w:before="75" w:after="75"/>
      <w:ind w:firstLine="375"/>
      <w:jc w:val="both"/>
    </w:pPr>
  </w:style>
  <w:style w:type="paragraph" w:customStyle="1" w:styleId="naisnod">
    <w:name w:val="naisnod"/>
    <w:basedOn w:val="Normal"/>
    <w:uiPriority w:val="99"/>
    <w:rsid w:val="00C555B5"/>
    <w:pPr>
      <w:spacing w:before="150" w:after="150"/>
      <w:jc w:val="center"/>
    </w:pPr>
    <w:rPr>
      <w:b/>
      <w:bCs/>
    </w:rPr>
  </w:style>
  <w:style w:type="paragraph" w:customStyle="1" w:styleId="naiskr">
    <w:name w:val="naiskr"/>
    <w:basedOn w:val="Normal"/>
    <w:uiPriority w:val="99"/>
    <w:rsid w:val="00C555B5"/>
    <w:pPr>
      <w:spacing w:before="75" w:after="75"/>
    </w:pPr>
  </w:style>
  <w:style w:type="paragraph" w:customStyle="1" w:styleId="naisc">
    <w:name w:val="naisc"/>
    <w:basedOn w:val="Normal"/>
    <w:rsid w:val="00C555B5"/>
    <w:pPr>
      <w:spacing w:before="75" w:after="75"/>
      <w:jc w:val="center"/>
    </w:pPr>
  </w:style>
  <w:style w:type="paragraph" w:styleId="Header">
    <w:name w:val="header"/>
    <w:basedOn w:val="Normal"/>
    <w:link w:val="HeaderChar"/>
    <w:rsid w:val="00C555B5"/>
    <w:pPr>
      <w:tabs>
        <w:tab w:val="center" w:pos="4153"/>
        <w:tab w:val="right" w:pos="8306"/>
      </w:tabs>
    </w:pPr>
  </w:style>
  <w:style w:type="character" w:customStyle="1" w:styleId="HeaderChar">
    <w:name w:val="Header Char"/>
    <w:basedOn w:val="DefaultParagraphFont"/>
    <w:link w:val="Header"/>
    <w:uiPriority w:val="99"/>
    <w:rsid w:val="00C555B5"/>
    <w:rPr>
      <w:rFonts w:eastAsia="Times New Roman"/>
      <w:sz w:val="24"/>
      <w:szCs w:val="24"/>
      <w:lang w:eastAsia="lv-LV"/>
    </w:rPr>
  </w:style>
  <w:style w:type="character" w:styleId="PageNumber">
    <w:name w:val="page number"/>
    <w:uiPriority w:val="99"/>
    <w:rsid w:val="00C555B5"/>
    <w:rPr>
      <w:rFonts w:cs="Times New Roman"/>
    </w:rPr>
  </w:style>
  <w:style w:type="paragraph" w:styleId="Footer">
    <w:name w:val="footer"/>
    <w:basedOn w:val="Normal"/>
    <w:link w:val="FooterChar"/>
    <w:uiPriority w:val="99"/>
    <w:rsid w:val="00C555B5"/>
    <w:pPr>
      <w:tabs>
        <w:tab w:val="center" w:pos="4153"/>
        <w:tab w:val="right" w:pos="8306"/>
      </w:tabs>
    </w:pPr>
  </w:style>
  <w:style w:type="character" w:customStyle="1" w:styleId="FooterChar">
    <w:name w:val="Footer Char"/>
    <w:basedOn w:val="DefaultParagraphFont"/>
    <w:link w:val="Footer"/>
    <w:uiPriority w:val="99"/>
    <w:rsid w:val="00C555B5"/>
    <w:rPr>
      <w:rFonts w:eastAsia="Times New Roman"/>
      <w:sz w:val="24"/>
      <w:szCs w:val="24"/>
      <w:lang w:eastAsia="lv-LV"/>
    </w:rPr>
  </w:style>
  <w:style w:type="paragraph" w:styleId="ListParagraph">
    <w:name w:val="List Paragraph"/>
    <w:basedOn w:val="Normal"/>
    <w:uiPriority w:val="34"/>
    <w:qFormat/>
    <w:rsid w:val="00C555B5"/>
    <w:pPr>
      <w:ind w:left="720"/>
      <w:contextualSpacing/>
    </w:pPr>
    <w:rPr>
      <w:lang w:val="en-US" w:eastAsia="en-US"/>
    </w:rPr>
  </w:style>
  <w:style w:type="paragraph" w:styleId="BalloonText">
    <w:name w:val="Balloon Text"/>
    <w:basedOn w:val="Normal"/>
    <w:link w:val="BalloonTextChar"/>
    <w:uiPriority w:val="99"/>
    <w:semiHidden/>
    <w:unhideWhenUsed/>
    <w:rsid w:val="0064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1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5480</Words>
  <Characters>3124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12</cp:revision>
  <cp:lastPrinted>2019-05-27T11:02:00Z</cp:lastPrinted>
  <dcterms:created xsi:type="dcterms:W3CDTF">2019-05-13T13:19:00Z</dcterms:created>
  <dcterms:modified xsi:type="dcterms:W3CDTF">2019-06-06T05:41:00Z</dcterms:modified>
</cp:coreProperties>
</file>