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16B89E97" w14:textId="77777777" w:rsidR="008D3F2E" w:rsidRDefault="00EC767A" w:rsidP="00914CB7">
          <w:pPr>
            <w:shd w:val="clear" w:color="auto" w:fill="FFFFFF"/>
            <w:jc w:val="center"/>
            <w:rPr>
              <w:b/>
            </w:rPr>
          </w:pPr>
          <w:r>
            <w:rPr>
              <w:b/>
            </w:rPr>
            <w:t>Likumprojekta</w:t>
          </w:r>
          <w:r w:rsidRPr="00EC767A">
            <w:rPr>
              <w:b/>
            </w:rPr>
            <w:t xml:space="preserve"> “Grozījumi likumā “Par reglamentētajām profesijām un </w:t>
          </w:r>
        </w:p>
        <w:p w14:paraId="270DC5F9" w14:textId="43A8B47D" w:rsidR="00EC767A" w:rsidRDefault="00EC767A" w:rsidP="00914CB7">
          <w:pPr>
            <w:shd w:val="clear" w:color="auto" w:fill="FFFFFF"/>
            <w:jc w:val="center"/>
            <w:rPr>
              <w:b/>
            </w:rPr>
          </w:pPr>
          <w:r w:rsidRPr="00EC767A">
            <w:rPr>
              <w:b/>
            </w:rPr>
            <w:t>profesionālās kvalifikācijas atzīšanu””</w:t>
          </w:r>
        </w:p>
        <w:p w14:paraId="4C7D9216" w14:textId="5670B0A8" w:rsidR="009D66C8" w:rsidRPr="00404CF4" w:rsidRDefault="00222C95" w:rsidP="00914CB7">
          <w:pPr>
            <w:shd w:val="clear" w:color="auto" w:fill="FFFFFF"/>
            <w:jc w:val="center"/>
            <w:rPr>
              <w:b/>
              <w:bCs/>
            </w:rPr>
          </w:pPr>
          <w:r w:rsidRPr="00404CF4">
            <w:rPr>
              <w:b/>
              <w:bCs/>
            </w:rPr>
            <w:t>sākotnējās ietekmes novērtējuma ziņojums (anotācija)</w:t>
          </w:r>
          <w:r w:rsidRPr="00404CF4">
            <w:rPr>
              <w:b/>
            </w:rPr>
            <w:t xml:space="preserve"> </w:t>
          </w:r>
        </w:p>
      </w:sdtContent>
    </w:sdt>
    <w:p w14:paraId="024390AF" w14:textId="7512399A"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1B1B15" w:rsidRPr="00404CF4" w14:paraId="10E9FCEA" w14:textId="77777777" w:rsidTr="00E92DFB">
        <w:trPr>
          <w:cantSplit/>
        </w:trPr>
        <w:tc>
          <w:tcPr>
            <w:tcW w:w="9067" w:type="dxa"/>
            <w:gridSpan w:val="2"/>
            <w:shd w:val="clear" w:color="auto" w:fill="FFFFFF"/>
            <w:vAlign w:val="center"/>
            <w:hideMark/>
          </w:tcPr>
          <w:p w14:paraId="133C71E4" w14:textId="77777777"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14:paraId="035F7F18" w14:textId="77777777" w:rsidTr="00E92DFB">
        <w:trPr>
          <w:cantSplit/>
        </w:trPr>
        <w:tc>
          <w:tcPr>
            <w:tcW w:w="3246" w:type="dxa"/>
            <w:shd w:val="clear" w:color="auto" w:fill="FFFFFF"/>
            <w:hideMark/>
          </w:tcPr>
          <w:p w14:paraId="7B98629D" w14:textId="77777777" w:rsidR="00BD5588" w:rsidRPr="00847CF7" w:rsidRDefault="00222C95" w:rsidP="00E273A1">
            <w:pPr>
              <w:rPr>
                <w:iCs/>
                <w:lang w:eastAsia="en-US"/>
              </w:rPr>
            </w:pPr>
            <w:r w:rsidRPr="00847CF7">
              <w:rPr>
                <w:iCs/>
                <w:lang w:eastAsia="en-US"/>
              </w:rPr>
              <w:t>Mērķis, risinājums un projekta spēkā stāšanās laiks (500 zīmes bez atstarpēm)</w:t>
            </w:r>
          </w:p>
        </w:tc>
        <w:tc>
          <w:tcPr>
            <w:tcW w:w="5821" w:type="dxa"/>
            <w:shd w:val="clear" w:color="auto" w:fill="FFFFFF"/>
            <w:hideMark/>
          </w:tcPr>
          <w:p w14:paraId="4CA807B3" w14:textId="7D6A0F2A" w:rsidR="00CB03D6" w:rsidRPr="00847CF7" w:rsidRDefault="00B556BD" w:rsidP="00CB03D6">
            <w:pPr>
              <w:jc w:val="both"/>
              <w:rPr>
                <w:rStyle w:val="Strong"/>
                <w:b w:val="0"/>
                <w:bdr w:val="none" w:sz="0" w:space="0" w:color="auto" w:frame="1"/>
                <w:shd w:val="clear" w:color="auto" w:fill="FFFFFF"/>
              </w:rPr>
            </w:pPr>
            <w:r>
              <w:rPr>
                <w:rStyle w:val="Strong"/>
                <w:b w:val="0"/>
                <w:bdr w:val="none" w:sz="0" w:space="0" w:color="auto" w:frame="1"/>
                <w:shd w:val="clear" w:color="auto" w:fill="FFFFFF"/>
              </w:rPr>
              <w:t xml:space="preserve">     </w:t>
            </w:r>
            <w:r w:rsidR="00CB03D6" w:rsidRPr="00577228">
              <w:rPr>
                <w:rStyle w:val="Strong"/>
                <w:b w:val="0"/>
                <w:bdr w:val="none" w:sz="0" w:space="0" w:color="auto" w:frame="1"/>
                <w:shd w:val="clear" w:color="auto" w:fill="FFFFFF"/>
              </w:rPr>
              <w:t xml:space="preserve">Likumprojekta mērķis ir nodrošināt </w:t>
            </w:r>
            <w:r w:rsidR="00CB03D6">
              <w:rPr>
                <w:rStyle w:val="Strong"/>
                <w:b w:val="0"/>
                <w:bdr w:val="none" w:sz="0" w:space="0" w:color="auto" w:frame="1"/>
                <w:shd w:val="clear" w:color="auto" w:fill="FFFFFF"/>
              </w:rPr>
              <w:t>l</w:t>
            </w:r>
            <w:r w:rsidR="00CB03D6" w:rsidRPr="00577228">
              <w:rPr>
                <w:rStyle w:val="Strong"/>
                <w:b w:val="0"/>
                <w:bdr w:val="none" w:sz="0" w:space="0" w:color="auto" w:frame="1"/>
                <w:shd w:val="clear" w:color="auto" w:fill="FFFFFF"/>
              </w:rPr>
              <w:t>ikum</w:t>
            </w:r>
            <w:r w:rsidR="00CB03D6">
              <w:rPr>
                <w:rStyle w:val="Strong"/>
                <w:b w:val="0"/>
                <w:bdr w:val="none" w:sz="0" w:space="0" w:color="auto" w:frame="1"/>
                <w:shd w:val="clear" w:color="auto" w:fill="FFFFFF"/>
              </w:rPr>
              <w:t>a</w:t>
            </w:r>
            <w:r w:rsidR="00CB03D6" w:rsidRPr="00577228">
              <w:rPr>
                <w:rStyle w:val="Strong"/>
                <w:b w:val="0"/>
                <w:bdr w:val="none" w:sz="0" w:space="0" w:color="auto" w:frame="1"/>
                <w:shd w:val="clear" w:color="auto" w:fill="FFFFFF"/>
              </w:rPr>
              <w:t xml:space="preserve"> “Par reglamentētajām profesijām un profesionālās kvalifikācijas atzīšanu”  tiesību normu atbilstību Eiropas Parlamenta un Padomes 2005.gada 7.septembra direktīvas 2005/36/EK par profesionālo kvalifikāciju atzīšanu (turpmāk – direktīva 2005/36/EK)</w:t>
            </w:r>
            <w:r w:rsidR="00CB03D6">
              <w:rPr>
                <w:rStyle w:val="Strong"/>
                <w:b w:val="0"/>
                <w:bdr w:val="none" w:sz="0" w:space="0" w:color="auto" w:frame="1"/>
                <w:shd w:val="clear" w:color="auto" w:fill="FFFFFF"/>
              </w:rPr>
              <w:t xml:space="preserve"> prasībām, lai </w:t>
            </w:r>
            <w:r w:rsidR="004C574D">
              <w:rPr>
                <w:rStyle w:val="Strong"/>
                <w:b w:val="0"/>
                <w:bdr w:val="none" w:sz="0" w:space="0" w:color="auto" w:frame="1"/>
                <w:shd w:val="clear" w:color="auto" w:fill="FFFFFF"/>
              </w:rPr>
              <w:t xml:space="preserve">ārvalstu profesionāļi </w:t>
            </w:r>
            <w:r w:rsidR="00CB03D6">
              <w:rPr>
                <w:rStyle w:val="Strong"/>
                <w:b w:val="0"/>
                <w:bdr w:val="none" w:sz="0" w:space="0" w:color="auto" w:frame="1"/>
                <w:shd w:val="clear" w:color="auto" w:fill="FFFFFF"/>
              </w:rPr>
              <w:t xml:space="preserve">varētu </w:t>
            </w:r>
            <w:r w:rsidR="004C574D">
              <w:rPr>
                <w:rStyle w:val="Strong"/>
                <w:b w:val="0"/>
                <w:bdr w:val="none" w:sz="0" w:space="0" w:color="auto" w:frame="1"/>
                <w:shd w:val="clear" w:color="auto" w:fill="FFFFFF"/>
              </w:rPr>
              <w:t xml:space="preserve">veikt </w:t>
            </w:r>
            <w:r w:rsidR="00CB03D6" w:rsidRPr="00577228">
              <w:rPr>
                <w:rStyle w:val="Strong"/>
                <w:b w:val="0"/>
                <w:bdr w:val="none" w:sz="0" w:space="0" w:color="auto" w:frame="1"/>
                <w:shd w:val="clear" w:color="auto" w:fill="FFFFFF"/>
              </w:rPr>
              <w:t xml:space="preserve">profesionālo darbību </w:t>
            </w:r>
            <w:r w:rsidR="004C574D">
              <w:rPr>
                <w:rStyle w:val="Strong"/>
                <w:b w:val="0"/>
                <w:bdr w:val="none" w:sz="0" w:space="0" w:color="auto" w:frame="1"/>
                <w:shd w:val="clear" w:color="auto" w:fill="FFFFFF"/>
              </w:rPr>
              <w:t xml:space="preserve">reglamentētajās profesijās </w:t>
            </w:r>
            <w:r w:rsidR="00CB03D6" w:rsidRPr="00577228">
              <w:rPr>
                <w:rStyle w:val="Strong"/>
                <w:b w:val="0"/>
                <w:bdr w:val="none" w:sz="0" w:space="0" w:color="auto" w:frame="1"/>
                <w:shd w:val="clear" w:color="auto" w:fill="FFFFFF"/>
              </w:rPr>
              <w:t>Latvijā.</w:t>
            </w:r>
          </w:p>
          <w:p w14:paraId="1EC8FE04" w14:textId="7FA6A937" w:rsidR="004A373B" w:rsidRDefault="00B556BD" w:rsidP="00CB03D6">
            <w:pPr>
              <w:jc w:val="both"/>
            </w:pPr>
            <w:r>
              <w:t xml:space="preserve">     </w:t>
            </w:r>
            <w:r w:rsidR="004A373B" w:rsidRPr="004A373B">
              <w:t>Likumprojekts stāsies spēkā pēc tā izsludināšanas Latvijas Republikas Satversmē noteiktajā termiņā</w:t>
            </w:r>
            <w:r w:rsidR="004C574D">
              <w:t>, izņemot 3.pantu, kurš stāsies spēkā 2020. gada 1. janvārī</w:t>
            </w:r>
            <w:r w:rsidR="004A373B" w:rsidRPr="004A373B">
              <w:t>.</w:t>
            </w:r>
          </w:p>
          <w:p w14:paraId="0AEB63C7" w14:textId="2F60C89C" w:rsidR="00770594" w:rsidRPr="00404CF4" w:rsidRDefault="00770594" w:rsidP="00CB03D6">
            <w:pPr>
              <w:jc w:val="both"/>
            </w:pPr>
          </w:p>
        </w:tc>
      </w:tr>
    </w:tbl>
    <w:p w14:paraId="35452530" w14:textId="38B083B2"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1B1B15" w:rsidRPr="00404CF4" w14:paraId="792149BB" w14:textId="77777777" w:rsidTr="00E92DFB">
        <w:tc>
          <w:tcPr>
            <w:tcW w:w="5000" w:type="pct"/>
            <w:gridSpan w:val="3"/>
            <w:vAlign w:val="center"/>
            <w:hideMark/>
          </w:tcPr>
          <w:p w14:paraId="456CC729" w14:textId="77777777" w:rsidR="00BD5588" w:rsidRPr="00404CF4" w:rsidRDefault="00222C95" w:rsidP="00793205">
            <w:pPr>
              <w:widowControl w:val="0"/>
              <w:jc w:val="center"/>
              <w:rPr>
                <w:b/>
                <w:bCs/>
              </w:rPr>
            </w:pPr>
            <w:r w:rsidRPr="00404CF4">
              <w:rPr>
                <w:b/>
                <w:bCs/>
              </w:rPr>
              <w:t>I. Tiesību akta projekta izstrādes nepieciešamība</w:t>
            </w:r>
          </w:p>
        </w:tc>
      </w:tr>
      <w:tr w:rsidR="001B1B15" w:rsidRPr="00404CF4" w14:paraId="058E7E1A" w14:textId="77777777" w:rsidTr="00CB03D6">
        <w:tc>
          <w:tcPr>
            <w:tcW w:w="311" w:type="pct"/>
            <w:hideMark/>
          </w:tcPr>
          <w:p w14:paraId="0D168E70" w14:textId="77777777" w:rsidR="00BD5588" w:rsidRPr="00404CF4" w:rsidRDefault="00222C95" w:rsidP="00C07EB2">
            <w:pPr>
              <w:widowControl w:val="0"/>
              <w:jc w:val="both"/>
            </w:pPr>
            <w:r w:rsidRPr="00404CF4">
              <w:t>1.</w:t>
            </w:r>
          </w:p>
        </w:tc>
        <w:tc>
          <w:tcPr>
            <w:tcW w:w="1479" w:type="pct"/>
            <w:hideMark/>
          </w:tcPr>
          <w:p w14:paraId="356309C6" w14:textId="77777777" w:rsidR="00BD5588" w:rsidRPr="00404CF4" w:rsidRDefault="00222C95" w:rsidP="00C07EB2">
            <w:pPr>
              <w:widowControl w:val="0"/>
              <w:jc w:val="both"/>
            </w:pPr>
            <w:r w:rsidRPr="00404CF4">
              <w:t>Pamatojums</w:t>
            </w:r>
          </w:p>
        </w:tc>
        <w:tc>
          <w:tcPr>
            <w:tcW w:w="3210" w:type="pct"/>
          </w:tcPr>
          <w:p w14:paraId="5811F820" w14:textId="71D1E206" w:rsidR="00CB03D6" w:rsidRPr="005B564F" w:rsidRDefault="00B556BD" w:rsidP="00413D86">
            <w:pPr>
              <w:jc w:val="both"/>
              <w:rPr>
                <w:color w:val="000000" w:themeColor="text1"/>
              </w:rPr>
            </w:pPr>
            <w:r>
              <w:rPr>
                <w:bCs/>
                <w:color w:val="000000" w:themeColor="text1"/>
              </w:rPr>
              <w:t xml:space="preserve">     </w:t>
            </w:r>
            <w:r w:rsidR="00CB03D6" w:rsidRPr="005B564F">
              <w:rPr>
                <w:bCs/>
                <w:color w:val="000000" w:themeColor="text1"/>
              </w:rPr>
              <w:t>Likumprojekts “Grozījumi likumā “Par reglamentētajām profesijām un profesionālās kvalifikācijas atzīšanu</w:t>
            </w:r>
            <w:r w:rsidR="00CB03D6" w:rsidRPr="005B564F">
              <w:rPr>
                <w:color w:val="000000" w:themeColor="text1"/>
              </w:rPr>
              <w:t>”” (turpmāk – likumprojekts) izstrādāts, pamatojoties uz</w:t>
            </w:r>
            <w:r w:rsidR="00CB03D6">
              <w:rPr>
                <w:color w:val="000000" w:themeColor="text1"/>
              </w:rPr>
              <w:t>:</w:t>
            </w:r>
          </w:p>
          <w:p w14:paraId="4468C495" w14:textId="1BD8E26A" w:rsidR="00CB03D6" w:rsidRPr="005B564F" w:rsidRDefault="00B556BD" w:rsidP="00413D86">
            <w:pPr>
              <w:jc w:val="both"/>
              <w:rPr>
                <w:color w:val="000000" w:themeColor="text1"/>
              </w:rPr>
            </w:pPr>
            <w:r>
              <w:rPr>
                <w:color w:val="000000" w:themeColor="text1"/>
              </w:rPr>
              <w:t xml:space="preserve">     </w:t>
            </w:r>
            <w:r w:rsidR="00CB03D6" w:rsidRPr="005B564F">
              <w:rPr>
                <w:color w:val="000000" w:themeColor="text1"/>
              </w:rPr>
              <w:t xml:space="preserve">1)  Ministru kabineta 2019.gada 19. marta sēdē doto uzdevumu (prot. Nr.14 43.§  4. punkts), </w:t>
            </w:r>
          </w:p>
          <w:p w14:paraId="337AB56A" w14:textId="6A72B514" w:rsidR="00161647" w:rsidRPr="00C07EB2" w:rsidRDefault="00B556BD" w:rsidP="00413D86">
            <w:pPr>
              <w:jc w:val="both"/>
              <w:rPr>
                <w:bCs/>
                <w:color w:val="000000" w:themeColor="text1"/>
              </w:rPr>
            </w:pPr>
            <w:r>
              <w:rPr>
                <w:color w:val="000000" w:themeColor="text1"/>
              </w:rPr>
              <w:t xml:space="preserve">     </w:t>
            </w:r>
            <w:r w:rsidR="00CB03D6" w:rsidRPr="005B564F">
              <w:rPr>
                <w:color w:val="000000" w:themeColor="text1"/>
              </w:rPr>
              <w:t>2) Ministru kabineta 2019.gada 30. aprī</w:t>
            </w:r>
            <w:r w:rsidR="00CB03D6">
              <w:rPr>
                <w:color w:val="000000" w:themeColor="text1"/>
              </w:rPr>
              <w:t>ļa</w:t>
            </w:r>
            <w:r w:rsidR="00CB03D6" w:rsidRPr="005B564F">
              <w:rPr>
                <w:color w:val="000000" w:themeColor="text1"/>
              </w:rPr>
              <w:t xml:space="preserve"> sēdē doto uzdevumu (prot. Nr.22 32.§  5. punkts).</w:t>
            </w:r>
          </w:p>
        </w:tc>
      </w:tr>
      <w:tr w:rsidR="00D04073" w:rsidRPr="00404CF4" w14:paraId="6265A49B" w14:textId="77777777" w:rsidTr="00CB03D6">
        <w:tc>
          <w:tcPr>
            <w:tcW w:w="311" w:type="pct"/>
            <w:hideMark/>
          </w:tcPr>
          <w:p w14:paraId="46884FB6" w14:textId="0849A714" w:rsidR="00BD5588" w:rsidRPr="00404CF4" w:rsidRDefault="00222C95" w:rsidP="00793205">
            <w:pPr>
              <w:widowControl w:val="0"/>
            </w:pPr>
            <w:r w:rsidRPr="00404CF4">
              <w:t>2.</w:t>
            </w:r>
          </w:p>
        </w:tc>
        <w:tc>
          <w:tcPr>
            <w:tcW w:w="1479" w:type="pct"/>
            <w:hideMark/>
          </w:tcPr>
          <w:p w14:paraId="7666CFA8" w14:textId="7F1620C8" w:rsidR="00EB796A" w:rsidRPr="00404CF4" w:rsidRDefault="00222C95" w:rsidP="00793205">
            <w:pPr>
              <w:widowControl w:val="0"/>
            </w:pPr>
            <w:r w:rsidRPr="00404CF4">
              <w:t>Pašreizējā situācija un problēmas, kuru risināšanai tiesību akta projekts izstrādāts, tiesiskā regulējuma mērķis un būtība</w:t>
            </w:r>
          </w:p>
          <w:p w14:paraId="0EF4914B" w14:textId="5776AECE" w:rsidR="00EB796A" w:rsidRPr="00404CF4" w:rsidRDefault="00EB796A" w:rsidP="00EB796A"/>
          <w:p w14:paraId="7F1CF664" w14:textId="77777777" w:rsidR="00BD5588" w:rsidRPr="00404CF4" w:rsidRDefault="00BD5588" w:rsidP="00EB796A">
            <w:pPr>
              <w:jc w:val="right"/>
            </w:pPr>
          </w:p>
        </w:tc>
        <w:tc>
          <w:tcPr>
            <w:tcW w:w="3210" w:type="pct"/>
          </w:tcPr>
          <w:p w14:paraId="24ABE67B" w14:textId="3470CCB7" w:rsidR="00CB03D6" w:rsidRPr="005B564F" w:rsidRDefault="00A63483" w:rsidP="00D959FE">
            <w:pPr>
              <w:jc w:val="both"/>
            </w:pPr>
            <w:r>
              <w:rPr>
                <w:bCs/>
                <w:color w:val="000000" w:themeColor="text1"/>
              </w:rPr>
              <w:t xml:space="preserve">     </w:t>
            </w:r>
            <w:r w:rsidR="00CB03D6" w:rsidRPr="005B564F">
              <w:rPr>
                <w:bCs/>
                <w:color w:val="000000" w:themeColor="text1"/>
              </w:rPr>
              <w:t>Likumā “Par reglamentētajām profesijām un profesionālās kvalifikācijas atzīšanu</w:t>
            </w:r>
            <w:r w:rsidR="00CB03D6" w:rsidRPr="005B564F">
              <w:rPr>
                <w:color w:val="000000" w:themeColor="text1"/>
              </w:rPr>
              <w:t>” (turpmāk – reglamentēto profesiju likums) ir iekļautas tiesību normas, kas izriet no  direktīva</w:t>
            </w:r>
            <w:r w:rsidR="00CB03D6">
              <w:rPr>
                <w:color w:val="000000" w:themeColor="text1"/>
              </w:rPr>
              <w:t>s</w:t>
            </w:r>
            <w:r w:rsidR="00CB03D6" w:rsidRPr="005B564F">
              <w:rPr>
                <w:color w:val="000000" w:themeColor="text1"/>
              </w:rPr>
              <w:t xml:space="preserve"> 2005/36/EK un Eiropas Parlamenta un Padomes </w:t>
            </w:r>
            <w:r w:rsidR="00CB03D6" w:rsidRPr="005B564F">
              <w:rPr>
                <w:bCs/>
                <w:color w:val="000000" w:themeColor="text1"/>
              </w:rPr>
              <w:t>2013.gada 20.novembra</w:t>
            </w:r>
            <w:r w:rsidR="00CB03D6" w:rsidRPr="005B564F">
              <w:rPr>
                <w:color w:val="000000" w:themeColor="text1"/>
              </w:rPr>
              <w:t xml:space="preserve"> Direktīva </w:t>
            </w:r>
            <w:r w:rsidR="00CB03D6" w:rsidRPr="005B564F">
              <w:rPr>
                <w:bCs/>
                <w:color w:val="000000" w:themeColor="text1"/>
              </w:rPr>
              <w:t>2013/55/ES, ar ko groza Direktīvu 2005/36/EK par profesionālo kvalifikāciju atzīšanu un Regulu (ES) Nr.1024/2012 par administratīvo sadarbību, izmantojot Iekšējā tirgus informācijas sistēmu (IMI regulu) (turpmāk – direktīva 2013/55/ES)</w:t>
            </w:r>
            <w:r w:rsidR="00CB03D6" w:rsidRPr="005B564F">
              <w:rPr>
                <w:rStyle w:val="FootnoteReference"/>
                <w:rFonts w:eastAsia="Calibri"/>
                <w:bCs/>
                <w:color w:val="000000" w:themeColor="text1"/>
              </w:rPr>
              <w:footnoteReference w:id="1"/>
            </w:r>
            <w:r w:rsidR="00CB03D6" w:rsidRPr="005B564F">
              <w:rPr>
                <w:bCs/>
                <w:color w:val="000000" w:themeColor="text1"/>
              </w:rPr>
              <w:t xml:space="preserve">. Latvija </w:t>
            </w:r>
            <w:r w:rsidR="00CB03D6" w:rsidRPr="005B564F">
              <w:t xml:space="preserve">ir saņēmusi Eiropas Komisijas 2018. gada 19. jūlija formālo paziņojumu pārkāpuma procedūras lietā Nr.2018/2176, 2019. gada 24. janvāra formālo paziņojumu pārkāpuma procedūras lietā Nr.2018/2296, 2019. gada 7. marta papildu formālo paziņojuma vēstuli pārkāpuma procedūras lietā Nr. 2018/2176, kuros visos ir norādīts uz Latvijas tiesību aktos, tajā skaitā reglamentēto profesiju likumā, vairāku tiesību normu neatbilstību direktīvas 2005/36/EK prasībām. </w:t>
            </w:r>
          </w:p>
          <w:p w14:paraId="71B5BC98" w14:textId="666A6371" w:rsidR="00CB03D6" w:rsidRPr="005B564F" w:rsidRDefault="00A63483" w:rsidP="00D959FE">
            <w:pPr>
              <w:jc w:val="both"/>
            </w:pPr>
            <w:r>
              <w:t xml:space="preserve">     </w:t>
            </w:r>
            <w:r w:rsidR="00CB03D6" w:rsidRPr="005B564F">
              <w:t xml:space="preserve">Likumprojekta mērķis ir nodrošināt reglamentēto profesiju likuma tiesību normu atbilstību direktīvas 2005/36/EK prasībām, lai personas uz profesionālās </w:t>
            </w:r>
            <w:r w:rsidR="00CB03D6" w:rsidRPr="005B564F">
              <w:lastRenderedPageBreak/>
              <w:t>kvalifikācijas atzīšanu un īslaicīgu pakalpojumu sniedzēji reglamentētajās profesijās varētu pilnībā izmantot savas tiesības veikt profesionālo darbību Latvijā.</w:t>
            </w:r>
          </w:p>
          <w:p w14:paraId="64111119" w14:textId="77777777" w:rsidR="00CB03D6" w:rsidRPr="005B564F" w:rsidRDefault="00CB03D6" w:rsidP="00D959FE">
            <w:pPr>
              <w:jc w:val="both"/>
            </w:pPr>
            <w:r w:rsidRPr="005B564F">
              <w:rPr>
                <w:color w:val="000000" w:themeColor="text1"/>
              </w:rPr>
              <w:t xml:space="preserve"> </w:t>
            </w:r>
          </w:p>
          <w:p w14:paraId="7DC9CBE9" w14:textId="1A75D386" w:rsidR="00CB03D6" w:rsidRPr="005B564F" w:rsidRDefault="00A63483" w:rsidP="00D959FE">
            <w:pPr>
              <w:jc w:val="both"/>
              <w:rPr>
                <w:color w:val="000000" w:themeColor="text1"/>
              </w:rPr>
            </w:pPr>
            <w:r>
              <w:rPr>
                <w:color w:val="000000" w:themeColor="text1"/>
              </w:rPr>
              <w:t xml:space="preserve">     </w:t>
            </w:r>
            <w:r w:rsidR="00CB03D6" w:rsidRPr="005B564F">
              <w:rPr>
                <w:color w:val="000000" w:themeColor="text1"/>
              </w:rPr>
              <w:t>Ņemot vērā likumprojektā iekļautos saturiski atšķirīgos jautājumus, šajā likumprojekta anotācijas punktā tie raksturoti atsevišķi.</w:t>
            </w:r>
          </w:p>
          <w:p w14:paraId="41A0B60F" w14:textId="77777777" w:rsidR="00CB03D6" w:rsidRPr="005B564F" w:rsidRDefault="00CB03D6" w:rsidP="00D959FE">
            <w:pPr>
              <w:jc w:val="both"/>
              <w:rPr>
                <w:color w:val="000000" w:themeColor="text1"/>
              </w:rPr>
            </w:pPr>
          </w:p>
          <w:p w14:paraId="4D754693" w14:textId="41CDB659" w:rsidR="00CB03D6" w:rsidRPr="00DD79F6" w:rsidRDefault="00A63483" w:rsidP="00D959FE">
            <w:pPr>
              <w:jc w:val="both"/>
              <w:rPr>
                <w:color w:val="000000" w:themeColor="text1"/>
                <w:u w:val="single"/>
              </w:rPr>
            </w:pPr>
            <w:r>
              <w:rPr>
                <w:color w:val="000000" w:themeColor="text1"/>
                <w:u w:val="single"/>
              </w:rPr>
              <w:t xml:space="preserve">     </w:t>
            </w:r>
            <w:r w:rsidR="00CB03D6" w:rsidRPr="00DD79F6">
              <w:rPr>
                <w:color w:val="000000" w:themeColor="text1"/>
                <w:u w:val="single"/>
              </w:rPr>
              <w:t xml:space="preserve">Par likumprojekta 1., </w:t>
            </w:r>
            <w:r w:rsidR="00741FB3">
              <w:rPr>
                <w:color w:val="000000" w:themeColor="text1"/>
                <w:u w:val="single"/>
              </w:rPr>
              <w:t>6</w:t>
            </w:r>
            <w:r w:rsidR="00CB03D6" w:rsidRPr="00DD79F6">
              <w:rPr>
                <w:color w:val="000000" w:themeColor="text1"/>
                <w:u w:val="single"/>
              </w:rPr>
              <w:t xml:space="preserve">., </w:t>
            </w:r>
            <w:r w:rsidR="00741FB3">
              <w:rPr>
                <w:color w:val="000000" w:themeColor="text1"/>
                <w:u w:val="single"/>
              </w:rPr>
              <w:t>7</w:t>
            </w:r>
            <w:r w:rsidR="00CB03D6" w:rsidRPr="00DD79F6">
              <w:rPr>
                <w:color w:val="000000" w:themeColor="text1"/>
                <w:u w:val="single"/>
              </w:rPr>
              <w:t xml:space="preserve">., </w:t>
            </w:r>
            <w:r w:rsidR="00741FB3">
              <w:rPr>
                <w:color w:val="000000" w:themeColor="text1"/>
                <w:u w:val="single"/>
              </w:rPr>
              <w:t>12</w:t>
            </w:r>
            <w:r w:rsidR="00CB03D6" w:rsidRPr="00DD79F6">
              <w:rPr>
                <w:color w:val="000000" w:themeColor="text1"/>
                <w:u w:val="single"/>
              </w:rPr>
              <w:t xml:space="preserve">.  pantu, kas paredz grozījumus reglamentēto profesiju likuma 1.panta </w:t>
            </w:r>
            <w:r w:rsidR="00CB03D6">
              <w:rPr>
                <w:color w:val="000000" w:themeColor="text1"/>
                <w:u w:val="single"/>
              </w:rPr>
              <w:t>5</w:t>
            </w:r>
            <w:r w:rsidR="00CB03D6" w:rsidRPr="00DD79F6">
              <w:rPr>
                <w:color w:val="000000" w:themeColor="text1"/>
                <w:u w:val="single"/>
              </w:rPr>
              <w:t>.</w:t>
            </w:r>
            <w:r w:rsidR="00CB03D6">
              <w:rPr>
                <w:color w:val="000000" w:themeColor="text1"/>
                <w:u w:val="single"/>
                <w:vertAlign w:val="superscript"/>
              </w:rPr>
              <w:t>1</w:t>
            </w:r>
            <w:r w:rsidR="00CB03D6" w:rsidRPr="00DD79F6">
              <w:rPr>
                <w:color w:val="000000" w:themeColor="text1"/>
                <w:u w:val="single"/>
              </w:rPr>
              <w:t xml:space="preserve"> punktā, 36. panta 9.punktā, 42. pantā, 55.</w:t>
            </w:r>
            <w:r w:rsidR="00CB03D6" w:rsidRPr="00DD79F6">
              <w:rPr>
                <w:color w:val="000000" w:themeColor="text1"/>
                <w:u w:val="single"/>
                <w:vertAlign w:val="superscript"/>
              </w:rPr>
              <w:t>1</w:t>
            </w:r>
            <w:r w:rsidR="00CB03D6" w:rsidRPr="00DD79F6">
              <w:rPr>
                <w:color w:val="000000" w:themeColor="text1"/>
                <w:u w:val="single"/>
              </w:rPr>
              <w:t xml:space="preserve"> pantā.</w:t>
            </w:r>
          </w:p>
          <w:p w14:paraId="2721492D" w14:textId="56A5A946" w:rsidR="00CB03D6" w:rsidRPr="005B564F" w:rsidRDefault="00EA2E2B" w:rsidP="00D959FE">
            <w:pPr>
              <w:jc w:val="both"/>
              <w:rPr>
                <w:color w:val="000000" w:themeColor="text1"/>
              </w:rPr>
            </w:pPr>
            <w:r>
              <w:rPr>
                <w:color w:val="000000" w:themeColor="text1"/>
              </w:rPr>
              <w:t xml:space="preserve">     </w:t>
            </w:r>
            <w:r w:rsidR="00CB03D6" w:rsidRPr="005B564F">
              <w:rPr>
                <w:color w:val="000000" w:themeColor="text1"/>
              </w:rPr>
              <w:t>Direktīvā 2005/36/EK II sadaļa “Brīva pakalpojumu sniegšana” attiecas uz tās 5. panta 1. punkta a) apakšpunktā minētajām personām, kurām “kādā dalībvalstī ir likumīgs statuss”. Jēdziens “valsts, kurā ir likumīgs statuss”</w:t>
            </w:r>
            <w:r w:rsidR="00CB03D6" w:rsidRPr="005B564F">
              <w:rPr>
                <w:rStyle w:val="FootnoteReference"/>
                <w:rFonts w:eastAsia="Calibri"/>
                <w:color w:val="000000" w:themeColor="text1"/>
              </w:rPr>
              <w:footnoteReference w:id="2"/>
            </w:r>
            <w:r w:rsidR="00CB03D6" w:rsidRPr="005B564F">
              <w:rPr>
                <w:color w:val="000000" w:themeColor="text1"/>
              </w:rPr>
              <w:t xml:space="preserve"> ir atšķirīgs no direktīvas 2005/36/EK 1. pantā lietotā jēdziena “izcelsmes dalībvalsts”. Jēdzienam “izcelsmes dalībvalsts” atbilst reglamentēto profesiju likuma 1. pantā lietotais jēdziens “mītnes valsts”, proti, tā ir valsts, kurā pretendents ir ieguvis profesionālo kvalifikāciju. Savukārt jēdziens “valsts, kurā ir likumīgs statuss” attiecas uz valsti, kurā personai ir tiesības strādāt profesijā. </w:t>
            </w:r>
          </w:p>
          <w:p w14:paraId="4300F9AC" w14:textId="2C5BB527" w:rsidR="00CB03D6" w:rsidRPr="005B564F" w:rsidRDefault="00EA2E2B" w:rsidP="00D959FE">
            <w:pPr>
              <w:jc w:val="both"/>
              <w:rPr>
                <w:color w:val="000000" w:themeColor="text1"/>
              </w:rPr>
            </w:pPr>
            <w:r>
              <w:rPr>
                <w:color w:val="000000" w:themeColor="text1"/>
              </w:rPr>
              <w:t xml:space="preserve">     </w:t>
            </w:r>
            <w:r w:rsidR="00CB03D6" w:rsidRPr="005B564F">
              <w:rPr>
                <w:color w:val="000000" w:themeColor="text1"/>
              </w:rPr>
              <w:t>Reglamentēto profesiju likumā ir noteikts, ka īslaicīgus pakalpojumus var sniegt persona, kuras mītnes valsts ir Eiropas Savienības dalībvalsts vai Eiropas Brīvās tirdzniecības asociācijas dalībvalsts un kuras sniegto pakalpojumu izcelsmes valsts ir Eiropas Savienības dalībvalsts vai Eiropas Brīvās tirdzniecības asociācijas dalībvalsts. Ņemot vērā reglamentēto profesiju likumā noteikto jēdziena “mītnes valsts” definīciju, ir konstatējama Latvijas normatīvā regulējuma neatbilstība direktīvas 2005/36/EK normām. Piemēram, ir iespējama situācija, kad persona savu kvalifikāciju ir ieguvusi Latvijā, tātad viņas mītnes valsts ir Latvija, bet tiesības veikt profesionālo darbību ir Lietuvā. Šī persona var sniegt īslaicīgus pakalpojumus Latvijā kā Lietuvas profesionālis. Likumprojekts novērš šo neatbilstību, nošķirot jēdzienus “valsts, kurā iegūta izglītība un profesionālā kvalifikācija” un “valsts, kurā ir tiesības veikt profesionālo darbību” tiesību normās, kas attiecas uz Eiropas profesionālās kartes izdošanu īslaicīgu pakalpojumu sniegšanai. Lai ieviestu nepieciešamo jēdzienisko nodalījumu, likumprojekts pa</w:t>
            </w:r>
            <w:r w:rsidR="00CB03D6">
              <w:rPr>
                <w:color w:val="000000" w:themeColor="text1"/>
              </w:rPr>
              <w:t>redz noteikt jēdzienu “likumīgā statusa</w:t>
            </w:r>
            <w:r w:rsidR="00CB03D6" w:rsidRPr="005B564F">
              <w:rPr>
                <w:color w:val="000000" w:themeColor="text1"/>
              </w:rPr>
              <w:t xml:space="preserve"> valsts” un noteikt šī jēdziena piemērošanas gadījumus, proti jēdziens attiecināms uz īslaicīgu pakalpojumu sniegšanas gadījumiem un Eiropas </w:t>
            </w:r>
            <w:r w:rsidR="00CB03D6" w:rsidRPr="005B564F">
              <w:rPr>
                <w:color w:val="000000" w:themeColor="text1"/>
              </w:rPr>
              <w:lastRenderedPageBreak/>
              <w:t>profesionālās kartes izsniegšanu īslaicīgu pakalpojumu sniegšanai.</w:t>
            </w:r>
          </w:p>
          <w:p w14:paraId="1777096A" w14:textId="2F14355F"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Likumprojekts paredz grozīt tiesību normas attiecībā uz prasībām, kas izvirzītas īslaicīgu pakalpojumu sniegšanai reglamentētājās profesijās, tās tuvinot direktīvā 2005/36/EK noteiktajam. Proti, direktīvas 2005/36/EK 7. panta 1. punkts paredz tiesības nevis pienākumu īslaicīgu pakalpojumu sniedzējam izvirzīt prasību iesniegt deklarāciju pirms pirmās pakalpojumu sniegšanas reizes. Reglamentēto profesiju likumā deklarācijas iesniegšana ir noteikta kā obligāta prasība visās reglamentētajās profesijās. Šāda prasība atsevišķos gadījumos var būt lieks administratīvs slogs</w:t>
            </w:r>
            <w:r>
              <w:rPr>
                <w:color w:val="000000" w:themeColor="text1"/>
              </w:rPr>
              <w:t xml:space="preserve"> īslaicīgu pakalpojumu sniedzējam</w:t>
            </w:r>
            <w:r w:rsidRPr="005B564F">
              <w:rPr>
                <w:color w:val="000000" w:themeColor="text1"/>
              </w:rPr>
              <w:t xml:space="preserve">, tādēļ būtu nosakāma tikai pamatotos gadījumos. Šis pats noteikums attiecas arī uz dokumentiem, kuru iesniegšanu kā obligātu prasību īslaicīgu pakalpojumu sniedzējam nosaka reglamentēto profesiju likums un </w:t>
            </w:r>
            <w:r w:rsidRPr="005B564F">
              <w:t xml:space="preserve">Ministru kabineta 2017. gada 28. marta noteikumi Nr. 168 “Īslaicīgu profesionālo pakalpojumu sniegšanas kārtība Latvijas Republikā reglamentētā profesijā” (turpmāk – noteikumi Nr. 168). Ir jāņem vērā  Eiropas Parlamenta un Padomes 2018.gada 28. jūnija Direktīva 2018/958 par samērīguma novērtēšanu pirms jaunas profesiju reglamentācijas pieņemšanas. </w:t>
            </w:r>
            <w:r>
              <w:rPr>
                <w:color w:val="000000" w:themeColor="text1"/>
              </w:rPr>
              <w:t xml:space="preserve">Minētā </w:t>
            </w:r>
            <w:r w:rsidRPr="005B564F">
              <w:rPr>
                <w:color w:val="000000" w:themeColor="text1"/>
              </w:rPr>
              <w:t>direktīva, kas Latvijas tiesību aktos ir jāpārņem līdz 2020.</w:t>
            </w:r>
            <w:r w:rsidR="002363A8">
              <w:rPr>
                <w:color w:val="000000" w:themeColor="text1"/>
              </w:rPr>
              <w:t> </w:t>
            </w:r>
            <w:r w:rsidRPr="005B564F">
              <w:rPr>
                <w:color w:val="000000" w:themeColor="text1"/>
              </w:rPr>
              <w:t>gada  30. jūlijam</w:t>
            </w:r>
            <w:r>
              <w:rPr>
                <w:color w:val="000000" w:themeColor="text1"/>
              </w:rPr>
              <w:t>,</w:t>
            </w:r>
            <w:r w:rsidRPr="005B564F">
              <w:rPr>
                <w:color w:val="000000" w:themeColor="text1"/>
              </w:rPr>
              <w:t xml:space="preserve"> paredz, ka deklarācijas  un dažādu iesniedzamo dokumentu pieprasīšana Īslaicīgo pakalpojumu sniedzējam ir prasība, kurai ir vērtējams samērīgums, tādēļ Latvijas normatīvais regulējums ir jāmaina un deklarācijas un iesniedzamo dokumentu pieprasīšana ir jāparedz tikai Ministru kabineta noteiktajās profesijās. Šādu profesiju noteikšanai ir jābalstās uz katras nozares redzējumu par tām atbilstošajām reglamentētajām profesijām.</w:t>
            </w:r>
            <w:r w:rsidR="00563370">
              <w:rPr>
                <w:color w:val="000000" w:themeColor="text1"/>
              </w:rPr>
              <w:t xml:space="preserve"> L</w:t>
            </w:r>
            <w:r w:rsidR="00AE1BE8">
              <w:rPr>
                <w:color w:val="000000" w:themeColor="text1"/>
              </w:rPr>
              <w:t>ikumprojekts paredz reglamentēto profesiju likuma 36. panta 9. punktu izteikt jaunā redakcijā, noteikumi Nr. 168 zaudēs spēku, tādēļ ir jāizdod jauni Ministru kabineta noteikumi</w:t>
            </w:r>
            <w:r w:rsidRPr="005B564F">
              <w:rPr>
                <w:color w:val="000000" w:themeColor="text1"/>
              </w:rPr>
              <w:t xml:space="preserve"> </w:t>
            </w:r>
          </w:p>
          <w:p w14:paraId="2D32F8EF" w14:textId="77777777" w:rsidR="00EE581E"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4CB0D763" w14:textId="2A914122" w:rsidR="00CB03D6" w:rsidRPr="005B564F" w:rsidRDefault="00EE581E"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rPr>
              <w:t xml:space="preserve"> </w:t>
            </w:r>
            <w:r w:rsidR="00CB03D6" w:rsidRPr="005B564F">
              <w:rPr>
                <w:color w:val="000000" w:themeColor="text1"/>
                <w:u w:val="single"/>
              </w:rPr>
              <w:t>Par likumprojekta 2. pantu, kas paredz grozījumus reglamentēto profesiju likuma 3.</w:t>
            </w:r>
            <w:r>
              <w:rPr>
                <w:color w:val="000000" w:themeColor="text1"/>
                <w:u w:val="single"/>
              </w:rPr>
              <w:t> </w:t>
            </w:r>
            <w:r w:rsidR="00CB03D6" w:rsidRPr="005B564F">
              <w:rPr>
                <w:color w:val="000000" w:themeColor="text1"/>
                <w:u w:val="single"/>
              </w:rPr>
              <w:t>panta ceturtajā daļā.</w:t>
            </w:r>
          </w:p>
          <w:p w14:paraId="3743CD6D"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Saskaņā ar direktīvas 2005/36/EK 55.a panta 1.punktu gadījumos, ja priekšnoteikums piekļuvei reglamentētajai profesijai ir profesionālās </w:t>
            </w:r>
            <w:r w:rsidRPr="006F52E6">
              <w:rPr>
                <w:color w:val="000000" w:themeColor="text1"/>
              </w:rPr>
              <w:t>prakse</w:t>
            </w:r>
            <w:r w:rsidRPr="005B564F">
              <w:rPr>
                <w:color w:val="000000" w:themeColor="text1"/>
              </w:rPr>
              <w:t xml:space="preserve">s pabeigšana, ir jāatzīst tāda profesionālā prakse, kas iegūta ārvalstīs ar nosacījumu, ka prakse atbilst publicētām vadlīnijām. </w:t>
            </w:r>
          </w:p>
          <w:p w14:paraId="3F2CADFB"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Latvijā daudzās reglamentētās profesijās ir noteikta prasība iegūt profesionālo pieredzi (t.i., profesionālo praksi), piemēram, attiecībā uz </w:t>
            </w:r>
            <w:proofErr w:type="spellStart"/>
            <w:r w:rsidRPr="005B564F">
              <w:rPr>
                <w:color w:val="000000" w:themeColor="text1"/>
              </w:rPr>
              <w:t>būvspeciālistiem</w:t>
            </w:r>
            <w:proofErr w:type="spellEnd"/>
            <w:r w:rsidRPr="005B564F">
              <w:rPr>
                <w:color w:val="000000" w:themeColor="text1"/>
              </w:rPr>
              <w:t xml:space="preserve"> to nosaka Ministru kabineta 2018. gada 20. marta noteikumi Nr. 169 “</w:t>
            </w:r>
            <w:proofErr w:type="spellStart"/>
            <w:r w:rsidRPr="005B564F">
              <w:rPr>
                <w:color w:val="000000" w:themeColor="text1"/>
              </w:rPr>
              <w:t>Būvspeciālistu</w:t>
            </w:r>
            <w:proofErr w:type="spellEnd"/>
            <w:r w:rsidRPr="005B564F">
              <w:rPr>
                <w:color w:val="000000" w:themeColor="text1"/>
              </w:rPr>
              <w:t xml:space="preserve"> kompetences novērtēšanas un patstāvīgās prakses uzraudzības noteikumi” 12.2. apakšpunkts.</w:t>
            </w:r>
          </w:p>
          <w:p w14:paraId="301B58CA" w14:textId="5DDB36AE"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r w:rsidRPr="00563370">
              <w:t>Ministru kabineta 2017. gada 31. janvāra noteikumos Nr. 71 “</w:t>
            </w:r>
            <w:r w:rsidR="00563370" w:rsidRPr="00563370">
              <w:rPr>
                <w:bCs/>
                <w:shd w:val="clear" w:color="auto" w:fill="FFFFFF"/>
              </w:rPr>
              <w:t xml:space="preserve">Noteikumi par papildu prasībām ārvalstīs </w:t>
            </w:r>
            <w:r w:rsidR="00563370" w:rsidRPr="00563370">
              <w:rPr>
                <w:bCs/>
                <w:shd w:val="clear" w:color="auto" w:fill="FFFFFF"/>
              </w:rPr>
              <w:lastRenderedPageBreak/>
              <w:t>iegūtas profesionālās kvalifikācijas atzīšanai, tai skaitā profesionālās kvalifikācijas atzīšanai attiecībā uz reglamentētās profesijas profesionālo darbību daļu, Latvijas Republikā reglamentētās profesijās</w:t>
            </w:r>
            <w:r w:rsidRPr="00563370">
              <w:t xml:space="preserve">” 19. punktā ir noteiktas prasības profesionālās prakses atzīšanai profesionālās kvalifikācijas atzīšanas kontekstā, bet šīs prasības neattiecas uz pielaišanu profesionālajai darbībai ar Latvijā iegūtu kvalifikāciju. Tas neatbilst direktīvas 2005/36/EK 55.a pantā </w:t>
            </w:r>
            <w:r w:rsidRPr="005B564F">
              <w:rPr>
                <w:color w:val="000000" w:themeColor="text1"/>
              </w:rPr>
              <w:t xml:space="preserve">noteiktajam un direktīvas 2005/36/EK 3. panta 1. punkta j) apakšpunktā noteiktajai “profesionālās prakses” definīcijai. </w:t>
            </w:r>
          </w:p>
          <w:p w14:paraId="242A18B9" w14:textId="77777777" w:rsidR="00CB03D6" w:rsidRDefault="00CB03D6" w:rsidP="00D959FE">
            <w:pPr>
              <w:pStyle w:val="liknoteik"/>
              <w:spacing w:before="0" w:beforeAutospacing="0" w:after="0" w:afterAutospacing="0"/>
              <w:jc w:val="both"/>
              <w:rPr>
                <w:color w:val="000000" w:themeColor="text1"/>
              </w:rPr>
            </w:pPr>
            <w:r w:rsidRPr="005B564F">
              <w:rPr>
                <w:color w:val="000000" w:themeColor="text1"/>
              </w:rPr>
              <w:t xml:space="preserve">      Likumprojekts paredz, ka reglamentēto profesiju likumā tiks noteiktas personu tiesības atzīt ārvalstīs iegūtu profesionālo praksi.</w:t>
            </w:r>
          </w:p>
          <w:p w14:paraId="6EB6B74F" w14:textId="77777777" w:rsidR="00D959FE" w:rsidRPr="005B564F" w:rsidRDefault="00D959FE" w:rsidP="00D959FE">
            <w:pPr>
              <w:pStyle w:val="liknoteik"/>
              <w:spacing w:before="0" w:beforeAutospacing="0" w:after="0" w:afterAutospacing="0"/>
              <w:jc w:val="both"/>
              <w:rPr>
                <w:color w:val="000000" w:themeColor="text1"/>
              </w:rPr>
            </w:pPr>
          </w:p>
          <w:p w14:paraId="7E0334CA" w14:textId="25CBC6D6" w:rsidR="00CB03D6" w:rsidRPr="005B564F" w:rsidRDefault="00CB03D6" w:rsidP="00D959FE">
            <w:pPr>
              <w:pStyle w:val="liknoteik"/>
              <w:spacing w:before="0" w:beforeAutospacing="0" w:after="0" w:afterAutospacing="0"/>
              <w:jc w:val="both"/>
              <w:rPr>
                <w:color w:val="000000" w:themeColor="text1"/>
                <w:u w:val="single"/>
              </w:rPr>
            </w:pPr>
            <w:r w:rsidRPr="005B564F">
              <w:rPr>
                <w:color w:val="000000" w:themeColor="text1"/>
              </w:rPr>
              <w:t xml:space="preserve">     </w:t>
            </w:r>
            <w:r w:rsidRPr="005B564F">
              <w:rPr>
                <w:color w:val="000000" w:themeColor="text1"/>
                <w:u w:val="single"/>
              </w:rPr>
              <w:t>Par likumprojekta 3.</w:t>
            </w:r>
            <w:r w:rsidR="0022026C">
              <w:rPr>
                <w:color w:val="000000" w:themeColor="text1"/>
                <w:u w:val="single"/>
              </w:rPr>
              <w:t> </w:t>
            </w:r>
            <w:r w:rsidRPr="005B564F">
              <w:rPr>
                <w:color w:val="000000" w:themeColor="text1"/>
                <w:u w:val="single"/>
              </w:rPr>
              <w:t>pantu, kas paredz grozījumus reglamentēto profesiju likuma 9. panta otrajā daļ</w:t>
            </w:r>
            <w:r w:rsidR="0022026C">
              <w:rPr>
                <w:color w:val="000000" w:themeColor="text1"/>
                <w:u w:val="single"/>
              </w:rPr>
              <w:t>ā un likumprojekta 13. pantu, kas paredz noteikt pārejas noteikumu 8. un 9. punktu</w:t>
            </w:r>
            <w:r w:rsidRPr="005B564F">
              <w:rPr>
                <w:color w:val="000000" w:themeColor="text1"/>
                <w:u w:val="single"/>
              </w:rPr>
              <w:t xml:space="preserve">. </w:t>
            </w:r>
          </w:p>
          <w:p w14:paraId="5C0D2371" w14:textId="5A1698C0" w:rsidR="00CB03D6" w:rsidRDefault="00CB03D6" w:rsidP="00D959FE">
            <w:pPr>
              <w:pStyle w:val="liknoteik"/>
              <w:spacing w:before="0" w:beforeAutospacing="0" w:after="0" w:afterAutospacing="0"/>
              <w:jc w:val="both"/>
              <w:rPr>
                <w:color w:val="000000" w:themeColor="text1"/>
              </w:rPr>
            </w:pPr>
            <w:r w:rsidRPr="005B564F">
              <w:rPr>
                <w:color w:val="000000" w:themeColor="text1"/>
              </w:rPr>
              <w:t xml:space="preserve">     Saskaņā ar 2016. gada 1. decembrī veiktajiem grozījumiem Ārstniecības likumā </w:t>
            </w:r>
            <w:r w:rsidR="00BB6B98">
              <w:rPr>
                <w:color w:val="000000" w:themeColor="text1"/>
              </w:rPr>
              <w:t>tā</w:t>
            </w:r>
            <w:r w:rsidRPr="005B564F">
              <w:rPr>
                <w:color w:val="000000" w:themeColor="text1"/>
              </w:rPr>
              <w:t xml:space="preserve"> 45.</w:t>
            </w:r>
            <w:r w:rsidRPr="00A350B4">
              <w:rPr>
                <w:color w:val="000000" w:themeColor="text1"/>
                <w:vertAlign w:val="superscript"/>
              </w:rPr>
              <w:t>1</w:t>
            </w:r>
            <w:r w:rsidRPr="005B564F">
              <w:rPr>
                <w:color w:val="000000" w:themeColor="text1"/>
              </w:rPr>
              <w:t xml:space="preserve"> panta pirmā daļa tiek papildināta ar vārdu "</w:t>
            </w:r>
            <w:proofErr w:type="spellStart"/>
            <w:r w:rsidRPr="005B564F">
              <w:rPr>
                <w:color w:val="000000" w:themeColor="text1"/>
              </w:rPr>
              <w:t>optometrists</w:t>
            </w:r>
            <w:proofErr w:type="spellEnd"/>
            <w:r w:rsidRPr="005B564F">
              <w:rPr>
                <w:color w:val="000000" w:themeColor="text1"/>
              </w:rPr>
              <w:t xml:space="preserve">". Ministru kabineta 2018. gada 26. jūnija noteikumos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ir noteiktas prasības izglītībai un profesionālajai kvalifikācijai </w:t>
            </w:r>
            <w:proofErr w:type="spellStart"/>
            <w:r w:rsidRPr="005B564F">
              <w:rPr>
                <w:color w:val="000000" w:themeColor="text1"/>
              </w:rPr>
              <w:t>optometrista</w:t>
            </w:r>
            <w:proofErr w:type="spellEnd"/>
            <w:r w:rsidRPr="005B564F">
              <w:rPr>
                <w:color w:val="000000" w:themeColor="text1"/>
              </w:rPr>
              <w:t xml:space="preserve"> profesijā, kas stāsies spēkā 2020.</w:t>
            </w:r>
            <w:r w:rsidR="00D959FE">
              <w:rPr>
                <w:color w:val="000000" w:themeColor="text1"/>
              </w:rPr>
              <w:t> </w:t>
            </w:r>
            <w:r w:rsidRPr="005B564F">
              <w:rPr>
                <w:color w:val="000000" w:themeColor="text1"/>
              </w:rPr>
              <w:t>gada 1.</w:t>
            </w:r>
            <w:r w:rsidR="00D959FE">
              <w:rPr>
                <w:color w:val="000000" w:themeColor="text1"/>
              </w:rPr>
              <w:t> </w:t>
            </w:r>
            <w:r w:rsidRPr="005B564F">
              <w:rPr>
                <w:color w:val="000000" w:themeColor="text1"/>
              </w:rPr>
              <w:t xml:space="preserve">janvārī. </w:t>
            </w:r>
            <w:r w:rsidR="00BB6B98">
              <w:rPr>
                <w:color w:val="000000" w:themeColor="text1"/>
              </w:rPr>
              <w:t>Lai nodrošinātu reglamentēto profesiju likuma tiesību normu atbilstību Ārstniecības likumā noteiktajam, l</w:t>
            </w:r>
            <w:r w:rsidRPr="005B564F">
              <w:rPr>
                <w:color w:val="000000" w:themeColor="text1"/>
              </w:rPr>
              <w:t xml:space="preserve">ikumprojektā </w:t>
            </w:r>
            <w:proofErr w:type="spellStart"/>
            <w:r w:rsidRPr="005B564F">
              <w:rPr>
                <w:color w:val="000000" w:themeColor="text1"/>
              </w:rPr>
              <w:t>optometrista</w:t>
            </w:r>
            <w:proofErr w:type="spellEnd"/>
            <w:r w:rsidRPr="005B564F">
              <w:rPr>
                <w:color w:val="000000" w:themeColor="text1"/>
              </w:rPr>
              <w:t xml:space="preserve"> profesija ir noteikta kā viena no reglamentētām profesijām veselības aprūpes jomā, kurā kvalifikācijas prasības nosaka akreditētas izglītības programmas un likumā noteiktajos gadījumos – profesionālās sertifikācijas noteikumi. Likumprojekta pārejas noteikumi paredz, ka</w:t>
            </w:r>
            <w:r w:rsidR="00D959FE">
              <w:rPr>
                <w:color w:val="000000" w:themeColor="text1"/>
              </w:rPr>
              <w:t xml:space="preserve"> </w:t>
            </w:r>
            <w:r w:rsidRPr="005B564F">
              <w:rPr>
                <w:color w:val="000000" w:themeColor="text1"/>
              </w:rPr>
              <w:t>attiecīgās tiesību normas stāsies spēkā Ārstniecības likumā noteiktajā termiņā - 2020. gada 1.janvārī</w:t>
            </w:r>
            <w:r w:rsidR="00BB6B98">
              <w:rPr>
                <w:color w:val="000000" w:themeColor="text1"/>
              </w:rPr>
              <w:t xml:space="preserve">, kad zaudēs spēku reglamentēto profesiju likuma 17. pants </w:t>
            </w:r>
            <w:r w:rsidR="00BB6B98" w:rsidRPr="005B564F">
              <w:rPr>
                <w:color w:val="000000" w:themeColor="text1"/>
              </w:rPr>
              <w:t xml:space="preserve"> </w:t>
            </w:r>
          </w:p>
          <w:p w14:paraId="121D47DB" w14:textId="77777777" w:rsidR="00D959FE" w:rsidRPr="005B564F" w:rsidRDefault="00D959FE" w:rsidP="00D959FE">
            <w:pPr>
              <w:pStyle w:val="liknoteik"/>
              <w:spacing w:before="0" w:beforeAutospacing="0" w:after="0" w:afterAutospacing="0"/>
              <w:jc w:val="both"/>
              <w:rPr>
                <w:color w:val="000000" w:themeColor="text1"/>
              </w:rPr>
            </w:pPr>
          </w:p>
          <w:p w14:paraId="7F157BD7" w14:textId="0BD951C5" w:rsidR="00CB03D6" w:rsidRPr="005B564F" w:rsidRDefault="00CB03D6" w:rsidP="00D959FE">
            <w:pPr>
              <w:pStyle w:val="liknoteik"/>
              <w:spacing w:before="0" w:beforeAutospacing="0" w:after="0" w:afterAutospacing="0"/>
              <w:jc w:val="both"/>
              <w:rPr>
                <w:color w:val="000000" w:themeColor="text1"/>
                <w:u w:val="single"/>
              </w:rPr>
            </w:pPr>
            <w:r w:rsidRPr="005B564F">
              <w:rPr>
                <w:color w:val="000000" w:themeColor="text1"/>
              </w:rPr>
              <w:t xml:space="preserve">     </w:t>
            </w:r>
            <w:r w:rsidRPr="005B564F">
              <w:rPr>
                <w:color w:val="000000" w:themeColor="text1"/>
                <w:u w:val="single"/>
              </w:rPr>
              <w:t>Par likumprojekta 4. pantu, kas paredz grozījumus reglamentēto profesiju likum</w:t>
            </w:r>
            <w:r w:rsidR="00CE7964">
              <w:rPr>
                <w:color w:val="000000" w:themeColor="text1"/>
                <w:u w:val="single"/>
              </w:rPr>
              <w:t>a 13. panta otrās daļ</w:t>
            </w:r>
            <w:r w:rsidR="00C31FC5">
              <w:rPr>
                <w:color w:val="000000" w:themeColor="text1"/>
                <w:u w:val="single"/>
              </w:rPr>
              <w:t>a</w:t>
            </w:r>
            <w:r w:rsidR="00CE7964">
              <w:rPr>
                <w:color w:val="000000" w:themeColor="text1"/>
                <w:u w:val="single"/>
              </w:rPr>
              <w:t>s 1.</w:t>
            </w:r>
            <w:r w:rsidR="00363BC4">
              <w:rPr>
                <w:color w:val="000000" w:themeColor="text1"/>
                <w:u w:val="single"/>
              </w:rPr>
              <w:t> </w:t>
            </w:r>
            <w:r w:rsidR="00CE7964">
              <w:rPr>
                <w:color w:val="000000" w:themeColor="text1"/>
                <w:u w:val="single"/>
              </w:rPr>
              <w:t>punktā</w:t>
            </w:r>
            <w:r w:rsidRPr="005B564F">
              <w:rPr>
                <w:color w:val="000000" w:themeColor="text1"/>
                <w:u w:val="single"/>
              </w:rPr>
              <w:t>.</w:t>
            </w:r>
          </w:p>
          <w:p w14:paraId="763CE67B"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Reglamentēto profesiju likuma 13. pantā ir noteiktas uzņemšanas prasības zobārstniecības </w:t>
            </w:r>
            <w:proofErr w:type="spellStart"/>
            <w:r w:rsidRPr="005B564F">
              <w:rPr>
                <w:color w:val="000000" w:themeColor="text1"/>
              </w:rPr>
              <w:t>apakšspecialitāšu</w:t>
            </w:r>
            <w:proofErr w:type="spellEnd"/>
            <w:r w:rsidRPr="005B564F">
              <w:rPr>
                <w:color w:val="000000" w:themeColor="text1"/>
              </w:rPr>
              <w:t xml:space="preserve"> rezidentūras izglītības programmās, neparedzot, ka minētajās programmās studijas var uzsākt personas ar “iegūtajām tiesībām” saskaņā ar direktīvas 2005/36/EK 23. un 37. pantu, kā to nosaka direktīvas 2005/36/EK 35. panta 1. punkts. Izglītību un profesionālo kvalifikāciju </w:t>
            </w:r>
            <w:r w:rsidRPr="005B564F">
              <w:rPr>
                <w:color w:val="000000" w:themeColor="text1"/>
              </w:rPr>
              <w:lastRenderedPageBreak/>
              <w:t>apliecinošos dokumentus, kuriem ir “iegūto tiesību”   statuss un kurus atzīst, piemērojot speciālo profesionālās kvalifikācijas atzīšanas sistēmu, nosaka Ministru kabineta 2005. gada 15. februāra noteikumi Nr. 125 "Noteikumi par zobārsta izglītību un profesionālo kvalifikāciju apliecinošiem dokumentiem, kurus atzīst, piemērojot speciālo profesionālās kvalifikācijas atzīšanas sistēmu". Likumprojekts paredz novērst minēto neatbilstību.</w:t>
            </w:r>
          </w:p>
          <w:p w14:paraId="71F1AD2F" w14:textId="77777777" w:rsidR="00BB6B98"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1962F4CC" w14:textId="2B22B973" w:rsidR="00CB03D6" w:rsidRPr="005B564F" w:rsidRDefault="00BB6B98"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Par likumprojekta 5., 1</w:t>
            </w:r>
            <w:r w:rsidR="008C0DB8">
              <w:rPr>
                <w:color w:val="000000" w:themeColor="text1"/>
                <w:u w:val="single"/>
              </w:rPr>
              <w:t>1</w:t>
            </w:r>
            <w:r w:rsidR="00CB03D6" w:rsidRPr="005B564F">
              <w:rPr>
                <w:color w:val="000000" w:themeColor="text1"/>
                <w:u w:val="single"/>
              </w:rPr>
              <w:t>. pantu, kas paredz grozījumus reglamentēto profesiju likuma 15. panta ceturtajā un piektajā daļā, 49. panta otrās daļ</w:t>
            </w:r>
            <w:r w:rsidR="00CB03D6">
              <w:rPr>
                <w:color w:val="000000" w:themeColor="text1"/>
                <w:u w:val="single"/>
              </w:rPr>
              <w:t>a</w:t>
            </w:r>
            <w:r w:rsidR="00CB03D6" w:rsidRPr="005B564F">
              <w:rPr>
                <w:color w:val="000000" w:themeColor="text1"/>
                <w:u w:val="single"/>
              </w:rPr>
              <w:t>s izslēgšanu.</w:t>
            </w:r>
          </w:p>
          <w:p w14:paraId="0455F02F"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Reglamentēto profesiju likuma 15. panta ceturtajā un piektajā daļā noteikto prasību – nodrošināt ar praktiskajām mācībām vismaz pusi no kopējā mācību laika un iekļaut studiju programmas saturā pacientu aprūpi mājās vecmātes izglītības programmā – nenosaka direktīva 2005/36/EK. Vecmātes izglītību un profesionālo kvalifikāciju Latvijā var iegūt augstskolas un koledžas izstrādātā un īstenotā studiju programmā, kur obligātās komponentes – teorija un prakse – tiek savstarpēji saskaņotas visā studiju procesā, bet par studiju programmas saturu un studiju plānojumu atbild augstākās izglītības iestāde. Likumprojekts paredz atteikties no šīs prasības kā nepamatota </w:t>
            </w:r>
            <w:proofErr w:type="spellStart"/>
            <w:r w:rsidRPr="005B564F">
              <w:rPr>
                <w:color w:val="000000" w:themeColor="text1"/>
              </w:rPr>
              <w:t>normatīvisma</w:t>
            </w:r>
            <w:proofErr w:type="spellEnd"/>
            <w:r w:rsidRPr="005B564F">
              <w:rPr>
                <w:color w:val="000000" w:themeColor="text1"/>
              </w:rPr>
              <w:t>. Tā kā direktīva 2005/36/EK 40. panta 1. punktā un 5.5.1. pielikumā akcentē nepieciešamību saskaņot teorētiskās un klīniskās mācību daļās, šādu normu likumprojekts paredz noteikt reglamentēto profesiju likumā.</w:t>
            </w:r>
          </w:p>
          <w:p w14:paraId="6FEBE5C8" w14:textId="7A4E9797" w:rsidR="00CB03D6" w:rsidRPr="005B564F" w:rsidRDefault="00CB03D6" w:rsidP="00AB0DBA">
            <w:pPr>
              <w:pStyle w:val="liknoteik"/>
              <w:spacing w:before="0" w:beforeAutospacing="0" w:after="0" w:afterAutospacing="0"/>
              <w:jc w:val="both"/>
              <w:rPr>
                <w:color w:val="000000" w:themeColor="text1"/>
              </w:rPr>
            </w:pPr>
            <w:r w:rsidRPr="005B564F">
              <w:rPr>
                <w:color w:val="000000" w:themeColor="text1"/>
              </w:rPr>
              <w:t xml:space="preserve">      Reglamentēto profesiju likuma 49. panta otrā daļa neatbilst direktīvas 2005/36/EK 41. pantā noteiktajām prasībām attiecībā uz profesionālās kvalifikācijas atzīšanu vecmātes profesijā. Tā kā minētās direktīvas prasības ir jau pārņemtas Ministru kabineta 2005. gada 1. marta noteikumu Nr. 149 „Noteikumi par vecmātes izglītību un profesionālo kvalifikāciju apliecinošiem dokumentiem, kurus atzīst, piemērojot speciālo profesionālās kvalifikācijas atzīšanas sistēmu” 2.4. apakšpunktā, likumprojekts paredz, ka reglamentēto profesiju likuma 49.</w:t>
            </w:r>
            <w:r w:rsidR="0087596A">
              <w:rPr>
                <w:color w:val="000000" w:themeColor="text1"/>
              </w:rPr>
              <w:t> </w:t>
            </w:r>
            <w:r w:rsidRPr="005B564F">
              <w:rPr>
                <w:color w:val="000000" w:themeColor="text1"/>
              </w:rPr>
              <w:t>panta otrā daļa tiek izslēgta, novēršot tiesību normu dublēšanos.</w:t>
            </w:r>
          </w:p>
          <w:p w14:paraId="510B264E" w14:textId="77777777" w:rsidR="00B30AB9" w:rsidRDefault="00CB03D6" w:rsidP="00AB0DBA">
            <w:pPr>
              <w:pStyle w:val="liknoteik"/>
              <w:spacing w:before="0" w:beforeAutospacing="0" w:after="0" w:afterAutospacing="0"/>
              <w:jc w:val="both"/>
              <w:rPr>
                <w:color w:val="000000" w:themeColor="text1"/>
              </w:rPr>
            </w:pPr>
            <w:r w:rsidRPr="005B564F">
              <w:rPr>
                <w:color w:val="000000" w:themeColor="text1"/>
              </w:rPr>
              <w:t xml:space="preserve">     </w:t>
            </w:r>
          </w:p>
          <w:p w14:paraId="402919DB" w14:textId="77777777" w:rsidR="00AB0DBA" w:rsidRPr="00CE42EE" w:rsidRDefault="00AB0DBA" w:rsidP="00AB0DBA">
            <w:pPr>
              <w:pStyle w:val="liknoteik"/>
              <w:spacing w:before="0" w:beforeAutospacing="0" w:after="0" w:afterAutospacing="0"/>
              <w:jc w:val="both"/>
              <w:rPr>
                <w:color w:val="000000" w:themeColor="text1"/>
                <w:u w:val="single"/>
              </w:rPr>
            </w:pPr>
            <w:r w:rsidRPr="00AB0DBA">
              <w:rPr>
                <w:color w:val="000000" w:themeColor="text1"/>
              </w:rPr>
              <w:t xml:space="preserve">     </w:t>
            </w:r>
            <w:r w:rsidRPr="00CE42EE">
              <w:rPr>
                <w:color w:val="000000" w:themeColor="text1"/>
                <w:u w:val="single"/>
              </w:rPr>
              <w:t>Par likumprojekta 11. pantu, kas paredz grozījumus reglamentēto profesiju likuma 49. panta trešajā daļā.</w:t>
            </w:r>
          </w:p>
          <w:p w14:paraId="6C86C631" w14:textId="1ED4F17D" w:rsidR="00AB0DBA" w:rsidRDefault="00AB0DBA" w:rsidP="00AB0DBA">
            <w:pPr>
              <w:pStyle w:val="liknoteik"/>
              <w:spacing w:before="0" w:beforeAutospacing="0" w:after="0" w:afterAutospacing="0"/>
              <w:jc w:val="both"/>
              <w:rPr>
                <w:color w:val="000000" w:themeColor="text1"/>
              </w:rPr>
            </w:pPr>
            <w:r>
              <w:rPr>
                <w:color w:val="000000" w:themeColor="text1"/>
              </w:rPr>
              <w:t xml:space="preserve">      </w:t>
            </w:r>
            <w:r w:rsidRPr="00AB0DBA">
              <w:rPr>
                <w:color w:val="000000" w:themeColor="text1"/>
              </w:rPr>
              <w:t>Reglamentēto profesiju likuma 49. panta trešajā daļā ir noteikts, ka farmaceita profesionālās kvalifikācijas atzīšana nedod tiesības atvērt jaunas vispārējā jeb atvērtā tipa aptiekas. Tas neatbilst direktīvas 2005/36/EK 21. panta 4. punktā noteiktajam, ka šādu izņēmumu nevar piemērot farmaceitam, kas ir atzinis savu profesionālo kvalifikāciju Latvijā un vismaz trīs gadus veicis profesionālo darbību farmaceita profesijā. Likumprojekts paredz novērst minēto neatbilstību.</w:t>
            </w:r>
          </w:p>
          <w:p w14:paraId="45FF1995" w14:textId="77777777" w:rsidR="00AB0DBA" w:rsidRDefault="00AB0DBA" w:rsidP="00AB0DBA">
            <w:pPr>
              <w:pStyle w:val="liknoteik"/>
              <w:spacing w:before="0" w:beforeAutospacing="0" w:after="0" w:afterAutospacing="0"/>
              <w:jc w:val="both"/>
              <w:rPr>
                <w:color w:val="000000" w:themeColor="text1"/>
              </w:rPr>
            </w:pPr>
          </w:p>
          <w:p w14:paraId="47DB1807" w14:textId="6E31442C" w:rsidR="00CB03D6" w:rsidRPr="005B564F" w:rsidRDefault="00B30AB9" w:rsidP="00AB0DBA">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 xml:space="preserve">Par likumprojekta </w:t>
            </w:r>
            <w:r w:rsidR="0087596A">
              <w:rPr>
                <w:color w:val="000000" w:themeColor="text1"/>
                <w:u w:val="single"/>
              </w:rPr>
              <w:t>7</w:t>
            </w:r>
            <w:r w:rsidR="00CB03D6" w:rsidRPr="005B564F">
              <w:rPr>
                <w:color w:val="000000" w:themeColor="text1"/>
                <w:u w:val="single"/>
              </w:rPr>
              <w:t xml:space="preserve">. pantu, kas paredz grozījumus reglamentēto profesiju likuma 42. panta astotajā daļā. </w:t>
            </w:r>
          </w:p>
          <w:p w14:paraId="3B358D73" w14:textId="77777777" w:rsidR="00CB03D6" w:rsidRPr="005B564F" w:rsidRDefault="00CB03D6" w:rsidP="00AB0DBA">
            <w:pPr>
              <w:pStyle w:val="liknoteik"/>
              <w:spacing w:before="0" w:beforeAutospacing="0" w:after="0" w:afterAutospacing="0"/>
              <w:jc w:val="both"/>
              <w:rPr>
                <w:color w:val="000000" w:themeColor="text1"/>
              </w:rPr>
            </w:pPr>
            <w:r w:rsidRPr="005B564F">
              <w:rPr>
                <w:color w:val="000000" w:themeColor="text1"/>
              </w:rPr>
              <w:t xml:space="preserve">     Saskaņā ar direktīvas 2005/36/EK 6. panta a) </w:t>
            </w:r>
            <w:r>
              <w:rPr>
                <w:color w:val="000000" w:themeColor="text1"/>
              </w:rPr>
              <w:t>apakšpunktu</w:t>
            </w:r>
            <w:r w:rsidRPr="005B564F">
              <w:rPr>
                <w:color w:val="000000" w:themeColor="text1"/>
              </w:rPr>
              <w:t xml:space="preserve"> īslaicīgu pakalpojumu sniedzējs ir jāatbrīvo no prasībām, kas attiecas uz atļauju izsniegšanu, reģistrāciju vai dalību profesionālā organizācijā. Valsts var noteikt automātisku pagaidu reģistrāciju vai formālu dalību kādā organizācijā tikai ar nosacījumu, ka tas nekavē un </w:t>
            </w:r>
            <w:proofErr w:type="spellStart"/>
            <w:r w:rsidRPr="005B564F">
              <w:rPr>
                <w:color w:val="000000" w:themeColor="text1"/>
              </w:rPr>
              <w:t>nesarežģī</w:t>
            </w:r>
            <w:proofErr w:type="spellEnd"/>
            <w:r w:rsidRPr="005B564F">
              <w:rPr>
                <w:color w:val="000000" w:themeColor="text1"/>
              </w:rPr>
              <w:t xml:space="preserve"> pakalpojuma sniegšanu un pakalpojumu sniedzējiem nerada papildu izmaksas. Spēkā esošās tiesību normas nenosaka īslaicīgu pakalpojumu sniedzēja reģistrāciju bez maksas, tādēļ tās neatbilst direktīvas 2005/36/EK 6. panta a) </w:t>
            </w:r>
            <w:r>
              <w:rPr>
                <w:color w:val="000000" w:themeColor="text1"/>
              </w:rPr>
              <w:t>apakš</w:t>
            </w:r>
            <w:r w:rsidRPr="005B564F">
              <w:rPr>
                <w:color w:val="000000" w:themeColor="text1"/>
              </w:rPr>
              <w:t>punktā noteiktajam. Likumprojektā šī neatbilstība tiek novērsta.</w:t>
            </w:r>
          </w:p>
          <w:p w14:paraId="083832FC" w14:textId="77777777" w:rsidR="00B30AB9"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10804481" w14:textId="73112C31" w:rsidR="00CB03D6" w:rsidRPr="005B564F" w:rsidRDefault="00B30AB9"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 xml:space="preserve">Par likumprojekta </w:t>
            </w:r>
            <w:r w:rsidR="00B05123">
              <w:rPr>
                <w:color w:val="000000" w:themeColor="text1"/>
                <w:u w:val="single"/>
              </w:rPr>
              <w:t>8</w:t>
            </w:r>
            <w:r w:rsidR="00CB03D6" w:rsidRPr="005B564F">
              <w:rPr>
                <w:color w:val="000000" w:themeColor="text1"/>
                <w:u w:val="single"/>
              </w:rPr>
              <w:t>. pantu, kas paredz grozījumus reglamentēto profesiju likuma 43.panta trešās daļas 5. punktā.</w:t>
            </w:r>
          </w:p>
          <w:p w14:paraId="23D0C688" w14:textId="3D261B23"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Reglamentēto profesiju likuma 43. pantā ir noteikti termiņi, kādos kompetentā institūcija izskata profesionālās kvalifikācijas atzīšanas iesniegumu un pieņem lēmumu. Ja profesionālās kvalifikācijas atzīšanā piemēro vispārējo profesionālās kvalifikācijas atzīšanas sistēmu, lēmuma pieņemšanas termiņš ir atšķirīgs gadījumos, kad profesionālās kvalifikācija iegūta Eiropas Savienības un Eiropas Brīvās tirdzniecības zonas dalībvalstīs vai ārpus tām.</w:t>
            </w:r>
            <w:r>
              <w:rPr>
                <w:color w:val="000000" w:themeColor="text1"/>
              </w:rPr>
              <w:t xml:space="preserve"> Eiropas Savienības un Eiropas Brīvās tirdzniecības zonu dalībvalstu statuss var mainīties, jo ikviena valsts var pieņemt lēmumu izstāties no šīm organizācijām.</w:t>
            </w:r>
            <w:r w:rsidRPr="005B564F">
              <w:rPr>
                <w:color w:val="000000" w:themeColor="text1"/>
              </w:rPr>
              <w:t xml:space="preserve"> </w:t>
            </w:r>
            <w:r>
              <w:rPr>
                <w:color w:val="000000" w:themeColor="text1"/>
              </w:rPr>
              <w:t>Piemēram, a</w:t>
            </w:r>
            <w:r w:rsidRPr="005B564F">
              <w:rPr>
                <w:color w:val="000000" w:themeColor="text1"/>
              </w:rPr>
              <w:t xml:space="preserve">tbilstoši 2016. gada 23. jūnija Apvienotās Karalistes organizētā referenduma rezultātiem plānota Lielbritānijas un Ziemeļīrijas Apvienotās Karalistes (turpmāk – Apvienotā Karaliste) izstāšanās no Eiropas Savienības jeb t.s. </w:t>
            </w:r>
            <w:proofErr w:type="spellStart"/>
            <w:r w:rsidRPr="005B564F">
              <w:rPr>
                <w:color w:val="000000" w:themeColor="text1"/>
              </w:rPr>
              <w:t>breksits</w:t>
            </w:r>
            <w:proofErr w:type="spellEnd"/>
            <w:r w:rsidRPr="005B564F">
              <w:rPr>
                <w:color w:val="000000" w:themeColor="text1"/>
              </w:rPr>
              <w:t xml:space="preserve">. Līdz ar to gadījumā, ja personas profesionālā kvalifikācija ir iegūta Apvienotajā Karalistē līdz </w:t>
            </w:r>
            <w:proofErr w:type="spellStart"/>
            <w:r w:rsidRPr="005B564F">
              <w:rPr>
                <w:color w:val="000000" w:themeColor="text1"/>
              </w:rPr>
              <w:t>breksitam</w:t>
            </w:r>
            <w:proofErr w:type="spellEnd"/>
            <w:r w:rsidRPr="005B564F">
              <w:rPr>
                <w:color w:val="000000" w:themeColor="text1"/>
              </w:rPr>
              <w:t>, ir pamatoti šīs profesionālās kvalifikācijas atzīšanai piemērot kārtību, kāda attiecināma uz Eiropas Savienības dalībvalstīs iegūto profesionālo kvalifikāciju atzīšanu.</w:t>
            </w:r>
            <w:r>
              <w:rPr>
                <w:color w:val="000000" w:themeColor="text1"/>
              </w:rPr>
              <w:t xml:space="preserve"> Šāda principa ievērošana ir Eiropas Komisijas ieteikums Eiropas Savienības dalībvalstīm</w:t>
            </w:r>
            <w:r>
              <w:rPr>
                <w:rStyle w:val="FootnoteReference"/>
                <w:rFonts w:eastAsia="Calibri"/>
                <w:color w:val="000000" w:themeColor="text1"/>
              </w:rPr>
              <w:footnoteReference w:id="3"/>
            </w:r>
            <w:r>
              <w:rPr>
                <w:color w:val="000000" w:themeColor="text1"/>
              </w:rPr>
              <w:t>.</w:t>
            </w:r>
            <w:r w:rsidRPr="005B564F">
              <w:rPr>
                <w:color w:val="000000" w:themeColor="text1"/>
              </w:rPr>
              <w:t xml:space="preserve"> Likumprojekts novērš nesamērīgu profesionālās kvalifikācijas atzīšanas ierobežošanu</w:t>
            </w:r>
            <w:r>
              <w:rPr>
                <w:color w:val="000000" w:themeColor="text1"/>
              </w:rPr>
              <w:t xml:space="preserve"> un Latvijas profesionālās kvalifikācijas atzīšanas sistēmā </w:t>
            </w:r>
            <w:r w:rsidR="008F00DA">
              <w:rPr>
                <w:color w:val="000000" w:themeColor="text1"/>
              </w:rPr>
              <w:t>piemēro</w:t>
            </w:r>
            <w:r>
              <w:rPr>
                <w:color w:val="000000" w:themeColor="text1"/>
              </w:rPr>
              <w:t xml:space="preserve"> Eiropas Komisijas ieteiktos principus.</w:t>
            </w:r>
          </w:p>
          <w:p w14:paraId="711C8AD2" w14:textId="77777777" w:rsidR="00B30AB9"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1B5D15B1" w14:textId="74D93654" w:rsidR="00CB03D6" w:rsidRPr="005B564F" w:rsidRDefault="00B30AB9" w:rsidP="00D959FE">
            <w:pPr>
              <w:pStyle w:val="liknoteik"/>
              <w:spacing w:before="0" w:beforeAutospacing="0" w:after="0" w:afterAutospacing="0"/>
              <w:jc w:val="both"/>
              <w:rPr>
                <w:color w:val="000000" w:themeColor="text1"/>
                <w:u w:val="single"/>
              </w:rPr>
            </w:pPr>
            <w:r>
              <w:rPr>
                <w:color w:val="000000" w:themeColor="text1"/>
              </w:rPr>
              <w:lastRenderedPageBreak/>
              <w:t xml:space="preserve">     </w:t>
            </w:r>
            <w:r w:rsidR="00CB03D6" w:rsidRPr="005B564F">
              <w:rPr>
                <w:color w:val="000000" w:themeColor="text1"/>
                <w:u w:val="single"/>
              </w:rPr>
              <w:t xml:space="preserve">Par likumprojekta </w:t>
            </w:r>
            <w:r w:rsidR="00B05123">
              <w:rPr>
                <w:color w:val="000000" w:themeColor="text1"/>
                <w:u w:val="single"/>
              </w:rPr>
              <w:t>9</w:t>
            </w:r>
            <w:r w:rsidR="00CB03D6" w:rsidRPr="005B564F">
              <w:rPr>
                <w:color w:val="000000" w:themeColor="text1"/>
                <w:u w:val="single"/>
              </w:rPr>
              <w:t>. pantu, kas paredz grozījumus reglamentēto profesiju likuma 44. panta pirmās daļas 4. punkta b) un c) apakšpunktā</w:t>
            </w:r>
          </w:p>
          <w:p w14:paraId="5D15E950" w14:textId="77777777" w:rsidR="00CB03D6" w:rsidRDefault="00CB03D6" w:rsidP="00D959FE">
            <w:pPr>
              <w:pStyle w:val="liknoteik"/>
              <w:spacing w:before="0" w:beforeAutospacing="0" w:after="0" w:afterAutospacing="0"/>
              <w:jc w:val="both"/>
            </w:pPr>
            <w:r w:rsidRPr="005B564F">
              <w:rPr>
                <w:color w:val="000000" w:themeColor="text1"/>
              </w:rPr>
              <w:t xml:space="preserve">     Reglamentēto profesiju likuma 44. panta pirmajā daļā ir noteikti izglītību un profesionālo kvalifikāciju apliecinošo dokumentu izvērtēšanas principi, starp kuriem nav minēts, ka gadījumos, ja pretendenta iegūtie profesionālo kvalifikāciju apliecinošie dokumenti neatbilst mītnes valsts izvirzītajām prasībām, jo tās ir paaugstinātas, bet pretendentam ir “iegūtās tiesības” veikt profesionālo darbību savā mītnes valstī, kvalifikācijas atzīšanai nepieciešamais līmenis tiek traktēts kā jaunās (paplašinātās) apmācības līmenis. Tāpat reglamentēto profesiju likums nenodrošina, ka alternatīvi kvalifikācijas iegūšanas </w:t>
            </w:r>
            <w:r w:rsidRPr="00A350B4">
              <w:t xml:space="preserve">veidi tiek skatīti tajā pašā kvalifikācijas pakāpē, kur galvenais veids. </w:t>
            </w:r>
            <w:r w:rsidRPr="00A32F20">
              <w:t xml:space="preserve"> Tas neatbilst direktīvas 2005/36/EK 12. pantam. </w:t>
            </w:r>
          </w:p>
          <w:p w14:paraId="2CA47CE1" w14:textId="3FE90598" w:rsidR="00CB03D6" w:rsidRPr="005B564F" w:rsidRDefault="00CB03D6" w:rsidP="00D959FE">
            <w:pPr>
              <w:pStyle w:val="liknoteik"/>
              <w:spacing w:before="0" w:beforeAutospacing="0" w:after="0" w:afterAutospacing="0"/>
              <w:jc w:val="both"/>
              <w:rPr>
                <w:color w:val="000000" w:themeColor="text1"/>
              </w:rPr>
            </w:pPr>
            <w:r>
              <w:t xml:space="preserve">     </w:t>
            </w:r>
            <w:r w:rsidRPr="00A350B4">
              <w:t>Izglītības likuma 1. panta 2.</w:t>
            </w:r>
            <w:r w:rsidRPr="00A350B4">
              <w:rPr>
                <w:vertAlign w:val="superscript"/>
              </w:rPr>
              <w:t>1</w:t>
            </w:r>
            <w:r w:rsidRPr="00A350B4">
              <w:t xml:space="preserve"> punkts</w:t>
            </w:r>
            <w:r>
              <w:t xml:space="preserve"> nosaka. ka</w:t>
            </w:r>
            <w:r w:rsidRPr="00A350B4">
              <w:t xml:space="preserve"> </w:t>
            </w:r>
            <w:r w:rsidRPr="00A350B4">
              <w:rPr>
                <w:bCs/>
                <w:shd w:val="clear" w:color="auto" w:fill="FFFFFF"/>
              </w:rPr>
              <w:t xml:space="preserve"> formālā izglītība</w:t>
            </w:r>
            <w:r w:rsidRPr="00A350B4">
              <w:rPr>
                <w:shd w:val="clear" w:color="auto" w:fill="FFFFFF"/>
              </w:rPr>
              <w:t> </w:t>
            </w:r>
            <w:r>
              <w:rPr>
                <w:shd w:val="clear" w:color="auto" w:fill="FFFFFF"/>
              </w:rPr>
              <w:t>ir</w:t>
            </w:r>
            <w:r w:rsidRPr="00A350B4">
              <w:rPr>
                <w:shd w:val="clear" w:color="auto" w:fill="FFFFFF"/>
              </w:rPr>
              <w:t xml:space="preserve"> sistēma, kas ietver pamatizglītības, vidējās izglītības un augstākās izglītības pakāpes, kuru programmu apguvi apliecina valsts atzīts izglītības vai profesionālās kvalifikācijas dokuments, kā arī izglītības un profesionālās kvalifikācijas dokuments</w:t>
            </w:r>
            <w:r w:rsidR="00944AB4">
              <w:rPr>
                <w:shd w:val="clear" w:color="auto" w:fill="FFFFFF"/>
              </w:rPr>
              <w:t>.</w:t>
            </w:r>
            <w:r>
              <w:rPr>
                <w:shd w:val="clear" w:color="auto" w:fill="FFFFFF"/>
              </w:rPr>
              <w:t xml:space="preserve"> </w:t>
            </w:r>
            <w:r w:rsidR="00944AB4">
              <w:rPr>
                <w:shd w:val="clear" w:color="auto" w:fill="FFFFFF"/>
              </w:rPr>
              <w:t>S</w:t>
            </w:r>
            <w:r>
              <w:rPr>
                <w:shd w:val="clear" w:color="auto" w:fill="FFFFFF"/>
              </w:rPr>
              <w:t>askaņā ar</w:t>
            </w:r>
            <w:r w:rsidR="009A39A7">
              <w:rPr>
                <w:shd w:val="clear" w:color="auto" w:fill="FFFFFF"/>
              </w:rPr>
              <w:t xml:space="preserve"> Izglītības</w:t>
            </w:r>
            <w:r>
              <w:rPr>
                <w:shd w:val="clear" w:color="auto" w:fill="FFFFFF"/>
              </w:rPr>
              <w:t xml:space="preserve"> likuma 8.</w:t>
            </w:r>
            <w:r w:rsidRPr="00A350B4">
              <w:rPr>
                <w:shd w:val="clear" w:color="auto" w:fill="FFFFFF"/>
                <w:vertAlign w:val="superscript"/>
              </w:rPr>
              <w:t>1</w:t>
            </w:r>
            <w:r>
              <w:rPr>
                <w:shd w:val="clear" w:color="auto" w:fill="FFFFFF"/>
              </w:rPr>
              <w:t xml:space="preserve"> pantu profesionālo kvalifikāciju iespējams iegūt arī ārpus formālās izglītības sistēmas. </w:t>
            </w:r>
            <w:r>
              <w:t xml:space="preserve">Likumprojektā izmantoti Izglītības likuma jēdzieni. </w:t>
            </w:r>
            <w:r w:rsidR="008F648F">
              <w:t>N</w:t>
            </w:r>
            <w:r w:rsidRPr="00A350B4">
              <w:t xml:space="preserve">o reglamentēto </w:t>
            </w:r>
            <w:r w:rsidRPr="005B564F">
              <w:rPr>
                <w:color w:val="000000" w:themeColor="text1"/>
              </w:rPr>
              <w:t>profesiju likuma 37. panta pirmās daļas 1. punkta izriet nepieciešamība pierādīt personas tiesības strādāt reglamentētajā profesijā savā mītnes valstī, tādēļ par šādu apliecinājumu kompetentās institūcijas var uzskatīt arī dokumentus, kas apliecina alternatīvā veidā</w:t>
            </w:r>
            <w:r>
              <w:rPr>
                <w:color w:val="000000" w:themeColor="text1"/>
              </w:rPr>
              <w:t>, t.i. ārpus formālās izglītības sistēmas</w:t>
            </w:r>
            <w:r w:rsidRPr="005B564F">
              <w:rPr>
                <w:color w:val="000000" w:themeColor="text1"/>
              </w:rPr>
              <w:t xml:space="preserve"> iegūtu kvalifikāciju, </w:t>
            </w:r>
            <w:r w:rsidR="008F648F">
              <w:rPr>
                <w:color w:val="000000" w:themeColor="text1"/>
              </w:rPr>
              <w:t xml:space="preserve">tomēr atsevišķos gadījumos to var pārprast, tādēļ  </w:t>
            </w:r>
            <w:r w:rsidRPr="005B564F">
              <w:rPr>
                <w:color w:val="000000" w:themeColor="text1"/>
              </w:rPr>
              <w:t>likumprojekts novērš iespējamu neskaidrību rašanos un atvieglo direktīvā 2005/36/EK noteikto profesionālās kvalifikācijas atzīšanas noteikumu piemērošanu.</w:t>
            </w:r>
          </w:p>
          <w:p w14:paraId="6144E781" w14:textId="77777777" w:rsidR="00DF2FF8" w:rsidRDefault="00DF2FF8" w:rsidP="00D959FE">
            <w:pPr>
              <w:pStyle w:val="liknoteik"/>
              <w:spacing w:before="0" w:beforeAutospacing="0" w:after="0" w:afterAutospacing="0"/>
              <w:jc w:val="both"/>
              <w:rPr>
                <w:color w:val="000000" w:themeColor="text1"/>
              </w:rPr>
            </w:pPr>
          </w:p>
          <w:p w14:paraId="3D577CE9" w14:textId="4C062F53" w:rsidR="00CB03D6" w:rsidRPr="00DF2FF8" w:rsidRDefault="00DF2FF8" w:rsidP="00D959FE">
            <w:pPr>
              <w:pStyle w:val="liknoteik"/>
              <w:spacing w:before="0" w:beforeAutospacing="0" w:after="0" w:afterAutospacing="0"/>
              <w:jc w:val="both"/>
              <w:rPr>
                <w:color w:val="000000" w:themeColor="text1"/>
              </w:rPr>
            </w:pPr>
            <w:r>
              <w:rPr>
                <w:color w:val="000000" w:themeColor="text1"/>
              </w:rPr>
              <w:t xml:space="preserve">    </w:t>
            </w:r>
            <w:r w:rsidR="00CB03D6" w:rsidRPr="005B564F">
              <w:rPr>
                <w:color w:val="000000" w:themeColor="text1"/>
              </w:rPr>
              <w:t xml:space="preserve"> </w:t>
            </w:r>
            <w:r w:rsidR="00CB03D6" w:rsidRPr="005B564F">
              <w:rPr>
                <w:color w:val="000000" w:themeColor="text1"/>
                <w:u w:val="single"/>
              </w:rPr>
              <w:t xml:space="preserve">Par likumprojekta </w:t>
            </w:r>
            <w:r w:rsidR="00B05123">
              <w:rPr>
                <w:color w:val="000000" w:themeColor="text1"/>
                <w:u w:val="single"/>
              </w:rPr>
              <w:t>9</w:t>
            </w:r>
            <w:r w:rsidR="00CB03D6" w:rsidRPr="005B564F">
              <w:rPr>
                <w:color w:val="000000" w:themeColor="text1"/>
                <w:u w:val="single"/>
              </w:rPr>
              <w:t>. pantu, kas paredz grozījumus reglamentēto profesiju likuma 44. panta trešās daļas 4. punktā.</w:t>
            </w:r>
          </w:p>
          <w:p w14:paraId="605FC0D2"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Reglamentēto profesiju likuma 44. panta trešās daļas 4. punktā ir noteikts, ka profesionālo kvalifikāciju atzīst, ja pretendenta iesniegtie dokumenti ir ne vairāk kā par vienu šā panta otrajā daļā noteikto līmeni zemāki tādā profesijā, kurai piemēro vispārējo profesionālās kvalifikācijas atzīšanas sistēmu. Tas neatbilst direktīvas 2005/36/EK 13. pantā noteiktajam</w:t>
            </w:r>
            <w:r w:rsidRPr="005B564F">
              <w:rPr>
                <w:rStyle w:val="FootnoteReference"/>
                <w:rFonts w:eastAsia="Calibri"/>
                <w:color w:val="000000" w:themeColor="text1"/>
              </w:rPr>
              <w:footnoteReference w:id="4"/>
            </w:r>
            <w:r w:rsidRPr="005B564F">
              <w:rPr>
                <w:color w:val="000000" w:themeColor="text1"/>
              </w:rPr>
              <w:t xml:space="preserve">, līdz ar to reglamentēto profesiju likumā noteiktais ierobežojums ir neatbilstošs direktīvas 2005/36/EK normām un likumprojekts paredz novērst šo neatbilstību. </w:t>
            </w:r>
          </w:p>
          <w:p w14:paraId="56A0D9E9" w14:textId="77777777" w:rsidR="00DF2FF8" w:rsidRDefault="00CB03D6" w:rsidP="00D959FE">
            <w:pPr>
              <w:pStyle w:val="liknoteik"/>
              <w:spacing w:before="0" w:beforeAutospacing="0" w:after="0" w:afterAutospacing="0"/>
              <w:jc w:val="both"/>
              <w:rPr>
                <w:color w:val="000000" w:themeColor="text1"/>
              </w:rPr>
            </w:pPr>
            <w:r w:rsidRPr="005B564F">
              <w:rPr>
                <w:color w:val="000000" w:themeColor="text1"/>
              </w:rPr>
              <w:lastRenderedPageBreak/>
              <w:t xml:space="preserve">    </w:t>
            </w:r>
          </w:p>
          <w:p w14:paraId="547531BF" w14:textId="245251E7" w:rsidR="00CB03D6" w:rsidRPr="005B564F" w:rsidRDefault="00DF2FF8"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 xml:space="preserve">Par likumprojekta </w:t>
            </w:r>
            <w:r w:rsidR="00DA2A8C">
              <w:rPr>
                <w:color w:val="000000" w:themeColor="text1"/>
                <w:u w:val="single"/>
              </w:rPr>
              <w:t>9</w:t>
            </w:r>
            <w:r w:rsidR="00CB03D6" w:rsidRPr="005B564F">
              <w:rPr>
                <w:color w:val="000000" w:themeColor="text1"/>
                <w:u w:val="single"/>
              </w:rPr>
              <w:t>. pantu, kas paredz grozījumus reglamentēto profesiju likuma 44. panta otrajā daļā.</w:t>
            </w:r>
          </w:p>
          <w:p w14:paraId="2F025716"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Direktīvas 2005/36/EK 11. pantā noteikti profesionālo kvalifikāciju līmeņi, kuru noteikšanas mērķis ir atvieglot profesionālās kvalifikācijas atzīšanu, piemērojot vispārējo profesionālās kvalifikācijas atzīšanas sistēmu, jo visās valstis tiek kvalifikācijas līmeņa noteikšanai izmantota šī vienotā klasifikācija. Reglamentēto profesiju likuma 44. panta otrajā daļā noteiktās tiesību normas ir formulētas nepietiekami precīzi, piemēram, direktīvas 2005/356/EK 11.panta b) apakšpunktā ir nošķirta vispārējā un profesionālā izglītība, c) punkta ii) apakšpunktā ir atsauce uz reglamentētu izglītību un minētas nepilna laika mācības, kā arī d) un e) punktā minētas nepilna laika mācības. Likumprojekts novērš reglamentēto profesiju likuma normu neatbilstību direktīvas 2005/36/EK 11.pantam. </w:t>
            </w:r>
          </w:p>
          <w:p w14:paraId="07D3B3A6" w14:textId="2EFCE06A"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Sīkāk paskaidrots grozījums 44. panta </w:t>
            </w:r>
            <w:r>
              <w:rPr>
                <w:color w:val="000000" w:themeColor="text1"/>
              </w:rPr>
              <w:t xml:space="preserve">otrās daļas </w:t>
            </w:r>
            <w:r w:rsidRPr="005B564F">
              <w:rPr>
                <w:color w:val="000000" w:themeColor="text1"/>
              </w:rPr>
              <w:t xml:space="preserve">3. punkta </w:t>
            </w:r>
            <w:r w:rsidR="00F65669">
              <w:rPr>
                <w:color w:val="000000" w:themeColor="text1"/>
              </w:rPr>
              <w:t>e</w:t>
            </w:r>
            <w:r w:rsidRPr="005B564F">
              <w:rPr>
                <w:color w:val="000000" w:themeColor="text1"/>
              </w:rPr>
              <w:t>) apakšpunktā: Saskaņā ar Eiropas Komisijas skaidrojumu</w:t>
            </w:r>
            <w:r w:rsidRPr="005B564F">
              <w:rPr>
                <w:rStyle w:val="FootnoteReference"/>
                <w:rFonts w:eastAsia="Calibri"/>
                <w:color w:val="000000" w:themeColor="text1"/>
              </w:rPr>
              <w:footnoteReference w:id="5"/>
            </w:r>
            <w:r w:rsidRPr="005B564F">
              <w:rPr>
                <w:color w:val="000000" w:themeColor="text1"/>
              </w:rPr>
              <w:t xml:space="preserve"> direktīvas 2005/36/EK 11.panta c) punkta ii) apakšpunktā noteiktā kvalifikācija attiecas uz tādu profesionālo kvalifikāciju gadījumiem, kas nav tieši konkrētajai profesijai nepieciešamā kvalifikācija, bet tāda, kas ir “paralēla” kvalifikācija un kas nodrošina attiecīgās reglamentētās profesijas pienākumu veikšanai atbilstošās zināšanas, prasmes un kompetences, ko apliecina pretendenta mītnes valsts kompetentās institūcijas izsniegts dokuments. Tā var būt reglamentēta izglītība vai augstākā profesionālā izglītība. Profesionālās izglītības programmas ar īpašu struktūru, kuras valsts pieņem atbilstoši šim kvalifikācijas līmenim, saskaņā ar direktīvas 2005/36/EK 59. panta 1.punktu ir jāpaziņo Eiropas Komisijai. Piemēram, Austrija ir paziņojusi attiecīgo programmu sarakstu, kurā iekļautas daudzas kvalifikācijas veselības aprūpes jomā, lauksaimniecībā, rūpniecībā, u.c. jomās</w:t>
            </w:r>
            <w:r w:rsidRPr="005B564F">
              <w:rPr>
                <w:rStyle w:val="FootnoteReference"/>
                <w:rFonts w:eastAsia="Calibri"/>
                <w:color w:val="000000" w:themeColor="text1"/>
              </w:rPr>
              <w:footnoteReference w:id="6"/>
            </w:r>
            <w:r w:rsidRPr="005B564F">
              <w:rPr>
                <w:color w:val="000000" w:themeColor="text1"/>
              </w:rPr>
              <w:t>. Šobrīd Latvijā nav noteikta neviena reglamentētās izglītības programma un profesionālās izglītības programma ar īpašu struktūru, kas atbilstu šajā punktā noteiktajām prasībām.</w:t>
            </w:r>
          </w:p>
          <w:p w14:paraId="7B5D5F89" w14:textId="77777777" w:rsidR="00C00EB2"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5F9F93CF" w14:textId="051CE117" w:rsidR="00CB03D6" w:rsidRPr="005B564F" w:rsidRDefault="00C00EB2"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Par likumprojekta 1</w:t>
            </w:r>
            <w:r w:rsidR="00DA2A8C">
              <w:rPr>
                <w:color w:val="000000" w:themeColor="text1"/>
                <w:u w:val="single"/>
              </w:rPr>
              <w:t>0</w:t>
            </w:r>
            <w:r w:rsidR="00CB03D6" w:rsidRPr="005B564F">
              <w:rPr>
                <w:color w:val="000000" w:themeColor="text1"/>
                <w:u w:val="single"/>
              </w:rPr>
              <w:t xml:space="preserve">. pantu, kas paredz grozījumus reglamentēto profesiju likuma 46. panta sestajā daļā. </w:t>
            </w:r>
          </w:p>
          <w:p w14:paraId="07F6685C" w14:textId="6EB02FD7" w:rsidR="00CB03D6" w:rsidRPr="005B564F" w:rsidRDefault="001F3E08" w:rsidP="00D959FE">
            <w:pPr>
              <w:jc w:val="both"/>
            </w:pPr>
            <w:r>
              <w:t xml:space="preserve">     </w:t>
            </w:r>
            <w:r w:rsidR="00CB03D6" w:rsidRPr="005B564F">
              <w:t xml:space="preserve">Direktīvas 2005/36/EK 3. panta 1. punkta g) apakšpunkts nosaka, ka personas, kas iziet adaptācijas periodu jeb uzraudzītu praksi, statusu attiecībā uz pienākumiem, sociālajām tiesībām, pabalstiem, atalgojumu nosaka saskaņā ar spēkā esošajiem Kopienas tiesību aktiem. Reglamentēto </w:t>
            </w:r>
            <w:r w:rsidR="00CB03D6" w:rsidRPr="005B564F">
              <w:lastRenderedPageBreak/>
              <w:t>profesiju likuma 46. panta piektajā daļā ir norādīts, ka pretendenta ieceļošanas un uzturēšanās noteikumus laikā Latvijā, kad viņš ieziet adaptācijas periodu, nosaka Imigrācijas likums, bet nav minēts regulējums, kas nosaka darba tiesisko attiecību un sociālās aizsardzības jautājumus.</w:t>
            </w:r>
          </w:p>
          <w:p w14:paraId="130E4414" w14:textId="0863715E" w:rsidR="00CB03D6" w:rsidRDefault="00CB03D6" w:rsidP="00D959FE">
            <w:pPr>
              <w:jc w:val="both"/>
            </w:pPr>
            <w:r w:rsidRPr="005B564F">
              <w:t xml:space="preserve">  No reglamentēto profesiju likuma 1. pantā minētās adaptācijas perioda definīcijas izriet, ka adaptācijas periods praksē ir pilnvērtīga nodarbinātība, bet zemākā amatā, piemēram, darbs par palīgu vai jaunāko speciālistu vecākā speciālista pārraudzībā. Līdz ar to uz šādu personu ir attiecināmi visi darba tiesiskās attiecības regulējošie normatīvie akti, sociālās garantijas utt. Uzraudzītas prakses gadījumā ar nodarbināmo personu ir slēdzams darba līgums</w:t>
            </w:r>
            <w:r w:rsidR="00CF321A">
              <w:rPr>
                <w:rStyle w:val="FootnoteReference"/>
              </w:rPr>
              <w:footnoteReference w:id="7"/>
            </w:r>
            <w:r w:rsidR="00CF321A">
              <w:t xml:space="preserve"> vai uzņēmuma līgums</w:t>
            </w:r>
            <w:r w:rsidR="00CF321A">
              <w:rPr>
                <w:rStyle w:val="FootnoteReference"/>
              </w:rPr>
              <w:footnoteReference w:id="8"/>
            </w:r>
            <w:r w:rsidRPr="005B564F">
              <w:t xml:space="preserve"> </w:t>
            </w:r>
            <w:r w:rsidR="00CF321A">
              <w:t xml:space="preserve">atkarībā no adaptācijas periodā veicamajiem uzdevumiem un sasniedzamajiem rezultātiem, </w:t>
            </w:r>
            <w:r w:rsidRPr="005B564F">
              <w:t>un līdz ar to uz darbinieku tiktu attiecināts vispārīgais regulējums saskaņā ar darba tiesiskās attiecības regulējošiem tiesību aktiem (piemēram, Darba likumu, Arodbiedrību likumu, Darba strīdu likumu, Darba aizsardzības likumu). Attiecīb</w:t>
            </w:r>
            <w:r>
              <w:t>ā</w:t>
            </w:r>
            <w:r w:rsidRPr="005B564F">
              <w:t xml:space="preserve"> uz sociālo apdrošināšanu var minēt, ka, ja ir noslēgts darba līgums, tad persona ir sociāli apdrošināta kā darba ņēmējs; ja ir noslēgts uzņēmuma līgums un persona nav reģistrēta kā saimnieciskās darbības veicēja, tad persona ir apdrošināta kā darba ņēmēja; ja ir uzņēmuma līgums un persona ir reģistrējusi saimniecisko darbību, persona ir apdrošināta kā </w:t>
            </w:r>
            <w:proofErr w:type="spellStart"/>
            <w:r w:rsidRPr="005B564F">
              <w:t>pašnodarbinātais</w:t>
            </w:r>
            <w:proofErr w:type="spellEnd"/>
            <w:r w:rsidRPr="005B564F">
              <w:t xml:space="preserve">. No Sociālo pakalpojumu un sociālās palīdzības likuma 3. panta izriet, ka adaptācijas perioda laikā pretendentiem ir tiesības uz sociālajiem pakalpojumiem un sociālo palīdzību. Grozījums reglamentēto profesiju likumā tiek veikts, lai nodrošinātu direktīvā 2005/36/EK noteikto prasību ievērošanu un veicinātu un atvieglotu tiesību normu piemērošanu un personām, uz kurām attiecas adaptācijas perioda iziešana, būtu zināms, ka viņiem ir tiesības uz darba un sociālo tiesisko aizsardzību.  </w:t>
            </w:r>
          </w:p>
          <w:p w14:paraId="3AAEE3CB" w14:textId="16FB5C9F" w:rsidR="006A5E3B" w:rsidRPr="00CE7E5A" w:rsidRDefault="006A5E3B" w:rsidP="00D959FE">
            <w:pPr>
              <w:pStyle w:val="ListParagraph"/>
              <w:widowControl w:val="0"/>
              <w:ind w:left="0"/>
              <w:jc w:val="both"/>
            </w:pPr>
            <w:bookmarkStart w:id="0" w:name="_GoBack"/>
            <w:bookmarkEnd w:id="0"/>
          </w:p>
        </w:tc>
      </w:tr>
      <w:tr w:rsidR="001B1B15" w:rsidRPr="00404CF4" w14:paraId="3C32C9BB" w14:textId="77777777" w:rsidTr="00CB03D6">
        <w:tc>
          <w:tcPr>
            <w:tcW w:w="311" w:type="pct"/>
            <w:hideMark/>
          </w:tcPr>
          <w:p w14:paraId="7068C18C" w14:textId="3FFE172C" w:rsidR="00BD5588" w:rsidRPr="00404CF4" w:rsidRDefault="00222C95" w:rsidP="00793205">
            <w:pPr>
              <w:widowControl w:val="0"/>
              <w:jc w:val="center"/>
            </w:pPr>
            <w:r w:rsidRPr="00404CF4">
              <w:lastRenderedPageBreak/>
              <w:t>3.</w:t>
            </w:r>
          </w:p>
        </w:tc>
        <w:tc>
          <w:tcPr>
            <w:tcW w:w="1479" w:type="pct"/>
            <w:hideMark/>
          </w:tcPr>
          <w:p w14:paraId="7DD5FFA2" w14:textId="77777777" w:rsidR="00BD5588" w:rsidRPr="00404CF4" w:rsidRDefault="00222C95" w:rsidP="00793205">
            <w:pPr>
              <w:widowControl w:val="0"/>
            </w:pPr>
            <w:r w:rsidRPr="00404CF4">
              <w:t>Projekta izstrādē iesaistītās institūcijas un publiskas personas kapitālsabiedrības</w:t>
            </w:r>
          </w:p>
        </w:tc>
        <w:tc>
          <w:tcPr>
            <w:tcW w:w="3210" w:type="pct"/>
          </w:tcPr>
          <w:p w14:paraId="113A685B" w14:textId="77777777" w:rsidR="00CB03D6" w:rsidRDefault="00CB03D6" w:rsidP="00CB03D6">
            <w:pPr>
              <w:rPr>
                <w:bCs/>
                <w:color w:val="000000" w:themeColor="text1"/>
              </w:rPr>
            </w:pPr>
            <w:r w:rsidRPr="005B564F">
              <w:rPr>
                <w:bCs/>
                <w:color w:val="000000" w:themeColor="text1"/>
              </w:rPr>
              <w:t xml:space="preserve">Likumprojektu ir izstrādājusi </w:t>
            </w:r>
            <w:r>
              <w:rPr>
                <w:bCs/>
                <w:color w:val="000000" w:themeColor="text1"/>
              </w:rPr>
              <w:t xml:space="preserve">Izglītības un zinātnes </w:t>
            </w:r>
            <w:r w:rsidRPr="005B564F">
              <w:rPr>
                <w:bCs/>
                <w:color w:val="000000" w:themeColor="text1"/>
              </w:rPr>
              <w:t>ministrija</w:t>
            </w:r>
            <w:r>
              <w:rPr>
                <w:bCs/>
                <w:color w:val="000000" w:themeColor="text1"/>
              </w:rPr>
              <w:t xml:space="preserve"> (turpmāk – ministrija)</w:t>
            </w:r>
            <w:r w:rsidRPr="005B564F">
              <w:rPr>
                <w:bCs/>
                <w:color w:val="000000" w:themeColor="text1"/>
              </w:rPr>
              <w:t>. Likumprojekta izstrādes laikā notika konsultācijas ar</w:t>
            </w:r>
            <w:r>
              <w:rPr>
                <w:bCs/>
                <w:color w:val="000000" w:themeColor="text1"/>
              </w:rPr>
              <w:t>:</w:t>
            </w:r>
          </w:p>
          <w:p w14:paraId="08C21A91" w14:textId="77777777" w:rsidR="00CB03D6" w:rsidRPr="005B564F" w:rsidRDefault="00CB03D6" w:rsidP="00CB03D6">
            <w:pPr>
              <w:rPr>
                <w:bCs/>
                <w:color w:val="000000" w:themeColor="text1"/>
              </w:rPr>
            </w:pPr>
            <w:r w:rsidRPr="005B564F">
              <w:rPr>
                <w:bCs/>
                <w:color w:val="000000" w:themeColor="text1"/>
              </w:rPr>
              <w:t>1) Valsts valodas centru par jēdziena “likumīgā statusa valsts” lietojumu,</w:t>
            </w:r>
          </w:p>
          <w:p w14:paraId="1981E64C" w14:textId="09AB1E8E" w:rsidR="00CB03D6" w:rsidRPr="005B564F" w:rsidRDefault="00CB03D6" w:rsidP="00CB03D6">
            <w:pPr>
              <w:rPr>
                <w:bCs/>
                <w:color w:val="000000" w:themeColor="text1"/>
              </w:rPr>
            </w:pPr>
            <w:r w:rsidRPr="005B564F">
              <w:rPr>
                <w:bCs/>
                <w:color w:val="000000" w:themeColor="text1"/>
              </w:rPr>
              <w:t>2) Labklājības ministriju par tiesību normām, kas attiecas uz personu</w:t>
            </w:r>
            <w:r w:rsidR="0067228C">
              <w:rPr>
                <w:bCs/>
                <w:color w:val="000000" w:themeColor="text1"/>
              </w:rPr>
              <w:t xml:space="preserve"> tiesībām</w:t>
            </w:r>
            <w:r w:rsidRPr="005B564F">
              <w:rPr>
                <w:bCs/>
                <w:color w:val="000000" w:themeColor="text1"/>
              </w:rPr>
              <w:t xml:space="preserve"> uz valsts sociālās apdrošināšanas </w:t>
            </w:r>
            <w:r w:rsidRPr="005B564F">
              <w:rPr>
                <w:bCs/>
                <w:color w:val="000000" w:themeColor="text1"/>
              </w:rPr>
              <w:lastRenderedPageBreak/>
              <w:t>pakalpojum</w:t>
            </w:r>
            <w:r w:rsidR="0067228C">
              <w:rPr>
                <w:bCs/>
                <w:color w:val="000000" w:themeColor="text1"/>
              </w:rPr>
              <w:t>u saņemšanu</w:t>
            </w:r>
            <w:r w:rsidRPr="005B564F">
              <w:rPr>
                <w:bCs/>
                <w:color w:val="000000" w:themeColor="text1"/>
              </w:rPr>
              <w:t xml:space="preserve"> adaptācijas perioda iziešanas laikā,</w:t>
            </w:r>
          </w:p>
          <w:p w14:paraId="276CBF3D" w14:textId="77777777" w:rsidR="00CB03D6" w:rsidRPr="005B564F" w:rsidRDefault="00CB03D6" w:rsidP="00CB03D6">
            <w:pPr>
              <w:rPr>
                <w:bCs/>
                <w:color w:val="000000" w:themeColor="text1"/>
              </w:rPr>
            </w:pPr>
            <w:r w:rsidRPr="005B564F">
              <w:rPr>
                <w:bCs/>
                <w:color w:val="000000" w:themeColor="text1"/>
              </w:rPr>
              <w:t>3) Veselības ministriju par tiesību normām attiecībā uz farmaceitu, kas atzinuši savu profesionālo kvalifikāciju Latvijā, tiesībām atvērt aptiekas,</w:t>
            </w:r>
          </w:p>
          <w:p w14:paraId="58CFEFE3" w14:textId="11F14188" w:rsidR="00161647" w:rsidRPr="00404CF4" w:rsidRDefault="00CB03D6" w:rsidP="00CB03D6">
            <w:pPr>
              <w:widowControl w:val="0"/>
            </w:pPr>
            <w:r w:rsidRPr="005B564F">
              <w:rPr>
                <w:bCs/>
                <w:color w:val="000000" w:themeColor="text1"/>
              </w:rPr>
              <w:t>4) Rīgas Stradiņa universit</w:t>
            </w:r>
            <w:r>
              <w:rPr>
                <w:bCs/>
                <w:color w:val="000000" w:themeColor="text1"/>
              </w:rPr>
              <w:t>āti</w:t>
            </w:r>
            <w:r w:rsidRPr="005B564F">
              <w:rPr>
                <w:bCs/>
                <w:color w:val="000000" w:themeColor="text1"/>
              </w:rPr>
              <w:t xml:space="preserve"> attiecībā uz uzņemšanas noteikumiem zobārsta specialitātes rezidentūras studiju programmā.</w:t>
            </w:r>
          </w:p>
        </w:tc>
      </w:tr>
      <w:tr w:rsidR="001B1B15" w:rsidRPr="00404CF4" w14:paraId="3C9FB3AC" w14:textId="77777777" w:rsidTr="00E92DFB">
        <w:tc>
          <w:tcPr>
            <w:tcW w:w="311" w:type="pct"/>
            <w:hideMark/>
          </w:tcPr>
          <w:p w14:paraId="0371E4DA" w14:textId="77777777" w:rsidR="00BD5588" w:rsidRPr="00404CF4" w:rsidRDefault="00222C95" w:rsidP="00793205">
            <w:pPr>
              <w:widowControl w:val="0"/>
              <w:jc w:val="center"/>
            </w:pPr>
            <w:r w:rsidRPr="00404CF4">
              <w:lastRenderedPageBreak/>
              <w:t>4.</w:t>
            </w:r>
          </w:p>
        </w:tc>
        <w:tc>
          <w:tcPr>
            <w:tcW w:w="1479" w:type="pct"/>
            <w:hideMark/>
          </w:tcPr>
          <w:p w14:paraId="43653179" w14:textId="77777777" w:rsidR="00BD5588" w:rsidRPr="00404CF4" w:rsidRDefault="00222C95" w:rsidP="00793205">
            <w:pPr>
              <w:widowControl w:val="0"/>
            </w:pPr>
            <w:r w:rsidRPr="00404CF4">
              <w:t>Cita informācija</w:t>
            </w:r>
          </w:p>
        </w:tc>
        <w:tc>
          <w:tcPr>
            <w:tcW w:w="3210" w:type="pct"/>
            <w:hideMark/>
          </w:tcPr>
          <w:p w14:paraId="1C27C43A" w14:textId="49C0E461" w:rsidR="00BD5588" w:rsidRPr="00404CF4" w:rsidRDefault="00222C95" w:rsidP="00EA3D31">
            <w:pPr>
              <w:widowControl w:val="0"/>
              <w:ind w:firstLine="108"/>
            </w:pPr>
            <w:r w:rsidRPr="00404CF4">
              <w:t>Nav</w:t>
            </w:r>
            <w:r w:rsidR="00EA3D31" w:rsidRPr="00404CF4">
              <w:t>.</w:t>
            </w:r>
          </w:p>
        </w:tc>
      </w:tr>
    </w:tbl>
    <w:p w14:paraId="3760D661" w14:textId="193510FE" w:rsidR="004E4DD9" w:rsidRPr="00404CF4"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rsidRPr="00404CF4" w14:paraId="29C5FFBD" w14:textId="77777777" w:rsidTr="00F54498">
        <w:tc>
          <w:tcPr>
            <w:tcW w:w="9244" w:type="dxa"/>
            <w:gridSpan w:val="3"/>
            <w:vAlign w:val="center"/>
            <w:hideMark/>
          </w:tcPr>
          <w:p w14:paraId="3EC86B37" w14:textId="77777777"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14:paraId="62721522" w14:textId="77777777" w:rsidTr="00CB03D6">
        <w:tc>
          <w:tcPr>
            <w:tcW w:w="516" w:type="dxa"/>
            <w:hideMark/>
          </w:tcPr>
          <w:p w14:paraId="2BF0B893" w14:textId="77777777" w:rsidR="00BD5588" w:rsidRPr="00404CF4" w:rsidRDefault="00222C95" w:rsidP="00E273A1">
            <w:pPr>
              <w:jc w:val="center"/>
            </w:pPr>
            <w:r w:rsidRPr="00404CF4">
              <w:t>1.</w:t>
            </w:r>
          </w:p>
        </w:tc>
        <w:tc>
          <w:tcPr>
            <w:tcW w:w="2454" w:type="dxa"/>
            <w:hideMark/>
          </w:tcPr>
          <w:p w14:paraId="4CE59ABF" w14:textId="77777777" w:rsidR="00BD5588" w:rsidRPr="00404CF4" w:rsidRDefault="00222C95" w:rsidP="00E30236">
            <w:r w:rsidRPr="00404CF4">
              <w:t xml:space="preserve">Sabiedrības </w:t>
            </w:r>
            <w:proofErr w:type="spellStart"/>
            <w:r w:rsidRPr="00404CF4">
              <w:t>mērķgrupas</w:t>
            </w:r>
            <w:proofErr w:type="spellEnd"/>
            <w:r w:rsidRPr="00404CF4">
              <w:t>, kuras tiesiskais regulējums ietekmē vai varētu ietekmēt</w:t>
            </w:r>
          </w:p>
        </w:tc>
        <w:tc>
          <w:tcPr>
            <w:tcW w:w="6274" w:type="dxa"/>
          </w:tcPr>
          <w:p w14:paraId="2728C749" w14:textId="4D0A33E6" w:rsidR="00A40F38" w:rsidRPr="00404CF4" w:rsidRDefault="009A3D99" w:rsidP="00A40F38">
            <w:pPr>
              <w:pStyle w:val="naiskr"/>
              <w:spacing w:before="0" w:after="0"/>
              <w:jc w:val="both"/>
            </w:pPr>
            <w:r>
              <w:rPr>
                <w:color w:val="000000" w:themeColor="text1"/>
              </w:rPr>
              <w:t xml:space="preserve">     </w:t>
            </w:r>
            <w:r w:rsidR="00CB03D6" w:rsidRPr="005B564F">
              <w:rPr>
                <w:color w:val="000000" w:themeColor="text1"/>
              </w:rPr>
              <w:t>Likumprojektā noteiktais attieksies uz informācijas institūcijām, institūcij</w:t>
            </w:r>
            <w:r w:rsidR="00CB03D6">
              <w:rPr>
                <w:color w:val="000000" w:themeColor="text1"/>
              </w:rPr>
              <w:t>ām</w:t>
            </w:r>
            <w:r w:rsidR="00CB03D6" w:rsidRPr="005B564F">
              <w:rPr>
                <w:color w:val="000000" w:themeColor="text1"/>
              </w:rPr>
              <w:t xml:space="preserve">, kas izsniedz profesionālās kvalifikācijas atzīšanas apliecības reglamentētajās </w:t>
            </w:r>
            <w:r w:rsidR="00CB03D6" w:rsidRPr="005B564F">
              <w:t xml:space="preserve">profesijās (turpmāk - atzīšanas institūcijas) saskaņā ar Ministru kabineta 2017. gada 19. septembra noteikumiem Nr. 566 “Noteikumi par informācijas institūcijām un institūcijām, kas izsniedz ārvalstīs iegūtās profesionālās kvalifikācijas atzīšanas apliecības reglamentētajās profesijās” (turpmāk – noteikumi Nr. 566), personām, kas profesionālo kvalifikāciju ir ieguvušas ārvalstīs un pretendē uz profesionālās kvalifikācijas </w:t>
            </w:r>
            <w:r w:rsidR="00CB03D6" w:rsidRPr="005B564F">
              <w:rPr>
                <w:color w:val="000000" w:themeColor="text1"/>
              </w:rPr>
              <w:t>atzīšanu Latvijā, lai veiktu pastāvīgu profesionālo darbību vai sniegtu īslaicīgus pakalpojumus Latvijā reglamentētajā profesijā.</w:t>
            </w:r>
          </w:p>
        </w:tc>
      </w:tr>
      <w:tr w:rsidR="001B1B15" w:rsidRPr="00404CF4" w14:paraId="4FFE8275" w14:textId="77777777" w:rsidTr="00F54498">
        <w:tc>
          <w:tcPr>
            <w:tcW w:w="516" w:type="dxa"/>
            <w:hideMark/>
          </w:tcPr>
          <w:p w14:paraId="4DA19C7B" w14:textId="0CA104D6" w:rsidR="00BD5588" w:rsidRPr="00404CF4" w:rsidRDefault="00222C95" w:rsidP="00E273A1">
            <w:pPr>
              <w:jc w:val="center"/>
            </w:pPr>
            <w:r w:rsidRPr="00404CF4">
              <w:t>2.</w:t>
            </w:r>
          </w:p>
        </w:tc>
        <w:tc>
          <w:tcPr>
            <w:tcW w:w="2454" w:type="dxa"/>
            <w:hideMark/>
          </w:tcPr>
          <w:p w14:paraId="4BFD0070" w14:textId="77777777" w:rsidR="00BD5588" w:rsidRPr="00404CF4" w:rsidRDefault="00222C95" w:rsidP="00E30236">
            <w:r w:rsidRPr="00404CF4">
              <w:t>Tiesiskā regulējuma ietekme uz tautsaimniecību un administratīvo slogu</w:t>
            </w:r>
          </w:p>
        </w:tc>
        <w:tc>
          <w:tcPr>
            <w:tcW w:w="6274" w:type="dxa"/>
            <w:hideMark/>
          </w:tcPr>
          <w:p w14:paraId="0D7A72DB" w14:textId="1B75EE0D" w:rsidR="00CB03D6" w:rsidRPr="005B564F" w:rsidRDefault="009A3D99" w:rsidP="006F25C0">
            <w:pPr>
              <w:tabs>
                <w:tab w:val="left" w:pos="7371"/>
              </w:tabs>
              <w:jc w:val="both"/>
              <w:rPr>
                <w:color w:val="000000" w:themeColor="text1"/>
              </w:rPr>
            </w:pPr>
            <w:r>
              <w:rPr>
                <w:color w:val="000000" w:themeColor="text1"/>
              </w:rPr>
              <w:t xml:space="preserve">     </w:t>
            </w:r>
            <w:r w:rsidR="00CB03D6" w:rsidRPr="005B564F">
              <w:rPr>
                <w:color w:val="000000" w:themeColor="text1"/>
              </w:rPr>
              <w:t>Likumprojektā noteiktais labvēlīgi ietekmēs uzņēmējdarbības vidi, veicinot brīva darbaspēka kustību un precizējot tiesību normas attiecībā uz profesionālo darbību reglamentētajās profesijās un profesionālās kvalifikācijas atzīšanā.</w:t>
            </w:r>
          </w:p>
          <w:p w14:paraId="2D94EB37" w14:textId="163A26FE" w:rsidR="00CB03D6" w:rsidRPr="005B564F" w:rsidRDefault="009A3D99" w:rsidP="006F25C0">
            <w:pPr>
              <w:tabs>
                <w:tab w:val="left" w:pos="7371"/>
              </w:tabs>
              <w:jc w:val="both"/>
              <w:rPr>
                <w:color w:val="000000" w:themeColor="text1"/>
              </w:rPr>
            </w:pPr>
            <w:r>
              <w:rPr>
                <w:color w:val="000000" w:themeColor="text1"/>
              </w:rPr>
              <w:t xml:space="preserve">     </w:t>
            </w:r>
            <w:r w:rsidR="00CB03D6" w:rsidRPr="005B564F">
              <w:rPr>
                <w:color w:val="000000" w:themeColor="text1"/>
              </w:rPr>
              <w:t>Administratīvais slogs nemainās, jo likumprojektā noteiktais sabiedrības grupām un institūcijām nemaina tiesības un pienākumus.</w:t>
            </w:r>
          </w:p>
          <w:p w14:paraId="4BAD3CB3" w14:textId="5E81F8EE" w:rsidR="008F3A17" w:rsidRPr="00404CF4" w:rsidRDefault="008F3A17" w:rsidP="00C07EB2">
            <w:pPr>
              <w:ind w:firstLine="108"/>
              <w:jc w:val="both"/>
            </w:pPr>
          </w:p>
        </w:tc>
      </w:tr>
      <w:tr w:rsidR="001B1B15" w:rsidRPr="00404CF4" w14:paraId="7CE4DD0A" w14:textId="77777777" w:rsidTr="00F54498">
        <w:tc>
          <w:tcPr>
            <w:tcW w:w="516" w:type="dxa"/>
            <w:hideMark/>
          </w:tcPr>
          <w:p w14:paraId="71DF9DC4" w14:textId="77777777" w:rsidR="00BD5588" w:rsidRPr="00404CF4" w:rsidRDefault="00222C95" w:rsidP="00E273A1">
            <w:pPr>
              <w:jc w:val="center"/>
            </w:pPr>
            <w:r w:rsidRPr="00404CF4">
              <w:t>3.</w:t>
            </w:r>
          </w:p>
        </w:tc>
        <w:tc>
          <w:tcPr>
            <w:tcW w:w="2454" w:type="dxa"/>
            <w:hideMark/>
          </w:tcPr>
          <w:p w14:paraId="2AB44B2F" w14:textId="77777777" w:rsidR="00BD5588" w:rsidRPr="00404CF4" w:rsidRDefault="00222C95" w:rsidP="00E30236">
            <w:r w:rsidRPr="00404CF4">
              <w:t>Administratīvo izmaksu monetārs novērtējums</w:t>
            </w:r>
          </w:p>
        </w:tc>
        <w:tc>
          <w:tcPr>
            <w:tcW w:w="6274" w:type="dxa"/>
            <w:hideMark/>
          </w:tcPr>
          <w:p w14:paraId="61B521F7" w14:textId="63A66899" w:rsidR="00BD5588" w:rsidRPr="00404CF4" w:rsidRDefault="00222C95" w:rsidP="00EA3D31">
            <w:pPr>
              <w:ind w:firstLine="108"/>
            </w:pPr>
            <w:r w:rsidRPr="00404CF4">
              <w:t>Projekts šo jomu neskar</w:t>
            </w:r>
            <w:r w:rsidR="00EA3D31" w:rsidRPr="00404CF4">
              <w:t>.</w:t>
            </w:r>
          </w:p>
        </w:tc>
      </w:tr>
      <w:tr w:rsidR="001B1B15" w:rsidRPr="00404CF4" w14:paraId="3F608AE8" w14:textId="77777777" w:rsidTr="00F54498">
        <w:tc>
          <w:tcPr>
            <w:tcW w:w="516" w:type="dxa"/>
            <w:hideMark/>
          </w:tcPr>
          <w:p w14:paraId="7300C071" w14:textId="77777777" w:rsidR="00BD5588" w:rsidRPr="00404CF4" w:rsidRDefault="00222C95" w:rsidP="00E273A1">
            <w:pPr>
              <w:jc w:val="center"/>
            </w:pPr>
            <w:r w:rsidRPr="00404CF4">
              <w:t>4.</w:t>
            </w:r>
          </w:p>
        </w:tc>
        <w:tc>
          <w:tcPr>
            <w:tcW w:w="2454" w:type="dxa"/>
            <w:hideMark/>
          </w:tcPr>
          <w:p w14:paraId="7EE399F8" w14:textId="77777777" w:rsidR="00BD5588" w:rsidRPr="00404CF4" w:rsidRDefault="00222C95" w:rsidP="00E273A1">
            <w:r w:rsidRPr="00404CF4">
              <w:t>Atbilstības izmaksu monetārs novērtējums</w:t>
            </w:r>
          </w:p>
        </w:tc>
        <w:tc>
          <w:tcPr>
            <w:tcW w:w="6274" w:type="dxa"/>
            <w:hideMark/>
          </w:tcPr>
          <w:p w14:paraId="7C96C716" w14:textId="0207B244" w:rsidR="00BD5588" w:rsidRPr="00404CF4" w:rsidRDefault="00222C95" w:rsidP="00EA3D31">
            <w:pPr>
              <w:ind w:firstLine="108"/>
            </w:pPr>
            <w:r w:rsidRPr="00404CF4">
              <w:t>Projekts šo jomu neskar</w:t>
            </w:r>
            <w:r w:rsidR="00EA3D31" w:rsidRPr="00404CF4">
              <w:t>.</w:t>
            </w:r>
          </w:p>
        </w:tc>
      </w:tr>
      <w:tr w:rsidR="001B1B15" w:rsidRPr="00404CF4" w14:paraId="2E8CF3F3" w14:textId="77777777" w:rsidTr="00F54498">
        <w:tc>
          <w:tcPr>
            <w:tcW w:w="516" w:type="dxa"/>
            <w:hideMark/>
          </w:tcPr>
          <w:p w14:paraId="75BDC01E" w14:textId="77777777" w:rsidR="00BD5588" w:rsidRPr="00404CF4" w:rsidRDefault="00222C95" w:rsidP="00E273A1">
            <w:pPr>
              <w:jc w:val="center"/>
            </w:pPr>
            <w:r w:rsidRPr="00404CF4">
              <w:t>5.</w:t>
            </w:r>
          </w:p>
        </w:tc>
        <w:tc>
          <w:tcPr>
            <w:tcW w:w="2454" w:type="dxa"/>
            <w:hideMark/>
          </w:tcPr>
          <w:p w14:paraId="0B8036F0" w14:textId="77777777" w:rsidR="00BD5588" w:rsidRPr="00404CF4" w:rsidRDefault="00222C95" w:rsidP="00E273A1">
            <w:r w:rsidRPr="00404CF4">
              <w:t>Cita informācija</w:t>
            </w:r>
          </w:p>
        </w:tc>
        <w:tc>
          <w:tcPr>
            <w:tcW w:w="6274" w:type="dxa"/>
            <w:hideMark/>
          </w:tcPr>
          <w:p w14:paraId="735C0EEC" w14:textId="77777777" w:rsidR="00BD5588" w:rsidRPr="00404CF4" w:rsidRDefault="00222C95" w:rsidP="00EA3D31">
            <w:pPr>
              <w:ind w:firstLine="108"/>
            </w:pPr>
            <w:r w:rsidRPr="00404CF4">
              <w:t>Nav</w:t>
            </w:r>
            <w:r w:rsidR="00EA3D31" w:rsidRPr="00404CF4">
              <w:t>.</w:t>
            </w:r>
          </w:p>
          <w:p w14:paraId="50C8485D" w14:textId="22215239" w:rsidR="00161647" w:rsidRPr="00404CF4" w:rsidRDefault="00161647" w:rsidP="00EA3D31">
            <w:pPr>
              <w:ind w:firstLine="108"/>
            </w:pPr>
          </w:p>
        </w:tc>
      </w:tr>
    </w:tbl>
    <w:p w14:paraId="5839BD9A" w14:textId="4B0EFE0D" w:rsidR="004E4DD9" w:rsidRPr="00404CF4"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1B1B15" w:rsidRPr="00404CF4" w14:paraId="54C7630B"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404CF4" w:rsidRDefault="00222C95" w:rsidP="00113C64">
            <w:pPr>
              <w:ind w:right="-34"/>
              <w:jc w:val="center"/>
              <w:rPr>
                <w:b/>
              </w:rPr>
            </w:pPr>
            <w:r w:rsidRPr="00404CF4">
              <w:rPr>
                <w:b/>
              </w:rPr>
              <w:t>III. Tiesību akta projekta ietekme uz valsts budžetu un pašvaldību budžetiem</w:t>
            </w:r>
          </w:p>
        </w:tc>
      </w:tr>
      <w:tr w:rsidR="001B1B15" w:rsidRPr="00404CF4" w14:paraId="1D4643D9"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404CF4" w:rsidRDefault="00222C95" w:rsidP="00113C64">
            <w:pPr>
              <w:ind w:right="-34"/>
              <w:jc w:val="center"/>
            </w:pPr>
            <w:r w:rsidRPr="00404CF4">
              <w:t>Projekts šo jomu neskar</w:t>
            </w:r>
          </w:p>
        </w:tc>
      </w:tr>
    </w:tbl>
    <w:p w14:paraId="21060955" w14:textId="373017D4" w:rsidR="004E4DD9" w:rsidRPr="00404CF4" w:rsidRDefault="004E4DD9" w:rsidP="00113C64">
      <w:pPr>
        <w:pStyle w:val="Title"/>
        <w:spacing w:before="130" w:line="260" w:lineRule="exact"/>
        <w:jc w:val="both"/>
        <w:rPr>
          <w:sz w:val="24"/>
          <w:szCs w:val="24"/>
        </w:rPr>
      </w:pPr>
    </w:p>
    <w:tbl>
      <w:tblPr>
        <w:tblW w:w="51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41"/>
        <w:gridCol w:w="35"/>
      </w:tblGrid>
      <w:tr w:rsidR="001B1B15" w:rsidRPr="00404CF4" w14:paraId="746D8DC7" w14:textId="77777777" w:rsidTr="00CB03D6">
        <w:trPr>
          <w:gridAfter w:val="1"/>
          <w:wAfter w:w="35" w:type="dxa"/>
          <w:cantSplit/>
        </w:trPr>
        <w:tc>
          <w:tcPr>
            <w:tcW w:w="9211" w:type="dxa"/>
            <w:gridSpan w:val="3"/>
            <w:vAlign w:val="center"/>
            <w:hideMark/>
          </w:tcPr>
          <w:p w14:paraId="30F65026" w14:textId="77777777" w:rsidR="009878D6" w:rsidRPr="00404CF4" w:rsidRDefault="00222C95" w:rsidP="00293120">
            <w:pPr>
              <w:jc w:val="center"/>
              <w:rPr>
                <w:b/>
                <w:bCs/>
              </w:rPr>
            </w:pPr>
            <w:r w:rsidRPr="00404CF4">
              <w:rPr>
                <w:b/>
                <w:bCs/>
              </w:rPr>
              <w:t>IV. Tiesību akta projekta ietekme uz spēkā esošo tiesību normu sistēmu</w:t>
            </w:r>
          </w:p>
        </w:tc>
      </w:tr>
      <w:tr w:rsidR="00CB03D6" w:rsidRPr="00404CF4" w14:paraId="458043FC" w14:textId="77777777" w:rsidTr="00CB03D6">
        <w:tc>
          <w:tcPr>
            <w:tcW w:w="516" w:type="dxa"/>
            <w:hideMark/>
          </w:tcPr>
          <w:p w14:paraId="1E36463C" w14:textId="7AA59B47" w:rsidR="00CB03D6" w:rsidRPr="00404CF4" w:rsidRDefault="00CB03D6" w:rsidP="00CB03D6">
            <w:pPr>
              <w:jc w:val="center"/>
            </w:pPr>
            <w:r w:rsidRPr="002610AC">
              <w:rPr>
                <w:color w:val="000000" w:themeColor="text1"/>
              </w:rPr>
              <w:t>1.</w:t>
            </w:r>
          </w:p>
        </w:tc>
        <w:tc>
          <w:tcPr>
            <w:tcW w:w="2454" w:type="dxa"/>
            <w:hideMark/>
          </w:tcPr>
          <w:p w14:paraId="2AB8A3A4" w14:textId="6CA687CA" w:rsidR="00CB03D6" w:rsidRPr="002610AC" w:rsidRDefault="00982525" w:rsidP="00CB03D6">
            <w:pPr>
              <w:autoSpaceDE w:val="0"/>
              <w:autoSpaceDN w:val="0"/>
              <w:adjustRightInd w:val="0"/>
              <w:rPr>
                <w:color w:val="000000" w:themeColor="text1"/>
              </w:rPr>
            </w:pPr>
            <w:r>
              <w:rPr>
                <w:color w:val="000000" w:themeColor="text1"/>
              </w:rPr>
              <w:t>S</w:t>
            </w:r>
            <w:r w:rsidR="00CB03D6" w:rsidRPr="002610AC">
              <w:rPr>
                <w:color w:val="000000" w:themeColor="text1"/>
              </w:rPr>
              <w:t>aistītie tiesību aktu</w:t>
            </w:r>
          </w:p>
          <w:p w14:paraId="086AA180" w14:textId="77777777" w:rsidR="00CB03D6" w:rsidRPr="002610AC" w:rsidRDefault="00CB03D6" w:rsidP="00CB03D6">
            <w:pPr>
              <w:autoSpaceDE w:val="0"/>
              <w:autoSpaceDN w:val="0"/>
              <w:adjustRightInd w:val="0"/>
              <w:rPr>
                <w:color w:val="000000" w:themeColor="text1"/>
              </w:rPr>
            </w:pPr>
            <w:r w:rsidRPr="002610AC">
              <w:rPr>
                <w:color w:val="000000" w:themeColor="text1"/>
              </w:rPr>
              <w:t>projekti</w:t>
            </w:r>
          </w:p>
          <w:p w14:paraId="23313574" w14:textId="3E42FB8A" w:rsidR="00CB03D6" w:rsidRPr="00404CF4" w:rsidRDefault="00CB03D6" w:rsidP="00CB03D6"/>
        </w:tc>
        <w:tc>
          <w:tcPr>
            <w:tcW w:w="6276" w:type="dxa"/>
            <w:gridSpan w:val="2"/>
            <w:hideMark/>
          </w:tcPr>
          <w:p w14:paraId="70213878" w14:textId="27D158D8" w:rsidR="00CB03D6" w:rsidRPr="00404CF4" w:rsidRDefault="00AD670F" w:rsidP="006F25C0">
            <w:pPr>
              <w:ind w:firstLine="108"/>
              <w:jc w:val="both"/>
            </w:pPr>
            <w:r>
              <w:rPr>
                <w:color w:val="000000"/>
              </w:rPr>
              <w:t xml:space="preserve">     </w:t>
            </w:r>
            <w:r w:rsidR="00CB03D6" w:rsidRPr="002610AC">
              <w:rPr>
                <w:color w:val="000000"/>
              </w:rPr>
              <w:t>Nepieciešam</w:t>
            </w:r>
            <w:r w:rsidR="00714306">
              <w:rPr>
                <w:color w:val="000000"/>
              </w:rPr>
              <w:t>s izstrādāt jaunus Ministru kabineta noteikumus, kas tiks izdoti saskaņā ar reglamentēto profesiju likuma 36. panta 9. punktu.</w:t>
            </w:r>
            <w:r w:rsidR="00CB03D6" w:rsidRPr="002610AC">
              <w:rPr>
                <w:color w:val="000000"/>
              </w:rPr>
              <w:t xml:space="preserve"> </w:t>
            </w:r>
            <w:r>
              <w:t xml:space="preserve">   </w:t>
            </w:r>
            <w:r w:rsidR="00CB03D6">
              <w:t>Nepieciešami grozījumi Ministru kabineta 2016. </w:t>
            </w:r>
            <w:r w:rsidR="00CB03D6" w:rsidRPr="00942519">
              <w:t xml:space="preserve">gada 28. jūnija noteikumos Nr. 419 “Noteikumi par informācijas apmaiņas un uzraudzības kārtību Iekšējā tirgus </w:t>
            </w:r>
            <w:r w:rsidR="00CB03D6" w:rsidRPr="00942519">
              <w:lastRenderedPageBreak/>
              <w:t>informācijas sistēmas ietvaros, informācijas apmaiņā iesaistīto iestāžu atbildību un Eiropas profesionālās kartes izdošanas kārtību”</w:t>
            </w:r>
            <w:r w:rsidR="00CB03D6">
              <w:rPr>
                <w:color w:val="000000"/>
              </w:rPr>
              <w:t>, paredzot precizēt, kādus dokumentus ir jāiesniedz Eiropas profesionālās kartes pretendentam, ņemot vērā, ka likumprojekts paredz to, ka ne visās reglamentētajās profesijās īslaicīgu pakalpojumu sniedzējam ir jāiesniedz vieni un tie paši dokumenti.</w:t>
            </w:r>
          </w:p>
        </w:tc>
      </w:tr>
      <w:tr w:rsidR="00CB03D6" w:rsidRPr="00404CF4" w14:paraId="5B677A5D" w14:textId="77777777" w:rsidTr="00CB03D6">
        <w:tc>
          <w:tcPr>
            <w:tcW w:w="516" w:type="dxa"/>
          </w:tcPr>
          <w:p w14:paraId="08BE4964" w14:textId="1D6AB627" w:rsidR="00CB03D6" w:rsidRPr="00404CF4" w:rsidRDefault="00CB03D6" w:rsidP="00CB03D6">
            <w:pPr>
              <w:jc w:val="center"/>
            </w:pPr>
            <w:r w:rsidRPr="005B564F">
              <w:rPr>
                <w:color w:val="000000" w:themeColor="text1"/>
              </w:rPr>
              <w:lastRenderedPageBreak/>
              <w:t>2.</w:t>
            </w:r>
          </w:p>
        </w:tc>
        <w:tc>
          <w:tcPr>
            <w:tcW w:w="2454" w:type="dxa"/>
          </w:tcPr>
          <w:p w14:paraId="0712339C" w14:textId="21DAA932" w:rsidR="00CB03D6" w:rsidRPr="00404CF4" w:rsidRDefault="00CB03D6" w:rsidP="00CB03D6">
            <w:r w:rsidRPr="005B564F">
              <w:rPr>
                <w:color w:val="000000" w:themeColor="text1"/>
              </w:rPr>
              <w:t>Atbildīgā institūcija</w:t>
            </w:r>
          </w:p>
        </w:tc>
        <w:tc>
          <w:tcPr>
            <w:tcW w:w="6276" w:type="dxa"/>
            <w:gridSpan w:val="2"/>
          </w:tcPr>
          <w:p w14:paraId="60529693" w14:textId="5C99B163" w:rsidR="00CB03D6" w:rsidRPr="00404CF4" w:rsidRDefault="00CB03D6" w:rsidP="00CB03D6">
            <w:pPr>
              <w:ind w:firstLine="108"/>
            </w:pPr>
            <w:r w:rsidRPr="005B564F">
              <w:rPr>
                <w:color w:val="000000" w:themeColor="text1"/>
              </w:rPr>
              <w:t xml:space="preserve">Ministrija. </w:t>
            </w:r>
          </w:p>
        </w:tc>
      </w:tr>
      <w:tr w:rsidR="00CB03D6" w:rsidRPr="00404CF4" w14:paraId="1AE24A69" w14:textId="77777777" w:rsidTr="00CB03D6">
        <w:tc>
          <w:tcPr>
            <w:tcW w:w="516" w:type="dxa"/>
          </w:tcPr>
          <w:p w14:paraId="4A209D52" w14:textId="764D5763" w:rsidR="00CB03D6" w:rsidRPr="005B564F" w:rsidRDefault="00CB03D6" w:rsidP="00CB03D6">
            <w:pPr>
              <w:jc w:val="center"/>
              <w:rPr>
                <w:color w:val="000000" w:themeColor="text1"/>
              </w:rPr>
            </w:pPr>
            <w:r>
              <w:rPr>
                <w:color w:val="000000" w:themeColor="text1"/>
              </w:rPr>
              <w:t xml:space="preserve">3. </w:t>
            </w:r>
          </w:p>
        </w:tc>
        <w:tc>
          <w:tcPr>
            <w:tcW w:w="2454" w:type="dxa"/>
          </w:tcPr>
          <w:p w14:paraId="6040286E" w14:textId="799ADF5E" w:rsidR="00CB03D6" w:rsidRPr="005B564F" w:rsidRDefault="00CB03D6" w:rsidP="00CB03D6">
            <w:pPr>
              <w:rPr>
                <w:color w:val="000000" w:themeColor="text1"/>
              </w:rPr>
            </w:pPr>
            <w:r>
              <w:rPr>
                <w:color w:val="000000" w:themeColor="text1"/>
              </w:rPr>
              <w:t>Cita informācija</w:t>
            </w:r>
          </w:p>
        </w:tc>
        <w:tc>
          <w:tcPr>
            <w:tcW w:w="6276" w:type="dxa"/>
            <w:gridSpan w:val="2"/>
          </w:tcPr>
          <w:p w14:paraId="185BF568" w14:textId="4E0778F2" w:rsidR="00CB03D6" w:rsidRPr="005B564F" w:rsidRDefault="00CB03D6" w:rsidP="00CB03D6">
            <w:pPr>
              <w:ind w:firstLine="108"/>
              <w:rPr>
                <w:color w:val="000000" w:themeColor="text1"/>
              </w:rPr>
            </w:pPr>
            <w:r>
              <w:rPr>
                <w:color w:val="000000" w:themeColor="text1"/>
              </w:rPr>
              <w:t xml:space="preserve">Nav </w:t>
            </w:r>
          </w:p>
        </w:tc>
      </w:tr>
    </w:tbl>
    <w:p w14:paraId="3BD35BCA" w14:textId="77777777" w:rsidR="00161647" w:rsidRPr="00404CF4" w:rsidRDefault="00161647" w:rsidP="00B96E3C">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1B1B15" w:rsidRPr="00404CF4" w14:paraId="64433338" w14:textId="77777777" w:rsidTr="00E92DFB">
        <w:tc>
          <w:tcPr>
            <w:tcW w:w="5000" w:type="pct"/>
            <w:gridSpan w:val="3"/>
            <w:vAlign w:val="center"/>
            <w:hideMark/>
          </w:tcPr>
          <w:p w14:paraId="73642743" w14:textId="77777777"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14:paraId="77BC0C8A" w14:textId="77777777" w:rsidTr="006F25C0">
        <w:tc>
          <w:tcPr>
            <w:tcW w:w="306" w:type="pct"/>
            <w:hideMark/>
          </w:tcPr>
          <w:p w14:paraId="0110CB2E" w14:textId="77777777" w:rsidR="009878D6" w:rsidRPr="00404CF4" w:rsidRDefault="00222C95" w:rsidP="00293120">
            <w:pPr>
              <w:jc w:val="center"/>
            </w:pPr>
            <w:r w:rsidRPr="00404CF4">
              <w:t>1.</w:t>
            </w:r>
          </w:p>
        </w:tc>
        <w:tc>
          <w:tcPr>
            <w:tcW w:w="1307" w:type="pct"/>
            <w:hideMark/>
          </w:tcPr>
          <w:p w14:paraId="7C4F6366" w14:textId="77777777" w:rsidR="009878D6" w:rsidRPr="00404CF4" w:rsidRDefault="00222C95" w:rsidP="00293120">
            <w:r w:rsidRPr="00404CF4">
              <w:t>Saistības pret Eiropas Savienību</w:t>
            </w:r>
          </w:p>
        </w:tc>
        <w:tc>
          <w:tcPr>
            <w:tcW w:w="3387" w:type="pct"/>
            <w:hideMark/>
          </w:tcPr>
          <w:p w14:paraId="3723E95B" w14:textId="1881E244" w:rsidR="00161647" w:rsidRPr="009125B3" w:rsidRDefault="009125B3" w:rsidP="009125B3">
            <w:pPr>
              <w:rPr>
                <w:color w:val="000000" w:themeColor="text1"/>
              </w:rPr>
            </w:pPr>
            <w:r w:rsidRPr="005B564F">
              <w:rPr>
                <w:color w:val="000000" w:themeColor="text1"/>
              </w:rPr>
              <w:t xml:space="preserve">Ar likumprojektu tiek pārņemtas </w:t>
            </w:r>
            <w:r w:rsidRPr="005B564F">
              <w:rPr>
                <w:bCs/>
                <w:color w:val="000000" w:themeColor="text1"/>
              </w:rPr>
              <w:t>direktīvas 2013/55/ES un direktīvas 2005/36/EK tiesību normas</w:t>
            </w:r>
            <w:r w:rsidRPr="005B564F">
              <w:rPr>
                <w:color w:val="000000" w:themeColor="text1"/>
              </w:rPr>
              <w:t>.</w:t>
            </w:r>
          </w:p>
        </w:tc>
      </w:tr>
      <w:tr w:rsidR="001B1B15" w:rsidRPr="00404CF4" w14:paraId="5F862B32" w14:textId="77777777" w:rsidTr="006F25C0">
        <w:tc>
          <w:tcPr>
            <w:tcW w:w="306" w:type="pct"/>
            <w:hideMark/>
          </w:tcPr>
          <w:p w14:paraId="043A0B17" w14:textId="77777777" w:rsidR="009878D6" w:rsidRPr="00404CF4" w:rsidRDefault="00222C95" w:rsidP="00293120">
            <w:pPr>
              <w:jc w:val="center"/>
            </w:pPr>
            <w:r w:rsidRPr="00404CF4">
              <w:t>2.</w:t>
            </w:r>
          </w:p>
        </w:tc>
        <w:tc>
          <w:tcPr>
            <w:tcW w:w="1307" w:type="pct"/>
            <w:hideMark/>
          </w:tcPr>
          <w:p w14:paraId="41C815B2" w14:textId="77777777" w:rsidR="009878D6" w:rsidRPr="00404CF4" w:rsidRDefault="00222C95" w:rsidP="00293120">
            <w:r w:rsidRPr="00404CF4">
              <w:t>Citas starptautiskās saistības</w:t>
            </w:r>
          </w:p>
        </w:tc>
        <w:tc>
          <w:tcPr>
            <w:tcW w:w="3387" w:type="pct"/>
            <w:hideMark/>
          </w:tcPr>
          <w:p w14:paraId="33F52B2D" w14:textId="16F46930" w:rsidR="009878D6" w:rsidRPr="00404CF4" w:rsidRDefault="009125B3" w:rsidP="00E96134">
            <w:pPr>
              <w:ind w:firstLine="108"/>
            </w:pPr>
            <w:r>
              <w:t>Nav.</w:t>
            </w:r>
          </w:p>
        </w:tc>
      </w:tr>
      <w:tr w:rsidR="001B1B15" w:rsidRPr="00404CF4" w14:paraId="769511D8" w14:textId="77777777" w:rsidTr="006F25C0">
        <w:tc>
          <w:tcPr>
            <w:tcW w:w="306" w:type="pct"/>
            <w:hideMark/>
          </w:tcPr>
          <w:p w14:paraId="393412CD" w14:textId="77777777" w:rsidR="009878D6" w:rsidRPr="00404CF4" w:rsidRDefault="00222C95" w:rsidP="00293120">
            <w:pPr>
              <w:jc w:val="center"/>
            </w:pPr>
            <w:r w:rsidRPr="00404CF4">
              <w:t>3.</w:t>
            </w:r>
          </w:p>
        </w:tc>
        <w:tc>
          <w:tcPr>
            <w:tcW w:w="1307" w:type="pct"/>
            <w:hideMark/>
          </w:tcPr>
          <w:p w14:paraId="1DC2230F" w14:textId="77777777" w:rsidR="009878D6" w:rsidRPr="00404CF4" w:rsidRDefault="00222C95" w:rsidP="00293120">
            <w:r w:rsidRPr="00404CF4">
              <w:t>Cita informācija</w:t>
            </w:r>
          </w:p>
        </w:tc>
        <w:tc>
          <w:tcPr>
            <w:tcW w:w="3387" w:type="pct"/>
            <w:hideMark/>
          </w:tcPr>
          <w:p w14:paraId="3BC7AF18" w14:textId="77777777" w:rsidR="009878D6" w:rsidRPr="00404CF4" w:rsidRDefault="00222C95" w:rsidP="00EA3D31">
            <w:pPr>
              <w:ind w:firstLine="108"/>
            </w:pPr>
            <w:r w:rsidRPr="00404CF4">
              <w:t>Nav.</w:t>
            </w:r>
          </w:p>
        </w:tc>
      </w:tr>
    </w:tbl>
    <w:p w14:paraId="15F33BDE" w14:textId="06A30629" w:rsidR="004E4DD9" w:rsidRPr="00404CF4" w:rsidRDefault="004E4DD9" w:rsidP="004E4DD9">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1890"/>
        <w:gridCol w:w="1888"/>
        <w:gridCol w:w="379"/>
        <w:gridCol w:w="2128"/>
      </w:tblGrid>
      <w:tr w:rsidR="00D04073" w:rsidRPr="00404CF4" w14:paraId="79343063" w14:textId="77777777" w:rsidTr="00E92DFB">
        <w:trPr>
          <w:cantSplit/>
        </w:trPr>
        <w:tc>
          <w:tcPr>
            <w:tcW w:w="5000" w:type="pct"/>
            <w:gridSpan w:val="5"/>
            <w:vAlign w:val="center"/>
            <w:hideMark/>
          </w:tcPr>
          <w:p w14:paraId="0BBD5360" w14:textId="77777777" w:rsidR="00BD5588" w:rsidRPr="00404CF4" w:rsidRDefault="00222C95" w:rsidP="00E273A1">
            <w:pPr>
              <w:jc w:val="center"/>
              <w:rPr>
                <w:b/>
                <w:bCs/>
              </w:rPr>
            </w:pPr>
            <w:r w:rsidRPr="00404CF4">
              <w:rPr>
                <w:b/>
                <w:bCs/>
              </w:rPr>
              <w:t>1. tabula</w:t>
            </w:r>
            <w:r w:rsidRPr="00404CF4">
              <w:rPr>
                <w:b/>
                <w:bCs/>
              </w:rPr>
              <w:br/>
              <w:t>Tiesību akta projekta atbilstība ES tiesību aktiem</w:t>
            </w:r>
          </w:p>
        </w:tc>
      </w:tr>
      <w:tr w:rsidR="00D04073" w:rsidRPr="00404CF4" w14:paraId="12BF6B27" w14:textId="77777777" w:rsidTr="00E92DFB">
        <w:trPr>
          <w:cantSplit/>
        </w:trPr>
        <w:tc>
          <w:tcPr>
            <w:tcW w:w="1588" w:type="pct"/>
            <w:hideMark/>
          </w:tcPr>
          <w:p w14:paraId="62312DBD" w14:textId="77777777" w:rsidR="00BD5588" w:rsidRPr="00404CF4" w:rsidRDefault="00222C95" w:rsidP="00E273A1">
            <w:r w:rsidRPr="00404CF4">
              <w:t>Attiecīgā ES tiesību akta datums, numurs un nosaukums</w:t>
            </w:r>
          </w:p>
        </w:tc>
        <w:tc>
          <w:tcPr>
            <w:tcW w:w="3412" w:type="pct"/>
            <w:gridSpan w:val="4"/>
            <w:hideMark/>
          </w:tcPr>
          <w:p w14:paraId="7140B063" w14:textId="3F3810D3" w:rsidR="004E4DD9" w:rsidRPr="00404CF4" w:rsidRDefault="00D74393" w:rsidP="00E273A1">
            <w:r w:rsidRPr="00404CF4">
              <w:t>Direktīva 2005/36/EK</w:t>
            </w:r>
            <w:r w:rsidR="002F4583">
              <w:t xml:space="preserve">, </w:t>
            </w:r>
            <w:r w:rsidR="002F4583" w:rsidRPr="002F4583">
              <w:t>regula 2015/983</w:t>
            </w:r>
          </w:p>
          <w:p w14:paraId="13B49B88" w14:textId="426D2C13" w:rsidR="004E4DD9" w:rsidRPr="00404CF4" w:rsidRDefault="004E4DD9" w:rsidP="00E273A1"/>
        </w:tc>
      </w:tr>
      <w:tr w:rsidR="00D04073" w:rsidRPr="00404CF4" w14:paraId="7A40BF27" w14:textId="77777777" w:rsidTr="00E92DFB">
        <w:trPr>
          <w:cantSplit/>
        </w:trPr>
        <w:tc>
          <w:tcPr>
            <w:tcW w:w="1588" w:type="pct"/>
            <w:vAlign w:val="center"/>
            <w:hideMark/>
          </w:tcPr>
          <w:p w14:paraId="547E7A3A" w14:textId="77777777" w:rsidR="00BD5588" w:rsidRPr="00404CF4" w:rsidRDefault="00222C95" w:rsidP="00E273A1">
            <w:pPr>
              <w:jc w:val="center"/>
            </w:pPr>
            <w:r w:rsidRPr="00404CF4">
              <w:t>A</w:t>
            </w:r>
          </w:p>
        </w:tc>
        <w:tc>
          <w:tcPr>
            <w:tcW w:w="1026" w:type="pct"/>
            <w:vAlign w:val="center"/>
            <w:hideMark/>
          </w:tcPr>
          <w:p w14:paraId="1323F2B7" w14:textId="77777777" w:rsidR="00BD5588" w:rsidRPr="00404CF4" w:rsidRDefault="00222C95" w:rsidP="00E273A1">
            <w:pPr>
              <w:jc w:val="center"/>
            </w:pPr>
            <w:r w:rsidRPr="00404CF4">
              <w:t>B</w:t>
            </w:r>
          </w:p>
        </w:tc>
        <w:tc>
          <w:tcPr>
            <w:tcW w:w="1231" w:type="pct"/>
            <w:gridSpan w:val="2"/>
            <w:vAlign w:val="center"/>
            <w:hideMark/>
          </w:tcPr>
          <w:p w14:paraId="652322AE" w14:textId="77777777" w:rsidR="00BD5588" w:rsidRPr="00404CF4" w:rsidRDefault="00222C95" w:rsidP="00E273A1">
            <w:pPr>
              <w:jc w:val="center"/>
            </w:pPr>
            <w:r w:rsidRPr="00404CF4">
              <w:t>C</w:t>
            </w:r>
          </w:p>
        </w:tc>
        <w:tc>
          <w:tcPr>
            <w:tcW w:w="1155" w:type="pct"/>
            <w:vAlign w:val="center"/>
            <w:hideMark/>
          </w:tcPr>
          <w:p w14:paraId="0FF66300" w14:textId="77777777" w:rsidR="00BD5588" w:rsidRPr="00404CF4" w:rsidRDefault="00222C95" w:rsidP="00E273A1">
            <w:pPr>
              <w:jc w:val="center"/>
            </w:pPr>
            <w:r w:rsidRPr="00404CF4">
              <w:t>D</w:t>
            </w:r>
          </w:p>
        </w:tc>
      </w:tr>
      <w:tr w:rsidR="00D04073" w:rsidRPr="00404CF4" w14:paraId="76302288" w14:textId="77777777" w:rsidTr="00E92DFB">
        <w:tc>
          <w:tcPr>
            <w:tcW w:w="1588" w:type="pct"/>
            <w:hideMark/>
          </w:tcPr>
          <w:p w14:paraId="20F2384D" w14:textId="77777777" w:rsidR="00BD5588" w:rsidRPr="00404CF4" w:rsidRDefault="00222C95" w:rsidP="00E273A1">
            <w:r w:rsidRPr="00404CF4">
              <w:t>Attiecīgā ES tiesību akta panta numurs (uzskaitot katru tiesību akta vienību – pantu, daļu, punktu, apakšpunktu)</w:t>
            </w:r>
          </w:p>
        </w:tc>
        <w:tc>
          <w:tcPr>
            <w:tcW w:w="1026" w:type="pct"/>
            <w:hideMark/>
          </w:tcPr>
          <w:p w14:paraId="0766A2A4" w14:textId="77777777" w:rsidR="00BD5588" w:rsidRPr="00404CF4" w:rsidRDefault="00222C95" w:rsidP="00E273A1">
            <w:r w:rsidRPr="00404CF4">
              <w:t>Projekta vienība, kas pārņem vai ievieš katru šīs tabulas A ailē minēto ES tiesību akta vienību, vai tiesību akts, kur attiecīgā ES tiesību akta vienība pārņemta vai ieviesta</w:t>
            </w:r>
          </w:p>
        </w:tc>
        <w:tc>
          <w:tcPr>
            <w:tcW w:w="1231" w:type="pct"/>
            <w:gridSpan w:val="2"/>
            <w:hideMark/>
          </w:tcPr>
          <w:p w14:paraId="077A17B1" w14:textId="77777777" w:rsidR="00BD5588" w:rsidRPr="00404CF4" w:rsidRDefault="00222C95" w:rsidP="00E273A1">
            <w:r w:rsidRPr="00404CF4">
              <w:t>Informācija par to, vai šīs tabulas A ailē minētās ES tiesību akta vienības tiek pārņemtas vai ieviestas pilnībā vai daļēji.</w:t>
            </w:r>
            <w:r w:rsidRPr="00404CF4">
              <w:br/>
              <w:t>Ja attiecīgā ES tiesību akta vienība tiek pārņemta vai ieviesta daļēji, sniedz attiecīgu skaidrojumu, kā arī precīzi norāda, kad un kādā veidā ES tiesību akta vienība tiks pārņemta vai ieviesta pilnībā.</w:t>
            </w:r>
            <w:r w:rsidRPr="00404CF4">
              <w:br/>
              <w:t>Norāda institūciju, kas ir atbildīga par šo saistību izpildi pilnībā</w:t>
            </w:r>
          </w:p>
        </w:tc>
        <w:tc>
          <w:tcPr>
            <w:tcW w:w="1155" w:type="pct"/>
            <w:hideMark/>
          </w:tcPr>
          <w:p w14:paraId="71EB97EC" w14:textId="77777777" w:rsidR="00BD5588" w:rsidRPr="00404CF4" w:rsidRDefault="00222C95" w:rsidP="00E273A1">
            <w:r w:rsidRPr="00404CF4">
              <w:t>Informācija par to, vai šīs tabulas B ailē minētās projekta vienības paredz stingrākas prasības nekā šīs tabulas A ailē minētās ES tiesību akta vienības.</w:t>
            </w:r>
            <w:r w:rsidRPr="00404CF4">
              <w:br/>
              <w:t>Ja projekts satur stingrākas prasības nekā attiecīgais ES tiesību akts, norāda pamatojumu un samērīgumu.</w:t>
            </w:r>
            <w:r w:rsidRPr="00404CF4">
              <w:br/>
              <w:t xml:space="preserve">Norāda iespējamās alternatīvas (t. sk. alternatīvas, kas neparedz tiesiskā regulējuma izstrādi) – kādos gadījumos būtu iespējams izvairīties no stingrāku prasību noteikšanas, nekā </w:t>
            </w:r>
            <w:r w:rsidRPr="00404CF4">
              <w:lastRenderedPageBreak/>
              <w:t>paredzēts attiecīgajos ES tiesību aktos</w:t>
            </w:r>
          </w:p>
        </w:tc>
      </w:tr>
      <w:tr w:rsidR="00090C29" w:rsidRPr="00404CF4" w14:paraId="3500247D" w14:textId="77777777" w:rsidTr="00E92DFB">
        <w:trPr>
          <w:cantSplit/>
        </w:trPr>
        <w:tc>
          <w:tcPr>
            <w:tcW w:w="1588" w:type="pct"/>
          </w:tcPr>
          <w:p w14:paraId="19729F6F" w14:textId="44389D9E" w:rsidR="00090C29" w:rsidRPr="00C07EB2" w:rsidRDefault="00090C29" w:rsidP="00090C29">
            <w:r w:rsidRPr="005B564F">
              <w:rPr>
                <w:bCs/>
                <w:color w:val="000000" w:themeColor="text1"/>
              </w:rPr>
              <w:lastRenderedPageBreak/>
              <w:t>Direktīvas 2005/36/EK</w:t>
            </w:r>
            <w:r w:rsidRPr="005B564F">
              <w:rPr>
                <w:color w:val="000000" w:themeColor="text1"/>
              </w:rPr>
              <w:t xml:space="preserve"> 3. panta 1. punkta g) apakšpunkts  </w:t>
            </w:r>
          </w:p>
        </w:tc>
        <w:tc>
          <w:tcPr>
            <w:tcW w:w="1026" w:type="pct"/>
          </w:tcPr>
          <w:p w14:paraId="5D5B2084" w14:textId="254A2EBC" w:rsidR="00090C29" w:rsidRPr="00C07EB2" w:rsidRDefault="00090C29" w:rsidP="00090C29">
            <w:pPr>
              <w:ind w:left="57"/>
              <w:rPr>
                <w:spacing w:val="-2"/>
              </w:rPr>
            </w:pPr>
            <w:r w:rsidRPr="005B564F">
              <w:rPr>
                <w:color w:val="000000" w:themeColor="text1"/>
              </w:rPr>
              <w:t>Likumprojekta 1</w:t>
            </w:r>
            <w:r w:rsidR="00E45F25">
              <w:rPr>
                <w:color w:val="000000" w:themeColor="text1"/>
              </w:rPr>
              <w:t>0</w:t>
            </w:r>
            <w:r w:rsidRPr="005B564F">
              <w:rPr>
                <w:color w:val="000000" w:themeColor="text1"/>
              </w:rPr>
              <w:t>.pants par reglamentēto profesiju likuma 46.panta sesto daļu</w:t>
            </w:r>
          </w:p>
        </w:tc>
        <w:tc>
          <w:tcPr>
            <w:tcW w:w="1231" w:type="pct"/>
            <w:gridSpan w:val="2"/>
          </w:tcPr>
          <w:p w14:paraId="0BFB54D4" w14:textId="637EFD4B" w:rsidR="00090C29" w:rsidRPr="00C07EB2" w:rsidRDefault="00090C29" w:rsidP="00090C29">
            <w:pPr>
              <w:ind w:left="57"/>
            </w:pPr>
            <w:r w:rsidRPr="005B564F">
              <w:rPr>
                <w:color w:val="000000" w:themeColor="text1"/>
              </w:rPr>
              <w:t>Tiks ieviesta pilnībā</w:t>
            </w:r>
          </w:p>
        </w:tc>
        <w:tc>
          <w:tcPr>
            <w:tcW w:w="1155" w:type="pct"/>
          </w:tcPr>
          <w:p w14:paraId="43F1F992" w14:textId="19C8228E" w:rsidR="00090C29" w:rsidRPr="00404CF4" w:rsidRDefault="00090C29" w:rsidP="00090C29">
            <w:pPr>
              <w:ind w:left="57"/>
            </w:pPr>
            <w:r w:rsidRPr="005B564F">
              <w:rPr>
                <w:color w:val="000000" w:themeColor="text1"/>
              </w:rPr>
              <w:t>Neparedzēs stingrākas prasības.</w:t>
            </w:r>
          </w:p>
        </w:tc>
      </w:tr>
      <w:tr w:rsidR="00090C29" w:rsidRPr="00404CF4" w14:paraId="5C31F945" w14:textId="77777777" w:rsidTr="00E92DFB">
        <w:trPr>
          <w:cantSplit/>
        </w:trPr>
        <w:tc>
          <w:tcPr>
            <w:tcW w:w="1588" w:type="pct"/>
          </w:tcPr>
          <w:p w14:paraId="2DE2622D" w14:textId="77777777" w:rsidR="00090C29" w:rsidRPr="005B564F" w:rsidRDefault="00090C29" w:rsidP="00090C29">
            <w:pPr>
              <w:rPr>
                <w:color w:val="000000" w:themeColor="text1"/>
              </w:rPr>
            </w:pPr>
          </w:p>
          <w:p w14:paraId="76139BB7" w14:textId="60DD21DA" w:rsidR="00090C29" w:rsidRPr="00BA42FB" w:rsidRDefault="00090C29" w:rsidP="00090C29">
            <w:r w:rsidRPr="005B564F">
              <w:rPr>
                <w:bCs/>
                <w:color w:val="000000" w:themeColor="text1"/>
              </w:rPr>
              <w:t>Direktīvas 2005/36/EK</w:t>
            </w:r>
            <w:r w:rsidRPr="005B564F">
              <w:rPr>
                <w:color w:val="000000" w:themeColor="text1"/>
              </w:rPr>
              <w:t xml:space="preserve"> 6.panta a)</w:t>
            </w:r>
            <w:r>
              <w:rPr>
                <w:color w:val="000000" w:themeColor="text1"/>
              </w:rPr>
              <w:t xml:space="preserve"> apakšpunkts</w:t>
            </w:r>
            <w:r w:rsidRPr="005B564F">
              <w:rPr>
                <w:color w:val="000000" w:themeColor="text1"/>
              </w:rPr>
              <w:t xml:space="preserve">  </w:t>
            </w:r>
          </w:p>
        </w:tc>
        <w:tc>
          <w:tcPr>
            <w:tcW w:w="1026" w:type="pct"/>
          </w:tcPr>
          <w:p w14:paraId="6949AA72" w14:textId="29EFBB17" w:rsidR="00090C29" w:rsidRPr="00BA42FB" w:rsidRDefault="00090C29" w:rsidP="00090C29">
            <w:pPr>
              <w:ind w:left="57"/>
            </w:pPr>
            <w:r w:rsidRPr="005B564F">
              <w:rPr>
                <w:color w:val="000000" w:themeColor="text1"/>
              </w:rPr>
              <w:t xml:space="preserve">Likumprojekta </w:t>
            </w:r>
            <w:r w:rsidR="00E45F25">
              <w:rPr>
                <w:color w:val="000000" w:themeColor="text1"/>
              </w:rPr>
              <w:t>7</w:t>
            </w:r>
            <w:r w:rsidRPr="005B564F">
              <w:rPr>
                <w:color w:val="000000" w:themeColor="text1"/>
              </w:rPr>
              <w:t>.pants par reglamentēto profesiju likuma 42.panta astoto daļu</w:t>
            </w:r>
          </w:p>
        </w:tc>
        <w:tc>
          <w:tcPr>
            <w:tcW w:w="1231" w:type="pct"/>
            <w:gridSpan w:val="2"/>
          </w:tcPr>
          <w:p w14:paraId="4A1CD811" w14:textId="2B683866" w:rsidR="00090C29" w:rsidRPr="00BA42FB" w:rsidRDefault="00090C29" w:rsidP="00090C29">
            <w:pPr>
              <w:ind w:left="57"/>
            </w:pPr>
            <w:r w:rsidRPr="005B564F">
              <w:rPr>
                <w:color w:val="000000" w:themeColor="text1"/>
              </w:rPr>
              <w:t>Tiks ieviesta pilnībā</w:t>
            </w:r>
          </w:p>
        </w:tc>
        <w:tc>
          <w:tcPr>
            <w:tcW w:w="1155" w:type="pct"/>
          </w:tcPr>
          <w:p w14:paraId="4F99D94B" w14:textId="58486A55" w:rsidR="00090C29" w:rsidRPr="00BA42FB" w:rsidRDefault="00090C29" w:rsidP="00090C29">
            <w:pPr>
              <w:ind w:left="57"/>
            </w:pPr>
            <w:r w:rsidRPr="005B564F">
              <w:rPr>
                <w:color w:val="000000" w:themeColor="text1"/>
              </w:rPr>
              <w:t>Neparedzēs stingrākas prasības.</w:t>
            </w:r>
          </w:p>
        </w:tc>
      </w:tr>
      <w:tr w:rsidR="00090C29" w:rsidRPr="00404CF4" w14:paraId="1EF619D2" w14:textId="77777777" w:rsidTr="00E92DFB">
        <w:trPr>
          <w:cantSplit/>
        </w:trPr>
        <w:tc>
          <w:tcPr>
            <w:tcW w:w="1588" w:type="pct"/>
          </w:tcPr>
          <w:p w14:paraId="6D243171" w14:textId="77777777" w:rsidR="00090C29" w:rsidRPr="005B564F" w:rsidRDefault="00090C29" w:rsidP="00090C29">
            <w:pPr>
              <w:rPr>
                <w:color w:val="000000" w:themeColor="text1"/>
              </w:rPr>
            </w:pPr>
          </w:p>
          <w:p w14:paraId="49092484" w14:textId="2089B1D7" w:rsidR="00090C29" w:rsidRDefault="00090C29" w:rsidP="00090C29">
            <w:r w:rsidRPr="005B564F">
              <w:rPr>
                <w:bCs/>
                <w:color w:val="000000" w:themeColor="text1"/>
              </w:rPr>
              <w:t>Direktīvas 2005/36/EK</w:t>
            </w:r>
            <w:r w:rsidRPr="005B564F">
              <w:rPr>
                <w:color w:val="000000" w:themeColor="text1"/>
              </w:rPr>
              <w:t xml:space="preserve"> 5.panta a)</w:t>
            </w:r>
            <w:r>
              <w:rPr>
                <w:color w:val="000000" w:themeColor="text1"/>
              </w:rPr>
              <w:t xml:space="preserve"> apakšpunkts</w:t>
            </w:r>
            <w:r w:rsidRPr="005B564F">
              <w:rPr>
                <w:color w:val="000000" w:themeColor="text1"/>
              </w:rPr>
              <w:t xml:space="preserve">  </w:t>
            </w:r>
          </w:p>
        </w:tc>
        <w:tc>
          <w:tcPr>
            <w:tcW w:w="1026" w:type="pct"/>
          </w:tcPr>
          <w:p w14:paraId="5D784D43" w14:textId="77777777" w:rsidR="00090C29" w:rsidRPr="005B564F" w:rsidRDefault="00090C29" w:rsidP="00090C29">
            <w:pPr>
              <w:rPr>
                <w:color w:val="000000" w:themeColor="text1"/>
              </w:rPr>
            </w:pPr>
            <w:r w:rsidRPr="005B564F">
              <w:rPr>
                <w:color w:val="000000" w:themeColor="text1"/>
              </w:rPr>
              <w:t xml:space="preserve">Likumprojekta </w:t>
            </w:r>
            <w:r>
              <w:rPr>
                <w:color w:val="000000" w:themeColor="text1"/>
              </w:rPr>
              <w:t>7</w:t>
            </w:r>
            <w:r w:rsidRPr="005B564F">
              <w:rPr>
                <w:color w:val="000000" w:themeColor="text1"/>
              </w:rPr>
              <w:t>.pants par reglamentēto profesiju likuma 42.pantu (par terminu likumīga statusa valsts”)</w:t>
            </w:r>
          </w:p>
          <w:p w14:paraId="7ECAB364" w14:textId="0FA522EE" w:rsidR="00090C29" w:rsidRDefault="00090C29" w:rsidP="00090C29">
            <w:pPr>
              <w:ind w:left="57"/>
            </w:pPr>
          </w:p>
        </w:tc>
        <w:tc>
          <w:tcPr>
            <w:tcW w:w="1231" w:type="pct"/>
            <w:gridSpan w:val="2"/>
          </w:tcPr>
          <w:p w14:paraId="4151028E" w14:textId="6B38DA1B" w:rsidR="00090C29" w:rsidRPr="00404CF4" w:rsidRDefault="00090C29" w:rsidP="00090C29">
            <w:pPr>
              <w:ind w:left="57"/>
            </w:pPr>
            <w:r w:rsidRPr="005B564F">
              <w:rPr>
                <w:color w:val="000000" w:themeColor="text1"/>
              </w:rPr>
              <w:t>Tiks ieviesta pilnībā</w:t>
            </w:r>
          </w:p>
        </w:tc>
        <w:tc>
          <w:tcPr>
            <w:tcW w:w="1155" w:type="pct"/>
          </w:tcPr>
          <w:p w14:paraId="5BDBEBE8" w14:textId="7F1424AE" w:rsidR="00090C29" w:rsidRPr="00404CF4" w:rsidRDefault="00090C29" w:rsidP="00090C29">
            <w:pPr>
              <w:ind w:left="57"/>
            </w:pPr>
            <w:r w:rsidRPr="005B564F">
              <w:rPr>
                <w:color w:val="000000" w:themeColor="text1"/>
              </w:rPr>
              <w:t>Neparedzēs stingrākas prasības.</w:t>
            </w:r>
          </w:p>
        </w:tc>
      </w:tr>
      <w:tr w:rsidR="00226B05" w:rsidRPr="00404CF4" w14:paraId="4B380E26" w14:textId="77777777" w:rsidTr="00E92DFB">
        <w:trPr>
          <w:cantSplit/>
        </w:trPr>
        <w:tc>
          <w:tcPr>
            <w:tcW w:w="1588" w:type="pct"/>
          </w:tcPr>
          <w:p w14:paraId="0A6C034A" w14:textId="77777777" w:rsidR="00226B05" w:rsidRPr="005B564F" w:rsidRDefault="00226B05" w:rsidP="00226B05">
            <w:pPr>
              <w:rPr>
                <w:color w:val="000000" w:themeColor="text1"/>
              </w:rPr>
            </w:pPr>
          </w:p>
          <w:p w14:paraId="05EC0117" w14:textId="1B418550" w:rsidR="00226B05" w:rsidRPr="005B564F" w:rsidRDefault="00226B05" w:rsidP="00226B05">
            <w:pPr>
              <w:rPr>
                <w:color w:val="000000" w:themeColor="text1"/>
              </w:rPr>
            </w:pPr>
            <w:r w:rsidRPr="005B564F">
              <w:rPr>
                <w:bCs/>
                <w:color w:val="000000" w:themeColor="text1"/>
              </w:rPr>
              <w:t>Direktīvas 2005/36/EK</w:t>
            </w:r>
            <w:r>
              <w:rPr>
                <w:color w:val="000000" w:themeColor="text1"/>
              </w:rPr>
              <w:t xml:space="preserve"> 7</w:t>
            </w:r>
            <w:r w:rsidRPr="005B564F">
              <w:rPr>
                <w:color w:val="000000" w:themeColor="text1"/>
              </w:rPr>
              <w:t xml:space="preserve">.panta </w:t>
            </w:r>
            <w:r>
              <w:rPr>
                <w:color w:val="000000" w:themeColor="text1"/>
              </w:rPr>
              <w:t>1., 2. punkts</w:t>
            </w:r>
            <w:r w:rsidRPr="005B564F">
              <w:rPr>
                <w:color w:val="000000" w:themeColor="text1"/>
              </w:rPr>
              <w:t xml:space="preserve">  </w:t>
            </w:r>
          </w:p>
        </w:tc>
        <w:tc>
          <w:tcPr>
            <w:tcW w:w="1026" w:type="pct"/>
          </w:tcPr>
          <w:p w14:paraId="23CEE2F6" w14:textId="6A1B9BB3" w:rsidR="00226B05" w:rsidRPr="005B564F" w:rsidRDefault="00226B05" w:rsidP="00226B05">
            <w:pPr>
              <w:rPr>
                <w:color w:val="000000" w:themeColor="text1"/>
              </w:rPr>
            </w:pPr>
            <w:r w:rsidRPr="005B564F">
              <w:rPr>
                <w:color w:val="000000" w:themeColor="text1"/>
              </w:rPr>
              <w:t xml:space="preserve">Likumprojekta </w:t>
            </w:r>
            <w:r w:rsidRPr="007E088F">
              <w:rPr>
                <w:color w:val="000000" w:themeColor="text1"/>
              </w:rPr>
              <w:t>7.pants</w:t>
            </w:r>
            <w:r w:rsidRPr="005B564F">
              <w:rPr>
                <w:color w:val="000000" w:themeColor="text1"/>
              </w:rPr>
              <w:t xml:space="preserve"> par reglamentēto profesiju likuma 42.pant</w:t>
            </w:r>
            <w:r>
              <w:rPr>
                <w:color w:val="000000" w:themeColor="text1"/>
              </w:rPr>
              <w:t xml:space="preserve">a otro daļu, </w:t>
            </w:r>
          </w:p>
          <w:p w14:paraId="49F275A5" w14:textId="619E8BA4" w:rsidR="00226B05" w:rsidRPr="005B564F" w:rsidRDefault="000E732C" w:rsidP="00226B05">
            <w:pPr>
              <w:rPr>
                <w:color w:val="000000" w:themeColor="text1"/>
              </w:rPr>
            </w:pPr>
            <w:r>
              <w:rPr>
                <w:color w:val="000000" w:themeColor="text1"/>
              </w:rPr>
              <w:t>l</w:t>
            </w:r>
            <w:r w:rsidR="00226B05">
              <w:rPr>
                <w:color w:val="000000" w:themeColor="text1"/>
              </w:rPr>
              <w:t>ikumprojekta 6. pants par reglamentēto profesiju likuma 36. panta 9. punktu</w:t>
            </w:r>
          </w:p>
        </w:tc>
        <w:tc>
          <w:tcPr>
            <w:tcW w:w="1231" w:type="pct"/>
            <w:gridSpan w:val="2"/>
          </w:tcPr>
          <w:p w14:paraId="75980DCF" w14:textId="52E5AB71" w:rsidR="00226B05" w:rsidRPr="005B564F" w:rsidRDefault="00226B05" w:rsidP="00226B05">
            <w:pPr>
              <w:ind w:left="57"/>
              <w:rPr>
                <w:color w:val="000000" w:themeColor="text1"/>
              </w:rPr>
            </w:pPr>
            <w:r w:rsidRPr="005B564F">
              <w:rPr>
                <w:color w:val="000000" w:themeColor="text1"/>
              </w:rPr>
              <w:t>Tiks ieviesta pilnībā</w:t>
            </w:r>
          </w:p>
        </w:tc>
        <w:tc>
          <w:tcPr>
            <w:tcW w:w="1155" w:type="pct"/>
          </w:tcPr>
          <w:p w14:paraId="6556BA5A" w14:textId="4FEEF11B" w:rsidR="00226B05" w:rsidRPr="005B564F" w:rsidRDefault="00226B05" w:rsidP="00226B05">
            <w:pPr>
              <w:ind w:left="57"/>
              <w:rPr>
                <w:color w:val="000000" w:themeColor="text1"/>
              </w:rPr>
            </w:pPr>
            <w:r w:rsidRPr="005B564F">
              <w:rPr>
                <w:color w:val="000000" w:themeColor="text1"/>
              </w:rPr>
              <w:t>Neparedzēs stingrākas prasības.</w:t>
            </w:r>
          </w:p>
        </w:tc>
      </w:tr>
      <w:tr w:rsidR="000E732C" w:rsidRPr="00404CF4" w14:paraId="418095D9" w14:textId="77777777" w:rsidTr="00E92DFB">
        <w:trPr>
          <w:cantSplit/>
        </w:trPr>
        <w:tc>
          <w:tcPr>
            <w:tcW w:w="1588" w:type="pct"/>
          </w:tcPr>
          <w:p w14:paraId="3A567848" w14:textId="1A67B14C" w:rsidR="000E732C" w:rsidRPr="005B564F" w:rsidRDefault="000E732C" w:rsidP="000E732C">
            <w:pPr>
              <w:rPr>
                <w:color w:val="000000" w:themeColor="text1"/>
              </w:rPr>
            </w:pPr>
            <w:r>
              <w:rPr>
                <w:color w:val="000000" w:themeColor="text1"/>
              </w:rPr>
              <w:t>Direktīvas 2005/36/EK 11. pants</w:t>
            </w:r>
          </w:p>
        </w:tc>
        <w:tc>
          <w:tcPr>
            <w:tcW w:w="1026" w:type="pct"/>
          </w:tcPr>
          <w:p w14:paraId="22513867" w14:textId="3E2834F1" w:rsidR="000E732C" w:rsidRPr="005B564F" w:rsidRDefault="000E732C" w:rsidP="000E732C">
            <w:pPr>
              <w:rPr>
                <w:color w:val="000000" w:themeColor="text1"/>
              </w:rPr>
            </w:pPr>
            <w:r>
              <w:rPr>
                <w:color w:val="000000" w:themeColor="text1"/>
              </w:rPr>
              <w:t>Likumprojekta 9</w:t>
            </w:r>
            <w:r w:rsidRPr="000E732C">
              <w:rPr>
                <w:color w:val="000000" w:themeColor="text1"/>
              </w:rPr>
              <w:t xml:space="preserve">.pants par </w:t>
            </w:r>
            <w:r>
              <w:rPr>
                <w:color w:val="000000" w:themeColor="text1"/>
              </w:rPr>
              <w:t>reglamentēto profesiju likuma 44</w:t>
            </w:r>
            <w:r w:rsidRPr="000E732C">
              <w:rPr>
                <w:color w:val="000000" w:themeColor="text1"/>
              </w:rPr>
              <w:t>.panta otro daļu</w:t>
            </w:r>
          </w:p>
        </w:tc>
        <w:tc>
          <w:tcPr>
            <w:tcW w:w="1231" w:type="pct"/>
            <w:gridSpan w:val="2"/>
          </w:tcPr>
          <w:p w14:paraId="20ED7D85" w14:textId="7D7B08D4" w:rsidR="000E732C" w:rsidRPr="005B564F" w:rsidRDefault="000E732C" w:rsidP="000E732C">
            <w:pPr>
              <w:ind w:left="57"/>
              <w:rPr>
                <w:color w:val="000000" w:themeColor="text1"/>
              </w:rPr>
            </w:pPr>
            <w:r w:rsidRPr="005B564F">
              <w:rPr>
                <w:color w:val="000000" w:themeColor="text1"/>
              </w:rPr>
              <w:t>Tiks ieviesta pilnībā</w:t>
            </w:r>
          </w:p>
        </w:tc>
        <w:tc>
          <w:tcPr>
            <w:tcW w:w="1155" w:type="pct"/>
          </w:tcPr>
          <w:p w14:paraId="51F51056" w14:textId="740E9BE8" w:rsidR="000E732C" w:rsidRPr="005B564F" w:rsidRDefault="000E732C" w:rsidP="000E732C">
            <w:pPr>
              <w:ind w:left="57"/>
              <w:rPr>
                <w:color w:val="000000" w:themeColor="text1"/>
              </w:rPr>
            </w:pPr>
            <w:r w:rsidRPr="005B564F">
              <w:rPr>
                <w:color w:val="000000" w:themeColor="text1"/>
              </w:rPr>
              <w:t>Neparedzēs stingrākas prasības.</w:t>
            </w:r>
          </w:p>
        </w:tc>
      </w:tr>
      <w:tr w:rsidR="000E732C" w:rsidRPr="00404CF4" w14:paraId="1084410A" w14:textId="77777777" w:rsidTr="00E92DFB">
        <w:trPr>
          <w:cantSplit/>
        </w:trPr>
        <w:tc>
          <w:tcPr>
            <w:tcW w:w="1588" w:type="pct"/>
          </w:tcPr>
          <w:p w14:paraId="42D0368D" w14:textId="77777777" w:rsidR="000E732C" w:rsidRPr="005B564F" w:rsidRDefault="000E732C" w:rsidP="000E732C">
            <w:pPr>
              <w:rPr>
                <w:bCs/>
                <w:color w:val="000000" w:themeColor="text1"/>
              </w:rPr>
            </w:pPr>
          </w:p>
          <w:p w14:paraId="48C98521" w14:textId="77777777" w:rsidR="000E732C" w:rsidRPr="005B564F" w:rsidRDefault="000E732C" w:rsidP="000E732C">
            <w:pPr>
              <w:rPr>
                <w:bCs/>
                <w:color w:val="000000" w:themeColor="text1"/>
              </w:rPr>
            </w:pPr>
            <w:r w:rsidRPr="005B564F">
              <w:rPr>
                <w:bCs/>
                <w:color w:val="000000" w:themeColor="text1"/>
              </w:rPr>
              <w:t>Direktīvas 2005/36/EK 12. pant</w:t>
            </w:r>
            <w:r>
              <w:rPr>
                <w:bCs/>
                <w:color w:val="000000" w:themeColor="text1"/>
              </w:rPr>
              <w:t>s</w:t>
            </w:r>
            <w:r w:rsidRPr="005B564F">
              <w:rPr>
                <w:bCs/>
                <w:color w:val="000000" w:themeColor="text1"/>
              </w:rPr>
              <w:t xml:space="preserve"> </w:t>
            </w:r>
            <w:r w:rsidRPr="005B564F">
              <w:rPr>
                <w:bCs/>
                <w:color w:val="000000" w:themeColor="text1"/>
              </w:rPr>
              <w:tab/>
            </w:r>
          </w:p>
          <w:p w14:paraId="1C043D74" w14:textId="76052EE2" w:rsidR="000E732C" w:rsidRPr="00C07EB2" w:rsidRDefault="000E732C" w:rsidP="000E732C">
            <w:r w:rsidRPr="005B564F">
              <w:rPr>
                <w:bCs/>
                <w:color w:val="000000" w:themeColor="text1"/>
              </w:rPr>
              <w:tab/>
            </w:r>
            <w:r w:rsidRPr="005B564F">
              <w:rPr>
                <w:bCs/>
                <w:color w:val="000000" w:themeColor="text1"/>
              </w:rPr>
              <w:tab/>
            </w:r>
          </w:p>
        </w:tc>
        <w:tc>
          <w:tcPr>
            <w:tcW w:w="1026" w:type="pct"/>
          </w:tcPr>
          <w:p w14:paraId="69B63D44" w14:textId="4BB43A7B" w:rsidR="000E732C" w:rsidRPr="00C07EB2" w:rsidRDefault="000E732C" w:rsidP="00982525">
            <w:pPr>
              <w:ind w:left="57"/>
            </w:pPr>
            <w:r w:rsidRPr="005B564F">
              <w:rPr>
                <w:bCs/>
                <w:color w:val="000000" w:themeColor="text1"/>
              </w:rPr>
              <w:t xml:space="preserve">Likumprojekta </w:t>
            </w:r>
            <w:r w:rsidR="00982525">
              <w:rPr>
                <w:bCs/>
                <w:color w:val="000000" w:themeColor="text1"/>
              </w:rPr>
              <w:t>9</w:t>
            </w:r>
            <w:r w:rsidRPr="005B564F">
              <w:rPr>
                <w:bCs/>
                <w:color w:val="000000" w:themeColor="text1"/>
              </w:rPr>
              <w:t>.pants par reglamentēto profesiju likuma 44. panta pirmās daļas 4. punkta b) un c) apakšpunkt</w:t>
            </w:r>
            <w:r>
              <w:rPr>
                <w:bCs/>
                <w:color w:val="000000" w:themeColor="text1"/>
              </w:rPr>
              <w:t>u</w:t>
            </w:r>
          </w:p>
        </w:tc>
        <w:tc>
          <w:tcPr>
            <w:tcW w:w="1231" w:type="pct"/>
            <w:gridSpan w:val="2"/>
          </w:tcPr>
          <w:p w14:paraId="0F594767" w14:textId="3C96630D" w:rsidR="000E732C" w:rsidRPr="00C07EB2" w:rsidRDefault="000E732C" w:rsidP="000E732C">
            <w:pPr>
              <w:ind w:left="57"/>
            </w:pPr>
            <w:r w:rsidRPr="005B564F">
              <w:rPr>
                <w:bCs/>
                <w:color w:val="000000" w:themeColor="text1"/>
              </w:rPr>
              <w:t>Tiks ieviesta pilnībā</w:t>
            </w:r>
          </w:p>
        </w:tc>
        <w:tc>
          <w:tcPr>
            <w:tcW w:w="1155" w:type="pct"/>
          </w:tcPr>
          <w:p w14:paraId="6F14EAE5" w14:textId="7062CC7A" w:rsidR="000E732C" w:rsidRPr="00C07EB2" w:rsidRDefault="000E732C" w:rsidP="000E732C">
            <w:pPr>
              <w:ind w:left="57"/>
            </w:pPr>
            <w:r w:rsidRPr="005B564F">
              <w:rPr>
                <w:bCs/>
                <w:color w:val="000000" w:themeColor="text1"/>
              </w:rPr>
              <w:t>Neparedzēs stingrākas prasības.</w:t>
            </w:r>
          </w:p>
        </w:tc>
      </w:tr>
      <w:tr w:rsidR="000E732C" w:rsidRPr="00404CF4" w14:paraId="790E6965" w14:textId="77777777" w:rsidTr="00E92DFB">
        <w:trPr>
          <w:cantSplit/>
        </w:trPr>
        <w:tc>
          <w:tcPr>
            <w:tcW w:w="1588" w:type="pct"/>
          </w:tcPr>
          <w:p w14:paraId="194B4D99" w14:textId="77777777" w:rsidR="000E732C" w:rsidRPr="005B564F" w:rsidRDefault="000E732C" w:rsidP="000E732C">
            <w:pPr>
              <w:rPr>
                <w:bCs/>
                <w:color w:val="000000" w:themeColor="text1"/>
              </w:rPr>
            </w:pPr>
          </w:p>
          <w:p w14:paraId="78ECA1FF" w14:textId="77777777" w:rsidR="000E732C" w:rsidRPr="005B564F" w:rsidRDefault="000E732C" w:rsidP="000E732C">
            <w:pPr>
              <w:rPr>
                <w:bCs/>
                <w:color w:val="000000" w:themeColor="text1"/>
              </w:rPr>
            </w:pPr>
            <w:r w:rsidRPr="005B564F">
              <w:rPr>
                <w:bCs/>
                <w:color w:val="000000" w:themeColor="text1"/>
              </w:rPr>
              <w:t>Direktīvas 2005/36/EK 13. pant</w:t>
            </w:r>
            <w:r>
              <w:rPr>
                <w:bCs/>
                <w:color w:val="000000" w:themeColor="text1"/>
              </w:rPr>
              <w:t>s</w:t>
            </w:r>
            <w:r w:rsidRPr="005B564F">
              <w:rPr>
                <w:bCs/>
                <w:color w:val="000000" w:themeColor="text1"/>
              </w:rPr>
              <w:t xml:space="preserve"> </w:t>
            </w:r>
            <w:r w:rsidRPr="005B564F">
              <w:rPr>
                <w:bCs/>
                <w:color w:val="000000" w:themeColor="text1"/>
              </w:rPr>
              <w:tab/>
            </w:r>
          </w:p>
          <w:p w14:paraId="4781235A" w14:textId="290FB56A" w:rsidR="000E732C" w:rsidRPr="00C07EB2" w:rsidRDefault="000E732C" w:rsidP="000E732C">
            <w:r w:rsidRPr="005B564F">
              <w:rPr>
                <w:bCs/>
                <w:color w:val="000000" w:themeColor="text1"/>
              </w:rPr>
              <w:tab/>
            </w:r>
            <w:r w:rsidRPr="005B564F">
              <w:rPr>
                <w:bCs/>
                <w:color w:val="000000" w:themeColor="text1"/>
              </w:rPr>
              <w:tab/>
            </w:r>
          </w:p>
        </w:tc>
        <w:tc>
          <w:tcPr>
            <w:tcW w:w="1026" w:type="pct"/>
          </w:tcPr>
          <w:p w14:paraId="4035FC87" w14:textId="463850E3" w:rsidR="000E732C" w:rsidRPr="00C07EB2" w:rsidRDefault="000E732C" w:rsidP="000E732C">
            <w:pPr>
              <w:ind w:left="57"/>
              <w:rPr>
                <w:spacing w:val="-2"/>
              </w:rPr>
            </w:pPr>
            <w:r w:rsidRPr="005B564F">
              <w:rPr>
                <w:bCs/>
                <w:color w:val="000000" w:themeColor="text1"/>
              </w:rPr>
              <w:t xml:space="preserve">Likumprojekta </w:t>
            </w:r>
            <w:r w:rsidR="00E45F25">
              <w:rPr>
                <w:bCs/>
                <w:color w:val="000000" w:themeColor="text1"/>
              </w:rPr>
              <w:t>9</w:t>
            </w:r>
            <w:r w:rsidRPr="005B564F">
              <w:rPr>
                <w:bCs/>
                <w:color w:val="000000" w:themeColor="text1"/>
              </w:rPr>
              <w:t>.pants par reglamentēto profesiju likuma 44. panta trešās daļas 4. punkta izslēgšanu</w:t>
            </w:r>
          </w:p>
        </w:tc>
        <w:tc>
          <w:tcPr>
            <w:tcW w:w="1231" w:type="pct"/>
            <w:gridSpan w:val="2"/>
          </w:tcPr>
          <w:p w14:paraId="72258FCC" w14:textId="171E2B64" w:rsidR="000E732C" w:rsidRPr="00C07EB2" w:rsidRDefault="000E732C" w:rsidP="000E732C">
            <w:pPr>
              <w:ind w:left="57"/>
            </w:pPr>
            <w:r w:rsidRPr="005B564F">
              <w:rPr>
                <w:bCs/>
                <w:color w:val="000000" w:themeColor="text1"/>
              </w:rPr>
              <w:t>Tiks ieviesta pilnībā</w:t>
            </w:r>
          </w:p>
        </w:tc>
        <w:tc>
          <w:tcPr>
            <w:tcW w:w="1155" w:type="pct"/>
          </w:tcPr>
          <w:p w14:paraId="260A6D43" w14:textId="7B734B0E" w:rsidR="000E732C" w:rsidRPr="00404CF4" w:rsidRDefault="000E732C" w:rsidP="000E732C">
            <w:pPr>
              <w:ind w:left="57"/>
            </w:pPr>
            <w:r w:rsidRPr="005B564F">
              <w:rPr>
                <w:bCs/>
                <w:color w:val="000000" w:themeColor="text1"/>
              </w:rPr>
              <w:t>Neparedzēs stingrākas prasības.</w:t>
            </w:r>
          </w:p>
        </w:tc>
      </w:tr>
      <w:tr w:rsidR="000E732C" w:rsidRPr="00404CF4" w14:paraId="42B26D9A" w14:textId="77777777" w:rsidTr="00E92DFB">
        <w:trPr>
          <w:cantSplit/>
        </w:trPr>
        <w:tc>
          <w:tcPr>
            <w:tcW w:w="1588" w:type="pct"/>
          </w:tcPr>
          <w:p w14:paraId="215168A1" w14:textId="657E83E5" w:rsidR="000E732C" w:rsidRPr="00B30AB9" w:rsidRDefault="000E732C" w:rsidP="000E732C">
            <w:pPr>
              <w:rPr>
                <w:bCs/>
                <w:color w:val="000000" w:themeColor="text1"/>
              </w:rPr>
            </w:pPr>
            <w:r w:rsidRPr="00B30AB9">
              <w:rPr>
                <w:bCs/>
                <w:color w:val="000000" w:themeColor="text1"/>
              </w:rPr>
              <w:t>Direktīvas 2005/36/EK 35. panta 1. punkts</w:t>
            </w:r>
          </w:p>
        </w:tc>
        <w:tc>
          <w:tcPr>
            <w:tcW w:w="1026" w:type="pct"/>
          </w:tcPr>
          <w:p w14:paraId="4B279B4A" w14:textId="55A43CD9" w:rsidR="000E732C" w:rsidRPr="00B30AB9" w:rsidRDefault="000E732C" w:rsidP="000E732C">
            <w:pPr>
              <w:ind w:left="57"/>
              <w:rPr>
                <w:bCs/>
                <w:color w:val="000000" w:themeColor="text1"/>
              </w:rPr>
            </w:pPr>
            <w:r w:rsidRPr="00B30AB9">
              <w:rPr>
                <w:bCs/>
                <w:color w:val="000000" w:themeColor="text1"/>
              </w:rPr>
              <w:t>Likumprojekta 4.pants par reglamentēto profesiju likuma 13. panta otrās daļas 1. punktu</w:t>
            </w:r>
          </w:p>
        </w:tc>
        <w:tc>
          <w:tcPr>
            <w:tcW w:w="1231" w:type="pct"/>
            <w:gridSpan w:val="2"/>
          </w:tcPr>
          <w:p w14:paraId="497D4591" w14:textId="176C07A2" w:rsidR="000E732C" w:rsidRPr="00B30AB9" w:rsidRDefault="000E732C" w:rsidP="000E732C">
            <w:pPr>
              <w:ind w:left="57"/>
              <w:rPr>
                <w:bCs/>
                <w:color w:val="000000" w:themeColor="text1"/>
              </w:rPr>
            </w:pPr>
            <w:r w:rsidRPr="00B30AB9">
              <w:rPr>
                <w:bCs/>
                <w:color w:val="000000" w:themeColor="text1"/>
              </w:rPr>
              <w:t>Tiks ieviesta pilnībā</w:t>
            </w:r>
          </w:p>
        </w:tc>
        <w:tc>
          <w:tcPr>
            <w:tcW w:w="1155" w:type="pct"/>
          </w:tcPr>
          <w:p w14:paraId="65E2A3CA" w14:textId="266D840E" w:rsidR="000E732C" w:rsidRPr="005B564F" w:rsidRDefault="000E732C" w:rsidP="000E732C">
            <w:pPr>
              <w:ind w:left="57"/>
              <w:rPr>
                <w:bCs/>
                <w:color w:val="000000" w:themeColor="text1"/>
              </w:rPr>
            </w:pPr>
            <w:r w:rsidRPr="00B30AB9">
              <w:rPr>
                <w:bCs/>
                <w:color w:val="000000" w:themeColor="text1"/>
              </w:rPr>
              <w:t>Neparedzēs stingrākas prasības.</w:t>
            </w:r>
          </w:p>
        </w:tc>
      </w:tr>
      <w:tr w:rsidR="000E732C" w:rsidRPr="00404CF4" w14:paraId="01743845" w14:textId="77777777" w:rsidTr="00E92DFB">
        <w:trPr>
          <w:cantSplit/>
        </w:trPr>
        <w:tc>
          <w:tcPr>
            <w:tcW w:w="1588" w:type="pct"/>
          </w:tcPr>
          <w:p w14:paraId="11134CFA" w14:textId="77777777" w:rsidR="000E732C" w:rsidRPr="005B564F" w:rsidRDefault="000E732C" w:rsidP="000E732C">
            <w:pPr>
              <w:rPr>
                <w:bCs/>
                <w:color w:val="000000" w:themeColor="text1"/>
              </w:rPr>
            </w:pPr>
          </w:p>
          <w:p w14:paraId="2C7CD416" w14:textId="77777777" w:rsidR="000E732C" w:rsidRPr="005B564F" w:rsidRDefault="000E732C" w:rsidP="000E732C">
            <w:pPr>
              <w:rPr>
                <w:bCs/>
                <w:color w:val="000000" w:themeColor="text1"/>
              </w:rPr>
            </w:pPr>
            <w:r w:rsidRPr="005B564F">
              <w:rPr>
                <w:bCs/>
                <w:color w:val="000000" w:themeColor="text1"/>
              </w:rPr>
              <w:t>Direktīvas 2005/36/EK 40. panta 1. punkta trešā daļ</w:t>
            </w:r>
            <w:r>
              <w:rPr>
                <w:bCs/>
                <w:color w:val="000000" w:themeColor="text1"/>
              </w:rPr>
              <w:t>a</w:t>
            </w:r>
            <w:r w:rsidRPr="005B564F">
              <w:rPr>
                <w:bCs/>
                <w:color w:val="000000" w:themeColor="text1"/>
              </w:rPr>
              <w:t xml:space="preserve">, 5.5.1. pielikums </w:t>
            </w:r>
            <w:r w:rsidRPr="005B564F">
              <w:rPr>
                <w:bCs/>
                <w:color w:val="000000" w:themeColor="text1"/>
              </w:rPr>
              <w:tab/>
            </w:r>
          </w:p>
          <w:p w14:paraId="47280C97" w14:textId="4BE10B7C" w:rsidR="000E732C" w:rsidRPr="00C07EB2" w:rsidRDefault="000E732C" w:rsidP="000E732C">
            <w:r w:rsidRPr="005B564F">
              <w:rPr>
                <w:bCs/>
                <w:color w:val="000000" w:themeColor="text1"/>
              </w:rPr>
              <w:tab/>
            </w:r>
            <w:r w:rsidRPr="005B564F">
              <w:rPr>
                <w:bCs/>
                <w:color w:val="000000" w:themeColor="text1"/>
              </w:rPr>
              <w:tab/>
            </w:r>
          </w:p>
        </w:tc>
        <w:tc>
          <w:tcPr>
            <w:tcW w:w="1026" w:type="pct"/>
          </w:tcPr>
          <w:p w14:paraId="6677E6A7" w14:textId="1382766E" w:rsidR="000E732C" w:rsidRPr="00C07EB2" w:rsidRDefault="000E732C" w:rsidP="000E732C">
            <w:pPr>
              <w:ind w:left="57"/>
            </w:pPr>
            <w:r w:rsidRPr="005B564F">
              <w:rPr>
                <w:bCs/>
                <w:color w:val="000000" w:themeColor="text1"/>
              </w:rPr>
              <w:t>Likumprojekta 5.pants par reglamentēto profesiju likuma 15. panta piekt</w:t>
            </w:r>
            <w:r>
              <w:rPr>
                <w:bCs/>
                <w:color w:val="000000" w:themeColor="text1"/>
              </w:rPr>
              <w:t>o</w:t>
            </w:r>
            <w:r w:rsidRPr="005B564F">
              <w:rPr>
                <w:bCs/>
                <w:color w:val="000000" w:themeColor="text1"/>
              </w:rPr>
              <w:t xml:space="preserve"> daļ</w:t>
            </w:r>
            <w:r>
              <w:rPr>
                <w:bCs/>
                <w:color w:val="000000" w:themeColor="text1"/>
              </w:rPr>
              <w:t>u</w:t>
            </w:r>
          </w:p>
        </w:tc>
        <w:tc>
          <w:tcPr>
            <w:tcW w:w="1231" w:type="pct"/>
            <w:gridSpan w:val="2"/>
          </w:tcPr>
          <w:p w14:paraId="20D880CB" w14:textId="0F062066" w:rsidR="000E732C" w:rsidRPr="00C07EB2" w:rsidRDefault="000E732C" w:rsidP="000E732C">
            <w:pPr>
              <w:ind w:left="57"/>
            </w:pPr>
            <w:r w:rsidRPr="005B564F">
              <w:rPr>
                <w:bCs/>
                <w:color w:val="000000" w:themeColor="text1"/>
              </w:rPr>
              <w:t>Tiks ieviesta pilnībā</w:t>
            </w:r>
          </w:p>
        </w:tc>
        <w:tc>
          <w:tcPr>
            <w:tcW w:w="1155" w:type="pct"/>
          </w:tcPr>
          <w:p w14:paraId="2CD1A358" w14:textId="791592A3" w:rsidR="000E732C" w:rsidRPr="00C07EB2" w:rsidRDefault="000E732C" w:rsidP="000E732C">
            <w:pPr>
              <w:ind w:left="57"/>
            </w:pPr>
            <w:r w:rsidRPr="005B564F">
              <w:rPr>
                <w:bCs/>
                <w:color w:val="000000" w:themeColor="text1"/>
              </w:rPr>
              <w:t>Neparedzēs stingrākas prasības.</w:t>
            </w:r>
          </w:p>
        </w:tc>
      </w:tr>
      <w:tr w:rsidR="000E732C" w:rsidRPr="00404CF4" w14:paraId="694D1BBE" w14:textId="77777777" w:rsidTr="00E92DFB">
        <w:trPr>
          <w:cantSplit/>
        </w:trPr>
        <w:tc>
          <w:tcPr>
            <w:tcW w:w="1588" w:type="pct"/>
          </w:tcPr>
          <w:p w14:paraId="3901E333" w14:textId="24CB9149" w:rsidR="000E732C" w:rsidRPr="005B564F" w:rsidRDefault="000E732C" w:rsidP="000E732C">
            <w:pPr>
              <w:rPr>
                <w:bCs/>
                <w:color w:val="000000" w:themeColor="text1"/>
              </w:rPr>
            </w:pPr>
            <w:r>
              <w:rPr>
                <w:bCs/>
                <w:color w:val="000000" w:themeColor="text1"/>
              </w:rPr>
              <w:t>D</w:t>
            </w:r>
            <w:r w:rsidRPr="00082C22">
              <w:rPr>
                <w:bCs/>
                <w:color w:val="000000" w:themeColor="text1"/>
              </w:rPr>
              <w:t>irektīva</w:t>
            </w:r>
            <w:r>
              <w:rPr>
                <w:bCs/>
                <w:color w:val="000000" w:themeColor="text1"/>
              </w:rPr>
              <w:t>s 2005/36/EK 55.a panta 1.punkts</w:t>
            </w:r>
            <w:r w:rsidRPr="00082C22">
              <w:rPr>
                <w:bCs/>
                <w:color w:val="000000" w:themeColor="text1"/>
              </w:rPr>
              <w:t xml:space="preserve">  </w:t>
            </w:r>
          </w:p>
        </w:tc>
        <w:tc>
          <w:tcPr>
            <w:tcW w:w="1026" w:type="pct"/>
          </w:tcPr>
          <w:p w14:paraId="1875EB7B" w14:textId="3D94996E" w:rsidR="000E732C" w:rsidRPr="005B564F" w:rsidRDefault="000E732C" w:rsidP="000E732C">
            <w:pPr>
              <w:ind w:left="57"/>
              <w:rPr>
                <w:bCs/>
                <w:color w:val="000000" w:themeColor="text1"/>
              </w:rPr>
            </w:pPr>
            <w:r w:rsidRPr="005B564F">
              <w:rPr>
                <w:bCs/>
                <w:color w:val="000000" w:themeColor="text1"/>
              </w:rPr>
              <w:t xml:space="preserve">Likumprojekta </w:t>
            </w:r>
            <w:r>
              <w:rPr>
                <w:bCs/>
                <w:color w:val="000000" w:themeColor="text1"/>
              </w:rPr>
              <w:t>2</w:t>
            </w:r>
            <w:r w:rsidRPr="005B564F">
              <w:rPr>
                <w:bCs/>
                <w:color w:val="000000" w:themeColor="text1"/>
              </w:rPr>
              <w:t xml:space="preserve">.pants par </w:t>
            </w:r>
            <w:r>
              <w:rPr>
                <w:bCs/>
                <w:color w:val="000000" w:themeColor="text1"/>
              </w:rPr>
              <w:t>reglamentēto profesiju likuma 3</w:t>
            </w:r>
            <w:r w:rsidRPr="005B564F">
              <w:rPr>
                <w:bCs/>
                <w:color w:val="000000" w:themeColor="text1"/>
              </w:rPr>
              <w:t xml:space="preserve">. panta </w:t>
            </w:r>
            <w:r>
              <w:rPr>
                <w:bCs/>
                <w:color w:val="000000" w:themeColor="text1"/>
              </w:rPr>
              <w:t>ceturto</w:t>
            </w:r>
            <w:r w:rsidRPr="005B564F">
              <w:rPr>
                <w:bCs/>
                <w:color w:val="000000" w:themeColor="text1"/>
              </w:rPr>
              <w:t xml:space="preserve"> daļ</w:t>
            </w:r>
            <w:r>
              <w:rPr>
                <w:bCs/>
                <w:color w:val="000000" w:themeColor="text1"/>
              </w:rPr>
              <w:t>u</w:t>
            </w:r>
          </w:p>
        </w:tc>
        <w:tc>
          <w:tcPr>
            <w:tcW w:w="1231" w:type="pct"/>
            <w:gridSpan w:val="2"/>
          </w:tcPr>
          <w:p w14:paraId="7ED779E3" w14:textId="1ECA853B" w:rsidR="000E732C" w:rsidRPr="005B564F" w:rsidRDefault="000E732C" w:rsidP="000E732C">
            <w:pPr>
              <w:ind w:left="57"/>
              <w:rPr>
                <w:bCs/>
                <w:color w:val="000000" w:themeColor="text1"/>
              </w:rPr>
            </w:pPr>
            <w:r w:rsidRPr="005B564F">
              <w:rPr>
                <w:bCs/>
                <w:color w:val="000000" w:themeColor="text1"/>
              </w:rPr>
              <w:t>Tiks ieviesta pilnībā</w:t>
            </w:r>
          </w:p>
        </w:tc>
        <w:tc>
          <w:tcPr>
            <w:tcW w:w="1155" w:type="pct"/>
          </w:tcPr>
          <w:p w14:paraId="2B6C001D" w14:textId="5A65F0D0" w:rsidR="000E732C" w:rsidRPr="005B564F" w:rsidRDefault="000E732C" w:rsidP="000E732C">
            <w:pPr>
              <w:ind w:left="57"/>
              <w:rPr>
                <w:bCs/>
                <w:color w:val="000000" w:themeColor="text1"/>
              </w:rPr>
            </w:pPr>
            <w:r w:rsidRPr="005B564F">
              <w:rPr>
                <w:bCs/>
                <w:color w:val="000000" w:themeColor="text1"/>
              </w:rPr>
              <w:t>Neparedzēs stingrākas prasības.</w:t>
            </w:r>
          </w:p>
        </w:tc>
      </w:tr>
      <w:tr w:rsidR="00370A64" w:rsidRPr="00404CF4" w14:paraId="4FA0BFED" w14:textId="77777777" w:rsidTr="00E92DFB">
        <w:trPr>
          <w:cantSplit/>
        </w:trPr>
        <w:tc>
          <w:tcPr>
            <w:tcW w:w="1588" w:type="pct"/>
          </w:tcPr>
          <w:p w14:paraId="64315829" w14:textId="74301882" w:rsidR="00370A64" w:rsidRDefault="00370A64" w:rsidP="00370A64">
            <w:pPr>
              <w:rPr>
                <w:bCs/>
                <w:color w:val="000000" w:themeColor="text1"/>
              </w:rPr>
            </w:pPr>
            <w:r>
              <w:rPr>
                <w:bCs/>
                <w:color w:val="000000" w:themeColor="text1"/>
              </w:rPr>
              <w:t>D</w:t>
            </w:r>
            <w:r w:rsidRPr="00082C22">
              <w:rPr>
                <w:bCs/>
                <w:color w:val="000000" w:themeColor="text1"/>
              </w:rPr>
              <w:t>irektīva</w:t>
            </w:r>
            <w:r>
              <w:rPr>
                <w:bCs/>
                <w:color w:val="000000" w:themeColor="text1"/>
              </w:rPr>
              <w:t>s 2005/36/EK 21. panta 4. punkts</w:t>
            </w:r>
            <w:r w:rsidRPr="00082C22">
              <w:rPr>
                <w:bCs/>
                <w:color w:val="000000" w:themeColor="text1"/>
              </w:rPr>
              <w:t xml:space="preserve">  </w:t>
            </w:r>
          </w:p>
        </w:tc>
        <w:tc>
          <w:tcPr>
            <w:tcW w:w="1026" w:type="pct"/>
          </w:tcPr>
          <w:p w14:paraId="540FFDA0" w14:textId="320046D2" w:rsidR="00370A64" w:rsidRPr="005B564F" w:rsidRDefault="00370A64" w:rsidP="00370A64">
            <w:pPr>
              <w:ind w:left="57"/>
              <w:rPr>
                <w:bCs/>
                <w:color w:val="000000" w:themeColor="text1"/>
              </w:rPr>
            </w:pPr>
            <w:r w:rsidRPr="005B564F">
              <w:rPr>
                <w:bCs/>
                <w:color w:val="000000" w:themeColor="text1"/>
              </w:rPr>
              <w:t xml:space="preserve">Likumprojekta </w:t>
            </w:r>
            <w:r w:rsidR="00EE566B">
              <w:rPr>
                <w:bCs/>
                <w:color w:val="000000" w:themeColor="text1"/>
              </w:rPr>
              <w:t>11</w:t>
            </w:r>
            <w:r w:rsidRPr="005B564F">
              <w:rPr>
                <w:bCs/>
                <w:color w:val="000000" w:themeColor="text1"/>
              </w:rPr>
              <w:t xml:space="preserve">.pants par </w:t>
            </w:r>
            <w:r w:rsidR="00EE566B">
              <w:rPr>
                <w:bCs/>
                <w:color w:val="000000" w:themeColor="text1"/>
              </w:rPr>
              <w:t>reglamentēto profesiju likuma 49</w:t>
            </w:r>
            <w:r w:rsidRPr="005B564F">
              <w:rPr>
                <w:bCs/>
                <w:color w:val="000000" w:themeColor="text1"/>
              </w:rPr>
              <w:t xml:space="preserve">. panta </w:t>
            </w:r>
            <w:r w:rsidR="00EE566B">
              <w:rPr>
                <w:bCs/>
                <w:color w:val="000000" w:themeColor="text1"/>
              </w:rPr>
              <w:t>trešo</w:t>
            </w:r>
            <w:r w:rsidRPr="005B564F">
              <w:rPr>
                <w:bCs/>
                <w:color w:val="000000" w:themeColor="text1"/>
              </w:rPr>
              <w:t xml:space="preserve"> daļ</w:t>
            </w:r>
            <w:r>
              <w:rPr>
                <w:bCs/>
                <w:color w:val="000000" w:themeColor="text1"/>
              </w:rPr>
              <w:t>u</w:t>
            </w:r>
          </w:p>
        </w:tc>
        <w:tc>
          <w:tcPr>
            <w:tcW w:w="1231" w:type="pct"/>
            <w:gridSpan w:val="2"/>
          </w:tcPr>
          <w:p w14:paraId="0481D013" w14:textId="2DC402C5" w:rsidR="00370A64" w:rsidRPr="005B564F" w:rsidRDefault="00370A64" w:rsidP="00370A64">
            <w:pPr>
              <w:ind w:left="57"/>
              <w:rPr>
                <w:bCs/>
                <w:color w:val="000000" w:themeColor="text1"/>
              </w:rPr>
            </w:pPr>
            <w:r w:rsidRPr="005B564F">
              <w:rPr>
                <w:bCs/>
                <w:color w:val="000000" w:themeColor="text1"/>
              </w:rPr>
              <w:t>Tiks ieviesta pilnībā</w:t>
            </w:r>
          </w:p>
        </w:tc>
        <w:tc>
          <w:tcPr>
            <w:tcW w:w="1155" w:type="pct"/>
          </w:tcPr>
          <w:p w14:paraId="0318206E" w14:textId="53AB1656" w:rsidR="00370A64" w:rsidRPr="005B564F" w:rsidRDefault="00370A64" w:rsidP="00370A64">
            <w:pPr>
              <w:ind w:left="57"/>
              <w:rPr>
                <w:bCs/>
                <w:color w:val="000000" w:themeColor="text1"/>
              </w:rPr>
            </w:pPr>
            <w:r w:rsidRPr="005B564F">
              <w:rPr>
                <w:bCs/>
                <w:color w:val="000000" w:themeColor="text1"/>
              </w:rPr>
              <w:t>Neparedzēs stingrākas prasības.</w:t>
            </w:r>
          </w:p>
        </w:tc>
      </w:tr>
      <w:tr w:rsidR="00370A64" w:rsidRPr="00404CF4" w14:paraId="6F7477C9" w14:textId="77777777" w:rsidTr="00E92DFB">
        <w:tc>
          <w:tcPr>
            <w:tcW w:w="1588" w:type="pct"/>
            <w:hideMark/>
          </w:tcPr>
          <w:p w14:paraId="4E93FDD5" w14:textId="77777777" w:rsidR="00370A64" w:rsidRPr="00404CF4" w:rsidRDefault="00370A64" w:rsidP="00370A64">
            <w:r w:rsidRPr="00404CF4">
              <w:t>Kā ir izmantota ES tiesību aktā paredzētā rīcības brīvība dalībvalstij pārņemt vai ieviest noteiktas ES tiesību akta normas? Kādēļ?</w:t>
            </w:r>
          </w:p>
        </w:tc>
        <w:tc>
          <w:tcPr>
            <w:tcW w:w="3412" w:type="pct"/>
            <w:gridSpan w:val="4"/>
            <w:hideMark/>
          </w:tcPr>
          <w:p w14:paraId="711FE3D6" w14:textId="52D614FA" w:rsidR="00370A64" w:rsidRPr="00404CF4" w:rsidRDefault="00370A64" w:rsidP="00370A64">
            <w:pPr>
              <w:ind w:firstLine="108"/>
              <w:jc w:val="both"/>
            </w:pPr>
            <w:r>
              <w:t xml:space="preserve">Projektā paredzēts izmantot direktīvas 2005/36/EK 7. pantā noteikto rīcības brīvību nepieciešamības gadījumā noteikt pienākumu īslaicīgu pakalpojumu sniedzējam iesniegt deklarāciju īslaicīgu pakalpojumu sniegšanai reglamentētajās profesijās, ar kuru (tai skaitā ar deklarācijai pievienotajiem dokumentiem) kompetentās institūcijas tiks informētas par pakalpojumu sniedzēja kvalifikāciju.  Iesniegt deklarāciju īslaicīgu pakalpojumu sniegšanai var būt nepieciešams profesijās, kurās profesionālā darbība saistīta ar pakalpojumu saņēmēja veselību un drošību. </w:t>
            </w:r>
          </w:p>
        </w:tc>
      </w:tr>
      <w:tr w:rsidR="00370A64" w:rsidRPr="00404CF4" w14:paraId="2F32ED8C" w14:textId="77777777" w:rsidTr="00E92DFB">
        <w:tc>
          <w:tcPr>
            <w:tcW w:w="1588" w:type="pct"/>
            <w:hideMark/>
          </w:tcPr>
          <w:p w14:paraId="62243B5A" w14:textId="77777777" w:rsidR="00370A64" w:rsidRPr="00404CF4" w:rsidRDefault="00370A64" w:rsidP="00370A64">
            <w:r w:rsidRPr="00404CF4">
              <w:t xml:space="preserve">Saistības sniegt paziņojumu ES institūcijām un ES dalībvalstīm atbilstoši normatīvajiem aktiem, kas regulē informācijas sniegšanu par tehnisko noteikumu, valsts atbalsta piešķiršanas un finanšu </w:t>
            </w:r>
            <w:r w:rsidRPr="00404CF4">
              <w:lastRenderedPageBreak/>
              <w:t>noteikumu (attiecībā uz monetāro politiku) projektiem</w:t>
            </w:r>
          </w:p>
        </w:tc>
        <w:tc>
          <w:tcPr>
            <w:tcW w:w="3412" w:type="pct"/>
            <w:gridSpan w:val="4"/>
            <w:hideMark/>
          </w:tcPr>
          <w:p w14:paraId="3C18A980" w14:textId="77777777" w:rsidR="00370A64" w:rsidRPr="00404CF4" w:rsidRDefault="00370A64" w:rsidP="00370A64">
            <w:pPr>
              <w:ind w:firstLine="108"/>
            </w:pPr>
            <w:r w:rsidRPr="00404CF4">
              <w:lastRenderedPageBreak/>
              <w:t>Projekts šo jomu neskar.</w:t>
            </w:r>
          </w:p>
          <w:p w14:paraId="32844EFA" w14:textId="77777777" w:rsidR="00370A64" w:rsidRPr="00404CF4" w:rsidRDefault="00370A64" w:rsidP="00370A64">
            <w:pPr>
              <w:ind w:firstLine="108"/>
            </w:pPr>
          </w:p>
          <w:p w14:paraId="2305C3BD" w14:textId="192B706A" w:rsidR="00370A64" w:rsidRPr="00404CF4" w:rsidRDefault="00370A64" w:rsidP="00370A64">
            <w:pPr>
              <w:ind w:firstLine="108"/>
            </w:pPr>
          </w:p>
        </w:tc>
      </w:tr>
      <w:tr w:rsidR="00370A64" w:rsidRPr="00404CF4" w14:paraId="391081B1" w14:textId="77777777" w:rsidTr="00E92DFB">
        <w:trPr>
          <w:cantSplit/>
        </w:trPr>
        <w:tc>
          <w:tcPr>
            <w:tcW w:w="1588" w:type="pct"/>
            <w:hideMark/>
          </w:tcPr>
          <w:p w14:paraId="4FCFDD10" w14:textId="77777777" w:rsidR="00370A64" w:rsidRPr="00404CF4" w:rsidRDefault="00370A64" w:rsidP="00370A64">
            <w:r w:rsidRPr="00404CF4">
              <w:t>Cita informācija</w:t>
            </w:r>
          </w:p>
        </w:tc>
        <w:tc>
          <w:tcPr>
            <w:tcW w:w="3412" w:type="pct"/>
            <w:gridSpan w:val="4"/>
            <w:hideMark/>
          </w:tcPr>
          <w:p w14:paraId="74609A68" w14:textId="77777777" w:rsidR="00370A64" w:rsidRPr="00404CF4" w:rsidRDefault="00370A64" w:rsidP="00370A64">
            <w:pPr>
              <w:ind w:firstLine="108"/>
            </w:pPr>
            <w:r w:rsidRPr="00404CF4">
              <w:t>Nav.</w:t>
            </w:r>
          </w:p>
        </w:tc>
      </w:tr>
      <w:tr w:rsidR="00370A64" w:rsidRPr="00404CF4" w14:paraId="0A207ECB" w14:textId="77777777" w:rsidTr="00E92DFB">
        <w:trPr>
          <w:cantSplit/>
        </w:trPr>
        <w:tc>
          <w:tcPr>
            <w:tcW w:w="5000" w:type="pct"/>
            <w:gridSpan w:val="5"/>
            <w:vAlign w:val="center"/>
            <w:hideMark/>
          </w:tcPr>
          <w:p w14:paraId="494C2B28" w14:textId="77777777" w:rsidR="00370A64" w:rsidRPr="00404CF4" w:rsidRDefault="00370A64" w:rsidP="00370A64">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370A64" w:rsidRPr="00404CF4" w14:paraId="098BF643" w14:textId="77777777" w:rsidTr="00E92DFB">
        <w:trPr>
          <w:cantSplit/>
        </w:trPr>
        <w:tc>
          <w:tcPr>
            <w:tcW w:w="1588" w:type="pct"/>
            <w:vAlign w:val="center"/>
          </w:tcPr>
          <w:p w14:paraId="5674924B" w14:textId="23B83B0C" w:rsidR="00370A64" w:rsidRPr="00404CF4" w:rsidRDefault="00370A64" w:rsidP="00370A64">
            <w:pPr>
              <w:rPr>
                <w:bCs/>
              </w:rPr>
            </w:pPr>
            <w:r w:rsidRPr="00404CF4">
              <w:rPr>
                <w:shd w:val="clear" w:color="auto" w:fill="FFFFFF"/>
              </w:rPr>
              <w:t>Attiecīgā starptautiskā tiesību akta vai starptautiskas institūcijas vai organizācijas dokumenta (turpmāk – starptautiskais dokuments) datums, numurs un nosaukums</w:t>
            </w:r>
          </w:p>
        </w:tc>
        <w:tc>
          <w:tcPr>
            <w:tcW w:w="3412" w:type="pct"/>
            <w:gridSpan w:val="4"/>
          </w:tcPr>
          <w:p w14:paraId="7E727F56" w14:textId="5A4F6BBF" w:rsidR="00370A64" w:rsidRPr="00404CF4" w:rsidRDefault="00370A64" w:rsidP="00370A64">
            <w:pPr>
              <w:rPr>
                <w:bCs/>
              </w:rPr>
            </w:pPr>
            <w:r w:rsidRPr="00404CF4">
              <w:rPr>
                <w:bCs/>
              </w:rPr>
              <w:t>Projekts šo jomu neskar.</w:t>
            </w:r>
          </w:p>
        </w:tc>
      </w:tr>
      <w:tr w:rsidR="00370A64" w:rsidRPr="00404CF4" w14:paraId="38CB29EC" w14:textId="77777777" w:rsidTr="00E92DFB">
        <w:trPr>
          <w:cantSplit/>
        </w:trPr>
        <w:tc>
          <w:tcPr>
            <w:tcW w:w="1588" w:type="pct"/>
            <w:vAlign w:val="center"/>
          </w:tcPr>
          <w:p w14:paraId="3E4EC9DB" w14:textId="4C762BD5" w:rsidR="00370A64" w:rsidRPr="00404CF4" w:rsidRDefault="00370A64" w:rsidP="00370A64">
            <w:pPr>
              <w:jc w:val="center"/>
              <w:rPr>
                <w:bCs/>
              </w:rPr>
            </w:pPr>
            <w:r w:rsidRPr="00404CF4">
              <w:rPr>
                <w:bCs/>
              </w:rPr>
              <w:t>A</w:t>
            </w:r>
          </w:p>
        </w:tc>
        <w:tc>
          <w:tcPr>
            <w:tcW w:w="2051" w:type="pct"/>
            <w:gridSpan w:val="2"/>
            <w:vAlign w:val="center"/>
          </w:tcPr>
          <w:p w14:paraId="6FA29D37" w14:textId="6C7C7719" w:rsidR="00370A64" w:rsidRPr="00404CF4" w:rsidRDefault="00370A64" w:rsidP="00370A64">
            <w:pPr>
              <w:jc w:val="center"/>
              <w:rPr>
                <w:bCs/>
              </w:rPr>
            </w:pPr>
            <w:r w:rsidRPr="00404CF4">
              <w:rPr>
                <w:bCs/>
              </w:rPr>
              <w:t>B</w:t>
            </w:r>
          </w:p>
        </w:tc>
        <w:tc>
          <w:tcPr>
            <w:tcW w:w="1361" w:type="pct"/>
            <w:gridSpan w:val="2"/>
            <w:vAlign w:val="center"/>
          </w:tcPr>
          <w:p w14:paraId="332F4DDF" w14:textId="7DF1E96C" w:rsidR="00370A64" w:rsidRPr="00404CF4" w:rsidRDefault="00370A64" w:rsidP="00370A64">
            <w:pPr>
              <w:jc w:val="center"/>
              <w:rPr>
                <w:bCs/>
              </w:rPr>
            </w:pPr>
            <w:r w:rsidRPr="00404CF4">
              <w:rPr>
                <w:bCs/>
              </w:rPr>
              <w:t>C</w:t>
            </w:r>
          </w:p>
        </w:tc>
      </w:tr>
      <w:tr w:rsidR="00370A64" w:rsidRPr="00404CF4" w14:paraId="764F03E9" w14:textId="77777777" w:rsidTr="00E92DFB">
        <w:trPr>
          <w:cantSplit/>
        </w:trPr>
        <w:tc>
          <w:tcPr>
            <w:tcW w:w="1588" w:type="pct"/>
          </w:tcPr>
          <w:p w14:paraId="35B6C392" w14:textId="2DD27978" w:rsidR="00370A64" w:rsidRPr="00404CF4" w:rsidRDefault="00370A64" w:rsidP="00370A64">
            <w:pPr>
              <w:rPr>
                <w:bCs/>
              </w:rPr>
            </w:pPr>
            <w:r w:rsidRPr="00404CF4">
              <w:rPr>
                <w:shd w:val="clear" w:color="auto" w:fill="FFFFFF"/>
              </w:rPr>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2051" w:type="pct"/>
            <w:gridSpan w:val="2"/>
          </w:tcPr>
          <w:p w14:paraId="3F797794" w14:textId="6CFC86E4" w:rsidR="00370A64" w:rsidRPr="00404CF4" w:rsidRDefault="00370A64" w:rsidP="00370A64">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1" w:type="pct"/>
            <w:gridSpan w:val="2"/>
          </w:tcPr>
          <w:p w14:paraId="31ED43CE" w14:textId="298EF576" w:rsidR="00370A64" w:rsidRPr="00404CF4" w:rsidRDefault="00370A64" w:rsidP="00370A64">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370A64" w:rsidRPr="00404CF4" w14:paraId="10A568D0" w14:textId="77777777" w:rsidTr="00E92DFB">
        <w:trPr>
          <w:cantSplit/>
        </w:trPr>
        <w:tc>
          <w:tcPr>
            <w:tcW w:w="1588" w:type="pct"/>
            <w:vAlign w:val="center"/>
          </w:tcPr>
          <w:p w14:paraId="4660AF38" w14:textId="607A1DC2" w:rsidR="00370A64" w:rsidRPr="00404CF4" w:rsidRDefault="00370A64" w:rsidP="00370A64">
            <w:pPr>
              <w:rPr>
                <w:shd w:val="clear" w:color="auto" w:fill="FFFFFF"/>
              </w:rPr>
            </w:pPr>
            <w:r w:rsidRPr="00404CF4">
              <w:rPr>
                <w:shd w:val="clear" w:color="auto" w:fill="FFFFFF"/>
              </w:rPr>
              <w:t>-</w:t>
            </w:r>
          </w:p>
        </w:tc>
        <w:tc>
          <w:tcPr>
            <w:tcW w:w="2051" w:type="pct"/>
            <w:gridSpan w:val="2"/>
          </w:tcPr>
          <w:p w14:paraId="062ED755" w14:textId="47D47B76" w:rsidR="00370A64" w:rsidRPr="00404CF4" w:rsidRDefault="00370A64" w:rsidP="00370A64">
            <w:pPr>
              <w:rPr>
                <w:shd w:val="clear" w:color="auto" w:fill="FFFFFF"/>
              </w:rPr>
            </w:pPr>
            <w:r w:rsidRPr="00404CF4">
              <w:rPr>
                <w:shd w:val="clear" w:color="auto" w:fill="FFFFFF"/>
              </w:rPr>
              <w:t>-</w:t>
            </w:r>
          </w:p>
        </w:tc>
        <w:tc>
          <w:tcPr>
            <w:tcW w:w="1361" w:type="pct"/>
            <w:gridSpan w:val="2"/>
            <w:vAlign w:val="center"/>
          </w:tcPr>
          <w:p w14:paraId="4E077F24" w14:textId="3D912B7E" w:rsidR="00370A64" w:rsidRPr="00404CF4" w:rsidRDefault="00370A64" w:rsidP="00370A64">
            <w:pPr>
              <w:rPr>
                <w:shd w:val="clear" w:color="auto" w:fill="FFFFFF"/>
              </w:rPr>
            </w:pPr>
            <w:r w:rsidRPr="00404CF4">
              <w:rPr>
                <w:shd w:val="clear" w:color="auto" w:fill="FFFFFF"/>
              </w:rPr>
              <w:t>-</w:t>
            </w:r>
          </w:p>
        </w:tc>
      </w:tr>
      <w:tr w:rsidR="00370A64" w:rsidRPr="00404CF4" w14:paraId="7FDA6AEB" w14:textId="77777777" w:rsidTr="00E92DFB">
        <w:trPr>
          <w:cantSplit/>
        </w:trPr>
        <w:tc>
          <w:tcPr>
            <w:tcW w:w="1588" w:type="pct"/>
            <w:vAlign w:val="center"/>
          </w:tcPr>
          <w:p w14:paraId="4DF310AD" w14:textId="52B7AE5F" w:rsidR="00370A64" w:rsidRPr="00404CF4" w:rsidRDefault="00370A64" w:rsidP="00370A64">
            <w:pPr>
              <w:rPr>
                <w:bCs/>
              </w:rPr>
            </w:pPr>
            <w:r w:rsidRPr="00404CF4">
              <w:rPr>
                <w:shd w:val="clear" w:color="auto" w:fill="FFFFFF"/>
              </w:rPr>
              <w:t>Vai starptautiskajā dokumentā paredzētās saistības nav pretrunā ar jau esošajām Latvijas Republikas starptautiskajām saistībām</w:t>
            </w:r>
          </w:p>
        </w:tc>
        <w:tc>
          <w:tcPr>
            <w:tcW w:w="3412" w:type="pct"/>
            <w:gridSpan w:val="4"/>
          </w:tcPr>
          <w:p w14:paraId="4C8E081F" w14:textId="2AAFDB69" w:rsidR="00370A64" w:rsidRPr="00404CF4" w:rsidRDefault="00370A64" w:rsidP="00370A64">
            <w:pPr>
              <w:rPr>
                <w:bCs/>
              </w:rPr>
            </w:pPr>
            <w:r w:rsidRPr="00404CF4">
              <w:rPr>
                <w:bCs/>
              </w:rPr>
              <w:t>Projekts šo jomu neskar.</w:t>
            </w:r>
          </w:p>
        </w:tc>
      </w:tr>
      <w:tr w:rsidR="00370A64" w:rsidRPr="00404CF4" w14:paraId="77DA3AF4" w14:textId="77777777" w:rsidTr="00E92DFB">
        <w:trPr>
          <w:cantSplit/>
        </w:trPr>
        <w:tc>
          <w:tcPr>
            <w:tcW w:w="1588" w:type="pct"/>
            <w:vAlign w:val="center"/>
          </w:tcPr>
          <w:p w14:paraId="46058FD8" w14:textId="1F50189C" w:rsidR="00370A64" w:rsidRPr="00404CF4" w:rsidRDefault="00370A64" w:rsidP="00370A64">
            <w:pPr>
              <w:rPr>
                <w:shd w:val="clear" w:color="auto" w:fill="FFFFFF"/>
              </w:rPr>
            </w:pPr>
            <w:r w:rsidRPr="00404CF4">
              <w:rPr>
                <w:shd w:val="clear" w:color="auto" w:fill="FFFFFF"/>
              </w:rPr>
              <w:t>Cita informācija</w:t>
            </w:r>
          </w:p>
        </w:tc>
        <w:tc>
          <w:tcPr>
            <w:tcW w:w="3412" w:type="pct"/>
            <w:gridSpan w:val="4"/>
            <w:vAlign w:val="center"/>
          </w:tcPr>
          <w:p w14:paraId="5E6C3280" w14:textId="37810464" w:rsidR="00370A64" w:rsidRPr="00404CF4" w:rsidRDefault="00370A64" w:rsidP="00370A64">
            <w:pPr>
              <w:rPr>
                <w:bCs/>
              </w:rPr>
            </w:pPr>
            <w:r w:rsidRPr="00404CF4">
              <w:rPr>
                <w:bCs/>
              </w:rPr>
              <w:t>Nav</w:t>
            </w:r>
          </w:p>
        </w:tc>
      </w:tr>
    </w:tbl>
    <w:p w14:paraId="05320356" w14:textId="3F795E1C" w:rsidR="00161647" w:rsidRPr="00404CF4"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1B1B15" w:rsidRPr="00404CF4" w14:paraId="56321BB1" w14:textId="77777777" w:rsidTr="00E92DFB">
        <w:trPr>
          <w:cantSplit/>
        </w:trPr>
        <w:tc>
          <w:tcPr>
            <w:tcW w:w="5000" w:type="pct"/>
            <w:gridSpan w:val="3"/>
            <w:vAlign w:val="center"/>
            <w:hideMark/>
          </w:tcPr>
          <w:p w14:paraId="087045CA" w14:textId="77777777" w:rsidR="00BD5588" w:rsidRPr="00404CF4" w:rsidRDefault="00222C95" w:rsidP="00E273A1">
            <w:pPr>
              <w:jc w:val="center"/>
              <w:rPr>
                <w:b/>
                <w:bCs/>
              </w:rPr>
            </w:pPr>
            <w:r w:rsidRPr="00404CF4">
              <w:rPr>
                <w:b/>
                <w:bCs/>
              </w:rPr>
              <w:t>VI. Sabiedrības līdzdalība un komunikācijas aktivitātes</w:t>
            </w:r>
          </w:p>
        </w:tc>
      </w:tr>
      <w:tr w:rsidR="001B1B15" w:rsidRPr="00404CF4" w14:paraId="4786D969" w14:textId="77777777" w:rsidTr="006F25C0">
        <w:tc>
          <w:tcPr>
            <w:tcW w:w="306" w:type="pct"/>
            <w:hideMark/>
          </w:tcPr>
          <w:p w14:paraId="5B5D2FD0" w14:textId="77777777" w:rsidR="00BD5588" w:rsidRPr="00404CF4" w:rsidRDefault="00222C95" w:rsidP="00E273A1">
            <w:pPr>
              <w:jc w:val="center"/>
            </w:pPr>
            <w:r w:rsidRPr="00404CF4">
              <w:t>1.</w:t>
            </w:r>
          </w:p>
        </w:tc>
        <w:tc>
          <w:tcPr>
            <w:tcW w:w="1307" w:type="pct"/>
            <w:hideMark/>
          </w:tcPr>
          <w:p w14:paraId="21002897" w14:textId="77777777" w:rsidR="00BD5588" w:rsidRPr="00404CF4" w:rsidRDefault="00222C95" w:rsidP="00E273A1">
            <w:r w:rsidRPr="00404CF4">
              <w:t>Plānotās sabiedrības līdzdalības un komunikācijas aktivitātes saistībā ar projektu</w:t>
            </w:r>
          </w:p>
        </w:tc>
        <w:tc>
          <w:tcPr>
            <w:tcW w:w="3387" w:type="pct"/>
          </w:tcPr>
          <w:p w14:paraId="165B345A" w14:textId="5C346250" w:rsidR="003727B5" w:rsidRDefault="003727B5" w:rsidP="006F25C0">
            <w:pPr>
              <w:jc w:val="both"/>
              <w:rPr>
                <w:color w:val="000000" w:themeColor="text1"/>
              </w:rPr>
            </w:pPr>
            <w:r>
              <w:rPr>
                <w:color w:val="000000" w:themeColor="text1"/>
              </w:rPr>
              <w:t xml:space="preserve">     </w:t>
            </w:r>
            <w:r w:rsidR="00315286">
              <w:rPr>
                <w:color w:val="000000" w:themeColor="text1"/>
              </w:rPr>
              <w:t xml:space="preserve">Saistībā ar </w:t>
            </w:r>
            <w:r w:rsidR="00C27721">
              <w:rPr>
                <w:color w:val="000000" w:themeColor="text1"/>
              </w:rPr>
              <w:t>l</w:t>
            </w:r>
            <w:r w:rsidR="003A5D20" w:rsidRPr="005B564F">
              <w:rPr>
                <w:color w:val="000000" w:themeColor="text1"/>
              </w:rPr>
              <w:t>ikumprojekt</w:t>
            </w:r>
            <w:r w:rsidR="00315286">
              <w:rPr>
                <w:color w:val="000000" w:themeColor="text1"/>
              </w:rPr>
              <w:t xml:space="preserve">a izstrādi </w:t>
            </w:r>
            <w:r>
              <w:rPr>
                <w:color w:val="000000" w:themeColor="text1"/>
              </w:rPr>
              <w:t>tiks īstenoti šādi sabiedrības informēšanas pasākumi:</w:t>
            </w:r>
          </w:p>
          <w:p w14:paraId="32D88D17" w14:textId="79EA804B" w:rsidR="003A5D20" w:rsidRDefault="003727B5" w:rsidP="004F6D3B">
            <w:pPr>
              <w:jc w:val="both"/>
              <w:rPr>
                <w:color w:val="000000" w:themeColor="text1"/>
              </w:rPr>
            </w:pPr>
            <w:r>
              <w:rPr>
                <w:color w:val="000000" w:themeColor="text1"/>
              </w:rPr>
              <w:t xml:space="preserve">1) </w:t>
            </w:r>
            <w:r w:rsidRPr="006F25C0">
              <w:rPr>
                <w:color w:val="000000" w:themeColor="text1"/>
              </w:rPr>
              <w:t>likumprojekts</w:t>
            </w:r>
            <w:r w:rsidR="003A5D20" w:rsidRPr="006F25C0">
              <w:rPr>
                <w:color w:val="000000" w:themeColor="text1"/>
              </w:rPr>
              <w:t xml:space="preserve"> tik</w:t>
            </w:r>
            <w:r w:rsidR="004F6D3B">
              <w:rPr>
                <w:color w:val="000000" w:themeColor="text1"/>
              </w:rPr>
              <w:t>a</w:t>
            </w:r>
            <w:r w:rsidR="003A5D20" w:rsidRPr="006F25C0">
              <w:rPr>
                <w:color w:val="000000" w:themeColor="text1"/>
              </w:rPr>
              <w:t xml:space="preserve"> publicēts ministrijas tīmekļa vietnē</w:t>
            </w:r>
            <w:r w:rsidR="00FE6857">
              <w:rPr>
                <w:color w:val="000000" w:themeColor="text1"/>
              </w:rPr>
              <w:t xml:space="preserve"> www.izm.gov.lv</w:t>
            </w:r>
            <w:r w:rsidR="003A5D20" w:rsidRPr="006F25C0">
              <w:rPr>
                <w:color w:val="000000" w:themeColor="text1"/>
              </w:rPr>
              <w:t xml:space="preserve"> </w:t>
            </w:r>
            <w:r w:rsidR="004F6D3B">
              <w:rPr>
                <w:color w:val="000000" w:themeColor="text1"/>
              </w:rPr>
              <w:t xml:space="preserve">2019.gada 4.jūlijā, t.i. </w:t>
            </w:r>
            <w:r w:rsidR="00FE6857">
              <w:rPr>
                <w:color w:val="000000" w:themeColor="text1"/>
              </w:rPr>
              <w:t xml:space="preserve">divas nedēļas pirms </w:t>
            </w:r>
            <w:r w:rsidR="003A5D20" w:rsidRPr="006F25C0">
              <w:rPr>
                <w:color w:val="000000" w:themeColor="text1"/>
              </w:rPr>
              <w:t xml:space="preserve"> tā izsludināšanas Valsts sekretāru </w:t>
            </w:r>
            <w:r w:rsidR="004F6D3B" w:rsidRPr="006F25C0">
              <w:rPr>
                <w:color w:val="000000" w:themeColor="text1"/>
              </w:rPr>
              <w:t>sanāksm</w:t>
            </w:r>
            <w:r w:rsidR="004F6D3B">
              <w:rPr>
                <w:color w:val="000000" w:themeColor="text1"/>
              </w:rPr>
              <w:t>ē (</w:t>
            </w:r>
            <w:hyperlink r:id="rId8" w:history="1">
              <w:r w:rsidR="004F6D3B">
                <w:rPr>
                  <w:rStyle w:val="Hyperlink"/>
                </w:rPr>
                <w:t>https://www.izm.gov.lv/lv/sabiedribas-</w:t>
              </w:r>
              <w:r w:rsidR="004F6D3B">
                <w:rPr>
                  <w:rStyle w:val="Hyperlink"/>
                </w:rPr>
                <w:lastRenderedPageBreak/>
                <w:t>lidzdaliba/sabiedriskajai-apspriesanai-nodotie-normativo-aktu-projekti</w:t>
              </w:r>
            </w:hyperlink>
            <w:r w:rsidR="004F6D3B">
              <w:t>)</w:t>
            </w:r>
            <w:r w:rsidR="004F6D3B">
              <w:rPr>
                <w:color w:val="000000" w:themeColor="text1"/>
              </w:rPr>
              <w:t>.</w:t>
            </w:r>
          </w:p>
          <w:p w14:paraId="4B65A184" w14:textId="2A4AA34D" w:rsidR="003727B5" w:rsidRDefault="003727B5" w:rsidP="006F25C0">
            <w:pPr>
              <w:jc w:val="both"/>
              <w:rPr>
                <w:color w:val="000000" w:themeColor="text1"/>
              </w:rPr>
            </w:pPr>
            <w:r>
              <w:rPr>
                <w:color w:val="000000" w:themeColor="text1"/>
              </w:rPr>
              <w:t xml:space="preserve">     Pēc projekta pieņemšanas plānots organizēt šādus sabiedrības informēšanas pasākumus:</w:t>
            </w:r>
          </w:p>
          <w:p w14:paraId="0C67981E" w14:textId="25681753" w:rsidR="003727B5" w:rsidRPr="003727B5" w:rsidRDefault="003727B5" w:rsidP="006F25C0">
            <w:pPr>
              <w:jc w:val="both"/>
              <w:rPr>
                <w:color w:val="000000" w:themeColor="text1"/>
              </w:rPr>
            </w:pPr>
            <w:r>
              <w:rPr>
                <w:color w:val="000000" w:themeColor="text1"/>
              </w:rPr>
              <w:t xml:space="preserve">1) </w:t>
            </w:r>
            <w:r w:rsidRPr="006F25C0">
              <w:rPr>
                <w:color w:val="000000" w:themeColor="text1"/>
              </w:rPr>
              <w:t xml:space="preserve">atzīšanas institūcijas un informācijas institūcijas </w:t>
            </w:r>
            <w:r w:rsidRPr="003727B5">
              <w:rPr>
                <w:color w:val="000000" w:themeColor="text1"/>
              </w:rPr>
              <w:t>tiks informētas par likum</w:t>
            </w:r>
            <w:r w:rsidRPr="006F25C0">
              <w:rPr>
                <w:color w:val="000000" w:themeColor="text1"/>
              </w:rPr>
              <w:t>u ar īpašu e-pastu</w:t>
            </w:r>
            <w:r w:rsidRPr="003727B5">
              <w:rPr>
                <w:color w:val="000000" w:themeColor="text1"/>
              </w:rPr>
              <w:t>,</w:t>
            </w:r>
          </w:p>
          <w:p w14:paraId="25538812" w14:textId="4B0AEA1B" w:rsidR="003727B5" w:rsidRDefault="003727B5" w:rsidP="006F25C0">
            <w:pPr>
              <w:jc w:val="both"/>
              <w:rPr>
                <w:color w:val="000000" w:themeColor="text1"/>
              </w:rPr>
            </w:pPr>
            <w:r>
              <w:rPr>
                <w:color w:val="000000" w:themeColor="text1"/>
              </w:rPr>
              <w:t xml:space="preserve">2) ikgadējā </w:t>
            </w:r>
            <w:r w:rsidR="00FE6857">
              <w:rPr>
                <w:color w:val="000000" w:themeColor="text1"/>
              </w:rPr>
              <w:t>atzīšanas institūciju un informācijas institūciju seminārā ministrija ziņos par pieņemto likumu un skaidros to būtību un mērķi, kā arī piemērošanas veidu,</w:t>
            </w:r>
          </w:p>
          <w:p w14:paraId="35EE54D8" w14:textId="77777777" w:rsidR="00161647" w:rsidRDefault="00FE6857" w:rsidP="006F25C0">
            <w:pPr>
              <w:rPr>
                <w:color w:val="000000" w:themeColor="text1"/>
              </w:rPr>
            </w:pPr>
            <w:r>
              <w:rPr>
                <w:color w:val="000000" w:themeColor="text1"/>
              </w:rPr>
              <w:t xml:space="preserve">3) ministrijas tīmekļa vietnē www.izm.gov.lv tiks publicēta </w:t>
            </w:r>
            <w:proofErr w:type="spellStart"/>
            <w:r>
              <w:rPr>
                <w:color w:val="000000" w:themeColor="text1"/>
              </w:rPr>
              <w:t>relīze</w:t>
            </w:r>
            <w:proofErr w:type="spellEnd"/>
            <w:r>
              <w:rPr>
                <w:color w:val="000000" w:themeColor="text1"/>
              </w:rPr>
              <w:t xml:space="preserve"> par pieņemto likumu.</w:t>
            </w:r>
          </w:p>
          <w:p w14:paraId="1339B03F" w14:textId="77777777" w:rsidR="00B64D08" w:rsidRDefault="00B64D08" w:rsidP="006F25C0">
            <w:pPr>
              <w:rPr>
                <w:color w:val="000000" w:themeColor="text1"/>
              </w:rPr>
            </w:pPr>
          </w:p>
          <w:p w14:paraId="43A88721" w14:textId="77777777" w:rsidR="004F6D3B" w:rsidRDefault="00B64D08" w:rsidP="004F6D3B">
            <w:pPr>
              <w:rPr>
                <w:sz w:val="22"/>
                <w:szCs w:val="22"/>
                <w:lang w:val="en-US"/>
              </w:rPr>
            </w:pPr>
            <w:r>
              <w:rPr>
                <w:color w:val="000000" w:themeColor="text1"/>
              </w:rPr>
              <w:t xml:space="preserve">2019.gada 5.jūlijā publicēta ministrijas preses </w:t>
            </w:r>
            <w:proofErr w:type="spellStart"/>
            <w:r>
              <w:rPr>
                <w:color w:val="000000" w:themeColor="text1"/>
              </w:rPr>
              <w:t>relīze</w:t>
            </w:r>
            <w:proofErr w:type="spellEnd"/>
            <w:r>
              <w:rPr>
                <w:color w:val="000000" w:themeColor="text1"/>
              </w:rPr>
              <w:t xml:space="preserve"> par likumprojektu, kurš nodots sabiedriskajai apspriešanai</w:t>
            </w:r>
            <w:r w:rsidR="004F6D3B">
              <w:rPr>
                <w:color w:val="000000" w:themeColor="text1"/>
              </w:rPr>
              <w:t xml:space="preserve">: </w:t>
            </w:r>
            <w:hyperlink r:id="rId9" w:history="1">
              <w:r w:rsidR="004F6D3B">
                <w:rPr>
                  <w:rStyle w:val="Hyperlink"/>
                  <w:lang w:val="en-US"/>
                </w:rPr>
                <w:t>https://www.izm.gov.lv/lv/aktualitates/3569-sabiedriskajai-apspriesanai-nodots-grozijumu-likuma-par-reglamentetajam-profesijam-un-profesionalas-kvalifikacijas-atzisanu-projekts</w:t>
              </w:r>
            </w:hyperlink>
          </w:p>
          <w:p w14:paraId="142E1922" w14:textId="7E4FC103" w:rsidR="00B64D08" w:rsidRPr="006D2F23" w:rsidRDefault="00B64D08" w:rsidP="006F25C0">
            <w:pPr>
              <w:rPr>
                <w:lang w:val="en-US"/>
              </w:rPr>
            </w:pPr>
          </w:p>
        </w:tc>
      </w:tr>
      <w:tr w:rsidR="009B1677" w:rsidRPr="00404CF4" w14:paraId="4E93E920" w14:textId="77777777" w:rsidTr="006F25C0">
        <w:trPr>
          <w:cantSplit/>
        </w:trPr>
        <w:tc>
          <w:tcPr>
            <w:tcW w:w="306" w:type="pct"/>
            <w:hideMark/>
          </w:tcPr>
          <w:p w14:paraId="1B4F637E" w14:textId="18227686" w:rsidR="009B1677" w:rsidRPr="00404CF4" w:rsidRDefault="009B1677" w:rsidP="009B1677">
            <w:pPr>
              <w:jc w:val="center"/>
            </w:pPr>
            <w:r w:rsidRPr="00404CF4">
              <w:lastRenderedPageBreak/>
              <w:t>2.</w:t>
            </w:r>
          </w:p>
        </w:tc>
        <w:tc>
          <w:tcPr>
            <w:tcW w:w="1307" w:type="pct"/>
            <w:hideMark/>
          </w:tcPr>
          <w:p w14:paraId="4FA8A427" w14:textId="77777777" w:rsidR="009B1677" w:rsidRPr="00404CF4" w:rsidRDefault="009B1677" w:rsidP="009B1677">
            <w:r w:rsidRPr="00404CF4">
              <w:t>Sabiedrības līdzdalība projekta izstrādē</w:t>
            </w:r>
          </w:p>
        </w:tc>
        <w:tc>
          <w:tcPr>
            <w:tcW w:w="3387" w:type="pct"/>
          </w:tcPr>
          <w:p w14:paraId="48B8569F" w14:textId="77777777" w:rsidR="009B1677" w:rsidRDefault="009B1677" w:rsidP="009B1677">
            <w:pPr>
              <w:rPr>
                <w:color w:val="000000" w:themeColor="text1"/>
              </w:rPr>
            </w:pPr>
            <w:r w:rsidRPr="005B564F">
              <w:rPr>
                <w:color w:val="000000" w:themeColor="text1"/>
              </w:rPr>
              <w:t>Likumprojekta izstrādes gaitā atsevišķos jautājumos tika apzināti ekspertu viedokļi.</w:t>
            </w:r>
          </w:p>
          <w:p w14:paraId="08BC1D1D" w14:textId="6DE29851" w:rsidR="00315286" w:rsidRPr="00BE2541" w:rsidRDefault="00315286" w:rsidP="00315286">
            <w:pPr>
              <w:shd w:val="clear" w:color="auto" w:fill="FFFFFF"/>
              <w:rPr>
                <w:bCs/>
              </w:rPr>
            </w:pPr>
            <w:r>
              <w:rPr>
                <w:color w:val="000000" w:themeColor="text1"/>
              </w:rPr>
              <w:t>Sabiedrības līdzdalība likumprojekta izstrādē tie</w:t>
            </w:r>
            <w:r w:rsidR="00D2727D">
              <w:rPr>
                <w:color w:val="000000" w:themeColor="text1"/>
              </w:rPr>
              <w:t>k</w:t>
            </w:r>
            <w:r>
              <w:rPr>
                <w:color w:val="000000" w:themeColor="text1"/>
              </w:rPr>
              <w:t xml:space="preserve"> īstenota saskaņā ar </w:t>
            </w:r>
            <w:r w:rsidRPr="00BE2541">
              <w:rPr>
                <w:bCs/>
              </w:rPr>
              <w:t xml:space="preserve">Ministru kabineta </w:t>
            </w:r>
            <w:r w:rsidRPr="00BE2541">
              <w:t xml:space="preserve">2009.gada 25.augusta </w:t>
            </w:r>
            <w:r w:rsidR="00FE6857">
              <w:rPr>
                <w:bCs/>
              </w:rPr>
              <w:t>noteikumu</w:t>
            </w:r>
            <w:r w:rsidRPr="00BE2541">
              <w:rPr>
                <w:bCs/>
              </w:rPr>
              <w:t xml:space="preserve"> Nr.970</w:t>
            </w:r>
            <w:r w:rsidRPr="00BE2541">
              <w:t> “</w:t>
            </w:r>
            <w:r w:rsidRPr="00BE2541">
              <w:rPr>
                <w:bCs/>
              </w:rPr>
              <w:t>Sabiedrības līdzdalības kārtība attīstības plānošanas procesā”</w:t>
            </w:r>
            <w:r>
              <w:rPr>
                <w:bCs/>
              </w:rPr>
              <w:t xml:space="preserve"> 7.4.</w:t>
            </w:r>
            <w:r w:rsidRPr="006F25C0">
              <w:rPr>
                <w:bCs/>
                <w:vertAlign w:val="superscript"/>
              </w:rPr>
              <w:t>1</w:t>
            </w:r>
            <w:r>
              <w:rPr>
                <w:bCs/>
              </w:rPr>
              <w:t>, 7.5. un 7.6. apakšpunktos noteiktajā veidā.</w:t>
            </w:r>
          </w:p>
          <w:p w14:paraId="21582BC5" w14:textId="65109887" w:rsidR="009B1677" w:rsidRPr="00404CF4" w:rsidRDefault="009B1677" w:rsidP="00D2727D">
            <w:pPr>
              <w:pStyle w:val="naisnod"/>
              <w:spacing w:before="0" w:after="0"/>
              <w:ind w:right="57"/>
              <w:jc w:val="both"/>
              <w:rPr>
                <w:b w:val="0"/>
              </w:rPr>
            </w:pPr>
          </w:p>
        </w:tc>
      </w:tr>
      <w:tr w:rsidR="009B1677" w:rsidRPr="00404CF4" w14:paraId="3913ECCF" w14:textId="77777777" w:rsidTr="006F25C0">
        <w:trPr>
          <w:cantSplit/>
        </w:trPr>
        <w:tc>
          <w:tcPr>
            <w:tcW w:w="306" w:type="pct"/>
            <w:hideMark/>
          </w:tcPr>
          <w:p w14:paraId="1B63522F" w14:textId="77777777" w:rsidR="009B1677" w:rsidRPr="00404CF4" w:rsidRDefault="009B1677" w:rsidP="009B1677">
            <w:pPr>
              <w:jc w:val="center"/>
            </w:pPr>
            <w:r w:rsidRPr="00404CF4">
              <w:t>3.</w:t>
            </w:r>
          </w:p>
        </w:tc>
        <w:tc>
          <w:tcPr>
            <w:tcW w:w="1307" w:type="pct"/>
            <w:hideMark/>
          </w:tcPr>
          <w:p w14:paraId="4C549B95" w14:textId="77777777" w:rsidR="009B1677" w:rsidRPr="00404CF4" w:rsidRDefault="009B1677" w:rsidP="009B1677">
            <w:r w:rsidRPr="00404CF4">
              <w:t>Sabiedrības līdzdalības rezultāti</w:t>
            </w:r>
          </w:p>
        </w:tc>
        <w:tc>
          <w:tcPr>
            <w:tcW w:w="3387" w:type="pct"/>
          </w:tcPr>
          <w:p w14:paraId="45AB8A1B" w14:textId="699F9EA9" w:rsidR="009B1677" w:rsidRPr="005B564F" w:rsidRDefault="009B1677" w:rsidP="009B1677">
            <w:pPr>
              <w:rPr>
                <w:color w:val="000000" w:themeColor="text1"/>
              </w:rPr>
            </w:pPr>
            <w:r w:rsidRPr="005B564F">
              <w:rPr>
                <w:color w:val="000000" w:themeColor="text1"/>
              </w:rPr>
              <w:t xml:space="preserve">Sabiedrības informētība ir nodrošināta, </w:t>
            </w:r>
            <w:r w:rsidR="004F6D3B">
              <w:rPr>
                <w:color w:val="000000" w:themeColor="text1"/>
              </w:rPr>
              <w:t>viedokļi netika saņemti.</w:t>
            </w:r>
            <w:r w:rsidRPr="005B564F">
              <w:rPr>
                <w:color w:val="000000" w:themeColor="text1"/>
              </w:rPr>
              <w:t xml:space="preserve">  </w:t>
            </w:r>
          </w:p>
          <w:p w14:paraId="64E17A0B" w14:textId="62DFFAF6" w:rsidR="009B1677" w:rsidRPr="00404CF4" w:rsidRDefault="009B1677" w:rsidP="009B1677">
            <w:pPr>
              <w:ind w:firstLine="108"/>
              <w:jc w:val="both"/>
            </w:pPr>
          </w:p>
        </w:tc>
      </w:tr>
      <w:tr w:rsidR="001B1B15" w:rsidRPr="00404CF4" w14:paraId="3ADE953F" w14:textId="77777777" w:rsidTr="006F25C0">
        <w:trPr>
          <w:cantSplit/>
        </w:trPr>
        <w:tc>
          <w:tcPr>
            <w:tcW w:w="306" w:type="pct"/>
            <w:hideMark/>
          </w:tcPr>
          <w:p w14:paraId="4C70A1DB" w14:textId="77777777" w:rsidR="00BD5588" w:rsidRPr="00404CF4" w:rsidRDefault="00222C95" w:rsidP="00E273A1">
            <w:pPr>
              <w:jc w:val="center"/>
            </w:pPr>
            <w:r w:rsidRPr="00404CF4">
              <w:t>4.</w:t>
            </w:r>
          </w:p>
        </w:tc>
        <w:tc>
          <w:tcPr>
            <w:tcW w:w="1307" w:type="pct"/>
            <w:hideMark/>
          </w:tcPr>
          <w:p w14:paraId="17FE348A" w14:textId="77777777" w:rsidR="00BD5588" w:rsidRPr="00404CF4" w:rsidRDefault="00222C95" w:rsidP="00E273A1">
            <w:r w:rsidRPr="00404CF4">
              <w:t>Cita informācija</w:t>
            </w:r>
          </w:p>
        </w:tc>
        <w:tc>
          <w:tcPr>
            <w:tcW w:w="3387" w:type="pct"/>
            <w:hideMark/>
          </w:tcPr>
          <w:p w14:paraId="02C7E5C7" w14:textId="77777777" w:rsidR="00BD5588" w:rsidRPr="00404CF4" w:rsidRDefault="00222C95" w:rsidP="00EA3D31">
            <w:pPr>
              <w:ind w:firstLine="108"/>
            </w:pPr>
            <w:r w:rsidRPr="00404CF4">
              <w:t>Nav</w:t>
            </w:r>
            <w:r w:rsidR="00EA3D31" w:rsidRPr="00404CF4">
              <w:t>.</w:t>
            </w:r>
          </w:p>
          <w:p w14:paraId="0E324DC7" w14:textId="58319FAF" w:rsidR="00161647" w:rsidRPr="00404CF4" w:rsidRDefault="00161647" w:rsidP="00EA3D31">
            <w:pPr>
              <w:ind w:firstLine="108"/>
            </w:pPr>
          </w:p>
        </w:tc>
      </w:tr>
    </w:tbl>
    <w:p w14:paraId="39B3FF37" w14:textId="2E1C3BE7" w:rsidR="00161647" w:rsidRPr="00404CF4"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2C97733B" w14:textId="77777777" w:rsidTr="00E92DFB">
        <w:trPr>
          <w:cantSplit/>
          <w:trHeight w:val="669"/>
        </w:trPr>
        <w:tc>
          <w:tcPr>
            <w:tcW w:w="5000" w:type="pct"/>
            <w:gridSpan w:val="3"/>
            <w:vAlign w:val="center"/>
            <w:hideMark/>
          </w:tcPr>
          <w:p w14:paraId="7A9C9DBF" w14:textId="77777777" w:rsidR="00D21A8A" w:rsidRPr="00404CF4" w:rsidRDefault="00222C95" w:rsidP="00B76031">
            <w:pPr>
              <w:jc w:val="center"/>
              <w:rPr>
                <w:b/>
                <w:bCs/>
              </w:rPr>
            </w:pPr>
            <w:r w:rsidRPr="00404CF4">
              <w:rPr>
                <w:b/>
                <w:bCs/>
              </w:rPr>
              <w:t>VII. Tiesību akta projekta izpildes nodrošināšan</w:t>
            </w:r>
            <w:r w:rsidR="00B76031" w:rsidRPr="00404CF4">
              <w:rPr>
                <w:b/>
                <w:bCs/>
              </w:rPr>
              <w:t>a un tās ietekme uz institūcijām</w:t>
            </w:r>
          </w:p>
          <w:p w14:paraId="655C9A47" w14:textId="77777777" w:rsidR="00CE1FA4" w:rsidRPr="00404CF4" w:rsidRDefault="00CE1FA4" w:rsidP="00D21A8A"/>
        </w:tc>
      </w:tr>
      <w:tr w:rsidR="009B1677" w:rsidRPr="00C07EB2" w14:paraId="294901AB" w14:textId="77777777" w:rsidTr="009B1677">
        <w:trPr>
          <w:cantSplit/>
        </w:trPr>
        <w:tc>
          <w:tcPr>
            <w:tcW w:w="306" w:type="pct"/>
            <w:hideMark/>
          </w:tcPr>
          <w:p w14:paraId="492C6551" w14:textId="77777777" w:rsidR="009B1677" w:rsidRPr="00C07EB2" w:rsidRDefault="009B1677" w:rsidP="009B1677">
            <w:pPr>
              <w:jc w:val="center"/>
            </w:pPr>
            <w:r w:rsidRPr="00C07EB2">
              <w:t>1.</w:t>
            </w:r>
          </w:p>
        </w:tc>
        <w:tc>
          <w:tcPr>
            <w:tcW w:w="1456" w:type="pct"/>
            <w:hideMark/>
          </w:tcPr>
          <w:p w14:paraId="4737A7D2" w14:textId="77777777" w:rsidR="009B1677" w:rsidRPr="00C07EB2" w:rsidRDefault="009B1677" w:rsidP="009B1677">
            <w:r w:rsidRPr="00C07EB2">
              <w:t>Projekta izpildē iesaistītās institūcijas</w:t>
            </w:r>
          </w:p>
        </w:tc>
        <w:tc>
          <w:tcPr>
            <w:tcW w:w="3238" w:type="pct"/>
            <w:hideMark/>
          </w:tcPr>
          <w:p w14:paraId="6B3F4A35" w14:textId="77777777" w:rsidR="009B1677" w:rsidRPr="005B564F" w:rsidRDefault="009B1677" w:rsidP="009B1677">
            <w:pPr>
              <w:pStyle w:val="ListParagraph"/>
              <w:tabs>
                <w:tab w:val="left" w:pos="220"/>
              </w:tabs>
              <w:ind w:left="0"/>
              <w:jc w:val="both"/>
              <w:rPr>
                <w:color w:val="000000" w:themeColor="text1"/>
                <w:lang w:eastAsia="en-US"/>
              </w:rPr>
            </w:pPr>
            <w:r w:rsidRPr="005B564F">
              <w:rPr>
                <w:color w:val="000000" w:themeColor="text1"/>
                <w:lang w:eastAsia="en-US"/>
              </w:rPr>
              <w:t xml:space="preserve">    Likumprojektā noteiktais attieksies uz </w:t>
            </w:r>
            <w:r w:rsidRPr="005B564F">
              <w:rPr>
                <w:color w:val="000000" w:themeColor="text1"/>
              </w:rPr>
              <w:t>informācijas institūcijām un atzīšanas institūcijām, ko nosaka noteikumi Nr.566.</w:t>
            </w:r>
          </w:p>
          <w:p w14:paraId="3D2E037F" w14:textId="152BDA90" w:rsidR="009B1677" w:rsidRPr="00C07EB2" w:rsidRDefault="009B1677" w:rsidP="009B1677">
            <w:pPr>
              <w:jc w:val="both"/>
            </w:pPr>
          </w:p>
        </w:tc>
      </w:tr>
      <w:tr w:rsidR="009B1677" w:rsidRPr="00404CF4" w14:paraId="3E389F79" w14:textId="77777777" w:rsidTr="009B1677">
        <w:tc>
          <w:tcPr>
            <w:tcW w:w="306" w:type="pct"/>
            <w:hideMark/>
          </w:tcPr>
          <w:p w14:paraId="70D1D17D" w14:textId="6C5BB529" w:rsidR="009B1677" w:rsidRPr="00404CF4" w:rsidRDefault="009B1677" w:rsidP="009B1677">
            <w:pPr>
              <w:jc w:val="center"/>
            </w:pPr>
            <w:r w:rsidRPr="00404CF4">
              <w:t>2.</w:t>
            </w:r>
          </w:p>
        </w:tc>
        <w:tc>
          <w:tcPr>
            <w:tcW w:w="1456" w:type="pct"/>
            <w:hideMark/>
          </w:tcPr>
          <w:p w14:paraId="3C5E967B" w14:textId="77777777" w:rsidR="009B1677" w:rsidRPr="00404CF4" w:rsidRDefault="009B1677" w:rsidP="009B1677">
            <w:r w:rsidRPr="00404CF4">
              <w:t>Projekta izpildes ietekme uz pārvaldes funkcijām un institucionālo struktūru.</w:t>
            </w:r>
            <w:r w:rsidRPr="00404CF4">
              <w:br/>
              <w:t>Jaunu institūciju izveide, esošu institūciju likvidācija vai reorganizācija, to ietekme uz institūcijas cilvēkresursiem</w:t>
            </w:r>
          </w:p>
        </w:tc>
        <w:tc>
          <w:tcPr>
            <w:tcW w:w="3238" w:type="pct"/>
            <w:hideMark/>
          </w:tcPr>
          <w:p w14:paraId="3165C62B" w14:textId="77777777" w:rsidR="009B1677" w:rsidRPr="002302E5" w:rsidRDefault="009B1677" w:rsidP="006F25C0">
            <w:pPr>
              <w:jc w:val="both"/>
              <w:rPr>
                <w:color w:val="000000" w:themeColor="text1"/>
              </w:rPr>
            </w:pPr>
            <w:r w:rsidRPr="005B564F">
              <w:rPr>
                <w:color w:val="000000" w:themeColor="text1"/>
              </w:rPr>
              <w:t xml:space="preserve">       </w:t>
            </w:r>
            <w:r>
              <w:rPr>
                <w:color w:val="000000" w:themeColor="text1"/>
              </w:rPr>
              <w:t>Projekts neietekmēs pārvaldes funkcijas</w:t>
            </w:r>
            <w:r w:rsidRPr="002302E5">
              <w:rPr>
                <w:color w:val="000000" w:themeColor="text1"/>
              </w:rPr>
              <w:t xml:space="preserve"> un institucionālo struktūru. </w:t>
            </w:r>
          </w:p>
          <w:p w14:paraId="13BFC015" w14:textId="28701CD7" w:rsidR="009B1677" w:rsidRPr="00404CF4" w:rsidRDefault="009B1677" w:rsidP="006F25C0">
            <w:pPr>
              <w:ind w:firstLine="108"/>
              <w:jc w:val="both"/>
            </w:pPr>
            <w:r>
              <w:rPr>
                <w:color w:val="000000" w:themeColor="text1"/>
              </w:rPr>
              <w:t>Projekta izpilde neprasa jaunu institūciju izveidi</w:t>
            </w:r>
            <w:r w:rsidRPr="002302E5">
              <w:rPr>
                <w:color w:val="000000" w:themeColor="text1"/>
              </w:rPr>
              <w:t>, esošu institūciju likvidācij</w:t>
            </w:r>
            <w:r>
              <w:rPr>
                <w:color w:val="000000" w:themeColor="text1"/>
              </w:rPr>
              <w:t>u</w:t>
            </w:r>
            <w:r w:rsidRPr="002302E5">
              <w:rPr>
                <w:color w:val="000000" w:themeColor="text1"/>
              </w:rPr>
              <w:t xml:space="preserve"> vai reorganizācij</w:t>
            </w:r>
            <w:r>
              <w:rPr>
                <w:color w:val="000000" w:themeColor="text1"/>
              </w:rPr>
              <w:t>u</w:t>
            </w:r>
            <w:r w:rsidRPr="002302E5">
              <w:rPr>
                <w:color w:val="000000" w:themeColor="text1"/>
              </w:rPr>
              <w:t xml:space="preserve">, </w:t>
            </w:r>
            <w:r>
              <w:rPr>
                <w:color w:val="000000" w:themeColor="text1"/>
              </w:rPr>
              <w:t xml:space="preserve">neietekmēs cilvēkresursus. </w:t>
            </w:r>
          </w:p>
        </w:tc>
      </w:tr>
      <w:tr w:rsidR="001B1B15" w:rsidRPr="00404CF4" w14:paraId="1E6AAD1C" w14:textId="77777777" w:rsidTr="009B1677">
        <w:trPr>
          <w:cantSplit/>
        </w:trPr>
        <w:tc>
          <w:tcPr>
            <w:tcW w:w="306" w:type="pct"/>
            <w:hideMark/>
          </w:tcPr>
          <w:p w14:paraId="1D4AC77D" w14:textId="77777777" w:rsidR="00BD5588" w:rsidRPr="00404CF4" w:rsidRDefault="00222C95" w:rsidP="00E273A1">
            <w:pPr>
              <w:jc w:val="center"/>
            </w:pPr>
            <w:r w:rsidRPr="00404CF4">
              <w:t>3.</w:t>
            </w:r>
          </w:p>
        </w:tc>
        <w:tc>
          <w:tcPr>
            <w:tcW w:w="1456" w:type="pct"/>
            <w:hideMark/>
          </w:tcPr>
          <w:p w14:paraId="58D3DAC7" w14:textId="77777777" w:rsidR="00BD5588" w:rsidRPr="00404CF4" w:rsidRDefault="00222C95" w:rsidP="00E273A1">
            <w:r w:rsidRPr="00404CF4">
              <w:t>Cita informācija</w:t>
            </w:r>
          </w:p>
        </w:tc>
        <w:tc>
          <w:tcPr>
            <w:tcW w:w="3238" w:type="pct"/>
            <w:hideMark/>
          </w:tcPr>
          <w:p w14:paraId="527CF25D" w14:textId="4B5A9394" w:rsidR="00BD5588" w:rsidRPr="00404CF4" w:rsidRDefault="002F4583" w:rsidP="00EA1889">
            <w:pPr>
              <w:ind w:firstLine="108"/>
            </w:pPr>
            <w:r>
              <w:t xml:space="preserve">Nav. </w:t>
            </w:r>
          </w:p>
        </w:tc>
      </w:tr>
    </w:tbl>
    <w:p w14:paraId="28AAB903" w14:textId="6B294B7F" w:rsidR="00D21A8A" w:rsidRPr="00404CF4" w:rsidRDefault="00D21A8A" w:rsidP="00D21A8A">
      <w:pPr>
        <w:tabs>
          <w:tab w:val="left" w:pos="6804"/>
        </w:tabs>
        <w:rPr>
          <w:lang w:eastAsia="ru-RU"/>
        </w:rPr>
      </w:pPr>
    </w:p>
    <w:p w14:paraId="277CABD7" w14:textId="0E44FAE8" w:rsidR="004E4DD9" w:rsidRPr="00404CF4" w:rsidRDefault="004E4DD9" w:rsidP="00D21A8A">
      <w:pPr>
        <w:tabs>
          <w:tab w:val="left" w:pos="6804"/>
        </w:tabs>
        <w:rPr>
          <w:lang w:eastAsia="ru-RU"/>
        </w:rPr>
      </w:pPr>
    </w:p>
    <w:p w14:paraId="6712E2F6" w14:textId="476D49BE" w:rsidR="00D21A8A" w:rsidRPr="00404CF4" w:rsidRDefault="00222C95" w:rsidP="00466C3A">
      <w:pPr>
        <w:tabs>
          <w:tab w:val="left" w:pos="6946"/>
        </w:tabs>
        <w:rPr>
          <w:lang w:eastAsia="ru-RU"/>
        </w:rPr>
      </w:pPr>
      <w:r w:rsidRPr="00404CF4">
        <w:rPr>
          <w:lang w:eastAsia="ru-RU"/>
        </w:rPr>
        <w:lastRenderedPageBreak/>
        <w:t xml:space="preserve">Izglītības un zinātnes </w:t>
      </w:r>
      <w:r w:rsidR="00301C78">
        <w:rPr>
          <w:lang w:eastAsia="ru-RU"/>
        </w:rPr>
        <w:t xml:space="preserve">ministre                                                    </w:t>
      </w:r>
      <w:r w:rsidR="00E92DFB">
        <w:rPr>
          <w:lang w:eastAsia="ru-RU"/>
        </w:rPr>
        <w:t xml:space="preserve">I. </w:t>
      </w:r>
      <w:r w:rsidR="00301C78">
        <w:rPr>
          <w:lang w:eastAsia="ru-RU"/>
        </w:rPr>
        <w:t>Šuplinska</w:t>
      </w:r>
    </w:p>
    <w:p w14:paraId="5ADBE5D6" w14:textId="6006315D" w:rsidR="00D21A8A" w:rsidRPr="00404CF4" w:rsidRDefault="00D21A8A" w:rsidP="00D21A8A">
      <w:pPr>
        <w:rPr>
          <w:lang w:eastAsia="ru-RU"/>
        </w:rPr>
      </w:pPr>
    </w:p>
    <w:p w14:paraId="410D33F6" w14:textId="77777777" w:rsidR="00D21A8A" w:rsidRPr="00404CF4" w:rsidRDefault="00222C95" w:rsidP="00D21A8A">
      <w:pPr>
        <w:rPr>
          <w:lang w:eastAsia="ru-RU"/>
        </w:rPr>
      </w:pPr>
      <w:r w:rsidRPr="00404CF4">
        <w:rPr>
          <w:lang w:eastAsia="ru-RU"/>
        </w:rPr>
        <w:t xml:space="preserve">Vīza: </w:t>
      </w:r>
    </w:p>
    <w:p w14:paraId="328F2974" w14:textId="5909C8AF" w:rsidR="00D21A8A" w:rsidRPr="00404CF4" w:rsidRDefault="00222C95" w:rsidP="00466C3A">
      <w:pPr>
        <w:tabs>
          <w:tab w:val="left" w:pos="7371"/>
        </w:tabs>
        <w:rPr>
          <w:lang w:eastAsia="ru-RU"/>
        </w:rPr>
      </w:pPr>
      <w:r w:rsidRPr="00404CF4">
        <w:rPr>
          <w:lang w:eastAsia="ru-RU"/>
        </w:rPr>
        <w:t xml:space="preserve">Valsts </w:t>
      </w:r>
      <w:r w:rsidR="00B16445" w:rsidRPr="00404CF4">
        <w:rPr>
          <w:lang w:eastAsia="ru-RU"/>
        </w:rPr>
        <w:t xml:space="preserve">sekretāre                                                                           </w:t>
      </w:r>
      <w:r w:rsidR="00E92DFB">
        <w:rPr>
          <w:lang w:eastAsia="ru-RU"/>
        </w:rPr>
        <w:t xml:space="preserve">L. </w:t>
      </w:r>
      <w:r w:rsidR="00B16445" w:rsidRPr="00404CF4">
        <w:rPr>
          <w:lang w:eastAsia="ru-RU"/>
        </w:rPr>
        <w:t>Lejiņa</w:t>
      </w:r>
    </w:p>
    <w:p w14:paraId="6993F1C5" w14:textId="480E9083" w:rsidR="00D21A8A" w:rsidRPr="00404CF4" w:rsidRDefault="00D21A8A" w:rsidP="00D21A8A">
      <w:pPr>
        <w:suppressAutoHyphens/>
        <w:rPr>
          <w:lang w:eastAsia="ru-RU"/>
        </w:rPr>
      </w:pPr>
    </w:p>
    <w:p w14:paraId="5BBF5725" w14:textId="77777777" w:rsidR="004E4DD9" w:rsidRPr="00404CF4" w:rsidRDefault="004E4DD9" w:rsidP="00D21A8A">
      <w:pPr>
        <w:suppressAutoHyphens/>
        <w:rPr>
          <w:lang w:eastAsia="ru-RU"/>
        </w:rPr>
      </w:pPr>
    </w:p>
    <w:p w14:paraId="3187D82D" w14:textId="00700A9D" w:rsidR="005F11BD" w:rsidRPr="00404CF4" w:rsidRDefault="00222C95" w:rsidP="001E1EA0">
      <w:pPr>
        <w:tabs>
          <w:tab w:val="left" w:pos="0"/>
        </w:tabs>
        <w:jc w:val="both"/>
        <w:rPr>
          <w:sz w:val="22"/>
          <w:szCs w:val="22"/>
          <w:lang w:eastAsia="ru-RU"/>
        </w:rPr>
      </w:pPr>
      <w:proofErr w:type="spellStart"/>
      <w:r w:rsidRPr="00404CF4">
        <w:rPr>
          <w:sz w:val="22"/>
          <w:szCs w:val="22"/>
          <w:lang w:eastAsia="ru-RU"/>
        </w:rPr>
        <w:t>I.Stūre</w:t>
      </w:r>
      <w:proofErr w:type="spellEnd"/>
      <w:r w:rsidR="002C2A5C" w:rsidRPr="00404CF4">
        <w:rPr>
          <w:sz w:val="22"/>
          <w:szCs w:val="22"/>
          <w:lang w:eastAsia="ru-RU"/>
        </w:rPr>
        <w:t xml:space="preserve">, </w:t>
      </w:r>
      <w:r w:rsidRPr="00404CF4">
        <w:rPr>
          <w:sz w:val="22"/>
          <w:szCs w:val="22"/>
          <w:lang w:eastAsia="ru-RU"/>
        </w:rPr>
        <w:t>67047899</w:t>
      </w:r>
    </w:p>
    <w:p w14:paraId="2D2572AB" w14:textId="630CA32E" w:rsidR="005F11BD" w:rsidRPr="00D04073" w:rsidRDefault="00222C95" w:rsidP="00AE11F6">
      <w:pPr>
        <w:tabs>
          <w:tab w:val="left" w:pos="0"/>
          <w:tab w:val="right" w:pos="9071"/>
        </w:tabs>
        <w:jc w:val="both"/>
        <w:rPr>
          <w:sz w:val="22"/>
          <w:szCs w:val="22"/>
          <w:lang w:eastAsia="ru-RU"/>
        </w:rPr>
      </w:pPr>
      <w:r w:rsidRPr="00404CF4">
        <w:rPr>
          <w:sz w:val="22"/>
          <w:szCs w:val="22"/>
          <w:lang w:eastAsia="ru-RU"/>
        </w:rPr>
        <w:t>Inese.Sture@izm.gov.lv</w:t>
      </w:r>
      <w:r w:rsidR="00AE11F6">
        <w:rPr>
          <w:sz w:val="22"/>
          <w:szCs w:val="22"/>
          <w:lang w:eastAsia="ru-RU"/>
        </w:rPr>
        <w:tab/>
      </w:r>
    </w:p>
    <w:sectPr w:rsidR="005F11BD" w:rsidRPr="00D04073" w:rsidSect="00E92DFB">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EDFB8" w14:textId="77777777" w:rsidR="00455824" w:rsidRDefault="00455824">
      <w:r>
        <w:separator/>
      </w:r>
    </w:p>
  </w:endnote>
  <w:endnote w:type="continuationSeparator" w:id="0">
    <w:p w14:paraId="2EA6B325" w14:textId="77777777" w:rsidR="00455824" w:rsidRDefault="0045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753E418F" w:rsidR="00315286" w:rsidRPr="002C2A5C" w:rsidRDefault="00315286" w:rsidP="002C2A5C">
    <w:pPr>
      <w:pStyle w:val="Footer"/>
    </w:pPr>
    <w:r w:rsidRPr="002C2A5C">
      <w:rPr>
        <w:sz w:val="20"/>
        <w:szCs w:val="20"/>
      </w:rPr>
      <w:t>IZMAnot_</w:t>
    </w:r>
    <w:r w:rsidR="004F6D3B">
      <w:rPr>
        <w:sz w:val="20"/>
        <w:szCs w:val="20"/>
      </w:rPr>
      <w:t>1507</w:t>
    </w:r>
    <w:r>
      <w:rPr>
        <w:sz w:val="20"/>
        <w:szCs w:val="20"/>
      </w:rPr>
      <w:t>19_reglaprof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4458C6E4" w:rsidR="00315286" w:rsidRPr="00EB796A" w:rsidRDefault="00315286" w:rsidP="00EB796A">
    <w:pPr>
      <w:shd w:val="clear" w:color="auto" w:fill="FFFFFF"/>
      <w:jc w:val="both"/>
      <w:rPr>
        <w:bCs/>
        <w:sz w:val="22"/>
        <w:szCs w:val="22"/>
      </w:rPr>
    </w:pPr>
    <w:r w:rsidRPr="00EB796A">
      <w:rPr>
        <w:sz w:val="22"/>
        <w:szCs w:val="22"/>
      </w:rPr>
      <w:t>IZMAnot_</w:t>
    </w:r>
    <w:r w:rsidR="004F6D3B">
      <w:rPr>
        <w:sz w:val="22"/>
        <w:szCs w:val="22"/>
      </w:rPr>
      <w:t>1507</w:t>
    </w:r>
    <w:r>
      <w:rPr>
        <w:sz w:val="22"/>
        <w:szCs w:val="22"/>
      </w:rPr>
      <w:t>19_reglprof</w:t>
    </w:r>
  </w:p>
  <w:p w14:paraId="15560D43" w14:textId="3C2BFA95" w:rsidR="00315286" w:rsidRDefault="00315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5E370" w14:textId="77777777" w:rsidR="00455824" w:rsidRDefault="00455824">
      <w:r>
        <w:separator/>
      </w:r>
    </w:p>
  </w:footnote>
  <w:footnote w:type="continuationSeparator" w:id="0">
    <w:p w14:paraId="4F29ECC8" w14:textId="77777777" w:rsidR="00455824" w:rsidRDefault="00455824">
      <w:r>
        <w:continuationSeparator/>
      </w:r>
    </w:p>
  </w:footnote>
  <w:footnote w:id="1">
    <w:p w14:paraId="44CFE907" w14:textId="77777777" w:rsidR="00315286" w:rsidRDefault="00315286" w:rsidP="00CB03D6">
      <w:pPr>
        <w:pStyle w:val="FootnoteText"/>
      </w:pPr>
      <w:r>
        <w:rPr>
          <w:rStyle w:val="FootnoteReference"/>
          <w:rFonts w:eastAsia="Calibri"/>
        </w:rPr>
        <w:footnoteRef/>
      </w:r>
      <w:r>
        <w:t xml:space="preserve"> </w:t>
      </w:r>
      <w:r w:rsidRPr="00195FC3">
        <w:t>Ērtības labad turpmāk netiks dota atsauce uz direktīvas 2013/55/EK, bet tikai uz direktīvu 2005/36/EK, kas sevī ietver direktīvu 2013/55/ES.</w:t>
      </w:r>
    </w:p>
  </w:footnote>
  <w:footnote w:id="2">
    <w:p w14:paraId="772B7E57" w14:textId="77777777" w:rsidR="00315286" w:rsidRPr="00942519" w:rsidRDefault="00315286" w:rsidP="00CB03D6">
      <w:pPr>
        <w:pStyle w:val="FootnoteText"/>
      </w:pPr>
      <w:r>
        <w:rPr>
          <w:rStyle w:val="FootnoteReference"/>
          <w:rFonts w:eastAsia="Calibri"/>
        </w:rPr>
        <w:footnoteRef/>
      </w:r>
      <w:r>
        <w:t xml:space="preserve"> </w:t>
      </w:r>
      <w:r w:rsidRPr="00942519">
        <w:t xml:space="preserve">1. Lietošanas pamācība. Direktīva 2005/36/EK. 66 jautājumi, 66 atbildes, 15.lpp. </w:t>
      </w:r>
      <w:hyperlink r:id="rId1" w:history="1">
        <w:r w:rsidRPr="00942519">
          <w:rPr>
            <w:rStyle w:val="Hyperlink"/>
          </w:rPr>
          <w:t>file:///C:/Users/Inese.Sture/Downloads/users_guide_lv%20(5).pdf</w:t>
        </w:r>
      </w:hyperlink>
    </w:p>
    <w:p w14:paraId="5A9AD6C6" w14:textId="77777777" w:rsidR="00315286" w:rsidRDefault="00315286" w:rsidP="00CB03D6">
      <w:pPr>
        <w:pStyle w:val="FootnoteText"/>
      </w:pPr>
      <w:r w:rsidRPr="00942519">
        <w:t xml:space="preserve">2. </w:t>
      </w:r>
      <w:proofErr w:type="spellStart"/>
      <w:r w:rsidRPr="00942519">
        <w:t>Group</w:t>
      </w:r>
      <w:proofErr w:type="spellEnd"/>
      <w:r w:rsidRPr="00942519">
        <w:t xml:space="preserve"> </w:t>
      </w:r>
      <w:proofErr w:type="spellStart"/>
      <w:r w:rsidRPr="00942519">
        <w:t>of</w:t>
      </w:r>
      <w:proofErr w:type="spellEnd"/>
      <w:r w:rsidRPr="00942519">
        <w:t xml:space="preserve"> </w:t>
      </w:r>
      <w:proofErr w:type="spellStart"/>
      <w:r w:rsidRPr="00942519">
        <w:t>Coordinators</w:t>
      </w:r>
      <w:proofErr w:type="spellEnd"/>
      <w:r w:rsidRPr="00942519">
        <w:t xml:space="preserve"> </w:t>
      </w:r>
      <w:proofErr w:type="spellStart"/>
      <w:r w:rsidRPr="00942519">
        <w:t>for</w:t>
      </w:r>
      <w:proofErr w:type="spellEnd"/>
      <w:r w:rsidRPr="00942519">
        <w:t xml:space="preserve"> </w:t>
      </w:r>
      <w:proofErr w:type="spellStart"/>
      <w:r w:rsidRPr="00942519">
        <w:t>recognition</w:t>
      </w:r>
      <w:proofErr w:type="spellEnd"/>
      <w:r w:rsidRPr="00942519">
        <w:t xml:space="preserve"> </w:t>
      </w:r>
      <w:proofErr w:type="spellStart"/>
      <w:r w:rsidRPr="00942519">
        <w:t>of</w:t>
      </w:r>
      <w:proofErr w:type="spellEnd"/>
      <w:r w:rsidRPr="00942519">
        <w:t xml:space="preserve"> </w:t>
      </w:r>
      <w:proofErr w:type="spellStart"/>
      <w:r w:rsidRPr="00942519">
        <w:t>professsional</w:t>
      </w:r>
      <w:proofErr w:type="spellEnd"/>
      <w:r w:rsidRPr="00942519">
        <w:t xml:space="preserve"> </w:t>
      </w:r>
      <w:proofErr w:type="spellStart"/>
      <w:r w:rsidRPr="00942519">
        <w:t>Qualification</w:t>
      </w:r>
      <w:proofErr w:type="spellEnd"/>
      <w:r w:rsidRPr="00942519">
        <w:t xml:space="preserve">. </w:t>
      </w:r>
      <w:proofErr w:type="spellStart"/>
      <w:r w:rsidRPr="00942519">
        <w:t>Frequently</w:t>
      </w:r>
      <w:proofErr w:type="spellEnd"/>
      <w:r w:rsidRPr="00942519">
        <w:t xml:space="preserve"> </w:t>
      </w:r>
      <w:proofErr w:type="spellStart"/>
      <w:r w:rsidRPr="00942519">
        <w:t>Asked</w:t>
      </w:r>
      <w:proofErr w:type="spellEnd"/>
      <w:r w:rsidRPr="00942519">
        <w:t xml:space="preserve"> </w:t>
      </w:r>
      <w:proofErr w:type="spellStart"/>
      <w:r w:rsidRPr="00942519">
        <w:t>Questions</w:t>
      </w:r>
      <w:proofErr w:type="spellEnd"/>
      <w:r w:rsidRPr="00942519">
        <w:t>. Skat. 3.-4. lpp., 2.2. nodaļā pirmo daļu. Skaidrojums ir jāņem vērā daļēji, jo tas attiecas uz direktīvas 2005/36/EK normām, kuras tika grozītas ar direktīvu 2013/55/ES  http://adm.archimedes.ee/enic/wp-includes/ms-files.php?file=2012/08/FAQ_en.pdf</w:t>
      </w:r>
    </w:p>
  </w:footnote>
  <w:footnote w:id="3">
    <w:p w14:paraId="012E5DD9" w14:textId="77777777" w:rsidR="00315286" w:rsidRPr="00577228" w:rsidRDefault="00315286" w:rsidP="00CB03D6">
      <w:pPr>
        <w:pStyle w:val="Default"/>
      </w:pPr>
      <w:r w:rsidRPr="00A350B4">
        <w:rPr>
          <w:rStyle w:val="FootnoteReference"/>
        </w:rPr>
        <w:footnoteRef/>
      </w:r>
      <w:r w:rsidRPr="00A350B4">
        <w:rPr>
          <w:sz w:val="20"/>
          <w:szCs w:val="20"/>
        </w:rPr>
        <w:t xml:space="preserve"> </w:t>
      </w:r>
      <w:proofErr w:type="spellStart"/>
      <w:r w:rsidRPr="00A350B4">
        <w:rPr>
          <w:sz w:val="20"/>
          <w:szCs w:val="20"/>
        </w:rPr>
        <w:t>Brexit</w:t>
      </w:r>
      <w:proofErr w:type="spellEnd"/>
      <w:r w:rsidRPr="00A350B4">
        <w:rPr>
          <w:sz w:val="20"/>
          <w:szCs w:val="20"/>
        </w:rPr>
        <w:t xml:space="preserve"> </w:t>
      </w:r>
      <w:proofErr w:type="spellStart"/>
      <w:r w:rsidRPr="00A350B4">
        <w:rPr>
          <w:sz w:val="20"/>
          <w:szCs w:val="20"/>
        </w:rPr>
        <w:t>Preparedness</w:t>
      </w:r>
      <w:proofErr w:type="spellEnd"/>
      <w:r w:rsidRPr="00A350B4">
        <w:rPr>
          <w:sz w:val="20"/>
          <w:szCs w:val="20"/>
        </w:rPr>
        <w:t xml:space="preserve"> </w:t>
      </w:r>
      <w:proofErr w:type="spellStart"/>
      <w:r w:rsidRPr="00A350B4">
        <w:rPr>
          <w:sz w:val="20"/>
          <w:szCs w:val="20"/>
        </w:rPr>
        <w:t>seminar</w:t>
      </w:r>
      <w:proofErr w:type="spellEnd"/>
      <w:r w:rsidRPr="00A350B4">
        <w:rPr>
          <w:sz w:val="20"/>
          <w:szCs w:val="20"/>
        </w:rPr>
        <w:t xml:space="preserve"> </w:t>
      </w:r>
      <w:proofErr w:type="spellStart"/>
      <w:r w:rsidRPr="00A350B4">
        <w:rPr>
          <w:sz w:val="20"/>
          <w:szCs w:val="20"/>
        </w:rPr>
        <w:t>on</w:t>
      </w:r>
      <w:proofErr w:type="spellEnd"/>
      <w:r w:rsidRPr="00A350B4">
        <w:rPr>
          <w:sz w:val="20"/>
          <w:szCs w:val="20"/>
        </w:rPr>
        <w:t xml:space="preserve"> </w:t>
      </w:r>
      <w:proofErr w:type="spellStart"/>
      <w:r w:rsidRPr="00A350B4">
        <w:rPr>
          <w:sz w:val="20"/>
          <w:szCs w:val="20"/>
        </w:rPr>
        <w:t>professional</w:t>
      </w:r>
      <w:proofErr w:type="spellEnd"/>
      <w:r w:rsidRPr="00A350B4">
        <w:rPr>
          <w:sz w:val="20"/>
          <w:szCs w:val="20"/>
        </w:rPr>
        <w:t xml:space="preserve"> </w:t>
      </w:r>
      <w:proofErr w:type="spellStart"/>
      <w:r w:rsidRPr="00A350B4">
        <w:rPr>
          <w:sz w:val="20"/>
          <w:szCs w:val="20"/>
        </w:rPr>
        <w:t>qualifications</w:t>
      </w:r>
      <w:proofErr w:type="spellEnd"/>
      <w:r w:rsidRPr="00A350B4">
        <w:rPr>
          <w:sz w:val="20"/>
          <w:szCs w:val="20"/>
        </w:rPr>
        <w:t xml:space="preserve">, </w:t>
      </w:r>
      <w:proofErr w:type="spellStart"/>
      <w:r w:rsidRPr="00A350B4">
        <w:rPr>
          <w:sz w:val="20"/>
          <w:szCs w:val="20"/>
        </w:rPr>
        <w:t>intellectual</w:t>
      </w:r>
      <w:proofErr w:type="spellEnd"/>
      <w:r w:rsidRPr="00A350B4">
        <w:rPr>
          <w:sz w:val="20"/>
          <w:szCs w:val="20"/>
        </w:rPr>
        <w:t xml:space="preserve"> </w:t>
      </w:r>
      <w:proofErr w:type="spellStart"/>
      <w:r w:rsidRPr="00A350B4">
        <w:rPr>
          <w:sz w:val="20"/>
          <w:szCs w:val="20"/>
        </w:rPr>
        <w:t>property</w:t>
      </w:r>
      <w:proofErr w:type="spellEnd"/>
      <w:r w:rsidRPr="00A350B4">
        <w:rPr>
          <w:sz w:val="20"/>
          <w:szCs w:val="20"/>
        </w:rPr>
        <w:t xml:space="preserve">, </w:t>
      </w:r>
      <w:proofErr w:type="spellStart"/>
      <w:r w:rsidRPr="00A350B4">
        <w:rPr>
          <w:sz w:val="20"/>
          <w:szCs w:val="20"/>
        </w:rPr>
        <w:t>civil</w:t>
      </w:r>
      <w:proofErr w:type="spellEnd"/>
      <w:r w:rsidRPr="00A350B4">
        <w:rPr>
          <w:sz w:val="20"/>
          <w:szCs w:val="20"/>
        </w:rPr>
        <w:t xml:space="preserve"> </w:t>
      </w:r>
      <w:proofErr w:type="spellStart"/>
      <w:r w:rsidRPr="00A350B4">
        <w:rPr>
          <w:sz w:val="20"/>
          <w:szCs w:val="20"/>
        </w:rPr>
        <w:t>justice</w:t>
      </w:r>
      <w:proofErr w:type="spellEnd"/>
      <w:r w:rsidRPr="00A350B4">
        <w:rPr>
          <w:sz w:val="20"/>
          <w:szCs w:val="20"/>
        </w:rPr>
        <w:t xml:space="preserve">, </w:t>
      </w:r>
      <w:proofErr w:type="spellStart"/>
      <w:r w:rsidRPr="00A350B4">
        <w:rPr>
          <w:sz w:val="20"/>
          <w:szCs w:val="20"/>
        </w:rPr>
        <w:t>company</w:t>
      </w:r>
      <w:proofErr w:type="spellEnd"/>
      <w:r w:rsidRPr="00A350B4">
        <w:rPr>
          <w:sz w:val="20"/>
          <w:szCs w:val="20"/>
        </w:rPr>
        <w:t xml:space="preserve"> </w:t>
      </w:r>
      <w:proofErr w:type="spellStart"/>
      <w:r w:rsidRPr="00A350B4">
        <w:rPr>
          <w:sz w:val="20"/>
          <w:szCs w:val="20"/>
        </w:rPr>
        <w:t>law</w:t>
      </w:r>
      <w:proofErr w:type="spellEnd"/>
      <w:r w:rsidRPr="00A350B4">
        <w:rPr>
          <w:sz w:val="20"/>
          <w:szCs w:val="20"/>
        </w:rPr>
        <w:t xml:space="preserve">, </w:t>
      </w:r>
      <w:proofErr w:type="spellStart"/>
      <w:r w:rsidRPr="00A350B4">
        <w:rPr>
          <w:sz w:val="20"/>
          <w:szCs w:val="20"/>
        </w:rPr>
        <w:t>consum</w:t>
      </w:r>
      <w:r w:rsidRPr="0018175A">
        <w:rPr>
          <w:sz w:val="20"/>
          <w:szCs w:val="20"/>
        </w:rPr>
        <w:t>er</w:t>
      </w:r>
      <w:proofErr w:type="spellEnd"/>
      <w:r w:rsidRPr="0018175A">
        <w:rPr>
          <w:sz w:val="20"/>
          <w:szCs w:val="20"/>
        </w:rPr>
        <w:t xml:space="preserve"> </w:t>
      </w:r>
      <w:proofErr w:type="spellStart"/>
      <w:r w:rsidRPr="0018175A">
        <w:rPr>
          <w:sz w:val="20"/>
          <w:szCs w:val="20"/>
        </w:rPr>
        <w:t>protection</w:t>
      </w:r>
      <w:proofErr w:type="spellEnd"/>
      <w:r w:rsidRPr="0018175A">
        <w:rPr>
          <w:sz w:val="20"/>
          <w:szCs w:val="20"/>
        </w:rPr>
        <w:t xml:space="preserve"> </w:t>
      </w:r>
      <w:proofErr w:type="spellStart"/>
      <w:r w:rsidRPr="0018175A">
        <w:rPr>
          <w:sz w:val="20"/>
          <w:szCs w:val="20"/>
        </w:rPr>
        <w:t>and</w:t>
      </w:r>
      <w:proofErr w:type="spellEnd"/>
      <w:r w:rsidRPr="0018175A">
        <w:rPr>
          <w:sz w:val="20"/>
          <w:szCs w:val="20"/>
        </w:rPr>
        <w:t xml:space="preserve"> </w:t>
      </w:r>
      <w:proofErr w:type="spellStart"/>
      <w:r w:rsidRPr="0018175A">
        <w:rPr>
          <w:sz w:val="20"/>
          <w:szCs w:val="20"/>
        </w:rPr>
        <w:t>personal</w:t>
      </w:r>
      <w:proofErr w:type="spellEnd"/>
      <w:r w:rsidRPr="0018175A">
        <w:rPr>
          <w:sz w:val="20"/>
          <w:szCs w:val="20"/>
        </w:rPr>
        <w:t xml:space="preserve"> </w:t>
      </w:r>
      <w:proofErr w:type="spellStart"/>
      <w:r w:rsidRPr="0018175A">
        <w:rPr>
          <w:sz w:val="20"/>
          <w:szCs w:val="20"/>
        </w:rPr>
        <w:t>data</w:t>
      </w:r>
      <w:proofErr w:type="spellEnd"/>
      <w:r w:rsidRPr="0018175A">
        <w:rPr>
          <w:sz w:val="20"/>
          <w:szCs w:val="20"/>
        </w:rPr>
        <w:t xml:space="preserve">, skatīt 2.slaida 3) punktu. </w:t>
      </w:r>
      <w:hyperlink r:id="rId2" w:history="1">
        <w:r w:rsidRPr="00A350B4">
          <w:rPr>
            <w:rStyle w:val="Hyperlink"/>
            <w:sz w:val="20"/>
            <w:szCs w:val="20"/>
          </w:rPr>
          <w:t>https://ec.europa.eu/info/sites/info/files/slides_professional-qualifications-ip-justice-consumers_en.pdf</w:t>
        </w:r>
      </w:hyperlink>
    </w:p>
  </w:footnote>
  <w:footnote w:id="4">
    <w:p w14:paraId="6AD3013B" w14:textId="77777777" w:rsidR="00315286" w:rsidRDefault="00315286" w:rsidP="00CB03D6">
      <w:pPr>
        <w:pStyle w:val="FootnoteText"/>
      </w:pPr>
      <w:r>
        <w:rPr>
          <w:rStyle w:val="FootnoteReference"/>
          <w:rFonts w:eastAsia="Calibri"/>
        </w:rPr>
        <w:footnoteRef/>
      </w:r>
      <w:r>
        <w:t xml:space="preserve"> Direktīvas 2005/36/EK 13. pantā attiecīgās tiesību normas ir grozītas ar direktīvu 2013/55/ES</w:t>
      </w:r>
    </w:p>
  </w:footnote>
  <w:footnote w:id="5">
    <w:p w14:paraId="3BE32581" w14:textId="77777777" w:rsidR="00315286" w:rsidRDefault="00315286" w:rsidP="00CB03D6">
      <w:pPr>
        <w:pStyle w:val="FootnoteText"/>
      </w:pPr>
      <w:r>
        <w:rPr>
          <w:rStyle w:val="FootnoteReference"/>
          <w:rFonts w:eastAsia="Calibri"/>
        </w:rPr>
        <w:footnoteRef/>
      </w:r>
      <w:r>
        <w:t xml:space="preserve"> </w:t>
      </w:r>
      <w:r w:rsidRPr="005B564F">
        <w:t xml:space="preserve">Skat. 10. lpp. Skaidrojums ir jāņem vērā daļēji, jo tas attiecas uz direktīvas 2005/36/EK normām, kuras tika grozītas ar </w:t>
      </w:r>
      <w:r w:rsidRPr="008C001C">
        <w:rPr>
          <w:bCs/>
          <w:color w:val="000000" w:themeColor="text1"/>
        </w:rPr>
        <w:t>d</w:t>
      </w:r>
      <w:r w:rsidRPr="005B564F">
        <w:rPr>
          <w:bCs/>
          <w:color w:val="000000" w:themeColor="text1"/>
        </w:rPr>
        <w:t>irektīvu 2013/55/ES</w:t>
      </w:r>
      <w:r w:rsidRPr="005B564F">
        <w:t xml:space="preserve">  </w:t>
      </w:r>
      <w:hyperlink r:id="rId3" w:history="1">
        <w:r w:rsidRPr="005B564F">
          <w:rPr>
            <w:rStyle w:val="Hyperlink"/>
          </w:rPr>
          <w:t>http://adm.archimedes.ee/enic/wp-includes/ms-files.php?file=2012/08/FAQ_en.pdf</w:t>
        </w:r>
      </w:hyperlink>
    </w:p>
    <w:p w14:paraId="142288A1" w14:textId="77777777" w:rsidR="00315286" w:rsidRDefault="00315286" w:rsidP="00CB03D6">
      <w:pPr>
        <w:pStyle w:val="FootnoteText"/>
      </w:pPr>
    </w:p>
  </w:footnote>
  <w:footnote w:id="6">
    <w:p w14:paraId="0BE035E6" w14:textId="77777777" w:rsidR="00315286" w:rsidRDefault="00315286" w:rsidP="00CB03D6">
      <w:pPr>
        <w:pStyle w:val="FootnoteText"/>
      </w:pPr>
      <w:r>
        <w:rPr>
          <w:rStyle w:val="FootnoteReference"/>
          <w:rFonts w:eastAsia="Calibri"/>
        </w:rPr>
        <w:footnoteRef/>
      </w:r>
      <w:r>
        <w:t xml:space="preserve"> </w:t>
      </w:r>
      <w:hyperlink r:id="rId4" w:history="1">
        <w:r>
          <w:rPr>
            <w:rStyle w:val="Hyperlink"/>
          </w:rPr>
          <w:t>https://www.wien.gv.at/eap/pdf/education-and-training.pdf</w:t>
        </w:r>
      </w:hyperlink>
    </w:p>
  </w:footnote>
  <w:footnote w:id="7">
    <w:p w14:paraId="49798D6A" w14:textId="77777777" w:rsidR="00315286" w:rsidRPr="00CF321A" w:rsidRDefault="00315286" w:rsidP="00CF321A">
      <w:pPr>
        <w:jc w:val="both"/>
        <w:rPr>
          <w:sz w:val="22"/>
          <w:szCs w:val="22"/>
        </w:rPr>
      </w:pPr>
      <w:r w:rsidRPr="006F25C0">
        <w:rPr>
          <w:rStyle w:val="FootnoteReference"/>
          <w:sz w:val="22"/>
          <w:szCs w:val="22"/>
        </w:rPr>
        <w:footnoteRef/>
      </w:r>
      <w:r w:rsidRPr="006F25C0">
        <w:rPr>
          <w:sz w:val="22"/>
          <w:szCs w:val="22"/>
        </w:rPr>
        <w:t xml:space="preserve"> Darba likuma 28.panta otrā daļa nosaka, ka “ar darba līgumu darbinieks uzņemas veikt noteiktu darbu, pakļaujoties noteiktai darba kārtībai un darba devēja rīkojumiem, bet darba devējs –  maksāt nolīgto darba samaksu un nodrošināt taisnīgus, drošus un veselībai nekaitīgus darba apstākļus”.</w:t>
      </w:r>
    </w:p>
    <w:p w14:paraId="059A1833" w14:textId="0586C6F3" w:rsidR="00315286" w:rsidRPr="006F25C0" w:rsidRDefault="00315286">
      <w:pPr>
        <w:pStyle w:val="FootnoteText"/>
        <w:rPr>
          <w:sz w:val="22"/>
          <w:szCs w:val="22"/>
        </w:rPr>
      </w:pPr>
    </w:p>
  </w:footnote>
  <w:footnote w:id="8">
    <w:p w14:paraId="67F7941A" w14:textId="32A048F0" w:rsidR="00315286" w:rsidRDefault="00315286">
      <w:pPr>
        <w:pStyle w:val="FootnoteText"/>
      </w:pPr>
      <w:r w:rsidRPr="006F25C0">
        <w:rPr>
          <w:rStyle w:val="FootnoteReference"/>
          <w:sz w:val="22"/>
          <w:szCs w:val="22"/>
        </w:rPr>
        <w:footnoteRef/>
      </w:r>
      <w:r w:rsidRPr="006F25C0">
        <w:rPr>
          <w:sz w:val="22"/>
          <w:szCs w:val="22"/>
        </w:rPr>
        <w:t xml:space="preserve"> Saskaņā ar Civillikuma 2212.pantu “ar uzņēmuma līgumu viena puse uzņemas izpildīt otrai par zināmu atlīdzību ar saviem darba rīkiem un ierīcēm kādu pasūtījumu, izgatavot kādu lietu vai izvest galā kādu pasākumu”.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3A3AE8A3" w14:textId="4B16BB81" w:rsidR="00315286" w:rsidRDefault="00315286">
        <w:pPr>
          <w:pStyle w:val="Header"/>
          <w:jc w:val="center"/>
        </w:pPr>
        <w:r>
          <w:fldChar w:fldCharType="begin"/>
        </w:r>
        <w:r>
          <w:instrText xml:space="preserve"> PAGE   \* MERGEFORMAT </w:instrText>
        </w:r>
        <w:r>
          <w:fldChar w:fldCharType="separate"/>
        </w:r>
        <w:r w:rsidR="006D2F23">
          <w:rPr>
            <w:noProof/>
          </w:rPr>
          <w:t>16</w:t>
        </w:r>
        <w:r>
          <w:rPr>
            <w:noProof/>
          </w:rPr>
          <w:fldChar w:fldCharType="end"/>
        </w:r>
      </w:p>
    </w:sdtContent>
  </w:sdt>
  <w:p w14:paraId="29662E42" w14:textId="77777777" w:rsidR="00315286" w:rsidRDefault="00315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7"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8"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9"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1"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2"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3"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4"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5"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6"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7"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9"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1"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11"/>
  </w:num>
  <w:num w:numId="4">
    <w:abstractNumId w:val="18"/>
  </w:num>
  <w:num w:numId="5">
    <w:abstractNumId w:val="6"/>
  </w:num>
  <w:num w:numId="6">
    <w:abstractNumId w:val="10"/>
  </w:num>
  <w:num w:numId="7">
    <w:abstractNumId w:val="3"/>
  </w:num>
  <w:num w:numId="8">
    <w:abstractNumId w:val="1"/>
  </w:num>
  <w:num w:numId="9">
    <w:abstractNumId w:val="15"/>
  </w:num>
  <w:num w:numId="10">
    <w:abstractNumId w:val="7"/>
  </w:num>
  <w:num w:numId="11">
    <w:abstractNumId w:val="14"/>
  </w:num>
  <w:num w:numId="12">
    <w:abstractNumId w:val="8"/>
  </w:num>
  <w:num w:numId="13">
    <w:abstractNumId w:val="12"/>
  </w:num>
  <w:num w:numId="14">
    <w:abstractNumId w:val="0"/>
  </w:num>
  <w:num w:numId="15">
    <w:abstractNumId w:val="21"/>
  </w:num>
  <w:num w:numId="16">
    <w:abstractNumId w:val="13"/>
  </w:num>
  <w:num w:numId="17">
    <w:abstractNumId w:val="16"/>
  </w:num>
  <w:num w:numId="18">
    <w:abstractNumId w:val="9"/>
  </w:num>
  <w:num w:numId="19">
    <w:abstractNumId w:val="5"/>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0C1"/>
    <w:rsid w:val="00012E91"/>
    <w:rsid w:val="00014157"/>
    <w:rsid w:val="00016567"/>
    <w:rsid w:val="00022364"/>
    <w:rsid w:val="000259BE"/>
    <w:rsid w:val="00031364"/>
    <w:rsid w:val="00031C49"/>
    <w:rsid w:val="0003391E"/>
    <w:rsid w:val="00046887"/>
    <w:rsid w:val="00047406"/>
    <w:rsid w:val="00050D09"/>
    <w:rsid w:val="00052657"/>
    <w:rsid w:val="0005630E"/>
    <w:rsid w:val="00056FFE"/>
    <w:rsid w:val="000571CE"/>
    <w:rsid w:val="0006057C"/>
    <w:rsid w:val="00060849"/>
    <w:rsid w:val="000625AF"/>
    <w:rsid w:val="00063446"/>
    <w:rsid w:val="00064AFF"/>
    <w:rsid w:val="0007048B"/>
    <w:rsid w:val="000754B3"/>
    <w:rsid w:val="0007674D"/>
    <w:rsid w:val="00082C22"/>
    <w:rsid w:val="0008718F"/>
    <w:rsid w:val="00087451"/>
    <w:rsid w:val="00087587"/>
    <w:rsid w:val="00087AE9"/>
    <w:rsid w:val="0009085E"/>
    <w:rsid w:val="00090C29"/>
    <w:rsid w:val="00093175"/>
    <w:rsid w:val="000954ED"/>
    <w:rsid w:val="000A024C"/>
    <w:rsid w:val="000B423C"/>
    <w:rsid w:val="000B4EFE"/>
    <w:rsid w:val="000C00CF"/>
    <w:rsid w:val="000C0222"/>
    <w:rsid w:val="000C3EA0"/>
    <w:rsid w:val="000C44E4"/>
    <w:rsid w:val="000C4D2D"/>
    <w:rsid w:val="000C7464"/>
    <w:rsid w:val="000C78E6"/>
    <w:rsid w:val="000E056E"/>
    <w:rsid w:val="000E732C"/>
    <w:rsid w:val="000E7589"/>
    <w:rsid w:val="000F5102"/>
    <w:rsid w:val="00101937"/>
    <w:rsid w:val="00103525"/>
    <w:rsid w:val="001042A7"/>
    <w:rsid w:val="00106210"/>
    <w:rsid w:val="00106E39"/>
    <w:rsid w:val="00106F94"/>
    <w:rsid w:val="001110E3"/>
    <w:rsid w:val="00111311"/>
    <w:rsid w:val="001114A8"/>
    <w:rsid w:val="00113C64"/>
    <w:rsid w:val="00114640"/>
    <w:rsid w:val="0012004A"/>
    <w:rsid w:val="00123B02"/>
    <w:rsid w:val="00141DD2"/>
    <w:rsid w:val="001420F7"/>
    <w:rsid w:val="001470F1"/>
    <w:rsid w:val="0015121A"/>
    <w:rsid w:val="00155D7A"/>
    <w:rsid w:val="00156487"/>
    <w:rsid w:val="00156750"/>
    <w:rsid w:val="0016015E"/>
    <w:rsid w:val="00161647"/>
    <w:rsid w:val="00164017"/>
    <w:rsid w:val="00167B03"/>
    <w:rsid w:val="00170B58"/>
    <w:rsid w:val="001718C5"/>
    <w:rsid w:val="00171C87"/>
    <w:rsid w:val="0017228B"/>
    <w:rsid w:val="00175F3C"/>
    <w:rsid w:val="00177449"/>
    <w:rsid w:val="00177E8B"/>
    <w:rsid w:val="0018035F"/>
    <w:rsid w:val="001807BB"/>
    <w:rsid w:val="00182956"/>
    <w:rsid w:val="00185968"/>
    <w:rsid w:val="00190577"/>
    <w:rsid w:val="001A6B13"/>
    <w:rsid w:val="001B1B15"/>
    <w:rsid w:val="001B50DA"/>
    <w:rsid w:val="001C05E2"/>
    <w:rsid w:val="001C45AC"/>
    <w:rsid w:val="001D5AE2"/>
    <w:rsid w:val="001E1EA0"/>
    <w:rsid w:val="001E7456"/>
    <w:rsid w:val="001F0223"/>
    <w:rsid w:val="001F3847"/>
    <w:rsid w:val="001F3E08"/>
    <w:rsid w:val="001F5971"/>
    <w:rsid w:val="001F6499"/>
    <w:rsid w:val="001F756D"/>
    <w:rsid w:val="001F7A5C"/>
    <w:rsid w:val="0020255C"/>
    <w:rsid w:val="00206658"/>
    <w:rsid w:val="00206F43"/>
    <w:rsid w:val="002160E3"/>
    <w:rsid w:val="00217FD6"/>
    <w:rsid w:val="0022026C"/>
    <w:rsid w:val="00222C95"/>
    <w:rsid w:val="00224FF8"/>
    <w:rsid w:val="00226B05"/>
    <w:rsid w:val="002363A8"/>
    <w:rsid w:val="0024179D"/>
    <w:rsid w:val="00243A9B"/>
    <w:rsid w:val="002450F0"/>
    <w:rsid w:val="00246DA4"/>
    <w:rsid w:val="00247D4A"/>
    <w:rsid w:val="002540CC"/>
    <w:rsid w:val="00254274"/>
    <w:rsid w:val="002574E6"/>
    <w:rsid w:val="00261913"/>
    <w:rsid w:val="00262845"/>
    <w:rsid w:val="00265F1C"/>
    <w:rsid w:val="00271D02"/>
    <w:rsid w:val="00283DC2"/>
    <w:rsid w:val="00286F08"/>
    <w:rsid w:val="0028764B"/>
    <w:rsid w:val="0029031A"/>
    <w:rsid w:val="0029179E"/>
    <w:rsid w:val="00293120"/>
    <w:rsid w:val="00295FB1"/>
    <w:rsid w:val="002960B7"/>
    <w:rsid w:val="002A234A"/>
    <w:rsid w:val="002B39A8"/>
    <w:rsid w:val="002B4723"/>
    <w:rsid w:val="002B6A93"/>
    <w:rsid w:val="002B6FD5"/>
    <w:rsid w:val="002C0ACD"/>
    <w:rsid w:val="002C2A5C"/>
    <w:rsid w:val="002C3F00"/>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6CDE"/>
    <w:rsid w:val="002F7C2D"/>
    <w:rsid w:val="00301726"/>
    <w:rsid w:val="00301C78"/>
    <w:rsid w:val="00305E04"/>
    <w:rsid w:val="00305FDF"/>
    <w:rsid w:val="0030689D"/>
    <w:rsid w:val="00306CA0"/>
    <w:rsid w:val="00307AAF"/>
    <w:rsid w:val="00315286"/>
    <w:rsid w:val="003157E9"/>
    <w:rsid w:val="00315E11"/>
    <w:rsid w:val="00325BFD"/>
    <w:rsid w:val="003272CB"/>
    <w:rsid w:val="00327B93"/>
    <w:rsid w:val="00330B03"/>
    <w:rsid w:val="0034599E"/>
    <w:rsid w:val="00345D02"/>
    <w:rsid w:val="00347A07"/>
    <w:rsid w:val="003560C5"/>
    <w:rsid w:val="00363BC4"/>
    <w:rsid w:val="00364D64"/>
    <w:rsid w:val="00365581"/>
    <w:rsid w:val="00367545"/>
    <w:rsid w:val="00370547"/>
    <w:rsid w:val="00370A64"/>
    <w:rsid w:val="00370D13"/>
    <w:rsid w:val="00371A18"/>
    <w:rsid w:val="003727B5"/>
    <w:rsid w:val="00374554"/>
    <w:rsid w:val="003747CB"/>
    <w:rsid w:val="00374CAD"/>
    <w:rsid w:val="003A3BBD"/>
    <w:rsid w:val="003A5D20"/>
    <w:rsid w:val="003A71C2"/>
    <w:rsid w:val="003B044A"/>
    <w:rsid w:val="003B1139"/>
    <w:rsid w:val="003B1642"/>
    <w:rsid w:val="003B4B3E"/>
    <w:rsid w:val="003C3CD9"/>
    <w:rsid w:val="003D0D1C"/>
    <w:rsid w:val="003D1F6B"/>
    <w:rsid w:val="003D1F8A"/>
    <w:rsid w:val="003D48DD"/>
    <w:rsid w:val="003E51D8"/>
    <w:rsid w:val="003E71C5"/>
    <w:rsid w:val="003F5C6E"/>
    <w:rsid w:val="00401C29"/>
    <w:rsid w:val="00403C2A"/>
    <w:rsid w:val="004048E6"/>
    <w:rsid w:val="00404CF4"/>
    <w:rsid w:val="0041017B"/>
    <w:rsid w:val="00413D86"/>
    <w:rsid w:val="00415538"/>
    <w:rsid w:val="00417087"/>
    <w:rsid w:val="00420BDC"/>
    <w:rsid w:val="0042123D"/>
    <w:rsid w:val="00422B12"/>
    <w:rsid w:val="004245BC"/>
    <w:rsid w:val="00424C4B"/>
    <w:rsid w:val="00430E05"/>
    <w:rsid w:val="004327C5"/>
    <w:rsid w:val="00432CFC"/>
    <w:rsid w:val="004330F8"/>
    <w:rsid w:val="004360B2"/>
    <w:rsid w:val="00443C00"/>
    <w:rsid w:val="00444D26"/>
    <w:rsid w:val="00446DAB"/>
    <w:rsid w:val="00447527"/>
    <w:rsid w:val="0045563C"/>
    <w:rsid w:val="00455824"/>
    <w:rsid w:val="00462FBF"/>
    <w:rsid w:val="00466C3A"/>
    <w:rsid w:val="00471C87"/>
    <w:rsid w:val="00473ED4"/>
    <w:rsid w:val="00473F9D"/>
    <w:rsid w:val="00477888"/>
    <w:rsid w:val="00485616"/>
    <w:rsid w:val="00486066"/>
    <w:rsid w:val="00490E1B"/>
    <w:rsid w:val="00491833"/>
    <w:rsid w:val="00493A83"/>
    <w:rsid w:val="00497D16"/>
    <w:rsid w:val="00497FAC"/>
    <w:rsid w:val="004A373B"/>
    <w:rsid w:val="004A3F35"/>
    <w:rsid w:val="004A3FCA"/>
    <w:rsid w:val="004B2D3A"/>
    <w:rsid w:val="004B3F7D"/>
    <w:rsid w:val="004B4668"/>
    <w:rsid w:val="004C574D"/>
    <w:rsid w:val="004C5DAC"/>
    <w:rsid w:val="004C6703"/>
    <w:rsid w:val="004D5914"/>
    <w:rsid w:val="004D6765"/>
    <w:rsid w:val="004E1F8F"/>
    <w:rsid w:val="004E4DD9"/>
    <w:rsid w:val="004E638D"/>
    <w:rsid w:val="004E6CB1"/>
    <w:rsid w:val="004F429E"/>
    <w:rsid w:val="004F54A9"/>
    <w:rsid w:val="004F6D3B"/>
    <w:rsid w:val="004F6E35"/>
    <w:rsid w:val="00500A3C"/>
    <w:rsid w:val="005010AB"/>
    <w:rsid w:val="00502F05"/>
    <w:rsid w:val="00506F9F"/>
    <w:rsid w:val="00511426"/>
    <w:rsid w:val="00511F5D"/>
    <w:rsid w:val="00515A0B"/>
    <w:rsid w:val="005171BB"/>
    <w:rsid w:val="00517562"/>
    <w:rsid w:val="005223C6"/>
    <w:rsid w:val="00524F21"/>
    <w:rsid w:val="00526871"/>
    <w:rsid w:val="00526EAD"/>
    <w:rsid w:val="00536DB3"/>
    <w:rsid w:val="0054077A"/>
    <w:rsid w:val="00550F7C"/>
    <w:rsid w:val="00555D79"/>
    <w:rsid w:val="005615CB"/>
    <w:rsid w:val="00563370"/>
    <w:rsid w:val="00565D9D"/>
    <w:rsid w:val="005732B3"/>
    <w:rsid w:val="00573BF7"/>
    <w:rsid w:val="00574881"/>
    <w:rsid w:val="005751E7"/>
    <w:rsid w:val="0057649F"/>
    <w:rsid w:val="005808FD"/>
    <w:rsid w:val="00585498"/>
    <w:rsid w:val="00586700"/>
    <w:rsid w:val="00587D93"/>
    <w:rsid w:val="005933BD"/>
    <w:rsid w:val="00594BDA"/>
    <w:rsid w:val="00595340"/>
    <w:rsid w:val="005A1052"/>
    <w:rsid w:val="005A188F"/>
    <w:rsid w:val="005A2055"/>
    <w:rsid w:val="005A3EC6"/>
    <w:rsid w:val="005B3B2D"/>
    <w:rsid w:val="005B4660"/>
    <w:rsid w:val="005B49CC"/>
    <w:rsid w:val="005C163B"/>
    <w:rsid w:val="005C4BF1"/>
    <w:rsid w:val="005C6BC0"/>
    <w:rsid w:val="005C6D85"/>
    <w:rsid w:val="005D4A1E"/>
    <w:rsid w:val="005D70DF"/>
    <w:rsid w:val="005E0981"/>
    <w:rsid w:val="005E2669"/>
    <w:rsid w:val="005F11BD"/>
    <w:rsid w:val="005F1B3A"/>
    <w:rsid w:val="005F1F9C"/>
    <w:rsid w:val="005F2C4A"/>
    <w:rsid w:val="00604CFB"/>
    <w:rsid w:val="00630BEE"/>
    <w:rsid w:val="00634EFA"/>
    <w:rsid w:val="00640243"/>
    <w:rsid w:val="0064292B"/>
    <w:rsid w:val="006460EE"/>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701A7"/>
    <w:rsid w:val="0067228C"/>
    <w:rsid w:val="00675275"/>
    <w:rsid w:val="00682054"/>
    <w:rsid w:val="006858C4"/>
    <w:rsid w:val="00687679"/>
    <w:rsid w:val="00690C15"/>
    <w:rsid w:val="006910CD"/>
    <w:rsid w:val="00694072"/>
    <w:rsid w:val="006945B1"/>
    <w:rsid w:val="006A3533"/>
    <w:rsid w:val="006A48C1"/>
    <w:rsid w:val="006A5E3B"/>
    <w:rsid w:val="006A5F9D"/>
    <w:rsid w:val="006B1C47"/>
    <w:rsid w:val="006B3F3B"/>
    <w:rsid w:val="006D285B"/>
    <w:rsid w:val="006D2F23"/>
    <w:rsid w:val="006D68C5"/>
    <w:rsid w:val="006E2C23"/>
    <w:rsid w:val="006E35D4"/>
    <w:rsid w:val="006E44C9"/>
    <w:rsid w:val="006E7A69"/>
    <w:rsid w:val="006F18AC"/>
    <w:rsid w:val="006F23A5"/>
    <w:rsid w:val="006F25C0"/>
    <w:rsid w:val="00701B04"/>
    <w:rsid w:val="00704509"/>
    <w:rsid w:val="007067FA"/>
    <w:rsid w:val="0071026B"/>
    <w:rsid w:val="0071205F"/>
    <w:rsid w:val="00712191"/>
    <w:rsid w:val="00712F12"/>
    <w:rsid w:val="00713A22"/>
    <w:rsid w:val="00714306"/>
    <w:rsid w:val="00715799"/>
    <w:rsid w:val="00721B4A"/>
    <w:rsid w:val="00725349"/>
    <w:rsid w:val="0073012E"/>
    <w:rsid w:val="00730A4F"/>
    <w:rsid w:val="00736AC1"/>
    <w:rsid w:val="00736BBC"/>
    <w:rsid w:val="0073772E"/>
    <w:rsid w:val="00740602"/>
    <w:rsid w:val="00741FB3"/>
    <w:rsid w:val="00742EB2"/>
    <w:rsid w:val="00746B81"/>
    <w:rsid w:val="0075227C"/>
    <w:rsid w:val="00756D97"/>
    <w:rsid w:val="00763F59"/>
    <w:rsid w:val="0076593C"/>
    <w:rsid w:val="00770594"/>
    <w:rsid w:val="00774E4C"/>
    <w:rsid w:val="0077698E"/>
    <w:rsid w:val="00781624"/>
    <w:rsid w:val="00787FAF"/>
    <w:rsid w:val="00793205"/>
    <w:rsid w:val="007A009D"/>
    <w:rsid w:val="007A0521"/>
    <w:rsid w:val="007B23DA"/>
    <w:rsid w:val="007B6BD9"/>
    <w:rsid w:val="007C0208"/>
    <w:rsid w:val="007C2632"/>
    <w:rsid w:val="007C69C7"/>
    <w:rsid w:val="007D2376"/>
    <w:rsid w:val="007D27DF"/>
    <w:rsid w:val="007E053B"/>
    <w:rsid w:val="007E088F"/>
    <w:rsid w:val="007E1B0F"/>
    <w:rsid w:val="007F1CEC"/>
    <w:rsid w:val="007F42E4"/>
    <w:rsid w:val="007F7FCB"/>
    <w:rsid w:val="008010CA"/>
    <w:rsid w:val="00803184"/>
    <w:rsid w:val="008051D4"/>
    <w:rsid w:val="00812E43"/>
    <w:rsid w:val="00812E5A"/>
    <w:rsid w:val="00820521"/>
    <w:rsid w:val="00820E5B"/>
    <w:rsid w:val="00831571"/>
    <w:rsid w:val="008346BC"/>
    <w:rsid w:val="00835A27"/>
    <w:rsid w:val="008406CB"/>
    <w:rsid w:val="008423C7"/>
    <w:rsid w:val="00844143"/>
    <w:rsid w:val="00846D96"/>
    <w:rsid w:val="00847CF7"/>
    <w:rsid w:val="00852472"/>
    <w:rsid w:val="0085447F"/>
    <w:rsid w:val="00857D89"/>
    <w:rsid w:val="008621A0"/>
    <w:rsid w:val="0086369F"/>
    <w:rsid w:val="008654CD"/>
    <w:rsid w:val="008665D1"/>
    <w:rsid w:val="0087080F"/>
    <w:rsid w:val="0087237C"/>
    <w:rsid w:val="00872A5F"/>
    <w:rsid w:val="00872D8C"/>
    <w:rsid w:val="0087596A"/>
    <w:rsid w:val="008811F3"/>
    <w:rsid w:val="008817F9"/>
    <w:rsid w:val="00882E11"/>
    <w:rsid w:val="00885AD0"/>
    <w:rsid w:val="0089253C"/>
    <w:rsid w:val="008943E4"/>
    <w:rsid w:val="00894DCC"/>
    <w:rsid w:val="008A10D7"/>
    <w:rsid w:val="008A7E4D"/>
    <w:rsid w:val="008B2057"/>
    <w:rsid w:val="008B6236"/>
    <w:rsid w:val="008B69B2"/>
    <w:rsid w:val="008C0DB8"/>
    <w:rsid w:val="008C1001"/>
    <w:rsid w:val="008C54F6"/>
    <w:rsid w:val="008C5F43"/>
    <w:rsid w:val="008D0205"/>
    <w:rsid w:val="008D1627"/>
    <w:rsid w:val="008D1DD3"/>
    <w:rsid w:val="008D27ED"/>
    <w:rsid w:val="008D3F2E"/>
    <w:rsid w:val="008D75CD"/>
    <w:rsid w:val="008E3197"/>
    <w:rsid w:val="008E7B23"/>
    <w:rsid w:val="008F00DA"/>
    <w:rsid w:val="008F3A17"/>
    <w:rsid w:val="008F648F"/>
    <w:rsid w:val="00905240"/>
    <w:rsid w:val="00910521"/>
    <w:rsid w:val="009125B3"/>
    <w:rsid w:val="00914CB7"/>
    <w:rsid w:val="00917E28"/>
    <w:rsid w:val="00922B83"/>
    <w:rsid w:val="009260F3"/>
    <w:rsid w:val="009277E1"/>
    <w:rsid w:val="00930B91"/>
    <w:rsid w:val="00933EC4"/>
    <w:rsid w:val="00935024"/>
    <w:rsid w:val="009367B8"/>
    <w:rsid w:val="00940357"/>
    <w:rsid w:val="00943ACC"/>
    <w:rsid w:val="00944AB4"/>
    <w:rsid w:val="00945599"/>
    <w:rsid w:val="009479F9"/>
    <w:rsid w:val="00947EFB"/>
    <w:rsid w:val="009530F9"/>
    <w:rsid w:val="00955D10"/>
    <w:rsid w:val="00961783"/>
    <w:rsid w:val="00963AD9"/>
    <w:rsid w:val="00967A53"/>
    <w:rsid w:val="009701F9"/>
    <w:rsid w:val="009724A0"/>
    <w:rsid w:val="00973CEC"/>
    <w:rsid w:val="00981319"/>
    <w:rsid w:val="00982525"/>
    <w:rsid w:val="009878D6"/>
    <w:rsid w:val="00987919"/>
    <w:rsid w:val="00987DE4"/>
    <w:rsid w:val="009926C6"/>
    <w:rsid w:val="0099293D"/>
    <w:rsid w:val="0099392B"/>
    <w:rsid w:val="00994BC9"/>
    <w:rsid w:val="00994F14"/>
    <w:rsid w:val="009A2CF5"/>
    <w:rsid w:val="009A39A7"/>
    <w:rsid w:val="009A3D99"/>
    <w:rsid w:val="009B09E6"/>
    <w:rsid w:val="009B1677"/>
    <w:rsid w:val="009B381F"/>
    <w:rsid w:val="009B3EC3"/>
    <w:rsid w:val="009B4623"/>
    <w:rsid w:val="009B6C25"/>
    <w:rsid w:val="009C44D8"/>
    <w:rsid w:val="009C678B"/>
    <w:rsid w:val="009C750C"/>
    <w:rsid w:val="009D0E2D"/>
    <w:rsid w:val="009D21F6"/>
    <w:rsid w:val="009D5BBB"/>
    <w:rsid w:val="009D66C8"/>
    <w:rsid w:val="009D6904"/>
    <w:rsid w:val="009E5678"/>
    <w:rsid w:val="009F0B72"/>
    <w:rsid w:val="009F1979"/>
    <w:rsid w:val="009F734F"/>
    <w:rsid w:val="00A00CBC"/>
    <w:rsid w:val="00A104DE"/>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6F4F"/>
    <w:rsid w:val="00A40F38"/>
    <w:rsid w:val="00A53CB3"/>
    <w:rsid w:val="00A5594D"/>
    <w:rsid w:val="00A57548"/>
    <w:rsid w:val="00A63483"/>
    <w:rsid w:val="00A638AA"/>
    <w:rsid w:val="00A64511"/>
    <w:rsid w:val="00A65D77"/>
    <w:rsid w:val="00A66D2A"/>
    <w:rsid w:val="00A673FC"/>
    <w:rsid w:val="00A70AB3"/>
    <w:rsid w:val="00A73FF1"/>
    <w:rsid w:val="00A75671"/>
    <w:rsid w:val="00A7594E"/>
    <w:rsid w:val="00A8049D"/>
    <w:rsid w:val="00A86CA4"/>
    <w:rsid w:val="00A8798F"/>
    <w:rsid w:val="00A929A6"/>
    <w:rsid w:val="00A935AC"/>
    <w:rsid w:val="00A95BEA"/>
    <w:rsid w:val="00AA1EB2"/>
    <w:rsid w:val="00AA2B92"/>
    <w:rsid w:val="00AA693E"/>
    <w:rsid w:val="00AB0DBA"/>
    <w:rsid w:val="00AB7360"/>
    <w:rsid w:val="00AB7F20"/>
    <w:rsid w:val="00AC144B"/>
    <w:rsid w:val="00AC4347"/>
    <w:rsid w:val="00AC511B"/>
    <w:rsid w:val="00AC550B"/>
    <w:rsid w:val="00AD47D0"/>
    <w:rsid w:val="00AD49A5"/>
    <w:rsid w:val="00AD4F57"/>
    <w:rsid w:val="00AD670F"/>
    <w:rsid w:val="00AD7B2D"/>
    <w:rsid w:val="00AE11F6"/>
    <w:rsid w:val="00AE1BE8"/>
    <w:rsid w:val="00AE2E51"/>
    <w:rsid w:val="00AE4C68"/>
    <w:rsid w:val="00AE6883"/>
    <w:rsid w:val="00AF05A1"/>
    <w:rsid w:val="00AF17E7"/>
    <w:rsid w:val="00B05123"/>
    <w:rsid w:val="00B16445"/>
    <w:rsid w:val="00B20AA5"/>
    <w:rsid w:val="00B20EBA"/>
    <w:rsid w:val="00B2288A"/>
    <w:rsid w:val="00B23DA3"/>
    <w:rsid w:val="00B24888"/>
    <w:rsid w:val="00B24A79"/>
    <w:rsid w:val="00B26B4A"/>
    <w:rsid w:val="00B27F75"/>
    <w:rsid w:val="00B301D6"/>
    <w:rsid w:val="00B30AB9"/>
    <w:rsid w:val="00B325A7"/>
    <w:rsid w:val="00B3287C"/>
    <w:rsid w:val="00B42D56"/>
    <w:rsid w:val="00B42F33"/>
    <w:rsid w:val="00B43598"/>
    <w:rsid w:val="00B4466E"/>
    <w:rsid w:val="00B4753B"/>
    <w:rsid w:val="00B500DE"/>
    <w:rsid w:val="00B556BD"/>
    <w:rsid w:val="00B62435"/>
    <w:rsid w:val="00B64D08"/>
    <w:rsid w:val="00B66B08"/>
    <w:rsid w:val="00B670D1"/>
    <w:rsid w:val="00B7077E"/>
    <w:rsid w:val="00B731A0"/>
    <w:rsid w:val="00B74360"/>
    <w:rsid w:val="00B76031"/>
    <w:rsid w:val="00B76386"/>
    <w:rsid w:val="00B77DC8"/>
    <w:rsid w:val="00B91EF3"/>
    <w:rsid w:val="00B931B0"/>
    <w:rsid w:val="00B94112"/>
    <w:rsid w:val="00B9422A"/>
    <w:rsid w:val="00B96E3C"/>
    <w:rsid w:val="00BB0AE1"/>
    <w:rsid w:val="00BB1B72"/>
    <w:rsid w:val="00BB2D33"/>
    <w:rsid w:val="00BB6B98"/>
    <w:rsid w:val="00BB7186"/>
    <w:rsid w:val="00BB73D5"/>
    <w:rsid w:val="00BC5121"/>
    <w:rsid w:val="00BC6411"/>
    <w:rsid w:val="00BC6B0E"/>
    <w:rsid w:val="00BD1F3B"/>
    <w:rsid w:val="00BD4068"/>
    <w:rsid w:val="00BD5588"/>
    <w:rsid w:val="00BD7871"/>
    <w:rsid w:val="00BE10A7"/>
    <w:rsid w:val="00BE5B81"/>
    <w:rsid w:val="00BF0326"/>
    <w:rsid w:val="00BF0DEC"/>
    <w:rsid w:val="00BF2759"/>
    <w:rsid w:val="00BF29F3"/>
    <w:rsid w:val="00BF4208"/>
    <w:rsid w:val="00BF5C85"/>
    <w:rsid w:val="00C00EB2"/>
    <w:rsid w:val="00C02C98"/>
    <w:rsid w:val="00C03F55"/>
    <w:rsid w:val="00C07EB2"/>
    <w:rsid w:val="00C10BF5"/>
    <w:rsid w:val="00C11F43"/>
    <w:rsid w:val="00C127F0"/>
    <w:rsid w:val="00C23FFA"/>
    <w:rsid w:val="00C250AC"/>
    <w:rsid w:val="00C2541A"/>
    <w:rsid w:val="00C271AB"/>
    <w:rsid w:val="00C27721"/>
    <w:rsid w:val="00C31FC5"/>
    <w:rsid w:val="00C32595"/>
    <w:rsid w:val="00C32F8D"/>
    <w:rsid w:val="00C339A4"/>
    <w:rsid w:val="00C36D50"/>
    <w:rsid w:val="00C50D47"/>
    <w:rsid w:val="00C54801"/>
    <w:rsid w:val="00C60815"/>
    <w:rsid w:val="00C64F6E"/>
    <w:rsid w:val="00C67D28"/>
    <w:rsid w:val="00C713F8"/>
    <w:rsid w:val="00C7261C"/>
    <w:rsid w:val="00C72AD6"/>
    <w:rsid w:val="00C734B4"/>
    <w:rsid w:val="00C77EA2"/>
    <w:rsid w:val="00C81749"/>
    <w:rsid w:val="00C842D4"/>
    <w:rsid w:val="00C856E2"/>
    <w:rsid w:val="00C8600B"/>
    <w:rsid w:val="00C92C56"/>
    <w:rsid w:val="00C93083"/>
    <w:rsid w:val="00C96250"/>
    <w:rsid w:val="00C978B3"/>
    <w:rsid w:val="00CA4674"/>
    <w:rsid w:val="00CB03D6"/>
    <w:rsid w:val="00CB2184"/>
    <w:rsid w:val="00CB452F"/>
    <w:rsid w:val="00CB5BD2"/>
    <w:rsid w:val="00CC0370"/>
    <w:rsid w:val="00CC2EC1"/>
    <w:rsid w:val="00CE176D"/>
    <w:rsid w:val="00CE1FA4"/>
    <w:rsid w:val="00CE269E"/>
    <w:rsid w:val="00CE42EE"/>
    <w:rsid w:val="00CE664B"/>
    <w:rsid w:val="00CE7964"/>
    <w:rsid w:val="00CE7E5A"/>
    <w:rsid w:val="00CF157D"/>
    <w:rsid w:val="00CF2F54"/>
    <w:rsid w:val="00CF321A"/>
    <w:rsid w:val="00CF4763"/>
    <w:rsid w:val="00CF4D9F"/>
    <w:rsid w:val="00D007AA"/>
    <w:rsid w:val="00D0086B"/>
    <w:rsid w:val="00D0220C"/>
    <w:rsid w:val="00D04073"/>
    <w:rsid w:val="00D05E7B"/>
    <w:rsid w:val="00D07250"/>
    <w:rsid w:val="00D10449"/>
    <w:rsid w:val="00D1057D"/>
    <w:rsid w:val="00D135FC"/>
    <w:rsid w:val="00D21A6F"/>
    <w:rsid w:val="00D21A8A"/>
    <w:rsid w:val="00D259AC"/>
    <w:rsid w:val="00D26CF3"/>
    <w:rsid w:val="00D26DA2"/>
    <w:rsid w:val="00D2727D"/>
    <w:rsid w:val="00D3033B"/>
    <w:rsid w:val="00D351CA"/>
    <w:rsid w:val="00D414F6"/>
    <w:rsid w:val="00D43A09"/>
    <w:rsid w:val="00D442F7"/>
    <w:rsid w:val="00D46D09"/>
    <w:rsid w:val="00D555B0"/>
    <w:rsid w:val="00D56587"/>
    <w:rsid w:val="00D571A2"/>
    <w:rsid w:val="00D70066"/>
    <w:rsid w:val="00D70DBF"/>
    <w:rsid w:val="00D739E1"/>
    <w:rsid w:val="00D74393"/>
    <w:rsid w:val="00D75B34"/>
    <w:rsid w:val="00D7739F"/>
    <w:rsid w:val="00D84DBF"/>
    <w:rsid w:val="00D86996"/>
    <w:rsid w:val="00D87A45"/>
    <w:rsid w:val="00D959FE"/>
    <w:rsid w:val="00DA1545"/>
    <w:rsid w:val="00DA2A8C"/>
    <w:rsid w:val="00DB4587"/>
    <w:rsid w:val="00DB4D30"/>
    <w:rsid w:val="00DC2409"/>
    <w:rsid w:val="00DC55B5"/>
    <w:rsid w:val="00DC645E"/>
    <w:rsid w:val="00DD2929"/>
    <w:rsid w:val="00DD75C2"/>
    <w:rsid w:val="00DE3138"/>
    <w:rsid w:val="00DE32AA"/>
    <w:rsid w:val="00DE4D49"/>
    <w:rsid w:val="00DE6279"/>
    <w:rsid w:val="00DF086B"/>
    <w:rsid w:val="00DF1C39"/>
    <w:rsid w:val="00DF2DA5"/>
    <w:rsid w:val="00DF2FF8"/>
    <w:rsid w:val="00DF6235"/>
    <w:rsid w:val="00E00A80"/>
    <w:rsid w:val="00E017F1"/>
    <w:rsid w:val="00E072D8"/>
    <w:rsid w:val="00E13684"/>
    <w:rsid w:val="00E138A2"/>
    <w:rsid w:val="00E226C5"/>
    <w:rsid w:val="00E248F6"/>
    <w:rsid w:val="00E265D9"/>
    <w:rsid w:val="00E273A1"/>
    <w:rsid w:val="00E30236"/>
    <w:rsid w:val="00E35069"/>
    <w:rsid w:val="00E37CCB"/>
    <w:rsid w:val="00E40162"/>
    <w:rsid w:val="00E44034"/>
    <w:rsid w:val="00E44472"/>
    <w:rsid w:val="00E44E02"/>
    <w:rsid w:val="00E45F25"/>
    <w:rsid w:val="00E4655B"/>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2DFB"/>
    <w:rsid w:val="00E9349B"/>
    <w:rsid w:val="00E96134"/>
    <w:rsid w:val="00E961BD"/>
    <w:rsid w:val="00EA1889"/>
    <w:rsid w:val="00EA2E2B"/>
    <w:rsid w:val="00EA3D31"/>
    <w:rsid w:val="00EA410A"/>
    <w:rsid w:val="00EA4F58"/>
    <w:rsid w:val="00EB0BE7"/>
    <w:rsid w:val="00EB10D0"/>
    <w:rsid w:val="00EB796A"/>
    <w:rsid w:val="00EC271D"/>
    <w:rsid w:val="00EC3CEE"/>
    <w:rsid w:val="00EC767A"/>
    <w:rsid w:val="00EE1894"/>
    <w:rsid w:val="00EE4399"/>
    <w:rsid w:val="00EE566B"/>
    <w:rsid w:val="00EE581E"/>
    <w:rsid w:val="00EE59E4"/>
    <w:rsid w:val="00EE640D"/>
    <w:rsid w:val="00EE6C56"/>
    <w:rsid w:val="00EE7332"/>
    <w:rsid w:val="00EF1283"/>
    <w:rsid w:val="00EF1EE3"/>
    <w:rsid w:val="00EF2C74"/>
    <w:rsid w:val="00EF33F2"/>
    <w:rsid w:val="00EF6408"/>
    <w:rsid w:val="00F01F2F"/>
    <w:rsid w:val="00F05CA2"/>
    <w:rsid w:val="00F14A6B"/>
    <w:rsid w:val="00F20098"/>
    <w:rsid w:val="00F213DD"/>
    <w:rsid w:val="00F27651"/>
    <w:rsid w:val="00F34C48"/>
    <w:rsid w:val="00F360B5"/>
    <w:rsid w:val="00F41870"/>
    <w:rsid w:val="00F46F67"/>
    <w:rsid w:val="00F478A2"/>
    <w:rsid w:val="00F502BA"/>
    <w:rsid w:val="00F51B8C"/>
    <w:rsid w:val="00F52FEE"/>
    <w:rsid w:val="00F54498"/>
    <w:rsid w:val="00F544AD"/>
    <w:rsid w:val="00F6040A"/>
    <w:rsid w:val="00F64007"/>
    <w:rsid w:val="00F65669"/>
    <w:rsid w:val="00F66631"/>
    <w:rsid w:val="00F67D86"/>
    <w:rsid w:val="00F72657"/>
    <w:rsid w:val="00F7569E"/>
    <w:rsid w:val="00F77EF3"/>
    <w:rsid w:val="00F81A34"/>
    <w:rsid w:val="00F8398B"/>
    <w:rsid w:val="00F90202"/>
    <w:rsid w:val="00F930DF"/>
    <w:rsid w:val="00F93DFF"/>
    <w:rsid w:val="00F95DF2"/>
    <w:rsid w:val="00FA124C"/>
    <w:rsid w:val="00FA13C1"/>
    <w:rsid w:val="00FA2286"/>
    <w:rsid w:val="00FA3B65"/>
    <w:rsid w:val="00FB4184"/>
    <w:rsid w:val="00FB5C61"/>
    <w:rsid w:val="00FC1CAA"/>
    <w:rsid w:val="00FC3551"/>
    <w:rsid w:val="00FC4312"/>
    <w:rsid w:val="00FC72BB"/>
    <w:rsid w:val="00FD1F7C"/>
    <w:rsid w:val="00FD43F6"/>
    <w:rsid w:val="00FE0E49"/>
    <w:rsid w:val="00FE43C1"/>
    <w:rsid w:val="00FE648A"/>
    <w:rsid w:val="00FE6857"/>
    <w:rsid w:val="00FE7B37"/>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D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abiedribas-lidzdaliba/sabiedriskajai-apspriesanai-nodotie-normativo-aktu-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zm.gov.lv/lv/aktualitates/3569-sabiedriskajai-apspriesanai-nodots-grozijumu-likuma-par-reglamentetajam-profesijam-un-profesionalas-kvalifikacijas-atzisanu-projek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dm.archimedes.ee/enic/wp-includes/ms-files.php?file=2012/08/FAQ_en.pdf" TargetMode="External"/><Relationship Id="rId2" Type="http://schemas.openxmlformats.org/officeDocument/2006/relationships/hyperlink" Target="https://ec.europa.eu/info/sites/info/files/slides_professional-qualifications-ip-justice-consumers_en.pdf" TargetMode="External"/><Relationship Id="rId1" Type="http://schemas.openxmlformats.org/officeDocument/2006/relationships/hyperlink" Target="file:///C:\Users\Inese.Sture\Downloads\users_guide_lv%20(5).pdf" TargetMode="External"/><Relationship Id="rId4" Type="http://schemas.openxmlformats.org/officeDocument/2006/relationships/hyperlink" Target="https://www.wien.gv.at/eap/pdf/education-and-trai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DCF7F-856B-422C-8B1B-24BB659B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22122</Words>
  <Characters>12611</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34664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13</cp:revision>
  <cp:lastPrinted>2019-06-25T06:52:00Z</cp:lastPrinted>
  <dcterms:created xsi:type="dcterms:W3CDTF">2019-06-21T10:52:00Z</dcterms:created>
  <dcterms:modified xsi:type="dcterms:W3CDTF">2019-07-15T13:25:00Z</dcterms:modified>
</cp:coreProperties>
</file>