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4B" w:rsidRPr="0049434B" w:rsidRDefault="00740AF7" w:rsidP="0049434B">
      <w:pPr>
        <w:jc w:val="center"/>
        <w:rPr>
          <w:rFonts w:ascii="Times New Roman" w:hAnsi="Times New Roman" w:cs="Times New Roman"/>
          <w:b/>
          <w:color w:val="000000"/>
          <w:sz w:val="28"/>
          <w:szCs w:val="28"/>
        </w:rPr>
      </w:pPr>
      <w:r w:rsidRPr="00740AF7">
        <w:rPr>
          <w:rFonts w:ascii="Times New Roman" w:hAnsi="Times New Roman" w:cs="Times New Roman"/>
          <w:b/>
          <w:sz w:val="28"/>
          <w:szCs w:val="28"/>
        </w:rPr>
        <w:t>Likumprojekta „Grozījum</w:t>
      </w:r>
      <w:r>
        <w:rPr>
          <w:rFonts w:ascii="Times New Roman" w:hAnsi="Times New Roman" w:cs="Times New Roman"/>
          <w:b/>
          <w:sz w:val="28"/>
          <w:szCs w:val="28"/>
        </w:rPr>
        <w:t>s</w:t>
      </w:r>
      <w:r w:rsidRPr="00740AF7">
        <w:rPr>
          <w:rFonts w:ascii="Times New Roman" w:hAnsi="Times New Roman" w:cs="Times New Roman"/>
          <w:b/>
          <w:sz w:val="28"/>
          <w:szCs w:val="28"/>
        </w:rPr>
        <w:t xml:space="preserve"> likumā „Par </w:t>
      </w:r>
      <w:r>
        <w:rPr>
          <w:rFonts w:ascii="Times New Roman" w:hAnsi="Times New Roman" w:cs="Times New Roman"/>
          <w:b/>
          <w:sz w:val="28"/>
          <w:szCs w:val="28"/>
        </w:rPr>
        <w:t>pašvaldībām</w:t>
      </w:r>
      <w:r w:rsidRPr="00740AF7">
        <w:rPr>
          <w:rFonts w:ascii="Times New Roman" w:hAnsi="Times New Roman" w:cs="Times New Roman"/>
          <w:b/>
          <w:sz w:val="28"/>
          <w:szCs w:val="28"/>
        </w:rPr>
        <w:t>”” sākotnējās ietekmes novērtējuma ziņojums (anotācija)</w:t>
      </w:r>
    </w:p>
    <w:tbl>
      <w:tblPr>
        <w:tblpPr w:leftFromText="180" w:rightFromText="180" w:vertAnchor="text" w:horzAnchor="margin" w:tblpX="65"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977"/>
      </w:tblGrid>
      <w:tr w:rsidR="0049434B" w:rsidRPr="00157298" w:rsidTr="0049434B">
        <w:trPr>
          <w:trHeight w:val="225"/>
        </w:trPr>
        <w:tc>
          <w:tcPr>
            <w:tcW w:w="9067" w:type="dxa"/>
            <w:gridSpan w:val="2"/>
          </w:tcPr>
          <w:p w:rsidR="0049434B" w:rsidRPr="00157298" w:rsidRDefault="0049434B" w:rsidP="0049434B">
            <w:pPr>
              <w:pStyle w:val="naisf"/>
              <w:tabs>
                <w:tab w:val="left" w:pos="495"/>
              </w:tabs>
              <w:spacing w:before="0" w:after="0"/>
              <w:ind w:left="5"/>
              <w:jc w:val="center"/>
              <w:rPr>
                <w:b/>
                <w:color w:val="000000"/>
              </w:rPr>
            </w:pPr>
            <w:r w:rsidRPr="00157298">
              <w:rPr>
                <w:b/>
                <w:color w:val="000000"/>
              </w:rPr>
              <w:t>Tiesību akta projekta anotācijas kopsavilkums</w:t>
            </w:r>
          </w:p>
        </w:tc>
      </w:tr>
      <w:tr w:rsidR="0049434B" w:rsidRPr="00157298" w:rsidTr="0049434B">
        <w:trPr>
          <w:trHeight w:val="225"/>
        </w:trPr>
        <w:tc>
          <w:tcPr>
            <w:tcW w:w="3090" w:type="dxa"/>
            <w:tcBorders>
              <w:top w:val="outset" w:sz="6" w:space="0" w:color="auto"/>
              <w:left w:val="outset" w:sz="6" w:space="0" w:color="auto"/>
              <w:bottom w:val="outset" w:sz="6" w:space="0" w:color="auto"/>
              <w:right w:val="outset" w:sz="6" w:space="0" w:color="auto"/>
            </w:tcBorders>
          </w:tcPr>
          <w:p w:rsidR="0049434B" w:rsidRPr="00157298" w:rsidRDefault="0049434B" w:rsidP="0049434B">
            <w:pPr>
              <w:spacing w:after="0" w:line="240" w:lineRule="auto"/>
              <w:jc w:val="both"/>
              <w:rPr>
                <w:rFonts w:ascii="Times New Roman" w:hAnsi="Times New Roman"/>
                <w:color w:val="000000"/>
                <w:sz w:val="24"/>
                <w:szCs w:val="24"/>
              </w:rPr>
            </w:pPr>
            <w:r w:rsidRPr="00157298">
              <w:rPr>
                <w:rFonts w:ascii="Times New Roman" w:hAnsi="Times New Roman"/>
                <w:color w:val="000000"/>
                <w:sz w:val="24"/>
                <w:szCs w:val="24"/>
              </w:rPr>
              <w:t>Mērķis, risinājums un projekta spēkā stāšanās laiks</w:t>
            </w:r>
          </w:p>
        </w:tc>
        <w:tc>
          <w:tcPr>
            <w:tcW w:w="5977" w:type="dxa"/>
            <w:tcBorders>
              <w:top w:val="outset" w:sz="6" w:space="0" w:color="auto"/>
              <w:left w:val="outset" w:sz="6" w:space="0" w:color="auto"/>
              <w:bottom w:val="outset" w:sz="6" w:space="0" w:color="auto"/>
              <w:right w:val="outset" w:sz="6" w:space="0" w:color="auto"/>
            </w:tcBorders>
          </w:tcPr>
          <w:p w:rsidR="0049434B" w:rsidRPr="0049434B" w:rsidRDefault="0049434B" w:rsidP="0049434B">
            <w:pPr>
              <w:spacing w:after="0" w:line="240" w:lineRule="auto"/>
              <w:ind w:firstLine="720"/>
              <w:jc w:val="both"/>
              <w:rPr>
                <w:rFonts w:ascii="Times New Roman" w:hAnsi="Times New Roman"/>
                <w:iCs/>
                <w:color w:val="000000"/>
                <w:sz w:val="24"/>
                <w:szCs w:val="24"/>
              </w:rPr>
            </w:pPr>
            <w:r w:rsidRPr="0049434B">
              <w:rPr>
                <w:rFonts w:ascii="Times New Roman" w:hAnsi="Times New Roman"/>
                <w:iCs/>
                <w:color w:val="000000"/>
                <w:sz w:val="24"/>
                <w:szCs w:val="24"/>
              </w:rPr>
              <w:t xml:space="preserve">Likumprojekts “Grozījums likumā “Par pašvaldībām”” </w:t>
            </w:r>
            <w:r w:rsidRPr="0049434B">
              <w:rPr>
                <w:rFonts w:ascii="Times New Roman" w:hAnsi="Times New Roman"/>
                <w:sz w:val="24"/>
                <w:szCs w:val="24"/>
              </w:rPr>
              <w:t>paredz, ka pašvaldība ir tiesīga sniegt finansiālu atbalstu valsts pārvaldes iestādei, lai uzlabotu minētās iestādes veikto funkciju izpildi attiecīgajā administratīvajā teritorijā</w:t>
            </w:r>
            <w:r>
              <w:rPr>
                <w:rFonts w:ascii="Times New Roman" w:hAnsi="Times New Roman"/>
                <w:sz w:val="24"/>
                <w:szCs w:val="24"/>
              </w:rPr>
              <w:t>.</w:t>
            </w:r>
          </w:p>
        </w:tc>
      </w:tr>
    </w:tbl>
    <w:p w:rsidR="0049434B" w:rsidRPr="00740AF7" w:rsidRDefault="0049434B" w:rsidP="00740AF7">
      <w:pPr>
        <w:pStyle w:val="BodyText"/>
        <w:rPr>
          <w:szCs w:val="28"/>
        </w:rPr>
      </w:pPr>
    </w:p>
    <w:tbl>
      <w:tblPr>
        <w:tblStyle w:val="TableGrid"/>
        <w:tblW w:w="9133" w:type="dxa"/>
        <w:tblLayout w:type="fixed"/>
        <w:tblLook w:val="04A0" w:firstRow="1" w:lastRow="0" w:firstColumn="1" w:lastColumn="0" w:noHBand="0" w:noVBand="1"/>
      </w:tblPr>
      <w:tblGrid>
        <w:gridCol w:w="675"/>
        <w:gridCol w:w="2694"/>
        <w:gridCol w:w="5764"/>
      </w:tblGrid>
      <w:tr w:rsidR="00740AF7" w:rsidRPr="008977ED" w:rsidTr="008155C8">
        <w:tc>
          <w:tcPr>
            <w:tcW w:w="9133" w:type="dxa"/>
            <w:gridSpan w:val="3"/>
          </w:tcPr>
          <w:p w:rsidR="00740AF7" w:rsidRPr="008977ED" w:rsidRDefault="00740AF7" w:rsidP="008155C8">
            <w:pPr>
              <w:pStyle w:val="BodyText"/>
              <w:spacing w:before="60" w:after="60"/>
              <w:rPr>
                <w:sz w:val="24"/>
              </w:rPr>
            </w:pPr>
            <w:r w:rsidRPr="008977ED">
              <w:rPr>
                <w:sz w:val="24"/>
              </w:rPr>
              <w:t>I. Tiesību akta projekta izstrādes nepieciešamība</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1.</w:t>
            </w:r>
          </w:p>
        </w:tc>
        <w:tc>
          <w:tcPr>
            <w:tcW w:w="2694"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Pamatojums</w:t>
            </w:r>
          </w:p>
        </w:tc>
        <w:tc>
          <w:tcPr>
            <w:tcW w:w="5764" w:type="dxa"/>
          </w:tcPr>
          <w:p w:rsidR="00740AF7" w:rsidRPr="00254F4C" w:rsidRDefault="00740AF7" w:rsidP="008155C8">
            <w:pPr>
              <w:spacing w:before="60"/>
              <w:ind w:firstLine="771"/>
              <w:jc w:val="both"/>
              <w:rPr>
                <w:rFonts w:ascii="Times New Roman" w:hAnsi="Times New Roman" w:cs="Times New Roman"/>
                <w:sz w:val="24"/>
                <w:szCs w:val="24"/>
              </w:rPr>
            </w:pPr>
            <w:r w:rsidRPr="00254F4C">
              <w:rPr>
                <w:rFonts w:ascii="Times New Roman" w:hAnsi="Times New Roman" w:cs="Times New Roman"/>
                <w:sz w:val="24"/>
                <w:szCs w:val="24"/>
              </w:rPr>
              <w:t>Iekšlietu ministrijas iniciatīva.</w:t>
            </w:r>
          </w:p>
        </w:tc>
      </w:tr>
      <w:tr w:rsidR="00740AF7" w:rsidRPr="00254F4C" w:rsidTr="008155C8">
        <w:tc>
          <w:tcPr>
            <w:tcW w:w="675" w:type="dxa"/>
          </w:tcPr>
          <w:p w:rsidR="00740AF7" w:rsidRPr="00254F4C" w:rsidRDefault="00740AF7" w:rsidP="008155C8">
            <w:pPr>
              <w:spacing w:before="60" w:line="720" w:lineRule="auto"/>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tcPr>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Atsevišķas pašvaldības ir izteikušas vēlmi pašvaldību iedzīvotāju interesēs sniegt finansiālu un cita veida atbalstu Valsts policijai tās funkciju izpildes uzlabošanai.</w:t>
            </w:r>
          </w:p>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 xml:space="preserve">Norādām, ka minētais jautājums ir skatāms, vai pašvaldība ar saviem finanšu līdzekļiem un ar savu kustamo un nekustamo īpašumu var sniegt atbalstu Valsts policijas funkciju izpildes uzlabošanai. </w:t>
            </w:r>
          </w:p>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Proti, vietējā pašvaldība ir valsts pārvaldes organizācijas forma zemākajā līmenī (</w:t>
            </w:r>
            <w:r w:rsidRPr="00254F4C">
              <w:rPr>
                <w:rFonts w:ascii="Times New Roman" w:hAnsi="Times New Roman"/>
                <w:i/>
                <w:sz w:val="24"/>
                <w:szCs w:val="24"/>
                <w:lang w:val="lv-LV"/>
              </w:rPr>
              <w:t>skatīt Latvijas Republikas Augstākās tiesas 2008.gada 27.novembra sprieduma lietā SKA-552/2008 11.punktu</w:t>
            </w:r>
            <w:r w:rsidRPr="00254F4C">
              <w:rPr>
                <w:rFonts w:ascii="Times New Roman" w:hAnsi="Times New Roman"/>
                <w:sz w:val="24"/>
                <w:szCs w:val="24"/>
                <w:lang w:val="lv-LV"/>
              </w:rPr>
              <w:t>).</w:t>
            </w:r>
            <w:r w:rsidRPr="00254F4C">
              <w:rPr>
                <w:rFonts w:ascii="Times New Roman" w:hAnsi="Times New Roman"/>
                <w:sz w:val="24"/>
                <w:szCs w:val="24"/>
                <w:lang w:val="lv-LV"/>
              </w:rPr>
              <w:tab/>
              <w:t>Likuma “Par pašvaldībām” 15.pantā ir minētas pašvaldību autonomās funkcijas un viena no tām ir piedalīties sabiedriskās kārtības nodrošināšanā. Tātad viens no pašvaldību pienākumiem ir rūpēties par sabiedriskās kārtības nodrošināšanu vietējo iedzīvotāju interesēs.</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Likuma “Par pašvaldībām” 77.pants nosaka, ka pašvaldības īpašums ir nodalīts no valsts īpašuma un citu tiesību subjektu īpašuma. Pašvaldības pārvalda, lieto savu īpašumu un rīkojas ar to likumā noteiktajā kārtībā. </w:t>
            </w:r>
            <w:r w:rsidRPr="00254F4C">
              <w:rPr>
                <w:rFonts w:ascii="Times New Roman" w:eastAsia="Times New Roman" w:hAnsi="Times New Roman"/>
                <w:sz w:val="24"/>
                <w:szCs w:val="24"/>
                <w:lang w:val="lv-LV" w:eastAsia="lv-LV"/>
              </w:rPr>
              <w:t xml:space="preserve">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To īpašuma daļu, kas nav nepieciešama iepriekšminētajiem nolūkiem, pašvaldība var izmantot, lai saimnieciskā kārtā gūtu ienākumus iedzīvotāju vajadzību apmierināšanai vai arī lai likumā noteiktajā kārtībā to privatizētu vai atsavinātu. </w:t>
            </w:r>
            <w:r w:rsidRPr="00254F4C">
              <w:rPr>
                <w:rFonts w:ascii="Times New Roman" w:hAnsi="Times New Roman"/>
                <w:sz w:val="24"/>
                <w:szCs w:val="24"/>
                <w:lang w:val="lv-LV"/>
              </w:rPr>
              <w:t>Domes darbībai un lēmumiem jābūt maksimāli lietderīgiem saskaņā ar minētā likuma 21.panta otrajā daļā noteikto.</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Saskaņā ar Valsts pārvaldes iekārtas likuma 1.panta 1. un 2.punktu </w:t>
            </w:r>
            <w:r w:rsidRPr="00254F4C">
              <w:rPr>
                <w:rFonts w:ascii="Times New Roman" w:hAnsi="Times New Roman"/>
                <w:bCs/>
                <w:sz w:val="24"/>
                <w:szCs w:val="24"/>
                <w:lang w:val="lv-LV"/>
              </w:rPr>
              <w:t>publiska persona ir</w:t>
            </w:r>
            <w:r w:rsidRPr="00254F4C">
              <w:rPr>
                <w:rFonts w:ascii="Times New Roman" w:hAnsi="Times New Roman"/>
                <w:sz w:val="24"/>
                <w:szCs w:val="24"/>
                <w:lang w:val="lv-LV"/>
              </w:rPr>
              <w:t xml:space="preserve"> Latvijas </w:t>
            </w:r>
            <w:r w:rsidRPr="00254F4C">
              <w:rPr>
                <w:rFonts w:ascii="Times New Roman" w:hAnsi="Times New Roman"/>
                <w:sz w:val="24"/>
                <w:szCs w:val="24"/>
                <w:lang w:val="lv-LV"/>
              </w:rPr>
              <w:lastRenderedPageBreak/>
              <w:t>Republika kā sākotnējā publisko tiesību juridiskā persona un atvasinātas publiskas personas. Tās darbojas saskaņā ar publisko tiesību principiem. A</w:t>
            </w:r>
            <w:r w:rsidRPr="00254F4C">
              <w:rPr>
                <w:rFonts w:ascii="Times New Roman" w:eastAsia="Times New Roman" w:hAnsi="Times New Roman"/>
                <w:bCs/>
                <w:sz w:val="24"/>
                <w:szCs w:val="24"/>
                <w:lang w:val="lv-LV" w:eastAsia="lv-LV"/>
              </w:rPr>
              <w:t xml:space="preserve">tvasināta publiska persona </w:t>
            </w:r>
            <w:r w:rsidRPr="00254F4C">
              <w:rPr>
                <w:rFonts w:ascii="Times New Roman" w:hAnsi="Times New Roman"/>
                <w:sz w:val="24"/>
                <w:szCs w:val="24"/>
                <w:lang w:val="lv-LV"/>
              </w:rPr>
              <w:t>ir</w:t>
            </w:r>
            <w:r w:rsidRPr="00254F4C">
              <w:rPr>
                <w:rFonts w:ascii="Times New Roman" w:eastAsia="Times New Roman" w:hAnsi="Times New Roman"/>
                <w:sz w:val="24"/>
                <w:szCs w:val="24"/>
                <w:lang w:val="lv-LV" w:eastAsia="lv-LV"/>
              </w:rPr>
              <w:t xml:space="preserve"> pašvaldība vai cita ar likumu vai uz likuma pamata izveidota publiska persona. Tai ar likumu piešķirta sava autonoma kompetence, kas ietver arī sava budžeta veidošanu un apstiprināšanu. Tai var būt sava manta.</w:t>
            </w:r>
            <w:r w:rsidRPr="00254F4C">
              <w:rPr>
                <w:rFonts w:ascii="Times New Roman" w:hAnsi="Times New Roman"/>
                <w:sz w:val="24"/>
                <w:szCs w:val="24"/>
                <w:lang w:val="lv-LV"/>
              </w:rPr>
              <w:t xml:space="preserve"> Atbilstoši minētā likuma 91.panta pirmajai daļai publiskas personas manta atrodas iestādes valdījumā.</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Ierobežojumi rīcībai ar publiskas personas mantu ir noteikti Publiskas personas mantas atsavināšanas likumā un Publiskas personas finanšu līdzekļu un mantas izšķērdēšanas novēršanas likumā.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Proti, no Publiskas personas mantas atsavināšanas likuma 2.panta pirmās daļas izriet, ka minētais likums nosaka valsts un pašvaldības mantas atsavināšanas kārtību neatkarīgi no tā, kam tā valdījumā tiek nodota. Saskaņā ar minētā likuma 1.panta 1.punktu </w:t>
            </w:r>
            <w:r w:rsidRPr="00254F4C">
              <w:rPr>
                <w:rFonts w:ascii="Times New Roman" w:hAnsi="Times New Roman"/>
                <w:bCs/>
                <w:sz w:val="24"/>
                <w:szCs w:val="24"/>
                <w:lang w:val="lv-LV"/>
              </w:rPr>
              <w:t>atsavināšana</w:t>
            </w:r>
            <w:r w:rsidRPr="00254F4C">
              <w:rPr>
                <w:rFonts w:ascii="Times New Roman" w:hAnsi="Times New Roman"/>
                <w:sz w:val="24"/>
                <w:szCs w:val="24"/>
                <w:lang w:val="lv-LV"/>
              </w:rPr>
              <w:t xml:space="preserve"> ir publiskas personas mantas pārdošana, mainīšana, ieguldīšana kapitālsabiedrībā un nodošana bez atlīdzības, kā rezultātā īpašuma tiesības no mantas atsavinātāja pāriet mantas ieguvējam. Publiskas personas mantas atsavināšanas likuma 42.panta otrā daļa paredz,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īpašums tiek nodots. Nostiprinot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nodevusi. Saskaņā ar minētā likuma 4.panta pirmo un pirmo </w:t>
            </w:r>
            <w:r w:rsidRPr="00254F4C">
              <w:rPr>
                <w:rFonts w:ascii="Times New Roman" w:hAnsi="Times New Roman"/>
                <w:i/>
                <w:sz w:val="24"/>
                <w:szCs w:val="24"/>
                <w:lang w:val="lv-LV"/>
              </w:rPr>
              <w:t>prim</w:t>
            </w:r>
            <w:r w:rsidRPr="00254F4C">
              <w:rPr>
                <w:rFonts w:ascii="Times New Roman" w:hAnsi="Times New Roman"/>
                <w:sz w:val="24"/>
                <w:szCs w:val="24"/>
                <w:lang w:val="lv-LV"/>
              </w:rPr>
              <w:t xml:space="preserve"> daļu atvasinātas publiskas personas mantas atsavināšanu var ierosināt, ja tā nav nepieciešama attiecīgajai atvasinātai publiskai personai vai tās iestādēm to funkciju nodrošināšanai. Savukārt publiskas personas kustamās mantas atsavināšanu attiecībā uz atvasinātas publiskas personas mantu attiecīgās atvasinātās publiskās personas lēmējinstitūcijas noteiktajos gadījumos var ierosināt, arī nenoskaidrojot publiskas personas vai tās iestāžu vajadzību pēc citai publiskai personai vai tās iestādēm nevajadzīgās kustamās </w:t>
            </w:r>
            <w:r w:rsidRPr="00254F4C">
              <w:rPr>
                <w:rFonts w:ascii="Times New Roman" w:hAnsi="Times New Roman"/>
                <w:sz w:val="24"/>
                <w:szCs w:val="24"/>
                <w:lang w:val="lv-LV"/>
              </w:rPr>
              <w:lastRenderedPageBreak/>
              <w:t>mantas.</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Vienlaikus Publiskas personas mantas atsavināšanas likuma 42.panta trešā un ceturtā daļa paredz, ka publiskas personas kustamo mantu var nodot bez atlīdzības valsts, atvasinātu publisku personu, kā arī citu publisko tiesību subjektu, sabiedriskā labuma organizāciju vai sociālo uzņēmumu īpašumā. Publiskas personas kustamo mantu var dāvināt un ziedot arī citos likumos un Ministru kabineta noteikumos paredzētajā kārtībā un gadījumos.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Publiskas personas mantas atsavināšanas procedūru nosaka Ministru kabineta 2011.gada 1.februāra noteikumi Nr.109 “Kārtība, kādā atsavināma publiskas personas manta”.</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Attiecīgi Publiskas personas finanšu līdzekļu un mantas izšķērdēšanas novēršanas likuma 3.pantā ir noteikts pienākums publiskai personai lietderīgi rīkoties ar finanšu līdzekļiem un mantu, tai skaitā, nosakot, ka manta atsavināma un nododama īpašumā vai lietošanā citai personai par iespējami augstāku cenu. Tāpat minētā likuma 5.pants nosaka aizliegumu publiskas personas mantu nodot bezatlīdzības lietošanā citai personai, nosakot vairākus izņēmuma gadījumus, kad tas tomēr būtu iespējams. Tomēr šāda rīcība, kad pašvaldība nodot valstij mantu bezatlīdzības lietošanā, “ir vērsta uz iekšu”, proti, šāda darbība ir uzskatāma par valsts pārvaldes iekšējo darbību. Līdz ar to mantas kustība starp publiskajām personām (valsts un pašvaldība - </w:t>
            </w:r>
            <w:r w:rsidRPr="00254F4C">
              <w:rPr>
                <w:rFonts w:ascii="Times New Roman" w:hAnsi="Times New Roman"/>
                <w:i/>
                <w:sz w:val="24"/>
                <w:szCs w:val="24"/>
                <w:lang w:val="lv-LV"/>
              </w:rPr>
              <w:t>skatīt Latvijas Republikas Augstākās tiesas 2008.gada 27.novembra sprieduma lietā SKA-552/2008 11.punktu</w:t>
            </w:r>
            <w:r w:rsidRPr="00254F4C">
              <w:rPr>
                <w:rFonts w:ascii="Times New Roman" w:hAnsi="Times New Roman"/>
                <w:sz w:val="24"/>
                <w:szCs w:val="24"/>
                <w:lang w:val="lv-LV"/>
              </w:rPr>
              <w:t>)  tiek veikta ar iekšēju pārvaldes lēmumu saskaņā ar Valsts pārvaldes iekārtas likuma 1.panta 7.punktu un VIII nodaļu, ievērojot Publiskas personas finanšu līdzekļu un mantas izšķērdēšanas novēršanas likuma 3.pantā noteikto pienākumu lietderīgi rīkoties ar finanšu līdzekļiem un mantu.</w:t>
            </w:r>
            <w:r w:rsidRPr="00254F4C">
              <w:rPr>
                <w:rFonts w:ascii="Times New Roman" w:hAnsi="Times New Roman"/>
                <w:sz w:val="24"/>
                <w:szCs w:val="24"/>
                <w:lang w:val="lv-LV"/>
              </w:rPr>
              <w:tab/>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Ņemot vērā Publiskas personas mantas atsavināšanas likumā un Publiskas personas finanšu līdzekļu un mantas izšķērdēšanas novēršanas likumā minēto ir secināms, ka pašvaldībai ir paredzētas tiesības nodot valstij:</w:t>
            </w:r>
          </w:p>
          <w:p w:rsidR="00740AF7" w:rsidRPr="00254F4C" w:rsidRDefault="00740AF7" w:rsidP="00740AF7">
            <w:pPr>
              <w:pStyle w:val="NoSpacing"/>
              <w:numPr>
                <w:ilvl w:val="0"/>
                <w:numId w:val="1"/>
              </w:numPr>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bez atlīdzības gan kustamo mantu, gan nekustamo īpašumā;</w:t>
            </w:r>
          </w:p>
          <w:p w:rsidR="00740AF7" w:rsidRPr="00254F4C" w:rsidRDefault="00740AF7" w:rsidP="00740AF7">
            <w:pPr>
              <w:pStyle w:val="NoSpacing"/>
              <w:numPr>
                <w:ilvl w:val="0"/>
                <w:numId w:val="1"/>
              </w:numPr>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bezatlīdzības lietošanā mantu.</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Savukārt par pašvaldību iespēju atbalstīt Valsts policiju ar finanšu līdzekļiem norādām uz sekojošo.</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Lai piedalītos sabiedriskās kārtības nodrošināšanā, saskaņā ar likumu “Par policiju” un Latvijas Administratīvo pārkāpumu kodeksu pašvaldības savās </w:t>
            </w:r>
            <w:r w:rsidRPr="00254F4C">
              <w:rPr>
                <w:rFonts w:ascii="Times New Roman" w:hAnsi="Times New Roman"/>
                <w:sz w:val="24"/>
                <w:szCs w:val="24"/>
                <w:lang w:val="lv-LV"/>
              </w:rPr>
              <w:lastRenderedPageBreak/>
              <w:t xml:space="preserve">administratīvajās teritorijās izvēlas dažādus risinājumus: izveido savu pašvaldības policiju, deleģē pašvaldības policijas uzdevumus citai pašvaldībai, izveido kopīgu pašvaldību policiju un administratīvās inspekcijas vai ievieš administratīvā inspektora amata vietu, kas nodrošina saistošo noteikumu ievērošanas uzraudzību. Savukārt, ja pašvaldība nav pieņēmusi lēmumu par piedalīšanos sabiedriskās kārtības nodrošināšanā, tad saskaņā ar likuma “Par policiju” 19.panta ceturto daļu sabiedrisko kārtību attiecīgajā administratīvajā teritorijā nodrošina Valsts policija. Tādējādi attiecīgajos likumos ir jau nostiprināts mehānisms, kā pašvaldība nodrošina sabiedriskās kārtības uzturēšanu savā administratīvajā teritorijā. Šajā mehānismā pašreiz nav nostiprinātas pašvaldību tiesības atbalstīt Valsts policiju ar finanšu līdzekļiem.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Līdz ar to ir vērtējama iespējamība šāda mehānisma paredzēšanai attiecīgajā likumā.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Proti, i</w:t>
            </w:r>
            <w:r w:rsidRPr="00254F4C">
              <w:rPr>
                <w:rFonts w:ascii="Times New Roman" w:hAnsi="Times New Roman"/>
                <w:bCs/>
                <w:sz w:val="24"/>
                <w:szCs w:val="24"/>
                <w:lang w:val="lv-LV"/>
              </w:rPr>
              <w:t xml:space="preserve">estāde </w:t>
            </w:r>
            <w:r w:rsidRPr="00254F4C">
              <w:rPr>
                <w:rFonts w:ascii="Times New Roman" w:hAnsi="Times New Roman"/>
                <w:sz w:val="24"/>
                <w:szCs w:val="24"/>
                <w:lang w:val="lv-LV"/>
              </w:rPr>
              <w:t>saskaņā ar Valsts pārvaldes iekārtas likuma 1.panta 3.punktā noteikto ir institūcija, kura darbojas publiskas personas vārdā un kurai ar normatīvo aktu noteikta kompetence valsts pārvaldē, piešķirti finanšu līdzekļi tās darbības īstenošanai un ir savs personāls. Ministru kabineta 2005.gada 18.janvāra noteikumu Nr.46 “Valsts policijas nolikums” 1. un 2.punkts nosaka, ka Valsts policija ir iekšlietu ministra pārraudzībā esoša tiešās pārvaldes iestāde, kas atbilstoši kompetencei īsteno valsts politiku noziedzības apkarošanas un sabiedriskās kārtības un drošības aizsardzībā, kā arī personu tiesību un likumīgo interešu aizsardzībā. Valsts policijas uzdevumi un funkcijas noteiktas likumā “Par policiju” un citos normatīvajos aktos, kas regulē Valsts policijas darbību.</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Saskaņā ar likuma “Par policiju” 15.panta otro daļu Valsts policija savas kompetences ietvaros izpilda savus pienākumus visā Latvijas Republikas teritorijā. Valsts pārvaldes iekārtas likuma 54.pants paredz, ka iestādes sadarbojas, lai veiktu savas funkcijas un uzdevumus. Iestādes var sadarboties gan atsevišķā gadījumā, gan pastāvīgi. Sadarbojoties pastāvīgi, iestādes var slēgt starpresoru vienošanos. Iestāžu sadarbība notiek bez maksas, ja ārējā normatīvajā aktā nav noteikts citādi. Tādējādi pašvaldības un valsts pārvaldes iestādes, kuras attiecīgajā administratīvajā teritorijā veic valsts pārvaldes uzdevumus, šo uzdevumu izpildes laikā ir tiesīgas sadarboties.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Līdz ar to, ņemot vērā Valsts pārvaldes iekārtas likuma 1.panta 3.punktā norādīto, vēršam uzmanību, ka pašreiz pašvaldībai nav tiesiska pamata pašvaldībai sniegt finansiālu atbalstu Valsts policijai. </w:t>
            </w:r>
          </w:p>
          <w:p w:rsidR="0049434B" w:rsidRPr="0049434B" w:rsidRDefault="00740AF7" w:rsidP="0049434B">
            <w:pPr>
              <w:pStyle w:val="NoSpacing"/>
              <w:tabs>
                <w:tab w:val="left" w:pos="720"/>
                <w:tab w:val="left" w:pos="3685"/>
              </w:tabs>
              <w:ind w:firstLine="629"/>
              <w:jc w:val="both"/>
              <w:rPr>
                <w:rFonts w:ascii="Times New Roman" w:eastAsia="Times New Roman" w:hAnsi="Times New Roman"/>
                <w:sz w:val="24"/>
                <w:szCs w:val="24"/>
                <w:lang w:val="lv-LV" w:eastAsia="lv-LV"/>
              </w:rPr>
            </w:pPr>
            <w:r w:rsidRPr="00254F4C">
              <w:rPr>
                <w:rFonts w:ascii="Times New Roman" w:hAnsi="Times New Roman"/>
                <w:sz w:val="24"/>
                <w:szCs w:val="24"/>
                <w:lang w:val="lv-LV"/>
              </w:rPr>
              <w:lastRenderedPageBreak/>
              <w:tab/>
            </w:r>
            <w:r w:rsidR="0049434B" w:rsidRPr="0049434B">
              <w:rPr>
                <w:rFonts w:ascii="Times New Roman" w:hAnsi="Times New Roman"/>
                <w:sz w:val="24"/>
                <w:szCs w:val="24"/>
                <w:lang w:val="lv-LV"/>
              </w:rPr>
              <w:t xml:space="preserve">Ņemot vērā to, ka Valsts policijas funkciju izpildes uzlabošanai nepieciešami papildu valsts budžeta līdzekļi, tomēr ierobežotas fiskālās telpas ietvaros papildu finansējums ne vienmēr ir pieejams </w:t>
            </w:r>
            <w:r w:rsidRPr="0049434B">
              <w:rPr>
                <w:rFonts w:ascii="Times New Roman" w:hAnsi="Times New Roman"/>
                <w:sz w:val="24"/>
                <w:szCs w:val="24"/>
                <w:lang w:val="lv-LV"/>
              </w:rPr>
              <w:t>un</w:t>
            </w:r>
            <w:r w:rsidRPr="00254F4C">
              <w:rPr>
                <w:rFonts w:ascii="Times New Roman" w:hAnsi="Times New Roman"/>
                <w:sz w:val="24"/>
                <w:szCs w:val="24"/>
                <w:lang w:val="lv-LV"/>
              </w:rPr>
              <w:t xml:space="preserve"> pašvaldību izteikto vēlmi sniegt atbalstu, lai nodrošinātu tiesisku iespēju vietējām pašval</w:t>
            </w:r>
            <w:r w:rsidR="00FD6722">
              <w:rPr>
                <w:rFonts w:ascii="Times New Roman" w:hAnsi="Times New Roman"/>
                <w:sz w:val="24"/>
                <w:szCs w:val="24"/>
                <w:lang w:val="lv-LV"/>
              </w:rPr>
              <w:t>dībām atbalstīt Valsts policiju,</w:t>
            </w:r>
            <w:r w:rsidRPr="00254F4C">
              <w:rPr>
                <w:rFonts w:ascii="Times New Roman" w:hAnsi="Times New Roman"/>
                <w:sz w:val="24"/>
                <w:szCs w:val="24"/>
                <w:lang w:val="lv-LV"/>
              </w:rPr>
              <w:t xml:space="preserve"> būtu nepieciešams rosināt attiecīga grozījuma izdarīšanu</w:t>
            </w:r>
            <w:r w:rsidR="00BF1877">
              <w:rPr>
                <w:rFonts w:ascii="Times New Roman" w:hAnsi="Times New Roman"/>
                <w:sz w:val="24"/>
                <w:szCs w:val="24"/>
                <w:lang w:val="lv-LV"/>
              </w:rPr>
              <w:t>. Ņemot vērā to, ka likumam “Par policiju” ir institucionāls raksturs un tajā attiecīgā tiesiskā regulējuma, kas attiektos uz pašvaldībām, ietveršana nebūtu atbilstoša, rosinām izdarīt attiecīgu grozījumu likumā “Par pašvaldībām”</w:t>
            </w:r>
            <w:r w:rsidRPr="00254F4C">
              <w:rPr>
                <w:rFonts w:ascii="Times New Roman" w:hAnsi="Times New Roman"/>
                <w:sz w:val="24"/>
                <w:szCs w:val="24"/>
                <w:lang w:val="lv-LV"/>
              </w:rPr>
              <w:t xml:space="preserve">, paredzot, ka </w:t>
            </w:r>
            <w:r w:rsidR="00793E46" w:rsidRPr="00793E46">
              <w:rPr>
                <w:rFonts w:ascii="Times New Roman" w:hAnsi="Times New Roman"/>
                <w:sz w:val="24"/>
                <w:szCs w:val="24"/>
                <w:lang w:val="lv-LV"/>
              </w:rPr>
              <w:t>p</w:t>
            </w:r>
            <w:r w:rsidR="00793E46" w:rsidRPr="00793E46">
              <w:rPr>
                <w:rFonts w:ascii="Times New Roman" w:hAnsi="Times New Roman"/>
                <w:sz w:val="24"/>
                <w:szCs w:val="24"/>
              </w:rPr>
              <w:t>ašvaldība ir tiesīga sniegt finansiālu atbalstu valsts pārvaldes iestādei, lai uzlabotu minētās iestādes veikto funkciju izpildi attiecīgajā administratīvajā teritorijā</w:t>
            </w:r>
            <w:r w:rsidR="00FB2477" w:rsidRPr="00793E46">
              <w:rPr>
                <w:rFonts w:ascii="Times New Roman" w:hAnsi="Times New Roman"/>
                <w:sz w:val="24"/>
                <w:szCs w:val="24"/>
                <w:lang w:val="lv-LV"/>
              </w:rPr>
              <w:t xml:space="preserve"> </w:t>
            </w:r>
            <w:r w:rsidR="00FB2477" w:rsidRPr="00254F4C">
              <w:rPr>
                <w:rFonts w:ascii="Times New Roman" w:hAnsi="Times New Roman"/>
                <w:sz w:val="24"/>
                <w:szCs w:val="24"/>
                <w:lang w:val="lv-LV"/>
              </w:rPr>
              <w:t>(</w:t>
            </w:r>
            <w:r w:rsidRPr="00254F4C">
              <w:rPr>
                <w:rFonts w:ascii="Times New Roman" w:hAnsi="Times New Roman"/>
                <w:i/>
                <w:sz w:val="24"/>
                <w:szCs w:val="24"/>
                <w:lang w:val="lv-LV"/>
              </w:rPr>
              <w:t xml:space="preserve">piemēram, pārskaitot finanšu līdzekļus ēkas remontam, kurās izvietota Valsts policija, </w:t>
            </w:r>
            <w:r w:rsidR="002C555F">
              <w:rPr>
                <w:rFonts w:ascii="Times New Roman" w:hAnsi="Times New Roman"/>
                <w:i/>
                <w:sz w:val="24"/>
                <w:szCs w:val="24"/>
                <w:lang w:val="lv-LV"/>
              </w:rPr>
              <w:t>Pilsonības un migrācijas lietu pārvalde</w:t>
            </w:r>
            <w:r w:rsidRPr="00254F4C">
              <w:rPr>
                <w:rFonts w:ascii="Times New Roman" w:hAnsi="Times New Roman"/>
                <w:i/>
                <w:sz w:val="24"/>
                <w:szCs w:val="24"/>
                <w:lang w:val="lv-LV"/>
              </w:rPr>
              <w:t xml:space="preserve"> un Valsts ugunsdzēsības un glābšanas dienests, tādējādi nodroš</w:t>
            </w:r>
            <w:r w:rsidR="002C555F">
              <w:rPr>
                <w:rFonts w:ascii="Times New Roman" w:hAnsi="Times New Roman"/>
                <w:i/>
                <w:sz w:val="24"/>
                <w:szCs w:val="24"/>
                <w:lang w:val="lv-LV"/>
              </w:rPr>
              <w:t>inot vides pieejamību attiecīgās</w:t>
            </w:r>
            <w:r w:rsidRPr="00254F4C">
              <w:rPr>
                <w:rFonts w:ascii="Times New Roman" w:hAnsi="Times New Roman"/>
                <w:i/>
                <w:sz w:val="24"/>
                <w:szCs w:val="24"/>
                <w:lang w:val="lv-LV"/>
              </w:rPr>
              <w:t xml:space="preserve"> administratīvās teritorijas iedzīvotājiem un tās viesiem</w:t>
            </w:r>
            <w:r w:rsidRPr="00254F4C">
              <w:rPr>
                <w:rFonts w:ascii="Times New Roman" w:hAnsi="Times New Roman"/>
                <w:sz w:val="24"/>
                <w:szCs w:val="24"/>
                <w:lang w:val="lv-LV"/>
              </w:rPr>
              <w:t xml:space="preserve">). </w:t>
            </w:r>
            <w:r w:rsidR="0049434B" w:rsidRPr="0049434B">
              <w:rPr>
                <w:rFonts w:ascii="Times New Roman" w:hAnsi="Times New Roman"/>
                <w:sz w:val="24"/>
                <w:szCs w:val="24"/>
                <w:lang w:val="lv-LV"/>
              </w:rPr>
              <w:t>Ministru kabineta 2005. gada 27. decembra noteikumi Nr. 1031 “Noteikumi par budžetu izdevumu klasifikāciju atbilstoši ekonomiskajām kategorijām” paredz budžetu izdevumu klasifikācijas kodu atbilstoši ekonomiskajām kategorijām 7247 “Pašvaldību uzturēšanas izdevumu transferti (izņemot atmaksas) uz valsts budžetu”, kurā uzskaita pašvaldību budžetu uzturēšanas izdevumu transfertus uz valsts budžetu (ministrijai vai citai centrālajai valsts iestādei), tai skaitā nenaudas (aktīvu nodošana un pasīvu uzņemšana bilancē)</w:t>
            </w:r>
            <w:r w:rsidR="0049434B" w:rsidRPr="0049434B">
              <w:rPr>
                <w:rFonts w:ascii="Arial" w:hAnsi="Arial" w:cs="Arial"/>
                <w:color w:val="414142"/>
                <w:sz w:val="24"/>
                <w:szCs w:val="24"/>
                <w:shd w:val="clear" w:color="auto" w:fill="FFFFFF"/>
                <w:lang w:val="lv-LV"/>
              </w:rPr>
              <w:t xml:space="preserve"> </w:t>
            </w:r>
            <w:r w:rsidR="0049434B" w:rsidRPr="0049434B">
              <w:rPr>
                <w:rFonts w:ascii="Times New Roman" w:hAnsi="Times New Roman"/>
                <w:sz w:val="24"/>
                <w:szCs w:val="24"/>
                <w:lang w:val="lv-LV"/>
              </w:rPr>
              <w:t>darījumu izdevumus. Tādējādi finansiālo atbalstu valsts pārvaldes iestādei (Valsts policijai) iespējams sniegt, izmantojot pašvaldību izdevumu transfertu uz valsts budžetu</w:t>
            </w:r>
            <w:r w:rsidR="0049434B">
              <w:rPr>
                <w:rFonts w:ascii="Times New Roman" w:hAnsi="Times New Roman"/>
                <w:sz w:val="24"/>
                <w:szCs w:val="24"/>
                <w:lang w:val="lv-LV"/>
              </w:rPr>
              <w:t xml:space="preserve">. </w:t>
            </w:r>
            <w:r w:rsidR="0049434B" w:rsidRPr="0049434B">
              <w:rPr>
                <w:rFonts w:ascii="Times New Roman" w:hAnsi="Times New Roman"/>
                <w:sz w:val="24"/>
                <w:szCs w:val="24"/>
                <w:lang w:val="lv-LV"/>
              </w:rPr>
              <w:t>Likumprojekta ietekmi uz valsts budžetu un pašvaldību budžetu pašreiz nav iespējams aprēķināt, jo nav zināms, cik pašvaldības un kādā apmērā sniegs finansiālu atbalstu valsts pārvaldes iestādei.</w:t>
            </w:r>
          </w:p>
          <w:p w:rsidR="00740AF7" w:rsidRPr="00254F4C" w:rsidRDefault="00740AF7" w:rsidP="008155C8">
            <w:pPr>
              <w:ind w:firstLine="709"/>
              <w:jc w:val="both"/>
              <w:rPr>
                <w:rFonts w:ascii="Times New Roman" w:hAnsi="Times New Roman" w:cs="Times New Roman"/>
                <w:sz w:val="24"/>
                <w:szCs w:val="24"/>
              </w:rPr>
            </w:pP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lastRenderedPageBreak/>
              <w:t>3.</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Projekta izstrādē iesaistītās institūcijas</w:t>
            </w:r>
          </w:p>
        </w:tc>
        <w:tc>
          <w:tcPr>
            <w:tcW w:w="5764" w:type="dxa"/>
          </w:tcPr>
          <w:p w:rsidR="00740AF7" w:rsidRPr="00254F4C" w:rsidRDefault="00740AF7" w:rsidP="008155C8">
            <w:pPr>
              <w:autoSpaceDE w:val="0"/>
              <w:autoSpaceDN w:val="0"/>
              <w:adjustRightInd w:val="0"/>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 xml:space="preserve">Cita informācija </w:t>
            </w:r>
          </w:p>
        </w:tc>
        <w:tc>
          <w:tcPr>
            <w:tcW w:w="5764" w:type="dxa"/>
          </w:tcPr>
          <w:p w:rsidR="00740AF7" w:rsidRPr="00254F4C" w:rsidRDefault="00740AF7" w:rsidP="008155C8">
            <w:pPr>
              <w:shd w:val="clear" w:color="auto" w:fill="FFFFFF"/>
              <w:spacing w:after="100" w:afterAutospacing="1"/>
              <w:contextualSpacing/>
              <w:jc w:val="both"/>
              <w:rPr>
                <w:rFonts w:ascii="Times New Roman" w:hAnsi="Times New Roman" w:cs="Times New Roman"/>
                <w:sz w:val="24"/>
                <w:szCs w:val="24"/>
                <w:lang w:eastAsia="lv-LV"/>
              </w:rPr>
            </w:pPr>
            <w:r w:rsidRPr="00254F4C">
              <w:rPr>
                <w:rFonts w:ascii="Times New Roman" w:hAnsi="Times New Roman" w:cs="Times New Roman"/>
                <w:sz w:val="24"/>
                <w:szCs w:val="24"/>
                <w:lang w:eastAsia="lv-LV"/>
              </w:rPr>
              <w:t>Nav.</w:t>
            </w:r>
          </w:p>
        </w:tc>
      </w:tr>
      <w:tr w:rsidR="00740AF7" w:rsidRPr="00254F4C" w:rsidTr="008155C8">
        <w:tc>
          <w:tcPr>
            <w:tcW w:w="9133" w:type="dxa"/>
            <w:gridSpan w:val="3"/>
          </w:tcPr>
          <w:p w:rsidR="00740AF7" w:rsidRPr="00254F4C" w:rsidRDefault="00740AF7" w:rsidP="008155C8">
            <w:pPr>
              <w:spacing w:before="60" w:after="60"/>
              <w:jc w:val="center"/>
              <w:rPr>
                <w:rFonts w:ascii="Times New Roman" w:hAnsi="Times New Roman" w:cs="Times New Roman"/>
                <w:sz w:val="24"/>
                <w:szCs w:val="24"/>
              </w:rPr>
            </w:pPr>
            <w:r w:rsidRPr="00254F4C">
              <w:rPr>
                <w:rFonts w:ascii="Times New Roman" w:hAnsi="Times New Roman" w:cs="Times New Roman"/>
                <w:b/>
                <w:sz w:val="24"/>
                <w:szCs w:val="24"/>
              </w:rPr>
              <w:t>II. Tiesību akta projekta ietekme uz sabiedrību, tautsaimniecības attīstību un administratīvo slogu</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 xml:space="preserve">1. </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mērķgrupas, kuras tiesiskais regulējums ietekmē vai varētu ietekmēt</w:t>
            </w:r>
          </w:p>
        </w:tc>
        <w:tc>
          <w:tcPr>
            <w:tcW w:w="5764" w:type="dxa"/>
          </w:tcPr>
          <w:p w:rsidR="00740AF7" w:rsidRPr="00254F4C" w:rsidRDefault="00FB2477" w:rsidP="00BF1877">
            <w:pPr>
              <w:jc w:val="both"/>
              <w:rPr>
                <w:rFonts w:ascii="Times New Roman" w:hAnsi="Times New Roman" w:cs="Times New Roman"/>
                <w:sz w:val="24"/>
                <w:szCs w:val="24"/>
              </w:rPr>
            </w:pPr>
            <w:r w:rsidRPr="00254F4C">
              <w:rPr>
                <w:rFonts w:ascii="Times New Roman" w:hAnsi="Times New Roman" w:cs="Times New Roman"/>
                <w:sz w:val="24"/>
                <w:szCs w:val="24"/>
              </w:rPr>
              <w:t>T</w:t>
            </w:r>
            <w:r w:rsidR="00BF1877">
              <w:rPr>
                <w:rFonts w:ascii="Times New Roman" w:hAnsi="Times New Roman" w:cs="Times New Roman"/>
                <w:sz w:val="24"/>
                <w:szCs w:val="24"/>
              </w:rPr>
              <w:t>ie</w:t>
            </w:r>
            <w:r w:rsidRPr="00254F4C">
              <w:rPr>
                <w:rFonts w:ascii="Times New Roman" w:hAnsi="Times New Roman" w:cs="Times New Roman"/>
                <w:sz w:val="24"/>
                <w:szCs w:val="24"/>
              </w:rPr>
              <w:t xml:space="preserve"> pašvald</w:t>
            </w:r>
            <w:r w:rsidR="00D708A8">
              <w:rPr>
                <w:rFonts w:ascii="Times New Roman" w:hAnsi="Times New Roman" w:cs="Times New Roman"/>
                <w:sz w:val="24"/>
                <w:szCs w:val="24"/>
              </w:rPr>
              <w:t>ības</w:t>
            </w:r>
            <w:r w:rsidRPr="00254F4C">
              <w:rPr>
                <w:rFonts w:ascii="Times New Roman" w:hAnsi="Times New Roman" w:cs="Times New Roman"/>
                <w:sz w:val="24"/>
                <w:szCs w:val="24"/>
              </w:rPr>
              <w:t xml:space="preserve"> iedzīvotāj</w:t>
            </w:r>
            <w:r w:rsidR="00BF1877">
              <w:rPr>
                <w:rFonts w:ascii="Times New Roman" w:hAnsi="Times New Roman" w:cs="Times New Roman"/>
                <w:sz w:val="24"/>
                <w:szCs w:val="24"/>
              </w:rPr>
              <w:t>i</w:t>
            </w:r>
            <w:r w:rsidRPr="00254F4C">
              <w:rPr>
                <w:rFonts w:ascii="Times New Roman" w:hAnsi="Times New Roman" w:cs="Times New Roman"/>
                <w:sz w:val="24"/>
                <w:szCs w:val="24"/>
              </w:rPr>
              <w:t>, kuru pašvaldība būs pieņēmusi lēmumu sniegt finansiālu atbalstu valsts pārvaldes iestādei, lai paaugstinātu minētās iestādes veiktās funkcijas pieejamības uzlabošanu attiecīgajā administratīvajā teritorijā.</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lastRenderedPageBreak/>
              <w:t>2.</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Tiesiskā regulējuma ietekme uz tautsaimniecību un administratīvo slogu</w:t>
            </w:r>
          </w:p>
        </w:tc>
        <w:tc>
          <w:tcPr>
            <w:tcW w:w="5764" w:type="dxa"/>
          </w:tcPr>
          <w:p w:rsidR="00740AF7" w:rsidRPr="00254F4C" w:rsidRDefault="00740AF7" w:rsidP="008155C8">
            <w:pPr>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3.</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Administratīvo izmaksu monetārs novērtējums</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Cita informācija</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Nav.</w:t>
            </w:r>
          </w:p>
        </w:tc>
      </w:tr>
    </w:tbl>
    <w:p w:rsidR="00FB2477" w:rsidRPr="00254F4C" w:rsidRDefault="00FB2477" w:rsidP="00740AF7">
      <w:pPr>
        <w:rPr>
          <w:rFonts w:ascii="Times New Roman" w:hAnsi="Times New Roman" w:cs="Times New Roman"/>
          <w:sz w:val="24"/>
          <w:szCs w:val="24"/>
        </w:rPr>
      </w:pPr>
    </w:p>
    <w:tbl>
      <w:tblPr>
        <w:tblStyle w:val="TableGrid"/>
        <w:tblW w:w="9138" w:type="dxa"/>
        <w:tblInd w:w="-5" w:type="dxa"/>
        <w:tblLayout w:type="fixed"/>
        <w:tblLook w:val="04A0" w:firstRow="1" w:lastRow="0" w:firstColumn="1" w:lastColumn="0" w:noHBand="0" w:noVBand="1"/>
      </w:tblPr>
      <w:tblGrid>
        <w:gridCol w:w="9138"/>
      </w:tblGrid>
      <w:tr w:rsidR="00FB2477" w:rsidRPr="00254F4C" w:rsidTr="00FB2477">
        <w:tc>
          <w:tcPr>
            <w:tcW w:w="9138" w:type="dxa"/>
          </w:tcPr>
          <w:p w:rsidR="00FB2477" w:rsidRPr="00254F4C" w:rsidRDefault="00FB2477" w:rsidP="008155C8">
            <w:pPr>
              <w:pStyle w:val="naisf"/>
              <w:spacing w:before="60" w:after="60"/>
              <w:ind w:firstLine="357"/>
              <w:jc w:val="center"/>
              <w:rPr>
                <w:b/>
                <w:color w:val="000000" w:themeColor="text1"/>
              </w:rPr>
            </w:pPr>
            <w:r w:rsidRPr="00254F4C">
              <w:rPr>
                <w:b/>
                <w:bCs/>
              </w:rPr>
              <w:t>III. Tiesību akta projekta ietekme uz valsts budžetu un pašvaldību budžetiem</w:t>
            </w:r>
          </w:p>
        </w:tc>
      </w:tr>
      <w:tr w:rsidR="00FB2477" w:rsidRPr="008977ED" w:rsidTr="00FB2477">
        <w:tc>
          <w:tcPr>
            <w:tcW w:w="9138" w:type="dxa"/>
          </w:tcPr>
          <w:p w:rsidR="00FB2477" w:rsidRPr="00FB2477" w:rsidRDefault="00FB2477" w:rsidP="00FB2477">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740AF7" w:rsidRDefault="00740AF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24458A" w:rsidRDefault="00FB2477" w:rsidP="00FB2477">
            <w:pPr>
              <w:pStyle w:val="naisf"/>
              <w:spacing w:before="60" w:after="60"/>
              <w:ind w:firstLine="357"/>
              <w:jc w:val="center"/>
              <w:rPr>
                <w:b/>
                <w:color w:val="000000" w:themeColor="text1"/>
              </w:rPr>
            </w:pPr>
            <w:r w:rsidRPr="0024458A">
              <w:rPr>
                <w:b/>
              </w:rPr>
              <w:t>IV. Tiesību akta projekta ietekme uz spēkā esošo tiesību normu sistēmu</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24458A" w:rsidRDefault="00FB2477" w:rsidP="008155C8">
            <w:pPr>
              <w:pStyle w:val="naisf"/>
              <w:spacing w:before="60" w:after="60"/>
              <w:ind w:firstLine="357"/>
              <w:jc w:val="center"/>
              <w:rPr>
                <w:b/>
                <w:color w:val="000000" w:themeColor="text1"/>
              </w:rPr>
            </w:pPr>
            <w:r w:rsidRPr="0024458A">
              <w:rPr>
                <w:b/>
              </w:rPr>
              <w:t>IV. Tiesību akta projekta ietekme uz spēkā esošo tiesību normu sistēmu</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FB2477" w:rsidRDefault="00FB2477" w:rsidP="008155C8">
            <w:pPr>
              <w:pStyle w:val="naisf"/>
              <w:spacing w:before="60" w:after="60"/>
              <w:ind w:firstLine="357"/>
              <w:jc w:val="center"/>
              <w:rPr>
                <w:b/>
                <w:color w:val="000000" w:themeColor="text1"/>
              </w:rPr>
            </w:pPr>
            <w:r w:rsidRPr="00FB2477">
              <w:rPr>
                <w:b/>
              </w:rPr>
              <w:t>V. Tiesību akta projekta atbilstība Latvijas Republikas starptautiskajām saistībām</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8996" w:type="dxa"/>
        <w:tblInd w:w="137" w:type="dxa"/>
        <w:tblLayout w:type="fixed"/>
        <w:tblLook w:val="04A0" w:firstRow="1" w:lastRow="0" w:firstColumn="1" w:lastColumn="0" w:noHBand="0" w:noVBand="1"/>
      </w:tblPr>
      <w:tblGrid>
        <w:gridCol w:w="538"/>
        <w:gridCol w:w="3119"/>
        <w:gridCol w:w="5339"/>
      </w:tblGrid>
      <w:tr w:rsidR="0043142B" w:rsidRPr="00254F4C" w:rsidTr="00BF1877">
        <w:trPr>
          <w:trHeight w:val="443"/>
        </w:trPr>
        <w:tc>
          <w:tcPr>
            <w:tcW w:w="8996" w:type="dxa"/>
            <w:gridSpan w:val="3"/>
          </w:tcPr>
          <w:p w:rsidR="0043142B" w:rsidRPr="00254F4C" w:rsidRDefault="0043142B" w:rsidP="008155C8">
            <w:pPr>
              <w:pStyle w:val="naisf"/>
              <w:spacing w:before="60" w:after="60"/>
              <w:ind w:firstLine="357"/>
              <w:jc w:val="center"/>
              <w:rPr>
                <w:b/>
              </w:rPr>
            </w:pPr>
            <w:r w:rsidRPr="00254F4C">
              <w:rPr>
                <w:b/>
              </w:rPr>
              <w:t>VI.</w:t>
            </w:r>
            <w:r w:rsidRPr="00254F4C">
              <w:rPr>
                <w:b/>
                <w:bCs/>
              </w:rPr>
              <w:t xml:space="preserve"> Sabiedrības līdzdalība un komunikācijas aktivitātes</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43142B"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Plānotās sabiedrības līdzdalības un komunikācijas aktivitātes saistībā ar projektu</w:t>
            </w:r>
          </w:p>
        </w:tc>
        <w:tc>
          <w:tcPr>
            <w:tcW w:w="5339" w:type="dxa"/>
          </w:tcPr>
          <w:p w:rsidR="002E4C26" w:rsidRDefault="002E4C26" w:rsidP="008155C8">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Projekts un tā sākotnējās ietekmes novērtējuma ziņojums (anotācija) pirms tā iesniegšanas Valsts sekretāru sanāksmē</w:t>
            </w:r>
            <w:r w:rsidR="0000140F">
              <w:rPr>
                <w:rFonts w:ascii="Times New Roman" w:hAnsi="Times New Roman" w:cs="Times New Roman"/>
                <w:iCs/>
                <w:sz w:val="24"/>
                <w:szCs w:val="24"/>
                <w:lang w:eastAsia="lv-LV"/>
              </w:rPr>
              <w:t xml:space="preserve"> 2019.gada 1.jūlijā</w:t>
            </w:r>
            <w:r w:rsidRPr="00254F4C">
              <w:rPr>
                <w:rFonts w:ascii="Times New Roman" w:hAnsi="Times New Roman" w:cs="Times New Roman"/>
                <w:iCs/>
                <w:sz w:val="24"/>
                <w:szCs w:val="24"/>
                <w:lang w:eastAsia="lv-LV"/>
              </w:rPr>
              <w:t xml:space="preserve"> tiks ievietots Iekšlietu ministrijas tīmekļvietnē </w:t>
            </w:r>
            <w:hyperlink r:id="rId7" w:history="1">
              <w:r w:rsidRPr="00254F4C">
                <w:rPr>
                  <w:rStyle w:val="Hyperlink"/>
                  <w:rFonts w:ascii="Times New Roman" w:hAnsi="Times New Roman"/>
                  <w:iCs/>
                  <w:sz w:val="24"/>
                  <w:szCs w:val="24"/>
                  <w:lang w:eastAsia="lv-LV"/>
                </w:rPr>
                <w:t>www.iem.gov.lv</w:t>
              </w:r>
            </w:hyperlink>
            <w:r w:rsidRPr="00254F4C">
              <w:rPr>
                <w:rFonts w:ascii="Times New Roman" w:hAnsi="Times New Roman" w:cs="Times New Roman"/>
                <w:iCs/>
                <w:sz w:val="24"/>
                <w:szCs w:val="24"/>
                <w:lang w:eastAsia="lv-LV"/>
              </w:rPr>
              <w:t xml:space="preserve"> sadaļā “Sabiedrības līdzdalība”, aicinot sabiedrību izteikt savu viedokli par projektu.</w:t>
            </w:r>
          </w:p>
          <w:p w:rsidR="0000140F" w:rsidRDefault="0000140F" w:rsidP="0000140F">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Sabiedrības līdzdalības </w:t>
            </w:r>
            <w:r w:rsidR="00351D82">
              <w:rPr>
                <w:rFonts w:ascii="Times New Roman" w:hAnsi="Times New Roman" w:cs="Times New Roman"/>
                <w:iCs/>
                <w:sz w:val="24"/>
                <w:szCs w:val="24"/>
                <w:lang w:eastAsia="lv-LV"/>
              </w:rPr>
              <w:t>laikā</w:t>
            </w:r>
            <w:r>
              <w:rPr>
                <w:rFonts w:ascii="Times New Roman" w:hAnsi="Times New Roman" w:cs="Times New Roman"/>
                <w:iCs/>
                <w:sz w:val="24"/>
                <w:szCs w:val="24"/>
                <w:lang w:eastAsia="lv-LV"/>
              </w:rPr>
              <w:t xml:space="preserve"> Latvijas Iekšlietu darbinieku arodbiedrība ir norādījusi, ka konceptuāli atbalsta projekta virzību, jo ir nepieciešams uzlabot Valsts policijas nodrošinājumu un pieejamību. Vienlaikus minētā arodbiedrība norāda, ka </w:t>
            </w:r>
            <w:r w:rsidR="008B3028">
              <w:rPr>
                <w:rFonts w:ascii="Times New Roman" w:hAnsi="Times New Roman" w:cs="Times New Roman"/>
                <w:iCs/>
                <w:sz w:val="24"/>
                <w:szCs w:val="24"/>
                <w:lang w:eastAsia="lv-LV"/>
              </w:rPr>
              <w:t xml:space="preserve">no </w:t>
            </w:r>
            <w:r>
              <w:rPr>
                <w:rFonts w:ascii="Times New Roman" w:hAnsi="Times New Roman" w:cs="Times New Roman"/>
                <w:iCs/>
                <w:sz w:val="24"/>
                <w:szCs w:val="24"/>
                <w:lang w:eastAsia="lv-LV"/>
              </w:rPr>
              <w:t>projekta sākotnējās ietekmes novērtējuma ziņojuma (anotācijas) neizriet, kuras pašvaldības tieši ir izteikušas piedāvājumus finansiāli atbalstīt Valsts policiju un tieši ar kāda veida atbalstu. Tāpat būtu nepieciešams skaidrot finanšu līdzekļu kontroles plūsmas un iespējamā interešu konflikta rašanās aspektus.</w:t>
            </w:r>
          </w:p>
          <w:p w:rsidR="00735AFE" w:rsidRDefault="00735AFE" w:rsidP="0000140F">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lastRenderedPageBreak/>
              <w:t xml:space="preserve">Iekšlietu ministrija vērš uzmanību uz to, ka, ņemot vērā anotācijas I sadaļas 2.punktā ietverto izvērtējumu, projektā ietvertais tiesiskais regulējums paredz pašvaldībai tiesības sniegt finansiālu atbalstu </w:t>
            </w:r>
            <w:r w:rsidR="00351D82" w:rsidRPr="00351D82">
              <w:rPr>
                <w:rFonts w:ascii="Times New Roman" w:hAnsi="Times New Roman" w:cs="Times New Roman"/>
                <w:sz w:val="24"/>
                <w:szCs w:val="24"/>
              </w:rPr>
              <w:t>valsts pārvaldes iestādei</w:t>
            </w:r>
            <w:r w:rsidR="00351D82" w:rsidRPr="00351D82">
              <w:rPr>
                <w:rFonts w:ascii="Times New Roman" w:hAnsi="Times New Roman" w:cs="Times New Roman"/>
                <w:iCs/>
                <w:sz w:val="24"/>
                <w:szCs w:val="24"/>
                <w:lang w:eastAsia="lv-LV"/>
              </w:rPr>
              <w:t>.</w:t>
            </w:r>
          </w:p>
          <w:p w:rsidR="00351D82" w:rsidRPr="00254F4C" w:rsidRDefault="00351D82" w:rsidP="0000140F">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Ja pašvaldību budžeta līdzekļi tiks novirzīti, piemēram, Valsts policijas funkciju izpildes uzlabošanai attiecīgajā administratīvajā teritorijā, tad pašvaldību budžetos šādi līdzekļi ir plānojami un uzskaitāmi pēc to ekonomiskās būtības kā transferti valsts budžetam, savukārt Iekšlietu ministrijas (Valsts policijas) budžetā šādā gadījumā jāplāno transfertu ieņēmumu kategorijā, tādējādi nodrošinot nodalītu un korektu ieņēmumu un izdevumu uzskaiti gan pašvaldībās, gan Iekšlietu ministrijā. Vienlaikus norādām, ka šāds finansiāls atbalsts nevarētu tikt uzskatīts par ziedojumu, kas radītu likumā “Par interešu konflikta novēršanu valsts amatpersonu darbībā” noteiktos ierobežojumus pieņemt lēmumus attiecībā uz ziedotāju.</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2.</w:t>
            </w:r>
          </w:p>
        </w:tc>
        <w:tc>
          <w:tcPr>
            <w:tcW w:w="3119" w:type="dxa"/>
          </w:tcPr>
          <w:p w:rsidR="0043142B" w:rsidRPr="00254F4C" w:rsidRDefault="0043142B" w:rsidP="00BF1877">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 projekta izstrādē</w:t>
            </w:r>
          </w:p>
          <w:p w:rsidR="0043142B" w:rsidRPr="00254F4C" w:rsidRDefault="0043142B" w:rsidP="00BF1877">
            <w:pPr>
              <w:spacing w:before="60" w:after="60"/>
              <w:rPr>
                <w:rFonts w:ascii="Times New Roman" w:hAnsi="Times New Roman" w:cs="Times New Roman"/>
                <w:iCs/>
                <w:sz w:val="24"/>
                <w:szCs w:val="24"/>
                <w:lang w:eastAsia="lv-LV"/>
              </w:rPr>
            </w:pPr>
          </w:p>
        </w:tc>
        <w:tc>
          <w:tcPr>
            <w:tcW w:w="5339" w:type="dxa"/>
          </w:tcPr>
          <w:p w:rsidR="0043142B" w:rsidRPr="00254F4C" w:rsidRDefault="0043142B" w:rsidP="008155C8">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Projekts šo jomu neskar.</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43142B" w:rsidRPr="00254F4C" w:rsidRDefault="0043142B" w:rsidP="00BF1877">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līdzdalības rezultāti</w:t>
            </w:r>
          </w:p>
          <w:p w:rsidR="0043142B" w:rsidRPr="00254F4C" w:rsidRDefault="0043142B" w:rsidP="00BF1877">
            <w:pPr>
              <w:spacing w:before="60" w:after="60"/>
              <w:rPr>
                <w:rFonts w:ascii="Times New Roman" w:hAnsi="Times New Roman" w:cs="Times New Roman"/>
                <w:sz w:val="24"/>
                <w:szCs w:val="24"/>
              </w:rPr>
            </w:pPr>
          </w:p>
        </w:tc>
        <w:tc>
          <w:tcPr>
            <w:tcW w:w="5339" w:type="dxa"/>
          </w:tcPr>
          <w:p w:rsidR="0043142B" w:rsidRPr="00254F4C" w:rsidRDefault="0043142B" w:rsidP="008155C8">
            <w:pPr>
              <w:spacing w:before="60"/>
              <w:jc w:val="both"/>
              <w:rPr>
                <w:rFonts w:ascii="Times New Roman" w:hAnsi="Times New Roman" w:cs="Times New Roman"/>
                <w:sz w:val="24"/>
                <w:szCs w:val="24"/>
              </w:rPr>
            </w:pPr>
            <w:r w:rsidRPr="00254F4C">
              <w:rPr>
                <w:rFonts w:ascii="Times New Roman" w:hAnsi="Times New Roman" w:cs="Times New Roman"/>
                <w:iCs/>
                <w:sz w:val="24"/>
                <w:szCs w:val="24"/>
                <w:lang w:eastAsia="lv-LV"/>
              </w:rPr>
              <w:t>Projekts šo jomu neskar.</w:t>
            </w:r>
          </w:p>
        </w:tc>
      </w:tr>
      <w:tr w:rsidR="0043142B" w:rsidRPr="00254F4C" w:rsidTr="008155C8">
        <w:tc>
          <w:tcPr>
            <w:tcW w:w="538" w:type="dxa"/>
          </w:tcPr>
          <w:p w:rsidR="0043142B" w:rsidRPr="00254F4C" w:rsidRDefault="0043142B"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4.</w:t>
            </w:r>
          </w:p>
        </w:tc>
        <w:tc>
          <w:tcPr>
            <w:tcW w:w="3119" w:type="dxa"/>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FB2477" w:rsidRPr="00254F4C" w:rsidRDefault="00FB2477" w:rsidP="00740AF7">
      <w:pPr>
        <w:rPr>
          <w:rFonts w:ascii="Times New Roman" w:hAnsi="Times New Roman" w:cs="Times New Roman"/>
          <w:sz w:val="24"/>
          <w:szCs w:val="24"/>
        </w:rPr>
      </w:pPr>
    </w:p>
    <w:tbl>
      <w:tblPr>
        <w:tblStyle w:val="TableGrid"/>
        <w:tblW w:w="8996" w:type="dxa"/>
        <w:tblInd w:w="137" w:type="dxa"/>
        <w:tblLayout w:type="fixed"/>
        <w:tblLook w:val="04A0" w:firstRow="1" w:lastRow="0" w:firstColumn="1" w:lastColumn="0" w:noHBand="0" w:noVBand="1"/>
      </w:tblPr>
      <w:tblGrid>
        <w:gridCol w:w="538"/>
        <w:gridCol w:w="3119"/>
        <w:gridCol w:w="5339"/>
      </w:tblGrid>
      <w:tr w:rsidR="00740AF7" w:rsidRPr="00254F4C" w:rsidTr="00FB2477">
        <w:tc>
          <w:tcPr>
            <w:tcW w:w="8996" w:type="dxa"/>
            <w:gridSpan w:val="3"/>
          </w:tcPr>
          <w:p w:rsidR="00740AF7" w:rsidRPr="00254F4C" w:rsidRDefault="00740AF7" w:rsidP="008155C8">
            <w:pPr>
              <w:pStyle w:val="naisf"/>
              <w:spacing w:before="60" w:after="60"/>
              <w:ind w:firstLine="357"/>
              <w:jc w:val="center"/>
              <w:rPr>
                <w:b/>
                <w:color w:val="000000" w:themeColor="text1"/>
              </w:rPr>
            </w:pPr>
            <w:r w:rsidRPr="00254F4C">
              <w:rPr>
                <w:b/>
              </w:rPr>
              <w:t>VII. Tiesību akta projekta izpildes nodrošināšana un tās ietekme uz institūcijām</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izpildē iesaistītās institūcijas</w:t>
            </w:r>
          </w:p>
        </w:tc>
        <w:tc>
          <w:tcPr>
            <w:tcW w:w="5339" w:type="dxa"/>
            <w:vAlign w:val="center"/>
          </w:tcPr>
          <w:p w:rsidR="00740AF7"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 xml:space="preserve">Pašvaldības un valsts </w:t>
            </w:r>
            <w:r w:rsidR="00BF1877">
              <w:rPr>
                <w:rFonts w:ascii="Times New Roman" w:hAnsi="Times New Roman" w:cs="Times New Roman"/>
                <w:iCs/>
                <w:sz w:val="24"/>
                <w:szCs w:val="24"/>
                <w:lang w:eastAsia="lv-LV"/>
              </w:rPr>
              <w:t>pārvaldes iestādes</w:t>
            </w:r>
            <w:r w:rsidRPr="00254F4C">
              <w:rPr>
                <w:rFonts w:ascii="Times New Roman" w:hAnsi="Times New Roman" w:cs="Times New Roman"/>
                <w:iCs/>
                <w:sz w:val="24"/>
                <w:szCs w:val="24"/>
                <w:lang w:eastAsia="lv-LV"/>
              </w:rPr>
              <w:t>.</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254F4C" w:rsidRPr="00254F4C" w:rsidRDefault="00254F4C" w:rsidP="00254F4C">
            <w:pPr>
              <w:jc w:val="both"/>
              <w:rPr>
                <w:rFonts w:ascii="Times New Roman" w:hAnsi="Times New Roman" w:cs="Times New Roman"/>
                <w:color w:val="000000"/>
                <w:sz w:val="24"/>
                <w:szCs w:val="24"/>
              </w:rPr>
            </w:pPr>
            <w:r w:rsidRPr="00254F4C">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rsidR="00740AF7" w:rsidRPr="00254F4C" w:rsidRDefault="00740AF7" w:rsidP="008155C8">
            <w:pPr>
              <w:pStyle w:val="tv213"/>
              <w:spacing w:before="0" w:beforeAutospacing="0" w:after="0" w:afterAutospacing="0"/>
              <w:ind w:firstLine="720"/>
              <w:jc w:val="both"/>
            </w:pP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740AF7" w:rsidRPr="00254F4C" w:rsidRDefault="00740AF7" w:rsidP="00740AF7">
      <w:pPr>
        <w:jc w:val="both"/>
        <w:rPr>
          <w:rFonts w:ascii="Times New Roman" w:hAnsi="Times New Roman" w:cs="Times New Roman"/>
          <w:sz w:val="24"/>
          <w:szCs w:val="24"/>
          <w:lang w:val="de-DE"/>
        </w:rPr>
      </w:pPr>
    </w:p>
    <w:p w:rsidR="00740AF7" w:rsidRDefault="00740AF7" w:rsidP="00740AF7">
      <w:pPr>
        <w:jc w:val="both"/>
        <w:rPr>
          <w:lang w:val="de-DE"/>
        </w:rPr>
      </w:pPr>
    </w:p>
    <w:p w:rsidR="00740AF7" w:rsidRPr="00254F4C" w:rsidRDefault="00740AF7" w:rsidP="00740AF7">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sidR="00D708A8">
        <w:rPr>
          <w:rFonts w:ascii="Times New Roman" w:hAnsi="Times New Roman" w:cs="Times New Roman"/>
          <w:sz w:val="28"/>
          <w:szCs w:val="28"/>
          <w:lang w:val="de-DE"/>
        </w:rPr>
        <w:t>S.Ģirģens</w:t>
      </w:r>
    </w:p>
    <w:p w:rsidR="00740AF7" w:rsidRDefault="00740AF7" w:rsidP="00D708A8">
      <w:pPr>
        <w:pStyle w:val="naisf"/>
        <w:ind w:firstLine="0"/>
        <w:rPr>
          <w:sz w:val="20"/>
          <w:szCs w:val="20"/>
        </w:rPr>
      </w:pPr>
      <w:r w:rsidRPr="00254F4C">
        <w:rPr>
          <w:sz w:val="28"/>
          <w:szCs w:val="28"/>
        </w:rPr>
        <w:lastRenderedPageBreak/>
        <w:t>Vīza: valsts sekretār</w:t>
      </w:r>
      <w:r w:rsidR="00D708A8">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r w:rsidR="00D708A8">
        <w:rPr>
          <w:sz w:val="28"/>
          <w:szCs w:val="28"/>
        </w:rPr>
        <w:t>D.Trofimovs</w:t>
      </w:r>
    </w:p>
    <w:p w:rsidR="009D462C" w:rsidRDefault="009D462C"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351D82" w:rsidRDefault="00351D82" w:rsidP="009D462C">
      <w:pPr>
        <w:rPr>
          <w:sz w:val="20"/>
          <w:szCs w:val="20"/>
        </w:rPr>
      </w:pPr>
    </w:p>
    <w:p w:rsidR="00CD1191" w:rsidRDefault="00CD1191" w:rsidP="009D462C">
      <w:pPr>
        <w:rPr>
          <w:sz w:val="20"/>
          <w:szCs w:val="20"/>
        </w:rPr>
      </w:pPr>
    </w:p>
    <w:p w:rsidR="009D462C" w:rsidRPr="00D708A8" w:rsidRDefault="009D462C" w:rsidP="009D462C">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8B3028">
        <w:rPr>
          <w:rFonts w:ascii="Times New Roman" w:hAnsi="Times New Roman" w:cs="Times New Roman"/>
          <w:noProof/>
          <w:sz w:val="20"/>
          <w:szCs w:val="20"/>
        </w:rPr>
        <w:t>12.07.2019 8:43</w:t>
      </w:r>
      <w:r w:rsidRPr="00D708A8">
        <w:rPr>
          <w:rFonts w:ascii="Times New Roman" w:hAnsi="Times New Roman" w:cs="Times New Roman"/>
          <w:sz w:val="20"/>
          <w:szCs w:val="20"/>
        </w:rPr>
        <w:fldChar w:fldCharType="end"/>
      </w:r>
    </w:p>
    <w:p w:rsidR="009D462C" w:rsidRPr="00D708A8" w:rsidRDefault="008B3028" w:rsidP="009D462C">
      <w:pPr>
        <w:contextualSpacing/>
        <w:rPr>
          <w:rFonts w:ascii="Times New Roman" w:hAnsi="Times New Roman" w:cs="Times New Roman"/>
          <w:sz w:val="20"/>
          <w:szCs w:val="20"/>
        </w:rPr>
      </w:pPr>
      <w:r>
        <w:rPr>
          <w:rFonts w:ascii="Times New Roman" w:hAnsi="Times New Roman" w:cs="Times New Roman"/>
          <w:sz w:val="20"/>
          <w:szCs w:val="20"/>
        </w:rPr>
        <w:t>1948</w:t>
      </w:r>
      <w:bookmarkStart w:id="0" w:name="_GoBack"/>
      <w:bookmarkEnd w:id="0"/>
    </w:p>
    <w:p w:rsidR="009D462C" w:rsidRPr="00D708A8" w:rsidRDefault="009D462C" w:rsidP="009D462C">
      <w:pPr>
        <w:contextualSpacing/>
        <w:rPr>
          <w:rStyle w:val="Hyperlink"/>
          <w:rFonts w:ascii="Times New Roman" w:hAnsi="Times New Roman"/>
          <w:color w:val="auto"/>
          <w:sz w:val="20"/>
          <w:szCs w:val="20"/>
          <w:u w:val="none"/>
        </w:rPr>
      </w:pPr>
      <w:r w:rsidRPr="00D708A8">
        <w:rPr>
          <w:rStyle w:val="Hyperlink"/>
          <w:rFonts w:ascii="Times New Roman" w:hAnsi="Times New Roman"/>
          <w:color w:val="auto"/>
          <w:sz w:val="20"/>
          <w:szCs w:val="20"/>
          <w:u w:val="none"/>
        </w:rPr>
        <w:t>D.Radzeviča</w:t>
      </w:r>
    </w:p>
    <w:p w:rsidR="009D462C" w:rsidRDefault="009D462C" w:rsidP="00740AF7">
      <w:pPr>
        <w:contextualSpacing/>
        <w:rPr>
          <w:sz w:val="20"/>
          <w:szCs w:val="20"/>
        </w:rPr>
      </w:pPr>
      <w:r w:rsidRPr="00D708A8">
        <w:rPr>
          <w:rStyle w:val="Hyperlink"/>
          <w:rFonts w:ascii="Times New Roman" w:hAnsi="Times New Roman"/>
          <w:color w:val="auto"/>
          <w:sz w:val="20"/>
          <w:szCs w:val="20"/>
          <w:u w:val="none"/>
        </w:rPr>
        <w:t xml:space="preserve">67219418, </w:t>
      </w:r>
      <w:hyperlink r:id="rId8" w:history="1">
        <w:r w:rsidRPr="00D708A8">
          <w:rPr>
            <w:rStyle w:val="Hyperlink"/>
            <w:rFonts w:ascii="Times New Roman" w:hAnsi="Times New Roman"/>
            <w:color w:val="auto"/>
            <w:sz w:val="20"/>
            <w:szCs w:val="20"/>
            <w:u w:val="none"/>
          </w:rPr>
          <w:t>dace.radzevica@iem.gov.lv</w:t>
        </w:r>
      </w:hyperlink>
    </w:p>
    <w:sectPr w:rsidR="009D462C" w:rsidSect="009D462C">
      <w:headerReference w:type="even" r:id="rId9"/>
      <w:headerReference w:type="default" r:id="rId10"/>
      <w:footerReference w:type="default" r:id="rId11"/>
      <w:footerReference w:type="first" r:id="rId12"/>
      <w:pgSz w:w="11906" w:h="16838"/>
      <w:pgMar w:top="1134" w:right="1134" w:bottom="1134" w:left="170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35" w:rsidRDefault="007B4D35" w:rsidP="00740AF7">
      <w:pPr>
        <w:spacing w:after="0" w:line="240" w:lineRule="auto"/>
      </w:pPr>
      <w:r>
        <w:separator/>
      </w:r>
    </w:p>
  </w:endnote>
  <w:endnote w:type="continuationSeparator" w:id="0">
    <w:p w:rsidR="007B4D35" w:rsidRDefault="007B4D35" w:rsidP="007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A8" w:rsidRDefault="00D708A8" w:rsidP="003C5C41">
    <w:pPr>
      <w:jc w:val="both"/>
      <w:rPr>
        <w:rFonts w:ascii="Times New Roman" w:hAnsi="Times New Roman" w:cs="Times New Roman"/>
        <w:sz w:val="20"/>
        <w:szCs w:val="20"/>
      </w:rPr>
    </w:pPr>
  </w:p>
  <w:p w:rsidR="00D708A8" w:rsidRDefault="00D708A8" w:rsidP="003C5C41">
    <w:pPr>
      <w:jc w:val="both"/>
      <w:rPr>
        <w:rFonts w:ascii="Times New Roman" w:hAnsi="Times New Roman" w:cs="Times New Roman"/>
        <w:sz w:val="20"/>
        <w:szCs w:val="20"/>
      </w:rPr>
    </w:pPr>
  </w:p>
  <w:p w:rsidR="0049434B" w:rsidRPr="0049434B" w:rsidRDefault="0049434B" w:rsidP="0049434B">
    <w:pPr>
      <w:jc w:val="both"/>
      <w:rPr>
        <w:rFonts w:ascii="Times New Roman" w:hAnsi="Times New Roman" w:cs="Times New Roman"/>
        <w:sz w:val="20"/>
        <w:szCs w:val="20"/>
      </w:rPr>
    </w:pPr>
    <w:r w:rsidRPr="0049434B">
      <w:rPr>
        <w:rFonts w:ascii="Times New Roman" w:hAnsi="Times New Roman" w:cs="Times New Roman"/>
        <w:sz w:val="20"/>
        <w:szCs w:val="20"/>
      </w:rPr>
      <w:t>IEMAnot_28062019.docx</w:t>
    </w:r>
  </w:p>
  <w:p w:rsidR="003C5C41" w:rsidRPr="00D708A8" w:rsidRDefault="007B4D35" w:rsidP="0049434B">
    <w:pPr>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Pr="0024458A" w:rsidRDefault="007B4D35" w:rsidP="00D416BA">
    <w:pPr>
      <w:pStyle w:val="Footer"/>
    </w:pPr>
  </w:p>
  <w:p w:rsidR="00FA62E0" w:rsidRPr="0049434B" w:rsidRDefault="00FD6722" w:rsidP="0049434B">
    <w:pPr>
      <w:jc w:val="both"/>
      <w:rPr>
        <w:rFonts w:ascii="Times New Roman" w:hAnsi="Times New Roman" w:cs="Times New Roman"/>
        <w:sz w:val="20"/>
        <w:szCs w:val="20"/>
      </w:rPr>
    </w:pPr>
    <w:r w:rsidRPr="0049434B">
      <w:rPr>
        <w:rFonts w:ascii="Times New Roman" w:hAnsi="Times New Roman" w:cs="Times New Roman"/>
        <w:sz w:val="20"/>
        <w:szCs w:val="20"/>
      </w:rPr>
      <w:t>IEMAnot_</w:t>
    </w:r>
    <w:r w:rsidR="0049434B" w:rsidRPr="0049434B">
      <w:rPr>
        <w:rFonts w:ascii="Times New Roman" w:hAnsi="Times New Roman" w:cs="Times New Roman"/>
        <w:sz w:val="20"/>
        <w:szCs w:val="20"/>
      </w:rPr>
      <w:t>28062019.docx</w:t>
    </w:r>
  </w:p>
  <w:p w:rsidR="00D416BA" w:rsidRPr="009E562C" w:rsidRDefault="007B4D35" w:rsidP="00D4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35" w:rsidRDefault="007B4D35" w:rsidP="00740AF7">
      <w:pPr>
        <w:spacing w:after="0" w:line="240" w:lineRule="auto"/>
      </w:pPr>
      <w:r>
        <w:separator/>
      </w:r>
    </w:p>
  </w:footnote>
  <w:footnote w:type="continuationSeparator" w:id="0">
    <w:p w:rsidR="007B4D35" w:rsidRDefault="007B4D35" w:rsidP="0074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7B4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028">
      <w:rPr>
        <w:rStyle w:val="PageNumber"/>
        <w:noProof/>
      </w:rPr>
      <w:t>7</w:t>
    </w:r>
    <w:r>
      <w:rPr>
        <w:rStyle w:val="PageNumber"/>
      </w:rPr>
      <w:fldChar w:fldCharType="end"/>
    </w:r>
  </w:p>
  <w:p w:rsidR="00D416BA" w:rsidRDefault="007B4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245"/>
    <w:multiLevelType w:val="hybridMultilevel"/>
    <w:tmpl w:val="CE484046"/>
    <w:lvl w:ilvl="0" w:tplc="3D80B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F7"/>
    <w:rsid w:val="0000140F"/>
    <w:rsid w:val="00254F4C"/>
    <w:rsid w:val="002C555F"/>
    <w:rsid w:val="002E4C26"/>
    <w:rsid w:val="00351D82"/>
    <w:rsid w:val="0043142B"/>
    <w:rsid w:val="0049434B"/>
    <w:rsid w:val="0065501A"/>
    <w:rsid w:val="00735AFE"/>
    <w:rsid w:val="00740AF7"/>
    <w:rsid w:val="00793E46"/>
    <w:rsid w:val="007B4D35"/>
    <w:rsid w:val="007E5DF2"/>
    <w:rsid w:val="008B3028"/>
    <w:rsid w:val="009D462C"/>
    <w:rsid w:val="00BF1877"/>
    <w:rsid w:val="00CD1191"/>
    <w:rsid w:val="00D708A8"/>
    <w:rsid w:val="00DA71B5"/>
    <w:rsid w:val="00FB2477"/>
    <w:rsid w:val="00FD6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ADEE-FBAC-4750-B4CD-068746CD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0AF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40AF7"/>
    <w:rPr>
      <w:rFonts w:ascii="Times New Roman" w:eastAsia="Times New Roman" w:hAnsi="Times New Roman" w:cs="Times New Roman"/>
      <w:b/>
      <w:bCs/>
      <w:sz w:val="28"/>
      <w:szCs w:val="24"/>
    </w:rPr>
  </w:style>
  <w:style w:type="paragraph" w:customStyle="1" w:styleId="naisf">
    <w:name w:val="naisf"/>
    <w:basedOn w:val="Normal"/>
    <w:rsid w:val="00740AF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40AF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40AF7"/>
    <w:rPr>
      <w:rFonts w:ascii="Times New Roman" w:eastAsia="Times New Roman" w:hAnsi="Times New Roman" w:cs="Times New Roman"/>
      <w:sz w:val="24"/>
      <w:szCs w:val="24"/>
      <w:lang w:eastAsia="lv-LV"/>
    </w:rPr>
  </w:style>
  <w:style w:type="character" w:styleId="PageNumber">
    <w:name w:val="page number"/>
    <w:basedOn w:val="DefaultParagraphFont"/>
    <w:rsid w:val="00740AF7"/>
  </w:style>
  <w:style w:type="character" w:styleId="Hyperlink">
    <w:name w:val="Hyperlink"/>
    <w:basedOn w:val="DefaultParagraphFont"/>
    <w:uiPriority w:val="99"/>
    <w:rsid w:val="00740AF7"/>
    <w:rPr>
      <w:rFonts w:cs="Times New Roman"/>
      <w:color w:val="0000FF"/>
      <w:u w:val="single"/>
    </w:rPr>
  </w:style>
  <w:style w:type="table" w:styleId="TableGrid">
    <w:name w:val="Table Grid"/>
    <w:basedOn w:val="TableNormal"/>
    <w:uiPriority w:val="59"/>
    <w:rsid w:val="0074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40A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NS">
    <w:name w:val="INS"/>
    <w:rsid w:val="00740AF7"/>
  </w:style>
  <w:style w:type="paragraph" w:styleId="FootnoteText">
    <w:name w:val="footnote text"/>
    <w:basedOn w:val="Normal"/>
    <w:link w:val="FootnoteTextChar"/>
    <w:rsid w:val="00740AF7"/>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FootnoteTextChar">
    <w:name w:val="Footnote Text Char"/>
    <w:basedOn w:val="DefaultParagraphFont"/>
    <w:link w:val="FootnoteText"/>
    <w:rsid w:val="00740AF7"/>
    <w:rPr>
      <w:rFonts w:ascii="Times New Roman" w:eastAsia="Lucida Sans Unicode" w:hAnsi="Times New Roman" w:cs="Mangal"/>
      <w:kern w:val="1"/>
      <w:sz w:val="20"/>
      <w:szCs w:val="18"/>
      <w:lang w:eastAsia="hi-IN" w:bidi="hi-IN"/>
    </w:rPr>
  </w:style>
  <w:style w:type="character" w:styleId="FootnoteReference">
    <w:name w:val="footnote reference"/>
    <w:rsid w:val="00740AF7"/>
    <w:rPr>
      <w:vertAlign w:val="superscript"/>
    </w:rPr>
  </w:style>
  <w:style w:type="paragraph" w:styleId="NoSpacing">
    <w:name w:val="No Spacing"/>
    <w:uiPriority w:val="1"/>
    <w:qFormat/>
    <w:rsid w:val="00740AF7"/>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7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adzevica@i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1983</Words>
  <Characters>14261</Characters>
  <Application>Microsoft Office Word</Application>
  <DocSecurity>0</DocSecurity>
  <Lines>419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11</cp:revision>
  <cp:lastPrinted>2019-06-11T08:40:00Z</cp:lastPrinted>
  <dcterms:created xsi:type="dcterms:W3CDTF">2019-06-11T07:31:00Z</dcterms:created>
  <dcterms:modified xsi:type="dcterms:W3CDTF">2019-07-12T05:43:00Z</dcterms:modified>
</cp:coreProperties>
</file>