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14" w:rsidRPr="00AD1553" w:rsidRDefault="004B6AE6" w:rsidP="009A7A14">
      <w:pPr>
        <w:jc w:val="center"/>
        <w:rPr>
          <w:b/>
          <w:sz w:val="28"/>
          <w:szCs w:val="28"/>
        </w:rPr>
      </w:pPr>
      <w:r w:rsidRPr="00AD1553">
        <w:rPr>
          <w:b/>
          <w:sz w:val="28"/>
          <w:szCs w:val="28"/>
        </w:rPr>
        <w:t xml:space="preserve">Ministru kabineta rīkojuma projekta </w:t>
      </w:r>
    </w:p>
    <w:p w:rsidR="004B6AE6" w:rsidRPr="00AD1553" w:rsidRDefault="009A7A14" w:rsidP="009A7A14">
      <w:pPr>
        <w:jc w:val="center"/>
        <w:rPr>
          <w:b/>
          <w:sz w:val="28"/>
          <w:szCs w:val="28"/>
        </w:rPr>
      </w:pPr>
      <w:r w:rsidRPr="00AD1553">
        <w:rPr>
          <w:b/>
          <w:sz w:val="28"/>
          <w:szCs w:val="28"/>
        </w:rPr>
        <w:t>„</w:t>
      </w:r>
      <w:r w:rsidR="004B6AE6" w:rsidRPr="00AD1553">
        <w:rPr>
          <w:b/>
          <w:sz w:val="28"/>
          <w:szCs w:val="28"/>
        </w:rPr>
        <w:t>Par valstij dividendēs izmaksājamo valsts sabiedrības ar ierobežotu atbildību „Latvijas Radio” peļņas daļu</w:t>
      </w:r>
      <w:r w:rsidR="006029E2" w:rsidRPr="00AD1553">
        <w:rPr>
          <w:b/>
          <w:sz w:val="28"/>
          <w:szCs w:val="28"/>
        </w:rPr>
        <w:t xml:space="preserve"> par 2018.gadu</w:t>
      </w:r>
      <w:r w:rsidR="004B6AE6" w:rsidRPr="00AD1553">
        <w:rPr>
          <w:b/>
          <w:sz w:val="28"/>
          <w:szCs w:val="28"/>
        </w:rPr>
        <w:t>” sākotnējās ietekmes novērtējuma ziņojums (anotācija)</w:t>
      </w:r>
    </w:p>
    <w:p w:rsidR="009A7A14" w:rsidRPr="00AD1553" w:rsidRDefault="009A7A14" w:rsidP="009A7A14">
      <w:pPr>
        <w:jc w:val="center"/>
        <w:rPr>
          <w:b/>
          <w:sz w:val="28"/>
          <w:szCs w:val="28"/>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9"/>
        <w:gridCol w:w="5386"/>
      </w:tblGrid>
      <w:tr w:rsidR="004B6AE6" w:rsidRPr="00AD1553" w:rsidTr="00D922ED">
        <w:trPr>
          <w:trHeight w:val="289"/>
        </w:trPr>
        <w:tc>
          <w:tcPr>
            <w:tcW w:w="9185" w:type="dxa"/>
            <w:gridSpan w:val="2"/>
          </w:tcPr>
          <w:p w:rsidR="004B6AE6" w:rsidRPr="00AD1553" w:rsidRDefault="004B6AE6" w:rsidP="009A7A14">
            <w:pPr>
              <w:jc w:val="center"/>
              <w:rPr>
                <w:b/>
                <w:sz w:val="28"/>
                <w:szCs w:val="28"/>
              </w:rPr>
            </w:pPr>
            <w:r w:rsidRPr="00AD1553">
              <w:rPr>
                <w:b/>
                <w:iCs/>
                <w:sz w:val="28"/>
                <w:szCs w:val="28"/>
              </w:rPr>
              <w:t>Tiesību akta projekta anotācijas kopsavilkums</w:t>
            </w:r>
          </w:p>
        </w:tc>
      </w:tr>
      <w:tr w:rsidR="004B6AE6" w:rsidRPr="00AD1553" w:rsidTr="00D922ED">
        <w:trPr>
          <w:trHeight w:val="578"/>
        </w:trPr>
        <w:tc>
          <w:tcPr>
            <w:tcW w:w="3799" w:type="dxa"/>
          </w:tcPr>
          <w:p w:rsidR="004B6AE6" w:rsidRPr="00AD1553" w:rsidRDefault="004B6AE6" w:rsidP="009A7A14">
            <w:pPr>
              <w:jc w:val="both"/>
              <w:rPr>
                <w:b/>
                <w:iCs/>
                <w:sz w:val="28"/>
                <w:szCs w:val="28"/>
              </w:rPr>
            </w:pPr>
            <w:r w:rsidRPr="00AD1553">
              <w:rPr>
                <w:sz w:val="28"/>
                <w:szCs w:val="28"/>
                <w:lang w:eastAsia="en-US"/>
              </w:rPr>
              <w:t>Mērķis, risinājums un projekta spēkā stāšanās laiks (500 zīmes bez atstarpēm)</w:t>
            </w:r>
          </w:p>
        </w:tc>
        <w:tc>
          <w:tcPr>
            <w:tcW w:w="5386" w:type="dxa"/>
          </w:tcPr>
          <w:p w:rsidR="00EA7C5E" w:rsidRPr="00AD1553" w:rsidRDefault="00A052BA" w:rsidP="00A052BA">
            <w:pPr>
              <w:jc w:val="both"/>
              <w:rPr>
                <w:sz w:val="28"/>
                <w:szCs w:val="28"/>
              </w:rPr>
            </w:pPr>
            <w:r>
              <w:rPr>
                <w:sz w:val="28"/>
                <w:szCs w:val="28"/>
              </w:rPr>
              <w:t>Ministru kabineta r</w:t>
            </w:r>
            <w:r w:rsidR="004B6AE6" w:rsidRPr="00AD1553">
              <w:rPr>
                <w:sz w:val="28"/>
                <w:szCs w:val="28"/>
              </w:rPr>
              <w:t xml:space="preserve">īkojuma projekts </w:t>
            </w:r>
            <w:r w:rsidR="00BA7913" w:rsidRPr="00AD1553">
              <w:rPr>
                <w:sz w:val="28"/>
                <w:szCs w:val="28"/>
              </w:rPr>
              <w:t xml:space="preserve">„Par valstij dividendēs izmaksājamo valsts sabiedrības ar ierobežotu atbildību „Latvijas Radio” peļņas daļu par 2018.gadu” (turpmāk – Projekts) </w:t>
            </w:r>
            <w:r w:rsidR="004B6AE6" w:rsidRPr="00AD1553">
              <w:rPr>
                <w:sz w:val="28"/>
                <w:szCs w:val="28"/>
              </w:rPr>
              <w:t xml:space="preserve">paredz saglabāt sabiedriskā elektroniskā plašsaziņas līdzekļa – valsts sabiedrības ar ierobežotu atbildību </w:t>
            </w:r>
            <w:r w:rsidR="00BA7913" w:rsidRPr="00AD1553">
              <w:rPr>
                <w:sz w:val="28"/>
                <w:szCs w:val="28"/>
              </w:rPr>
              <w:t>„</w:t>
            </w:r>
            <w:r w:rsidR="004B6AE6" w:rsidRPr="00AD1553">
              <w:rPr>
                <w:sz w:val="28"/>
                <w:szCs w:val="28"/>
              </w:rPr>
              <w:t xml:space="preserve">Latvijas Radio” </w:t>
            </w:r>
            <w:r w:rsidR="00EA7C5E" w:rsidRPr="00AD1553">
              <w:rPr>
                <w:sz w:val="28"/>
                <w:szCs w:val="28"/>
              </w:rPr>
              <w:t xml:space="preserve">(turpmāk – Latvijas Radio) </w:t>
            </w:r>
            <w:r w:rsidR="004B6AE6" w:rsidRPr="00AD1553">
              <w:rPr>
                <w:sz w:val="28"/>
                <w:szCs w:val="28"/>
              </w:rPr>
              <w:t xml:space="preserve">rīcībā 2018.gada peļņas daļu </w:t>
            </w:r>
            <w:r w:rsidR="004B6AE6" w:rsidRPr="00AD1553">
              <w:rPr>
                <w:bCs/>
                <w:sz w:val="28"/>
                <w:szCs w:val="28"/>
              </w:rPr>
              <w:t>138 234</w:t>
            </w:r>
            <w:r w:rsidR="004B6AE6" w:rsidRPr="00AD1553">
              <w:rPr>
                <w:sz w:val="28"/>
                <w:szCs w:val="28"/>
              </w:rPr>
              <w:t xml:space="preserve"> </w:t>
            </w:r>
            <w:r w:rsidR="004B6AE6" w:rsidRPr="00AD1553">
              <w:rPr>
                <w:i/>
                <w:sz w:val="28"/>
                <w:szCs w:val="28"/>
              </w:rPr>
              <w:t>euro</w:t>
            </w:r>
            <w:r w:rsidR="004B6AE6" w:rsidRPr="00AD1553">
              <w:rPr>
                <w:sz w:val="28"/>
                <w:szCs w:val="28"/>
              </w:rPr>
              <w:t xml:space="preserve"> apmērā un novirzīt šos finanšu līdzekļus Elektronisko plašsaziņas līdz</w:t>
            </w:r>
            <w:r>
              <w:rPr>
                <w:sz w:val="28"/>
                <w:szCs w:val="28"/>
              </w:rPr>
              <w:t>ekļu likumā</w:t>
            </w:r>
            <w:r w:rsidR="004B6AE6" w:rsidRPr="00AD1553">
              <w:rPr>
                <w:sz w:val="28"/>
                <w:szCs w:val="28"/>
              </w:rPr>
              <w:t xml:space="preserve"> un Latvijas Radio vidēja termiņa darbības stratēģijā 2019.</w:t>
            </w:r>
            <w:r w:rsidR="00BA7913" w:rsidRPr="00AD1553">
              <w:rPr>
                <w:sz w:val="28"/>
                <w:szCs w:val="28"/>
              </w:rPr>
              <w:t xml:space="preserve"> – </w:t>
            </w:r>
            <w:r w:rsidR="004B6AE6" w:rsidRPr="00AD1553">
              <w:rPr>
                <w:sz w:val="28"/>
                <w:szCs w:val="28"/>
              </w:rPr>
              <w:t>202</w:t>
            </w:r>
            <w:r w:rsidR="00DF6951" w:rsidRPr="00AD1553">
              <w:rPr>
                <w:sz w:val="28"/>
                <w:szCs w:val="28"/>
              </w:rPr>
              <w:t>2</w:t>
            </w:r>
            <w:r w:rsidR="004B6AE6" w:rsidRPr="00AD1553">
              <w:rPr>
                <w:sz w:val="28"/>
                <w:szCs w:val="28"/>
              </w:rPr>
              <w:t>.gadam noteikto mērķu sasniegšanai</w:t>
            </w:r>
            <w:r w:rsidR="00DF6951" w:rsidRPr="00AD1553">
              <w:rPr>
                <w:sz w:val="28"/>
                <w:szCs w:val="28"/>
              </w:rPr>
              <w:t>, veicot kapitālieguldījumus tehniskajā nodrošinājumā un infrastruktūrā, lai nodrošinātu sabiedriskā pasūtījuma izpildi</w:t>
            </w:r>
            <w:r w:rsidR="004B6AE6" w:rsidRPr="00AD1553">
              <w:rPr>
                <w:sz w:val="28"/>
                <w:szCs w:val="28"/>
              </w:rPr>
              <w:t>.</w:t>
            </w:r>
          </w:p>
        </w:tc>
      </w:tr>
    </w:tbl>
    <w:p w:rsidR="004B6AE6" w:rsidRPr="00AD1553" w:rsidRDefault="004B6AE6" w:rsidP="009A7A14">
      <w:pPr>
        <w:tabs>
          <w:tab w:val="left" w:pos="7230"/>
        </w:tabs>
        <w:rPr>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638"/>
        <w:gridCol w:w="3190"/>
        <w:gridCol w:w="5386"/>
      </w:tblGrid>
      <w:tr w:rsidR="004B6AE6" w:rsidRPr="00AD1553" w:rsidTr="00D922ED">
        <w:tc>
          <w:tcPr>
            <w:tcW w:w="9214" w:type="dxa"/>
            <w:gridSpan w:val="3"/>
            <w:vAlign w:val="center"/>
          </w:tcPr>
          <w:p w:rsidR="004B6AE6" w:rsidRPr="00AD1553" w:rsidRDefault="004B6AE6" w:rsidP="009A7A14">
            <w:pPr>
              <w:jc w:val="center"/>
              <w:rPr>
                <w:sz w:val="28"/>
                <w:szCs w:val="28"/>
              </w:rPr>
            </w:pPr>
            <w:r w:rsidRPr="00AD1553">
              <w:rPr>
                <w:b/>
                <w:sz w:val="28"/>
                <w:szCs w:val="28"/>
              </w:rPr>
              <w:t>I. Tiesību akta projekta izstrādes nepieciešamība</w:t>
            </w:r>
          </w:p>
        </w:tc>
      </w:tr>
      <w:tr w:rsidR="004B6AE6" w:rsidRPr="00AD1553" w:rsidTr="00D922ED">
        <w:trPr>
          <w:trHeight w:val="439"/>
        </w:trPr>
        <w:tc>
          <w:tcPr>
            <w:tcW w:w="638" w:type="dxa"/>
          </w:tcPr>
          <w:p w:rsidR="004B6AE6" w:rsidRPr="00AD1553" w:rsidRDefault="004B6AE6" w:rsidP="00214DFE">
            <w:pPr>
              <w:jc w:val="center"/>
              <w:rPr>
                <w:sz w:val="28"/>
                <w:szCs w:val="28"/>
              </w:rPr>
            </w:pPr>
            <w:r w:rsidRPr="00AD1553">
              <w:rPr>
                <w:sz w:val="28"/>
                <w:szCs w:val="28"/>
              </w:rPr>
              <w:t>1.</w:t>
            </w:r>
          </w:p>
        </w:tc>
        <w:tc>
          <w:tcPr>
            <w:tcW w:w="3190" w:type="dxa"/>
          </w:tcPr>
          <w:p w:rsidR="004B6AE6" w:rsidRPr="00AD1553" w:rsidRDefault="004B6AE6" w:rsidP="009A7A14">
            <w:pPr>
              <w:rPr>
                <w:sz w:val="28"/>
                <w:szCs w:val="28"/>
              </w:rPr>
            </w:pPr>
            <w:r w:rsidRPr="00AD1553">
              <w:rPr>
                <w:sz w:val="28"/>
                <w:szCs w:val="28"/>
              </w:rPr>
              <w:t>Pamatojums</w:t>
            </w:r>
          </w:p>
        </w:tc>
        <w:tc>
          <w:tcPr>
            <w:tcW w:w="5386" w:type="dxa"/>
          </w:tcPr>
          <w:p w:rsidR="004B6AE6" w:rsidRPr="00AD1553" w:rsidRDefault="004B6AE6" w:rsidP="009A7A14">
            <w:pPr>
              <w:jc w:val="both"/>
              <w:rPr>
                <w:sz w:val="28"/>
                <w:szCs w:val="28"/>
              </w:rPr>
            </w:pPr>
            <w:bookmarkStart w:id="0" w:name="_GoBack"/>
            <w:bookmarkEnd w:id="0"/>
            <w:r w:rsidRPr="00AD1553">
              <w:rPr>
                <w:sz w:val="28"/>
                <w:szCs w:val="28"/>
              </w:rPr>
              <w:t xml:space="preserve">Publiskas personas kapitāla daļu un kapitālsabiedrību pārvaldības likuma 28.panta trešā un ceturtā daļa, Ministru kabineta 2015.gada 22.decembra noteikumu Nr.806 </w:t>
            </w:r>
            <w:r w:rsidR="00EA7C5E" w:rsidRPr="00AD1553">
              <w:rPr>
                <w:sz w:val="28"/>
                <w:szCs w:val="28"/>
              </w:rPr>
              <w:t>„</w:t>
            </w:r>
            <w:r w:rsidRPr="00AD1553">
              <w:rPr>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Nr.806) 11.2.3.apakšpunkts un 15.punkts</w:t>
            </w:r>
            <w:r w:rsidR="000D0923" w:rsidRPr="00AD1553">
              <w:rPr>
                <w:sz w:val="28"/>
                <w:szCs w:val="28"/>
              </w:rPr>
              <w:t>.</w:t>
            </w:r>
          </w:p>
        </w:tc>
      </w:tr>
      <w:tr w:rsidR="004B6AE6" w:rsidRPr="00AD1553" w:rsidTr="00D922ED">
        <w:trPr>
          <w:trHeight w:val="705"/>
        </w:trPr>
        <w:tc>
          <w:tcPr>
            <w:tcW w:w="638" w:type="dxa"/>
          </w:tcPr>
          <w:p w:rsidR="004B6AE6" w:rsidRPr="00AD1553" w:rsidRDefault="004B6AE6" w:rsidP="00214DFE">
            <w:pPr>
              <w:jc w:val="center"/>
              <w:rPr>
                <w:sz w:val="28"/>
                <w:szCs w:val="28"/>
              </w:rPr>
            </w:pPr>
            <w:r w:rsidRPr="00AD1553">
              <w:rPr>
                <w:sz w:val="28"/>
                <w:szCs w:val="28"/>
              </w:rPr>
              <w:t>2.</w:t>
            </w:r>
          </w:p>
        </w:tc>
        <w:tc>
          <w:tcPr>
            <w:tcW w:w="3190" w:type="dxa"/>
          </w:tcPr>
          <w:p w:rsidR="004B6AE6" w:rsidRPr="00AD1553" w:rsidRDefault="004B6AE6" w:rsidP="009A7A14">
            <w:pPr>
              <w:rPr>
                <w:sz w:val="28"/>
                <w:szCs w:val="28"/>
              </w:rPr>
            </w:pPr>
            <w:r w:rsidRPr="00AD1553">
              <w:rPr>
                <w:sz w:val="28"/>
                <w:szCs w:val="28"/>
              </w:rPr>
              <w:t>Pašreizējā situācija un problēmas, kuru risināšanai tiesību akta projekts izstrādāts, tiesiskā regulējuma mērķis un būtība</w:t>
            </w:r>
          </w:p>
          <w:p w:rsidR="004B6AE6" w:rsidRPr="00AD1553" w:rsidRDefault="004B6AE6" w:rsidP="00D922ED">
            <w:pPr>
              <w:rPr>
                <w:sz w:val="28"/>
                <w:szCs w:val="28"/>
              </w:rPr>
            </w:pPr>
          </w:p>
        </w:tc>
        <w:tc>
          <w:tcPr>
            <w:tcW w:w="5386" w:type="dxa"/>
          </w:tcPr>
          <w:p w:rsidR="004B6AE6" w:rsidRPr="00AD1553" w:rsidRDefault="004B6AE6" w:rsidP="00EA7C5E">
            <w:pPr>
              <w:pStyle w:val="naiskr"/>
              <w:spacing w:before="0" w:after="0"/>
              <w:ind w:firstLine="567"/>
              <w:jc w:val="both"/>
              <w:rPr>
                <w:sz w:val="28"/>
                <w:szCs w:val="28"/>
              </w:rPr>
            </w:pPr>
            <w:r w:rsidRPr="00AD1553">
              <w:rPr>
                <w:sz w:val="28"/>
                <w:szCs w:val="28"/>
              </w:rPr>
              <w:t xml:space="preserve">Sabiedriskais elektroniskais plašsaziņas līdzeklis </w:t>
            </w:r>
            <w:r w:rsidR="00A052BA">
              <w:rPr>
                <w:sz w:val="28"/>
                <w:szCs w:val="28"/>
              </w:rPr>
              <w:t xml:space="preserve">– </w:t>
            </w:r>
            <w:r w:rsidRPr="00AD1553">
              <w:rPr>
                <w:sz w:val="28"/>
                <w:szCs w:val="28"/>
              </w:rPr>
              <w:t>Latvijas Radio ir valsts kapitālsabiedrība, kuras pamatkapitālu veido valsts ieguldītā manta. Nacionālā elektronisko plašsaziņas līdzekļu padome</w:t>
            </w:r>
            <w:r w:rsidR="006029E2" w:rsidRPr="00AD1553">
              <w:rPr>
                <w:sz w:val="28"/>
                <w:szCs w:val="28"/>
              </w:rPr>
              <w:t xml:space="preserve"> (turpmāk – Padome)</w:t>
            </w:r>
            <w:r w:rsidRPr="00AD1553">
              <w:rPr>
                <w:sz w:val="28"/>
                <w:szCs w:val="28"/>
              </w:rPr>
              <w:t xml:space="preserve"> ir Latvijas Radio valsts kapitāla daļu turētāja un veic tās dalībnieku sapulces funkcijas. Latvijas Radio galvenais uzdevums </w:t>
            </w:r>
            <w:r w:rsidRPr="00AD1553">
              <w:rPr>
                <w:sz w:val="28"/>
                <w:szCs w:val="28"/>
              </w:rPr>
              <w:lastRenderedPageBreak/>
              <w:t>ir sabiedriskā pasūtījuma programmu veidošana un izplatīšana. Latvijas Radio darbības pamatmērķis nav peļņas gūšana (Elektronisko plašsaziņas līdzekļu likuma 7.</w:t>
            </w:r>
            <w:r w:rsidR="006029E2" w:rsidRPr="00AD1553">
              <w:rPr>
                <w:sz w:val="28"/>
                <w:szCs w:val="28"/>
              </w:rPr>
              <w:t>panta</w:t>
            </w:r>
            <w:r w:rsidRPr="00AD1553">
              <w:rPr>
                <w:sz w:val="28"/>
                <w:szCs w:val="28"/>
              </w:rPr>
              <w:t xml:space="preserve"> pirmā daļa).</w:t>
            </w:r>
          </w:p>
          <w:p w:rsidR="004B6AE6" w:rsidRPr="00AD1553" w:rsidRDefault="004B6AE6" w:rsidP="00EA7C5E">
            <w:pPr>
              <w:pStyle w:val="naiskr"/>
              <w:spacing w:before="0" w:after="0"/>
              <w:ind w:firstLine="567"/>
              <w:jc w:val="both"/>
              <w:rPr>
                <w:sz w:val="28"/>
                <w:szCs w:val="28"/>
              </w:rPr>
            </w:pPr>
            <w:r w:rsidRPr="00AD1553">
              <w:rPr>
                <w:sz w:val="28"/>
                <w:szCs w:val="28"/>
              </w:rPr>
              <w:t>Saskaņā ar Elektronisko plašsaziņas līdzekļu likuma 70.panta ceturto daļu ieņēmumi no saimnieciskās darbības gūšanas var tikt ieguldīti Latvijas Radio infrastruktūras uzturēšanā.</w:t>
            </w:r>
          </w:p>
          <w:p w:rsidR="004B6AE6" w:rsidRPr="00AD1553" w:rsidRDefault="004B6AE6" w:rsidP="00EA7C5E">
            <w:pPr>
              <w:pStyle w:val="naiskr"/>
              <w:spacing w:before="0" w:after="0"/>
              <w:ind w:firstLine="567"/>
              <w:jc w:val="both"/>
              <w:rPr>
                <w:sz w:val="28"/>
                <w:szCs w:val="28"/>
              </w:rPr>
            </w:pPr>
            <w:r w:rsidRPr="00AD1553">
              <w:rPr>
                <w:sz w:val="28"/>
                <w:szCs w:val="28"/>
              </w:rPr>
              <w:t>Latvijas Radio laikā no 2018.gada 1.janvāra līdz 2018.gada 31.decembrim darbības periodā ir radusies peļņa 162</w:t>
            </w:r>
            <w:r w:rsidR="00A052BA">
              <w:rPr>
                <w:sz w:val="28"/>
                <w:szCs w:val="28"/>
              </w:rPr>
              <w:t> </w:t>
            </w:r>
            <w:r w:rsidRPr="00AD1553">
              <w:rPr>
                <w:sz w:val="28"/>
                <w:szCs w:val="28"/>
              </w:rPr>
              <w:t>628</w:t>
            </w:r>
            <w:r w:rsidR="00A052BA">
              <w:rPr>
                <w:sz w:val="28"/>
                <w:szCs w:val="28"/>
              </w:rPr>
              <w:t> </w:t>
            </w:r>
            <w:r w:rsidRPr="00AD1553">
              <w:rPr>
                <w:i/>
                <w:sz w:val="28"/>
                <w:szCs w:val="28"/>
              </w:rPr>
              <w:t>euro.</w:t>
            </w:r>
          </w:p>
          <w:p w:rsidR="004B6AE6" w:rsidRPr="00AD1553" w:rsidRDefault="004B6AE6" w:rsidP="00EA7C5E">
            <w:pPr>
              <w:pStyle w:val="naiskr"/>
              <w:spacing w:before="0" w:after="0"/>
              <w:ind w:firstLine="567"/>
              <w:jc w:val="both"/>
              <w:rPr>
                <w:sz w:val="28"/>
                <w:szCs w:val="28"/>
              </w:rPr>
            </w:pPr>
            <w:r w:rsidRPr="00AD1553">
              <w:rPr>
                <w:sz w:val="28"/>
                <w:szCs w:val="28"/>
              </w:rPr>
              <w:t xml:space="preserve">Likuma </w:t>
            </w:r>
            <w:r w:rsidR="00EA7C5E" w:rsidRPr="00AD1553">
              <w:rPr>
                <w:sz w:val="28"/>
                <w:szCs w:val="28"/>
              </w:rPr>
              <w:t>„</w:t>
            </w:r>
            <w:r w:rsidRPr="00AD1553">
              <w:rPr>
                <w:sz w:val="28"/>
                <w:szCs w:val="28"/>
              </w:rPr>
              <w:t xml:space="preserve">Par vidēja termiņa budžeta ietvaru 2018., 2019. un 2020.gadam” 24.panta pirmajā daļā ir noteikts, ka dividendēs izmaksājamo peļņas daļu par 2018.gada pārskata gadu nosaka un aprēķina 85% apmērā no attiecīgās kapitālsabiedrības peļņas, t.i., Latvijas Radio ir jāizmaksā dividendēs 85% no Latvijas Radio peļņas, kas veido </w:t>
            </w:r>
            <w:r w:rsidRPr="00AD1553">
              <w:rPr>
                <w:bCs/>
                <w:sz w:val="28"/>
                <w:szCs w:val="28"/>
              </w:rPr>
              <w:t>138 234</w:t>
            </w:r>
            <w:r w:rsidRPr="00AD1553">
              <w:rPr>
                <w:sz w:val="28"/>
                <w:szCs w:val="28"/>
              </w:rPr>
              <w:t xml:space="preserve"> </w:t>
            </w:r>
            <w:r w:rsidRPr="00AD1553">
              <w:rPr>
                <w:i/>
                <w:sz w:val="28"/>
                <w:szCs w:val="28"/>
              </w:rPr>
              <w:t>euro</w:t>
            </w:r>
            <w:r w:rsidRPr="00AD1553">
              <w:rPr>
                <w:sz w:val="28"/>
                <w:szCs w:val="28"/>
              </w:rPr>
              <w:t xml:space="preserve">. Saskaņā ar </w:t>
            </w:r>
            <w:r w:rsidR="006029E2" w:rsidRPr="00AD1553">
              <w:rPr>
                <w:sz w:val="28"/>
                <w:szCs w:val="28"/>
              </w:rPr>
              <w:t xml:space="preserve">likuma </w:t>
            </w:r>
            <w:r w:rsidR="00EA7C5E" w:rsidRPr="00AD1553">
              <w:rPr>
                <w:sz w:val="28"/>
                <w:szCs w:val="28"/>
              </w:rPr>
              <w:t>„</w:t>
            </w:r>
            <w:r w:rsidR="006029E2" w:rsidRPr="00AD1553">
              <w:rPr>
                <w:sz w:val="28"/>
                <w:szCs w:val="28"/>
              </w:rPr>
              <w:t xml:space="preserve">Par vidēja termiņa budžeta ietvaru 2018., 2019. un 2020. gadam” 24.panta </w:t>
            </w:r>
            <w:r w:rsidRPr="00AD1553">
              <w:rPr>
                <w:sz w:val="28"/>
                <w:szCs w:val="28"/>
              </w:rPr>
              <w:t xml:space="preserve">trešo daļu Ministru </w:t>
            </w:r>
            <w:r w:rsidR="006029E2" w:rsidRPr="00AD1553">
              <w:rPr>
                <w:sz w:val="28"/>
                <w:szCs w:val="28"/>
              </w:rPr>
              <w:t xml:space="preserve">kabinets </w:t>
            </w:r>
            <w:r w:rsidRPr="00AD1553">
              <w:rPr>
                <w:sz w:val="28"/>
                <w:szCs w:val="28"/>
              </w:rPr>
              <w:t>normatīvajos aktos noteiktajos gadījumos un kārtībā var pieņemt lēmumu par atšķirīgu minimālo dividendēs izmaksājamo peļņas daļu, ievērojot Publiskas personas kapitāla daļu un kapitālsabiedrību pārvaldības likuma 28.pantā noteikto kārtību.</w:t>
            </w:r>
          </w:p>
          <w:p w:rsidR="004B6AE6" w:rsidRPr="00AD1553" w:rsidRDefault="004B6AE6" w:rsidP="00EA7C5E">
            <w:pPr>
              <w:pStyle w:val="naiskr"/>
              <w:spacing w:before="0" w:after="0"/>
              <w:ind w:firstLine="567"/>
              <w:jc w:val="both"/>
              <w:rPr>
                <w:sz w:val="28"/>
                <w:szCs w:val="28"/>
              </w:rPr>
            </w:pPr>
            <w:r w:rsidRPr="00AD1553">
              <w:rPr>
                <w:sz w:val="28"/>
                <w:szCs w:val="28"/>
              </w:rPr>
              <w:t xml:space="preserve">Atbilstoši MK noteikumu Nr.806 10.punktā noteiktajam, Publiskas personas kapitāla daļu un kapitālsabiedrību pārvaldības likuma 28.panta trešajā daļā minētajā gadījumā, ņemot vērā </w:t>
            </w:r>
            <w:r w:rsidR="006029E2" w:rsidRPr="00AD1553">
              <w:rPr>
                <w:sz w:val="28"/>
                <w:szCs w:val="28"/>
              </w:rPr>
              <w:t xml:space="preserve">MK noteikumu Nr.806 </w:t>
            </w:r>
            <w:r w:rsidRPr="00AD1553">
              <w:rPr>
                <w:sz w:val="28"/>
                <w:szCs w:val="28"/>
              </w:rPr>
              <w:t xml:space="preserve">11.punktā minētos apstākļus, valsts kapitāla daļu turētājs priekšlikumu par dividendēs izmaksājamo peļņas daļu (procentos no kapitālsabiedrības tīrās peļņas), kas atšķiras no kapitālsabiedrības stratēģijā noteiktā, pēc kapitālsabiedrības gada pārskata apstiprināšanas iesniedz Finanšu ministrijai un Pārresoru koordinācijas centram kopā ar </w:t>
            </w:r>
            <w:r w:rsidRPr="00AD1553">
              <w:rPr>
                <w:sz w:val="28"/>
                <w:szCs w:val="28"/>
              </w:rPr>
              <w:lastRenderedPageBreak/>
              <w:t>attiecīgo pamatojumu.</w:t>
            </w:r>
          </w:p>
          <w:p w:rsidR="004B6AE6" w:rsidRPr="00AD1553" w:rsidRDefault="006029E2" w:rsidP="00EA7C5E">
            <w:pPr>
              <w:pStyle w:val="naiskr"/>
              <w:spacing w:before="0" w:after="0"/>
              <w:ind w:firstLine="567"/>
              <w:jc w:val="both"/>
              <w:rPr>
                <w:sz w:val="28"/>
                <w:szCs w:val="28"/>
              </w:rPr>
            </w:pPr>
            <w:r w:rsidRPr="00AD1553">
              <w:rPr>
                <w:sz w:val="28"/>
                <w:szCs w:val="28"/>
              </w:rPr>
              <w:t>P</w:t>
            </w:r>
            <w:r w:rsidR="004B6AE6" w:rsidRPr="00AD1553">
              <w:rPr>
                <w:sz w:val="28"/>
                <w:szCs w:val="28"/>
              </w:rPr>
              <w:t>adome 2019.gada 30.maija sēdē (lēmums Nr.112) apstiprināja Latvijas Radio 2018.gada pārskatu.</w:t>
            </w:r>
          </w:p>
          <w:p w:rsidR="004B6AE6" w:rsidRPr="00AD1553" w:rsidRDefault="004B6AE6" w:rsidP="00EA7C5E">
            <w:pPr>
              <w:pStyle w:val="naiskr"/>
              <w:spacing w:before="0" w:after="0"/>
              <w:ind w:firstLine="567"/>
              <w:jc w:val="both"/>
              <w:rPr>
                <w:bCs/>
                <w:iCs/>
                <w:sz w:val="28"/>
                <w:szCs w:val="28"/>
              </w:rPr>
            </w:pPr>
            <w:r w:rsidRPr="00AD1553">
              <w:rPr>
                <w:sz w:val="28"/>
                <w:szCs w:val="28"/>
              </w:rPr>
              <w:t xml:space="preserve">Ņemot vērā Latvijas Radio noteikto vispārējo stratēģisko mērķi, Latvijas Radio izstrādāja </w:t>
            </w:r>
            <w:r w:rsidRPr="00AD1553">
              <w:rPr>
                <w:iCs/>
                <w:sz w:val="28"/>
                <w:szCs w:val="28"/>
              </w:rPr>
              <w:t>vidēja termiņas darbības stratēģiju 2019.</w:t>
            </w:r>
            <w:r w:rsidR="00EA7C5E" w:rsidRPr="00AD1553">
              <w:rPr>
                <w:iCs/>
                <w:sz w:val="28"/>
                <w:szCs w:val="28"/>
              </w:rPr>
              <w:t xml:space="preserve"> – </w:t>
            </w:r>
            <w:r w:rsidRPr="00AD1553">
              <w:rPr>
                <w:iCs/>
                <w:sz w:val="28"/>
                <w:szCs w:val="28"/>
              </w:rPr>
              <w:t xml:space="preserve">2022.gadam, kas </w:t>
            </w:r>
            <w:r w:rsidRPr="00AD1553">
              <w:rPr>
                <w:bCs/>
                <w:iCs/>
                <w:sz w:val="28"/>
                <w:szCs w:val="28"/>
              </w:rPr>
              <w:t xml:space="preserve">ir saskaņota ar Pārresoru koordinācijas centru un apstiprināta ar </w:t>
            </w:r>
            <w:r w:rsidR="006029E2" w:rsidRPr="00AD1553">
              <w:rPr>
                <w:bCs/>
                <w:iCs/>
                <w:sz w:val="28"/>
                <w:szCs w:val="28"/>
              </w:rPr>
              <w:t xml:space="preserve">Padomes </w:t>
            </w:r>
            <w:r w:rsidRPr="00AD1553">
              <w:rPr>
                <w:bCs/>
                <w:iCs/>
                <w:sz w:val="28"/>
                <w:szCs w:val="28"/>
              </w:rPr>
              <w:t>lēmumu 2019.gada 28.martā.</w:t>
            </w:r>
          </w:p>
          <w:p w:rsidR="004B6AE6" w:rsidRPr="00AD1553" w:rsidRDefault="004B6AE6" w:rsidP="00A052BA">
            <w:pPr>
              <w:pStyle w:val="naiskr"/>
              <w:spacing w:before="0" w:after="0"/>
              <w:ind w:firstLine="567"/>
              <w:jc w:val="both"/>
              <w:rPr>
                <w:sz w:val="28"/>
                <w:szCs w:val="28"/>
              </w:rPr>
            </w:pPr>
            <w:r w:rsidRPr="00AD1553">
              <w:rPr>
                <w:sz w:val="28"/>
                <w:szCs w:val="28"/>
              </w:rPr>
              <w:t>Latvijas Radio 2018.gada peļņas daļas sag</w:t>
            </w:r>
            <w:r w:rsidR="00A052BA">
              <w:rPr>
                <w:sz w:val="28"/>
                <w:szCs w:val="28"/>
              </w:rPr>
              <w:t xml:space="preserve">labāšanai Latvijas Radio rīcībā pamatojama ar to, ka </w:t>
            </w:r>
            <w:r w:rsidR="009956F6" w:rsidRPr="00AD1553">
              <w:rPr>
                <w:sz w:val="28"/>
                <w:szCs w:val="28"/>
              </w:rPr>
              <w:t>l</w:t>
            </w:r>
            <w:r w:rsidRPr="00AD1553">
              <w:rPr>
                <w:sz w:val="28"/>
                <w:szCs w:val="28"/>
              </w:rPr>
              <w:t xml:space="preserve">aikā no 2014. līdz 2017.gadam Latvijas Radio strādāja ar zaudējumiem un 2018.gads ir pirmais gads, kad Latvijas Radio ir strādājis ar peļņu. Gatavojot 2017.gada pārskatu, tika konstatēts, ka no iepriekšējiem gadiem ir uzkrātas saistības par neizmantotajām atvaļinājuma dienām, kas 2017.gada pārskatā tika iekļautas kā zaudējumi, bet 2018.gada laikā tika pārskatītas un daļēji dzēstas. Tā kā šis lēmums netika pieņemts viena finanšu gada ietvaros, tas ir ietekmējis </w:t>
            </w:r>
            <w:r w:rsidR="006029E2" w:rsidRPr="00AD1553">
              <w:rPr>
                <w:sz w:val="28"/>
                <w:szCs w:val="28"/>
              </w:rPr>
              <w:t xml:space="preserve">Latvijas Radio </w:t>
            </w:r>
            <w:r w:rsidR="00A052BA" w:rsidRPr="00AD1553">
              <w:rPr>
                <w:sz w:val="28"/>
                <w:szCs w:val="28"/>
              </w:rPr>
              <w:t xml:space="preserve">2018.gada </w:t>
            </w:r>
            <w:r w:rsidRPr="00AD1553">
              <w:rPr>
                <w:sz w:val="28"/>
                <w:szCs w:val="28"/>
              </w:rPr>
              <w:t>darbības rezultātus. Minētā uzkrāto atvaļinājuma dienu dzēšana neietekmē naudas plūsmu.</w:t>
            </w:r>
            <w:r w:rsidR="00404F9D" w:rsidRPr="00AD1553">
              <w:rPr>
                <w:sz w:val="28"/>
                <w:szCs w:val="28"/>
              </w:rPr>
              <w:t xml:space="preserve"> Saskaņā ar Ministru kabineta 2015.gada 22.decembra noteikumu Nr.775 </w:t>
            </w:r>
            <w:r w:rsidR="009956F6" w:rsidRPr="00AD1553">
              <w:rPr>
                <w:sz w:val="28"/>
                <w:szCs w:val="28"/>
              </w:rPr>
              <w:t>„</w:t>
            </w:r>
            <w:r w:rsidR="00404F9D" w:rsidRPr="00AD1553">
              <w:rPr>
                <w:sz w:val="28"/>
                <w:szCs w:val="28"/>
              </w:rPr>
              <w:t xml:space="preserve">Gada pārskatu un konsolidēto gada pārskatu likuma piemērošanas noteikumi” 164.punktu aplēstās saistību summas pret darbiniekiem par pārskata gadā uzkrātajām neizmantotām atvaļinājuma dienām sabiedrības grāmatvedībā uzskaita bilances postenī </w:t>
            </w:r>
            <w:r w:rsidR="009956F6" w:rsidRPr="00AD1553">
              <w:rPr>
                <w:sz w:val="28"/>
                <w:szCs w:val="28"/>
              </w:rPr>
              <w:t>„</w:t>
            </w:r>
            <w:r w:rsidR="00404F9D" w:rsidRPr="00AD1553">
              <w:rPr>
                <w:sz w:val="28"/>
                <w:szCs w:val="28"/>
              </w:rPr>
              <w:t xml:space="preserve">Uzkrātās saistības”. </w:t>
            </w:r>
            <w:r w:rsidRPr="00AD1553">
              <w:rPr>
                <w:sz w:val="28"/>
                <w:szCs w:val="28"/>
              </w:rPr>
              <w:t xml:space="preserve">2017.gada pārskatā, veidojot </w:t>
            </w:r>
            <w:r w:rsidR="00A052BA">
              <w:rPr>
                <w:sz w:val="28"/>
                <w:szCs w:val="28"/>
              </w:rPr>
              <w:t xml:space="preserve">bilances posteni </w:t>
            </w:r>
            <w:r w:rsidR="009956F6" w:rsidRPr="00AD1553">
              <w:rPr>
                <w:sz w:val="28"/>
                <w:szCs w:val="28"/>
              </w:rPr>
              <w:t>„</w:t>
            </w:r>
            <w:r w:rsidRPr="00AD1553">
              <w:rPr>
                <w:sz w:val="28"/>
                <w:szCs w:val="28"/>
              </w:rPr>
              <w:t xml:space="preserve">Uzkrātās saistības”, šī summa tika iekļauta peļņas un zaudējumu aprēķinā izmaksu sastāvā, līdz ar to tika samazināta arī Latvijas Radio 2017.gada peļņa, gadu beidzot ar zaudējumiem. Savukārt 2018.gadā, kad tika dzēsta daļa uzkrāto saistību, tad par šo summu tika  atzīti ieņēmumi un tādējādi palielināta 2018.gada peļņa, par ko ir jāmaksā dividendes. Tomēr Latvijas Radio 2018.gada pārskatā </w:t>
            </w:r>
            <w:r w:rsidRPr="00AD1553">
              <w:rPr>
                <w:sz w:val="28"/>
                <w:szCs w:val="28"/>
              </w:rPr>
              <w:lastRenderedPageBreak/>
              <w:t>uzrādītā uzņēmuma grāmatvedības peļņas daļa, kas ir radusies no uzkrāto saistību dzēšanas, nav reāla nauda. Iemaksājot šos līdzekļus valsts budžetā kā dividendes, Latvijas Radio pietrūks reālas naudas un iestāsies MK noteikumu Nr.806 11.2.3.apakšpunktā minētā situācija – finanšu nestabilitāte, pasliktināsies likviditātes rādītājs, tātad tiks apdraudētas Latvijas Radio iespējas segt īstermiņa saistības. Papildus jāuzsver, ka Latvijas Radio ir viens no zemākajiem sabiedriskā medija</w:t>
            </w:r>
            <w:r w:rsidR="00A052BA">
              <w:rPr>
                <w:sz w:val="28"/>
                <w:szCs w:val="28"/>
              </w:rPr>
              <w:t xml:space="preserve"> </w:t>
            </w:r>
            <w:r w:rsidRPr="00AD1553">
              <w:rPr>
                <w:sz w:val="28"/>
                <w:szCs w:val="28"/>
              </w:rPr>
              <w:t xml:space="preserve">finansējumiem starp Eiropas valstīm un arī zemākais starp Baltijas valstīm. Latvijas Radio ilgstoši nav piešķirti līdzekļi plānveidīgām investīcijām tehnoloģiju attīstībā un ēkas infrastruktūrā. Līdzekļi ir tikuši piešķirti tikai avārijas situāciju risināšanā, palielinot šādu situāciju arvien biežākas rašanās risku, līdz pat nespējai nodrošināt programmu pārraidīšanu ēterā, līdz ar ko nebūtu pamatoti vēl vairāk pasliktināt Latvijas Radio finansiālo situāciju, izmaksājot </w:t>
            </w:r>
            <w:r w:rsidR="006029E2" w:rsidRPr="00AD1553">
              <w:rPr>
                <w:sz w:val="28"/>
                <w:szCs w:val="28"/>
              </w:rPr>
              <w:t>dividendes</w:t>
            </w:r>
            <w:r w:rsidRPr="00AD1553">
              <w:rPr>
                <w:sz w:val="28"/>
                <w:szCs w:val="28"/>
              </w:rPr>
              <w:t>.</w:t>
            </w:r>
          </w:p>
          <w:p w:rsidR="004B6AE6" w:rsidRPr="00483A2A" w:rsidRDefault="004B6AE6" w:rsidP="00483A2A">
            <w:pPr>
              <w:ind w:firstLine="567"/>
              <w:jc w:val="both"/>
              <w:rPr>
                <w:sz w:val="28"/>
                <w:szCs w:val="28"/>
                <w:u w:val="single"/>
              </w:rPr>
            </w:pPr>
            <w:r w:rsidRPr="00AD1553">
              <w:rPr>
                <w:sz w:val="28"/>
                <w:szCs w:val="28"/>
              </w:rPr>
              <w:t xml:space="preserve">Ievērojot minēto, tiek ierosināts dividendēs izmaksājamo peļņas daļu saglabāt Latvijas Radio rīcībā un novirzīt kapitālieguldījumiem Latvijas Radio </w:t>
            </w:r>
            <w:r w:rsidRPr="007B43DC">
              <w:rPr>
                <w:sz w:val="28"/>
                <w:szCs w:val="28"/>
              </w:rPr>
              <w:t>tehniskajā nodrošinājumā un infrastruktūrā</w:t>
            </w:r>
            <w:r w:rsidR="00483A2A" w:rsidRPr="007B43DC">
              <w:rPr>
                <w:sz w:val="28"/>
                <w:szCs w:val="28"/>
              </w:rPr>
              <w:t>,</w:t>
            </w:r>
            <w:r w:rsidR="007B43DC">
              <w:rPr>
                <w:sz w:val="28"/>
                <w:szCs w:val="28"/>
              </w:rPr>
              <w:t xml:space="preserve"> </w:t>
            </w:r>
            <w:r w:rsidR="00483A2A" w:rsidRPr="007B43DC">
              <w:rPr>
                <w:sz w:val="28"/>
                <w:szCs w:val="28"/>
              </w:rPr>
              <w:t>nodrošinot 2.ētera studijas mikseru konsoles iegādi un nomaiņu, audio signālu apstrādes konvertoru komplekta iegādi 1.studijai, nepieciešamos pamatlīdzekļus 5.ētera studijas funkcionalitātes maiņai, ēkas Doma laukuma fasādes logu restaurācijas projekta izstrādi, ēkas iekštelpu renovāciju un atjaunošanu</w:t>
            </w:r>
            <w:r w:rsidR="00483A2A" w:rsidRPr="007B43DC">
              <w:rPr>
                <w:color w:val="FF0000"/>
                <w:sz w:val="28"/>
                <w:szCs w:val="28"/>
              </w:rPr>
              <w:t xml:space="preserve"> </w:t>
            </w:r>
            <w:r w:rsidRPr="007B43DC">
              <w:rPr>
                <w:sz w:val="28"/>
                <w:szCs w:val="28"/>
              </w:rPr>
              <w:t>(</w:t>
            </w:r>
            <w:r w:rsidR="009956F6" w:rsidRPr="007B43DC">
              <w:rPr>
                <w:sz w:val="28"/>
                <w:szCs w:val="28"/>
              </w:rPr>
              <w:t xml:space="preserve">detalizētu </w:t>
            </w:r>
            <w:r w:rsidRPr="007B43DC">
              <w:rPr>
                <w:sz w:val="28"/>
                <w:szCs w:val="28"/>
              </w:rPr>
              <w:t xml:space="preserve">informāciju pa izdevumu pozīcijām skatīt </w:t>
            </w:r>
            <w:r w:rsidR="009956F6" w:rsidRPr="007B43DC">
              <w:rPr>
                <w:sz w:val="28"/>
                <w:szCs w:val="28"/>
              </w:rPr>
              <w:t>Projekta sākotnējās ietekmes novērtējuma ziņojuma (</w:t>
            </w:r>
            <w:r w:rsidRPr="007B43DC">
              <w:rPr>
                <w:sz w:val="28"/>
                <w:szCs w:val="28"/>
              </w:rPr>
              <w:t>anotācija</w:t>
            </w:r>
            <w:r w:rsidR="009956F6" w:rsidRPr="007B43DC">
              <w:rPr>
                <w:sz w:val="28"/>
                <w:szCs w:val="28"/>
              </w:rPr>
              <w:t>s)</w:t>
            </w:r>
            <w:r w:rsidRPr="007B43DC">
              <w:rPr>
                <w:sz w:val="28"/>
                <w:szCs w:val="28"/>
              </w:rPr>
              <w:t xml:space="preserve"> III sadaļā).</w:t>
            </w:r>
            <w:r w:rsidR="00483A2A" w:rsidRPr="007B43DC">
              <w:rPr>
                <w:sz w:val="28"/>
                <w:szCs w:val="28"/>
              </w:rPr>
              <w:t xml:space="preserve"> Visus minētos kapitālieguldījumus plānots veikt 2019.gadā.</w:t>
            </w:r>
          </w:p>
          <w:p w:rsidR="004B6AE6" w:rsidRPr="00AD1553" w:rsidRDefault="004B6AE6" w:rsidP="009956F6">
            <w:pPr>
              <w:pStyle w:val="naiskr"/>
              <w:spacing w:before="0" w:after="0"/>
              <w:ind w:firstLine="567"/>
              <w:jc w:val="both"/>
              <w:rPr>
                <w:sz w:val="28"/>
                <w:szCs w:val="28"/>
              </w:rPr>
            </w:pPr>
            <w:r w:rsidRPr="00AD1553">
              <w:rPr>
                <w:sz w:val="28"/>
                <w:szCs w:val="28"/>
              </w:rPr>
              <w:t xml:space="preserve">Ievērojot iepriekš sniegto pamatojumu un saskaņā ar MK noteikumu Nr.806 11.2.3.apakšpunktu, </w:t>
            </w:r>
            <w:r w:rsidR="006029E2" w:rsidRPr="00AD1553">
              <w:rPr>
                <w:sz w:val="28"/>
                <w:szCs w:val="28"/>
              </w:rPr>
              <w:t>P</w:t>
            </w:r>
            <w:r w:rsidRPr="00AD1553">
              <w:rPr>
                <w:sz w:val="28"/>
                <w:szCs w:val="28"/>
              </w:rPr>
              <w:t xml:space="preserve">adome kā Latvijas Radio valsts kapitāla daļu turētāja lūdz atļauju Latvijas Radio 2018.gada peļņas daļu </w:t>
            </w:r>
            <w:r w:rsidRPr="00AD1553">
              <w:rPr>
                <w:bCs/>
                <w:sz w:val="28"/>
                <w:szCs w:val="28"/>
              </w:rPr>
              <w:lastRenderedPageBreak/>
              <w:t>138</w:t>
            </w:r>
            <w:r w:rsidR="0082268A">
              <w:rPr>
                <w:bCs/>
                <w:sz w:val="28"/>
                <w:szCs w:val="28"/>
              </w:rPr>
              <w:t> </w:t>
            </w:r>
            <w:r w:rsidRPr="00AD1553">
              <w:rPr>
                <w:bCs/>
                <w:sz w:val="28"/>
                <w:szCs w:val="28"/>
              </w:rPr>
              <w:t>234</w:t>
            </w:r>
            <w:r w:rsidR="0082268A">
              <w:rPr>
                <w:bCs/>
                <w:sz w:val="28"/>
                <w:szCs w:val="28"/>
              </w:rPr>
              <w:t> </w:t>
            </w:r>
            <w:r w:rsidRPr="00AD1553">
              <w:rPr>
                <w:i/>
                <w:sz w:val="28"/>
                <w:szCs w:val="28"/>
              </w:rPr>
              <w:t>euro</w:t>
            </w:r>
            <w:r w:rsidRPr="00AD1553">
              <w:rPr>
                <w:sz w:val="28"/>
                <w:szCs w:val="28"/>
              </w:rPr>
              <w:t xml:space="preserve"> apmērā saglabāt Latvijas Radio rīcībā, novirzot šos finanšu līdzekļus Elektronisko plašsaziņas līdzekļu likumā un Latvijas Radio vidēja termiņa darbības stratēģijā </w:t>
            </w:r>
            <w:r w:rsidR="00901B07" w:rsidRPr="00AD1553">
              <w:rPr>
                <w:sz w:val="28"/>
                <w:szCs w:val="28"/>
              </w:rPr>
              <w:t>2019.</w:t>
            </w:r>
            <w:r w:rsidR="009956F6" w:rsidRPr="00AD1553">
              <w:rPr>
                <w:sz w:val="28"/>
                <w:szCs w:val="28"/>
              </w:rPr>
              <w:t xml:space="preserve"> – </w:t>
            </w:r>
            <w:r w:rsidR="00901B07" w:rsidRPr="00AD1553">
              <w:rPr>
                <w:sz w:val="28"/>
                <w:szCs w:val="28"/>
              </w:rPr>
              <w:t xml:space="preserve">2022.gadam </w:t>
            </w:r>
            <w:r w:rsidRPr="00AD1553">
              <w:rPr>
                <w:sz w:val="28"/>
                <w:szCs w:val="28"/>
              </w:rPr>
              <w:t>noteikto mērķu sasniegšanai un sabiedriskā pasūtījuma izpildei, veicot kapitālieguldījumus Latvijas Radio tehniskajā nodrošinājumā un infrastruktūrā.</w:t>
            </w:r>
          </w:p>
          <w:p w:rsidR="004B6AE6" w:rsidRPr="00AD1553" w:rsidRDefault="004B6AE6" w:rsidP="00214DFE">
            <w:pPr>
              <w:ind w:firstLine="567"/>
              <w:jc w:val="both"/>
              <w:rPr>
                <w:sz w:val="28"/>
                <w:szCs w:val="28"/>
              </w:rPr>
            </w:pPr>
            <w:r w:rsidRPr="00AD1553">
              <w:rPr>
                <w:sz w:val="28"/>
                <w:szCs w:val="28"/>
              </w:rPr>
              <w:t>Atbilstoši MK noteikumu Nr.806</w:t>
            </w:r>
            <w:r w:rsidR="00A052BA">
              <w:rPr>
                <w:sz w:val="28"/>
                <w:szCs w:val="28"/>
              </w:rPr>
              <w:t xml:space="preserve"> </w:t>
            </w:r>
            <w:r w:rsidRPr="00AD1553">
              <w:rPr>
                <w:sz w:val="28"/>
                <w:szCs w:val="28"/>
              </w:rPr>
              <w:t xml:space="preserve">6.punktam, valsts atteikšanās no tai izmaksājamās Latvijas Radio peļņas daļas ir vērtējama kā ar Eiropas Savienības iekšējo tirgu saderīgs komercdarbības atbalsts, kurš tiek sniegts, ievērojot Komisijas paziņojumā un Komisijas lēmumā noteikto. Komisijas 2011.gada 20.decembra lēmums (C(2011) 9380) </w:t>
            </w:r>
            <w:r w:rsidR="00A052BA">
              <w:rPr>
                <w:sz w:val="28"/>
                <w:szCs w:val="28"/>
              </w:rPr>
              <w:t>„</w:t>
            </w:r>
            <w:r w:rsidRPr="00AD1553">
              <w:rPr>
                <w:sz w:val="28"/>
                <w:szCs w:val="28"/>
              </w:rPr>
              <w:t>Par Līguma par Eiropas Savienības darbību 106.panta 2.punkta piemērošanu valsts atbalstam attiecībā uz kompensāciju par sabiedriskajiem pakalpojumiem dažiem uzņēmumiem, kuriem uzticēts sniegt pakalpojumus ar vispārēju tautsaimniecisku nozīmi</w:t>
            </w:r>
            <w:r w:rsidR="00A052BA">
              <w:rPr>
                <w:sz w:val="28"/>
                <w:szCs w:val="28"/>
              </w:rPr>
              <w:t>”</w:t>
            </w:r>
            <w:r w:rsidRPr="00AD1553">
              <w:rPr>
                <w:sz w:val="28"/>
                <w:szCs w:val="28"/>
              </w:rPr>
              <w:t xml:space="preserve"> </w:t>
            </w:r>
            <w:r w:rsidR="00A052BA">
              <w:rPr>
                <w:sz w:val="28"/>
                <w:szCs w:val="28"/>
              </w:rPr>
              <w:t xml:space="preserve">(turpmāk – Komisijas lēmums) </w:t>
            </w:r>
            <w:r w:rsidRPr="00AD1553">
              <w:rPr>
                <w:sz w:val="28"/>
                <w:szCs w:val="28"/>
              </w:rPr>
              <w:t>nosaka kritērijus, saskaņā ar kuriem šāds valsts atbalsts ir vērtējams kā saderīgs ar iekšējo tirgu un atbrīvots no Līguma par Eiropas Savienības darbību 108.panta 3.punktā paredzētās paziņošanas prasības. Atbilstoši Komisijas lēmuma 2.panta a) apakšpunktam no minētās paziņošanas prasības ir atbrīvojamas kompensācijas (valsts atbalsts), kas nepārsniedz gada summu 15</w:t>
            </w:r>
            <w:r w:rsidR="00AD1553" w:rsidRPr="00AD1553">
              <w:rPr>
                <w:sz w:val="28"/>
                <w:szCs w:val="28"/>
              </w:rPr>
              <w:t> </w:t>
            </w:r>
            <w:r w:rsidRPr="00AD1553">
              <w:rPr>
                <w:sz w:val="28"/>
                <w:szCs w:val="28"/>
              </w:rPr>
              <w:t>milj</w:t>
            </w:r>
            <w:r w:rsidR="00214DFE">
              <w:rPr>
                <w:sz w:val="28"/>
                <w:szCs w:val="28"/>
              </w:rPr>
              <w:t>.</w:t>
            </w:r>
            <w:r w:rsidRPr="00AD1553">
              <w:rPr>
                <w:sz w:val="28"/>
                <w:szCs w:val="28"/>
              </w:rPr>
              <w:t xml:space="preserve"> </w:t>
            </w:r>
            <w:r w:rsidRPr="00AD1553">
              <w:rPr>
                <w:i/>
                <w:sz w:val="28"/>
                <w:szCs w:val="28"/>
              </w:rPr>
              <w:t>euro</w:t>
            </w:r>
            <w:r w:rsidRPr="00AD1553">
              <w:rPr>
                <w:sz w:val="28"/>
                <w:szCs w:val="28"/>
              </w:rPr>
              <w:t xml:space="preserve"> par pakalpojumu ar vispārēju tautsaimniecisku nozīmi sniegšanu jomās, kas nav transports un transporta infrastruktūra. </w:t>
            </w:r>
            <w:r w:rsidR="00214DFE">
              <w:rPr>
                <w:sz w:val="28"/>
                <w:szCs w:val="28"/>
              </w:rPr>
              <w:t xml:space="preserve">Komisijas </w:t>
            </w:r>
            <w:r w:rsidRPr="00AD1553">
              <w:rPr>
                <w:sz w:val="28"/>
                <w:szCs w:val="28"/>
              </w:rPr>
              <w:t>lēmuma</w:t>
            </w:r>
            <w:r w:rsidR="00AD1553" w:rsidRPr="00AD1553">
              <w:rPr>
                <w:sz w:val="28"/>
                <w:szCs w:val="28"/>
              </w:rPr>
              <w:t>,</w:t>
            </w:r>
            <w:r w:rsidRPr="00AD1553">
              <w:rPr>
                <w:sz w:val="28"/>
                <w:szCs w:val="28"/>
              </w:rPr>
              <w:t xml:space="preserve"> kā arī Komisijas paziņojuma </w:t>
            </w:r>
            <w:r w:rsidRPr="00AD1553">
              <w:rPr>
                <w:bCs/>
                <w:sz w:val="28"/>
                <w:szCs w:val="28"/>
              </w:rPr>
              <w:t xml:space="preserve">par valsts atbalsta noteikumu piemērošanu sabiedriskajai apraidei </w:t>
            </w:r>
            <w:r w:rsidRPr="00AD1553">
              <w:rPr>
                <w:sz w:val="28"/>
                <w:szCs w:val="28"/>
              </w:rPr>
              <w:t xml:space="preserve">(2009/C 257/01) </w:t>
            </w:r>
            <w:r w:rsidR="00214DFE">
              <w:rPr>
                <w:sz w:val="28"/>
                <w:szCs w:val="28"/>
              </w:rPr>
              <w:t xml:space="preserve">izpratnē </w:t>
            </w:r>
            <w:r w:rsidRPr="00AD1553">
              <w:rPr>
                <w:sz w:val="28"/>
                <w:szCs w:val="28"/>
              </w:rPr>
              <w:t>Latvijas Radio kā sabiedriskais elektroniskais plašsaziņas līdzeklis, kas sniedz likumā noteiktu pakalpojumu ar vispārēju tautsaimniecisku nozīmi (nodrošina sabiedriskā pasūtījuma izpildi)</w:t>
            </w:r>
            <w:r w:rsidR="00214DFE">
              <w:rPr>
                <w:sz w:val="28"/>
                <w:szCs w:val="28"/>
              </w:rPr>
              <w:t>,</w:t>
            </w:r>
            <w:r w:rsidRPr="00AD1553">
              <w:rPr>
                <w:sz w:val="28"/>
                <w:szCs w:val="28"/>
              </w:rPr>
              <w:t xml:space="preserve"> ir uzskatāms par saimnieciskās </w:t>
            </w:r>
            <w:r w:rsidRPr="00AD1553">
              <w:rPr>
                <w:sz w:val="28"/>
                <w:szCs w:val="28"/>
              </w:rPr>
              <w:lastRenderedPageBreak/>
              <w:t>darbības veicēju nozarē, kurā pastāv konkurence Eiropas Savienības iekšējā tirgū, un uz to ir attiecināmas komercdarbības atbalsta kontroles normas gadījumos, kad valsts atsakās no tai izmaksājamās peļņas daļas. Tomēr nedz valsts budžeta dotācija Latvijas Radio sabiedriskā pasūtījuma nodrošināšanai (2019.g</w:t>
            </w:r>
            <w:r w:rsidR="006029E2" w:rsidRPr="00AD1553">
              <w:rPr>
                <w:sz w:val="28"/>
                <w:szCs w:val="28"/>
              </w:rPr>
              <w:t>adā</w:t>
            </w:r>
            <w:r w:rsidR="00214DFE">
              <w:rPr>
                <w:sz w:val="28"/>
                <w:szCs w:val="28"/>
              </w:rPr>
              <w:t xml:space="preserve"> </w:t>
            </w:r>
            <w:r w:rsidRPr="00AD1553">
              <w:rPr>
                <w:sz w:val="28"/>
                <w:szCs w:val="28"/>
              </w:rPr>
              <w:t xml:space="preserve">– </w:t>
            </w:r>
            <w:r w:rsidRPr="00AD1553">
              <w:rPr>
                <w:bCs/>
                <w:sz w:val="28"/>
                <w:szCs w:val="28"/>
              </w:rPr>
              <w:t>8</w:t>
            </w:r>
            <w:r w:rsidR="00662256" w:rsidRPr="00AD1553">
              <w:rPr>
                <w:bCs/>
                <w:sz w:val="28"/>
                <w:szCs w:val="28"/>
              </w:rPr>
              <w:t> </w:t>
            </w:r>
            <w:r w:rsidRPr="00AD1553">
              <w:rPr>
                <w:bCs/>
                <w:sz w:val="28"/>
                <w:szCs w:val="28"/>
              </w:rPr>
              <w:t>105</w:t>
            </w:r>
            <w:r w:rsidR="00662256" w:rsidRPr="00AD1553">
              <w:rPr>
                <w:bCs/>
                <w:sz w:val="28"/>
                <w:szCs w:val="28"/>
              </w:rPr>
              <w:t xml:space="preserve"> </w:t>
            </w:r>
            <w:r w:rsidRPr="00AD1553">
              <w:rPr>
                <w:bCs/>
                <w:sz w:val="28"/>
                <w:szCs w:val="28"/>
              </w:rPr>
              <w:t xml:space="preserve">290 </w:t>
            </w:r>
            <w:r w:rsidRPr="00AD1553">
              <w:rPr>
                <w:bCs/>
                <w:i/>
                <w:sz w:val="28"/>
                <w:szCs w:val="28"/>
              </w:rPr>
              <w:t>euro</w:t>
            </w:r>
            <w:r w:rsidRPr="00AD1553">
              <w:rPr>
                <w:bCs/>
                <w:sz w:val="28"/>
                <w:szCs w:val="28"/>
              </w:rPr>
              <w:t>)</w:t>
            </w:r>
            <w:r w:rsidRPr="00AD1553">
              <w:rPr>
                <w:sz w:val="28"/>
                <w:szCs w:val="28"/>
              </w:rPr>
              <w:t>, nedz dividendēs izmaksājamā peļņas daļa (</w:t>
            </w:r>
            <w:r w:rsidRPr="00AD1553">
              <w:rPr>
                <w:bCs/>
                <w:sz w:val="28"/>
                <w:szCs w:val="28"/>
              </w:rPr>
              <w:t>138</w:t>
            </w:r>
            <w:r w:rsidR="00214DFE">
              <w:rPr>
                <w:bCs/>
                <w:sz w:val="28"/>
                <w:szCs w:val="28"/>
              </w:rPr>
              <w:t> </w:t>
            </w:r>
            <w:r w:rsidRPr="00AD1553">
              <w:rPr>
                <w:bCs/>
                <w:sz w:val="28"/>
                <w:szCs w:val="28"/>
              </w:rPr>
              <w:t>234</w:t>
            </w:r>
            <w:r w:rsidRPr="00AD1553">
              <w:rPr>
                <w:sz w:val="28"/>
                <w:szCs w:val="28"/>
              </w:rPr>
              <w:t xml:space="preserve"> </w:t>
            </w:r>
            <w:r w:rsidRPr="00AD1553">
              <w:rPr>
                <w:i/>
                <w:sz w:val="28"/>
                <w:szCs w:val="28"/>
              </w:rPr>
              <w:t>euro)</w:t>
            </w:r>
            <w:r w:rsidRPr="00AD1553">
              <w:rPr>
                <w:sz w:val="28"/>
                <w:szCs w:val="28"/>
              </w:rPr>
              <w:t xml:space="preserve"> kopā nesasniedz Komisijas lēmumā noteikto 15</w:t>
            </w:r>
            <w:r w:rsidR="00AD1553" w:rsidRPr="00AD1553">
              <w:rPr>
                <w:sz w:val="28"/>
                <w:szCs w:val="28"/>
              </w:rPr>
              <w:t> </w:t>
            </w:r>
            <w:r w:rsidRPr="00AD1553">
              <w:rPr>
                <w:sz w:val="28"/>
                <w:szCs w:val="28"/>
              </w:rPr>
              <w:t>milj</w:t>
            </w:r>
            <w:r w:rsidR="00214DFE">
              <w:rPr>
                <w:sz w:val="28"/>
                <w:szCs w:val="28"/>
              </w:rPr>
              <w:t>.</w:t>
            </w:r>
            <w:r w:rsidRPr="00AD1553">
              <w:rPr>
                <w:sz w:val="28"/>
                <w:szCs w:val="28"/>
              </w:rPr>
              <w:t xml:space="preserve"> </w:t>
            </w:r>
            <w:r w:rsidR="00AD1553" w:rsidRPr="00AD1553">
              <w:rPr>
                <w:i/>
                <w:sz w:val="28"/>
                <w:szCs w:val="28"/>
              </w:rPr>
              <w:t>euro</w:t>
            </w:r>
            <w:r w:rsidR="00AD1553" w:rsidRPr="00AD1553">
              <w:rPr>
                <w:sz w:val="28"/>
                <w:szCs w:val="28"/>
              </w:rPr>
              <w:t xml:space="preserve"> </w:t>
            </w:r>
            <w:r w:rsidRPr="00AD1553">
              <w:rPr>
                <w:sz w:val="28"/>
                <w:szCs w:val="28"/>
              </w:rPr>
              <w:t xml:space="preserve">gadā kritēriju un līdz ar to minētais valsts atbalsts ir atbrīvojums no paziņošanas prasības. </w:t>
            </w:r>
          </w:p>
        </w:tc>
      </w:tr>
      <w:tr w:rsidR="004B6AE6" w:rsidRPr="00AD1553" w:rsidTr="00D922ED">
        <w:trPr>
          <w:trHeight w:val="455"/>
        </w:trPr>
        <w:tc>
          <w:tcPr>
            <w:tcW w:w="638" w:type="dxa"/>
          </w:tcPr>
          <w:p w:rsidR="004B6AE6" w:rsidRPr="00AD1553" w:rsidRDefault="004B6AE6" w:rsidP="00214DFE">
            <w:pPr>
              <w:jc w:val="center"/>
              <w:rPr>
                <w:sz w:val="28"/>
                <w:szCs w:val="28"/>
              </w:rPr>
            </w:pPr>
            <w:r w:rsidRPr="00AD1553">
              <w:rPr>
                <w:sz w:val="28"/>
                <w:szCs w:val="28"/>
              </w:rPr>
              <w:lastRenderedPageBreak/>
              <w:t>3.</w:t>
            </w:r>
          </w:p>
        </w:tc>
        <w:tc>
          <w:tcPr>
            <w:tcW w:w="3190" w:type="dxa"/>
          </w:tcPr>
          <w:p w:rsidR="004B6AE6" w:rsidRPr="00AD1553" w:rsidRDefault="004B6AE6" w:rsidP="009A7A14">
            <w:pPr>
              <w:rPr>
                <w:sz w:val="28"/>
                <w:szCs w:val="28"/>
              </w:rPr>
            </w:pPr>
            <w:r w:rsidRPr="00AD1553">
              <w:rPr>
                <w:sz w:val="28"/>
                <w:szCs w:val="28"/>
              </w:rPr>
              <w:t>Projekta izstrādē iesaistītās institūcijas</w:t>
            </w:r>
          </w:p>
        </w:tc>
        <w:tc>
          <w:tcPr>
            <w:tcW w:w="5386" w:type="dxa"/>
          </w:tcPr>
          <w:p w:rsidR="004B6AE6" w:rsidRPr="00AD1553" w:rsidRDefault="004B6AE6" w:rsidP="00214DFE">
            <w:pPr>
              <w:jc w:val="both"/>
              <w:rPr>
                <w:sz w:val="28"/>
                <w:szCs w:val="28"/>
              </w:rPr>
            </w:pPr>
            <w:r w:rsidRPr="00AD1553">
              <w:rPr>
                <w:sz w:val="28"/>
                <w:szCs w:val="28"/>
              </w:rPr>
              <w:t xml:space="preserve">Kultūras ministrija, </w:t>
            </w:r>
            <w:r w:rsidR="00214DFE">
              <w:rPr>
                <w:sz w:val="28"/>
                <w:szCs w:val="28"/>
              </w:rPr>
              <w:t>P</w:t>
            </w:r>
            <w:r w:rsidRPr="00AD1553">
              <w:rPr>
                <w:sz w:val="28"/>
                <w:szCs w:val="28"/>
              </w:rPr>
              <w:t>adome</w:t>
            </w:r>
            <w:r w:rsidR="00901B07" w:rsidRPr="00AD1553">
              <w:rPr>
                <w:sz w:val="28"/>
                <w:szCs w:val="28"/>
              </w:rPr>
              <w:t>.</w:t>
            </w:r>
          </w:p>
        </w:tc>
      </w:tr>
      <w:tr w:rsidR="004B6AE6" w:rsidRPr="00AD1553" w:rsidTr="00214DFE">
        <w:trPr>
          <w:trHeight w:val="436"/>
        </w:trPr>
        <w:tc>
          <w:tcPr>
            <w:tcW w:w="638" w:type="dxa"/>
          </w:tcPr>
          <w:p w:rsidR="004B6AE6" w:rsidRPr="00AD1553" w:rsidRDefault="004B6AE6" w:rsidP="00214DFE">
            <w:pPr>
              <w:jc w:val="center"/>
              <w:rPr>
                <w:sz w:val="28"/>
                <w:szCs w:val="28"/>
              </w:rPr>
            </w:pPr>
            <w:r w:rsidRPr="00AD1553">
              <w:rPr>
                <w:sz w:val="28"/>
                <w:szCs w:val="28"/>
              </w:rPr>
              <w:t>4.</w:t>
            </w:r>
          </w:p>
        </w:tc>
        <w:tc>
          <w:tcPr>
            <w:tcW w:w="3190" w:type="dxa"/>
          </w:tcPr>
          <w:p w:rsidR="004B6AE6" w:rsidRPr="00AD1553" w:rsidRDefault="004B6AE6" w:rsidP="009A7A14">
            <w:pPr>
              <w:rPr>
                <w:sz w:val="28"/>
                <w:szCs w:val="28"/>
              </w:rPr>
            </w:pPr>
            <w:r w:rsidRPr="00AD1553">
              <w:rPr>
                <w:sz w:val="28"/>
                <w:szCs w:val="28"/>
              </w:rPr>
              <w:t>Cita informācija</w:t>
            </w:r>
          </w:p>
        </w:tc>
        <w:tc>
          <w:tcPr>
            <w:tcW w:w="5386" w:type="dxa"/>
          </w:tcPr>
          <w:p w:rsidR="004B6AE6" w:rsidRPr="00AD1553" w:rsidRDefault="004B6AE6" w:rsidP="009A7A14">
            <w:pPr>
              <w:pStyle w:val="naiskr"/>
              <w:spacing w:before="0" w:after="0"/>
              <w:jc w:val="both"/>
              <w:rPr>
                <w:b/>
                <w:sz w:val="28"/>
                <w:szCs w:val="28"/>
              </w:rPr>
            </w:pPr>
            <w:r w:rsidRPr="00AD1553">
              <w:rPr>
                <w:sz w:val="28"/>
                <w:szCs w:val="28"/>
              </w:rPr>
              <w:t>Nav</w:t>
            </w:r>
          </w:p>
        </w:tc>
      </w:tr>
    </w:tbl>
    <w:p w:rsidR="004B6AE6" w:rsidRPr="00AD1553" w:rsidRDefault="004B6AE6" w:rsidP="009A7A14">
      <w:pPr>
        <w:rPr>
          <w:sz w:val="28"/>
          <w:szCs w:val="28"/>
        </w:rPr>
      </w:pPr>
    </w:p>
    <w:tbl>
      <w:tblPr>
        <w:tblW w:w="9214" w:type="dxa"/>
        <w:tblInd w:w="-1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tblPr>
      <w:tblGrid>
        <w:gridCol w:w="9214"/>
      </w:tblGrid>
      <w:tr w:rsidR="004B6AE6" w:rsidRPr="00AD1553" w:rsidTr="00D922ED">
        <w:tc>
          <w:tcPr>
            <w:tcW w:w="9214" w:type="dxa"/>
            <w:tcBorders>
              <w:top w:val="single" w:sz="4" w:space="0" w:color="auto"/>
              <w:left w:val="single" w:sz="4" w:space="0" w:color="auto"/>
              <w:bottom w:val="single" w:sz="4" w:space="0" w:color="auto"/>
              <w:right w:val="single" w:sz="4" w:space="0" w:color="auto"/>
            </w:tcBorders>
            <w:vAlign w:val="center"/>
          </w:tcPr>
          <w:p w:rsidR="004B6AE6" w:rsidRPr="00AD1553" w:rsidRDefault="004B6AE6" w:rsidP="00214DFE">
            <w:pPr>
              <w:ind w:left="57" w:right="57"/>
              <w:jc w:val="center"/>
              <w:rPr>
                <w:b/>
                <w:sz w:val="28"/>
                <w:szCs w:val="28"/>
              </w:rPr>
            </w:pPr>
            <w:r w:rsidRPr="00AD1553">
              <w:rPr>
                <w:b/>
                <w:sz w:val="28"/>
                <w:szCs w:val="28"/>
              </w:rPr>
              <w:t>II. Tiesību akta projekta ietekme uz sabiedrību tautsaimniecības attīstību un administratīvo slogu</w:t>
            </w:r>
          </w:p>
        </w:tc>
      </w:tr>
      <w:tr w:rsidR="00AD1553" w:rsidRPr="00AD1553" w:rsidTr="00214DFE">
        <w:trPr>
          <w:trHeight w:val="429"/>
        </w:trPr>
        <w:tc>
          <w:tcPr>
            <w:tcW w:w="9214" w:type="dxa"/>
            <w:tcBorders>
              <w:top w:val="single" w:sz="4" w:space="0" w:color="auto"/>
              <w:left w:val="single" w:sz="4" w:space="0" w:color="auto"/>
              <w:bottom w:val="single" w:sz="4" w:space="0" w:color="auto"/>
              <w:right w:val="single" w:sz="4" w:space="0" w:color="auto"/>
            </w:tcBorders>
            <w:vAlign w:val="center"/>
          </w:tcPr>
          <w:p w:rsidR="00AD1553" w:rsidRPr="00AD1553" w:rsidRDefault="00AD1553" w:rsidP="00214DFE">
            <w:pPr>
              <w:jc w:val="center"/>
              <w:rPr>
                <w:iCs/>
                <w:sz w:val="28"/>
                <w:szCs w:val="28"/>
              </w:rPr>
            </w:pPr>
            <w:r w:rsidRPr="00AD1553">
              <w:rPr>
                <w:sz w:val="28"/>
                <w:szCs w:val="28"/>
              </w:rPr>
              <w:t>Projekts šo jomu neskar.</w:t>
            </w:r>
          </w:p>
        </w:tc>
      </w:tr>
    </w:tbl>
    <w:p w:rsidR="004B6AE6" w:rsidRPr="00AD1553" w:rsidRDefault="004B6AE6" w:rsidP="009A7A14">
      <w:pPr>
        <w:rPr>
          <w:sz w:val="28"/>
          <w:szCs w:val="28"/>
        </w:rPr>
      </w:pPr>
    </w:p>
    <w:tbl>
      <w:tblPr>
        <w:tblW w:w="910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tblPr>
      <w:tblGrid>
        <w:gridCol w:w="30"/>
        <w:gridCol w:w="1560"/>
        <w:gridCol w:w="1134"/>
        <w:gridCol w:w="1134"/>
        <w:gridCol w:w="992"/>
        <w:gridCol w:w="1276"/>
        <w:gridCol w:w="850"/>
        <w:gridCol w:w="1134"/>
        <w:gridCol w:w="992"/>
      </w:tblGrid>
      <w:tr w:rsidR="004B6AE6" w:rsidRPr="00AD1553" w:rsidTr="007B43DC">
        <w:tc>
          <w:tcPr>
            <w:tcW w:w="9102" w:type="dxa"/>
            <w:gridSpan w:val="9"/>
            <w:tcBorders>
              <w:top w:val="outset" w:sz="6" w:space="0" w:color="414142"/>
              <w:bottom w:val="outset" w:sz="6" w:space="0" w:color="414142"/>
            </w:tcBorders>
            <w:shd w:val="clear" w:color="auto" w:fill="FFFFFF"/>
            <w:vAlign w:val="center"/>
          </w:tcPr>
          <w:p w:rsidR="004B6AE6" w:rsidRPr="00AD1553" w:rsidRDefault="004B6AE6" w:rsidP="009A7A14">
            <w:pPr>
              <w:jc w:val="center"/>
              <w:rPr>
                <w:b/>
                <w:bCs/>
                <w:sz w:val="28"/>
                <w:szCs w:val="28"/>
              </w:rPr>
            </w:pPr>
            <w:r w:rsidRPr="00AD1553">
              <w:rPr>
                <w:b/>
                <w:bCs/>
                <w:sz w:val="28"/>
                <w:szCs w:val="28"/>
              </w:rPr>
              <w:t>III. Tiesību akta projekta ietekme uz valsts budžetu un pašvaldību budžetiem</w:t>
            </w:r>
          </w:p>
        </w:tc>
      </w:tr>
      <w:tr w:rsidR="009A7A14" w:rsidRPr="00AD1553" w:rsidTr="007B43DC">
        <w:tc>
          <w:tcPr>
            <w:tcW w:w="1590" w:type="dxa"/>
            <w:gridSpan w:val="2"/>
            <w:vMerge w:val="restart"/>
            <w:tcBorders>
              <w:top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Rādītāji</w:t>
            </w:r>
          </w:p>
        </w:tc>
        <w:tc>
          <w:tcPr>
            <w:tcW w:w="226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2019</w:t>
            </w:r>
            <w:r w:rsidR="009A7A14" w:rsidRPr="00AD1553">
              <w:rPr>
                <w:sz w:val="28"/>
                <w:szCs w:val="28"/>
              </w:rPr>
              <w:t>.gads</w:t>
            </w:r>
          </w:p>
        </w:tc>
        <w:tc>
          <w:tcPr>
            <w:tcW w:w="5244" w:type="dxa"/>
            <w:gridSpan w:val="5"/>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Turpmākie trīs gadi (</w:t>
            </w:r>
            <w:r w:rsidRPr="00AD1553">
              <w:rPr>
                <w:i/>
                <w:iCs/>
                <w:sz w:val="28"/>
                <w:szCs w:val="28"/>
              </w:rPr>
              <w:t>euro</w:t>
            </w:r>
            <w:r w:rsidRPr="00AD1553">
              <w:rPr>
                <w:sz w:val="28"/>
                <w:szCs w:val="28"/>
              </w:rPr>
              <w:t>)</w:t>
            </w:r>
          </w:p>
        </w:tc>
      </w:tr>
      <w:tr w:rsidR="009A7A14" w:rsidRPr="00AD1553" w:rsidTr="007B43DC">
        <w:tc>
          <w:tcPr>
            <w:tcW w:w="1590" w:type="dxa"/>
            <w:gridSpan w:val="2"/>
            <w:vMerge/>
            <w:tcBorders>
              <w:top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226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226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2020</w:t>
            </w:r>
            <w:r w:rsidR="009A7A14" w:rsidRPr="00AD1553">
              <w:rPr>
                <w:sz w:val="28"/>
                <w:szCs w:val="28"/>
              </w:rPr>
              <w:t>.gads</w:t>
            </w:r>
          </w:p>
        </w:tc>
        <w:tc>
          <w:tcPr>
            <w:tcW w:w="198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2021</w:t>
            </w:r>
            <w:r w:rsidR="009A7A14" w:rsidRPr="00AD1553">
              <w:rPr>
                <w:sz w:val="28"/>
                <w:szCs w:val="28"/>
              </w:rPr>
              <w:t>.gads</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2022</w:t>
            </w:r>
            <w:r w:rsidR="009A7A14" w:rsidRPr="00AD1553">
              <w:rPr>
                <w:sz w:val="28"/>
                <w:szCs w:val="28"/>
              </w:rPr>
              <w:t>. gads</w:t>
            </w:r>
          </w:p>
        </w:tc>
      </w:tr>
      <w:tr w:rsidR="009A7A14" w:rsidRPr="00AD1553" w:rsidTr="007B43DC">
        <w:tc>
          <w:tcPr>
            <w:tcW w:w="1590" w:type="dxa"/>
            <w:gridSpan w:val="2"/>
            <w:vMerge/>
            <w:tcBorders>
              <w:top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izmaiņas kārtējā gadā, salīdzinot ar valsts budžetu kārtējam gadam</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saskaņā ar vidēja termiņa budžeta ietvaru</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xml:space="preserve">izmaiņas, salīdzinot ar vidēja termiņa budžeta ietvaru </w:t>
            </w:r>
            <w:r w:rsidR="009A7A14" w:rsidRPr="00AD1553">
              <w:rPr>
                <w:sz w:val="28"/>
                <w:szCs w:val="28"/>
              </w:rPr>
              <w:t xml:space="preserve">2021. </w:t>
            </w:r>
            <w:r w:rsidRPr="00AD1553">
              <w:rPr>
                <w:sz w:val="28"/>
                <w:szCs w:val="28"/>
              </w:rPr>
              <w:t>gadam</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xml:space="preserve">izmaiņas, salīdzinot ar vidēja termiņa budžeta ietvaru </w:t>
            </w:r>
            <w:r w:rsidR="009A7A14" w:rsidRPr="00AD1553">
              <w:rPr>
                <w:sz w:val="28"/>
                <w:szCs w:val="28"/>
              </w:rPr>
              <w:t>2022.</w:t>
            </w:r>
            <w:r w:rsidRPr="00AD1553">
              <w:rPr>
                <w:sz w:val="28"/>
                <w:szCs w:val="28"/>
              </w:rPr>
              <w:t xml:space="preserve"> gadam</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xml:space="preserve">izmaiņas, salīdzinot ar vidēja termiņa budžeta ietvaru </w:t>
            </w:r>
            <w:r w:rsidR="009A7A14" w:rsidRPr="00AD1553">
              <w:rPr>
                <w:sz w:val="28"/>
                <w:szCs w:val="28"/>
              </w:rPr>
              <w:t>2022.</w:t>
            </w:r>
            <w:r w:rsidRPr="00AD1553">
              <w:rPr>
                <w:sz w:val="28"/>
                <w:szCs w:val="28"/>
              </w:rPr>
              <w:t xml:space="preserve"> gadam</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1</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2</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3</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4</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5</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7</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8</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1. Budžeta ieņēmumi</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164F6D" w:rsidRDefault="004B6AE6" w:rsidP="00AD1553">
            <w:pPr>
              <w:jc w:val="center"/>
              <w:rPr>
                <w:sz w:val="20"/>
                <w:szCs w:val="20"/>
              </w:rPr>
            </w:pPr>
            <w:r w:rsidRPr="00164F6D">
              <w:rPr>
                <w:sz w:val="20"/>
                <w:szCs w:val="20"/>
              </w:rPr>
              <w:t>209 440 039</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AD1553" w:rsidP="00AD1553">
            <w:pPr>
              <w:jc w:val="center"/>
            </w:pPr>
            <w:r w:rsidRPr="00AD1553">
              <w:t>- </w:t>
            </w:r>
            <w:r w:rsidR="004B6AE6" w:rsidRPr="00AD1553">
              <w:t>138 234</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1.1. valsts pamatbudžet</w:t>
            </w:r>
            <w:r w:rsidRPr="00AD1553">
              <w:rPr>
                <w:sz w:val="28"/>
                <w:szCs w:val="28"/>
              </w:rPr>
              <w:lastRenderedPageBreak/>
              <w:t>s, tai skaitā ieņēmumi no maksas pakalpojumiem un citi pašu ieņēmumi</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164F6D" w:rsidRDefault="004B6AE6" w:rsidP="00AD1553">
            <w:pPr>
              <w:jc w:val="center"/>
              <w:rPr>
                <w:sz w:val="20"/>
                <w:szCs w:val="20"/>
              </w:rPr>
            </w:pPr>
            <w:r w:rsidRPr="00164F6D">
              <w:rPr>
                <w:sz w:val="20"/>
                <w:szCs w:val="20"/>
              </w:rPr>
              <w:lastRenderedPageBreak/>
              <w:t>209 440 039</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AD1553" w:rsidP="00AD1553">
            <w:pPr>
              <w:jc w:val="center"/>
            </w:pPr>
            <w:r w:rsidRPr="00AD1553">
              <w:t>- </w:t>
            </w:r>
            <w:r w:rsidR="004B6AE6" w:rsidRPr="00AD1553">
              <w:t>138 234</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lastRenderedPageBreak/>
              <w:t>1.2. valsts speciālais budžets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1.3. pašvaldību budžets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2. Budžeta izdevumi</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2.1. valsts pamatbudžets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2.2. valsts speciālais budžets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2.3. pašvaldību budžets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3. Finansiālā ietekme</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164F6D" w:rsidRDefault="004B6AE6" w:rsidP="009A7A14">
            <w:pPr>
              <w:rPr>
                <w:sz w:val="20"/>
                <w:szCs w:val="20"/>
              </w:rPr>
            </w:pPr>
            <w:r w:rsidRPr="00164F6D">
              <w:rPr>
                <w:sz w:val="20"/>
                <w:szCs w:val="20"/>
              </w:rPr>
              <w:t>209 440 039</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AD1553" w:rsidP="00AD1553">
            <w:pPr>
              <w:jc w:val="center"/>
            </w:pPr>
            <w:r w:rsidRPr="00AD1553">
              <w:t>- 138 234</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3.1. valsts pamatbudžets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164F6D" w:rsidRDefault="004B6AE6" w:rsidP="009A7A14">
            <w:pPr>
              <w:rPr>
                <w:sz w:val="20"/>
                <w:szCs w:val="20"/>
              </w:rPr>
            </w:pPr>
            <w:r w:rsidRPr="00164F6D">
              <w:rPr>
                <w:sz w:val="20"/>
                <w:szCs w:val="20"/>
              </w:rPr>
              <w:t>209 440 039</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AD1553" w:rsidP="00AD1553">
            <w:pPr>
              <w:jc w:val="center"/>
            </w:pPr>
            <w:r w:rsidRPr="00AD1553">
              <w:t>- </w:t>
            </w:r>
            <w:r w:rsidR="004B6AE6" w:rsidRPr="00AD1553">
              <w:t>138 234</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3.2. speciālais budžets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3.3. pašvaldību budžets</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4. Finanšu līdzekļi papildu izdevumu finansēšanai (kompensējo</w:t>
            </w:r>
            <w:r w:rsidRPr="00AD1553">
              <w:rPr>
                <w:sz w:val="28"/>
                <w:szCs w:val="28"/>
              </w:rPr>
              <w:lastRenderedPageBreak/>
              <w:t>šu izdevumu samazinājumu norāda ar "+" zīmi)</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lastRenderedPageBreak/>
              <w:t>X</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lastRenderedPageBreak/>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jc w:val="center"/>
              <w:rPr>
                <w:sz w:val="28"/>
                <w:szCs w:val="28"/>
              </w:rPr>
            </w:pPr>
            <w:r w:rsidRPr="00AD1553">
              <w:rPr>
                <w:sz w:val="28"/>
                <w:szCs w:val="28"/>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5.2. speciālais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9A7A14"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850"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c>
          <w:tcPr>
            <w:tcW w:w="992" w:type="dxa"/>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r w:rsidRPr="00AD1553">
              <w:rPr>
                <w:sz w:val="28"/>
                <w:szCs w:val="28"/>
              </w:rPr>
              <w:t> 0</w:t>
            </w:r>
          </w:p>
        </w:tc>
      </w:tr>
      <w:tr w:rsidR="004B6AE6"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6. Detalizēts ieņēmumu un izdevumu aprēķins (ja nepieciešams, detalizētu ieņēmumu un izdevumu aprēķinu var pievienot anotācijas pielikumā)</w:t>
            </w:r>
          </w:p>
        </w:tc>
        <w:tc>
          <w:tcPr>
            <w:tcW w:w="7512" w:type="dxa"/>
            <w:gridSpan w:val="7"/>
            <w:vMerge w:val="restart"/>
            <w:tcBorders>
              <w:top w:val="outset" w:sz="6" w:space="0" w:color="414142"/>
              <w:left w:val="outset" w:sz="6" w:space="0" w:color="414142"/>
              <w:bottom w:val="outset" w:sz="6" w:space="0" w:color="414142"/>
            </w:tcBorders>
            <w:shd w:val="clear" w:color="auto" w:fill="FFFFFF"/>
          </w:tcPr>
          <w:p w:rsidR="004B6AE6" w:rsidRDefault="004B6AE6" w:rsidP="00AD1553">
            <w:pPr>
              <w:jc w:val="both"/>
              <w:rPr>
                <w:sz w:val="28"/>
                <w:szCs w:val="28"/>
              </w:rPr>
            </w:pPr>
            <w:r w:rsidRPr="00AD1553">
              <w:rPr>
                <w:sz w:val="28"/>
                <w:szCs w:val="28"/>
              </w:rPr>
              <w:t xml:space="preserve">Peļņas daļu </w:t>
            </w:r>
            <w:r w:rsidR="00AD1553" w:rsidRPr="00AD1553">
              <w:rPr>
                <w:sz w:val="28"/>
                <w:szCs w:val="28"/>
              </w:rPr>
              <w:t> 138 </w:t>
            </w:r>
            <w:r w:rsidRPr="00AD1553">
              <w:rPr>
                <w:sz w:val="28"/>
                <w:szCs w:val="28"/>
              </w:rPr>
              <w:t xml:space="preserve">234 </w:t>
            </w:r>
            <w:r w:rsidRPr="00AD1553">
              <w:rPr>
                <w:i/>
                <w:sz w:val="28"/>
                <w:szCs w:val="28"/>
              </w:rPr>
              <w:t>euro</w:t>
            </w:r>
            <w:r w:rsidR="00164F6D">
              <w:rPr>
                <w:sz w:val="28"/>
                <w:szCs w:val="28"/>
              </w:rPr>
              <w:t xml:space="preserve"> apmērā plānots novirzīt kapitāl</w:t>
            </w:r>
            <w:r w:rsidRPr="00AD1553">
              <w:rPr>
                <w:sz w:val="28"/>
                <w:szCs w:val="28"/>
              </w:rPr>
              <w:t>ieguldījumiem Latvijas Radio tehniskajā nodrošinājumā un infrastruktūrā</w:t>
            </w:r>
            <w:r w:rsidR="00483A2A">
              <w:rPr>
                <w:sz w:val="28"/>
                <w:szCs w:val="28"/>
              </w:rPr>
              <w:t xml:space="preserve"> 2019.gadā</w:t>
            </w:r>
            <w:r w:rsidRPr="00AD1553">
              <w:rPr>
                <w:sz w:val="28"/>
                <w:szCs w:val="28"/>
              </w:rPr>
              <w:t>:</w:t>
            </w:r>
          </w:p>
          <w:p w:rsidR="00164F6D" w:rsidRPr="00AD1553" w:rsidRDefault="00164F6D" w:rsidP="00AD1553">
            <w:pPr>
              <w:jc w:val="both"/>
              <w:rPr>
                <w:sz w:val="28"/>
                <w:szCs w:val="28"/>
              </w:rPr>
            </w:pPr>
          </w:p>
          <w:tbl>
            <w:tblPr>
              <w:tblW w:w="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3"/>
              <w:gridCol w:w="1843"/>
            </w:tblGrid>
            <w:tr w:rsidR="00AD1553" w:rsidRPr="00AD1553" w:rsidTr="00D922ED">
              <w:trPr>
                <w:trHeight w:val="288"/>
              </w:trPr>
              <w:tc>
                <w:tcPr>
                  <w:tcW w:w="5493" w:type="dxa"/>
                  <w:hideMark/>
                </w:tcPr>
                <w:p w:rsidR="00AD1553" w:rsidRPr="00164F6D" w:rsidDel="00AD1553" w:rsidRDefault="00164F6D" w:rsidP="00164F6D">
                  <w:pPr>
                    <w:jc w:val="center"/>
                    <w:rPr>
                      <w:b/>
                      <w:sz w:val="28"/>
                      <w:szCs w:val="28"/>
                    </w:rPr>
                  </w:pPr>
                  <w:r w:rsidRPr="00164F6D">
                    <w:rPr>
                      <w:b/>
                      <w:sz w:val="28"/>
                      <w:szCs w:val="28"/>
                    </w:rPr>
                    <w:t>Izdevumu pozīcija</w:t>
                  </w:r>
                </w:p>
              </w:tc>
              <w:tc>
                <w:tcPr>
                  <w:tcW w:w="1843" w:type="dxa"/>
                  <w:hideMark/>
                </w:tcPr>
                <w:p w:rsidR="00AD1553" w:rsidRPr="00164F6D" w:rsidRDefault="00164F6D" w:rsidP="00164F6D">
                  <w:pPr>
                    <w:jc w:val="center"/>
                    <w:rPr>
                      <w:b/>
                      <w:i/>
                      <w:sz w:val="28"/>
                      <w:szCs w:val="28"/>
                    </w:rPr>
                  </w:pPr>
                  <w:r w:rsidRPr="00164F6D">
                    <w:rPr>
                      <w:b/>
                      <w:sz w:val="28"/>
                      <w:szCs w:val="28"/>
                    </w:rPr>
                    <w:t>Summa,</w:t>
                  </w:r>
                  <w:r>
                    <w:rPr>
                      <w:b/>
                      <w:i/>
                      <w:sz w:val="28"/>
                      <w:szCs w:val="28"/>
                    </w:rPr>
                    <w:t xml:space="preserve"> </w:t>
                  </w:r>
                  <w:r w:rsidR="00AD1553" w:rsidRPr="00164F6D">
                    <w:rPr>
                      <w:b/>
                      <w:i/>
                      <w:sz w:val="28"/>
                      <w:szCs w:val="28"/>
                    </w:rPr>
                    <w:t>euro</w:t>
                  </w:r>
                </w:p>
              </w:tc>
            </w:tr>
            <w:tr w:rsidR="004B6AE6" w:rsidRPr="00AD1553" w:rsidTr="00D922ED">
              <w:trPr>
                <w:trHeight w:val="288"/>
              </w:trPr>
              <w:tc>
                <w:tcPr>
                  <w:tcW w:w="5493" w:type="dxa"/>
                  <w:hideMark/>
                </w:tcPr>
                <w:p w:rsidR="004B6AE6" w:rsidRPr="00AD1553" w:rsidRDefault="00AD1553" w:rsidP="00164F6D">
                  <w:pPr>
                    <w:jc w:val="both"/>
                    <w:rPr>
                      <w:sz w:val="28"/>
                      <w:szCs w:val="28"/>
                    </w:rPr>
                  </w:pPr>
                  <w:r w:rsidRPr="00AD1553">
                    <w:rPr>
                      <w:sz w:val="28"/>
                      <w:szCs w:val="28"/>
                    </w:rPr>
                    <w:t>Latvijas Radio 2</w:t>
                  </w:r>
                  <w:r w:rsidR="006029E2" w:rsidRPr="00AD1553">
                    <w:rPr>
                      <w:sz w:val="28"/>
                      <w:szCs w:val="28"/>
                    </w:rPr>
                    <w:t xml:space="preserve"> </w:t>
                  </w:r>
                  <w:r w:rsidR="004B6AE6" w:rsidRPr="00AD1553">
                    <w:rPr>
                      <w:sz w:val="28"/>
                      <w:szCs w:val="28"/>
                    </w:rPr>
                    <w:t xml:space="preserve">ētera studijas mikseru konsoles iegāde </w:t>
                  </w:r>
                </w:p>
              </w:tc>
              <w:tc>
                <w:tcPr>
                  <w:tcW w:w="1843" w:type="dxa"/>
                  <w:vAlign w:val="center"/>
                  <w:hideMark/>
                </w:tcPr>
                <w:p w:rsidR="004B6AE6" w:rsidRPr="00AD1553" w:rsidRDefault="004B6AE6" w:rsidP="00164F6D">
                  <w:pPr>
                    <w:jc w:val="center"/>
                    <w:rPr>
                      <w:sz w:val="28"/>
                      <w:szCs w:val="28"/>
                    </w:rPr>
                  </w:pPr>
                  <w:r w:rsidRPr="00AD1553">
                    <w:rPr>
                      <w:sz w:val="28"/>
                      <w:szCs w:val="28"/>
                    </w:rPr>
                    <w:t>38</w:t>
                  </w:r>
                  <w:r w:rsidR="006029E2" w:rsidRPr="00AD1553">
                    <w:rPr>
                      <w:sz w:val="28"/>
                      <w:szCs w:val="28"/>
                    </w:rPr>
                    <w:t xml:space="preserve"> </w:t>
                  </w:r>
                  <w:r w:rsidRPr="00AD1553">
                    <w:rPr>
                      <w:sz w:val="28"/>
                      <w:szCs w:val="28"/>
                    </w:rPr>
                    <w:t>172,97</w:t>
                  </w:r>
                </w:p>
              </w:tc>
            </w:tr>
            <w:tr w:rsidR="004B6AE6" w:rsidRPr="00AD1553" w:rsidTr="00D922ED">
              <w:trPr>
                <w:trHeight w:val="576"/>
              </w:trPr>
              <w:tc>
                <w:tcPr>
                  <w:tcW w:w="5493" w:type="dxa"/>
                  <w:hideMark/>
                </w:tcPr>
                <w:p w:rsidR="004B6AE6" w:rsidRPr="00AD1553" w:rsidRDefault="00AD1553" w:rsidP="00164F6D">
                  <w:pPr>
                    <w:jc w:val="both"/>
                    <w:rPr>
                      <w:sz w:val="28"/>
                      <w:szCs w:val="28"/>
                    </w:rPr>
                  </w:pPr>
                  <w:r w:rsidRPr="00AD1553">
                    <w:rPr>
                      <w:sz w:val="28"/>
                      <w:szCs w:val="28"/>
                    </w:rPr>
                    <w:t>Latvijas Radio</w:t>
                  </w:r>
                  <w:r w:rsidR="004B6AE6" w:rsidRPr="00AD1553">
                    <w:rPr>
                      <w:sz w:val="28"/>
                      <w:szCs w:val="28"/>
                    </w:rPr>
                    <w:t xml:space="preserve"> 2</w:t>
                  </w:r>
                  <w:r w:rsidR="006029E2" w:rsidRPr="00AD1553">
                    <w:rPr>
                      <w:sz w:val="28"/>
                      <w:szCs w:val="28"/>
                    </w:rPr>
                    <w:t xml:space="preserve"> </w:t>
                  </w:r>
                  <w:r w:rsidR="004B6AE6" w:rsidRPr="00AD1553">
                    <w:rPr>
                      <w:sz w:val="28"/>
                      <w:szCs w:val="28"/>
                    </w:rPr>
                    <w:t xml:space="preserve">ētera studijas mikseru konsoles nomaiņai nepieciešamā papildus aparatūra </w:t>
                  </w:r>
                  <w:r w:rsidR="00D922ED">
                    <w:rPr>
                      <w:sz w:val="28"/>
                      <w:szCs w:val="28"/>
                    </w:rPr>
                    <w:t>–</w:t>
                  </w:r>
                  <w:r w:rsidR="00D922ED" w:rsidRPr="00AD1553">
                    <w:rPr>
                      <w:sz w:val="28"/>
                      <w:szCs w:val="28"/>
                    </w:rPr>
                    <w:t xml:space="preserve"> </w:t>
                  </w:r>
                  <w:r w:rsidR="004B6AE6" w:rsidRPr="00AD1553">
                    <w:rPr>
                      <w:sz w:val="28"/>
                      <w:szCs w:val="28"/>
                    </w:rPr>
                    <w:t xml:space="preserve">pamatlīdzekļi </w:t>
                  </w:r>
                </w:p>
              </w:tc>
              <w:tc>
                <w:tcPr>
                  <w:tcW w:w="1843" w:type="dxa"/>
                  <w:vAlign w:val="center"/>
                  <w:hideMark/>
                </w:tcPr>
                <w:p w:rsidR="004B6AE6" w:rsidRPr="00AD1553" w:rsidRDefault="004B6AE6" w:rsidP="00164F6D">
                  <w:pPr>
                    <w:jc w:val="center"/>
                    <w:rPr>
                      <w:sz w:val="28"/>
                      <w:szCs w:val="28"/>
                    </w:rPr>
                  </w:pPr>
                  <w:r w:rsidRPr="00AD1553">
                    <w:rPr>
                      <w:sz w:val="28"/>
                      <w:szCs w:val="28"/>
                    </w:rPr>
                    <w:t>7</w:t>
                  </w:r>
                  <w:r w:rsidR="006029E2" w:rsidRPr="00AD1553">
                    <w:rPr>
                      <w:sz w:val="28"/>
                      <w:szCs w:val="28"/>
                    </w:rPr>
                    <w:t xml:space="preserve"> </w:t>
                  </w:r>
                  <w:r w:rsidRPr="00AD1553">
                    <w:rPr>
                      <w:sz w:val="28"/>
                      <w:szCs w:val="28"/>
                    </w:rPr>
                    <w:t>550,00</w:t>
                  </w:r>
                </w:p>
              </w:tc>
            </w:tr>
            <w:tr w:rsidR="004B6AE6" w:rsidRPr="00AD1553" w:rsidTr="00D922ED">
              <w:trPr>
                <w:trHeight w:val="576"/>
              </w:trPr>
              <w:tc>
                <w:tcPr>
                  <w:tcW w:w="5493" w:type="dxa"/>
                  <w:hideMark/>
                </w:tcPr>
                <w:p w:rsidR="004B6AE6" w:rsidRPr="00AD1553" w:rsidRDefault="006029E2" w:rsidP="00D922ED">
                  <w:pPr>
                    <w:jc w:val="both"/>
                    <w:rPr>
                      <w:sz w:val="28"/>
                      <w:szCs w:val="28"/>
                    </w:rPr>
                  </w:pPr>
                  <w:r w:rsidRPr="00AD1553">
                    <w:rPr>
                      <w:sz w:val="28"/>
                      <w:szCs w:val="28"/>
                    </w:rPr>
                    <w:t>A</w:t>
                  </w:r>
                  <w:r w:rsidR="004B6AE6" w:rsidRPr="00AD1553">
                    <w:rPr>
                      <w:sz w:val="28"/>
                      <w:szCs w:val="28"/>
                    </w:rPr>
                    <w:t xml:space="preserve">udio signālu apstrādes konvertoru komplekta iegāde </w:t>
                  </w:r>
                  <w:r w:rsidR="00AD1553" w:rsidRPr="00AD1553">
                    <w:rPr>
                      <w:sz w:val="28"/>
                      <w:szCs w:val="28"/>
                    </w:rPr>
                    <w:t>Latvijas Radio</w:t>
                  </w:r>
                  <w:r w:rsidR="004B6AE6" w:rsidRPr="00AD1553">
                    <w:rPr>
                      <w:sz w:val="28"/>
                      <w:szCs w:val="28"/>
                    </w:rPr>
                    <w:t xml:space="preserve"> 1</w:t>
                  </w:r>
                  <w:r w:rsidRPr="00AD1553">
                    <w:rPr>
                      <w:sz w:val="28"/>
                      <w:szCs w:val="28"/>
                    </w:rPr>
                    <w:t xml:space="preserve"> </w:t>
                  </w:r>
                  <w:r w:rsidR="004B6AE6" w:rsidRPr="00AD1553">
                    <w:rPr>
                      <w:sz w:val="28"/>
                      <w:szCs w:val="28"/>
                    </w:rPr>
                    <w:t xml:space="preserve">studijai </w:t>
                  </w:r>
                </w:p>
              </w:tc>
              <w:tc>
                <w:tcPr>
                  <w:tcW w:w="1843" w:type="dxa"/>
                  <w:vAlign w:val="center"/>
                  <w:hideMark/>
                </w:tcPr>
                <w:p w:rsidR="004B6AE6" w:rsidRPr="00AD1553" w:rsidRDefault="004B6AE6" w:rsidP="00164F6D">
                  <w:pPr>
                    <w:jc w:val="center"/>
                    <w:rPr>
                      <w:sz w:val="28"/>
                      <w:szCs w:val="28"/>
                    </w:rPr>
                  </w:pPr>
                  <w:r w:rsidRPr="00AD1553">
                    <w:rPr>
                      <w:sz w:val="28"/>
                      <w:szCs w:val="28"/>
                    </w:rPr>
                    <w:t>23</w:t>
                  </w:r>
                  <w:r w:rsidR="006029E2" w:rsidRPr="00AD1553">
                    <w:rPr>
                      <w:sz w:val="28"/>
                      <w:szCs w:val="28"/>
                    </w:rPr>
                    <w:t xml:space="preserve"> </w:t>
                  </w:r>
                  <w:r w:rsidRPr="00AD1553">
                    <w:rPr>
                      <w:sz w:val="28"/>
                      <w:szCs w:val="28"/>
                    </w:rPr>
                    <w:t>939,85</w:t>
                  </w:r>
                </w:p>
              </w:tc>
            </w:tr>
            <w:tr w:rsidR="004B6AE6" w:rsidRPr="00AD1553" w:rsidTr="00D922ED">
              <w:trPr>
                <w:trHeight w:val="576"/>
              </w:trPr>
              <w:tc>
                <w:tcPr>
                  <w:tcW w:w="5493" w:type="dxa"/>
                  <w:hideMark/>
                </w:tcPr>
                <w:p w:rsidR="004B6AE6" w:rsidRPr="00AD1553" w:rsidRDefault="00AD1553" w:rsidP="00D922ED">
                  <w:pPr>
                    <w:jc w:val="both"/>
                    <w:rPr>
                      <w:sz w:val="28"/>
                      <w:szCs w:val="28"/>
                    </w:rPr>
                  </w:pPr>
                  <w:r w:rsidRPr="00AD1553">
                    <w:rPr>
                      <w:sz w:val="28"/>
                      <w:szCs w:val="28"/>
                    </w:rPr>
                    <w:t>Latvijas Radio</w:t>
                  </w:r>
                  <w:r w:rsidR="004B6AE6" w:rsidRPr="00AD1553">
                    <w:rPr>
                      <w:sz w:val="28"/>
                      <w:szCs w:val="28"/>
                    </w:rPr>
                    <w:t xml:space="preserve"> 5</w:t>
                  </w:r>
                  <w:r w:rsidR="006029E2" w:rsidRPr="00AD1553">
                    <w:rPr>
                      <w:sz w:val="28"/>
                      <w:szCs w:val="28"/>
                    </w:rPr>
                    <w:t xml:space="preserve"> </w:t>
                  </w:r>
                  <w:r w:rsidR="004B6AE6" w:rsidRPr="00AD1553">
                    <w:rPr>
                      <w:sz w:val="28"/>
                      <w:szCs w:val="28"/>
                    </w:rPr>
                    <w:t xml:space="preserve">ētera studijas funkcionalitātes maiņai nepieciešamie pamatlīdzekļi </w:t>
                  </w:r>
                </w:p>
              </w:tc>
              <w:tc>
                <w:tcPr>
                  <w:tcW w:w="1843" w:type="dxa"/>
                  <w:vAlign w:val="center"/>
                  <w:hideMark/>
                </w:tcPr>
                <w:p w:rsidR="004B6AE6" w:rsidRPr="00AD1553" w:rsidRDefault="004B6AE6" w:rsidP="00164F6D">
                  <w:pPr>
                    <w:jc w:val="center"/>
                    <w:rPr>
                      <w:sz w:val="28"/>
                      <w:szCs w:val="28"/>
                    </w:rPr>
                  </w:pPr>
                  <w:r w:rsidRPr="00AD1553">
                    <w:rPr>
                      <w:sz w:val="28"/>
                      <w:szCs w:val="28"/>
                    </w:rPr>
                    <w:t>15</w:t>
                  </w:r>
                  <w:r w:rsidR="006029E2" w:rsidRPr="00AD1553">
                    <w:rPr>
                      <w:sz w:val="28"/>
                      <w:szCs w:val="28"/>
                    </w:rPr>
                    <w:t xml:space="preserve"> </w:t>
                  </w:r>
                  <w:r w:rsidRPr="00AD1553">
                    <w:rPr>
                      <w:sz w:val="28"/>
                      <w:szCs w:val="28"/>
                    </w:rPr>
                    <w:t>000,00</w:t>
                  </w:r>
                </w:p>
              </w:tc>
            </w:tr>
            <w:tr w:rsidR="004B6AE6" w:rsidRPr="00AD1553" w:rsidTr="00D922ED">
              <w:trPr>
                <w:trHeight w:val="576"/>
              </w:trPr>
              <w:tc>
                <w:tcPr>
                  <w:tcW w:w="5493" w:type="dxa"/>
                  <w:hideMark/>
                </w:tcPr>
                <w:p w:rsidR="004B6AE6" w:rsidRPr="00AD1553" w:rsidRDefault="00AD1553" w:rsidP="00AD1553">
                  <w:pPr>
                    <w:jc w:val="both"/>
                    <w:rPr>
                      <w:sz w:val="28"/>
                      <w:szCs w:val="28"/>
                    </w:rPr>
                  </w:pPr>
                  <w:r w:rsidRPr="00AD1553">
                    <w:rPr>
                      <w:sz w:val="28"/>
                      <w:szCs w:val="28"/>
                    </w:rPr>
                    <w:t xml:space="preserve">Latvijas Radio </w:t>
                  </w:r>
                  <w:r w:rsidR="004B6AE6" w:rsidRPr="00AD1553">
                    <w:rPr>
                      <w:sz w:val="28"/>
                      <w:szCs w:val="28"/>
                    </w:rPr>
                    <w:t xml:space="preserve">ēkas Doma laukuma fasādes logu restaurācijas projekta izstrāde </w:t>
                  </w:r>
                </w:p>
              </w:tc>
              <w:tc>
                <w:tcPr>
                  <w:tcW w:w="1843" w:type="dxa"/>
                  <w:vAlign w:val="center"/>
                  <w:hideMark/>
                </w:tcPr>
                <w:p w:rsidR="004B6AE6" w:rsidRPr="00AD1553" w:rsidRDefault="004B6AE6" w:rsidP="00164F6D">
                  <w:pPr>
                    <w:jc w:val="center"/>
                    <w:rPr>
                      <w:sz w:val="28"/>
                      <w:szCs w:val="28"/>
                    </w:rPr>
                  </w:pPr>
                  <w:r w:rsidRPr="00AD1553">
                    <w:rPr>
                      <w:sz w:val="28"/>
                      <w:szCs w:val="28"/>
                    </w:rPr>
                    <w:t>12</w:t>
                  </w:r>
                  <w:r w:rsidR="006029E2" w:rsidRPr="00AD1553">
                    <w:rPr>
                      <w:sz w:val="28"/>
                      <w:szCs w:val="28"/>
                    </w:rPr>
                    <w:t xml:space="preserve"> </w:t>
                  </w:r>
                  <w:r w:rsidRPr="00AD1553">
                    <w:rPr>
                      <w:sz w:val="28"/>
                      <w:szCs w:val="28"/>
                    </w:rPr>
                    <w:t>000,00</w:t>
                  </w:r>
                </w:p>
              </w:tc>
            </w:tr>
            <w:tr w:rsidR="004B6AE6" w:rsidRPr="00AD1553" w:rsidTr="00D922ED">
              <w:trPr>
                <w:trHeight w:val="576"/>
              </w:trPr>
              <w:tc>
                <w:tcPr>
                  <w:tcW w:w="5493" w:type="dxa"/>
                  <w:hideMark/>
                </w:tcPr>
                <w:p w:rsidR="004B6AE6" w:rsidRPr="00AD1553" w:rsidRDefault="00AD1553" w:rsidP="00AD1553">
                  <w:pPr>
                    <w:jc w:val="both"/>
                    <w:rPr>
                      <w:sz w:val="28"/>
                      <w:szCs w:val="28"/>
                    </w:rPr>
                  </w:pPr>
                  <w:r w:rsidRPr="00AD1553">
                    <w:rPr>
                      <w:sz w:val="28"/>
                      <w:szCs w:val="28"/>
                    </w:rPr>
                    <w:t>Latvijas Radio</w:t>
                  </w:r>
                  <w:r w:rsidR="004B6AE6" w:rsidRPr="00AD1553">
                    <w:rPr>
                      <w:sz w:val="28"/>
                      <w:szCs w:val="28"/>
                    </w:rPr>
                    <w:t xml:space="preserve"> ēkas iekštelpu renovācijas un atjaunošanas pakalpojumi 2019.g</w:t>
                  </w:r>
                  <w:r w:rsidR="006029E2" w:rsidRPr="00AD1553">
                    <w:rPr>
                      <w:sz w:val="28"/>
                      <w:szCs w:val="28"/>
                    </w:rPr>
                    <w:t>ada</w:t>
                  </w:r>
                  <w:r w:rsidR="004B6AE6" w:rsidRPr="00AD1553">
                    <w:rPr>
                      <w:sz w:val="28"/>
                      <w:szCs w:val="28"/>
                    </w:rPr>
                    <w:t xml:space="preserve"> II</w:t>
                  </w:r>
                  <w:r w:rsidR="00D922ED">
                    <w:rPr>
                      <w:sz w:val="28"/>
                      <w:szCs w:val="28"/>
                    </w:rPr>
                    <w:t> </w:t>
                  </w:r>
                  <w:r w:rsidR="004B6AE6" w:rsidRPr="00AD1553">
                    <w:rPr>
                      <w:sz w:val="28"/>
                      <w:szCs w:val="28"/>
                    </w:rPr>
                    <w:t xml:space="preserve">pusgadā </w:t>
                  </w:r>
                </w:p>
              </w:tc>
              <w:tc>
                <w:tcPr>
                  <w:tcW w:w="1843" w:type="dxa"/>
                  <w:vAlign w:val="center"/>
                  <w:hideMark/>
                </w:tcPr>
                <w:p w:rsidR="004B6AE6" w:rsidRPr="00AD1553" w:rsidRDefault="004B6AE6" w:rsidP="00164F6D">
                  <w:pPr>
                    <w:jc w:val="center"/>
                    <w:rPr>
                      <w:sz w:val="28"/>
                      <w:szCs w:val="28"/>
                    </w:rPr>
                  </w:pPr>
                  <w:r w:rsidRPr="00AD1553">
                    <w:rPr>
                      <w:sz w:val="28"/>
                      <w:szCs w:val="28"/>
                    </w:rPr>
                    <w:t>41</w:t>
                  </w:r>
                  <w:r w:rsidR="006029E2" w:rsidRPr="00AD1553">
                    <w:rPr>
                      <w:sz w:val="28"/>
                      <w:szCs w:val="28"/>
                    </w:rPr>
                    <w:t xml:space="preserve"> </w:t>
                  </w:r>
                  <w:r w:rsidRPr="00AD1553">
                    <w:rPr>
                      <w:sz w:val="28"/>
                      <w:szCs w:val="28"/>
                    </w:rPr>
                    <w:t>571,18</w:t>
                  </w:r>
                </w:p>
              </w:tc>
            </w:tr>
            <w:tr w:rsidR="004B6AE6" w:rsidRPr="00AD1553" w:rsidTr="00D922ED">
              <w:trPr>
                <w:trHeight w:val="288"/>
              </w:trPr>
              <w:tc>
                <w:tcPr>
                  <w:tcW w:w="5493" w:type="dxa"/>
                  <w:hideMark/>
                </w:tcPr>
                <w:p w:rsidR="004B6AE6" w:rsidRPr="00AD1553" w:rsidRDefault="004B6AE6" w:rsidP="00AD1553">
                  <w:pPr>
                    <w:jc w:val="right"/>
                    <w:rPr>
                      <w:b/>
                      <w:sz w:val="28"/>
                      <w:szCs w:val="28"/>
                    </w:rPr>
                  </w:pPr>
                  <w:r w:rsidRPr="00AD1553">
                    <w:rPr>
                      <w:b/>
                      <w:sz w:val="28"/>
                      <w:szCs w:val="28"/>
                    </w:rPr>
                    <w:t> Kopā</w:t>
                  </w:r>
                  <w:r w:rsidR="00AD1553" w:rsidRPr="00AD1553">
                    <w:rPr>
                      <w:b/>
                      <w:sz w:val="28"/>
                      <w:szCs w:val="28"/>
                    </w:rPr>
                    <w:t>:</w:t>
                  </w:r>
                </w:p>
              </w:tc>
              <w:tc>
                <w:tcPr>
                  <w:tcW w:w="1843" w:type="dxa"/>
                  <w:hideMark/>
                </w:tcPr>
                <w:p w:rsidR="004B6AE6" w:rsidRPr="00AD1553" w:rsidRDefault="004B6AE6" w:rsidP="00AD1553">
                  <w:pPr>
                    <w:jc w:val="both"/>
                    <w:rPr>
                      <w:b/>
                      <w:sz w:val="28"/>
                      <w:szCs w:val="28"/>
                    </w:rPr>
                  </w:pPr>
                  <w:r w:rsidRPr="00AD1553">
                    <w:rPr>
                      <w:b/>
                      <w:bCs/>
                      <w:sz w:val="28"/>
                      <w:szCs w:val="28"/>
                    </w:rPr>
                    <w:t>138</w:t>
                  </w:r>
                  <w:r w:rsidR="006029E2" w:rsidRPr="00AD1553">
                    <w:rPr>
                      <w:b/>
                      <w:bCs/>
                      <w:sz w:val="28"/>
                      <w:szCs w:val="28"/>
                    </w:rPr>
                    <w:t xml:space="preserve"> </w:t>
                  </w:r>
                  <w:r w:rsidRPr="00AD1553">
                    <w:rPr>
                      <w:b/>
                      <w:bCs/>
                      <w:sz w:val="28"/>
                      <w:szCs w:val="28"/>
                    </w:rPr>
                    <w:t>234,00</w:t>
                  </w:r>
                </w:p>
              </w:tc>
            </w:tr>
          </w:tbl>
          <w:p w:rsidR="004B6AE6" w:rsidRPr="00AD1553" w:rsidRDefault="004B6AE6" w:rsidP="00AD1553">
            <w:pPr>
              <w:jc w:val="both"/>
              <w:rPr>
                <w:sz w:val="28"/>
                <w:szCs w:val="28"/>
              </w:rPr>
            </w:pPr>
          </w:p>
        </w:tc>
      </w:tr>
      <w:tr w:rsidR="004B6AE6"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6.1. detalizēts ieņēmumu aprēķins</w:t>
            </w:r>
          </w:p>
        </w:tc>
        <w:tc>
          <w:tcPr>
            <w:tcW w:w="7512" w:type="dxa"/>
            <w:gridSpan w:val="7"/>
            <w:vMerge/>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p>
        </w:tc>
      </w:tr>
      <w:tr w:rsidR="004B6AE6" w:rsidRPr="00AD1553" w:rsidTr="007B43DC">
        <w:trPr>
          <w:trHeight w:val="488"/>
        </w:trPr>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6.2. detalizēts izdevumu aprēķins</w:t>
            </w:r>
          </w:p>
        </w:tc>
        <w:tc>
          <w:tcPr>
            <w:tcW w:w="7512" w:type="dxa"/>
            <w:gridSpan w:val="7"/>
            <w:vMerge/>
            <w:tcBorders>
              <w:top w:val="outset" w:sz="6" w:space="0" w:color="414142"/>
              <w:left w:val="outset" w:sz="6" w:space="0" w:color="414142"/>
              <w:bottom w:val="outset" w:sz="6" w:space="0" w:color="414142"/>
            </w:tcBorders>
            <w:shd w:val="clear" w:color="auto" w:fill="FFFFFF"/>
            <w:vAlign w:val="center"/>
          </w:tcPr>
          <w:p w:rsidR="004B6AE6" w:rsidRPr="00AD1553" w:rsidRDefault="004B6AE6" w:rsidP="009A7A14">
            <w:pPr>
              <w:rPr>
                <w:sz w:val="28"/>
                <w:szCs w:val="28"/>
              </w:rPr>
            </w:pPr>
          </w:p>
        </w:tc>
      </w:tr>
      <w:tr w:rsidR="004B6AE6"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7. Amata vietu skaita izmaiņas</w:t>
            </w:r>
          </w:p>
        </w:tc>
        <w:tc>
          <w:tcPr>
            <w:tcW w:w="7512" w:type="dxa"/>
            <w:gridSpan w:val="7"/>
            <w:tcBorders>
              <w:top w:val="outset" w:sz="6" w:space="0" w:color="414142"/>
              <w:left w:val="outset" w:sz="6" w:space="0" w:color="414142"/>
              <w:bottom w:val="outset" w:sz="6" w:space="0" w:color="414142"/>
            </w:tcBorders>
            <w:shd w:val="clear" w:color="auto" w:fill="FFFFFF"/>
          </w:tcPr>
          <w:p w:rsidR="004B6AE6" w:rsidRPr="00AD1553" w:rsidRDefault="00AD1553" w:rsidP="009A7A14">
            <w:pPr>
              <w:rPr>
                <w:sz w:val="28"/>
                <w:szCs w:val="28"/>
              </w:rPr>
            </w:pPr>
            <w:r w:rsidRPr="00AD1553">
              <w:rPr>
                <w:iCs/>
                <w:sz w:val="28"/>
                <w:szCs w:val="28"/>
              </w:rPr>
              <w:t>Projekts šo jomu neskar.</w:t>
            </w:r>
          </w:p>
        </w:tc>
      </w:tr>
      <w:tr w:rsidR="004B6AE6" w:rsidRPr="00AD1553" w:rsidTr="007B43DC">
        <w:tc>
          <w:tcPr>
            <w:tcW w:w="1590" w:type="dxa"/>
            <w:gridSpan w:val="2"/>
            <w:tcBorders>
              <w:top w:val="outset" w:sz="6" w:space="0" w:color="414142"/>
              <w:bottom w:val="outset" w:sz="6" w:space="0" w:color="414142"/>
              <w:right w:val="outset" w:sz="6" w:space="0" w:color="414142"/>
            </w:tcBorders>
            <w:shd w:val="clear" w:color="auto" w:fill="FFFFFF"/>
          </w:tcPr>
          <w:p w:rsidR="004B6AE6" w:rsidRPr="00AD1553" w:rsidRDefault="004B6AE6" w:rsidP="009A7A14">
            <w:pPr>
              <w:rPr>
                <w:sz w:val="28"/>
                <w:szCs w:val="28"/>
              </w:rPr>
            </w:pPr>
            <w:r w:rsidRPr="00AD1553">
              <w:rPr>
                <w:sz w:val="28"/>
                <w:szCs w:val="28"/>
              </w:rPr>
              <w:t>8. Cita informācija</w:t>
            </w:r>
          </w:p>
        </w:tc>
        <w:tc>
          <w:tcPr>
            <w:tcW w:w="7512" w:type="dxa"/>
            <w:gridSpan w:val="7"/>
            <w:tcBorders>
              <w:top w:val="outset" w:sz="6" w:space="0" w:color="414142"/>
              <w:left w:val="outset" w:sz="6" w:space="0" w:color="414142"/>
              <w:bottom w:val="outset" w:sz="6" w:space="0" w:color="414142"/>
            </w:tcBorders>
            <w:shd w:val="clear" w:color="auto" w:fill="FFFFFF"/>
          </w:tcPr>
          <w:p w:rsidR="004B6AE6" w:rsidRPr="00AD1553" w:rsidRDefault="004B6AE6" w:rsidP="009A7A14">
            <w:pPr>
              <w:rPr>
                <w:sz w:val="28"/>
                <w:szCs w:val="28"/>
              </w:rPr>
            </w:pPr>
            <w:r w:rsidRPr="00AD1553">
              <w:rPr>
                <w:sz w:val="28"/>
                <w:szCs w:val="28"/>
              </w:rPr>
              <w:t>Nav</w:t>
            </w:r>
          </w:p>
        </w:tc>
      </w:tr>
      <w:tr w:rsidR="004B6AE6" w:rsidRPr="00AD1553" w:rsidTr="007B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0" w:type="dxa"/>
          <w:trHeight w:val="273"/>
        </w:trPr>
        <w:tc>
          <w:tcPr>
            <w:tcW w:w="9072" w:type="dxa"/>
            <w:gridSpan w:val="8"/>
          </w:tcPr>
          <w:p w:rsidR="004B6AE6" w:rsidRPr="00AD1553" w:rsidRDefault="004B6AE6" w:rsidP="009A7A14">
            <w:pPr>
              <w:jc w:val="center"/>
              <w:rPr>
                <w:b/>
                <w:sz w:val="28"/>
                <w:szCs w:val="28"/>
              </w:rPr>
            </w:pPr>
            <w:r w:rsidRPr="00AD1553">
              <w:rPr>
                <w:b/>
                <w:sz w:val="28"/>
                <w:szCs w:val="28"/>
              </w:rPr>
              <w:lastRenderedPageBreak/>
              <w:t>IV. Tiesību akta projekta ietekme uz spēkā esošo tiesību normu sistēmu</w:t>
            </w:r>
          </w:p>
        </w:tc>
      </w:tr>
      <w:tr w:rsidR="004B6AE6" w:rsidRPr="00AD1553" w:rsidTr="007B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30" w:type="dxa"/>
          <w:trHeight w:val="502"/>
        </w:trPr>
        <w:tc>
          <w:tcPr>
            <w:tcW w:w="9072" w:type="dxa"/>
            <w:gridSpan w:val="8"/>
            <w:vAlign w:val="center"/>
          </w:tcPr>
          <w:p w:rsidR="004B6AE6" w:rsidRPr="00AD1553" w:rsidRDefault="004B6AE6" w:rsidP="00164F6D">
            <w:pPr>
              <w:jc w:val="center"/>
              <w:rPr>
                <w:sz w:val="28"/>
                <w:szCs w:val="28"/>
              </w:rPr>
            </w:pPr>
            <w:r w:rsidRPr="00AD1553">
              <w:rPr>
                <w:sz w:val="28"/>
                <w:szCs w:val="28"/>
              </w:rPr>
              <w:t>Projekts šo jomu neskar</w:t>
            </w:r>
            <w:r w:rsidR="00CE51AB">
              <w:rPr>
                <w:sz w:val="28"/>
                <w:szCs w:val="28"/>
              </w:rPr>
              <w:t>.</w:t>
            </w:r>
          </w:p>
        </w:tc>
      </w:tr>
    </w:tbl>
    <w:p w:rsidR="004B6AE6" w:rsidRPr="00AD1553" w:rsidRDefault="004B6AE6" w:rsidP="009A7A14">
      <w:pP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B6AE6" w:rsidRPr="00AD1553" w:rsidTr="00D922ED">
        <w:trPr>
          <w:trHeight w:val="273"/>
        </w:trPr>
        <w:tc>
          <w:tcPr>
            <w:tcW w:w="9072" w:type="dxa"/>
          </w:tcPr>
          <w:p w:rsidR="004B6AE6" w:rsidRPr="00AD1553" w:rsidRDefault="004B6AE6" w:rsidP="009A7A14">
            <w:pPr>
              <w:jc w:val="center"/>
              <w:rPr>
                <w:b/>
                <w:sz w:val="28"/>
                <w:szCs w:val="28"/>
              </w:rPr>
            </w:pPr>
            <w:r w:rsidRPr="00AD1553">
              <w:rPr>
                <w:b/>
                <w:sz w:val="28"/>
                <w:szCs w:val="28"/>
              </w:rPr>
              <w:t>V. Tiesību akta projekta atbilstība Latvijas Republikas starptautiskajām saistībām</w:t>
            </w:r>
          </w:p>
        </w:tc>
      </w:tr>
      <w:tr w:rsidR="004B6AE6" w:rsidRPr="00AD1553" w:rsidTr="00164F6D">
        <w:trPr>
          <w:trHeight w:val="553"/>
        </w:trPr>
        <w:tc>
          <w:tcPr>
            <w:tcW w:w="9072" w:type="dxa"/>
            <w:vAlign w:val="center"/>
          </w:tcPr>
          <w:p w:rsidR="004B6AE6" w:rsidRPr="00AD1553" w:rsidRDefault="00CE51AB" w:rsidP="00164F6D">
            <w:pPr>
              <w:jc w:val="center"/>
              <w:rPr>
                <w:sz w:val="28"/>
                <w:szCs w:val="28"/>
              </w:rPr>
            </w:pPr>
            <w:r w:rsidRPr="00CE51AB">
              <w:rPr>
                <w:sz w:val="28"/>
                <w:szCs w:val="28"/>
              </w:rPr>
              <w:t>Projekts šo jomu neskar</w:t>
            </w:r>
            <w:r>
              <w:rPr>
                <w:sz w:val="28"/>
                <w:szCs w:val="28"/>
              </w:rPr>
              <w:t>.</w:t>
            </w:r>
          </w:p>
        </w:tc>
      </w:tr>
    </w:tbl>
    <w:p w:rsidR="004B6AE6" w:rsidRDefault="004B6AE6" w:rsidP="009A7A14">
      <w:pP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4B6AE6" w:rsidRPr="00AD1553" w:rsidTr="00164F6D">
        <w:trPr>
          <w:trHeight w:val="410"/>
        </w:trPr>
        <w:tc>
          <w:tcPr>
            <w:tcW w:w="9072" w:type="dxa"/>
            <w:vAlign w:val="center"/>
          </w:tcPr>
          <w:p w:rsidR="004B6AE6" w:rsidRPr="00AD1553" w:rsidRDefault="004B6AE6" w:rsidP="00164F6D">
            <w:pPr>
              <w:jc w:val="center"/>
              <w:rPr>
                <w:b/>
                <w:sz w:val="28"/>
                <w:szCs w:val="28"/>
              </w:rPr>
            </w:pPr>
            <w:r w:rsidRPr="00AD1553">
              <w:rPr>
                <w:b/>
                <w:sz w:val="28"/>
                <w:szCs w:val="28"/>
              </w:rPr>
              <w:t>VI. Sabiedrības līdzdalība un komunikācijas aktivitātes</w:t>
            </w:r>
          </w:p>
        </w:tc>
      </w:tr>
      <w:tr w:rsidR="004B6AE6" w:rsidRPr="00AD1553" w:rsidTr="00164F6D">
        <w:trPr>
          <w:trHeight w:val="500"/>
        </w:trPr>
        <w:tc>
          <w:tcPr>
            <w:tcW w:w="9072" w:type="dxa"/>
            <w:vAlign w:val="center"/>
          </w:tcPr>
          <w:p w:rsidR="004B6AE6" w:rsidRPr="00AD1553" w:rsidRDefault="004B6AE6" w:rsidP="00164F6D">
            <w:pPr>
              <w:jc w:val="center"/>
              <w:rPr>
                <w:sz w:val="28"/>
                <w:szCs w:val="28"/>
              </w:rPr>
            </w:pPr>
            <w:r w:rsidRPr="00AD1553">
              <w:rPr>
                <w:sz w:val="28"/>
                <w:szCs w:val="28"/>
              </w:rPr>
              <w:t>Projekts šo jomu neskar</w:t>
            </w:r>
            <w:r w:rsidR="00AD1553" w:rsidRPr="00AD1553">
              <w:rPr>
                <w:sz w:val="28"/>
                <w:szCs w:val="28"/>
              </w:rPr>
              <w:t>.</w:t>
            </w:r>
          </w:p>
        </w:tc>
      </w:tr>
    </w:tbl>
    <w:p w:rsidR="004B6AE6" w:rsidRPr="00AD1553" w:rsidRDefault="004B6AE6" w:rsidP="009A7A14">
      <w:pPr>
        <w:rPr>
          <w:sz w:val="28"/>
          <w:szCs w:val="28"/>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0"/>
        <w:gridCol w:w="3860"/>
        <w:gridCol w:w="4854"/>
      </w:tblGrid>
      <w:tr w:rsidR="004B6AE6" w:rsidRPr="00AD1553" w:rsidTr="002F5940">
        <w:tc>
          <w:tcPr>
            <w:tcW w:w="5000" w:type="pct"/>
            <w:gridSpan w:val="3"/>
          </w:tcPr>
          <w:p w:rsidR="004B6AE6" w:rsidRPr="00AD1553" w:rsidRDefault="004B6AE6" w:rsidP="009A7A14">
            <w:pPr>
              <w:ind w:left="-142" w:right="57"/>
              <w:jc w:val="center"/>
              <w:rPr>
                <w:b/>
                <w:bCs/>
                <w:sz w:val="28"/>
                <w:szCs w:val="28"/>
              </w:rPr>
            </w:pPr>
            <w:r w:rsidRPr="00AD1553">
              <w:rPr>
                <w:b/>
                <w:bCs/>
                <w:sz w:val="28"/>
                <w:szCs w:val="28"/>
              </w:rPr>
              <w:t>VII. Tiesību akta projekta izpildes nodrošināšana un tās ietekme uz institūcijām</w:t>
            </w:r>
          </w:p>
        </w:tc>
      </w:tr>
      <w:tr w:rsidR="004B6AE6" w:rsidRPr="00AD1553" w:rsidTr="002F5940">
        <w:trPr>
          <w:trHeight w:val="427"/>
        </w:trPr>
        <w:tc>
          <w:tcPr>
            <w:tcW w:w="266" w:type="pct"/>
          </w:tcPr>
          <w:p w:rsidR="004B6AE6" w:rsidRPr="00AD1553" w:rsidRDefault="004B6AE6" w:rsidP="002F5940">
            <w:pPr>
              <w:tabs>
                <w:tab w:val="left" w:pos="546"/>
              </w:tabs>
              <w:ind w:right="3"/>
              <w:jc w:val="center"/>
              <w:rPr>
                <w:bCs/>
                <w:sz w:val="28"/>
                <w:szCs w:val="28"/>
              </w:rPr>
            </w:pPr>
            <w:r w:rsidRPr="00AD1553">
              <w:rPr>
                <w:bCs/>
                <w:sz w:val="28"/>
                <w:szCs w:val="28"/>
              </w:rPr>
              <w:t>1.</w:t>
            </w:r>
          </w:p>
        </w:tc>
        <w:tc>
          <w:tcPr>
            <w:tcW w:w="2097" w:type="pct"/>
          </w:tcPr>
          <w:p w:rsidR="004B6AE6" w:rsidRPr="00AD1553" w:rsidRDefault="004B6AE6" w:rsidP="009A7A14">
            <w:pPr>
              <w:ind w:left="80" w:right="57"/>
              <w:rPr>
                <w:sz w:val="28"/>
                <w:szCs w:val="28"/>
              </w:rPr>
            </w:pPr>
            <w:r w:rsidRPr="00AD1553">
              <w:rPr>
                <w:sz w:val="28"/>
                <w:szCs w:val="28"/>
              </w:rPr>
              <w:t xml:space="preserve">Projekta izpildē iesaistītās institūcijas </w:t>
            </w:r>
          </w:p>
        </w:tc>
        <w:tc>
          <w:tcPr>
            <w:tcW w:w="2637" w:type="pct"/>
          </w:tcPr>
          <w:p w:rsidR="004B6AE6" w:rsidRPr="00AD1553" w:rsidRDefault="004B6AE6" w:rsidP="00CE51AB">
            <w:pPr>
              <w:jc w:val="both"/>
              <w:rPr>
                <w:sz w:val="28"/>
                <w:szCs w:val="28"/>
              </w:rPr>
            </w:pPr>
            <w:r w:rsidRPr="00AD1553">
              <w:rPr>
                <w:sz w:val="28"/>
                <w:szCs w:val="28"/>
              </w:rPr>
              <w:t xml:space="preserve">Kultūras ministrija, </w:t>
            </w:r>
            <w:r w:rsidR="00CE51AB">
              <w:rPr>
                <w:sz w:val="28"/>
                <w:szCs w:val="28"/>
              </w:rPr>
              <w:t>P</w:t>
            </w:r>
            <w:r w:rsidRPr="00AD1553">
              <w:rPr>
                <w:sz w:val="28"/>
                <w:szCs w:val="28"/>
              </w:rPr>
              <w:t>adome, Latvijas Radio</w:t>
            </w:r>
            <w:r w:rsidR="00662256" w:rsidRPr="00AD1553">
              <w:rPr>
                <w:sz w:val="28"/>
                <w:szCs w:val="28"/>
              </w:rPr>
              <w:t>.</w:t>
            </w:r>
          </w:p>
        </w:tc>
      </w:tr>
      <w:tr w:rsidR="004B6AE6" w:rsidRPr="00AD1553" w:rsidTr="002F5940">
        <w:trPr>
          <w:trHeight w:val="463"/>
        </w:trPr>
        <w:tc>
          <w:tcPr>
            <w:tcW w:w="266" w:type="pct"/>
          </w:tcPr>
          <w:p w:rsidR="004B6AE6" w:rsidRPr="00AD1553" w:rsidRDefault="004B6AE6" w:rsidP="002F5940">
            <w:pPr>
              <w:tabs>
                <w:tab w:val="left" w:pos="546"/>
              </w:tabs>
              <w:ind w:right="3"/>
              <w:jc w:val="center"/>
              <w:rPr>
                <w:sz w:val="28"/>
                <w:szCs w:val="28"/>
              </w:rPr>
            </w:pPr>
            <w:r w:rsidRPr="00AD1553">
              <w:rPr>
                <w:sz w:val="28"/>
                <w:szCs w:val="28"/>
              </w:rPr>
              <w:t>2.</w:t>
            </w:r>
          </w:p>
        </w:tc>
        <w:tc>
          <w:tcPr>
            <w:tcW w:w="2097" w:type="pct"/>
          </w:tcPr>
          <w:p w:rsidR="004B6AE6" w:rsidRPr="00AD1553" w:rsidRDefault="004B6AE6" w:rsidP="009A7A14">
            <w:pPr>
              <w:ind w:left="80"/>
              <w:rPr>
                <w:sz w:val="28"/>
                <w:szCs w:val="28"/>
              </w:rPr>
            </w:pPr>
            <w:r w:rsidRPr="00AD1553">
              <w:rPr>
                <w:sz w:val="28"/>
                <w:szCs w:val="28"/>
              </w:rPr>
              <w:t xml:space="preserve">Projekta izpildes ietekme uz pārvaldes funkcijām un institucionālo struktūru. </w:t>
            </w:r>
          </w:p>
          <w:p w:rsidR="002F5940" w:rsidRDefault="002F5940" w:rsidP="009A7A14">
            <w:pPr>
              <w:ind w:left="80"/>
              <w:rPr>
                <w:sz w:val="28"/>
                <w:szCs w:val="28"/>
              </w:rPr>
            </w:pPr>
          </w:p>
          <w:p w:rsidR="004B6AE6" w:rsidRPr="00AD1553" w:rsidRDefault="004B6AE6" w:rsidP="009A7A14">
            <w:pPr>
              <w:ind w:left="80"/>
              <w:rPr>
                <w:sz w:val="28"/>
                <w:szCs w:val="28"/>
              </w:rPr>
            </w:pPr>
            <w:r w:rsidRPr="00AD1553">
              <w:rPr>
                <w:sz w:val="28"/>
                <w:szCs w:val="28"/>
              </w:rPr>
              <w:t>Jaunu institūciju izveide, esošu institūciju likvidācija vai reorganizācija, to ietekme uz institūcijas cilvēkresursiem</w:t>
            </w:r>
          </w:p>
        </w:tc>
        <w:tc>
          <w:tcPr>
            <w:tcW w:w="2637" w:type="pct"/>
          </w:tcPr>
          <w:p w:rsidR="004B6AE6" w:rsidRPr="00AD1553" w:rsidRDefault="00CE51AB" w:rsidP="009A7A14">
            <w:pPr>
              <w:ind w:right="57"/>
              <w:jc w:val="both"/>
              <w:rPr>
                <w:bCs/>
                <w:sz w:val="28"/>
                <w:szCs w:val="28"/>
              </w:rPr>
            </w:pPr>
            <w:r w:rsidRPr="00CE51AB">
              <w:rPr>
                <w:bCs/>
                <w:iCs/>
                <w:sz w:val="28"/>
                <w:szCs w:val="28"/>
              </w:rPr>
              <w:t>Projekts šo jomu neskar</w:t>
            </w:r>
            <w:r>
              <w:rPr>
                <w:bCs/>
                <w:iCs/>
                <w:sz w:val="28"/>
                <w:szCs w:val="28"/>
              </w:rPr>
              <w:t>.</w:t>
            </w:r>
          </w:p>
        </w:tc>
      </w:tr>
      <w:tr w:rsidR="004B6AE6" w:rsidRPr="00AD1553" w:rsidTr="002F5940">
        <w:trPr>
          <w:trHeight w:val="354"/>
        </w:trPr>
        <w:tc>
          <w:tcPr>
            <w:tcW w:w="266" w:type="pct"/>
          </w:tcPr>
          <w:p w:rsidR="004B6AE6" w:rsidRPr="00AD1553" w:rsidRDefault="004B6AE6" w:rsidP="002F5940">
            <w:pPr>
              <w:ind w:left="57" w:right="57"/>
              <w:jc w:val="center"/>
              <w:rPr>
                <w:sz w:val="28"/>
                <w:szCs w:val="28"/>
              </w:rPr>
            </w:pPr>
            <w:r w:rsidRPr="00AD1553">
              <w:rPr>
                <w:sz w:val="28"/>
                <w:szCs w:val="28"/>
              </w:rPr>
              <w:t>3.</w:t>
            </w:r>
          </w:p>
        </w:tc>
        <w:tc>
          <w:tcPr>
            <w:tcW w:w="2097" w:type="pct"/>
          </w:tcPr>
          <w:p w:rsidR="004B6AE6" w:rsidRPr="00AD1553" w:rsidRDefault="004B6AE6" w:rsidP="009A7A14">
            <w:pPr>
              <w:ind w:left="57" w:right="57"/>
              <w:rPr>
                <w:sz w:val="28"/>
                <w:szCs w:val="28"/>
              </w:rPr>
            </w:pPr>
            <w:r w:rsidRPr="00AD1553">
              <w:rPr>
                <w:sz w:val="28"/>
                <w:szCs w:val="28"/>
              </w:rPr>
              <w:t>Cita informācija</w:t>
            </w:r>
          </w:p>
        </w:tc>
        <w:tc>
          <w:tcPr>
            <w:tcW w:w="2637" w:type="pct"/>
          </w:tcPr>
          <w:p w:rsidR="004B6AE6" w:rsidRPr="00AD1553" w:rsidRDefault="004B6AE6" w:rsidP="009A7A14">
            <w:pPr>
              <w:ind w:left="57" w:right="57"/>
              <w:rPr>
                <w:sz w:val="28"/>
                <w:szCs w:val="28"/>
              </w:rPr>
            </w:pPr>
            <w:r w:rsidRPr="00AD1553">
              <w:rPr>
                <w:sz w:val="28"/>
                <w:szCs w:val="28"/>
              </w:rPr>
              <w:t>Nav</w:t>
            </w:r>
          </w:p>
        </w:tc>
      </w:tr>
    </w:tbl>
    <w:p w:rsidR="004B6AE6" w:rsidRDefault="004B6AE6" w:rsidP="009A7A14">
      <w:pPr>
        <w:rPr>
          <w:b/>
          <w:sz w:val="28"/>
          <w:szCs w:val="28"/>
        </w:rPr>
      </w:pPr>
    </w:p>
    <w:p w:rsidR="00D922ED" w:rsidRPr="00AD1553" w:rsidRDefault="00D922ED" w:rsidP="009A7A14">
      <w:pPr>
        <w:rPr>
          <w:b/>
          <w:sz w:val="28"/>
          <w:szCs w:val="28"/>
        </w:rPr>
      </w:pPr>
    </w:p>
    <w:p w:rsidR="00D922ED" w:rsidRDefault="004B6AE6" w:rsidP="00CE51AB">
      <w:pPr>
        <w:ind w:firstLine="284"/>
        <w:rPr>
          <w:sz w:val="28"/>
          <w:szCs w:val="28"/>
        </w:rPr>
      </w:pPr>
      <w:r w:rsidRPr="00CE51AB">
        <w:rPr>
          <w:sz w:val="28"/>
          <w:szCs w:val="28"/>
        </w:rPr>
        <w:t xml:space="preserve">Kultūras </w:t>
      </w:r>
      <w:r w:rsidR="00D922ED" w:rsidRPr="00CE51AB">
        <w:rPr>
          <w:sz w:val="28"/>
          <w:szCs w:val="28"/>
        </w:rPr>
        <w:t>ministr</w:t>
      </w:r>
      <w:r w:rsidR="007B43DC">
        <w:rPr>
          <w:sz w:val="28"/>
          <w:szCs w:val="28"/>
        </w:rPr>
        <w:t xml:space="preserve">s </w:t>
      </w:r>
      <w:r w:rsidR="007B43DC">
        <w:rPr>
          <w:sz w:val="28"/>
          <w:szCs w:val="28"/>
        </w:rPr>
        <w:tab/>
      </w:r>
      <w:r w:rsidR="007B43DC">
        <w:rPr>
          <w:sz w:val="28"/>
          <w:szCs w:val="28"/>
        </w:rPr>
        <w:tab/>
      </w:r>
      <w:r w:rsidR="007B43DC">
        <w:rPr>
          <w:sz w:val="28"/>
          <w:szCs w:val="28"/>
        </w:rPr>
        <w:tab/>
      </w:r>
      <w:r w:rsidR="007B43DC">
        <w:rPr>
          <w:sz w:val="28"/>
          <w:szCs w:val="28"/>
        </w:rPr>
        <w:tab/>
      </w:r>
      <w:r w:rsidR="007B43DC">
        <w:rPr>
          <w:sz w:val="28"/>
          <w:szCs w:val="28"/>
        </w:rPr>
        <w:tab/>
      </w:r>
      <w:r w:rsidR="007B43DC">
        <w:rPr>
          <w:sz w:val="28"/>
          <w:szCs w:val="28"/>
        </w:rPr>
        <w:tab/>
      </w:r>
      <w:r w:rsidR="007B43DC">
        <w:rPr>
          <w:sz w:val="28"/>
          <w:szCs w:val="28"/>
        </w:rPr>
        <w:tab/>
        <w:t>N.Puntulis</w:t>
      </w:r>
    </w:p>
    <w:p w:rsidR="004B6AE6" w:rsidRPr="00CE51AB" w:rsidRDefault="004B6AE6" w:rsidP="00CE51AB">
      <w:pPr>
        <w:ind w:firstLine="284"/>
        <w:rPr>
          <w:sz w:val="28"/>
          <w:szCs w:val="28"/>
        </w:rPr>
      </w:pPr>
    </w:p>
    <w:p w:rsidR="004B6AE6" w:rsidRPr="00CE51AB" w:rsidRDefault="005956BF" w:rsidP="00CE51AB">
      <w:pPr>
        <w:ind w:firstLine="284"/>
        <w:jc w:val="both"/>
        <w:rPr>
          <w:sz w:val="28"/>
          <w:szCs w:val="28"/>
        </w:rPr>
      </w:pPr>
      <w:r>
        <w:rPr>
          <w:sz w:val="28"/>
          <w:szCs w:val="28"/>
        </w:rPr>
        <w:t>Vīza: Valsts sekretār</w:t>
      </w:r>
      <w:r w:rsidR="00ED1A1B">
        <w:rPr>
          <w:sz w:val="28"/>
          <w:szCs w:val="28"/>
        </w:rPr>
        <w:t>a p.i.</w:t>
      </w:r>
      <w:r>
        <w:rPr>
          <w:sz w:val="28"/>
          <w:szCs w:val="28"/>
        </w:rPr>
        <w:tab/>
      </w:r>
      <w:r>
        <w:rPr>
          <w:sz w:val="28"/>
          <w:szCs w:val="28"/>
        </w:rPr>
        <w:tab/>
      </w:r>
      <w:r>
        <w:rPr>
          <w:sz w:val="28"/>
          <w:szCs w:val="28"/>
        </w:rPr>
        <w:tab/>
      </w:r>
      <w:r>
        <w:rPr>
          <w:sz w:val="28"/>
          <w:szCs w:val="28"/>
        </w:rPr>
        <w:tab/>
      </w:r>
      <w:r>
        <w:rPr>
          <w:sz w:val="28"/>
          <w:szCs w:val="28"/>
        </w:rPr>
        <w:tab/>
      </w:r>
      <w:r w:rsidR="00ED1A1B">
        <w:rPr>
          <w:sz w:val="28"/>
          <w:szCs w:val="28"/>
        </w:rPr>
        <w:tab/>
        <w:t>B.Zakevica</w:t>
      </w:r>
    </w:p>
    <w:p w:rsidR="004B6AE6" w:rsidRPr="00AD1553" w:rsidRDefault="004B6AE6" w:rsidP="00CE51AB">
      <w:pPr>
        <w:ind w:firstLine="284"/>
        <w:rPr>
          <w:sz w:val="28"/>
          <w:szCs w:val="28"/>
        </w:rPr>
      </w:pPr>
    </w:p>
    <w:p w:rsidR="00CE51AB" w:rsidRDefault="00CE51AB" w:rsidP="009A7A14">
      <w:pPr>
        <w:rPr>
          <w:sz w:val="28"/>
          <w:szCs w:val="28"/>
        </w:rPr>
      </w:pPr>
    </w:p>
    <w:p w:rsidR="00CE51AB" w:rsidRDefault="00CE51AB" w:rsidP="009A7A14">
      <w:pPr>
        <w:rPr>
          <w:sz w:val="28"/>
          <w:szCs w:val="28"/>
        </w:rPr>
      </w:pPr>
    </w:p>
    <w:p w:rsidR="00BF3D15" w:rsidRDefault="00BF3D15" w:rsidP="009A7A14">
      <w:pPr>
        <w:rPr>
          <w:sz w:val="28"/>
          <w:szCs w:val="28"/>
        </w:rPr>
      </w:pPr>
    </w:p>
    <w:p w:rsidR="00BF3D15" w:rsidRDefault="00BF3D15" w:rsidP="009A7A14">
      <w:pPr>
        <w:rPr>
          <w:sz w:val="28"/>
          <w:szCs w:val="28"/>
        </w:rPr>
      </w:pPr>
    </w:p>
    <w:p w:rsidR="00BF3D15" w:rsidRDefault="00BF3D15" w:rsidP="009A7A14">
      <w:pPr>
        <w:rPr>
          <w:sz w:val="28"/>
          <w:szCs w:val="28"/>
        </w:rPr>
      </w:pPr>
    </w:p>
    <w:p w:rsidR="00CE51AB" w:rsidRPr="00AD1553" w:rsidRDefault="00CE51AB" w:rsidP="009A7A14">
      <w:pPr>
        <w:rPr>
          <w:sz w:val="28"/>
          <w:szCs w:val="28"/>
        </w:rPr>
      </w:pPr>
    </w:p>
    <w:p w:rsidR="004B6AE6" w:rsidRPr="00AD1553" w:rsidRDefault="004B6AE6" w:rsidP="009A7A14">
      <w:pPr>
        <w:rPr>
          <w:sz w:val="20"/>
          <w:szCs w:val="20"/>
        </w:rPr>
      </w:pPr>
      <w:r w:rsidRPr="00AD1553">
        <w:rPr>
          <w:sz w:val="20"/>
          <w:szCs w:val="20"/>
        </w:rPr>
        <w:t>Pētersone 67206767</w:t>
      </w:r>
    </w:p>
    <w:p w:rsidR="009A7A14" w:rsidRPr="00AD1553" w:rsidRDefault="00A07BD5" w:rsidP="009A7A14">
      <w:pPr>
        <w:rPr>
          <w:sz w:val="20"/>
          <w:szCs w:val="20"/>
        </w:rPr>
      </w:pPr>
      <w:hyperlink r:id="rId7" w:history="1">
        <w:r w:rsidR="009A7A14" w:rsidRPr="00AD1553">
          <w:rPr>
            <w:rStyle w:val="Hipersaite"/>
            <w:sz w:val="20"/>
            <w:szCs w:val="20"/>
          </w:rPr>
          <w:t>Baiba.Petersone@latvijasradio.lv</w:t>
        </w:r>
      </w:hyperlink>
      <w:r w:rsidR="009A7A14" w:rsidRPr="00AD1553">
        <w:rPr>
          <w:sz w:val="20"/>
          <w:szCs w:val="20"/>
        </w:rPr>
        <w:t xml:space="preserve"> </w:t>
      </w:r>
    </w:p>
    <w:p w:rsidR="009A7A14" w:rsidRPr="00AD1553" w:rsidRDefault="009A7A14" w:rsidP="009A7A14">
      <w:pPr>
        <w:rPr>
          <w:sz w:val="20"/>
          <w:szCs w:val="20"/>
        </w:rPr>
      </w:pPr>
    </w:p>
    <w:p w:rsidR="004B6AE6" w:rsidRPr="00AD1553" w:rsidRDefault="004B6AE6" w:rsidP="009A7A14">
      <w:pPr>
        <w:rPr>
          <w:sz w:val="20"/>
          <w:szCs w:val="20"/>
        </w:rPr>
      </w:pPr>
      <w:r w:rsidRPr="00AD1553">
        <w:rPr>
          <w:sz w:val="20"/>
          <w:szCs w:val="20"/>
        </w:rPr>
        <w:t>Rone 26549071</w:t>
      </w:r>
    </w:p>
    <w:p w:rsidR="009A7A14" w:rsidRPr="00AD1553" w:rsidRDefault="00A07BD5" w:rsidP="009A7A14">
      <w:pPr>
        <w:rPr>
          <w:sz w:val="20"/>
          <w:szCs w:val="20"/>
        </w:rPr>
      </w:pPr>
      <w:hyperlink r:id="rId8" w:history="1">
        <w:r w:rsidR="009A7A14" w:rsidRPr="00AD1553">
          <w:rPr>
            <w:rStyle w:val="Hipersaite"/>
            <w:sz w:val="20"/>
            <w:szCs w:val="20"/>
          </w:rPr>
          <w:t>Inga.Rone@latvijasradio.lv</w:t>
        </w:r>
      </w:hyperlink>
      <w:r w:rsidR="009A7A14" w:rsidRPr="00AD1553">
        <w:rPr>
          <w:sz w:val="20"/>
          <w:szCs w:val="20"/>
        </w:rPr>
        <w:t xml:space="preserve"> </w:t>
      </w:r>
    </w:p>
    <w:p w:rsidR="00610D97" w:rsidRPr="00AD1553" w:rsidRDefault="00610D97" w:rsidP="009A7A14">
      <w:pPr>
        <w:rPr>
          <w:sz w:val="20"/>
          <w:szCs w:val="20"/>
        </w:rPr>
      </w:pPr>
    </w:p>
    <w:sectPr w:rsidR="00610D97" w:rsidRPr="00AD1553" w:rsidSect="00D922ED">
      <w:headerReference w:type="even" r:id="rId9"/>
      <w:headerReference w:type="default" r:id="rId10"/>
      <w:footerReference w:type="default" r:id="rId11"/>
      <w:footerReference w:type="first" r:id="rId12"/>
      <w:pgSz w:w="11906" w:h="16838" w:code="9"/>
      <w:pgMar w:top="1418" w:right="1134" w:bottom="1134" w:left="1701" w:header="709" w:footer="6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3DC" w:rsidRDefault="007B43DC">
      <w:r>
        <w:separator/>
      </w:r>
    </w:p>
  </w:endnote>
  <w:endnote w:type="continuationSeparator" w:id="0">
    <w:p w:rsidR="007B43DC" w:rsidRDefault="007B4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Pr="00164F6D" w:rsidRDefault="00A07BD5" w:rsidP="00164F6D">
    <w:pPr>
      <w:tabs>
        <w:tab w:val="center" w:pos="4513"/>
        <w:tab w:val="right" w:pos="9026"/>
      </w:tabs>
      <w:jc w:val="both"/>
      <w:rPr>
        <w:bCs/>
        <w:sz w:val="20"/>
        <w:szCs w:val="20"/>
      </w:rPr>
    </w:pPr>
    <w:fldSimple w:instr=" FILENAME \* MERGEFORMAT ">
      <w:r w:rsidR="007B43DC">
        <w:rPr>
          <w:noProof/>
          <w:sz w:val="20"/>
          <w:szCs w:val="20"/>
        </w:rPr>
        <w:t>KMAnot_100719_LR_dividendes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Pr="00BB41B8" w:rsidRDefault="00A07BD5" w:rsidP="00460C28">
    <w:pPr>
      <w:tabs>
        <w:tab w:val="center" w:pos="4513"/>
        <w:tab w:val="right" w:pos="9026"/>
      </w:tabs>
      <w:jc w:val="both"/>
      <w:rPr>
        <w:bCs/>
        <w:sz w:val="20"/>
        <w:szCs w:val="20"/>
      </w:rPr>
    </w:pPr>
    <w:fldSimple w:instr=" FILENAME \* MERGEFORMAT ">
      <w:r w:rsidR="007B43DC">
        <w:rPr>
          <w:noProof/>
          <w:sz w:val="20"/>
          <w:szCs w:val="20"/>
        </w:rPr>
        <w:t>KMAnot_100719_LR_dividendes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3DC" w:rsidRDefault="007B43DC">
      <w:r>
        <w:separator/>
      </w:r>
    </w:p>
  </w:footnote>
  <w:footnote w:type="continuationSeparator" w:id="0">
    <w:p w:rsidR="007B43DC" w:rsidRDefault="007B4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A07BD5" w:rsidP="00460C28">
    <w:pPr>
      <w:pStyle w:val="Galvene"/>
      <w:framePr w:wrap="around" w:vAnchor="text" w:hAnchor="margin" w:xAlign="center" w:y="1"/>
      <w:rPr>
        <w:rStyle w:val="Lappusesnumurs"/>
      </w:rPr>
    </w:pPr>
    <w:r>
      <w:rPr>
        <w:rStyle w:val="Lappusesnumurs"/>
      </w:rPr>
      <w:fldChar w:fldCharType="begin"/>
    </w:r>
    <w:r w:rsidR="007B43DC">
      <w:rPr>
        <w:rStyle w:val="Lappusesnumurs"/>
      </w:rPr>
      <w:instrText xml:space="preserve">PAGE  </w:instrText>
    </w:r>
    <w:r>
      <w:rPr>
        <w:rStyle w:val="Lappusesnumurs"/>
      </w:rPr>
      <w:fldChar w:fldCharType="separate"/>
    </w:r>
    <w:r w:rsidR="007B43DC">
      <w:rPr>
        <w:rStyle w:val="Lappusesnumurs"/>
        <w:noProof/>
      </w:rPr>
      <w:t>3</w:t>
    </w:r>
    <w:r>
      <w:rPr>
        <w:rStyle w:val="Lappusesnumurs"/>
      </w:rPr>
      <w:fldChar w:fldCharType="end"/>
    </w:r>
  </w:p>
  <w:p w:rsidR="007B43DC" w:rsidRDefault="007B43D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3DC" w:rsidRDefault="00A07BD5" w:rsidP="00460C28">
    <w:pPr>
      <w:pStyle w:val="Galvene"/>
      <w:framePr w:wrap="around" w:vAnchor="text" w:hAnchor="margin" w:xAlign="center" w:y="1"/>
      <w:rPr>
        <w:rStyle w:val="Lappusesnumurs"/>
      </w:rPr>
    </w:pPr>
    <w:r>
      <w:rPr>
        <w:rStyle w:val="Lappusesnumurs"/>
      </w:rPr>
      <w:fldChar w:fldCharType="begin"/>
    </w:r>
    <w:r w:rsidR="007B43DC">
      <w:rPr>
        <w:rStyle w:val="Lappusesnumurs"/>
      </w:rPr>
      <w:instrText xml:space="preserve">PAGE  </w:instrText>
    </w:r>
    <w:r>
      <w:rPr>
        <w:rStyle w:val="Lappusesnumurs"/>
      </w:rPr>
      <w:fldChar w:fldCharType="separate"/>
    </w:r>
    <w:r w:rsidR="00DC529B">
      <w:rPr>
        <w:rStyle w:val="Lappusesnumurs"/>
        <w:noProof/>
      </w:rPr>
      <w:t>9</w:t>
    </w:r>
    <w:r>
      <w:rPr>
        <w:rStyle w:val="Lappusesnumurs"/>
      </w:rPr>
      <w:fldChar w:fldCharType="end"/>
    </w:r>
  </w:p>
  <w:p w:rsidR="007B43DC" w:rsidRDefault="007B43D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6254"/>
    <w:multiLevelType w:val="hybridMultilevel"/>
    <w:tmpl w:val="D526ABC0"/>
    <w:lvl w:ilvl="0" w:tplc="11D683C6">
      <w:start w:val="20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6AE6"/>
    <w:rsid w:val="000D0923"/>
    <w:rsid w:val="000D5303"/>
    <w:rsid w:val="0014211E"/>
    <w:rsid w:val="00164F6D"/>
    <w:rsid w:val="001E071C"/>
    <w:rsid w:val="001E6D00"/>
    <w:rsid w:val="00214DFE"/>
    <w:rsid w:val="002F5940"/>
    <w:rsid w:val="00365A05"/>
    <w:rsid w:val="00377945"/>
    <w:rsid w:val="00404F9D"/>
    <w:rsid w:val="00460C28"/>
    <w:rsid w:val="00483A2A"/>
    <w:rsid w:val="004B6AE6"/>
    <w:rsid w:val="004D66F9"/>
    <w:rsid w:val="004F2F7A"/>
    <w:rsid w:val="005956BF"/>
    <w:rsid w:val="005A7FA3"/>
    <w:rsid w:val="005B5E41"/>
    <w:rsid w:val="006029E2"/>
    <w:rsid w:val="00610D97"/>
    <w:rsid w:val="00635160"/>
    <w:rsid w:val="00662256"/>
    <w:rsid w:val="00784FC9"/>
    <w:rsid w:val="007A498B"/>
    <w:rsid w:val="007B43DC"/>
    <w:rsid w:val="007E5A28"/>
    <w:rsid w:val="0082268A"/>
    <w:rsid w:val="00835062"/>
    <w:rsid w:val="00901B07"/>
    <w:rsid w:val="00943B82"/>
    <w:rsid w:val="00957A01"/>
    <w:rsid w:val="009956F6"/>
    <w:rsid w:val="009A7A14"/>
    <w:rsid w:val="00A052BA"/>
    <w:rsid w:val="00A07BD5"/>
    <w:rsid w:val="00A876F8"/>
    <w:rsid w:val="00AD1553"/>
    <w:rsid w:val="00B00972"/>
    <w:rsid w:val="00B709CF"/>
    <w:rsid w:val="00BA7913"/>
    <w:rsid w:val="00BF3D15"/>
    <w:rsid w:val="00CE51AB"/>
    <w:rsid w:val="00D922ED"/>
    <w:rsid w:val="00DC529B"/>
    <w:rsid w:val="00DD761A"/>
    <w:rsid w:val="00DF6951"/>
    <w:rsid w:val="00EA7C5E"/>
    <w:rsid w:val="00ED1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B6AE6"/>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4B6AE6"/>
    <w:pPr>
      <w:tabs>
        <w:tab w:val="center" w:pos="4153"/>
        <w:tab w:val="right" w:pos="8306"/>
      </w:tabs>
    </w:pPr>
  </w:style>
  <w:style w:type="character" w:customStyle="1" w:styleId="GalveneRakstz">
    <w:name w:val="Galvene Rakstz."/>
    <w:link w:val="Galvene"/>
    <w:uiPriority w:val="99"/>
    <w:rsid w:val="004B6AE6"/>
    <w:rPr>
      <w:rFonts w:ascii="Times New Roman" w:eastAsia="Times New Roman" w:hAnsi="Times New Roman" w:cs="Times New Roman"/>
      <w:sz w:val="24"/>
      <w:szCs w:val="24"/>
      <w:lang w:eastAsia="lv-LV"/>
    </w:rPr>
  </w:style>
  <w:style w:type="character" w:styleId="Lappusesnumurs">
    <w:name w:val="page number"/>
    <w:uiPriority w:val="99"/>
    <w:rsid w:val="004B6AE6"/>
    <w:rPr>
      <w:rFonts w:cs="Times New Roman"/>
    </w:rPr>
  </w:style>
  <w:style w:type="paragraph" w:customStyle="1" w:styleId="naiskr">
    <w:name w:val="naiskr"/>
    <w:basedOn w:val="Parastais"/>
    <w:uiPriority w:val="99"/>
    <w:rsid w:val="004B6AE6"/>
    <w:pPr>
      <w:spacing w:before="75" w:after="75"/>
    </w:pPr>
  </w:style>
  <w:style w:type="character" w:styleId="Hipersaite">
    <w:name w:val="Hyperlink"/>
    <w:uiPriority w:val="99"/>
    <w:rsid w:val="004B6AE6"/>
    <w:rPr>
      <w:rFonts w:cs="Times New Roman"/>
      <w:color w:val="0000FF"/>
      <w:u w:val="single"/>
    </w:rPr>
  </w:style>
  <w:style w:type="paragraph" w:styleId="Kjene">
    <w:name w:val="footer"/>
    <w:basedOn w:val="Parastais"/>
    <w:link w:val="KjeneRakstz"/>
    <w:uiPriority w:val="99"/>
    <w:unhideWhenUsed/>
    <w:rsid w:val="004B6AE6"/>
    <w:pPr>
      <w:tabs>
        <w:tab w:val="center" w:pos="4153"/>
        <w:tab w:val="right" w:pos="8306"/>
      </w:tabs>
    </w:pPr>
  </w:style>
  <w:style w:type="character" w:customStyle="1" w:styleId="KjeneRakstz">
    <w:name w:val="Kājene Rakstz."/>
    <w:link w:val="Kjene"/>
    <w:uiPriority w:val="99"/>
    <w:rsid w:val="004B6AE6"/>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6029E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029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Rone@latvijasradio.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iba.Petersone@latvijasradio.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8662</Words>
  <Characters>4938</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13573</CharactersWithSpaces>
  <SharedDoc>false</SharedDoc>
  <HLinks>
    <vt:vector size="12" baseType="variant">
      <vt:variant>
        <vt:i4>5046321</vt:i4>
      </vt:variant>
      <vt:variant>
        <vt:i4>3</vt:i4>
      </vt:variant>
      <vt:variant>
        <vt:i4>0</vt:i4>
      </vt:variant>
      <vt:variant>
        <vt:i4>5</vt:i4>
      </vt:variant>
      <vt:variant>
        <vt:lpwstr>mailto:Inga.Rone@latvijasradio.lv</vt:lpwstr>
      </vt:variant>
      <vt:variant>
        <vt:lpwstr/>
      </vt:variant>
      <vt:variant>
        <vt:i4>7405586</vt:i4>
      </vt:variant>
      <vt:variant>
        <vt:i4>0</vt:i4>
      </vt:variant>
      <vt:variant>
        <vt:i4>0</vt:i4>
      </vt:variant>
      <vt:variant>
        <vt:i4>5</vt:i4>
      </vt:variant>
      <vt:variant>
        <vt:lpwstr>mailto:Baiba.Petersone@latvijasradio.lv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dc:creator>
  <cp:lastModifiedBy>Laura Zariņa</cp:lastModifiedBy>
  <cp:revision>2</cp:revision>
  <dcterms:created xsi:type="dcterms:W3CDTF">2019-07-11T08:35:00Z</dcterms:created>
  <dcterms:modified xsi:type="dcterms:W3CDTF">2019-07-11T08:35:00Z</dcterms:modified>
</cp:coreProperties>
</file>