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17" w:rsidRPr="00EC1045" w:rsidRDefault="00196278" w:rsidP="00620F17">
      <w:pPr>
        <w:pStyle w:val="naisnod"/>
        <w:spacing w:before="0" w:after="0"/>
        <w:rPr>
          <w:sz w:val="22"/>
          <w:szCs w:val="22"/>
        </w:rPr>
      </w:pPr>
      <w:r w:rsidRPr="00EC1045">
        <w:rPr>
          <w:sz w:val="22"/>
          <w:szCs w:val="22"/>
        </w:rPr>
        <w:t>Izziņa par atzinumos sniegtajiem iebildumiem</w:t>
      </w:r>
      <w:r w:rsidR="008C673C" w:rsidRPr="00EC1045">
        <w:rPr>
          <w:sz w:val="22"/>
          <w:szCs w:val="22"/>
        </w:rPr>
        <w:t xml:space="preserve"> </w:t>
      </w:r>
      <w:r w:rsidR="00317DC3" w:rsidRPr="00EC1045">
        <w:rPr>
          <w:sz w:val="22"/>
          <w:szCs w:val="22"/>
        </w:rPr>
        <w:br/>
      </w:r>
      <w:r w:rsidR="008C673C" w:rsidRPr="00EC1045">
        <w:rPr>
          <w:sz w:val="22"/>
          <w:szCs w:val="22"/>
        </w:rPr>
        <w:t xml:space="preserve">par </w:t>
      </w:r>
      <w:r w:rsidR="00620F17" w:rsidRPr="00EC1045">
        <w:rPr>
          <w:sz w:val="22"/>
          <w:szCs w:val="22"/>
        </w:rPr>
        <w:t>Ministru kabineta rīkojuma projektu</w:t>
      </w:r>
      <w:r w:rsidR="00EC1045">
        <w:rPr>
          <w:sz w:val="22"/>
          <w:szCs w:val="22"/>
        </w:rPr>
        <w:t xml:space="preserve"> „</w:t>
      </w:r>
      <w:r w:rsidR="00620F17" w:rsidRPr="00EC1045">
        <w:rPr>
          <w:sz w:val="22"/>
          <w:szCs w:val="22"/>
        </w:rPr>
        <w:t>Par valstij dividendēs izmaksājamo valsts sabiedrības ar ierobežotu atbildību</w:t>
      </w:r>
    </w:p>
    <w:p w:rsidR="002061EB" w:rsidRPr="00EC1045" w:rsidRDefault="00620F17" w:rsidP="00620F17">
      <w:pPr>
        <w:pStyle w:val="naisnod"/>
        <w:spacing w:before="0" w:after="0"/>
        <w:rPr>
          <w:sz w:val="22"/>
          <w:szCs w:val="22"/>
        </w:rPr>
      </w:pPr>
      <w:r w:rsidRPr="00EC1045">
        <w:rPr>
          <w:sz w:val="22"/>
          <w:szCs w:val="22"/>
        </w:rPr>
        <w:t xml:space="preserve"> „Latvijas Radio” peļņas daļu”</w:t>
      </w:r>
    </w:p>
    <w:p w:rsidR="00620F17" w:rsidRPr="00EC1045" w:rsidRDefault="00620F17" w:rsidP="00620F17">
      <w:pPr>
        <w:pStyle w:val="naisnod"/>
        <w:spacing w:before="0" w:after="0"/>
        <w:rPr>
          <w:b w:val="0"/>
          <w:bCs w:val="0"/>
          <w:sz w:val="22"/>
          <w:szCs w:val="22"/>
        </w:rPr>
      </w:pPr>
    </w:p>
    <w:p w:rsidR="001229CC" w:rsidRPr="00EC1045" w:rsidRDefault="00F64DE4" w:rsidP="00A20B7E">
      <w:pPr>
        <w:numPr>
          <w:ilvl w:val="0"/>
          <w:numId w:val="1"/>
        </w:numPr>
        <w:ind w:left="567" w:hanging="207"/>
        <w:jc w:val="center"/>
        <w:rPr>
          <w:b/>
          <w:bCs/>
          <w:sz w:val="22"/>
          <w:szCs w:val="22"/>
        </w:rPr>
      </w:pPr>
      <w:r w:rsidRPr="00EC1045">
        <w:rPr>
          <w:b/>
          <w:bCs/>
          <w:sz w:val="22"/>
          <w:szCs w:val="22"/>
        </w:rPr>
        <w:t>Jautājumi, par kuriem saskaņošanā vienošanās nav panākta</w:t>
      </w:r>
    </w:p>
    <w:p w:rsidR="002061EB" w:rsidRPr="00EC1045" w:rsidRDefault="002061EB" w:rsidP="00A20B7E">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36"/>
        <w:gridCol w:w="2773"/>
        <w:gridCol w:w="3083"/>
        <w:gridCol w:w="2929"/>
        <w:gridCol w:w="2210"/>
        <w:gridCol w:w="2488"/>
      </w:tblGrid>
      <w:tr w:rsidR="00F64DE4" w:rsidRPr="00EC1045" w:rsidTr="00EC1045">
        <w:tc>
          <w:tcPr>
            <w:tcW w:w="259"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rPr>
                <w:lang w:eastAsia="en-US"/>
              </w:rPr>
            </w:pPr>
            <w:r w:rsidRPr="00EC1045">
              <w:rPr>
                <w:sz w:val="22"/>
                <w:szCs w:val="22"/>
                <w:lang w:eastAsia="en-US"/>
              </w:rPr>
              <w:t>Nr. p.k.</w:t>
            </w:r>
          </w:p>
        </w:tc>
        <w:tc>
          <w:tcPr>
            <w:tcW w:w="975"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ind w:firstLine="12"/>
              <w:rPr>
                <w:lang w:eastAsia="en-US"/>
              </w:rPr>
            </w:pPr>
            <w:r w:rsidRPr="00EC1045">
              <w:rPr>
                <w:sz w:val="22"/>
                <w:szCs w:val="22"/>
                <w:lang w:eastAsia="en-US"/>
              </w:rPr>
              <w:t>Saskaņošanai nosūtītā projekta redakcija (konkrēta punkta (panta) redakcija)</w:t>
            </w:r>
          </w:p>
        </w:tc>
        <w:tc>
          <w:tcPr>
            <w:tcW w:w="1084"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ind w:right="3"/>
              <w:rPr>
                <w:lang w:eastAsia="en-US"/>
              </w:rPr>
            </w:pPr>
            <w:r w:rsidRPr="00EC1045">
              <w:rPr>
                <w:sz w:val="22"/>
                <w:szCs w:val="22"/>
                <w:lang w:eastAsia="en-US"/>
              </w:rPr>
              <w:t>Atzinumā norādītais ministrijas (citas institūcijas) iebildums, kā arī saskaņošanā papildus izte</w:t>
            </w:r>
            <w:r w:rsidR="00734AC4" w:rsidRPr="00EC1045">
              <w:rPr>
                <w:sz w:val="22"/>
                <w:szCs w:val="22"/>
                <w:lang w:eastAsia="en-US"/>
              </w:rPr>
              <w:t>iktais iebildums par projekta konkrēto punktu (pantu)</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ind w:firstLine="21"/>
              <w:rPr>
                <w:lang w:eastAsia="en-US"/>
              </w:rPr>
            </w:pPr>
            <w:r w:rsidRPr="00EC1045">
              <w:rPr>
                <w:sz w:val="22"/>
                <w:szCs w:val="22"/>
                <w:lang w:eastAsia="en-US"/>
              </w:rPr>
              <w:t>Atbildīgās ministrijas pamatojums iebilduma noraidījumam</w:t>
            </w:r>
          </w:p>
        </w:tc>
        <w:tc>
          <w:tcPr>
            <w:tcW w:w="777" w:type="pct"/>
            <w:tcBorders>
              <w:top w:val="single" w:sz="4" w:space="0" w:color="auto"/>
              <w:left w:val="single" w:sz="4" w:space="0" w:color="auto"/>
              <w:bottom w:val="single" w:sz="4" w:space="0" w:color="auto"/>
              <w:right w:val="single" w:sz="4" w:space="0" w:color="auto"/>
            </w:tcBorders>
            <w:vAlign w:val="center"/>
            <w:hideMark/>
          </w:tcPr>
          <w:p w:rsidR="00C01E51" w:rsidRPr="00EC1045" w:rsidRDefault="00F64DE4" w:rsidP="00A20B7E">
            <w:pPr>
              <w:jc w:val="center"/>
              <w:rPr>
                <w:lang w:eastAsia="en-US"/>
              </w:rPr>
            </w:pPr>
            <w:r w:rsidRPr="00EC1045">
              <w:rPr>
                <w:sz w:val="22"/>
                <w:szCs w:val="22"/>
                <w:lang w:eastAsia="en-US"/>
              </w:rPr>
              <w:t>Atzinuma sniedzēja uzturētais iebildums, ja tas atšķiras no atzinumā norādītā iebilduma pamatojuma</w:t>
            </w:r>
          </w:p>
        </w:tc>
        <w:tc>
          <w:tcPr>
            <w:tcW w:w="875" w:type="pct"/>
            <w:tcBorders>
              <w:top w:val="single" w:sz="4" w:space="0" w:color="auto"/>
              <w:left w:val="single" w:sz="4" w:space="0" w:color="auto"/>
              <w:bottom w:val="single" w:sz="4" w:space="0" w:color="auto"/>
              <w:right w:val="single" w:sz="4" w:space="0" w:color="auto"/>
            </w:tcBorders>
            <w:vAlign w:val="center"/>
            <w:hideMark/>
          </w:tcPr>
          <w:p w:rsidR="00C01E51" w:rsidRPr="00EC1045" w:rsidRDefault="00F64DE4" w:rsidP="00A20B7E">
            <w:pPr>
              <w:jc w:val="center"/>
              <w:rPr>
                <w:lang w:eastAsia="en-US"/>
              </w:rPr>
            </w:pPr>
            <w:r w:rsidRPr="00EC1045">
              <w:rPr>
                <w:sz w:val="22"/>
                <w:szCs w:val="22"/>
                <w:lang w:eastAsia="en-US"/>
              </w:rPr>
              <w:t>Projekta attiecīgā punkta (panta) galīgā redakcija</w:t>
            </w:r>
          </w:p>
        </w:tc>
      </w:tr>
      <w:tr w:rsidR="00F64DE4" w:rsidRPr="00EC1045" w:rsidTr="00EC1045">
        <w:tc>
          <w:tcPr>
            <w:tcW w:w="259" w:type="pct"/>
            <w:tcBorders>
              <w:top w:val="single" w:sz="6" w:space="0" w:color="000000"/>
              <w:left w:val="single" w:sz="6" w:space="0" w:color="000000"/>
              <w:bottom w:val="single" w:sz="6" w:space="0" w:color="000000"/>
              <w:right w:val="single" w:sz="6" w:space="0" w:color="000000"/>
            </w:tcBorders>
            <w:hideMark/>
          </w:tcPr>
          <w:p w:rsidR="00C01E51" w:rsidRPr="00EC1045" w:rsidRDefault="00F64DE4" w:rsidP="00A20B7E">
            <w:pPr>
              <w:pStyle w:val="naisc"/>
              <w:spacing w:before="0" w:after="0"/>
              <w:rPr>
                <w:lang w:eastAsia="en-US"/>
              </w:rPr>
            </w:pPr>
            <w:r w:rsidRPr="00EC1045">
              <w:rPr>
                <w:sz w:val="22"/>
                <w:szCs w:val="22"/>
                <w:lang w:eastAsia="en-US"/>
              </w:rPr>
              <w:t>1</w:t>
            </w:r>
          </w:p>
        </w:tc>
        <w:tc>
          <w:tcPr>
            <w:tcW w:w="975" w:type="pct"/>
            <w:tcBorders>
              <w:top w:val="single" w:sz="6" w:space="0" w:color="000000"/>
              <w:left w:val="single" w:sz="6" w:space="0" w:color="000000"/>
              <w:bottom w:val="single" w:sz="6" w:space="0" w:color="000000"/>
              <w:right w:val="single" w:sz="6" w:space="0" w:color="000000"/>
            </w:tcBorders>
            <w:hideMark/>
          </w:tcPr>
          <w:p w:rsidR="00C01E51" w:rsidRPr="00EC1045" w:rsidRDefault="00F64DE4" w:rsidP="00A20B7E">
            <w:pPr>
              <w:pStyle w:val="naisc"/>
              <w:spacing w:before="0" w:after="0"/>
              <w:ind w:hanging="11"/>
              <w:rPr>
                <w:lang w:eastAsia="en-US"/>
              </w:rPr>
            </w:pPr>
            <w:r w:rsidRPr="00EC1045">
              <w:rPr>
                <w:sz w:val="22"/>
                <w:szCs w:val="22"/>
                <w:lang w:eastAsia="en-US"/>
              </w:rPr>
              <w:t>2</w:t>
            </w:r>
          </w:p>
        </w:tc>
        <w:tc>
          <w:tcPr>
            <w:tcW w:w="1084" w:type="pct"/>
            <w:tcBorders>
              <w:top w:val="single" w:sz="6" w:space="0" w:color="000000"/>
              <w:left w:val="single" w:sz="6" w:space="0" w:color="000000"/>
              <w:bottom w:val="single" w:sz="6" w:space="0" w:color="000000"/>
              <w:right w:val="single" w:sz="6" w:space="0" w:color="000000"/>
            </w:tcBorders>
            <w:hideMark/>
          </w:tcPr>
          <w:p w:rsidR="00C01E51" w:rsidRPr="00EC1045" w:rsidRDefault="00F64DE4" w:rsidP="00A20B7E">
            <w:pPr>
              <w:pStyle w:val="naisc"/>
              <w:spacing w:before="0" w:after="0"/>
              <w:rPr>
                <w:lang w:eastAsia="en-US"/>
              </w:rPr>
            </w:pPr>
            <w:r w:rsidRPr="00EC1045">
              <w:rPr>
                <w:sz w:val="22"/>
                <w:szCs w:val="22"/>
                <w:lang w:eastAsia="en-US"/>
              </w:rPr>
              <w:t>3</w:t>
            </w:r>
          </w:p>
        </w:tc>
        <w:tc>
          <w:tcPr>
            <w:tcW w:w="1030" w:type="pct"/>
            <w:tcBorders>
              <w:top w:val="single" w:sz="6" w:space="0" w:color="000000"/>
              <w:left w:val="single" w:sz="6" w:space="0" w:color="000000"/>
              <w:bottom w:val="single" w:sz="6" w:space="0" w:color="000000"/>
              <w:right w:val="single" w:sz="6" w:space="0" w:color="000000"/>
            </w:tcBorders>
            <w:hideMark/>
          </w:tcPr>
          <w:p w:rsidR="00C01E51" w:rsidRPr="00EC1045" w:rsidRDefault="00F64DE4" w:rsidP="00A20B7E">
            <w:pPr>
              <w:pStyle w:val="naisc"/>
              <w:spacing w:before="0" w:after="0"/>
              <w:rPr>
                <w:lang w:eastAsia="en-US"/>
              </w:rPr>
            </w:pPr>
            <w:r w:rsidRPr="00EC1045">
              <w:rPr>
                <w:sz w:val="22"/>
                <w:szCs w:val="22"/>
                <w:lang w:eastAsia="en-US"/>
              </w:rPr>
              <w:t>4</w:t>
            </w:r>
          </w:p>
        </w:tc>
        <w:tc>
          <w:tcPr>
            <w:tcW w:w="777" w:type="pct"/>
            <w:tcBorders>
              <w:top w:val="single" w:sz="4" w:space="0" w:color="auto"/>
              <w:left w:val="single" w:sz="4" w:space="0" w:color="auto"/>
              <w:bottom w:val="single" w:sz="4" w:space="0" w:color="auto"/>
              <w:right w:val="single" w:sz="4" w:space="0" w:color="auto"/>
            </w:tcBorders>
            <w:hideMark/>
          </w:tcPr>
          <w:p w:rsidR="00C01E51" w:rsidRPr="00EC1045" w:rsidRDefault="00F64DE4" w:rsidP="00A20B7E">
            <w:pPr>
              <w:jc w:val="center"/>
              <w:rPr>
                <w:lang w:eastAsia="en-US"/>
              </w:rPr>
            </w:pPr>
            <w:r w:rsidRPr="00EC1045">
              <w:rPr>
                <w:sz w:val="22"/>
                <w:szCs w:val="22"/>
                <w:lang w:eastAsia="en-US"/>
              </w:rPr>
              <w:t>5</w:t>
            </w:r>
          </w:p>
        </w:tc>
        <w:tc>
          <w:tcPr>
            <w:tcW w:w="875" w:type="pct"/>
            <w:tcBorders>
              <w:top w:val="single" w:sz="4" w:space="0" w:color="auto"/>
              <w:left w:val="single" w:sz="4" w:space="0" w:color="auto"/>
              <w:bottom w:val="single" w:sz="4" w:space="0" w:color="auto"/>
              <w:right w:val="single" w:sz="4" w:space="0" w:color="auto"/>
            </w:tcBorders>
            <w:hideMark/>
          </w:tcPr>
          <w:p w:rsidR="00C01E51" w:rsidRPr="00EC1045" w:rsidRDefault="00F64DE4" w:rsidP="00A20B7E">
            <w:pPr>
              <w:jc w:val="center"/>
              <w:rPr>
                <w:lang w:eastAsia="en-US"/>
              </w:rPr>
            </w:pPr>
            <w:r w:rsidRPr="00EC1045">
              <w:rPr>
                <w:sz w:val="22"/>
                <w:szCs w:val="22"/>
                <w:lang w:eastAsia="en-US"/>
              </w:rPr>
              <w:t>6</w:t>
            </w:r>
          </w:p>
        </w:tc>
      </w:tr>
      <w:tr w:rsidR="006D47B5" w:rsidRPr="00EC1045" w:rsidTr="00EC1045">
        <w:tc>
          <w:tcPr>
            <w:tcW w:w="259" w:type="pct"/>
            <w:tcBorders>
              <w:top w:val="single" w:sz="6" w:space="0" w:color="000000"/>
              <w:left w:val="single" w:sz="6" w:space="0" w:color="000000"/>
              <w:bottom w:val="single" w:sz="6" w:space="0" w:color="000000"/>
              <w:right w:val="single" w:sz="6" w:space="0" w:color="000000"/>
            </w:tcBorders>
          </w:tcPr>
          <w:p w:rsidR="006D47B5" w:rsidRPr="00EC1045" w:rsidRDefault="006D47B5" w:rsidP="00EC1045">
            <w:pPr>
              <w:pStyle w:val="naisc"/>
              <w:spacing w:before="0" w:after="0"/>
              <w:jc w:val="left"/>
              <w:rPr>
                <w:lang w:eastAsia="en-US"/>
              </w:rPr>
            </w:pPr>
          </w:p>
        </w:tc>
        <w:tc>
          <w:tcPr>
            <w:tcW w:w="975" w:type="pct"/>
            <w:tcBorders>
              <w:top w:val="single" w:sz="6" w:space="0" w:color="000000"/>
              <w:left w:val="single" w:sz="6" w:space="0" w:color="000000"/>
              <w:bottom w:val="single" w:sz="6" w:space="0" w:color="000000"/>
              <w:right w:val="single" w:sz="6" w:space="0" w:color="000000"/>
            </w:tcBorders>
          </w:tcPr>
          <w:p w:rsidR="006D47B5" w:rsidRPr="00EC1045" w:rsidRDefault="006D47B5" w:rsidP="00620F17">
            <w:pPr>
              <w:tabs>
                <w:tab w:val="left" w:pos="6740"/>
              </w:tabs>
              <w:jc w:val="center"/>
            </w:pPr>
          </w:p>
        </w:tc>
        <w:tc>
          <w:tcPr>
            <w:tcW w:w="1084" w:type="pct"/>
            <w:tcBorders>
              <w:top w:val="single" w:sz="6" w:space="0" w:color="000000"/>
              <w:left w:val="single" w:sz="6" w:space="0" w:color="000000"/>
              <w:bottom w:val="single" w:sz="6" w:space="0" w:color="000000"/>
              <w:right w:val="single" w:sz="6" w:space="0" w:color="000000"/>
            </w:tcBorders>
          </w:tcPr>
          <w:p w:rsidR="006D47B5" w:rsidRPr="00EC1045" w:rsidRDefault="006D47B5" w:rsidP="00620F17">
            <w:pPr>
              <w:tabs>
                <w:tab w:val="left" w:pos="6740"/>
              </w:tabs>
              <w:jc w:val="center"/>
            </w:pPr>
          </w:p>
        </w:tc>
        <w:tc>
          <w:tcPr>
            <w:tcW w:w="1030" w:type="pct"/>
            <w:tcBorders>
              <w:top w:val="single" w:sz="6" w:space="0" w:color="000000"/>
              <w:left w:val="single" w:sz="6" w:space="0" w:color="000000"/>
              <w:bottom w:val="single" w:sz="6" w:space="0" w:color="000000"/>
              <w:right w:val="single" w:sz="6" w:space="0" w:color="000000"/>
            </w:tcBorders>
          </w:tcPr>
          <w:p w:rsidR="006D47B5" w:rsidRPr="00EC1045" w:rsidRDefault="006D47B5" w:rsidP="00620F17">
            <w:pPr>
              <w:jc w:val="center"/>
            </w:pPr>
          </w:p>
        </w:tc>
        <w:tc>
          <w:tcPr>
            <w:tcW w:w="777" w:type="pct"/>
            <w:tcBorders>
              <w:top w:val="single" w:sz="4" w:space="0" w:color="auto"/>
              <w:left w:val="single" w:sz="4" w:space="0" w:color="auto"/>
              <w:bottom w:val="single" w:sz="4" w:space="0" w:color="auto"/>
              <w:right w:val="single" w:sz="4" w:space="0" w:color="auto"/>
            </w:tcBorders>
          </w:tcPr>
          <w:p w:rsidR="006D47B5" w:rsidRPr="00EC1045" w:rsidRDefault="006D47B5" w:rsidP="00620F17">
            <w:pPr>
              <w:jc w:val="center"/>
              <w:rPr>
                <w:lang w:eastAsia="en-US"/>
              </w:rPr>
            </w:pPr>
          </w:p>
        </w:tc>
        <w:tc>
          <w:tcPr>
            <w:tcW w:w="875" w:type="pct"/>
            <w:tcBorders>
              <w:top w:val="single" w:sz="4" w:space="0" w:color="auto"/>
              <w:left w:val="single" w:sz="4" w:space="0" w:color="auto"/>
              <w:bottom w:val="single" w:sz="4" w:space="0" w:color="auto"/>
              <w:right w:val="single" w:sz="4" w:space="0" w:color="auto"/>
            </w:tcBorders>
          </w:tcPr>
          <w:p w:rsidR="006D47B5" w:rsidRPr="00EC1045" w:rsidRDefault="006D47B5" w:rsidP="00620F17">
            <w:pPr>
              <w:jc w:val="center"/>
              <w:rPr>
                <w:lang w:eastAsia="en-US"/>
              </w:rPr>
            </w:pPr>
          </w:p>
        </w:tc>
      </w:tr>
    </w:tbl>
    <w:p w:rsidR="00A62EFE" w:rsidRPr="00EC1045" w:rsidRDefault="00A62EFE" w:rsidP="00A20B7E">
      <w:pPr>
        <w:ind w:right="57"/>
        <w:contextualSpacing/>
        <w:mirrorIndents/>
        <w:jc w:val="both"/>
        <w:rPr>
          <w:sz w:val="22"/>
          <w:szCs w:val="22"/>
        </w:rPr>
      </w:pPr>
    </w:p>
    <w:p w:rsidR="00C01E51" w:rsidRPr="00EC1045" w:rsidRDefault="00EC1045" w:rsidP="00EC1045">
      <w:pPr>
        <w:ind w:right="57"/>
        <w:contextualSpacing/>
        <w:mirrorIndents/>
        <w:rPr>
          <w:sz w:val="22"/>
          <w:szCs w:val="22"/>
        </w:rPr>
      </w:pPr>
      <w:r>
        <w:rPr>
          <w:b/>
          <w:bCs/>
          <w:sz w:val="22"/>
          <w:szCs w:val="22"/>
        </w:rPr>
        <w:t> </w:t>
      </w:r>
      <w:r w:rsidR="00734AC4" w:rsidRPr="00EC1045">
        <w:rPr>
          <w:b/>
          <w:bCs/>
          <w:sz w:val="22"/>
          <w:szCs w:val="22"/>
        </w:rPr>
        <w:t>Informācija par starpministriju (starpinstitūciju) sanāksmi vai elektronisko saskaņošanu</w:t>
      </w:r>
      <w:r w:rsidR="00734AC4" w:rsidRPr="00EC1045">
        <w:rPr>
          <w:sz w:val="22"/>
          <w:szCs w:val="22"/>
        </w:rPr>
        <w:t> </w:t>
      </w:r>
    </w:p>
    <w:p w:rsidR="00D724E9" w:rsidRPr="00EC1045" w:rsidRDefault="00D724E9" w:rsidP="00A20B7E">
      <w:pPr>
        <w:ind w:left="57" w:right="57"/>
        <w:contextualSpacing/>
        <w:mirrorIndents/>
        <w:rPr>
          <w:sz w:val="22"/>
          <w:szCs w:val="22"/>
        </w:rPr>
      </w:pPr>
    </w:p>
    <w:tbl>
      <w:tblPr>
        <w:tblW w:w="14283" w:type="dxa"/>
        <w:tblLook w:val="00A0"/>
      </w:tblPr>
      <w:tblGrid>
        <w:gridCol w:w="14283"/>
      </w:tblGrid>
      <w:tr w:rsidR="00F64DE4" w:rsidRPr="00EC1045" w:rsidTr="000C1E0E">
        <w:tc>
          <w:tcPr>
            <w:tcW w:w="14283" w:type="dxa"/>
            <w:hideMark/>
          </w:tcPr>
          <w:tbl>
            <w:tblPr>
              <w:tblW w:w="5000" w:type="pct"/>
              <w:tblLook w:val="00A0"/>
            </w:tblPr>
            <w:tblGrid>
              <w:gridCol w:w="6437"/>
              <w:gridCol w:w="1637"/>
              <w:gridCol w:w="5993"/>
            </w:tblGrid>
            <w:tr w:rsidR="00F64DE4" w:rsidRPr="00EC1045" w:rsidTr="009A3DFD">
              <w:tc>
                <w:tcPr>
                  <w:tcW w:w="2288" w:type="pct"/>
                  <w:hideMark/>
                </w:tcPr>
                <w:p w:rsidR="00C01E51" w:rsidRPr="00EC1045" w:rsidRDefault="004520D3" w:rsidP="00A20B7E">
                  <w:pPr>
                    <w:pStyle w:val="naisf"/>
                    <w:spacing w:before="0" w:after="0"/>
                    <w:ind w:firstLine="0"/>
                    <w:rPr>
                      <w:lang w:eastAsia="en-US"/>
                    </w:rPr>
                  </w:pPr>
                  <w:r w:rsidRPr="00EC1045">
                    <w:rPr>
                      <w:sz w:val="22"/>
                      <w:szCs w:val="22"/>
                      <w:lang w:eastAsia="en-US"/>
                    </w:rPr>
                    <w:t>Datums</w:t>
                  </w:r>
                </w:p>
              </w:tc>
              <w:tc>
                <w:tcPr>
                  <w:tcW w:w="2712" w:type="pct"/>
                  <w:gridSpan w:val="2"/>
                  <w:tcBorders>
                    <w:top w:val="nil"/>
                    <w:left w:val="nil"/>
                    <w:bottom w:val="single" w:sz="4" w:space="0" w:color="auto"/>
                    <w:right w:val="nil"/>
                  </w:tcBorders>
                  <w:hideMark/>
                </w:tcPr>
                <w:p w:rsidR="00C01E51" w:rsidRPr="00EC1045" w:rsidRDefault="0014658E" w:rsidP="009A3DFD">
                  <w:pPr>
                    <w:pStyle w:val="ParastaisWeb"/>
                    <w:spacing w:before="0" w:beforeAutospacing="0" w:after="0" w:afterAutospacing="0"/>
                    <w:rPr>
                      <w:highlight w:val="green"/>
                      <w:lang w:eastAsia="en-US"/>
                    </w:rPr>
                  </w:pPr>
                  <w:r w:rsidRPr="00EC1045">
                    <w:rPr>
                      <w:sz w:val="22"/>
                      <w:szCs w:val="22"/>
                      <w:lang w:eastAsia="en-US"/>
                    </w:rPr>
                    <w:t>201</w:t>
                  </w:r>
                  <w:r w:rsidR="00D31410" w:rsidRPr="00EC1045">
                    <w:rPr>
                      <w:sz w:val="22"/>
                      <w:szCs w:val="22"/>
                      <w:lang w:eastAsia="en-US"/>
                    </w:rPr>
                    <w:t>9</w:t>
                  </w:r>
                  <w:r w:rsidRPr="00EC1045">
                    <w:rPr>
                      <w:sz w:val="22"/>
                      <w:szCs w:val="22"/>
                      <w:lang w:eastAsia="en-US"/>
                    </w:rPr>
                    <w:t xml:space="preserve">.gada </w:t>
                  </w:r>
                  <w:r w:rsidR="0023369D">
                    <w:rPr>
                      <w:sz w:val="22"/>
                      <w:szCs w:val="22"/>
                      <w:lang w:eastAsia="en-US"/>
                    </w:rPr>
                    <w:t>5</w:t>
                  </w:r>
                  <w:r w:rsidR="009A3DFD" w:rsidRPr="00EC1045">
                    <w:rPr>
                      <w:sz w:val="22"/>
                      <w:szCs w:val="22"/>
                      <w:lang w:eastAsia="en-US"/>
                    </w:rPr>
                    <w:t>.</w:t>
                  </w:r>
                  <w:r w:rsidR="00620F17" w:rsidRPr="00EC1045">
                    <w:rPr>
                      <w:sz w:val="22"/>
                      <w:szCs w:val="22"/>
                      <w:lang w:eastAsia="en-US"/>
                    </w:rPr>
                    <w:t>jūlijā</w:t>
                  </w:r>
                </w:p>
              </w:tc>
            </w:tr>
            <w:tr w:rsidR="00F64DE4" w:rsidRPr="00EC1045" w:rsidTr="009A3DFD">
              <w:tc>
                <w:tcPr>
                  <w:tcW w:w="2288" w:type="pct"/>
                </w:tcPr>
                <w:p w:rsidR="00C01E51" w:rsidRPr="00EC1045" w:rsidRDefault="00C01E51" w:rsidP="00A20B7E">
                  <w:pPr>
                    <w:pStyle w:val="naisf"/>
                    <w:spacing w:before="0" w:after="0"/>
                    <w:rPr>
                      <w:lang w:eastAsia="en-US"/>
                    </w:rPr>
                  </w:pPr>
                </w:p>
              </w:tc>
              <w:tc>
                <w:tcPr>
                  <w:tcW w:w="2712" w:type="pct"/>
                  <w:gridSpan w:val="2"/>
                  <w:tcBorders>
                    <w:top w:val="single" w:sz="4" w:space="0" w:color="auto"/>
                    <w:left w:val="nil"/>
                    <w:bottom w:val="nil"/>
                    <w:right w:val="nil"/>
                  </w:tcBorders>
                </w:tcPr>
                <w:p w:rsidR="00C01E51" w:rsidRPr="00EC1045" w:rsidRDefault="00C01E51" w:rsidP="00A20B7E">
                  <w:pPr>
                    <w:pStyle w:val="ParastaisWeb"/>
                    <w:spacing w:before="0" w:beforeAutospacing="0" w:after="0" w:afterAutospacing="0"/>
                    <w:ind w:firstLine="720"/>
                    <w:rPr>
                      <w:lang w:eastAsia="en-US"/>
                    </w:rPr>
                  </w:pPr>
                </w:p>
              </w:tc>
            </w:tr>
            <w:tr w:rsidR="00F64DE4" w:rsidRPr="00EC1045" w:rsidTr="009A3DFD">
              <w:tc>
                <w:tcPr>
                  <w:tcW w:w="2288" w:type="pct"/>
                  <w:hideMark/>
                </w:tcPr>
                <w:p w:rsidR="00C01E51" w:rsidRPr="00EC1045" w:rsidRDefault="00F64DE4" w:rsidP="00A20B7E">
                  <w:pPr>
                    <w:pStyle w:val="naiskr"/>
                    <w:spacing w:before="0" w:after="0"/>
                    <w:rPr>
                      <w:lang w:eastAsia="en-US"/>
                    </w:rPr>
                  </w:pPr>
                  <w:r w:rsidRPr="00EC1045">
                    <w:rPr>
                      <w:sz w:val="22"/>
                      <w:szCs w:val="22"/>
                      <w:lang w:eastAsia="en-US"/>
                    </w:rPr>
                    <w:t>Saskaņošanas dalībnieki</w:t>
                  </w:r>
                </w:p>
              </w:tc>
              <w:tc>
                <w:tcPr>
                  <w:tcW w:w="2712" w:type="pct"/>
                  <w:gridSpan w:val="2"/>
                  <w:tcBorders>
                    <w:top w:val="nil"/>
                    <w:left w:val="nil"/>
                    <w:bottom w:val="single" w:sz="4" w:space="0" w:color="auto"/>
                    <w:right w:val="nil"/>
                  </w:tcBorders>
                  <w:hideMark/>
                </w:tcPr>
                <w:p w:rsidR="007B02F3" w:rsidRPr="00EC1045" w:rsidRDefault="00E56149" w:rsidP="00EC1045">
                  <w:pPr>
                    <w:pStyle w:val="ParastaisWeb"/>
                    <w:spacing w:before="0" w:beforeAutospacing="0" w:after="0" w:afterAutospacing="0"/>
                    <w:ind w:left="34"/>
                    <w:jc w:val="both"/>
                    <w:rPr>
                      <w:lang w:eastAsia="en-US"/>
                    </w:rPr>
                  </w:pPr>
                  <w:r w:rsidRPr="00EC1045">
                    <w:rPr>
                      <w:sz w:val="22"/>
                      <w:szCs w:val="22"/>
                    </w:rPr>
                    <w:t xml:space="preserve">Finanšu ministrija, </w:t>
                  </w:r>
                  <w:r w:rsidR="00EC1045">
                    <w:rPr>
                      <w:sz w:val="22"/>
                      <w:szCs w:val="22"/>
                    </w:rPr>
                    <w:t>Tieslietu ministrija, Pārresoru koordinācijas centrs</w:t>
                  </w:r>
                </w:p>
              </w:tc>
            </w:tr>
            <w:tr w:rsidR="00F64DE4" w:rsidRPr="00EC1045" w:rsidTr="009A3DFD">
              <w:trPr>
                <w:trHeight w:val="208"/>
              </w:trPr>
              <w:tc>
                <w:tcPr>
                  <w:tcW w:w="2288" w:type="pct"/>
                </w:tcPr>
                <w:p w:rsidR="00C01E51" w:rsidRPr="00EC1045" w:rsidRDefault="00C01E51" w:rsidP="00A20B7E">
                  <w:pPr>
                    <w:pStyle w:val="naiskr"/>
                    <w:spacing w:before="0" w:after="0"/>
                    <w:rPr>
                      <w:lang w:eastAsia="en-US"/>
                    </w:rPr>
                  </w:pPr>
                </w:p>
              </w:tc>
              <w:tc>
                <w:tcPr>
                  <w:tcW w:w="582" w:type="pct"/>
                </w:tcPr>
                <w:p w:rsidR="00C01E51" w:rsidRPr="00EC1045" w:rsidRDefault="00C01E51" w:rsidP="00A20B7E">
                  <w:pPr>
                    <w:pStyle w:val="naiskr"/>
                    <w:spacing w:before="0" w:after="0"/>
                    <w:ind w:firstLine="720"/>
                    <w:rPr>
                      <w:lang w:eastAsia="en-US"/>
                    </w:rPr>
                  </w:pPr>
                </w:p>
              </w:tc>
              <w:tc>
                <w:tcPr>
                  <w:tcW w:w="2129" w:type="pct"/>
                </w:tcPr>
                <w:p w:rsidR="00C01E51" w:rsidRPr="00EC1045" w:rsidRDefault="00C01E51" w:rsidP="00A20B7E">
                  <w:pPr>
                    <w:pStyle w:val="naiskr"/>
                    <w:spacing w:before="0" w:after="0"/>
                    <w:ind w:firstLine="12"/>
                    <w:rPr>
                      <w:lang w:eastAsia="en-US"/>
                    </w:rPr>
                  </w:pPr>
                </w:p>
              </w:tc>
            </w:tr>
            <w:tr w:rsidR="00F64DE4" w:rsidRPr="00EC1045" w:rsidTr="009A3DFD">
              <w:trPr>
                <w:trHeight w:val="461"/>
              </w:trPr>
              <w:tc>
                <w:tcPr>
                  <w:tcW w:w="2288" w:type="pct"/>
                  <w:hideMark/>
                </w:tcPr>
                <w:p w:rsidR="00C01E51" w:rsidRPr="00EC1045" w:rsidRDefault="00F64DE4" w:rsidP="00A20B7E">
                  <w:pPr>
                    <w:pStyle w:val="naiskr"/>
                    <w:spacing w:before="0" w:after="0"/>
                    <w:ind w:right="500"/>
                    <w:rPr>
                      <w:lang w:eastAsia="en-US"/>
                    </w:rPr>
                  </w:pPr>
                  <w:r w:rsidRPr="00EC1045">
                    <w:rPr>
                      <w:sz w:val="22"/>
                      <w:szCs w:val="22"/>
                      <w:lang w:eastAsia="en-US"/>
                    </w:rPr>
                    <w:t>Saskaņošanas dalībnieki izskatīja šādu ministriju (citu institūciju) iebildumus</w:t>
                  </w:r>
                  <w:bookmarkStart w:id="0" w:name="_GoBack"/>
                  <w:bookmarkEnd w:id="0"/>
                </w:p>
              </w:tc>
              <w:tc>
                <w:tcPr>
                  <w:tcW w:w="2712" w:type="pct"/>
                  <w:gridSpan w:val="2"/>
                  <w:tcBorders>
                    <w:top w:val="nil"/>
                    <w:left w:val="nil"/>
                    <w:bottom w:val="single" w:sz="4" w:space="0" w:color="auto"/>
                    <w:right w:val="nil"/>
                  </w:tcBorders>
                  <w:hideMark/>
                </w:tcPr>
                <w:p w:rsidR="00EC1045" w:rsidRDefault="00EC1045" w:rsidP="00620F17">
                  <w:pPr>
                    <w:pStyle w:val="naiskr"/>
                    <w:spacing w:before="0" w:after="0"/>
                    <w:ind w:right="-149" w:hanging="7"/>
                    <w:jc w:val="both"/>
                  </w:pPr>
                </w:p>
                <w:p w:rsidR="007B02F3" w:rsidRPr="00EC1045" w:rsidRDefault="0014658E" w:rsidP="00620F17">
                  <w:pPr>
                    <w:pStyle w:val="naiskr"/>
                    <w:spacing w:before="0" w:after="0"/>
                    <w:ind w:right="-149" w:hanging="7"/>
                    <w:jc w:val="both"/>
                    <w:rPr>
                      <w:lang w:eastAsia="en-US"/>
                    </w:rPr>
                  </w:pPr>
                  <w:r w:rsidRPr="00EC1045">
                    <w:rPr>
                      <w:sz w:val="22"/>
                      <w:szCs w:val="22"/>
                    </w:rPr>
                    <w:t>Finanšu ministrija</w:t>
                  </w:r>
                </w:p>
              </w:tc>
            </w:tr>
            <w:tr w:rsidR="00F64DE4" w:rsidRPr="00EC1045" w:rsidTr="009A3DFD">
              <w:tc>
                <w:tcPr>
                  <w:tcW w:w="2288" w:type="pct"/>
                  <w:hideMark/>
                </w:tcPr>
                <w:p w:rsidR="009A3DFD" w:rsidRPr="00EC1045" w:rsidRDefault="009A3DFD" w:rsidP="00A20B7E">
                  <w:pPr>
                    <w:pStyle w:val="naiskr"/>
                    <w:spacing w:before="0" w:after="0"/>
                    <w:ind w:right="500"/>
                    <w:rPr>
                      <w:lang w:eastAsia="en-US"/>
                    </w:rPr>
                  </w:pPr>
                </w:p>
                <w:p w:rsidR="00C01E51" w:rsidRPr="00EC1045" w:rsidRDefault="00F64DE4" w:rsidP="00A20B7E">
                  <w:pPr>
                    <w:pStyle w:val="naiskr"/>
                    <w:spacing w:before="0" w:after="0"/>
                    <w:ind w:right="500"/>
                    <w:rPr>
                      <w:lang w:eastAsia="en-US"/>
                    </w:rPr>
                  </w:pPr>
                  <w:r w:rsidRPr="00EC1045">
                    <w:rPr>
                      <w:sz w:val="22"/>
                      <w:szCs w:val="22"/>
                      <w:lang w:eastAsia="en-US"/>
                    </w:rPr>
                    <w:t>Ministrijas (citas institūcijas), kuras nav ieradušās uz sanāksmi vai kuras nav atbildējušas uz uzaicinājumu piedalīties elektroniskajā saskaņošanā</w:t>
                  </w:r>
                </w:p>
              </w:tc>
              <w:tc>
                <w:tcPr>
                  <w:tcW w:w="2712" w:type="pct"/>
                  <w:gridSpan w:val="2"/>
                  <w:tcBorders>
                    <w:top w:val="nil"/>
                    <w:left w:val="nil"/>
                    <w:bottom w:val="single" w:sz="4" w:space="0" w:color="auto"/>
                    <w:right w:val="nil"/>
                  </w:tcBorders>
                </w:tcPr>
                <w:p w:rsidR="00C01E51" w:rsidRPr="00EC1045" w:rsidRDefault="00C01E51" w:rsidP="00732E95">
                  <w:pPr>
                    <w:pStyle w:val="naiskr"/>
                    <w:spacing w:before="0" w:after="0"/>
                    <w:ind w:right="34"/>
                    <w:jc w:val="both"/>
                    <w:rPr>
                      <w:lang w:eastAsia="en-US"/>
                    </w:rPr>
                  </w:pPr>
                </w:p>
              </w:tc>
            </w:tr>
          </w:tbl>
          <w:p w:rsidR="0062324C" w:rsidRPr="00EC1045" w:rsidRDefault="0062324C" w:rsidP="00A20B7E">
            <w:pPr>
              <w:pStyle w:val="naiskr"/>
              <w:spacing w:before="0" w:after="0"/>
              <w:ind w:right="500" w:firstLine="720"/>
              <w:rPr>
                <w:lang w:eastAsia="en-US"/>
              </w:rPr>
            </w:pPr>
          </w:p>
        </w:tc>
      </w:tr>
    </w:tbl>
    <w:p w:rsidR="00A62EFE" w:rsidRPr="00EC1045" w:rsidRDefault="00A62EFE" w:rsidP="00A20B7E">
      <w:pPr>
        <w:pStyle w:val="naisnod"/>
        <w:spacing w:before="0" w:after="0"/>
        <w:ind w:left="57" w:right="57"/>
        <w:contextualSpacing/>
        <w:mirrorIndents/>
        <w:rPr>
          <w:sz w:val="22"/>
          <w:szCs w:val="22"/>
        </w:rPr>
      </w:pPr>
    </w:p>
    <w:p w:rsidR="00A62EFE" w:rsidRPr="00EC1045" w:rsidRDefault="00A62EFE" w:rsidP="00A20B7E">
      <w:pPr>
        <w:pStyle w:val="naisnod"/>
        <w:spacing w:before="0" w:after="0"/>
        <w:ind w:left="57" w:right="57"/>
        <w:contextualSpacing/>
        <w:mirrorIndents/>
        <w:rPr>
          <w:sz w:val="22"/>
          <w:szCs w:val="22"/>
        </w:rPr>
      </w:pPr>
    </w:p>
    <w:p w:rsidR="001F5536" w:rsidRPr="00EC1045" w:rsidRDefault="001F5536">
      <w:pPr>
        <w:spacing w:after="200" w:line="276" w:lineRule="auto"/>
        <w:rPr>
          <w:b/>
          <w:bCs/>
          <w:sz w:val="22"/>
          <w:szCs w:val="22"/>
        </w:rPr>
      </w:pPr>
      <w:r w:rsidRPr="00EC1045">
        <w:rPr>
          <w:sz w:val="22"/>
          <w:szCs w:val="22"/>
        </w:rPr>
        <w:br w:type="page"/>
      </w:r>
    </w:p>
    <w:p w:rsidR="00F64DE4" w:rsidRPr="00EC1045" w:rsidRDefault="00F64DE4" w:rsidP="00A20B7E">
      <w:pPr>
        <w:pStyle w:val="naisnod"/>
        <w:spacing w:before="0" w:after="0"/>
        <w:ind w:left="57" w:right="57"/>
        <w:contextualSpacing/>
        <w:mirrorIndents/>
        <w:rPr>
          <w:sz w:val="22"/>
          <w:szCs w:val="22"/>
        </w:rPr>
      </w:pPr>
      <w:r w:rsidRPr="00EC1045">
        <w:rPr>
          <w:sz w:val="22"/>
          <w:szCs w:val="22"/>
        </w:rPr>
        <w:lastRenderedPageBreak/>
        <w:t>II. Jautājumi, par kuriem saskaņošanā vienošanās ir panākta</w:t>
      </w:r>
    </w:p>
    <w:p w:rsidR="00F64DE4" w:rsidRPr="00EC1045" w:rsidRDefault="00F64DE4" w:rsidP="00A20B7E">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686"/>
        <w:gridCol w:w="3384"/>
        <w:gridCol w:w="3384"/>
        <w:gridCol w:w="3384"/>
        <w:gridCol w:w="3381"/>
      </w:tblGrid>
      <w:tr w:rsidR="00F64DE4" w:rsidRPr="00EC1045" w:rsidTr="009A3DFD">
        <w:tc>
          <w:tcPr>
            <w:tcW w:w="241" w:type="pct"/>
            <w:tcBorders>
              <w:top w:val="single" w:sz="6" w:space="0" w:color="000000"/>
              <w:left w:val="single" w:sz="6" w:space="0" w:color="000000"/>
              <w:bottom w:val="single" w:sz="6" w:space="0" w:color="000000"/>
              <w:right w:val="single" w:sz="6" w:space="0" w:color="000000"/>
            </w:tcBorders>
            <w:vAlign w:val="center"/>
          </w:tcPr>
          <w:p w:rsidR="00C01E51" w:rsidRPr="00EC1045" w:rsidRDefault="00C01E51" w:rsidP="00A20B7E">
            <w:pPr>
              <w:pStyle w:val="naisc"/>
              <w:spacing w:before="0" w:after="0"/>
              <w:rPr>
                <w:lang w:eastAsia="en-US"/>
              </w:rPr>
            </w:pPr>
          </w:p>
        </w:tc>
        <w:tc>
          <w:tcPr>
            <w:tcW w:w="1190"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ind w:firstLine="12"/>
              <w:rPr>
                <w:lang w:eastAsia="en-US"/>
              </w:rPr>
            </w:pPr>
            <w:r w:rsidRPr="00EC1045">
              <w:rPr>
                <w:sz w:val="22"/>
                <w:szCs w:val="22"/>
                <w:lang w:eastAsia="en-US"/>
              </w:rPr>
              <w:t>Saskaņošanai nosūtītā projekta redakcija (konkrēta punkta (panta) redakcija)</w:t>
            </w:r>
          </w:p>
        </w:tc>
        <w:tc>
          <w:tcPr>
            <w:tcW w:w="1190"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ind w:right="31"/>
              <w:rPr>
                <w:lang w:eastAsia="en-US"/>
              </w:rPr>
            </w:pPr>
            <w:r w:rsidRPr="00EC1045">
              <w:rPr>
                <w:sz w:val="22"/>
                <w:szCs w:val="22"/>
                <w:lang w:eastAsia="en-US"/>
              </w:rPr>
              <w:t>Atzinumā norādītais ministrijas (citas institūcijas) iebildums, kā arī saskaņošanā papildus izteiktais iebildums par projekta konkrēto punktu (pantu)</w:t>
            </w:r>
          </w:p>
        </w:tc>
        <w:tc>
          <w:tcPr>
            <w:tcW w:w="1190" w:type="pct"/>
            <w:tcBorders>
              <w:top w:val="single" w:sz="6" w:space="0" w:color="000000"/>
              <w:left w:val="single" w:sz="6" w:space="0" w:color="000000"/>
              <w:bottom w:val="single" w:sz="6" w:space="0" w:color="000000"/>
              <w:right w:val="single" w:sz="6" w:space="0" w:color="000000"/>
            </w:tcBorders>
            <w:vAlign w:val="center"/>
            <w:hideMark/>
          </w:tcPr>
          <w:p w:rsidR="00C01E51" w:rsidRPr="00EC1045" w:rsidRDefault="00F64DE4" w:rsidP="00A20B7E">
            <w:pPr>
              <w:pStyle w:val="naisc"/>
              <w:spacing w:before="0" w:after="0"/>
              <w:rPr>
                <w:lang w:eastAsia="en-US"/>
              </w:rPr>
            </w:pPr>
            <w:r w:rsidRPr="00EC1045">
              <w:rPr>
                <w:sz w:val="22"/>
                <w:szCs w:val="22"/>
                <w:lang w:eastAsia="en-US"/>
              </w:rPr>
              <w:t xml:space="preserve">Atbildīgās ministrijas norāde par to, ka </w:t>
            </w:r>
            <w:r w:rsidR="00734AC4" w:rsidRPr="00EC1045">
              <w:rPr>
                <w:sz w:val="22"/>
                <w:szCs w:val="22"/>
                <w:lang w:eastAsia="en-US"/>
              </w:rPr>
              <w:t>iebildums ir ņemts vērā, vai informācija par saskaņošanā panākto alternatīvo risinājumu</w:t>
            </w:r>
          </w:p>
        </w:tc>
        <w:tc>
          <w:tcPr>
            <w:tcW w:w="1189" w:type="pct"/>
            <w:tcBorders>
              <w:top w:val="single" w:sz="4" w:space="0" w:color="auto"/>
              <w:left w:val="single" w:sz="4" w:space="0" w:color="auto"/>
              <w:bottom w:val="single" w:sz="4" w:space="0" w:color="auto"/>
              <w:right w:val="single" w:sz="4" w:space="0" w:color="auto"/>
            </w:tcBorders>
            <w:vAlign w:val="center"/>
            <w:hideMark/>
          </w:tcPr>
          <w:p w:rsidR="00C01E51" w:rsidRPr="00EC1045" w:rsidRDefault="00F64DE4" w:rsidP="00A20B7E">
            <w:pPr>
              <w:pStyle w:val="naisc"/>
              <w:spacing w:before="0" w:after="0"/>
              <w:rPr>
                <w:lang w:eastAsia="en-US"/>
              </w:rPr>
            </w:pPr>
            <w:r w:rsidRPr="00EC1045">
              <w:rPr>
                <w:sz w:val="22"/>
                <w:szCs w:val="22"/>
                <w:lang w:eastAsia="en-US"/>
              </w:rPr>
              <w:t>Projekta attiecīgā punkta (panta) galīgā redakcija</w:t>
            </w:r>
          </w:p>
        </w:tc>
      </w:tr>
      <w:tr w:rsidR="00F64DE4" w:rsidRPr="00EC1045" w:rsidTr="009A3DFD">
        <w:tc>
          <w:tcPr>
            <w:tcW w:w="241" w:type="pct"/>
            <w:tcBorders>
              <w:top w:val="single" w:sz="6" w:space="0" w:color="000000"/>
              <w:left w:val="single" w:sz="6" w:space="0" w:color="000000"/>
              <w:bottom w:val="single" w:sz="4" w:space="0" w:color="auto"/>
              <w:right w:val="single" w:sz="6" w:space="0" w:color="000000"/>
            </w:tcBorders>
            <w:hideMark/>
          </w:tcPr>
          <w:p w:rsidR="00C01E51" w:rsidRPr="00EC1045" w:rsidRDefault="00F64DE4" w:rsidP="00A20B7E">
            <w:pPr>
              <w:pStyle w:val="naisc"/>
              <w:spacing w:before="0" w:after="0"/>
              <w:rPr>
                <w:lang w:eastAsia="en-US"/>
              </w:rPr>
            </w:pPr>
            <w:r w:rsidRPr="00EC1045">
              <w:rPr>
                <w:sz w:val="22"/>
                <w:szCs w:val="22"/>
                <w:lang w:eastAsia="en-US"/>
              </w:rPr>
              <w:t>1</w:t>
            </w:r>
          </w:p>
        </w:tc>
        <w:tc>
          <w:tcPr>
            <w:tcW w:w="1190" w:type="pct"/>
            <w:tcBorders>
              <w:top w:val="single" w:sz="6" w:space="0" w:color="000000"/>
              <w:left w:val="single" w:sz="6" w:space="0" w:color="000000"/>
              <w:bottom w:val="single" w:sz="4" w:space="0" w:color="auto"/>
              <w:right w:val="single" w:sz="6" w:space="0" w:color="000000"/>
            </w:tcBorders>
            <w:hideMark/>
          </w:tcPr>
          <w:p w:rsidR="00C01E51" w:rsidRPr="00EC1045" w:rsidRDefault="00F64DE4" w:rsidP="00A20B7E">
            <w:pPr>
              <w:pStyle w:val="naisc"/>
              <w:spacing w:before="0" w:after="0"/>
              <w:ind w:firstLine="12"/>
              <w:rPr>
                <w:lang w:eastAsia="en-US"/>
              </w:rPr>
            </w:pPr>
            <w:r w:rsidRPr="00EC1045">
              <w:rPr>
                <w:sz w:val="22"/>
                <w:szCs w:val="22"/>
                <w:lang w:eastAsia="en-US"/>
              </w:rPr>
              <w:t>2</w:t>
            </w:r>
          </w:p>
        </w:tc>
        <w:tc>
          <w:tcPr>
            <w:tcW w:w="1190" w:type="pct"/>
            <w:tcBorders>
              <w:top w:val="single" w:sz="6" w:space="0" w:color="000000"/>
              <w:left w:val="single" w:sz="6" w:space="0" w:color="000000"/>
              <w:bottom w:val="single" w:sz="4" w:space="0" w:color="auto"/>
              <w:right w:val="single" w:sz="6" w:space="0" w:color="000000"/>
            </w:tcBorders>
            <w:hideMark/>
          </w:tcPr>
          <w:p w:rsidR="00C01E51" w:rsidRPr="00EC1045" w:rsidRDefault="00F64DE4" w:rsidP="00A20B7E">
            <w:pPr>
              <w:pStyle w:val="naisc"/>
              <w:spacing w:before="0" w:after="0"/>
              <w:ind w:right="31"/>
              <w:rPr>
                <w:lang w:eastAsia="en-US"/>
              </w:rPr>
            </w:pPr>
            <w:r w:rsidRPr="00EC1045">
              <w:rPr>
                <w:sz w:val="22"/>
                <w:szCs w:val="22"/>
                <w:lang w:eastAsia="en-US"/>
              </w:rPr>
              <w:t>3</w:t>
            </w:r>
          </w:p>
        </w:tc>
        <w:tc>
          <w:tcPr>
            <w:tcW w:w="1190" w:type="pct"/>
            <w:tcBorders>
              <w:top w:val="single" w:sz="6" w:space="0" w:color="000000"/>
              <w:left w:val="single" w:sz="6" w:space="0" w:color="000000"/>
              <w:bottom w:val="single" w:sz="4" w:space="0" w:color="auto"/>
              <w:right w:val="single" w:sz="6" w:space="0" w:color="000000"/>
            </w:tcBorders>
            <w:hideMark/>
          </w:tcPr>
          <w:p w:rsidR="00C01E51" w:rsidRPr="00EC1045" w:rsidRDefault="00F64DE4" w:rsidP="00A20B7E">
            <w:pPr>
              <w:pStyle w:val="naisc"/>
              <w:spacing w:before="0" w:after="0"/>
              <w:rPr>
                <w:lang w:eastAsia="en-US"/>
              </w:rPr>
            </w:pPr>
            <w:r w:rsidRPr="00EC1045">
              <w:rPr>
                <w:sz w:val="22"/>
                <w:szCs w:val="22"/>
                <w:lang w:eastAsia="en-US"/>
              </w:rPr>
              <w:t>4</w:t>
            </w:r>
          </w:p>
        </w:tc>
        <w:tc>
          <w:tcPr>
            <w:tcW w:w="1189" w:type="pct"/>
            <w:tcBorders>
              <w:top w:val="single" w:sz="4" w:space="0" w:color="auto"/>
              <w:left w:val="single" w:sz="4" w:space="0" w:color="auto"/>
              <w:bottom w:val="single" w:sz="4" w:space="0" w:color="auto"/>
              <w:right w:val="single" w:sz="4" w:space="0" w:color="auto"/>
            </w:tcBorders>
            <w:hideMark/>
          </w:tcPr>
          <w:p w:rsidR="00C01E51" w:rsidRPr="00EC1045" w:rsidRDefault="00F64DE4" w:rsidP="00A20B7E">
            <w:pPr>
              <w:jc w:val="center"/>
              <w:rPr>
                <w:lang w:eastAsia="en-US"/>
              </w:rPr>
            </w:pPr>
            <w:r w:rsidRPr="00EC1045">
              <w:rPr>
                <w:sz w:val="22"/>
                <w:szCs w:val="22"/>
                <w:lang w:eastAsia="en-US"/>
              </w:rPr>
              <w:t>5</w:t>
            </w:r>
          </w:p>
        </w:tc>
      </w:tr>
      <w:tr w:rsidR="0014658E" w:rsidRPr="00EC1045" w:rsidTr="009A3DFD">
        <w:tc>
          <w:tcPr>
            <w:tcW w:w="241" w:type="pct"/>
            <w:tcBorders>
              <w:top w:val="single" w:sz="4" w:space="0" w:color="auto"/>
              <w:left w:val="single" w:sz="6" w:space="0" w:color="000000"/>
              <w:bottom w:val="single" w:sz="4" w:space="0" w:color="auto"/>
              <w:right w:val="single" w:sz="6" w:space="0" w:color="000000"/>
            </w:tcBorders>
            <w:shd w:val="clear" w:color="auto" w:fill="auto"/>
          </w:tcPr>
          <w:p w:rsidR="0014658E" w:rsidRPr="00EC1045" w:rsidRDefault="0014658E" w:rsidP="009A3DFD">
            <w:pPr>
              <w:pStyle w:val="naisc"/>
              <w:numPr>
                <w:ilvl w:val="0"/>
                <w:numId w:val="12"/>
              </w:numPr>
              <w:spacing w:before="0" w:after="0"/>
              <w:ind w:left="0" w:firstLine="0"/>
            </w:pPr>
          </w:p>
        </w:tc>
        <w:tc>
          <w:tcPr>
            <w:tcW w:w="1190" w:type="pct"/>
            <w:tcBorders>
              <w:top w:val="single" w:sz="4" w:space="0" w:color="auto"/>
              <w:left w:val="single" w:sz="6" w:space="0" w:color="000000"/>
              <w:bottom w:val="single" w:sz="4" w:space="0" w:color="auto"/>
              <w:right w:val="single" w:sz="6" w:space="0" w:color="000000"/>
            </w:tcBorders>
            <w:shd w:val="clear" w:color="auto" w:fill="auto"/>
          </w:tcPr>
          <w:p w:rsidR="00F670D5" w:rsidRDefault="00EC1045" w:rsidP="006F146B">
            <w:pPr>
              <w:pStyle w:val="naisc"/>
              <w:spacing w:before="0" w:after="0"/>
              <w:jc w:val="both"/>
            </w:pPr>
            <w:r w:rsidRPr="00EC1045">
              <w:rPr>
                <w:sz w:val="22"/>
                <w:szCs w:val="22"/>
              </w:rPr>
              <w:t>Ministru kabineta rīkojuma projekta „Par valstij dividendēs izmaksājamo valsts sabiedrības ar ierobežotu atbildību „Latvijas Radio” peļņas daļu par 2018.gadu”</w:t>
            </w:r>
            <w:r w:rsidR="006F146B">
              <w:rPr>
                <w:sz w:val="22"/>
                <w:szCs w:val="22"/>
              </w:rPr>
              <w:t xml:space="preserve"> (turpmāk – Rīkojuma projekts)</w:t>
            </w:r>
            <w:r w:rsidRPr="00EC1045">
              <w:rPr>
                <w:sz w:val="22"/>
                <w:szCs w:val="22"/>
              </w:rPr>
              <w:t xml:space="preserve"> sākotnējā</w:t>
            </w:r>
            <w:r w:rsidR="006F146B">
              <w:rPr>
                <w:sz w:val="22"/>
                <w:szCs w:val="22"/>
              </w:rPr>
              <w:t>s ietekmes novērtējuma ziņojuma</w:t>
            </w:r>
            <w:r w:rsidRPr="00EC1045">
              <w:rPr>
                <w:sz w:val="22"/>
                <w:szCs w:val="22"/>
              </w:rPr>
              <w:t xml:space="preserve"> (anotācija</w:t>
            </w:r>
            <w:r w:rsidR="006F146B">
              <w:rPr>
                <w:sz w:val="22"/>
                <w:szCs w:val="22"/>
              </w:rPr>
              <w:t>s</w:t>
            </w:r>
            <w:r w:rsidRPr="00EC1045">
              <w:rPr>
                <w:sz w:val="22"/>
                <w:szCs w:val="22"/>
              </w:rPr>
              <w:t xml:space="preserve">) </w:t>
            </w:r>
            <w:r w:rsidR="00D3592F" w:rsidRPr="00EC1045">
              <w:rPr>
                <w:sz w:val="22"/>
                <w:szCs w:val="22"/>
              </w:rPr>
              <w:t>I</w:t>
            </w:r>
            <w:r>
              <w:rPr>
                <w:sz w:val="22"/>
                <w:szCs w:val="22"/>
              </w:rPr>
              <w:t xml:space="preserve"> </w:t>
            </w:r>
            <w:r w:rsidR="006F146B">
              <w:rPr>
                <w:sz w:val="22"/>
                <w:szCs w:val="22"/>
              </w:rPr>
              <w:t>sadaļas 2.punkts:</w:t>
            </w:r>
          </w:p>
          <w:p w:rsidR="006F146B" w:rsidRDefault="006F146B" w:rsidP="006F146B">
            <w:pPr>
              <w:pStyle w:val="naisc"/>
              <w:spacing w:before="0" w:after="0"/>
              <w:jc w:val="both"/>
            </w:pPr>
          </w:p>
          <w:p w:rsidR="006F146B" w:rsidRDefault="006F146B" w:rsidP="006F146B">
            <w:pPr>
              <w:pStyle w:val="naisc"/>
              <w:spacing w:before="0" w:after="0"/>
              <w:jc w:val="both"/>
            </w:pPr>
            <w:r w:rsidRPr="006F146B">
              <w:rPr>
                <w:sz w:val="22"/>
                <w:szCs w:val="22"/>
              </w:rPr>
              <w:t>„Ievērojot minēto, tiek ierosināts dividendēs izmaksājamo peļņas daļu saglabāt Latvijas Radio rīcībā un novirzīt kapitālieguldījumiem Latvijas Radio tehniskajā no</w:t>
            </w:r>
            <w:r>
              <w:rPr>
                <w:sz w:val="22"/>
                <w:szCs w:val="22"/>
              </w:rPr>
              <w:t>drošinājumā un infrastruktūrā (d</w:t>
            </w:r>
            <w:r w:rsidRPr="006F146B">
              <w:rPr>
                <w:sz w:val="22"/>
                <w:szCs w:val="22"/>
              </w:rPr>
              <w:t>etalizētu informāciju pa izdevumu pozīcijām skatīt Projekta sākotnējās ietekmes novērtējuma ziņojuma (anotācijas) III sadaļā).”</w:t>
            </w:r>
          </w:p>
          <w:p w:rsidR="006F146B" w:rsidRPr="006F146B" w:rsidRDefault="006F146B" w:rsidP="006F146B">
            <w:pPr>
              <w:pStyle w:val="naisc"/>
              <w:spacing w:before="0" w:after="0"/>
              <w:jc w:val="both"/>
            </w:pPr>
          </w:p>
          <w:p w:rsidR="006F146B" w:rsidRPr="006F146B" w:rsidRDefault="006F146B" w:rsidP="006F146B">
            <w:pPr>
              <w:pStyle w:val="naisc"/>
              <w:spacing w:before="0" w:after="0"/>
              <w:jc w:val="both"/>
            </w:pPr>
            <w:r>
              <w:rPr>
                <w:sz w:val="22"/>
                <w:szCs w:val="22"/>
              </w:rPr>
              <w:t>Rīkojuma projekta</w:t>
            </w:r>
            <w:r w:rsidRPr="00EC1045">
              <w:rPr>
                <w:sz w:val="22"/>
                <w:szCs w:val="22"/>
              </w:rPr>
              <w:t xml:space="preserve"> sākotnējā</w:t>
            </w:r>
            <w:r>
              <w:rPr>
                <w:sz w:val="22"/>
                <w:szCs w:val="22"/>
              </w:rPr>
              <w:t>s ietekmes novērtējuma ziņojuma</w:t>
            </w:r>
            <w:r w:rsidRPr="00EC1045">
              <w:rPr>
                <w:sz w:val="22"/>
                <w:szCs w:val="22"/>
              </w:rPr>
              <w:t xml:space="preserve"> (anotācija</w:t>
            </w:r>
            <w:r>
              <w:rPr>
                <w:sz w:val="22"/>
                <w:szCs w:val="22"/>
              </w:rPr>
              <w:t>s</w:t>
            </w:r>
            <w:r w:rsidRPr="00EC1045">
              <w:rPr>
                <w:sz w:val="22"/>
                <w:szCs w:val="22"/>
              </w:rPr>
              <w:t>)</w:t>
            </w:r>
            <w:r>
              <w:rPr>
                <w:sz w:val="22"/>
                <w:szCs w:val="22"/>
              </w:rPr>
              <w:t xml:space="preserve"> III</w:t>
            </w:r>
            <w:r w:rsidRPr="006F146B">
              <w:rPr>
                <w:sz w:val="22"/>
                <w:szCs w:val="22"/>
              </w:rPr>
              <w:t xml:space="preserve"> sadaļas 6.punkts:</w:t>
            </w:r>
          </w:p>
          <w:p w:rsidR="006F146B" w:rsidRDefault="006F146B" w:rsidP="006F146B">
            <w:pPr>
              <w:pStyle w:val="naisc"/>
              <w:spacing w:before="0" w:after="0"/>
              <w:jc w:val="both"/>
            </w:pPr>
          </w:p>
          <w:p w:rsidR="00EC1045" w:rsidRPr="00EC1045" w:rsidRDefault="006F146B" w:rsidP="006F146B">
            <w:pPr>
              <w:pStyle w:val="naisc"/>
              <w:spacing w:before="0" w:after="0"/>
              <w:jc w:val="both"/>
            </w:pPr>
            <w:r w:rsidRPr="006F146B">
              <w:rPr>
                <w:sz w:val="22"/>
                <w:szCs w:val="22"/>
              </w:rPr>
              <w:t xml:space="preserve">„Peļņas daļu 138 234 </w:t>
            </w:r>
            <w:r w:rsidRPr="006F146B">
              <w:rPr>
                <w:i/>
                <w:sz w:val="22"/>
                <w:szCs w:val="22"/>
              </w:rPr>
              <w:t>euro</w:t>
            </w:r>
            <w:r w:rsidRPr="006F146B">
              <w:rPr>
                <w:sz w:val="22"/>
                <w:szCs w:val="22"/>
              </w:rPr>
              <w:t xml:space="preserve"> apmērā plānots novirzīt kapitālieguldījumiem Latvijas </w:t>
            </w:r>
            <w:r w:rsidRPr="006F146B">
              <w:rPr>
                <w:sz w:val="22"/>
                <w:szCs w:val="22"/>
              </w:rPr>
              <w:lastRenderedPageBreak/>
              <w:t xml:space="preserve">Radio tehniskajā nodrošinājumā un </w:t>
            </w:r>
            <w:r>
              <w:rPr>
                <w:sz w:val="22"/>
                <w:szCs w:val="22"/>
              </w:rPr>
              <w:t>infrastruktūrā:</w:t>
            </w:r>
            <w:r w:rsidRPr="006F146B">
              <w:rPr>
                <w:sz w:val="22"/>
                <w:szCs w:val="22"/>
              </w:rPr>
              <w:t>”</w:t>
            </w:r>
          </w:p>
          <w:p w:rsidR="00D3592F" w:rsidRPr="00EC1045" w:rsidRDefault="00D3592F" w:rsidP="006F146B">
            <w:pPr>
              <w:pStyle w:val="naisc"/>
              <w:spacing w:before="0" w:after="0"/>
              <w:jc w:val="both"/>
            </w:pP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4658E" w:rsidRPr="00EC1045" w:rsidRDefault="0014658E" w:rsidP="00A20B7E">
            <w:pPr>
              <w:pStyle w:val="naisc"/>
              <w:spacing w:before="0" w:after="0"/>
              <w:jc w:val="both"/>
              <w:rPr>
                <w:b/>
              </w:rPr>
            </w:pPr>
            <w:r w:rsidRPr="00EC1045">
              <w:rPr>
                <w:b/>
                <w:sz w:val="22"/>
                <w:szCs w:val="22"/>
              </w:rPr>
              <w:lastRenderedPageBreak/>
              <w:t>Finanšu ministrija:</w:t>
            </w:r>
          </w:p>
          <w:p w:rsidR="00EC1045" w:rsidRPr="00EC1045" w:rsidRDefault="00D3592F" w:rsidP="00EC1045">
            <w:pPr>
              <w:pStyle w:val="Sarakstarindkopa"/>
              <w:ind w:left="0" w:firstLine="325"/>
              <w:jc w:val="both"/>
              <w:rPr>
                <w:rFonts w:ascii="Times New Roman" w:hAnsi="Times New Roman"/>
              </w:rPr>
            </w:pPr>
            <w:r w:rsidRPr="00EC1045">
              <w:rPr>
                <w:rFonts w:ascii="Times New Roman" w:hAnsi="Times New Roman"/>
              </w:rPr>
              <w:t>„</w:t>
            </w:r>
            <w:r w:rsidR="00EC1045" w:rsidRPr="00EC1045">
              <w:rPr>
                <w:rFonts w:ascii="Times New Roman" w:hAnsi="Times New Roman"/>
              </w:rPr>
              <w:t xml:space="preserve">Ņemot vērā to, ka VSIA “Latvijas Radio” atbilstoši Centrālās statistikas pārvaldes izveidotajam un uzturētajam institucionālo vienību klasifikācijas sarakstam ir klasificēta vispārējās valdības sektorā, un sekojoši tā ar savu saimnieciskās un finanšu darbības rezultātu ietekmē vispārējās valdības budžeta bilanci un parādu. Atbilstoši Finanšu ministrijā Nacionālās elektronisko plašsaziņas līdzekļu padomes iesniegtajām prognozēm Latvijas Stabilitātes programmai 2019.-2022.gadam, VSIA “Latvijas radio” neplānoja veikt anotācijā norādītos kapitālieguldījumus. Tādējādi, VSIA “Latvijas Radio” neiemaksāto dividenžu no tīrās peļņas par 2018.gadu novirzīšana papildu kapitālieguldījumu veikšanai 2019.gadā 138 234 </w:t>
            </w:r>
            <w:r w:rsidR="00EC1045" w:rsidRPr="00EC1045">
              <w:rPr>
                <w:rFonts w:ascii="Times New Roman" w:hAnsi="Times New Roman"/>
                <w:i/>
                <w:iCs/>
              </w:rPr>
              <w:t>euro</w:t>
            </w:r>
            <w:r w:rsidR="00EC1045" w:rsidRPr="00EC1045">
              <w:rPr>
                <w:rFonts w:ascii="Times New Roman" w:hAnsi="Times New Roman"/>
              </w:rPr>
              <w:t xml:space="preserve"> apmērā pasliktinās vispārējās valdības budžeta bilanci.</w:t>
            </w:r>
          </w:p>
          <w:p w:rsidR="00EC1045" w:rsidRPr="00EC1045" w:rsidRDefault="00EC1045" w:rsidP="00EC1045">
            <w:pPr>
              <w:pStyle w:val="Sarakstarindkopa"/>
              <w:ind w:left="0" w:firstLine="325"/>
              <w:jc w:val="both"/>
              <w:rPr>
                <w:rFonts w:ascii="Times New Roman" w:hAnsi="Times New Roman"/>
              </w:rPr>
            </w:pPr>
            <w:r w:rsidRPr="00EC1045">
              <w:rPr>
                <w:rFonts w:ascii="Times New Roman" w:hAnsi="Times New Roman"/>
              </w:rPr>
              <w:t xml:space="preserve">Vienlaikus, anotācijā ir norādīts, ka, valsts budžetā </w:t>
            </w:r>
            <w:r w:rsidRPr="00EC1045">
              <w:rPr>
                <w:rFonts w:ascii="Times New Roman" w:hAnsi="Times New Roman"/>
              </w:rPr>
              <w:lastRenderedPageBreak/>
              <w:t xml:space="preserve">neiemaksātās dividendes no peļņas par 2018.gadu novirzāmas VSIA “Latvijas Radio” vidēja termiņa darbības stratēģijā 2019. – 2022.gadam noteikto mērķu sasniegšanai, kā arī sniegta detalizēta informācija par veicamajiem pasākumiem un to izmaksām, bet nav norādīts plānoto pasākumu īstenošanas gads vai arī to sadalījums pa gadiem. Lai izvērtētu anotācijā plānoto pasākumu ietekmi uz vispārējās valdības budžeta bilanci lūdzam sniegt detalizētu informāciju par plānoto izdevumu īstenošanas gadu vai arī to sadalījumu pa gadiem. </w:t>
            </w:r>
          </w:p>
          <w:p w:rsidR="0005684B" w:rsidRPr="00EC1045" w:rsidRDefault="00EC1045" w:rsidP="00EC1045">
            <w:pPr>
              <w:pStyle w:val="Sarakstarindkopa"/>
              <w:ind w:left="0" w:firstLine="325"/>
              <w:jc w:val="both"/>
            </w:pPr>
            <w:r w:rsidRPr="00EC1045">
              <w:rPr>
                <w:rFonts w:ascii="Times New Roman" w:hAnsi="Times New Roman"/>
              </w:rPr>
              <w:t xml:space="preserve">Lūdzam ņemt vērā, ka Ministru kabinets, sagatavojot likumprojektu “Par valsts budžetu 2019.gadam”, ir pilnībā izlietojis atbilstoši nacionālā un ES līmeņa fiskālo nosacījumu prasībām noteiktos papildu pieejamos līdzekļus jeb “fiskālo telpu” valdības prioritāšu finansēšanai 2019.gadā. Vienlaikus, atbilstoši Ministru kabinetā apstiprinātajai Latvijas Stabilitātes programmai 2019.-2022.gadam 2020.un 2021.gadā fiskālā telpa nav pieejama, tādējādi par papildu vispārējās valdības budžeta izdevumiem minētajos gados ir jālemj pēc atjaunoto makroekonomisko un fiskālo prognožu izskatīšanas Ministru </w:t>
            </w:r>
            <w:r w:rsidRPr="00EC1045">
              <w:rPr>
                <w:rFonts w:ascii="Times New Roman" w:hAnsi="Times New Roman"/>
              </w:rPr>
              <w:lastRenderedPageBreak/>
              <w:t>kabinetā likumprojekta “Par valsts budžetu 2020.gadam” un likumprojekta “Par vidēja termiņa budžeta ietvaru 2020., 2021. un 2022.gadam” sagatavošanas procesā.”</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4658E" w:rsidRPr="00EC1045" w:rsidRDefault="0014658E" w:rsidP="00CA4C36">
            <w:pPr>
              <w:pStyle w:val="naisc"/>
              <w:spacing w:before="0" w:after="0"/>
            </w:pPr>
            <w:r w:rsidRPr="00EC1045">
              <w:rPr>
                <w:b/>
                <w:sz w:val="22"/>
                <w:szCs w:val="22"/>
              </w:rPr>
              <w:lastRenderedPageBreak/>
              <w:t>Ņemts vērā</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rsidR="0014658E" w:rsidRPr="00EC1045" w:rsidRDefault="006F146B" w:rsidP="00CA4C36">
            <w:pPr>
              <w:jc w:val="both"/>
              <w:rPr>
                <w:bCs/>
              </w:rPr>
            </w:pPr>
            <w:r>
              <w:rPr>
                <w:sz w:val="22"/>
                <w:szCs w:val="22"/>
              </w:rPr>
              <w:t>R</w:t>
            </w:r>
            <w:r w:rsidR="002374B8" w:rsidRPr="00EC1045">
              <w:rPr>
                <w:sz w:val="22"/>
                <w:szCs w:val="22"/>
              </w:rPr>
              <w:t>īkojuma</w:t>
            </w:r>
            <w:r w:rsidR="00CA4C36" w:rsidRPr="00EC1045">
              <w:rPr>
                <w:sz w:val="22"/>
                <w:szCs w:val="22"/>
              </w:rPr>
              <w:t xml:space="preserve"> </w:t>
            </w:r>
            <w:r>
              <w:rPr>
                <w:sz w:val="22"/>
                <w:szCs w:val="22"/>
              </w:rPr>
              <w:t xml:space="preserve">projekta </w:t>
            </w:r>
            <w:r w:rsidR="00CA4C36" w:rsidRPr="00EC1045">
              <w:rPr>
                <w:sz w:val="22"/>
                <w:szCs w:val="22"/>
              </w:rPr>
              <w:t xml:space="preserve">sākotnējās ietekmes novērtējuma ziņojuma </w:t>
            </w:r>
            <w:bookmarkStart w:id="1" w:name="OLE_LINK8"/>
            <w:bookmarkStart w:id="2" w:name="OLE_LINK7"/>
            <w:bookmarkEnd w:id="1"/>
            <w:bookmarkEnd w:id="2"/>
            <w:r w:rsidR="00CA4C36" w:rsidRPr="00EC1045">
              <w:rPr>
                <w:sz w:val="22"/>
                <w:szCs w:val="22"/>
              </w:rPr>
              <w:t>(</w:t>
            </w:r>
            <w:r w:rsidR="00C137C4" w:rsidRPr="00EC1045">
              <w:rPr>
                <w:bCs/>
                <w:sz w:val="22"/>
                <w:szCs w:val="22"/>
              </w:rPr>
              <w:t>anotācijas</w:t>
            </w:r>
            <w:r w:rsidR="00CA4C36" w:rsidRPr="00EC1045">
              <w:rPr>
                <w:bCs/>
                <w:sz w:val="22"/>
                <w:szCs w:val="22"/>
              </w:rPr>
              <w:t>)</w:t>
            </w:r>
            <w:r w:rsidR="00620F17" w:rsidRPr="00EC1045">
              <w:rPr>
                <w:bCs/>
                <w:sz w:val="22"/>
                <w:szCs w:val="22"/>
              </w:rPr>
              <w:t xml:space="preserve"> I</w:t>
            </w:r>
            <w:r>
              <w:rPr>
                <w:bCs/>
                <w:sz w:val="22"/>
                <w:szCs w:val="22"/>
              </w:rPr>
              <w:t xml:space="preserve"> </w:t>
            </w:r>
            <w:r w:rsidR="00620F17" w:rsidRPr="00EC1045">
              <w:rPr>
                <w:bCs/>
                <w:sz w:val="22"/>
                <w:szCs w:val="22"/>
              </w:rPr>
              <w:t>sadaļas 2</w:t>
            </w:r>
            <w:r w:rsidR="00C137C4" w:rsidRPr="00EC1045">
              <w:rPr>
                <w:bCs/>
                <w:sz w:val="22"/>
                <w:szCs w:val="22"/>
              </w:rPr>
              <w:t>.punkt</w:t>
            </w:r>
            <w:r w:rsidR="00CA4C36" w:rsidRPr="00EC1045">
              <w:rPr>
                <w:bCs/>
                <w:sz w:val="22"/>
                <w:szCs w:val="22"/>
              </w:rPr>
              <w:t>s</w:t>
            </w:r>
            <w:r w:rsidR="00DB1C5A" w:rsidRPr="00EC1045">
              <w:rPr>
                <w:bCs/>
                <w:sz w:val="22"/>
                <w:szCs w:val="22"/>
              </w:rPr>
              <w:t xml:space="preserve"> </w:t>
            </w:r>
            <w:r w:rsidR="00A51B10" w:rsidRPr="00EC1045">
              <w:rPr>
                <w:bCs/>
                <w:sz w:val="22"/>
                <w:szCs w:val="22"/>
              </w:rPr>
              <w:t xml:space="preserve">papildināts </w:t>
            </w:r>
            <w:r w:rsidR="00CA4C36" w:rsidRPr="00EC1045">
              <w:rPr>
                <w:bCs/>
                <w:sz w:val="22"/>
                <w:szCs w:val="22"/>
              </w:rPr>
              <w:t>ar šādu informāciju:</w:t>
            </w:r>
          </w:p>
          <w:p w:rsidR="00CA4C36" w:rsidRPr="00EC1045" w:rsidRDefault="00CA4C36" w:rsidP="00CA4C36">
            <w:pPr>
              <w:jc w:val="both"/>
              <w:rPr>
                <w:b/>
                <w:bCs/>
              </w:rPr>
            </w:pPr>
          </w:p>
          <w:p w:rsidR="00A51B10" w:rsidRPr="009B0477" w:rsidRDefault="00A51B10" w:rsidP="00620F17">
            <w:pPr>
              <w:jc w:val="both"/>
            </w:pPr>
            <w:r w:rsidRPr="009B0477">
              <w:rPr>
                <w:bCs/>
                <w:sz w:val="22"/>
                <w:szCs w:val="22"/>
              </w:rPr>
              <w:t>„</w:t>
            </w:r>
            <w:r w:rsidR="009B0477" w:rsidRPr="009B0477">
              <w:rPr>
                <w:sz w:val="22"/>
                <w:szCs w:val="22"/>
              </w:rPr>
              <w:t>Ievērojot minēto, tiek ierosināts dividendēs izmaksājamo peļņas daļu saglabāt Latvijas Radio rīcībā un novirzīt kapitālieguldījumiem Latvijas Radio tehniskajā nodrošinājumā un infrastruktūrā, nodrošinot 2.ētera studijas mikseru konsoles iegādi un nomaiņu, audio signālu apstrādes konvertoru komplekta iegādi 1.studijai, nepieciešamos pamatlīdzekļus 5.ētera studijas funkcionalitātes maiņai, ēkas Doma laukuma fasādes logu restaurācijas projekta izstrādi, ēkas iekštelpu renovāciju un atjaunošanu (detalizētu informāciju pa izdevumu pozīcijām skatīt Projekta sākotnējās ietekmes novērtējuma ziņojuma (anotācijas) III sadaļā). Visus minētos kapitālieguldījumus plānots veikt 2019.gadā.</w:t>
            </w:r>
            <w:r w:rsidR="009B0477">
              <w:rPr>
                <w:sz w:val="22"/>
                <w:szCs w:val="22"/>
              </w:rPr>
              <w:t>”</w:t>
            </w:r>
          </w:p>
          <w:p w:rsidR="006F146B" w:rsidRDefault="006F146B" w:rsidP="00620F17">
            <w:pPr>
              <w:jc w:val="both"/>
              <w:rPr>
                <w:bCs/>
              </w:rPr>
            </w:pPr>
          </w:p>
          <w:p w:rsidR="00620F17" w:rsidRPr="00EC1045" w:rsidRDefault="006F146B" w:rsidP="00620F17">
            <w:pPr>
              <w:jc w:val="both"/>
              <w:rPr>
                <w:bCs/>
              </w:rPr>
            </w:pPr>
            <w:r>
              <w:rPr>
                <w:sz w:val="22"/>
                <w:szCs w:val="22"/>
              </w:rPr>
              <w:lastRenderedPageBreak/>
              <w:t>Precizēts Rīkojuma projekta</w:t>
            </w:r>
            <w:r w:rsidRPr="00EC1045">
              <w:rPr>
                <w:sz w:val="22"/>
                <w:szCs w:val="22"/>
              </w:rPr>
              <w:t xml:space="preserve"> sākotnējā</w:t>
            </w:r>
            <w:r>
              <w:rPr>
                <w:sz w:val="22"/>
                <w:szCs w:val="22"/>
              </w:rPr>
              <w:t>s ietekmes novērtējuma ziņojuma</w:t>
            </w:r>
            <w:r w:rsidRPr="00EC1045">
              <w:rPr>
                <w:sz w:val="22"/>
                <w:szCs w:val="22"/>
              </w:rPr>
              <w:t xml:space="preserve"> (anotācija</w:t>
            </w:r>
            <w:r>
              <w:rPr>
                <w:sz w:val="22"/>
                <w:szCs w:val="22"/>
              </w:rPr>
              <w:t>s</w:t>
            </w:r>
            <w:r w:rsidRPr="00EC1045">
              <w:rPr>
                <w:sz w:val="22"/>
                <w:szCs w:val="22"/>
              </w:rPr>
              <w:t>)</w:t>
            </w:r>
            <w:r>
              <w:rPr>
                <w:sz w:val="22"/>
                <w:szCs w:val="22"/>
              </w:rPr>
              <w:t xml:space="preserve"> III</w:t>
            </w:r>
            <w:r w:rsidRPr="006F146B">
              <w:rPr>
                <w:sz w:val="22"/>
                <w:szCs w:val="22"/>
              </w:rPr>
              <w:t xml:space="preserve"> sadaļas 6.punkts</w:t>
            </w:r>
            <w:r w:rsidR="00620F17" w:rsidRPr="00EC1045">
              <w:rPr>
                <w:bCs/>
                <w:sz w:val="22"/>
                <w:szCs w:val="22"/>
              </w:rPr>
              <w:t>:</w:t>
            </w:r>
          </w:p>
          <w:p w:rsidR="006F146B" w:rsidRDefault="006F146B" w:rsidP="00620F17"/>
          <w:p w:rsidR="00620F17" w:rsidRPr="006F146B" w:rsidRDefault="006F146B" w:rsidP="006F146B">
            <w:pPr>
              <w:jc w:val="both"/>
            </w:pPr>
            <w:r>
              <w:rPr>
                <w:sz w:val="22"/>
                <w:szCs w:val="22"/>
              </w:rPr>
              <w:t>„</w:t>
            </w:r>
            <w:r w:rsidR="00620F17" w:rsidRPr="00EC1045">
              <w:rPr>
                <w:sz w:val="22"/>
                <w:szCs w:val="22"/>
              </w:rPr>
              <w:t xml:space="preserve">Peļņas daļu 138 234 </w:t>
            </w:r>
            <w:r w:rsidR="00620F17" w:rsidRPr="006F146B">
              <w:rPr>
                <w:i/>
                <w:sz w:val="22"/>
                <w:szCs w:val="22"/>
              </w:rPr>
              <w:t>euro</w:t>
            </w:r>
            <w:r w:rsidR="00620F17" w:rsidRPr="00EC1045">
              <w:rPr>
                <w:sz w:val="22"/>
                <w:szCs w:val="22"/>
              </w:rPr>
              <w:t xml:space="preserve"> apmērā plānots novirzīt </w:t>
            </w:r>
            <w:r w:rsidRPr="00EC1045">
              <w:rPr>
                <w:sz w:val="22"/>
                <w:szCs w:val="22"/>
              </w:rPr>
              <w:t>kapitālieguldījumiem</w:t>
            </w:r>
            <w:r w:rsidR="00620F17" w:rsidRPr="00EC1045">
              <w:rPr>
                <w:sz w:val="22"/>
                <w:szCs w:val="22"/>
              </w:rPr>
              <w:t xml:space="preserve"> Latvijas Radio tehniskajā nodrošinājumā un infrastruktūrā </w:t>
            </w:r>
            <w:r w:rsidR="00620F17" w:rsidRPr="006F146B">
              <w:rPr>
                <w:sz w:val="22"/>
                <w:szCs w:val="22"/>
              </w:rPr>
              <w:t>2019.gadā:</w:t>
            </w:r>
            <w:r w:rsidRPr="006F146B">
              <w:rPr>
                <w:sz w:val="22"/>
                <w:szCs w:val="22"/>
              </w:rPr>
              <w:t>”</w:t>
            </w:r>
          </w:p>
          <w:p w:rsidR="00620F17" w:rsidRPr="00EC1045" w:rsidRDefault="00620F17" w:rsidP="00620F17">
            <w:pPr>
              <w:jc w:val="both"/>
              <w:rPr>
                <w:color w:val="FF0000"/>
              </w:rPr>
            </w:pPr>
          </w:p>
        </w:tc>
      </w:tr>
    </w:tbl>
    <w:p w:rsidR="001F5D33" w:rsidRPr="00EC1045" w:rsidRDefault="001F5D33" w:rsidP="00A20B7E">
      <w:pPr>
        <w:outlineLvl w:val="0"/>
        <w:rPr>
          <w:sz w:val="22"/>
          <w:szCs w:val="22"/>
        </w:rPr>
      </w:pPr>
    </w:p>
    <w:p w:rsidR="00636E7F" w:rsidRDefault="00636E7F" w:rsidP="00A20B7E">
      <w:pPr>
        <w:outlineLvl w:val="0"/>
        <w:rPr>
          <w:sz w:val="20"/>
          <w:szCs w:val="20"/>
        </w:rPr>
      </w:pPr>
    </w:p>
    <w:p w:rsidR="00636E7F" w:rsidRPr="00EC1045" w:rsidRDefault="00620F17" w:rsidP="00A20B7E">
      <w:pPr>
        <w:outlineLvl w:val="0"/>
        <w:rPr>
          <w:sz w:val="20"/>
          <w:szCs w:val="20"/>
        </w:rPr>
      </w:pPr>
      <w:r w:rsidRPr="00EC1045">
        <w:rPr>
          <w:sz w:val="20"/>
          <w:szCs w:val="20"/>
        </w:rPr>
        <w:t>Baiba Pētersone</w:t>
      </w:r>
    </w:p>
    <w:p w:rsidR="00636E7F" w:rsidRPr="00EC1045" w:rsidRDefault="00620F17" w:rsidP="00A20B7E">
      <w:pPr>
        <w:outlineLvl w:val="0"/>
        <w:rPr>
          <w:sz w:val="20"/>
          <w:szCs w:val="20"/>
        </w:rPr>
      </w:pPr>
      <w:r w:rsidRPr="00EC1045">
        <w:rPr>
          <w:sz w:val="20"/>
          <w:szCs w:val="20"/>
        </w:rPr>
        <w:t>VSIA „Latvijas Radio”</w:t>
      </w:r>
    </w:p>
    <w:p w:rsidR="00636E7F" w:rsidRPr="00EC1045" w:rsidRDefault="00620F17" w:rsidP="00A20B7E">
      <w:pPr>
        <w:outlineLvl w:val="0"/>
        <w:rPr>
          <w:sz w:val="20"/>
          <w:szCs w:val="20"/>
        </w:rPr>
      </w:pPr>
      <w:r w:rsidRPr="00EC1045">
        <w:rPr>
          <w:sz w:val="20"/>
          <w:szCs w:val="20"/>
        </w:rPr>
        <w:t>Valdes padomniece</w:t>
      </w:r>
    </w:p>
    <w:p w:rsidR="00636E7F" w:rsidRPr="00EC1045" w:rsidRDefault="00636E7F" w:rsidP="00A20B7E">
      <w:pPr>
        <w:outlineLvl w:val="0"/>
        <w:rPr>
          <w:sz w:val="20"/>
          <w:szCs w:val="20"/>
        </w:rPr>
      </w:pPr>
      <w:r w:rsidRPr="00EC1045">
        <w:rPr>
          <w:sz w:val="20"/>
          <w:szCs w:val="20"/>
        </w:rPr>
        <w:t xml:space="preserve">Tālr. </w:t>
      </w:r>
      <w:r w:rsidR="00620F17" w:rsidRPr="00EC1045">
        <w:rPr>
          <w:sz w:val="20"/>
          <w:szCs w:val="20"/>
        </w:rPr>
        <w:t>29467004</w:t>
      </w:r>
    </w:p>
    <w:p w:rsidR="00636E7F" w:rsidRPr="00EC1045" w:rsidRDefault="0010181A" w:rsidP="00636E7F">
      <w:pPr>
        <w:outlineLvl w:val="0"/>
        <w:rPr>
          <w:sz w:val="20"/>
          <w:szCs w:val="20"/>
        </w:rPr>
      </w:pPr>
      <w:hyperlink r:id="rId7" w:history="1">
        <w:r w:rsidR="00620F17" w:rsidRPr="00EC1045">
          <w:rPr>
            <w:rStyle w:val="Hipersaite"/>
            <w:sz w:val="20"/>
            <w:szCs w:val="20"/>
          </w:rPr>
          <w:t>Baiba.Petersone@latvijasradio.lv</w:t>
        </w:r>
      </w:hyperlink>
    </w:p>
    <w:p w:rsidR="00620F17" w:rsidRPr="00EC1045" w:rsidRDefault="00620F17" w:rsidP="00636E7F">
      <w:pPr>
        <w:outlineLvl w:val="0"/>
        <w:rPr>
          <w:sz w:val="20"/>
          <w:szCs w:val="20"/>
        </w:rPr>
      </w:pPr>
    </w:p>
    <w:p w:rsidR="00620F17" w:rsidRPr="00EC1045" w:rsidRDefault="00620F17" w:rsidP="00620F17">
      <w:pPr>
        <w:rPr>
          <w:sz w:val="20"/>
          <w:szCs w:val="20"/>
        </w:rPr>
      </w:pPr>
      <w:r w:rsidRPr="00EC1045">
        <w:rPr>
          <w:sz w:val="20"/>
          <w:szCs w:val="20"/>
        </w:rPr>
        <w:t>Inga Rone</w:t>
      </w:r>
    </w:p>
    <w:p w:rsidR="00620F17" w:rsidRPr="00EC1045" w:rsidRDefault="00620F17" w:rsidP="00620F17">
      <w:pPr>
        <w:outlineLvl w:val="0"/>
        <w:rPr>
          <w:sz w:val="20"/>
          <w:szCs w:val="20"/>
        </w:rPr>
      </w:pPr>
      <w:r w:rsidRPr="00EC1045">
        <w:rPr>
          <w:sz w:val="20"/>
          <w:szCs w:val="20"/>
        </w:rPr>
        <w:t>VSIA „Latvijas Radio”</w:t>
      </w:r>
    </w:p>
    <w:p w:rsidR="00620F17" w:rsidRPr="00EC1045" w:rsidRDefault="00620F17" w:rsidP="00620F17">
      <w:pPr>
        <w:outlineLvl w:val="0"/>
        <w:rPr>
          <w:sz w:val="20"/>
          <w:szCs w:val="20"/>
        </w:rPr>
      </w:pPr>
      <w:r w:rsidRPr="00EC1045">
        <w:rPr>
          <w:sz w:val="20"/>
          <w:szCs w:val="20"/>
        </w:rPr>
        <w:t>Finanšu daļas vadītāja</w:t>
      </w:r>
    </w:p>
    <w:p w:rsidR="00620F17" w:rsidRPr="00EC1045" w:rsidRDefault="00620F17" w:rsidP="00620F17">
      <w:pPr>
        <w:outlineLvl w:val="0"/>
        <w:rPr>
          <w:sz w:val="20"/>
          <w:szCs w:val="20"/>
        </w:rPr>
      </w:pPr>
      <w:r w:rsidRPr="00EC1045">
        <w:rPr>
          <w:sz w:val="20"/>
          <w:szCs w:val="20"/>
        </w:rPr>
        <w:t>Tālr. 26549071</w:t>
      </w:r>
    </w:p>
    <w:p w:rsidR="00620F17" w:rsidRPr="00EC1045" w:rsidRDefault="0010181A" w:rsidP="00620F17">
      <w:pPr>
        <w:rPr>
          <w:sz w:val="20"/>
          <w:szCs w:val="20"/>
        </w:rPr>
      </w:pPr>
      <w:hyperlink r:id="rId8" w:history="1">
        <w:r w:rsidR="00620F17" w:rsidRPr="00EC1045">
          <w:rPr>
            <w:rStyle w:val="Hipersaite"/>
            <w:sz w:val="20"/>
            <w:szCs w:val="20"/>
          </w:rPr>
          <w:t>Inga.Rone@latvijasradio.lv</w:t>
        </w:r>
      </w:hyperlink>
    </w:p>
    <w:p w:rsidR="00620F17" w:rsidRPr="00B97EE9" w:rsidRDefault="00620F17" w:rsidP="00636E7F">
      <w:pPr>
        <w:outlineLvl w:val="0"/>
        <w:rPr>
          <w:sz w:val="20"/>
          <w:szCs w:val="20"/>
        </w:rPr>
      </w:pPr>
    </w:p>
    <w:sectPr w:rsidR="00620F17" w:rsidRPr="00B97EE9" w:rsidSect="00D259D7">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6E" w:rsidRDefault="00986D6E" w:rsidP="00F64DE4">
      <w:r>
        <w:separator/>
      </w:r>
    </w:p>
  </w:endnote>
  <w:endnote w:type="continuationSeparator" w:id="0">
    <w:p w:rsidR="00986D6E" w:rsidRDefault="00986D6E"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
    <w:altName w:val="Arial"/>
    <w:charset w:val="00"/>
    <w:family w:val="swiss"/>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2D" w:rsidRPr="00EC1045" w:rsidRDefault="00EC1045" w:rsidP="0014658E">
    <w:pPr>
      <w:pStyle w:val="Kjene"/>
      <w:rPr>
        <w:szCs w:val="16"/>
      </w:rPr>
    </w:pPr>
    <w:r w:rsidRPr="00EC1045">
      <w:rPr>
        <w:sz w:val="20"/>
        <w:szCs w:val="16"/>
      </w:rPr>
      <w:t>KMIzz_100719_LR_dividende</w:t>
    </w:r>
    <w:r>
      <w:rPr>
        <w:sz w:val="20"/>
        <w:szCs w:val="16"/>
      </w:rPr>
      <w: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2D" w:rsidRPr="00EC1045" w:rsidRDefault="00EC1045" w:rsidP="00EC1045">
    <w:pPr>
      <w:pStyle w:val="Kjene"/>
      <w:rPr>
        <w:szCs w:val="16"/>
      </w:rPr>
    </w:pPr>
    <w:r w:rsidRPr="00EC1045">
      <w:rPr>
        <w:sz w:val="20"/>
        <w:szCs w:val="16"/>
      </w:rPr>
      <w:t>KMIzz_100719_LR_dividende</w:t>
    </w:r>
    <w:r>
      <w:rPr>
        <w:sz w:val="20"/>
        <w:szCs w:val="16"/>
      </w:rPr>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6E" w:rsidRDefault="00986D6E" w:rsidP="00F64DE4">
      <w:r>
        <w:separator/>
      </w:r>
    </w:p>
  </w:footnote>
  <w:footnote w:type="continuationSeparator" w:id="0">
    <w:p w:rsidR="00986D6E" w:rsidRDefault="00986D6E"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EndPr>
      <w:rPr>
        <w:sz w:val="22"/>
        <w:szCs w:val="22"/>
      </w:rPr>
    </w:sdtEndPr>
    <w:sdtContent>
      <w:p w:rsidR="00CA612D" w:rsidRPr="009A3DFD" w:rsidRDefault="0010181A">
        <w:pPr>
          <w:pStyle w:val="Galvene"/>
          <w:jc w:val="center"/>
          <w:rPr>
            <w:sz w:val="22"/>
            <w:szCs w:val="22"/>
          </w:rPr>
        </w:pPr>
        <w:r w:rsidRPr="009A3DFD">
          <w:rPr>
            <w:sz w:val="22"/>
            <w:szCs w:val="22"/>
          </w:rPr>
          <w:fldChar w:fldCharType="begin"/>
        </w:r>
        <w:r w:rsidR="00CA612D" w:rsidRPr="009A3DFD">
          <w:rPr>
            <w:sz w:val="22"/>
            <w:szCs w:val="22"/>
          </w:rPr>
          <w:instrText xml:space="preserve"> PAGE   \* MERGEFORMAT </w:instrText>
        </w:r>
        <w:r w:rsidRPr="009A3DFD">
          <w:rPr>
            <w:sz w:val="22"/>
            <w:szCs w:val="22"/>
          </w:rPr>
          <w:fldChar w:fldCharType="separate"/>
        </w:r>
        <w:r w:rsidR="00BF0C06">
          <w:rPr>
            <w:noProof/>
            <w:sz w:val="22"/>
            <w:szCs w:val="22"/>
          </w:rPr>
          <w:t>4</w:t>
        </w:r>
        <w:r w:rsidRPr="009A3DFD">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97C62D5"/>
    <w:multiLevelType w:val="hybridMultilevel"/>
    <w:tmpl w:val="E3DAD8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A642E"/>
    <w:multiLevelType w:val="hybridMultilevel"/>
    <w:tmpl w:val="FD66EE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4E42BE"/>
    <w:multiLevelType w:val="hybridMultilevel"/>
    <w:tmpl w:val="69AA0694"/>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16">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1"/>
  </w:num>
  <w:num w:numId="8">
    <w:abstractNumId w:val="2"/>
  </w:num>
  <w:num w:numId="9">
    <w:abstractNumId w:val="13"/>
  </w:num>
  <w:num w:numId="10">
    <w:abstractNumId w:val="0"/>
  </w:num>
  <w:num w:numId="11">
    <w:abstractNumId w:val="17"/>
  </w:num>
  <w:num w:numId="12">
    <w:abstractNumId w:val="3"/>
  </w:num>
  <w:num w:numId="13">
    <w:abstractNumId w:val="18"/>
  </w:num>
  <w:num w:numId="14">
    <w:abstractNumId w:val="9"/>
  </w:num>
  <w:num w:numId="15">
    <w:abstractNumId w:val="15"/>
  </w:num>
  <w:num w:numId="16">
    <w:abstractNumId w:val="16"/>
  </w:num>
  <w:num w:numId="17">
    <w:abstractNumId w:val="1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F64DE4"/>
    <w:rsid w:val="00005E79"/>
    <w:rsid w:val="0001528C"/>
    <w:rsid w:val="00024C1D"/>
    <w:rsid w:val="00025346"/>
    <w:rsid w:val="00027058"/>
    <w:rsid w:val="00030646"/>
    <w:rsid w:val="00032061"/>
    <w:rsid w:val="00034775"/>
    <w:rsid w:val="0005107F"/>
    <w:rsid w:val="00053EB0"/>
    <w:rsid w:val="00055EA4"/>
    <w:rsid w:val="00055EBD"/>
    <w:rsid w:val="0005684B"/>
    <w:rsid w:val="00060EC5"/>
    <w:rsid w:val="000630D0"/>
    <w:rsid w:val="0007173E"/>
    <w:rsid w:val="0007645A"/>
    <w:rsid w:val="00077CF7"/>
    <w:rsid w:val="00087937"/>
    <w:rsid w:val="00090D9A"/>
    <w:rsid w:val="00092DDE"/>
    <w:rsid w:val="00095CB8"/>
    <w:rsid w:val="00096F3E"/>
    <w:rsid w:val="00097A72"/>
    <w:rsid w:val="000A1B66"/>
    <w:rsid w:val="000A4D2F"/>
    <w:rsid w:val="000B483A"/>
    <w:rsid w:val="000C0A94"/>
    <w:rsid w:val="000C1E0E"/>
    <w:rsid w:val="000C29F2"/>
    <w:rsid w:val="000C41C8"/>
    <w:rsid w:val="000C76D1"/>
    <w:rsid w:val="000C773B"/>
    <w:rsid w:val="000C7D3F"/>
    <w:rsid w:val="000D049A"/>
    <w:rsid w:val="000D0BDC"/>
    <w:rsid w:val="000D2036"/>
    <w:rsid w:val="000D7E06"/>
    <w:rsid w:val="000E2789"/>
    <w:rsid w:val="000E36DA"/>
    <w:rsid w:val="000E3EFC"/>
    <w:rsid w:val="000F41C3"/>
    <w:rsid w:val="0010181A"/>
    <w:rsid w:val="001047CE"/>
    <w:rsid w:val="001115C3"/>
    <w:rsid w:val="001129D6"/>
    <w:rsid w:val="001229CC"/>
    <w:rsid w:val="00124C6B"/>
    <w:rsid w:val="0012645F"/>
    <w:rsid w:val="001264B1"/>
    <w:rsid w:val="001319C3"/>
    <w:rsid w:val="00132ECD"/>
    <w:rsid w:val="0013421B"/>
    <w:rsid w:val="00134AA7"/>
    <w:rsid w:val="0014658E"/>
    <w:rsid w:val="00152474"/>
    <w:rsid w:val="00153256"/>
    <w:rsid w:val="00166C41"/>
    <w:rsid w:val="00174AE2"/>
    <w:rsid w:val="00175E86"/>
    <w:rsid w:val="00176B31"/>
    <w:rsid w:val="001828A0"/>
    <w:rsid w:val="001865E1"/>
    <w:rsid w:val="00191B29"/>
    <w:rsid w:val="00196278"/>
    <w:rsid w:val="00196F55"/>
    <w:rsid w:val="001A1819"/>
    <w:rsid w:val="001A4FBD"/>
    <w:rsid w:val="001C36D1"/>
    <w:rsid w:val="001C7492"/>
    <w:rsid w:val="001E1123"/>
    <w:rsid w:val="001E6736"/>
    <w:rsid w:val="001E7A08"/>
    <w:rsid w:val="001F5536"/>
    <w:rsid w:val="001F5D33"/>
    <w:rsid w:val="001F7F8E"/>
    <w:rsid w:val="002061EB"/>
    <w:rsid w:val="002064FE"/>
    <w:rsid w:val="00210028"/>
    <w:rsid w:val="00212F96"/>
    <w:rsid w:val="00214C2B"/>
    <w:rsid w:val="00215057"/>
    <w:rsid w:val="00221927"/>
    <w:rsid w:val="00222E72"/>
    <w:rsid w:val="00226B11"/>
    <w:rsid w:val="00230670"/>
    <w:rsid w:val="0023369D"/>
    <w:rsid w:val="00235EE6"/>
    <w:rsid w:val="0023650E"/>
    <w:rsid w:val="002374B8"/>
    <w:rsid w:val="0024507F"/>
    <w:rsid w:val="00245DED"/>
    <w:rsid w:val="002510B0"/>
    <w:rsid w:val="002559F7"/>
    <w:rsid w:val="00265720"/>
    <w:rsid w:val="00270A2C"/>
    <w:rsid w:val="00270C57"/>
    <w:rsid w:val="002768BD"/>
    <w:rsid w:val="00280DCC"/>
    <w:rsid w:val="0028497B"/>
    <w:rsid w:val="002901E4"/>
    <w:rsid w:val="002A1965"/>
    <w:rsid w:val="002A1E32"/>
    <w:rsid w:val="002A287C"/>
    <w:rsid w:val="002C02F3"/>
    <w:rsid w:val="002C6678"/>
    <w:rsid w:val="002D690C"/>
    <w:rsid w:val="002D6A77"/>
    <w:rsid w:val="002E176D"/>
    <w:rsid w:val="002E718B"/>
    <w:rsid w:val="002F1E09"/>
    <w:rsid w:val="0030186E"/>
    <w:rsid w:val="00303B8A"/>
    <w:rsid w:val="00305685"/>
    <w:rsid w:val="0030686D"/>
    <w:rsid w:val="00313B4C"/>
    <w:rsid w:val="003171B8"/>
    <w:rsid w:val="00317DC3"/>
    <w:rsid w:val="00330159"/>
    <w:rsid w:val="00337A8E"/>
    <w:rsid w:val="003508D4"/>
    <w:rsid w:val="00353E95"/>
    <w:rsid w:val="00357779"/>
    <w:rsid w:val="00365E69"/>
    <w:rsid w:val="00366E2F"/>
    <w:rsid w:val="00370C12"/>
    <w:rsid w:val="00370D54"/>
    <w:rsid w:val="00371DF2"/>
    <w:rsid w:val="00372C8B"/>
    <w:rsid w:val="00373BD1"/>
    <w:rsid w:val="00382D4F"/>
    <w:rsid w:val="0039514C"/>
    <w:rsid w:val="003A6AD4"/>
    <w:rsid w:val="003B293D"/>
    <w:rsid w:val="003C1B4D"/>
    <w:rsid w:val="003C60ED"/>
    <w:rsid w:val="003D1BEA"/>
    <w:rsid w:val="003D78CD"/>
    <w:rsid w:val="003D7B3A"/>
    <w:rsid w:val="003E135B"/>
    <w:rsid w:val="003F4972"/>
    <w:rsid w:val="003F5387"/>
    <w:rsid w:val="003F58DA"/>
    <w:rsid w:val="003F6E30"/>
    <w:rsid w:val="003F6EF8"/>
    <w:rsid w:val="00424EE1"/>
    <w:rsid w:val="004269A8"/>
    <w:rsid w:val="00432D4F"/>
    <w:rsid w:val="004405A0"/>
    <w:rsid w:val="00443649"/>
    <w:rsid w:val="00444997"/>
    <w:rsid w:val="004467D3"/>
    <w:rsid w:val="00446920"/>
    <w:rsid w:val="0044708C"/>
    <w:rsid w:val="004520D3"/>
    <w:rsid w:val="00453676"/>
    <w:rsid w:val="00465448"/>
    <w:rsid w:val="0046692F"/>
    <w:rsid w:val="00470A9F"/>
    <w:rsid w:val="00474A56"/>
    <w:rsid w:val="00481AFA"/>
    <w:rsid w:val="00497B7D"/>
    <w:rsid w:val="004A058F"/>
    <w:rsid w:val="004A357D"/>
    <w:rsid w:val="004B1477"/>
    <w:rsid w:val="004C4E81"/>
    <w:rsid w:val="004D2EB1"/>
    <w:rsid w:val="004D5FE3"/>
    <w:rsid w:val="004D779D"/>
    <w:rsid w:val="004D7F46"/>
    <w:rsid w:val="004E1849"/>
    <w:rsid w:val="004E3AFC"/>
    <w:rsid w:val="004E72D2"/>
    <w:rsid w:val="004E7AF6"/>
    <w:rsid w:val="004E7EA8"/>
    <w:rsid w:val="004F0983"/>
    <w:rsid w:val="004F1C34"/>
    <w:rsid w:val="00506C49"/>
    <w:rsid w:val="005112F9"/>
    <w:rsid w:val="00511620"/>
    <w:rsid w:val="005134D4"/>
    <w:rsid w:val="00514089"/>
    <w:rsid w:val="005202AF"/>
    <w:rsid w:val="00520FA9"/>
    <w:rsid w:val="00521BA5"/>
    <w:rsid w:val="00527709"/>
    <w:rsid w:val="00531BEB"/>
    <w:rsid w:val="005338D6"/>
    <w:rsid w:val="005339FB"/>
    <w:rsid w:val="00533C68"/>
    <w:rsid w:val="00542CEE"/>
    <w:rsid w:val="005471B2"/>
    <w:rsid w:val="00550273"/>
    <w:rsid w:val="00550844"/>
    <w:rsid w:val="00552352"/>
    <w:rsid w:val="00553F03"/>
    <w:rsid w:val="00562E1F"/>
    <w:rsid w:val="00563B6F"/>
    <w:rsid w:val="00566D88"/>
    <w:rsid w:val="00570867"/>
    <w:rsid w:val="00575829"/>
    <w:rsid w:val="00576E37"/>
    <w:rsid w:val="00580C6B"/>
    <w:rsid w:val="00581BF8"/>
    <w:rsid w:val="005A05EF"/>
    <w:rsid w:val="005B29EE"/>
    <w:rsid w:val="005C0F43"/>
    <w:rsid w:val="005C3B22"/>
    <w:rsid w:val="005C3D87"/>
    <w:rsid w:val="005C5B44"/>
    <w:rsid w:val="005D4CC9"/>
    <w:rsid w:val="005D7B08"/>
    <w:rsid w:val="005D7D48"/>
    <w:rsid w:val="005E0039"/>
    <w:rsid w:val="005E44DF"/>
    <w:rsid w:val="005F3807"/>
    <w:rsid w:val="0060274A"/>
    <w:rsid w:val="00606CA2"/>
    <w:rsid w:val="00610076"/>
    <w:rsid w:val="0061147F"/>
    <w:rsid w:val="00620F17"/>
    <w:rsid w:val="0062324C"/>
    <w:rsid w:val="00630EE8"/>
    <w:rsid w:val="006330B1"/>
    <w:rsid w:val="00635E02"/>
    <w:rsid w:val="00636CB6"/>
    <w:rsid w:val="00636E7F"/>
    <w:rsid w:val="006375D2"/>
    <w:rsid w:val="00643BB3"/>
    <w:rsid w:val="00645C4C"/>
    <w:rsid w:val="006507FB"/>
    <w:rsid w:val="00653821"/>
    <w:rsid w:val="00656D72"/>
    <w:rsid w:val="006666B8"/>
    <w:rsid w:val="00677466"/>
    <w:rsid w:val="00692657"/>
    <w:rsid w:val="00694383"/>
    <w:rsid w:val="00695531"/>
    <w:rsid w:val="006A0739"/>
    <w:rsid w:val="006A0D55"/>
    <w:rsid w:val="006A0E49"/>
    <w:rsid w:val="006A2194"/>
    <w:rsid w:val="006A28BC"/>
    <w:rsid w:val="006A4697"/>
    <w:rsid w:val="006B231C"/>
    <w:rsid w:val="006C255A"/>
    <w:rsid w:val="006C3C72"/>
    <w:rsid w:val="006C7BD1"/>
    <w:rsid w:val="006D47B5"/>
    <w:rsid w:val="006E315A"/>
    <w:rsid w:val="006E535D"/>
    <w:rsid w:val="006E6AFD"/>
    <w:rsid w:val="006F146B"/>
    <w:rsid w:val="006F39B6"/>
    <w:rsid w:val="007043C9"/>
    <w:rsid w:val="00704E63"/>
    <w:rsid w:val="00711BEA"/>
    <w:rsid w:val="00720BC3"/>
    <w:rsid w:val="00723ABB"/>
    <w:rsid w:val="00730AFF"/>
    <w:rsid w:val="00732E95"/>
    <w:rsid w:val="007330DA"/>
    <w:rsid w:val="00734AC4"/>
    <w:rsid w:val="00741887"/>
    <w:rsid w:val="00743B9E"/>
    <w:rsid w:val="00744402"/>
    <w:rsid w:val="007471ED"/>
    <w:rsid w:val="007503AD"/>
    <w:rsid w:val="00754103"/>
    <w:rsid w:val="00760BA5"/>
    <w:rsid w:val="00771A85"/>
    <w:rsid w:val="00777AC9"/>
    <w:rsid w:val="0078666A"/>
    <w:rsid w:val="00787777"/>
    <w:rsid w:val="007923EB"/>
    <w:rsid w:val="007B02F3"/>
    <w:rsid w:val="007B1446"/>
    <w:rsid w:val="007B2B89"/>
    <w:rsid w:val="007C2696"/>
    <w:rsid w:val="007D33CD"/>
    <w:rsid w:val="007E4592"/>
    <w:rsid w:val="007E4CFF"/>
    <w:rsid w:val="007F3DDC"/>
    <w:rsid w:val="0080072E"/>
    <w:rsid w:val="0080363C"/>
    <w:rsid w:val="008040F7"/>
    <w:rsid w:val="00805435"/>
    <w:rsid w:val="00812AD1"/>
    <w:rsid w:val="0081557B"/>
    <w:rsid w:val="00821905"/>
    <w:rsid w:val="00824A6F"/>
    <w:rsid w:val="0082622A"/>
    <w:rsid w:val="008320CF"/>
    <w:rsid w:val="00832EF7"/>
    <w:rsid w:val="00835856"/>
    <w:rsid w:val="00851157"/>
    <w:rsid w:val="00854E1E"/>
    <w:rsid w:val="008623F0"/>
    <w:rsid w:val="00870549"/>
    <w:rsid w:val="008719CE"/>
    <w:rsid w:val="00873526"/>
    <w:rsid w:val="00890B1A"/>
    <w:rsid w:val="008A2968"/>
    <w:rsid w:val="008A5A8E"/>
    <w:rsid w:val="008A60D7"/>
    <w:rsid w:val="008A7ECA"/>
    <w:rsid w:val="008B1DE6"/>
    <w:rsid w:val="008C25A2"/>
    <w:rsid w:val="008C2D41"/>
    <w:rsid w:val="008C36CA"/>
    <w:rsid w:val="008C673C"/>
    <w:rsid w:val="008D08C2"/>
    <w:rsid w:val="008D5DDA"/>
    <w:rsid w:val="008D6FEA"/>
    <w:rsid w:val="008E0277"/>
    <w:rsid w:val="0090071B"/>
    <w:rsid w:val="00901536"/>
    <w:rsid w:val="00904C23"/>
    <w:rsid w:val="0091034F"/>
    <w:rsid w:val="0091501F"/>
    <w:rsid w:val="00927393"/>
    <w:rsid w:val="009335F4"/>
    <w:rsid w:val="00937B55"/>
    <w:rsid w:val="00940DEB"/>
    <w:rsid w:val="009453B4"/>
    <w:rsid w:val="00946C6E"/>
    <w:rsid w:val="0095096E"/>
    <w:rsid w:val="00966016"/>
    <w:rsid w:val="00980A2F"/>
    <w:rsid w:val="00986D6E"/>
    <w:rsid w:val="009877A0"/>
    <w:rsid w:val="00991C1B"/>
    <w:rsid w:val="00994A52"/>
    <w:rsid w:val="009A0302"/>
    <w:rsid w:val="009A3DFD"/>
    <w:rsid w:val="009A4899"/>
    <w:rsid w:val="009A7AEA"/>
    <w:rsid w:val="009B0477"/>
    <w:rsid w:val="009B2036"/>
    <w:rsid w:val="009C05CF"/>
    <w:rsid w:val="009C51EE"/>
    <w:rsid w:val="009C7835"/>
    <w:rsid w:val="009D07BD"/>
    <w:rsid w:val="009E07AC"/>
    <w:rsid w:val="009E1C50"/>
    <w:rsid w:val="009E6611"/>
    <w:rsid w:val="009F0AFA"/>
    <w:rsid w:val="009F7548"/>
    <w:rsid w:val="00A006FA"/>
    <w:rsid w:val="00A01B2D"/>
    <w:rsid w:val="00A01FA3"/>
    <w:rsid w:val="00A0233F"/>
    <w:rsid w:val="00A03239"/>
    <w:rsid w:val="00A03D9D"/>
    <w:rsid w:val="00A1216A"/>
    <w:rsid w:val="00A12A80"/>
    <w:rsid w:val="00A14BD3"/>
    <w:rsid w:val="00A15EA3"/>
    <w:rsid w:val="00A16176"/>
    <w:rsid w:val="00A20B7E"/>
    <w:rsid w:val="00A258F4"/>
    <w:rsid w:val="00A33C72"/>
    <w:rsid w:val="00A415EE"/>
    <w:rsid w:val="00A418DA"/>
    <w:rsid w:val="00A44206"/>
    <w:rsid w:val="00A46B29"/>
    <w:rsid w:val="00A47B3E"/>
    <w:rsid w:val="00A51B10"/>
    <w:rsid w:val="00A52B54"/>
    <w:rsid w:val="00A60C84"/>
    <w:rsid w:val="00A616F9"/>
    <w:rsid w:val="00A62EFE"/>
    <w:rsid w:val="00A64F39"/>
    <w:rsid w:val="00A82FCB"/>
    <w:rsid w:val="00A87EFA"/>
    <w:rsid w:val="00A91017"/>
    <w:rsid w:val="00A94A28"/>
    <w:rsid w:val="00A95627"/>
    <w:rsid w:val="00AB0473"/>
    <w:rsid w:val="00AB0573"/>
    <w:rsid w:val="00AC0EE3"/>
    <w:rsid w:val="00AC2108"/>
    <w:rsid w:val="00AD41A6"/>
    <w:rsid w:val="00AE0DF8"/>
    <w:rsid w:val="00AE45BB"/>
    <w:rsid w:val="00AF05E5"/>
    <w:rsid w:val="00B05D89"/>
    <w:rsid w:val="00B11FE0"/>
    <w:rsid w:val="00B15E37"/>
    <w:rsid w:val="00B1626E"/>
    <w:rsid w:val="00B336D9"/>
    <w:rsid w:val="00B34C2C"/>
    <w:rsid w:val="00B3601D"/>
    <w:rsid w:val="00B37686"/>
    <w:rsid w:val="00B40726"/>
    <w:rsid w:val="00B4556E"/>
    <w:rsid w:val="00B53181"/>
    <w:rsid w:val="00B56D48"/>
    <w:rsid w:val="00B668FA"/>
    <w:rsid w:val="00B6784A"/>
    <w:rsid w:val="00B77C12"/>
    <w:rsid w:val="00B805B2"/>
    <w:rsid w:val="00B844E2"/>
    <w:rsid w:val="00B9545D"/>
    <w:rsid w:val="00B97EE9"/>
    <w:rsid w:val="00BA4B01"/>
    <w:rsid w:val="00BA5EC3"/>
    <w:rsid w:val="00BA7FFE"/>
    <w:rsid w:val="00BB2FE1"/>
    <w:rsid w:val="00BB62A3"/>
    <w:rsid w:val="00BB7BBA"/>
    <w:rsid w:val="00BC290B"/>
    <w:rsid w:val="00BC3144"/>
    <w:rsid w:val="00BC6547"/>
    <w:rsid w:val="00BD03DC"/>
    <w:rsid w:val="00BD2285"/>
    <w:rsid w:val="00BD251A"/>
    <w:rsid w:val="00BD2A4B"/>
    <w:rsid w:val="00BD6EDB"/>
    <w:rsid w:val="00BE7E87"/>
    <w:rsid w:val="00BF021B"/>
    <w:rsid w:val="00BF05E7"/>
    <w:rsid w:val="00BF0C06"/>
    <w:rsid w:val="00C01E51"/>
    <w:rsid w:val="00C064CA"/>
    <w:rsid w:val="00C07BDA"/>
    <w:rsid w:val="00C137C4"/>
    <w:rsid w:val="00C16913"/>
    <w:rsid w:val="00C225B7"/>
    <w:rsid w:val="00C34D0A"/>
    <w:rsid w:val="00C426BD"/>
    <w:rsid w:val="00C46689"/>
    <w:rsid w:val="00C61BAA"/>
    <w:rsid w:val="00C81768"/>
    <w:rsid w:val="00C83B07"/>
    <w:rsid w:val="00C878B1"/>
    <w:rsid w:val="00C91086"/>
    <w:rsid w:val="00C968EA"/>
    <w:rsid w:val="00C97142"/>
    <w:rsid w:val="00C9765A"/>
    <w:rsid w:val="00CA050C"/>
    <w:rsid w:val="00CA4C36"/>
    <w:rsid w:val="00CA5C36"/>
    <w:rsid w:val="00CA612D"/>
    <w:rsid w:val="00CB12CA"/>
    <w:rsid w:val="00CB5925"/>
    <w:rsid w:val="00CC2990"/>
    <w:rsid w:val="00CC632D"/>
    <w:rsid w:val="00CC779F"/>
    <w:rsid w:val="00CE1281"/>
    <w:rsid w:val="00CE2A0C"/>
    <w:rsid w:val="00CE3499"/>
    <w:rsid w:val="00CE745B"/>
    <w:rsid w:val="00CF09B4"/>
    <w:rsid w:val="00D02A09"/>
    <w:rsid w:val="00D02AD3"/>
    <w:rsid w:val="00D02BC5"/>
    <w:rsid w:val="00D129E7"/>
    <w:rsid w:val="00D16F15"/>
    <w:rsid w:val="00D2025E"/>
    <w:rsid w:val="00D259D7"/>
    <w:rsid w:val="00D25C7E"/>
    <w:rsid w:val="00D27DEC"/>
    <w:rsid w:val="00D31410"/>
    <w:rsid w:val="00D337A2"/>
    <w:rsid w:val="00D351E9"/>
    <w:rsid w:val="00D3592F"/>
    <w:rsid w:val="00D35ACB"/>
    <w:rsid w:val="00D36753"/>
    <w:rsid w:val="00D379B5"/>
    <w:rsid w:val="00D526EA"/>
    <w:rsid w:val="00D55072"/>
    <w:rsid w:val="00D63477"/>
    <w:rsid w:val="00D641E0"/>
    <w:rsid w:val="00D71C04"/>
    <w:rsid w:val="00D724E9"/>
    <w:rsid w:val="00D725FE"/>
    <w:rsid w:val="00D74EA9"/>
    <w:rsid w:val="00D77250"/>
    <w:rsid w:val="00D8743F"/>
    <w:rsid w:val="00DA0E5A"/>
    <w:rsid w:val="00DA49A2"/>
    <w:rsid w:val="00DB1C5A"/>
    <w:rsid w:val="00DB46A1"/>
    <w:rsid w:val="00DC56BA"/>
    <w:rsid w:val="00DD1E9F"/>
    <w:rsid w:val="00DE3D01"/>
    <w:rsid w:val="00DE7D8E"/>
    <w:rsid w:val="00DE7DCC"/>
    <w:rsid w:val="00DF169A"/>
    <w:rsid w:val="00DF6AC3"/>
    <w:rsid w:val="00E0339E"/>
    <w:rsid w:val="00E041E7"/>
    <w:rsid w:val="00E12BFD"/>
    <w:rsid w:val="00E14938"/>
    <w:rsid w:val="00E2368B"/>
    <w:rsid w:val="00E238A6"/>
    <w:rsid w:val="00E25193"/>
    <w:rsid w:val="00E27FED"/>
    <w:rsid w:val="00E3227E"/>
    <w:rsid w:val="00E41AC9"/>
    <w:rsid w:val="00E43AAA"/>
    <w:rsid w:val="00E56149"/>
    <w:rsid w:val="00E57239"/>
    <w:rsid w:val="00E714E6"/>
    <w:rsid w:val="00E716CB"/>
    <w:rsid w:val="00E76A6F"/>
    <w:rsid w:val="00E83B48"/>
    <w:rsid w:val="00E90D74"/>
    <w:rsid w:val="00E9321A"/>
    <w:rsid w:val="00E96298"/>
    <w:rsid w:val="00EB2C62"/>
    <w:rsid w:val="00EB6BFB"/>
    <w:rsid w:val="00EC1045"/>
    <w:rsid w:val="00ED57D6"/>
    <w:rsid w:val="00ED77C2"/>
    <w:rsid w:val="00EE2A35"/>
    <w:rsid w:val="00EE5022"/>
    <w:rsid w:val="00EE5F83"/>
    <w:rsid w:val="00EF08BF"/>
    <w:rsid w:val="00EF1471"/>
    <w:rsid w:val="00EF6829"/>
    <w:rsid w:val="00EF6961"/>
    <w:rsid w:val="00F02ADE"/>
    <w:rsid w:val="00F066CB"/>
    <w:rsid w:val="00F07336"/>
    <w:rsid w:val="00F075C0"/>
    <w:rsid w:val="00F10AFD"/>
    <w:rsid w:val="00F26C63"/>
    <w:rsid w:val="00F26F4A"/>
    <w:rsid w:val="00F30B6A"/>
    <w:rsid w:val="00F332EC"/>
    <w:rsid w:val="00F344E1"/>
    <w:rsid w:val="00F4453B"/>
    <w:rsid w:val="00F5343E"/>
    <w:rsid w:val="00F53A37"/>
    <w:rsid w:val="00F54F88"/>
    <w:rsid w:val="00F63F13"/>
    <w:rsid w:val="00F64B02"/>
    <w:rsid w:val="00F64DE4"/>
    <w:rsid w:val="00F670D5"/>
    <w:rsid w:val="00F67D33"/>
    <w:rsid w:val="00F67EE4"/>
    <w:rsid w:val="00F719CD"/>
    <w:rsid w:val="00F75368"/>
    <w:rsid w:val="00F80D32"/>
    <w:rsid w:val="00F8696A"/>
    <w:rsid w:val="00F929D9"/>
    <w:rsid w:val="00FA44B6"/>
    <w:rsid w:val="00FB0374"/>
    <w:rsid w:val="00FB2C3F"/>
    <w:rsid w:val="00FC0B12"/>
    <w:rsid w:val="00FD1E14"/>
    <w:rsid w:val="00FD5E42"/>
    <w:rsid w:val="00FD7434"/>
    <w:rsid w:val="00FD7BCB"/>
    <w:rsid w:val="00FE3B53"/>
    <w:rsid w:val="00FE5367"/>
    <w:rsid w:val="00FE58F3"/>
    <w:rsid w:val="00FE620E"/>
    <w:rsid w:val="00FE641F"/>
    <w:rsid w:val="00FE714D"/>
    <w:rsid w:val="00FF3304"/>
    <w:rsid w:val="00FF4922"/>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character" w:styleId="Izmantotahipersaite">
    <w:name w:val="FollowedHyperlink"/>
    <w:basedOn w:val="Noklusjumarindkopasfonts"/>
    <w:uiPriority w:val="99"/>
    <w:semiHidden/>
    <w:unhideWhenUsed/>
    <w:rsid w:val="005112F9"/>
    <w:rPr>
      <w:color w:val="800080" w:themeColor="followedHyperlink"/>
      <w:u w:val="single"/>
    </w:rPr>
  </w:style>
  <w:style w:type="character" w:customStyle="1" w:styleId="A21">
    <w:name w:val="A21"/>
    <w:uiPriority w:val="99"/>
    <w:rsid w:val="00BB2FE1"/>
    <w:rPr>
      <w:rFonts w:cs="Gotham"/>
      <w:color w:val="000000"/>
      <w:sz w:val="14"/>
      <w:szCs w:val="14"/>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1833">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1944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Rone@latvijasradio.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ta.Robezniec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3821</Words>
  <Characters>2179</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Robežniece</dc:creator>
  <cp:lastModifiedBy>Laura Zariņa</cp:lastModifiedBy>
  <cp:revision>2</cp:revision>
  <cp:lastPrinted>2019-04-23T10:12:00Z</cp:lastPrinted>
  <dcterms:created xsi:type="dcterms:W3CDTF">2019-07-11T08:35:00Z</dcterms:created>
  <dcterms:modified xsi:type="dcterms:W3CDTF">2019-07-11T08:35:00Z</dcterms:modified>
</cp:coreProperties>
</file>