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B263" w14:textId="3D4557DD" w:rsidR="003530C3" w:rsidRDefault="004169B9" w:rsidP="003530C3">
      <w:pPr>
        <w:shd w:val="clear" w:color="auto" w:fill="FFFFFF"/>
        <w:spacing w:before="130" w:line="260" w:lineRule="exact"/>
        <w:jc w:val="center"/>
        <w:rPr>
          <w:b/>
          <w:bCs/>
        </w:rPr>
      </w:pPr>
      <w:r w:rsidRPr="00E7503F">
        <w:rPr>
          <w:b/>
          <w:bCs/>
        </w:rPr>
        <w:t>Ministru kabineta noteikumu projekta “</w:t>
      </w:r>
      <w:r w:rsidR="00524B09" w:rsidRPr="00524B09">
        <w:rPr>
          <w:b/>
          <w:bCs/>
          <w:szCs w:val="28"/>
        </w:rPr>
        <w:t xml:space="preserve">Valsts </w:t>
      </w:r>
      <w:r w:rsidR="00524B09" w:rsidRPr="00DE7587">
        <w:rPr>
          <w:b/>
          <w:bCs/>
          <w:szCs w:val="28"/>
        </w:rPr>
        <w:t xml:space="preserve">policijas </w:t>
      </w:r>
      <w:r w:rsidR="001E0C11" w:rsidRPr="00DE7587">
        <w:rPr>
          <w:b/>
          <w:bCs/>
          <w:szCs w:val="28"/>
        </w:rPr>
        <w:t xml:space="preserve">un Valsts policijas koledžas </w:t>
      </w:r>
      <w:r w:rsidR="00524B09" w:rsidRPr="00524B09">
        <w:rPr>
          <w:b/>
          <w:bCs/>
          <w:szCs w:val="28"/>
        </w:rPr>
        <w:t>amatpersonu ar speciālajām dienesta pakāpēm formas tērpa un atšķirības zīmju apraksts</w:t>
      </w:r>
      <w:r w:rsidRPr="00841BEB">
        <w:rPr>
          <w:b/>
          <w:bCs/>
        </w:rPr>
        <w:t>” sākotnējās ietekmes novērtējuma ziņojums (anotācija)</w:t>
      </w:r>
    </w:p>
    <w:p w14:paraId="09EB53A7" w14:textId="77777777" w:rsidR="008B61FE" w:rsidRPr="00AD37B6" w:rsidRDefault="008B61FE" w:rsidP="003530C3">
      <w:pPr>
        <w:shd w:val="clear" w:color="auto" w:fill="FFFFFF"/>
        <w:spacing w:before="130" w:line="260" w:lineRule="exact"/>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6"/>
        <w:gridCol w:w="6565"/>
      </w:tblGrid>
      <w:tr w:rsidR="008B61FE" w:rsidRPr="005A735D" w14:paraId="2EE492E1" w14:textId="77777777" w:rsidTr="0053320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A6C7C2C" w14:textId="77777777" w:rsidR="008B61FE" w:rsidRPr="005A735D" w:rsidRDefault="008B61FE" w:rsidP="00533201">
            <w:pPr>
              <w:ind w:firstLine="300"/>
              <w:jc w:val="center"/>
              <w:rPr>
                <w:b/>
                <w:bCs/>
              </w:rPr>
            </w:pPr>
            <w:r w:rsidRPr="005A735D">
              <w:rPr>
                <w:b/>
                <w:bCs/>
              </w:rPr>
              <w:t>Tiesību akta projekta anotācijas kopsavilkums</w:t>
            </w:r>
          </w:p>
        </w:tc>
      </w:tr>
      <w:tr w:rsidR="008B61FE" w:rsidRPr="005A735D" w14:paraId="7A9D91B2" w14:textId="77777777" w:rsidTr="00533201">
        <w:tc>
          <w:tcPr>
            <w:tcW w:w="1405" w:type="pct"/>
            <w:tcBorders>
              <w:top w:val="outset" w:sz="6" w:space="0" w:color="414142"/>
              <w:left w:val="outset" w:sz="6" w:space="0" w:color="414142"/>
              <w:bottom w:val="outset" w:sz="6" w:space="0" w:color="414142"/>
              <w:right w:val="outset" w:sz="6" w:space="0" w:color="414142"/>
            </w:tcBorders>
            <w:hideMark/>
          </w:tcPr>
          <w:p w14:paraId="11E394FD" w14:textId="03768940" w:rsidR="008B61FE" w:rsidRPr="005A735D" w:rsidRDefault="008B61FE" w:rsidP="00F25FED">
            <w:pPr>
              <w:ind w:right="198"/>
              <w:jc w:val="both"/>
            </w:pPr>
            <w:r w:rsidRPr="005A735D">
              <w:t>Mērķis, risinājums un projekta spēkā stāšanās laiks</w:t>
            </w:r>
          </w:p>
        </w:tc>
        <w:tc>
          <w:tcPr>
            <w:tcW w:w="3595" w:type="pct"/>
            <w:tcBorders>
              <w:top w:val="outset" w:sz="6" w:space="0" w:color="414142"/>
              <w:left w:val="outset" w:sz="6" w:space="0" w:color="414142"/>
              <w:bottom w:val="outset" w:sz="6" w:space="0" w:color="414142"/>
              <w:right w:val="outset" w:sz="6" w:space="0" w:color="414142"/>
            </w:tcBorders>
            <w:hideMark/>
          </w:tcPr>
          <w:p w14:paraId="04A4AF6E" w14:textId="7943BFAC" w:rsidR="00F822C1" w:rsidRPr="00F822C1" w:rsidRDefault="00402EF1" w:rsidP="00533201">
            <w:pPr>
              <w:ind w:firstLine="452"/>
              <w:jc w:val="both"/>
              <w:rPr>
                <w:lang w:eastAsia="en-US"/>
              </w:rPr>
            </w:pPr>
            <w:r w:rsidRPr="00DE7587">
              <w:rPr>
                <w:lang w:eastAsia="en-US"/>
              </w:rPr>
              <w:t>Ministru kabineta noteikumu projekts “</w:t>
            </w:r>
            <w:r w:rsidRPr="00DE7587">
              <w:rPr>
                <w:bCs/>
              </w:rPr>
              <w:t>Valsts policijas</w:t>
            </w:r>
            <w:r w:rsidR="009C5B40" w:rsidRPr="00DE7587">
              <w:rPr>
                <w:bCs/>
              </w:rPr>
              <w:t xml:space="preserve"> un Valsts policijas koledžas</w:t>
            </w:r>
            <w:r w:rsidRPr="00DE7587">
              <w:rPr>
                <w:bCs/>
              </w:rPr>
              <w:t xml:space="preserve"> amatpersonu ar speciālajām dienesta pakāpēm formas tērpa un atšķirības zīmju apraksts</w:t>
            </w:r>
            <w:r w:rsidRPr="00DE7587">
              <w:rPr>
                <w:lang w:eastAsia="en-US"/>
              </w:rPr>
              <w:t>” (turpmāk – Projekts) izstrādāts</w:t>
            </w:r>
            <w:r w:rsidR="0058479D" w:rsidRPr="00DE7587">
              <w:rPr>
                <w:lang w:eastAsia="en-US"/>
              </w:rPr>
              <w:t xml:space="preserve"> </w:t>
            </w:r>
            <w:r w:rsidR="00F822C1" w:rsidRPr="00DE7587">
              <w:rPr>
                <w:lang w:eastAsia="en-US"/>
              </w:rPr>
              <w:t xml:space="preserve">atbilstoši </w:t>
            </w:r>
            <w:r w:rsidR="00F822C1" w:rsidRPr="00F822C1">
              <w:rPr>
                <w:iCs/>
              </w:rPr>
              <w:t>Ministru kabineta 2013. gada 4. jūnija sēdes protokollēmuma (prot. Nr.33, 35</w:t>
            </w:r>
            <w:r w:rsidR="00F822C1" w:rsidRPr="00F822C1">
              <w:t>.</w:t>
            </w:r>
            <w:r w:rsidR="00F822C1" w:rsidRPr="00F822C1">
              <w:rPr>
                <w:iCs/>
              </w:rPr>
              <w:t>§) 2. punktam, kurā atbalstīts</w:t>
            </w:r>
            <w:r w:rsidR="00F822C1" w:rsidRPr="00F822C1">
              <w:rPr>
                <w:rStyle w:val="spelle"/>
              </w:rPr>
              <w:t xml:space="preserve"> Iekšlietu ministrijas priekšlikum</w:t>
            </w:r>
            <w:r w:rsidR="00F25FED">
              <w:rPr>
                <w:rStyle w:val="spelle"/>
              </w:rPr>
              <w:t>s</w:t>
            </w:r>
            <w:r w:rsidR="00F822C1" w:rsidRPr="00F822C1">
              <w:rPr>
                <w:rStyle w:val="spelle"/>
              </w:rPr>
              <w:t xml:space="preserve"> par</w:t>
            </w:r>
            <w:r w:rsidR="00F822C1" w:rsidRPr="00F822C1">
              <w:t xml:space="preserve"> Iekšlietu ministrijas sistēmas iestāžu amatpersonu ar speciālajām dienesta pakāpēm formas tērp</w:t>
            </w:r>
            <w:r w:rsidR="00F2264A">
              <w:t>a</w:t>
            </w:r>
            <w:r w:rsidR="00F822C1" w:rsidRPr="00F822C1">
              <w:t xml:space="preserve"> priekšmetu modernizāciju.</w:t>
            </w:r>
          </w:p>
          <w:p w14:paraId="62D759D1" w14:textId="7E92C842" w:rsidR="00F822C1" w:rsidRPr="002E587A" w:rsidRDefault="00F822C1" w:rsidP="000D417B">
            <w:pPr>
              <w:ind w:firstLine="452"/>
              <w:jc w:val="both"/>
            </w:pPr>
            <w:r>
              <w:t xml:space="preserve">Vienlaikus ar Projektu paredzēts uzsākt Iekšlietu ministrijas sistēmas iestāžu un Ieslodzījuma vietu pārvaldes amatpersonu formas tērpa un atšķirības zīmju apraksta noteikšanu </w:t>
            </w:r>
            <w:r w:rsidR="000A555F">
              <w:t xml:space="preserve">vairākos </w:t>
            </w:r>
            <w:r>
              <w:t xml:space="preserve">atsevišķos normatīvajos aktos atbilstoši </w:t>
            </w:r>
            <w:r w:rsidR="000A555F">
              <w:t xml:space="preserve">minēto </w:t>
            </w:r>
            <w:r>
              <w:t xml:space="preserve">iestāžu </w:t>
            </w:r>
            <w:r w:rsidR="000A555F">
              <w:t>atš</w:t>
            </w:r>
            <w:r w:rsidR="000D417B">
              <w:t>ķirīgajām funkcijām.</w:t>
            </w:r>
          </w:p>
        </w:tc>
      </w:tr>
    </w:tbl>
    <w:p w14:paraId="2343C86B" w14:textId="5428FD39" w:rsidR="008B61FE" w:rsidRPr="00AD37B6" w:rsidRDefault="008B61FE" w:rsidP="003530C3">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3530C3" w:rsidRPr="00AD37B6" w14:paraId="3574CE97" w14:textId="77777777" w:rsidTr="00C42A27">
        <w:tc>
          <w:tcPr>
            <w:tcW w:w="5000" w:type="pct"/>
            <w:gridSpan w:val="3"/>
            <w:vAlign w:val="center"/>
            <w:hideMark/>
          </w:tcPr>
          <w:p w14:paraId="4720193B" w14:textId="77777777" w:rsidR="003530C3" w:rsidRPr="00AD37B6" w:rsidRDefault="003530C3" w:rsidP="00F77A6F">
            <w:pPr>
              <w:jc w:val="center"/>
              <w:rPr>
                <w:b/>
                <w:bCs/>
              </w:rPr>
            </w:pPr>
            <w:r w:rsidRPr="00AD37B6">
              <w:rPr>
                <w:b/>
                <w:bCs/>
              </w:rPr>
              <w:t>I. Tiesību akta projekta izstrādes nepieciešamība</w:t>
            </w:r>
          </w:p>
        </w:tc>
      </w:tr>
      <w:tr w:rsidR="003530C3" w:rsidRPr="00AD37B6" w14:paraId="1BEDB9CF" w14:textId="77777777" w:rsidTr="00C42A27">
        <w:tc>
          <w:tcPr>
            <w:tcW w:w="311" w:type="pct"/>
            <w:hideMark/>
          </w:tcPr>
          <w:p w14:paraId="5D264EBF" w14:textId="77777777" w:rsidR="003530C3" w:rsidRPr="00AD37B6" w:rsidRDefault="003530C3" w:rsidP="00F77A6F">
            <w:pPr>
              <w:jc w:val="center"/>
            </w:pPr>
            <w:r w:rsidRPr="00AD37B6">
              <w:t>1.</w:t>
            </w:r>
          </w:p>
        </w:tc>
        <w:tc>
          <w:tcPr>
            <w:tcW w:w="1479" w:type="pct"/>
            <w:hideMark/>
          </w:tcPr>
          <w:p w14:paraId="21A7D1B3" w14:textId="77777777" w:rsidR="003530C3" w:rsidRPr="00AD37B6" w:rsidRDefault="003530C3" w:rsidP="00F77A6F">
            <w:r w:rsidRPr="00AD37B6">
              <w:t>Pamatojums</w:t>
            </w:r>
          </w:p>
        </w:tc>
        <w:tc>
          <w:tcPr>
            <w:tcW w:w="3210" w:type="pct"/>
            <w:hideMark/>
          </w:tcPr>
          <w:p w14:paraId="146DD382" w14:textId="68B5D35F" w:rsidR="00DA1554" w:rsidRDefault="00D1274D" w:rsidP="005A67C4">
            <w:pPr>
              <w:jc w:val="both"/>
              <w:outlineLvl w:val="2"/>
              <w:rPr>
                <w:iCs/>
              </w:rPr>
            </w:pPr>
            <w:r>
              <w:rPr>
                <w:iCs/>
              </w:rPr>
              <w:t>Ministru kabineta 2013. gada 4. jūnija sēdes protokollēmuma (prot. Nr.33, 35</w:t>
            </w:r>
            <w:r>
              <w:t>.</w:t>
            </w:r>
            <w:r w:rsidRPr="00D1274D">
              <w:rPr>
                <w:iCs/>
              </w:rPr>
              <w:t>§)</w:t>
            </w:r>
            <w:r>
              <w:rPr>
                <w:iCs/>
              </w:rPr>
              <w:t xml:space="preserve"> 2. punkts.</w:t>
            </w:r>
          </w:p>
          <w:p w14:paraId="43D69BDE" w14:textId="3DBDFEF5" w:rsidR="0016535B" w:rsidRPr="00EC7CD6" w:rsidRDefault="00DE71BF" w:rsidP="005A67C4">
            <w:pPr>
              <w:jc w:val="both"/>
              <w:outlineLvl w:val="2"/>
              <w:rPr>
                <w:iCs/>
              </w:rPr>
            </w:pPr>
            <w:r w:rsidRPr="007B3C6B">
              <w:rPr>
                <w:iCs/>
              </w:rPr>
              <w:t>Iekšlietu ministrijas</w:t>
            </w:r>
            <w:r w:rsidR="0016535B" w:rsidRPr="007B3C6B">
              <w:rPr>
                <w:iCs/>
              </w:rPr>
              <w:t xml:space="preserve"> iniciatīva.</w:t>
            </w:r>
          </w:p>
          <w:tbl>
            <w:tblPr>
              <w:tblW w:w="5000" w:type="pct"/>
              <w:tblCellSpacing w:w="0" w:type="dxa"/>
              <w:tblCellMar>
                <w:left w:w="0" w:type="dxa"/>
                <w:right w:w="0" w:type="dxa"/>
              </w:tblCellMar>
              <w:tblLook w:val="04A0" w:firstRow="1" w:lastRow="0" w:firstColumn="1" w:lastColumn="0" w:noHBand="0" w:noVBand="1"/>
            </w:tblPr>
            <w:tblGrid>
              <w:gridCol w:w="2901"/>
              <w:gridCol w:w="2901"/>
            </w:tblGrid>
            <w:tr w:rsidR="006108EC" w14:paraId="32A4DA5A" w14:textId="77777777">
              <w:trPr>
                <w:tblCellSpacing w:w="0" w:type="dxa"/>
              </w:trPr>
              <w:tc>
                <w:tcPr>
                  <w:tcW w:w="0" w:type="auto"/>
                  <w:hideMark/>
                </w:tcPr>
                <w:p w14:paraId="2F46A4DB" w14:textId="77777777" w:rsidR="006108EC" w:rsidRDefault="006108EC">
                  <w:pPr>
                    <w:rPr>
                      <w:rFonts w:ascii="Tahoma" w:hAnsi="Tahoma" w:cs="Tahoma"/>
                      <w:color w:val="2A2A2A"/>
                      <w:sz w:val="15"/>
                      <w:szCs w:val="15"/>
                    </w:rPr>
                  </w:pPr>
                </w:p>
              </w:tc>
              <w:tc>
                <w:tcPr>
                  <w:tcW w:w="0" w:type="auto"/>
                  <w:hideMark/>
                </w:tcPr>
                <w:p w14:paraId="3E8FEDDC" w14:textId="77777777" w:rsidR="006108EC" w:rsidRDefault="006108EC">
                  <w:pPr>
                    <w:rPr>
                      <w:rFonts w:ascii="Tahoma" w:hAnsi="Tahoma" w:cs="Tahoma"/>
                      <w:color w:val="2A2A2A"/>
                      <w:sz w:val="15"/>
                      <w:szCs w:val="15"/>
                    </w:rPr>
                  </w:pPr>
                </w:p>
              </w:tc>
            </w:tr>
          </w:tbl>
          <w:p w14:paraId="3E24917A" w14:textId="479FF838" w:rsidR="00524B09" w:rsidRPr="006108EC" w:rsidRDefault="00524B09" w:rsidP="006108EC">
            <w:pPr>
              <w:jc w:val="center"/>
              <w:outlineLvl w:val="2"/>
              <w:rPr>
                <w:b/>
                <w:bCs/>
                <w:sz w:val="28"/>
                <w:szCs w:val="28"/>
              </w:rPr>
            </w:pPr>
          </w:p>
        </w:tc>
      </w:tr>
      <w:tr w:rsidR="003530C3" w:rsidRPr="00AD37B6" w14:paraId="42A58587" w14:textId="77777777" w:rsidTr="00C42A27">
        <w:tc>
          <w:tcPr>
            <w:tcW w:w="311" w:type="pct"/>
            <w:hideMark/>
          </w:tcPr>
          <w:p w14:paraId="09FDEE6E" w14:textId="77777777" w:rsidR="003530C3" w:rsidRPr="00AD37B6" w:rsidRDefault="003530C3" w:rsidP="00F77A6F">
            <w:pPr>
              <w:jc w:val="center"/>
            </w:pPr>
            <w:r w:rsidRPr="00AD37B6">
              <w:t>2.</w:t>
            </w:r>
          </w:p>
        </w:tc>
        <w:tc>
          <w:tcPr>
            <w:tcW w:w="1479" w:type="pct"/>
            <w:hideMark/>
          </w:tcPr>
          <w:p w14:paraId="6DB09639" w14:textId="77777777" w:rsidR="003530C3" w:rsidRPr="00AD37B6" w:rsidRDefault="003530C3" w:rsidP="006D7533">
            <w:pPr>
              <w:jc w:val="both"/>
            </w:pPr>
            <w:r w:rsidRPr="00AD37B6">
              <w:t>Pašreizējā situācija un problēmas, kuru risināšanai tiesību akta projekts izstrādāts, tiesiskā regulējuma mērķis un būtība</w:t>
            </w:r>
          </w:p>
        </w:tc>
        <w:tc>
          <w:tcPr>
            <w:tcW w:w="3210" w:type="pct"/>
            <w:hideMark/>
          </w:tcPr>
          <w:p w14:paraId="36242804" w14:textId="372269BD" w:rsidR="00CD10D7" w:rsidRPr="00DE7587" w:rsidRDefault="00CD10D7" w:rsidP="00461CF3">
            <w:pPr>
              <w:ind w:firstLine="397"/>
              <w:jc w:val="both"/>
            </w:pPr>
            <w:r w:rsidRPr="00DE7587">
              <w:t xml:space="preserve">Atbilstoši </w:t>
            </w:r>
            <w:r w:rsidR="008B07E7" w:rsidRPr="00DE7587">
              <w:t>Iekšlietu ministrijas sistēmas iestāžu un Ieslodzījuma vietu pārvaldes amatpersonu ar speciālajam dienesta pakāpēm dienesta gaitas likuma (turpmāk – Dienesta gaitas likums)</w:t>
            </w:r>
            <w:r w:rsidR="00CA2B6C" w:rsidRPr="00DE7587">
              <w:t xml:space="preserve"> 2. panta otrajai daļai, Iekšlietu ministrijas sistēmā ietilpst Iekšlietu ministrijas padotīb</w:t>
            </w:r>
            <w:r w:rsidR="00DE0AA2" w:rsidRPr="00DE7587">
              <w:t>ā</w:t>
            </w:r>
            <w:r w:rsidR="00CA2B6C" w:rsidRPr="00DE7587">
              <w:t xml:space="preserve"> esošās iestādes – Iekšējās drošības birojs, Valsts policija, Valsts robežsardze, Valsts ugunsdzēsības un glābšanas dienests –, kā arī šo iestāžu padotībā esošās koledžas.</w:t>
            </w:r>
          </w:p>
          <w:p w14:paraId="275B613B" w14:textId="03651AF3" w:rsidR="008B07E7" w:rsidRPr="00DE7587" w:rsidRDefault="008B07E7" w:rsidP="008B07E7">
            <w:pPr>
              <w:ind w:firstLine="397"/>
              <w:jc w:val="both"/>
            </w:pPr>
            <w:r w:rsidRPr="00DE7587">
              <w:t xml:space="preserve">Dienesta gaitas likuma 44.panta pirmajā daļā noteikts, ka </w:t>
            </w:r>
            <w:r w:rsidR="001073DC" w:rsidRPr="00DE7587">
              <w:t xml:space="preserve">Iekšlietu ministrijas sistēmas iestāžu un Ieslodzījuma vietu pārvaldes </w:t>
            </w:r>
            <w:r w:rsidR="00CA2B6C" w:rsidRPr="00DE7587">
              <w:t>amatpersonas</w:t>
            </w:r>
            <w:r w:rsidRPr="00DE7587">
              <w:t>,</w:t>
            </w:r>
            <w:r w:rsidR="00CA2B6C" w:rsidRPr="00DE7587">
              <w:t xml:space="preserve"> pildot dienesta</w:t>
            </w:r>
            <w:r w:rsidRPr="00DE7587">
              <w:t xml:space="preserve"> pienākumus, valkā formas tērpu. </w:t>
            </w:r>
          </w:p>
          <w:p w14:paraId="5B8E6B27" w14:textId="77777777" w:rsidR="00E421AC" w:rsidRPr="00DE7587" w:rsidRDefault="00E421AC" w:rsidP="00E421AC">
            <w:pPr>
              <w:ind w:firstLine="397"/>
              <w:jc w:val="both"/>
            </w:pPr>
            <w:r w:rsidRPr="00DE7587">
              <w:t xml:space="preserve">Saskaņā ar Dienesta gaitas likuma 44.panta otro un trešo daļu, </w:t>
            </w:r>
            <w:r w:rsidR="008B07E7" w:rsidRPr="00DE7587">
              <w:t>Iekšlietu ministrijas sistēmas iestāžu un Ieslodzījuma vietu pārvaldes amatpersonu ar speciālajām dienesta pakāpēm formas tērpa un atšķirības zīmju aprakstu</w:t>
            </w:r>
            <w:r w:rsidRPr="00DE7587">
              <w:t xml:space="preserve"> nosaka Ministru kabinets, bet amatpersonu amatus, kuros dienesta pienākumus veic, pastāvīgi nenēsājot formas tērpu, amatpersonas formas tērpa un atšķirības zīmju izsniegšanas normas un nēsāšanas kārtību, kā arī speciālā apģērba, individuālo aizsardzības līdzekļu, ekipējuma un inventāra veidus un izsniegšanas normas nosaka iestādes vadītājs.</w:t>
            </w:r>
          </w:p>
          <w:p w14:paraId="0DAAA0B5" w14:textId="466F2592" w:rsidR="004B481D" w:rsidRPr="00DE7587" w:rsidRDefault="004B481D" w:rsidP="004B481D">
            <w:pPr>
              <w:ind w:firstLine="397"/>
              <w:jc w:val="both"/>
            </w:pPr>
            <w:r w:rsidRPr="00DE7587">
              <w:t xml:space="preserve">Līdz ar to Ministru kabineta 2009.gada 10.februāra noteikumus Nr.137 “Noteikumi par Iekšlietu ministrijas sistēmas iestāžu un Ieslodzījuma vietu pārvaldes amatpersonu ar speciālajām dienesta pakāpēm formas tērpu un atšķirības zīmju aprakstu, speciālā apģērba, individuālo </w:t>
            </w:r>
            <w:r w:rsidRPr="00DE7587">
              <w:lastRenderedPageBreak/>
              <w:t>aizsardzības līdzekļu, ekipējuma un inventāra veidiem un to izsniegšanas normām” nepieciešams izdot jaunā redakcijā atbilstoši grozītajam deleģējumam.</w:t>
            </w:r>
          </w:p>
          <w:p w14:paraId="6E3CA180" w14:textId="5EFE5D8F" w:rsidR="008B07E7" w:rsidRPr="00DE7587" w:rsidRDefault="00670B42" w:rsidP="00E421AC">
            <w:pPr>
              <w:ind w:firstLine="397"/>
              <w:jc w:val="both"/>
            </w:pPr>
            <w:r w:rsidRPr="00DE7587">
              <w:t xml:space="preserve">Iekšlietu ministrija ir izstrādājusi </w:t>
            </w:r>
            <w:r w:rsidR="008B07E7" w:rsidRPr="00DE7587">
              <w:t>Ministru kabineta noteikum</w:t>
            </w:r>
            <w:r w:rsidRPr="00DE7587">
              <w:t xml:space="preserve">u projektu </w:t>
            </w:r>
            <w:r w:rsidR="008B07E7" w:rsidRPr="00DE7587">
              <w:t>“Noteikumi par Iekšlietu ministrijas sistēmas iestāžu un Ieslodzījuma vietu pārvaldes amatpersonu ar speciālajām dienesta pakāpēm formas tērp</w:t>
            </w:r>
            <w:r w:rsidR="00F2264A" w:rsidRPr="00DE7587">
              <w:t>a</w:t>
            </w:r>
            <w:r w:rsidR="008B07E7" w:rsidRPr="00DE7587">
              <w:t xml:space="preserve"> un atšķirības zīmju apraksts”</w:t>
            </w:r>
            <w:r w:rsidR="000249DD" w:rsidRPr="00DE7587">
              <w:t xml:space="preserve"> (turpmāk – </w:t>
            </w:r>
            <w:r w:rsidRPr="00DE7587">
              <w:t>IeM projekts</w:t>
            </w:r>
            <w:r w:rsidR="000249DD" w:rsidRPr="00DE7587">
              <w:t>)</w:t>
            </w:r>
            <w:r w:rsidR="008B07E7" w:rsidRPr="00DE7587">
              <w:t xml:space="preserve">, </w:t>
            </w:r>
            <w:r w:rsidR="00412E08" w:rsidRPr="00DE7587">
              <w:t>kas paredz noteikt</w:t>
            </w:r>
            <w:r w:rsidR="008B07E7" w:rsidRPr="00DE7587">
              <w:t xml:space="preserve"> Iekšlietu ministrijas sistēmas iestāžu un Ieslodzījuma vietu pārvaldes amatpersonu ar speciālajām dienesta pakāpēm formas tērpa un atšķirības zīmju aprakstu.</w:t>
            </w:r>
            <w:r w:rsidR="004B481D" w:rsidRPr="00DE7587">
              <w:t xml:space="preserve"> </w:t>
            </w:r>
          </w:p>
          <w:p w14:paraId="4577A821" w14:textId="47C80F5D" w:rsidR="00F426E3" w:rsidRPr="00DE7587" w:rsidRDefault="008B07E7" w:rsidP="005A457A">
            <w:pPr>
              <w:ind w:firstLine="397"/>
              <w:jc w:val="both"/>
            </w:pPr>
            <w:r w:rsidRPr="00DE7587">
              <w:t xml:space="preserve">Tā kā </w:t>
            </w:r>
            <w:r w:rsidR="009B698A" w:rsidRPr="00DE7587">
              <w:t xml:space="preserve">Iekšlietu ministrijas sistēmas iestāžu un Ieslodzījuma vietu pārvaldes </w:t>
            </w:r>
            <w:r w:rsidR="00E84948" w:rsidRPr="007B3C6B">
              <w:t xml:space="preserve">funkcijas </w:t>
            </w:r>
            <w:r w:rsidR="009B698A" w:rsidRPr="007B3C6B">
              <w:t>ir atšķirīg</w:t>
            </w:r>
            <w:r w:rsidR="007B3C6B" w:rsidRPr="007B3C6B">
              <w:t>as</w:t>
            </w:r>
            <w:r w:rsidR="009B698A" w:rsidRPr="00DE7587">
              <w:t xml:space="preserve">, </w:t>
            </w:r>
            <w:r w:rsidR="00DB0E17" w:rsidRPr="00DE7587">
              <w:t xml:space="preserve">ir problemātiski </w:t>
            </w:r>
            <w:r w:rsidR="00177FBF" w:rsidRPr="00DE7587">
              <w:t>nodrošināt viegli uztveramu un pārskatāmu normatīvo regulējumu,</w:t>
            </w:r>
            <w:r w:rsidR="00685203" w:rsidRPr="00DE7587">
              <w:t xml:space="preserve"> tā vietā tiek radīts apjomīgs, sarežģīts un grūti uztverams normatīvais akts.</w:t>
            </w:r>
            <w:r w:rsidR="00E421AC" w:rsidRPr="00DE7587">
              <w:t xml:space="preserve"> Ir problemātiski vienā normatīvajā aktā ieviest vienotu tiesisko regulējumu formas tērpa aprakstam Iekšlietu ministrijas sistēmas iestāžu amatpersonām, kuru dienesta pienākumi būtiski atšķiras. Piemēram, Valsts ugunsdzēsības un glābšanas dienesta amatpersonu formas tērpam ir jābūt ugunsdrošam, Valsts robežsardzes amatpersonu formas tērpam jānodrošina maskēšanās iespējas, bet Valsts policijai, ievērojot tās funkcijas un uzdevumus, pretēji – gan maskēšanās iespējas, gan redzamība. Turklāt Valsts policijas redzamība ir pamatojama ne tikai ar redzamību amatpersonu dienesta pienākumu izpildē (redzamība uz ceļa amatpersonu drošībai), bet arī ar redzamību sabiedrībā, kas tādā veidā nodrošina prevencijas funkcijas īstenošanu.</w:t>
            </w:r>
            <w:r w:rsidR="00F426E3" w:rsidRPr="00DE7587">
              <w:t xml:space="preserve"> Bet Ieslodzījuma vietu pārvalde ir</w:t>
            </w:r>
            <w:r w:rsidR="00F426E3" w:rsidRPr="00DE7587">
              <w:rPr>
                <w:rStyle w:val="Virsraksts3Rakstz"/>
              </w:rPr>
              <w:t xml:space="preserve"> </w:t>
            </w:r>
            <w:r w:rsidR="00F426E3" w:rsidRPr="00DE7587">
              <w:rPr>
                <w:rStyle w:val="st1"/>
              </w:rPr>
              <w:t>Tieslietu ministrijas pārraudzībā esoša valsts pārvaldes iestāde,</w:t>
            </w:r>
            <w:r w:rsidR="00F426E3" w:rsidRPr="00DE7587">
              <w:t xml:space="preserve"> kuras uzdevumi un funkcijas nav vienveidīgi ar Iekšlietu ministrijas </w:t>
            </w:r>
            <w:r w:rsidR="00A041BC" w:rsidRPr="00DE7587">
              <w:t>sistēmas iestāžu uzdevumiem un funkcijām.</w:t>
            </w:r>
          </w:p>
          <w:p w14:paraId="7F9427AE" w14:textId="1A79DC12" w:rsidR="009B698A" w:rsidRPr="007B3C6B" w:rsidRDefault="00676BB9" w:rsidP="005A457A">
            <w:pPr>
              <w:ind w:firstLine="397"/>
              <w:jc w:val="both"/>
            </w:pPr>
            <w:r w:rsidRPr="00DE7587">
              <w:t>Būtiski, ka, lai</w:t>
            </w:r>
            <w:r w:rsidR="00DE0AA2" w:rsidRPr="00DE7587">
              <w:t xml:space="preserve"> veiktu </w:t>
            </w:r>
            <w:r w:rsidR="00177FBF" w:rsidRPr="00DE7587">
              <w:t>nepieciešamo</w:t>
            </w:r>
            <w:r w:rsidR="00DE0AA2" w:rsidRPr="00DE7587">
              <w:t>s</w:t>
            </w:r>
            <w:r w:rsidR="00177FBF" w:rsidRPr="00DE7587">
              <w:t xml:space="preserve"> grozījumu</w:t>
            </w:r>
            <w:r w:rsidR="00DE0AA2" w:rsidRPr="00DE7587">
              <w:t>s attiecīgajā normat</w:t>
            </w:r>
            <w:r w:rsidR="00E421AC" w:rsidRPr="00DE7587">
              <w:t>īvajā aktā, nākas saskarties ar</w:t>
            </w:r>
            <w:r w:rsidR="00177FBF" w:rsidRPr="00DE7587">
              <w:t xml:space="preserve"> </w:t>
            </w:r>
            <w:r w:rsidR="005A457A" w:rsidRPr="00DE7587">
              <w:t>nesamērīgi ilg</w:t>
            </w:r>
            <w:r w:rsidR="00DE0AA2" w:rsidRPr="00DE7587">
              <w:t>u</w:t>
            </w:r>
            <w:r w:rsidR="005A457A" w:rsidRPr="00DE7587">
              <w:t xml:space="preserve"> un sarežģīt</w:t>
            </w:r>
            <w:r w:rsidR="00DE0AA2" w:rsidRPr="00DE7587">
              <w:t>u</w:t>
            </w:r>
            <w:r w:rsidR="00177FBF" w:rsidRPr="00DE7587">
              <w:t xml:space="preserve"> sas</w:t>
            </w:r>
            <w:r w:rsidR="00520D7A" w:rsidRPr="00DE7587">
              <w:t>kaņošanas proces</w:t>
            </w:r>
            <w:r w:rsidR="00DE0AA2" w:rsidRPr="00DE7587">
              <w:t>u</w:t>
            </w:r>
            <w:r w:rsidR="00520D7A" w:rsidRPr="00DE7587">
              <w:t xml:space="preserve">, kas kavē </w:t>
            </w:r>
            <w:r w:rsidR="00204689" w:rsidRPr="00DE7587">
              <w:t xml:space="preserve">katras </w:t>
            </w:r>
            <w:r w:rsidR="00204689" w:rsidRPr="007B3C6B">
              <w:t xml:space="preserve">attiecīgās </w:t>
            </w:r>
            <w:r w:rsidR="00520D7A" w:rsidRPr="007B3C6B">
              <w:t>nozares attīstību.</w:t>
            </w:r>
          </w:p>
          <w:p w14:paraId="06CC9175" w14:textId="7F3D5C67" w:rsidR="006834C1" w:rsidRPr="00DE7587" w:rsidRDefault="00A842B2" w:rsidP="006834C1">
            <w:pPr>
              <w:ind w:firstLine="397"/>
              <w:jc w:val="both"/>
            </w:pPr>
            <w:r w:rsidRPr="007B3C6B">
              <w:t xml:space="preserve">Līdz ar to ir nepieciešama normatīvā regulējuma decentralizācija, </w:t>
            </w:r>
            <w:r w:rsidR="00542E39" w:rsidRPr="007B3C6B">
              <w:t>kas no</w:t>
            </w:r>
            <w:r w:rsidR="00CD1AC8" w:rsidRPr="007B3C6B">
              <w:t>teik</w:t>
            </w:r>
            <w:r w:rsidR="00F16DE7" w:rsidRPr="007B3C6B">
              <w:t>tu</w:t>
            </w:r>
            <w:r w:rsidR="00DE71BF" w:rsidRPr="007B3C6B">
              <w:t xml:space="preserve"> katras Iekšlietu ministrijas sistēmas iestādes un Ieslodzījuma vietu pārvaldes</w:t>
            </w:r>
            <w:r w:rsidR="00542E39" w:rsidRPr="007B3C6B">
              <w:t xml:space="preserve"> amatpersonu formas tērp</w:t>
            </w:r>
            <w:r w:rsidR="00F2264A" w:rsidRPr="007B3C6B">
              <w:t>a</w:t>
            </w:r>
            <w:r w:rsidR="00542E39" w:rsidRPr="007B3C6B">
              <w:t xml:space="preserve"> un atšķirības zīmju aprakstu, </w:t>
            </w:r>
            <w:r w:rsidR="000148C7" w:rsidRPr="007B3C6B">
              <w:t>izstrādi un pieņemšanu</w:t>
            </w:r>
            <w:r w:rsidR="00542E39" w:rsidRPr="007B3C6B">
              <w:t>.</w:t>
            </w:r>
          </w:p>
          <w:p w14:paraId="073C4CEC" w14:textId="2C5C9357" w:rsidR="0036753D" w:rsidRPr="000F12E7" w:rsidRDefault="00DE71BF" w:rsidP="0036753D">
            <w:pPr>
              <w:ind w:firstLine="397"/>
              <w:jc w:val="both"/>
            </w:pPr>
            <w:r w:rsidRPr="007B3C6B">
              <w:t>Vienlaikus norādām, ka</w:t>
            </w:r>
            <w:r w:rsidR="00A9724C" w:rsidRPr="007B3C6B">
              <w:t xml:space="preserve"> Dienesta gaitas likumā veiktie grozījumi, </w:t>
            </w:r>
            <w:r w:rsidRPr="007B3C6B">
              <w:t>paredz katrai Iekšlietu ministrijas sistēmas iestādei un Ieslodzījuma vietu pārvaldei</w:t>
            </w:r>
            <w:r w:rsidR="0036753D" w:rsidRPr="007B3C6B">
              <w:t>,</w:t>
            </w:r>
            <w:r w:rsidR="00A9724C" w:rsidRPr="007B3C6B">
              <w:t xml:space="preserve"> atbilstoši nepieciešamībai</w:t>
            </w:r>
            <w:r w:rsidR="0036753D" w:rsidRPr="007B3C6B">
              <w:t>,</w:t>
            </w:r>
            <w:r w:rsidR="00A9724C" w:rsidRPr="007B3C6B">
              <w:t xml:space="preserve"> pārskatīt un precizēt formas</w:t>
            </w:r>
            <w:r w:rsidR="00A9724C" w:rsidRPr="00DE7587">
              <w:t xml:space="preserve"> tērp</w:t>
            </w:r>
            <w:r w:rsidR="00F2264A" w:rsidRPr="00DE7587">
              <w:t>a</w:t>
            </w:r>
            <w:r w:rsidR="00A9724C" w:rsidRPr="00DE7587">
              <w:t xml:space="preserve"> lietošanas normas</w:t>
            </w:r>
            <w:r w:rsidR="002579AD" w:rsidRPr="00DE7587">
              <w:t xml:space="preserve">, tās nosakot </w:t>
            </w:r>
            <w:r w:rsidR="0036753D" w:rsidRPr="00DE7587">
              <w:t xml:space="preserve">iestāžu </w:t>
            </w:r>
            <w:r w:rsidR="002579AD" w:rsidRPr="00DE7587">
              <w:t>iekšējos normatīvajos aktos</w:t>
            </w:r>
            <w:r w:rsidR="00942610" w:rsidRPr="00DE7587">
              <w:t>.</w:t>
            </w:r>
            <w:r>
              <w:t xml:space="preserve"> Proti, t</w:t>
            </w:r>
            <w:r w:rsidR="00026CAE" w:rsidRPr="00DE7587">
              <w:t>ā kā f</w:t>
            </w:r>
            <w:r w:rsidR="002579AD" w:rsidRPr="00DE7587">
              <w:t>ormas tērpa priekšmetu lietošanas ilgums, izvērtējot materiālu kvalitāti</w:t>
            </w:r>
            <w:r w:rsidR="0036753D" w:rsidRPr="00DE7587">
              <w:t xml:space="preserve"> un</w:t>
            </w:r>
            <w:r w:rsidR="007536E7" w:rsidRPr="00DE7587">
              <w:t xml:space="preserve"> lietošanas intensitāti</w:t>
            </w:r>
            <w:r w:rsidR="0036753D" w:rsidRPr="00DE7587">
              <w:t>,</w:t>
            </w:r>
            <w:r w:rsidR="007536E7" w:rsidRPr="00DE7587">
              <w:t xml:space="preserve"> iestādēs būtiski atšķiras</w:t>
            </w:r>
            <w:r w:rsidR="00026CAE" w:rsidRPr="00DE7587">
              <w:t xml:space="preserve">, ar šādu normatīvo risinājumu ir </w:t>
            </w:r>
            <w:r w:rsidR="007536E7" w:rsidRPr="00DE7587">
              <w:t>atvieglota materiāltehniskā apgādes plānošana</w:t>
            </w:r>
            <w:r w:rsidR="0036753D" w:rsidRPr="00DE7587">
              <w:t xml:space="preserve"> un</w:t>
            </w:r>
            <w:r w:rsidR="007536E7" w:rsidRPr="00DE7587">
              <w:t xml:space="preserve"> radīta iespēja nodrošināt formas tērp</w:t>
            </w:r>
            <w:r w:rsidR="00F2264A" w:rsidRPr="00DE7587">
              <w:t>a</w:t>
            </w:r>
            <w:r w:rsidR="007536E7" w:rsidRPr="00DE7587">
              <w:t xml:space="preserve"> komplektu </w:t>
            </w:r>
            <w:r w:rsidR="007536E7" w:rsidRPr="00DE7587">
              <w:lastRenderedPageBreak/>
              <w:t xml:space="preserve">diferencēšanu atkarībā no to konkrēto dienesta pienākumu specifikas un amatpersonu veicamajiem dienesta </w:t>
            </w:r>
            <w:r w:rsidR="007536E7" w:rsidRPr="000F12E7">
              <w:t>uzdevumiem.</w:t>
            </w:r>
            <w:r w:rsidR="00F16DE7" w:rsidRPr="000F12E7">
              <w:t xml:space="preserve"> Ņemot vērā veiktos grozījumus Dienesta gaitas likumā, līdzīga pieeja būtu jā</w:t>
            </w:r>
            <w:r w:rsidR="00EB4569" w:rsidRPr="000F12E7">
              <w:t>pārņem</w:t>
            </w:r>
            <w:r w:rsidR="00F16DE7" w:rsidRPr="000F12E7">
              <w:t xml:space="preserve">, veidojot </w:t>
            </w:r>
            <w:r w:rsidRPr="000F12E7">
              <w:t xml:space="preserve">tiesisko regulējumu par </w:t>
            </w:r>
            <w:r w:rsidR="00F16DE7" w:rsidRPr="000F12E7">
              <w:t>Iekšlietu ministrijas sistēmas iestāžu un Ieslodzījuma vietu pārvaldes amatpersonu formas tērp</w:t>
            </w:r>
            <w:r w:rsidR="00F2264A" w:rsidRPr="000F12E7">
              <w:t>a</w:t>
            </w:r>
            <w:r w:rsidR="00F16DE7" w:rsidRPr="000F12E7">
              <w:t xml:space="preserve"> un atšķirības zīmju aprakst</w:t>
            </w:r>
            <w:r w:rsidRPr="000F12E7">
              <w:t>u</w:t>
            </w:r>
            <w:r w:rsidR="00F16DE7" w:rsidRPr="000F12E7">
              <w:t>.</w:t>
            </w:r>
          </w:p>
          <w:p w14:paraId="577D9C90" w14:textId="768D2B7F" w:rsidR="00006892" w:rsidRPr="00DE7587" w:rsidRDefault="005720DF" w:rsidP="006F6C55">
            <w:pPr>
              <w:ind w:firstLine="397"/>
              <w:jc w:val="both"/>
              <w:rPr>
                <w:lang w:eastAsia="en-US"/>
              </w:rPr>
            </w:pPr>
            <w:r w:rsidRPr="000F12E7">
              <w:rPr>
                <w:lang w:eastAsia="en-US"/>
              </w:rPr>
              <w:t>Projekts</w:t>
            </w:r>
            <w:r w:rsidR="00FA3A34" w:rsidRPr="000F12E7">
              <w:rPr>
                <w:lang w:eastAsia="en-US"/>
              </w:rPr>
              <w:t xml:space="preserve"> </w:t>
            </w:r>
            <w:r w:rsidR="009E16B8" w:rsidRPr="000F12E7">
              <w:rPr>
                <w:lang w:eastAsia="en-US"/>
              </w:rPr>
              <w:t xml:space="preserve">izstrādāts ar mērķi </w:t>
            </w:r>
            <w:r w:rsidR="0018628A" w:rsidRPr="000F12E7">
              <w:rPr>
                <w:lang w:eastAsia="en-US"/>
              </w:rPr>
              <w:t xml:space="preserve">radīt </w:t>
            </w:r>
            <w:r w:rsidR="009B698A" w:rsidRPr="000F12E7">
              <w:rPr>
                <w:lang w:eastAsia="en-US"/>
              </w:rPr>
              <w:t xml:space="preserve">atsevišķu </w:t>
            </w:r>
            <w:r w:rsidR="00DE71BF" w:rsidRPr="000F12E7">
              <w:rPr>
                <w:lang w:eastAsia="en-US"/>
              </w:rPr>
              <w:t xml:space="preserve">tiesisko </w:t>
            </w:r>
            <w:r w:rsidR="0016535B" w:rsidRPr="000F12E7">
              <w:rPr>
                <w:lang w:eastAsia="en-US"/>
              </w:rPr>
              <w:t xml:space="preserve">regulējumu </w:t>
            </w:r>
            <w:r w:rsidR="00AC437B" w:rsidRPr="000F12E7">
              <w:rPr>
                <w:lang w:eastAsia="en-US"/>
              </w:rPr>
              <w:t>attiecībā uz Valsts</w:t>
            </w:r>
            <w:r w:rsidR="0016535B" w:rsidRPr="000F12E7">
              <w:rPr>
                <w:lang w:eastAsia="en-US"/>
              </w:rPr>
              <w:t xml:space="preserve"> policijas</w:t>
            </w:r>
            <w:r w:rsidR="00E601FE" w:rsidRPr="000F12E7">
              <w:rPr>
                <w:lang w:eastAsia="en-US"/>
              </w:rPr>
              <w:t xml:space="preserve"> un Valsts policijas koledžas (turpmāk – Valsts policijas)</w:t>
            </w:r>
            <w:r w:rsidR="0016535B" w:rsidRPr="000F12E7">
              <w:rPr>
                <w:lang w:eastAsia="en-US"/>
              </w:rPr>
              <w:t xml:space="preserve"> amatperson</w:t>
            </w:r>
            <w:r w:rsidR="00AC437B" w:rsidRPr="000F12E7">
              <w:rPr>
                <w:lang w:eastAsia="en-US"/>
              </w:rPr>
              <w:t>u ar speciālaj</w:t>
            </w:r>
            <w:r w:rsidR="00A80CD2" w:rsidRPr="000F12E7">
              <w:rPr>
                <w:lang w:eastAsia="en-US"/>
              </w:rPr>
              <w:t>ā</w:t>
            </w:r>
            <w:r w:rsidR="00AC437B" w:rsidRPr="000F12E7">
              <w:rPr>
                <w:lang w:eastAsia="en-US"/>
              </w:rPr>
              <w:t>m dienesta pakāpēm formas tērpa</w:t>
            </w:r>
            <w:r w:rsidR="00F849A2" w:rsidRPr="000F12E7">
              <w:rPr>
                <w:lang w:eastAsia="en-US"/>
              </w:rPr>
              <w:t xml:space="preserve"> </w:t>
            </w:r>
            <w:r w:rsidR="00AC437B" w:rsidRPr="000F12E7">
              <w:rPr>
                <w:lang w:eastAsia="en-US"/>
              </w:rPr>
              <w:t>un atšķirības aprakstu</w:t>
            </w:r>
            <w:r w:rsidR="0036753D" w:rsidRPr="000F12E7">
              <w:rPr>
                <w:lang w:eastAsia="en-US"/>
              </w:rPr>
              <w:t xml:space="preserve"> (turpmāk – </w:t>
            </w:r>
            <w:r w:rsidR="00DD7836" w:rsidRPr="000F12E7">
              <w:rPr>
                <w:lang w:eastAsia="en-US"/>
              </w:rPr>
              <w:t>amatpersonu formas tērps)</w:t>
            </w:r>
            <w:r w:rsidR="00DE71BF" w:rsidRPr="000F12E7">
              <w:rPr>
                <w:lang w:eastAsia="en-US"/>
              </w:rPr>
              <w:t>. Proti, izstrādājot</w:t>
            </w:r>
            <w:r w:rsidR="00E4505A" w:rsidRPr="000F12E7">
              <w:rPr>
                <w:lang w:eastAsia="en-US"/>
              </w:rPr>
              <w:t xml:space="preserve"> normatīvo regulējumu attiecībā uz amatpersonu formas tērpiem Valsts policijā kā pirmajā no Iekšlietu ministrijas sistēmas iestādēm, uz kuru tiks attiecinātas pārmaiņas.</w:t>
            </w:r>
          </w:p>
          <w:p w14:paraId="2DF71CCB" w14:textId="0D31DB4B" w:rsidR="00B17277" w:rsidRPr="00DE7587" w:rsidRDefault="00134327" w:rsidP="005808C4">
            <w:pPr>
              <w:ind w:firstLine="397"/>
              <w:jc w:val="both"/>
            </w:pPr>
            <w:r w:rsidRPr="00DE7587">
              <w:rPr>
                <w:lang w:eastAsia="en-US"/>
              </w:rPr>
              <w:t>Projekts ir izstrādāts konceptuāli atšķirīgi, veidojot jaunu pieeju normatīv</w:t>
            </w:r>
            <w:r w:rsidR="002C7B61" w:rsidRPr="00DE7587">
              <w:rPr>
                <w:lang w:eastAsia="en-US"/>
              </w:rPr>
              <w:t>ajos aktos izmantoto</w:t>
            </w:r>
            <w:r w:rsidRPr="00DE7587">
              <w:rPr>
                <w:lang w:eastAsia="en-US"/>
              </w:rPr>
              <w:t xml:space="preserve"> attēlu </w:t>
            </w:r>
            <w:r w:rsidR="003938D1" w:rsidRPr="00DE7587">
              <w:rPr>
                <w:lang w:eastAsia="en-US"/>
              </w:rPr>
              <w:t>v</w:t>
            </w:r>
            <w:r w:rsidR="006E3B9D" w:rsidRPr="00DE7587">
              <w:rPr>
                <w:lang w:eastAsia="en-US"/>
              </w:rPr>
              <w:t>eidiem</w:t>
            </w:r>
            <w:r w:rsidR="00B17277" w:rsidRPr="00DE7587">
              <w:rPr>
                <w:lang w:eastAsia="en-US"/>
              </w:rPr>
              <w:t xml:space="preserve">. </w:t>
            </w:r>
            <w:r w:rsidR="00DE71BF">
              <w:rPr>
                <w:lang w:eastAsia="en-US"/>
              </w:rPr>
              <w:t xml:space="preserve">Proti, </w:t>
            </w:r>
            <w:r w:rsidR="00B57E85" w:rsidRPr="00DE7587">
              <w:t>IeM projekta</w:t>
            </w:r>
            <w:r w:rsidR="00B17277" w:rsidRPr="00DE7587">
              <w:t xml:space="preserve"> pielikumos ir izmantoti</w:t>
            </w:r>
            <w:r w:rsidR="007D4D8B" w:rsidRPr="00DE7587">
              <w:t xml:space="preserve"> she</w:t>
            </w:r>
            <w:r w:rsidR="00B62AF8" w:rsidRPr="00DE7587">
              <w:t>matiski</w:t>
            </w:r>
            <w:r w:rsidR="00FB5790" w:rsidRPr="00DE7587">
              <w:t xml:space="preserve"> </w:t>
            </w:r>
            <w:r w:rsidR="00B62AF8" w:rsidRPr="00DE7587">
              <w:t>amatpersonu formas tērpa priekšmetu</w:t>
            </w:r>
            <w:r w:rsidR="00FB5790" w:rsidRPr="00DE7587">
              <w:t xml:space="preserve"> zīmējumi, savukārt Projekta pielikumos izmantoti krāsaini attēli un fotoattēli</w:t>
            </w:r>
            <w:r w:rsidR="00A15681" w:rsidRPr="00DE7587">
              <w:t>, tā precīzāk atainojot Valsts policijas amatpersonu formas tērpa izskatu un radot iespēju sabiedrībai Valsts policijas amatpersonas vizuāli atbilstošāk identificēt.</w:t>
            </w:r>
            <w:r w:rsidR="00232B0B" w:rsidRPr="00DE7587">
              <w:t xml:space="preserve"> </w:t>
            </w:r>
            <w:r w:rsidR="00030E11" w:rsidRPr="00DE7587">
              <w:t>Līdz ar to</w:t>
            </w:r>
            <w:r w:rsidR="000249DD" w:rsidRPr="00DE7587">
              <w:t xml:space="preserve"> Valsts policijas amatpersonu formas tērpa un atšķirības zīmju apraksta izmaiņas nevar tikt iestrādātas </w:t>
            </w:r>
            <w:r w:rsidR="00B57E85" w:rsidRPr="00DE7587">
              <w:t>IeM projekta</w:t>
            </w:r>
            <w:r w:rsidR="00504B47" w:rsidRPr="00DE7587">
              <w:t xml:space="preserve"> saturā, kas arī veido pamatu atsevišķa tiesiskā regulējuma nepieciešamībai.</w:t>
            </w:r>
          </w:p>
          <w:p w14:paraId="0F192415" w14:textId="2182C997" w:rsidR="006F6C55" w:rsidRPr="00DE7587" w:rsidRDefault="00AC437B" w:rsidP="006F6C55">
            <w:pPr>
              <w:ind w:firstLine="397"/>
              <w:jc w:val="both"/>
            </w:pPr>
            <w:r w:rsidRPr="00DE7587">
              <w:t xml:space="preserve">Valsts policijas esošais </w:t>
            </w:r>
            <w:r w:rsidR="005F2102" w:rsidRPr="00DE7587">
              <w:t xml:space="preserve">amatpersonu </w:t>
            </w:r>
            <w:r w:rsidRPr="00DE7587">
              <w:t>formas tērp</w:t>
            </w:r>
            <w:r w:rsidR="00F2264A" w:rsidRPr="00DE7587">
              <w:t>a</w:t>
            </w:r>
            <w:r w:rsidRPr="00DE7587">
              <w:t xml:space="preserve"> dizains un komplektējums tiek izmantots jau vairāk nekā 20 gadus, </w:t>
            </w:r>
            <w:r w:rsidR="006F6C55" w:rsidRPr="00DE7587">
              <w:t>tas</w:t>
            </w:r>
            <w:r w:rsidRPr="00DE7587">
              <w:t xml:space="preserve"> rada apdraudējumus atbilstošas funkcionalitātes nodrošināšanai, amatpersonu veselībai un disciplīnai, pozitīvai sabiedrības a</w:t>
            </w:r>
            <w:r w:rsidR="00420DD1" w:rsidRPr="00DE7587">
              <w:t xml:space="preserve">ttieksmei. </w:t>
            </w:r>
          </w:p>
          <w:p w14:paraId="42FF681D" w14:textId="3F51F9B4" w:rsidR="0036753D" w:rsidRPr="00DE7587" w:rsidRDefault="006F6C55" w:rsidP="006F6C55">
            <w:pPr>
              <w:ind w:firstLine="397"/>
              <w:jc w:val="both"/>
              <w:rPr>
                <w:rFonts w:eastAsiaTheme="minorHAnsi"/>
                <w:szCs w:val="28"/>
                <w:lang w:eastAsia="en-US"/>
              </w:rPr>
            </w:pPr>
            <w:r w:rsidRPr="00DE7587">
              <w:t>Ir veikta amatpersonu formas tērpa modernizācija un ja</w:t>
            </w:r>
            <w:r w:rsidR="00420DD1" w:rsidRPr="00DE7587">
              <w:rPr>
                <w:lang w:eastAsia="en-US"/>
              </w:rPr>
              <w:t>una dizaina Valsts policijas</w:t>
            </w:r>
            <w:r w:rsidR="00420DD1" w:rsidRPr="00DE7587">
              <w:t xml:space="preserve"> </w:t>
            </w:r>
            <w:r w:rsidR="005F2102" w:rsidRPr="00DE7587">
              <w:t xml:space="preserve">amatpersonu </w:t>
            </w:r>
            <w:r w:rsidR="00420DD1" w:rsidRPr="00DE7587">
              <w:t xml:space="preserve">formas tērps izstrādāts, lai paaugstinātu </w:t>
            </w:r>
            <w:r w:rsidR="005F2102" w:rsidRPr="00DE7587">
              <w:t>tā</w:t>
            </w:r>
            <w:r w:rsidR="00420DD1" w:rsidRPr="00DE7587">
              <w:t xml:space="preserve"> ilgtspēju un uzlabotu funkciju izpildi. Uz </w:t>
            </w:r>
            <w:r w:rsidR="005F2102" w:rsidRPr="00DE7587">
              <w:t xml:space="preserve">amatpersonu </w:t>
            </w:r>
            <w:r w:rsidR="00420DD1" w:rsidRPr="00DE7587">
              <w:t>formas tērpa sastāvdaļām izvi</w:t>
            </w:r>
            <w:r w:rsidR="00DD7836" w:rsidRPr="00DE7587">
              <w:t>etota Valsts policijas emblēma ar</w:t>
            </w:r>
            <w:r w:rsidR="00420DD1" w:rsidRPr="00DE7587">
              <w:t> maz</w:t>
            </w:r>
            <w:r w:rsidR="00DD37D4" w:rsidRPr="00DE7587">
              <w:t>o valsts ģerboni</w:t>
            </w:r>
            <w:r w:rsidR="00420DD1" w:rsidRPr="00DE7587">
              <w:t>, Latvijas valsts karoga emblēm</w:t>
            </w:r>
            <w:r w:rsidRPr="00DE7587">
              <w:t xml:space="preserve">a un Valsts policijas kokarde – </w:t>
            </w:r>
            <w:r w:rsidR="00420DD1" w:rsidRPr="00DE7587">
              <w:rPr>
                <w:szCs w:val="28"/>
              </w:rPr>
              <w:t>auseklis un vairogs Latvijas valsts karoga krāsās ar trīs zvaigznēm, radot jaunu Valsts policijas vizuālo identitāti.</w:t>
            </w:r>
          </w:p>
          <w:p w14:paraId="11FBD4CD" w14:textId="6D996952" w:rsidR="0027683A" w:rsidRDefault="00CA612D" w:rsidP="00CF476B">
            <w:pPr>
              <w:autoSpaceDE w:val="0"/>
              <w:autoSpaceDN w:val="0"/>
              <w:adjustRightInd w:val="0"/>
              <w:ind w:firstLine="397"/>
              <w:jc w:val="both"/>
              <w:rPr>
                <w:szCs w:val="28"/>
              </w:rPr>
            </w:pPr>
            <w:r w:rsidRPr="005B6BFB">
              <w:rPr>
                <w:bCs/>
                <w:szCs w:val="28"/>
              </w:rPr>
              <w:t xml:space="preserve">Lai nodrošinātu </w:t>
            </w:r>
            <w:r w:rsidRPr="005B6BFB">
              <w:rPr>
                <w:szCs w:val="28"/>
              </w:rPr>
              <w:t>Publiskas personas finanšu līdzekļu un mantas izšķērdēšanas novēršanas likuma 3. panta 1. punktā noteikto, ka publiska persona rīkojas ar finanšu līdzekļiem un mantu lietderīgi</w:t>
            </w:r>
            <w:r w:rsidRPr="006263C0">
              <w:rPr>
                <w:szCs w:val="28"/>
              </w:rPr>
              <w:t xml:space="preserve">, rīcībai jābūt tādai, lai mērķi sasniegtu ar mazāko finanšu līdzekļu un mantas izlietojumu, nepieciešams taupīt resursus un noteikt, ka izsniegtie materiālajā nodrošinājumā esošie formas tērpi tiek lietoti atbilstoši </w:t>
            </w:r>
            <w:r w:rsidR="00C467FF">
              <w:rPr>
                <w:szCs w:val="28"/>
              </w:rPr>
              <w:t xml:space="preserve">Valsts policijas iekšējā </w:t>
            </w:r>
            <w:r w:rsidRPr="006263C0">
              <w:rPr>
                <w:szCs w:val="28"/>
              </w:rPr>
              <w:t>normatīvajā</w:t>
            </w:r>
            <w:r w:rsidR="006144ED" w:rsidRPr="006263C0">
              <w:rPr>
                <w:szCs w:val="28"/>
              </w:rPr>
              <w:t xml:space="preserve"> </w:t>
            </w:r>
            <w:r w:rsidR="0027683A" w:rsidRPr="006263C0">
              <w:rPr>
                <w:szCs w:val="28"/>
              </w:rPr>
              <w:t xml:space="preserve">regulējumā </w:t>
            </w:r>
            <w:r w:rsidR="0027683A" w:rsidRPr="00EF4FA3">
              <w:rPr>
                <w:szCs w:val="28"/>
              </w:rPr>
              <w:t>noteiktajam ilgumam.</w:t>
            </w:r>
          </w:p>
          <w:p w14:paraId="021C2077" w14:textId="77777777" w:rsidR="00DE71BF" w:rsidRPr="000F12E7" w:rsidRDefault="00DE71BF" w:rsidP="00DE71BF">
            <w:pPr>
              <w:pStyle w:val="Bezatstarpm"/>
              <w:ind w:firstLine="397"/>
              <w:jc w:val="both"/>
              <w:rPr>
                <w:rFonts w:ascii="Times New Roman" w:hAnsi="Times New Roman"/>
                <w:sz w:val="24"/>
                <w:szCs w:val="24"/>
              </w:rPr>
            </w:pPr>
            <w:r w:rsidRPr="000F12E7">
              <w:rPr>
                <w:rFonts w:ascii="Times New Roman" w:hAnsi="Times New Roman"/>
                <w:sz w:val="24"/>
                <w:szCs w:val="28"/>
              </w:rPr>
              <w:t xml:space="preserve">Projekts paredz noteikt pārejas periodu amatpersonu formas tērpa nomaiņai </w:t>
            </w:r>
            <w:r w:rsidRPr="000F12E7">
              <w:rPr>
                <w:rFonts w:ascii="Times New Roman" w:hAnsi="Times New Roman"/>
                <w:sz w:val="24"/>
                <w:szCs w:val="24"/>
              </w:rPr>
              <w:t xml:space="preserve">līdz 2024. gada 1. jūlijam, tādējādi </w:t>
            </w:r>
            <w:r w:rsidRPr="000F12E7">
              <w:rPr>
                <w:rFonts w:ascii="Times New Roman" w:hAnsi="Times New Roman"/>
                <w:sz w:val="24"/>
                <w:szCs w:val="24"/>
              </w:rPr>
              <w:lastRenderedPageBreak/>
              <w:t>Valsts policijas amatpersonu formas tērpa aprakstu līdz brīdim, kamēr Valsts policija būs pilnībā pārgājusi uz jauno formas tērpu un atšķirības zīmēm, vienlaicīgi noteiks divi normatīvie akti.</w:t>
            </w:r>
          </w:p>
          <w:p w14:paraId="614A4030" w14:textId="0C1614DB" w:rsidR="007C6E4D" w:rsidRPr="000F12E7" w:rsidRDefault="007C6E4D" w:rsidP="00DE71BF">
            <w:pPr>
              <w:pStyle w:val="Bezatstarpm"/>
              <w:ind w:firstLine="397"/>
              <w:jc w:val="both"/>
              <w:rPr>
                <w:rFonts w:ascii="Times New Roman" w:hAnsi="Times New Roman"/>
                <w:sz w:val="24"/>
                <w:szCs w:val="24"/>
              </w:rPr>
            </w:pPr>
            <w:r w:rsidRPr="000F12E7">
              <w:rPr>
                <w:rFonts w:ascii="Times New Roman" w:hAnsi="Times New Roman"/>
                <w:sz w:val="24"/>
                <w:szCs w:val="24"/>
              </w:rPr>
              <w:t>Ar jaunā dizaina formas tērpu pakāpeniski tiks nodrošinātas visas Valsts policijas amatpersonas, prioritāri to izsniedzot tām amatpersonām, kuras dienesta pienākumus veic ārpus dienesta telpām un ikdienā atrodas tiešā saskarē ar iedzīvotājiem vai to grupām, un Valsts policijas koledžas kadetiem.</w:t>
            </w:r>
          </w:p>
          <w:p w14:paraId="2846E3FF" w14:textId="56A8FAC8" w:rsidR="00B22C71" w:rsidRPr="00E24369" w:rsidRDefault="00DE71BF" w:rsidP="000F12E7">
            <w:pPr>
              <w:pStyle w:val="Bezatstarpm"/>
              <w:ind w:firstLine="397"/>
              <w:jc w:val="both"/>
              <w:rPr>
                <w:rFonts w:ascii="Times New Roman" w:hAnsi="Times New Roman"/>
                <w:sz w:val="24"/>
                <w:szCs w:val="24"/>
              </w:rPr>
            </w:pPr>
            <w:r w:rsidRPr="000F12E7">
              <w:rPr>
                <w:rFonts w:ascii="Times New Roman" w:hAnsi="Times New Roman"/>
                <w:sz w:val="24"/>
                <w:szCs w:val="24"/>
              </w:rPr>
              <w:t>Vienlaikus norādām, ka p</w:t>
            </w:r>
            <w:r w:rsidR="008D76D2" w:rsidRPr="000F12E7">
              <w:rPr>
                <w:rFonts w:ascii="Times New Roman" w:hAnsi="Times New Roman"/>
                <w:sz w:val="24"/>
                <w:szCs w:val="24"/>
              </w:rPr>
              <w:t>ārejas perioda laikā Valsts policijas amatpersonu formas tērp</w:t>
            </w:r>
            <w:r w:rsidR="001851CE" w:rsidRPr="000F12E7">
              <w:rPr>
                <w:rFonts w:ascii="Times New Roman" w:hAnsi="Times New Roman"/>
                <w:sz w:val="24"/>
                <w:szCs w:val="24"/>
              </w:rPr>
              <w:t>a</w:t>
            </w:r>
            <w:r w:rsidR="008D76D2" w:rsidRPr="000F12E7">
              <w:rPr>
                <w:rFonts w:ascii="Times New Roman" w:hAnsi="Times New Roman"/>
                <w:sz w:val="24"/>
                <w:szCs w:val="24"/>
              </w:rPr>
              <w:t xml:space="preserve"> apraksts tiks papildināts ar svētku (parādes) formas tērp</w:t>
            </w:r>
            <w:r w:rsidR="00F2264A" w:rsidRPr="000F12E7">
              <w:rPr>
                <w:rFonts w:ascii="Times New Roman" w:hAnsi="Times New Roman"/>
                <w:sz w:val="24"/>
                <w:szCs w:val="24"/>
              </w:rPr>
              <w:t>u</w:t>
            </w:r>
            <w:r w:rsidR="008D76D2" w:rsidRPr="000F12E7">
              <w:rPr>
                <w:rFonts w:ascii="Times New Roman" w:hAnsi="Times New Roman"/>
                <w:sz w:val="24"/>
                <w:szCs w:val="24"/>
              </w:rPr>
              <w:t xml:space="preserve"> jaunā dizainā atbilst</w:t>
            </w:r>
            <w:r w:rsidRPr="000F12E7">
              <w:rPr>
                <w:rFonts w:ascii="Times New Roman" w:hAnsi="Times New Roman"/>
                <w:sz w:val="24"/>
                <w:szCs w:val="24"/>
              </w:rPr>
              <w:t xml:space="preserve">oši vizuālās identitātes maiņai. </w:t>
            </w:r>
          </w:p>
        </w:tc>
      </w:tr>
      <w:tr w:rsidR="003530C3" w:rsidRPr="00AD37B6" w14:paraId="12E41FB5" w14:textId="77777777" w:rsidTr="00C42A27">
        <w:tc>
          <w:tcPr>
            <w:tcW w:w="311" w:type="pct"/>
            <w:hideMark/>
          </w:tcPr>
          <w:p w14:paraId="6300685A" w14:textId="5FBA370A" w:rsidR="003530C3" w:rsidRPr="00AD37B6" w:rsidRDefault="003530C3" w:rsidP="00F77A6F">
            <w:pPr>
              <w:jc w:val="center"/>
            </w:pPr>
            <w:r w:rsidRPr="00AD37B6">
              <w:lastRenderedPageBreak/>
              <w:t>3.</w:t>
            </w:r>
          </w:p>
        </w:tc>
        <w:tc>
          <w:tcPr>
            <w:tcW w:w="1479" w:type="pct"/>
            <w:hideMark/>
          </w:tcPr>
          <w:p w14:paraId="21B03C82" w14:textId="77777777" w:rsidR="003530C3" w:rsidRPr="00AD37B6" w:rsidRDefault="003530C3" w:rsidP="006D7533">
            <w:pPr>
              <w:jc w:val="both"/>
            </w:pPr>
            <w:r w:rsidRPr="00AD37B6">
              <w:t>Projekta izstrādē iesaistītās institūcijas un publiskas personas kapitālsabiedrības</w:t>
            </w:r>
          </w:p>
        </w:tc>
        <w:tc>
          <w:tcPr>
            <w:tcW w:w="3210" w:type="pct"/>
            <w:hideMark/>
          </w:tcPr>
          <w:p w14:paraId="010E0BB7" w14:textId="343C7917" w:rsidR="003530C3" w:rsidRPr="00AD37B6" w:rsidRDefault="00DE71BF" w:rsidP="00DE71BF">
            <w:pPr>
              <w:jc w:val="both"/>
            </w:pPr>
            <w:r w:rsidRPr="000F12E7">
              <w:t>Projekts šo jomu neskar.</w:t>
            </w:r>
          </w:p>
        </w:tc>
      </w:tr>
      <w:tr w:rsidR="003530C3" w:rsidRPr="00AD37B6" w14:paraId="07A87F90" w14:textId="77777777" w:rsidTr="00C42A27">
        <w:tc>
          <w:tcPr>
            <w:tcW w:w="311" w:type="pct"/>
            <w:hideMark/>
          </w:tcPr>
          <w:p w14:paraId="54A12D62" w14:textId="77777777" w:rsidR="003530C3" w:rsidRPr="00AD37B6" w:rsidRDefault="003530C3" w:rsidP="00F77A6F">
            <w:pPr>
              <w:jc w:val="center"/>
            </w:pPr>
            <w:r w:rsidRPr="00AD37B6">
              <w:t>4.</w:t>
            </w:r>
          </w:p>
        </w:tc>
        <w:tc>
          <w:tcPr>
            <w:tcW w:w="1479" w:type="pct"/>
            <w:hideMark/>
          </w:tcPr>
          <w:p w14:paraId="4656EAA5" w14:textId="77777777" w:rsidR="003530C3" w:rsidRPr="00AD37B6" w:rsidRDefault="003530C3" w:rsidP="00F77A6F">
            <w:r w:rsidRPr="00AD37B6">
              <w:t>Cita informācija</w:t>
            </w:r>
          </w:p>
        </w:tc>
        <w:tc>
          <w:tcPr>
            <w:tcW w:w="3210" w:type="pct"/>
            <w:hideMark/>
          </w:tcPr>
          <w:p w14:paraId="0F749C9A" w14:textId="77777777" w:rsidR="003530C3" w:rsidRPr="00AD37B6" w:rsidRDefault="003530C3" w:rsidP="00AD3594">
            <w:r>
              <w:t>Nav</w:t>
            </w:r>
          </w:p>
        </w:tc>
      </w:tr>
    </w:tbl>
    <w:p w14:paraId="663272F4" w14:textId="77777777" w:rsidR="003530C3" w:rsidRPr="00AD37B6" w:rsidRDefault="003530C3" w:rsidP="003530C3">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3530C3" w:rsidRPr="00AD37B6" w14:paraId="5EF29D8E" w14:textId="77777777" w:rsidTr="00DB572A">
        <w:trPr>
          <w:cantSplit/>
        </w:trPr>
        <w:tc>
          <w:tcPr>
            <w:tcW w:w="5000" w:type="pct"/>
            <w:gridSpan w:val="3"/>
            <w:vAlign w:val="center"/>
            <w:hideMark/>
          </w:tcPr>
          <w:p w14:paraId="3870EAF5" w14:textId="77777777" w:rsidR="003530C3" w:rsidRPr="00AD37B6" w:rsidRDefault="003530C3" w:rsidP="00F77A6F">
            <w:pPr>
              <w:jc w:val="center"/>
              <w:rPr>
                <w:b/>
                <w:bCs/>
              </w:rPr>
            </w:pPr>
            <w:r w:rsidRPr="00AD37B6">
              <w:rPr>
                <w:b/>
                <w:bCs/>
              </w:rPr>
              <w:t>II. Tiesību akta projekta ietekme uz sabiedrību, tautsaimniecības attīstību un administratīvo slogu</w:t>
            </w:r>
          </w:p>
        </w:tc>
      </w:tr>
      <w:tr w:rsidR="003530C3" w:rsidRPr="00AD37B6" w14:paraId="784B66CE" w14:textId="77777777" w:rsidTr="00DB572A">
        <w:trPr>
          <w:cantSplit/>
        </w:trPr>
        <w:tc>
          <w:tcPr>
            <w:tcW w:w="311" w:type="pct"/>
            <w:hideMark/>
          </w:tcPr>
          <w:p w14:paraId="1C9347A6" w14:textId="77777777" w:rsidR="003530C3" w:rsidRPr="00AD37B6" w:rsidRDefault="003530C3" w:rsidP="00F77A6F">
            <w:pPr>
              <w:jc w:val="center"/>
            </w:pPr>
            <w:r w:rsidRPr="00AD37B6">
              <w:t>1.</w:t>
            </w:r>
          </w:p>
        </w:tc>
        <w:tc>
          <w:tcPr>
            <w:tcW w:w="1479" w:type="pct"/>
            <w:hideMark/>
          </w:tcPr>
          <w:p w14:paraId="593076D5" w14:textId="77777777" w:rsidR="003530C3" w:rsidRPr="00AD37B6" w:rsidRDefault="003530C3" w:rsidP="006D7533">
            <w:pPr>
              <w:jc w:val="both"/>
            </w:pPr>
            <w:r w:rsidRPr="00AD37B6">
              <w:t>Sabiedrības mērķgrupas, kuras tiesiskais regulējums ietekmē vai varētu ietekmēt</w:t>
            </w:r>
          </w:p>
        </w:tc>
        <w:tc>
          <w:tcPr>
            <w:tcW w:w="3210" w:type="pct"/>
            <w:hideMark/>
          </w:tcPr>
          <w:p w14:paraId="334BA6D1" w14:textId="6AD8B733" w:rsidR="003530C3" w:rsidRPr="00AD37B6" w:rsidRDefault="00A9353A" w:rsidP="00CF3D09">
            <w:pPr>
              <w:jc w:val="both"/>
            </w:pPr>
            <w:r w:rsidRPr="006B705E">
              <w:t xml:space="preserve">Tiesiskais regulējums attieksies uz </w:t>
            </w:r>
            <w:r w:rsidR="009F6C6C">
              <w:t>Valsts policijas</w:t>
            </w:r>
            <w:r w:rsidR="004C53E5">
              <w:t xml:space="preserve"> </w:t>
            </w:r>
            <w:r w:rsidR="009F6C6C">
              <w:t>amatpersonām ar speciālo dienesta pakāpi</w:t>
            </w:r>
            <w:r w:rsidR="00963C7C">
              <w:t>.</w:t>
            </w:r>
          </w:p>
        </w:tc>
      </w:tr>
      <w:tr w:rsidR="003530C3" w:rsidRPr="00AD37B6" w14:paraId="0FC5051F" w14:textId="77777777" w:rsidTr="00DB572A">
        <w:trPr>
          <w:cantSplit/>
        </w:trPr>
        <w:tc>
          <w:tcPr>
            <w:tcW w:w="311" w:type="pct"/>
            <w:hideMark/>
          </w:tcPr>
          <w:p w14:paraId="7FB3E697" w14:textId="77777777" w:rsidR="003530C3" w:rsidRPr="00AD37B6" w:rsidRDefault="003530C3" w:rsidP="00F77A6F">
            <w:pPr>
              <w:jc w:val="center"/>
            </w:pPr>
            <w:r w:rsidRPr="00AD37B6">
              <w:t>2.</w:t>
            </w:r>
          </w:p>
        </w:tc>
        <w:tc>
          <w:tcPr>
            <w:tcW w:w="1479" w:type="pct"/>
            <w:hideMark/>
          </w:tcPr>
          <w:p w14:paraId="33A23581" w14:textId="77777777" w:rsidR="003530C3" w:rsidRPr="00AD37B6" w:rsidRDefault="003530C3" w:rsidP="006D7533">
            <w:pPr>
              <w:jc w:val="both"/>
            </w:pPr>
            <w:r w:rsidRPr="00AD37B6">
              <w:t>Tiesiskā regulējuma ietekme uz tautsaimniecību un administratīvo slogu</w:t>
            </w:r>
          </w:p>
        </w:tc>
        <w:tc>
          <w:tcPr>
            <w:tcW w:w="3210" w:type="pct"/>
            <w:hideMark/>
          </w:tcPr>
          <w:p w14:paraId="70EB5912" w14:textId="77777777" w:rsidR="003530C3" w:rsidRPr="00AD37B6" w:rsidRDefault="00A9353A" w:rsidP="00F77A6F">
            <w:pPr>
              <w:jc w:val="both"/>
            </w:pPr>
            <w:r>
              <w:t>Sabiedrības mērķgrupām un institūcijām projekta tiesiskais regulējums nemaina ne tiesības, ne pienākumus, ne arī veicamās darbības.</w:t>
            </w:r>
          </w:p>
        </w:tc>
      </w:tr>
      <w:tr w:rsidR="003530C3" w:rsidRPr="00AD37B6" w14:paraId="050FA0E7" w14:textId="77777777" w:rsidTr="00DB572A">
        <w:trPr>
          <w:cantSplit/>
        </w:trPr>
        <w:tc>
          <w:tcPr>
            <w:tcW w:w="311" w:type="pct"/>
            <w:hideMark/>
          </w:tcPr>
          <w:p w14:paraId="14623A3A" w14:textId="77777777" w:rsidR="003530C3" w:rsidRPr="00AD37B6" w:rsidRDefault="003530C3" w:rsidP="00F77A6F">
            <w:pPr>
              <w:jc w:val="center"/>
            </w:pPr>
            <w:r w:rsidRPr="00AD37B6">
              <w:t>3.</w:t>
            </w:r>
          </w:p>
        </w:tc>
        <w:tc>
          <w:tcPr>
            <w:tcW w:w="1479" w:type="pct"/>
            <w:hideMark/>
          </w:tcPr>
          <w:p w14:paraId="17606CE2" w14:textId="77777777" w:rsidR="003530C3" w:rsidRPr="00AD37B6" w:rsidRDefault="003530C3" w:rsidP="006D7533">
            <w:pPr>
              <w:jc w:val="both"/>
            </w:pPr>
            <w:r w:rsidRPr="00AD37B6">
              <w:t>Administratīvo izmaksu monetārs novērtējums</w:t>
            </w:r>
          </w:p>
        </w:tc>
        <w:tc>
          <w:tcPr>
            <w:tcW w:w="3210" w:type="pct"/>
            <w:hideMark/>
          </w:tcPr>
          <w:p w14:paraId="693DDB36" w14:textId="77777777" w:rsidR="003530C3" w:rsidRPr="00AD37B6" w:rsidRDefault="00A9353A" w:rsidP="00F77A6F">
            <w:r w:rsidRPr="00840B79">
              <w:t>Tiesiskais regulējums neradīs papildus administratīvās izmaksas</w:t>
            </w:r>
            <w:r>
              <w:t>.</w:t>
            </w:r>
          </w:p>
        </w:tc>
      </w:tr>
      <w:tr w:rsidR="003530C3" w:rsidRPr="00AD37B6" w14:paraId="75D787FD" w14:textId="77777777" w:rsidTr="00DB572A">
        <w:trPr>
          <w:cantSplit/>
        </w:trPr>
        <w:tc>
          <w:tcPr>
            <w:tcW w:w="311" w:type="pct"/>
            <w:hideMark/>
          </w:tcPr>
          <w:p w14:paraId="439C822E" w14:textId="77777777" w:rsidR="003530C3" w:rsidRPr="00AD37B6" w:rsidRDefault="003530C3" w:rsidP="00F77A6F">
            <w:pPr>
              <w:jc w:val="center"/>
            </w:pPr>
            <w:r w:rsidRPr="00AD37B6">
              <w:t>4.</w:t>
            </w:r>
          </w:p>
        </w:tc>
        <w:tc>
          <w:tcPr>
            <w:tcW w:w="1479" w:type="pct"/>
            <w:hideMark/>
          </w:tcPr>
          <w:p w14:paraId="663AE464" w14:textId="77777777" w:rsidR="003530C3" w:rsidRPr="00AD37B6" w:rsidRDefault="003530C3" w:rsidP="006D7533">
            <w:pPr>
              <w:jc w:val="both"/>
            </w:pPr>
            <w:r w:rsidRPr="00AD37B6">
              <w:t>Atbilstības izmaksu monetārs novērtējums</w:t>
            </w:r>
          </w:p>
        </w:tc>
        <w:tc>
          <w:tcPr>
            <w:tcW w:w="3210" w:type="pct"/>
            <w:hideMark/>
          </w:tcPr>
          <w:p w14:paraId="7C58CDAE" w14:textId="14823A2B" w:rsidR="003530C3" w:rsidRPr="00AD37B6" w:rsidRDefault="003530C3" w:rsidP="00AD3594">
            <w:r>
              <w:t>Projekts šo jomu neskar</w:t>
            </w:r>
            <w:r w:rsidR="003D0E48">
              <w:t>.</w:t>
            </w:r>
          </w:p>
        </w:tc>
      </w:tr>
      <w:tr w:rsidR="003530C3" w:rsidRPr="00AD37B6" w14:paraId="28415E5C" w14:textId="77777777" w:rsidTr="00DB572A">
        <w:trPr>
          <w:cantSplit/>
        </w:trPr>
        <w:tc>
          <w:tcPr>
            <w:tcW w:w="311" w:type="pct"/>
            <w:hideMark/>
          </w:tcPr>
          <w:p w14:paraId="6888F7CF" w14:textId="77777777" w:rsidR="003530C3" w:rsidRPr="00AD37B6" w:rsidRDefault="003530C3" w:rsidP="00F77A6F">
            <w:pPr>
              <w:jc w:val="center"/>
            </w:pPr>
            <w:r w:rsidRPr="00AD37B6">
              <w:t>5.</w:t>
            </w:r>
          </w:p>
        </w:tc>
        <w:tc>
          <w:tcPr>
            <w:tcW w:w="1479" w:type="pct"/>
            <w:hideMark/>
          </w:tcPr>
          <w:p w14:paraId="6997A6A0" w14:textId="77777777" w:rsidR="003530C3" w:rsidRPr="00AD37B6" w:rsidRDefault="003530C3" w:rsidP="006D7533">
            <w:pPr>
              <w:jc w:val="both"/>
            </w:pPr>
            <w:r w:rsidRPr="00AD37B6">
              <w:t>Cita informācija</w:t>
            </w:r>
          </w:p>
        </w:tc>
        <w:tc>
          <w:tcPr>
            <w:tcW w:w="3210" w:type="pct"/>
            <w:hideMark/>
          </w:tcPr>
          <w:p w14:paraId="79E02D93" w14:textId="77777777" w:rsidR="003530C3" w:rsidRPr="00AD37B6" w:rsidRDefault="003530C3" w:rsidP="00AD3594">
            <w:r>
              <w:t>Nav</w:t>
            </w:r>
          </w:p>
        </w:tc>
      </w:tr>
    </w:tbl>
    <w:p w14:paraId="6ECDAFEF" w14:textId="77777777" w:rsidR="003530C3" w:rsidRPr="00AD37B6" w:rsidRDefault="003530C3" w:rsidP="003530C3">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9"/>
        <w:gridCol w:w="1066"/>
        <w:gridCol w:w="1067"/>
        <w:gridCol w:w="932"/>
        <w:gridCol w:w="990"/>
        <w:gridCol w:w="933"/>
        <w:gridCol w:w="990"/>
        <w:gridCol w:w="990"/>
      </w:tblGrid>
      <w:tr w:rsidR="00FE7942" w:rsidRPr="00B94402" w14:paraId="2370FEA9" w14:textId="77777777" w:rsidTr="00545B10">
        <w:trPr>
          <w:cantSplit/>
        </w:trPr>
        <w:tc>
          <w:tcPr>
            <w:tcW w:w="5000" w:type="pct"/>
            <w:gridSpan w:val="8"/>
            <w:shd w:val="clear" w:color="auto" w:fill="auto"/>
            <w:vAlign w:val="center"/>
            <w:hideMark/>
          </w:tcPr>
          <w:p w14:paraId="5C4D7AE8" w14:textId="77777777" w:rsidR="00FE7942" w:rsidRPr="00B94402" w:rsidRDefault="00FE7942" w:rsidP="0064602E">
            <w:pPr>
              <w:jc w:val="center"/>
              <w:rPr>
                <w:b/>
                <w:bCs/>
                <w:lang w:eastAsia="en-US"/>
              </w:rPr>
            </w:pPr>
            <w:r w:rsidRPr="00B94402">
              <w:br w:type="page"/>
            </w:r>
            <w:r w:rsidRPr="00B94402">
              <w:rPr>
                <w:b/>
                <w:bCs/>
                <w:lang w:eastAsia="en-US"/>
              </w:rPr>
              <w:t>III. Tiesību akta projekta ietekme uz valsts budžetu un pašvaldību budžetiem</w:t>
            </w:r>
          </w:p>
        </w:tc>
      </w:tr>
      <w:tr w:rsidR="00FE7942" w:rsidRPr="00B94402" w14:paraId="01680699" w14:textId="77777777" w:rsidTr="00545B10">
        <w:trPr>
          <w:cantSplit/>
        </w:trPr>
        <w:tc>
          <w:tcPr>
            <w:tcW w:w="1191" w:type="pct"/>
            <w:vMerge w:val="restart"/>
            <w:shd w:val="clear" w:color="auto" w:fill="FFFFFF"/>
            <w:vAlign w:val="center"/>
          </w:tcPr>
          <w:p w14:paraId="40E64DD8" w14:textId="77777777" w:rsidR="00FE7942" w:rsidRPr="00B94402" w:rsidRDefault="00FE7942" w:rsidP="0064602E">
            <w:pPr>
              <w:jc w:val="center"/>
              <w:rPr>
                <w:bCs/>
                <w:lang w:eastAsia="en-US"/>
              </w:rPr>
            </w:pPr>
            <w:r w:rsidRPr="00B94402">
              <w:rPr>
                <w:bCs/>
                <w:lang w:eastAsia="en-US"/>
              </w:rPr>
              <w:t>Rādītāji</w:t>
            </w:r>
          </w:p>
        </w:tc>
        <w:tc>
          <w:tcPr>
            <w:tcW w:w="1185" w:type="pct"/>
            <w:gridSpan w:val="2"/>
            <w:vMerge w:val="restart"/>
            <w:shd w:val="clear" w:color="auto" w:fill="FFFFFF"/>
            <w:vAlign w:val="center"/>
            <w:hideMark/>
          </w:tcPr>
          <w:p w14:paraId="5E453700" w14:textId="77777777" w:rsidR="00FE7942" w:rsidRPr="00B94402" w:rsidRDefault="00FE7942" w:rsidP="0064602E">
            <w:pPr>
              <w:jc w:val="center"/>
              <w:rPr>
                <w:bCs/>
                <w:lang w:eastAsia="en-US"/>
              </w:rPr>
            </w:pPr>
            <w:r>
              <w:rPr>
                <w:bCs/>
                <w:lang w:eastAsia="en-US"/>
              </w:rPr>
              <w:t>2019.</w:t>
            </w:r>
            <w:r w:rsidRPr="00B94402">
              <w:rPr>
                <w:bCs/>
                <w:lang w:eastAsia="en-US"/>
              </w:rPr>
              <w:t>gads</w:t>
            </w:r>
          </w:p>
        </w:tc>
        <w:tc>
          <w:tcPr>
            <w:tcW w:w="2624" w:type="pct"/>
            <w:gridSpan w:val="5"/>
            <w:shd w:val="clear" w:color="auto" w:fill="FFFFFF"/>
            <w:vAlign w:val="center"/>
            <w:hideMark/>
          </w:tcPr>
          <w:p w14:paraId="205BEB8B" w14:textId="77777777" w:rsidR="00FE7942" w:rsidRPr="00B94402" w:rsidRDefault="00FE7942" w:rsidP="0064602E">
            <w:pPr>
              <w:jc w:val="center"/>
              <w:rPr>
                <w:lang w:eastAsia="en-US"/>
              </w:rPr>
            </w:pPr>
            <w:r w:rsidRPr="00B94402">
              <w:rPr>
                <w:lang w:eastAsia="en-US"/>
              </w:rPr>
              <w:t>Turpmākie trīs gadi (</w:t>
            </w:r>
            <w:r w:rsidRPr="00B94402">
              <w:rPr>
                <w:i/>
                <w:iCs/>
                <w:lang w:eastAsia="en-US"/>
              </w:rPr>
              <w:t>euro</w:t>
            </w:r>
            <w:r w:rsidRPr="00B94402">
              <w:rPr>
                <w:lang w:eastAsia="en-US"/>
              </w:rPr>
              <w:t>)</w:t>
            </w:r>
          </w:p>
        </w:tc>
      </w:tr>
      <w:tr w:rsidR="00FE7942" w:rsidRPr="00B94402" w14:paraId="4476BEE8" w14:textId="77777777" w:rsidTr="00545B10">
        <w:trPr>
          <w:cantSplit/>
        </w:trPr>
        <w:tc>
          <w:tcPr>
            <w:tcW w:w="1191" w:type="pct"/>
            <w:vMerge/>
            <w:shd w:val="clear" w:color="auto" w:fill="auto"/>
            <w:vAlign w:val="center"/>
            <w:hideMark/>
          </w:tcPr>
          <w:p w14:paraId="0ED1B98F" w14:textId="77777777" w:rsidR="00FE7942" w:rsidRPr="00B94402" w:rsidRDefault="00FE7942" w:rsidP="0064602E">
            <w:pPr>
              <w:jc w:val="center"/>
              <w:rPr>
                <w:bCs/>
                <w:lang w:eastAsia="en-US"/>
              </w:rPr>
            </w:pPr>
          </w:p>
        </w:tc>
        <w:tc>
          <w:tcPr>
            <w:tcW w:w="1185" w:type="pct"/>
            <w:gridSpan w:val="2"/>
            <w:vMerge/>
            <w:shd w:val="clear" w:color="auto" w:fill="auto"/>
            <w:vAlign w:val="center"/>
            <w:hideMark/>
          </w:tcPr>
          <w:p w14:paraId="1EC8493E" w14:textId="77777777" w:rsidR="00FE7942" w:rsidRPr="00B94402" w:rsidRDefault="00FE7942" w:rsidP="0064602E">
            <w:pPr>
              <w:jc w:val="center"/>
              <w:rPr>
                <w:bCs/>
                <w:lang w:eastAsia="en-US"/>
              </w:rPr>
            </w:pPr>
          </w:p>
        </w:tc>
        <w:tc>
          <w:tcPr>
            <w:tcW w:w="1038" w:type="pct"/>
            <w:gridSpan w:val="2"/>
            <w:shd w:val="clear" w:color="auto" w:fill="FFFFFF"/>
            <w:vAlign w:val="center"/>
            <w:hideMark/>
          </w:tcPr>
          <w:p w14:paraId="04AE8789" w14:textId="77777777" w:rsidR="00FE7942" w:rsidRPr="00B94402" w:rsidRDefault="00FE7942" w:rsidP="0064602E">
            <w:pPr>
              <w:jc w:val="center"/>
              <w:rPr>
                <w:bCs/>
                <w:lang w:eastAsia="en-US"/>
              </w:rPr>
            </w:pPr>
            <w:r>
              <w:rPr>
                <w:bCs/>
                <w:lang w:eastAsia="en-US"/>
              </w:rPr>
              <w:t>2020</w:t>
            </w:r>
          </w:p>
        </w:tc>
        <w:tc>
          <w:tcPr>
            <w:tcW w:w="1037" w:type="pct"/>
            <w:gridSpan w:val="2"/>
            <w:shd w:val="clear" w:color="auto" w:fill="FFFFFF"/>
            <w:vAlign w:val="center"/>
            <w:hideMark/>
          </w:tcPr>
          <w:p w14:paraId="369250D9" w14:textId="77777777" w:rsidR="00FE7942" w:rsidRPr="00B94402" w:rsidRDefault="00FE7942" w:rsidP="0064602E">
            <w:pPr>
              <w:jc w:val="center"/>
              <w:rPr>
                <w:bCs/>
                <w:lang w:eastAsia="en-US"/>
              </w:rPr>
            </w:pPr>
            <w:r>
              <w:rPr>
                <w:bCs/>
                <w:lang w:eastAsia="en-US"/>
              </w:rPr>
              <w:t>2021</w:t>
            </w:r>
          </w:p>
        </w:tc>
        <w:tc>
          <w:tcPr>
            <w:tcW w:w="549" w:type="pct"/>
            <w:shd w:val="clear" w:color="auto" w:fill="FFFFFF"/>
            <w:vAlign w:val="center"/>
            <w:hideMark/>
          </w:tcPr>
          <w:p w14:paraId="26346E43" w14:textId="77777777" w:rsidR="00FE7942" w:rsidRPr="00B94402" w:rsidRDefault="00FE7942" w:rsidP="0064602E">
            <w:pPr>
              <w:jc w:val="center"/>
              <w:rPr>
                <w:bCs/>
                <w:lang w:eastAsia="en-US"/>
              </w:rPr>
            </w:pPr>
            <w:r>
              <w:rPr>
                <w:bCs/>
                <w:lang w:eastAsia="en-US"/>
              </w:rPr>
              <w:t>2022</w:t>
            </w:r>
          </w:p>
        </w:tc>
      </w:tr>
      <w:tr w:rsidR="00FE7942" w:rsidRPr="00B94402" w14:paraId="71A57016" w14:textId="77777777" w:rsidTr="00545B10">
        <w:trPr>
          <w:cantSplit/>
        </w:trPr>
        <w:tc>
          <w:tcPr>
            <w:tcW w:w="1191" w:type="pct"/>
            <w:vMerge/>
            <w:shd w:val="clear" w:color="auto" w:fill="auto"/>
            <w:vAlign w:val="center"/>
            <w:hideMark/>
          </w:tcPr>
          <w:p w14:paraId="1A869776" w14:textId="77777777" w:rsidR="00FE7942" w:rsidRPr="00B94402" w:rsidRDefault="00FE7942" w:rsidP="0064602E">
            <w:pPr>
              <w:jc w:val="center"/>
              <w:rPr>
                <w:b/>
                <w:bCs/>
                <w:lang w:eastAsia="en-US"/>
              </w:rPr>
            </w:pPr>
          </w:p>
        </w:tc>
        <w:tc>
          <w:tcPr>
            <w:tcW w:w="592" w:type="pct"/>
            <w:shd w:val="clear" w:color="auto" w:fill="FFFFFF"/>
            <w:vAlign w:val="center"/>
            <w:hideMark/>
          </w:tcPr>
          <w:p w14:paraId="386D40CA" w14:textId="77777777" w:rsidR="00FE7942" w:rsidRPr="00B94402" w:rsidRDefault="00FE7942" w:rsidP="0064602E">
            <w:pPr>
              <w:jc w:val="center"/>
              <w:rPr>
                <w:lang w:eastAsia="en-US"/>
              </w:rPr>
            </w:pPr>
            <w:r w:rsidRPr="00B94402">
              <w:rPr>
                <w:lang w:eastAsia="en-US"/>
              </w:rPr>
              <w:t>saskaņā ar valsts budžetu kārtējam gadam</w:t>
            </w:r>
          </w:p>
        </w:tc>
        <w:tc>
          <w:tcPr>
            <w:tcW w:w="592" w:type="pct"/>
            <w:shd w:val="clear" w:color="auto" w:fill="FFFFFF"/>
            <w:vAlign w:val="center"/>
            <w:hideMark/>
          </w:tcPr>
          <w:p w14:paraId="525B64B1" w14:textId="77777777" w:rsidR="00FE7942" w:rsidRPr="00B94402" w:rsidRDefault="00FE7942" w:rsidP="0064602E">
            <w:pPr>
              <w:jc w:val="center"/>
              <w:rPr>
                <w:lang w:eastAsia="en-US"/>
              </w:rPr>
            </w:pPr>
            <w:r w:rsidRPr="00B94402">
              <w:rPr>
                <w:lang w:eastAsia="en-US"/>
              </w:rPr>
              <w:t>izmaiņas kārtējā gadā, salīdzinot ar valsts budžetu kārtējam gadam</w:t>
            </w:r>
          </w:p>
        </w:tc>
        <w:tc>
          <w:tcPr>
            <w:tcW w:w="519" w:type="pct"/>
            <w:shd w:val="clear" w:color="auto" w:fill="FFFFFF"/>
            <w:vAlign w:val="center"/>
            <w:hideMark/>
          </w:tcPr>
          <w:p w14:paraId="1732B5F1" w14:textId="77777777" w:rsidR="00FE7942" w:rsidRPr="00B94402" w:rsidRDefault="00FE7942" w:rsidP="0064602E">
            <w:pPr>
              <w:jc w:val="center"/>
              <w:rPr>
                <w:lang w:eastAsia="en-US"/>
              </w:rPr>
            </w:pPr>
            <w:r w:rsidRPr="00B94402">
              <w:rPr>
                <w:lang w:eastAsia="en-US"/>
              </w:rPr>
              <w:t>saskaņā ar vidēja termiņa budžeta ietvaru</w:t>
            </w:r>
          </w:p>
        </w:tc>
        <w:tc>
          <w:tcPr>
            <w:tcW w:w="519" w:type="pct"/>
            <w:shd w:val="clear" w:color="auto" w:fill="FFFFFF"/>
            <w:vAlign w:val="center"/>
            <w:hideMark/>
          </w:tcPr>
          <w:p w14:paraId="0F7A97A6" w14:textId="77777777" w:rsidR="00FE7942" w:rsidRPr="00B94402" w:rsidRDefault="00FE7942" w:rsidP="0064602E">
            <w:pPr>
              <w:jc w:val="center"/>
              <w:rPr>
                <w:lang w:eastAsia="en-US"/>
              </w:rPr>
            </w:pPr>
            <w:r w:rsidRPr="00B94402">
              <w:rPr>
                <w:lang w:eastAsia="en-US"/>
              </w:rPr>
              <w:t xml:space="preserve">izmaiņas, salīdzinot ar vidēja termiņa budžeta ietvaru </w:t>
            </w:r>
            <w:r>
              <w:rPr>
                <w:lang w:eastAsia="en-US"/>
              </w:rPr>
              <w:t>2020</w:t>
            </w:r>
            <w:r w:rsidRPr="00B94402">
              <w:rPr>
                <w:lang w:eastAsia="en-US"/>
              </w:rPr>
              <w:t xml:space="preserve"> gadam</w:t>
            </w:r>
          </w:p>
        </w:tc>
        <w:tc>
          <w:tcPr>
            <w:tcW w:w="519" w:type="pct"/>
            <w:shd w:val="clear" w:color="auto" w:fill="FFFFFF"/>
            <w:vAlign w:val="center"/>
            <w:hideMark/>
          </w:tcPr>
          <w:p w14:paraId="6D187E83" w14:textId="77777777" w:rsidR="00FE7942" w:rsidRPr="00B94402" w:rsidRDefault="00FE7942" w:rsidP="0064602E">
            <w:pPr>
              <w:jc w:val="center"/>
              <w:rPr>
                <w:lang w:eastAsia="en-US"/>
              </w:rPr>
            </w:pPr>
            <w:r w:rsidRPr="00B94402">
              <w:rPr>
                <w:lang w:eastAsia="en-US"/>
              </w:rPr>
              <w:t>saskaņā ar vidēja termiņa budžeta ietvaru</w:t>
            </w:r>
          </w:p>
        </w:tc>
        <w:tc>
          <w:tcPr>
            <w:tcW w:w="519" w:type="pct"/>
            <w:shd w:val="clear" w:color="auto" w:fill="FFFFFF"/>
            <w:vAlign w:val="center"/>
            <w:hideMark/>
          </w:tcPr>
          <w:p w14:paraId="5FBA652B" w14:textId="77777777" w:rsidR="00FE7942" w:rsidRPr="00B94402" w:rsidRDefault="00FE7942" w:rsidP="0064602E">
            <w:pPr>
              <w:jc w:val="center"/>
              <w:rPr>
                <w:lang w:eastAsia="en-US"/>
              </w:rPr>
            </w:pPr>
            <w:r w:rsidRPr="00B94402">
              <w:rPr>
                <w:lang w:eastAsia="en-US"/>
              </w:rPr>
              <w:t xml:space="preserve">izmaiņas, salīdzinot ar vidēja termiņa budžeta ietvaru </w:t>
            </w:r>
            <w:r>
              <w:rPr>
                <w:lang w:eastAsia="en-US"/>
              </w:rPr>
              <w:t>2021</w:t>
            </w:r>
            <w:r w:rsidRPr="00B94402">
              <w:rPr>
                <w:lang w:eastAsia="en-US"/>
              </w:rPr>
              <w:t xml:space="preserve"> gadam</w:t>
            </w:r>
          </w:p>
        </w:tc>
        <w:tc>
          <w:tcPr>
            <w:tcW w:w="549" w:type="pct"/>
            <w:shd w:val="clear" w:color="auto" w:fill="FFFFFF"/>
            <w:vAlign w:val="center"/>
            <w:hideMark/>
          </w:tcPr>
          <w:p w14:paraId="0CC80CF3" w14:textId="77777777" w:rsidR="00FE7942" w:rsidRPr="00B94402" w:rsidRDefault="00FE7942" w:rsidP="0064602E">
            <w:pPr>
              <w:jc w:val="center"/>
              <w:rPr>
                <w:lang w:eastAsia="en-US"/>
              </w:rPr>
            </w:pPr>
            <w:r w:rsidRPr="00B94402">
              <w:rPr>
                <w:lang w:eastAsia="en-US"/>
              </w:rPr>
              <w:t xml:space="preserve">izmaiņas, salīdzinot ar vidēja termiņa budžeta ietvaru </w:t>
            </w:r>
            <w:r w:rsidRPr="00B94402">
              <w:rPr>
                <w:lang w:eastAsia="en-US"/>
              </w:rPr>
              <w:br/>
            </w:r>
            <w:r>
              <w:rPr>
                <w:lang w:eastAsia="en-US"/>
              </w:rPr>
              <w:t>2021</w:t>
            </w:r>
            <w:r w:rsidRPr="00B94402">
              <w:rPr>
                <w:lang w:eastAsia="en-US"/>
              </w:rPr>
              <w:t xml:space="preserve"> gadam</w:t>
            </w:r>
          </w:p>
        </w:tc>
      </w:tr>
      <w:tr w:rsidR="00FE7942" w:rsidRPr="00B94402" w14:paraId="25A2C3AB" w14:textId="77777777" w:rsidTr="00545B10">
        <w:trPr>
          <w:cantSplit/>
        </w:trPr>
        <w:tc>
          <w:tcPr>
            <w:tcW w:w="1191" w:type="pct"/>
            <w:shd w:val="clear" w:color="auto" w:fill="FFFFFF"/>
            <w:vAlign w:val="center"/>
            <w:hideMark/>
          </w:tcPr>
          <w:p w14:paraId="72C9E377" w14:textId="77777777" w:rsidR="00FE7942" w:rsidRPr="00B94402" w:rsidRDefault="00FE7942" w:rsidP="0064602E">
            <w:pPr>
              <w:jc w:val="center"/>
              <w:rPr>
                <w:lang w:eastAsia="en-US"/>
              </w:rPr>
            </w:pPr>
            <w:r w:rsidRPr="00B94402">
              <w:rPr>
                <w:lang w:eastAsia="en-US"/>
              </w:rPr>
              <w:t>1</w:t>
            </w:r>
          </w:p>
        </w:tc>
        <w:tc>
          <w:tcPr>
            <w:tcW w:w="592" w:type="pct"/>
            <w:shd w:val="clear" w:color="auto" w:fill="FFFFFF"/>
            <w:vAlign w:val="center"/>
            <w:hideMark/>
          </w:tcPr>
          <w:p w14:paraId="46284697" w14:textId="77777777" w:rsidR="00FE7942" w:rsidRPr="00B94402" w:rsidRDefault="00FE7942" w:rsidP="0064602E">
            <w:pPr>
              <w:jc w:val="center"/>
              <w:rPr>
                <w:lang w:eastAsia="en-US"/>
              </w:rPr>
            </w:pPr>
            <w:r w:rsidRPr="00B94402">
              <w:rPr>
                <w:lang w:eastAsia="en-US"/>
              </w:rPr>
              <w:t>2</w:t>
            </w:r>
          </w:p>
        </w:tc>
        <w:tc>
          <w:tcPr>
            <w:tcW w:w="592" w:type="pct"/>
            <w:shd w:val="clear" w:color="auto" w:fill="FFFFFF"/>
            <w:vAlign w:val="center"/>
            <w:hideMark/>
          </w:tcPr>
          <w:p w14:paraId="1228DA29" w14:textId="77777777" w:rsidR="00FE7942" w:rsidRPr="00B94402" w:rsidRDefault="00FE7942" w:rsidP="0064602E">
            <w:pPr>
              <w:jc w:val="center"/>
              <w:rPr>
                <w:lang w:eastAsia="en-US"/>
              </w:rPr>
            </w:pPr>
            <w:r w:rsidRPr="00B94402">
              <w:rPr>
                <w:lang w:eastAsia="en-US"/>
              </w:rPr>
              <w:t>3</w:t>
            </w:r>
          </w:p>
        </w:tc>
        <w:tc>
          <w:tcPr>
            <w:tcW w:w="519" w:type="pct"/>
            <w:shd w:val="clear" w:color="auto" w:fill="FFFFFF"/>
            <w:vAlign w:val="center"/>
            <w:hideMark/>
          </w:tcPr>
          <w:p w14:paraId="44461F6D" w14:textId="77777777" w:rsidR="00FE7942" w:rsidRPr="00B94402" w:rsidRDefault="00FE7942" w:rsidP="0064602E">
            <w:pPr>
              <w:jc w:val="center"/>
              <w:rPr>
                <w:lang w:eastAsia="en-US"/>
              </w:rPr>
            </w:pPr>
            <w:r w:rsidRPr="00B94402">
              <w:rPr>
                <w:lang w:eastAsia="en-US"/>
              </w:rPr>
              <w:t>4</w:t>
            </w:r>
          </w:p>
        </w:tc>
        <w:tc>
          <w:tcPr>
            <w:tcW w:w="519" w:type="pct"/>
            <w:shd w:val="clear" w:color="auto" w:fill="FFFFFF"/>
            <w:vAlign w:val="center"/>
            <w:hideMark/>
          </w:tcPr>
          <w:p w14:paraId="51306BD8" w14:textId="77777777" w:rsidR="00FE7942" w:rsidRPr="00B94402" w:rsidRDefault="00FE7942" w:rsidP="0064602E">
            <w:pPr>
              <w:jc w:val="center"/>
              <w:rPr>
                <w:lang w:eastAsia="en-US"/>
              </w:rPr>
            </w:pPr>
            <w:r w:rsidRPr="00B94402">
              <w:rPr>
                <w:lang w:eastAsia="en-US"/>
              </w:rPr>
              <w:t>5</w:t>
            </w:r>
          </w:p>
        </w:tc>
        <w:tc>
          <w:tcPr>
            <w:tcW w:w="519" w:type="pct"/>
            <w:shd w:val="clear" w:color="auto" w:fill="FFFFFF"/>
            <w:vAlign w:val="center"/>
            <w:hideMark/>
          </w:tcPr>
          <w:p w14:paraId="49A60FBD" w14:textId="77777777" w:rsidR="00FE7942" w:rsidRPr="00B94402" w:rsidRDefault="00FE7942" w:rsidP="0064602E">
            <w:pPr>
              <w:jc w:val="center"/>
              <w:rPr>
                <w:lang w:eastAsia="en-US"/>
              </w:rPr>
            </w:pPr>
            <w:r w:rsidRPr="00B94402">
              <w:rPr>
                <w:lang w:eastAsia="en-US"/>
              </w:rPr>
              <w:t>6</w:t>
            </w:r>
          </w:p>
        </w:tc>
        <w:tc>
          <w:tcPr>
            <w:tcW w:w="519" w:type="pct"/>
            <w:shd w:val="clear" w:color="auto" w:fill="FFFFFF"/>
            <w:vAlign w:val="center"/>
            <w:hideMark/>
          </w:tcPr>
          <w:p w14:paraId="02B6B070" w14:textId="77777777" w:rsidR="00FE7942" w:rsidRPr="00B94402" w:rsidRDefault="00FE7942" w:rsidP="0064602E">
            <w:pPr>
              <w:jc w:val="center"/>
              <w:rPr>
                <w:lang w:eastAsia="en-US"/>
              </w:rPr>
            </w:pPr>
            <w:r w:rsidRPr="00B94402">
              <w:rPr>
                <w:lang w:eastAsia="en-US"/>
              </w:rPr>
              <w:t>7</w:t>
            </w:r>
          </w:p>
        </w:tc>
        <w:tc>
          <w:tcPr>
            <w:tcW w:w="549" w:type="pct"/>
            <w:shd w:val="clear" w:color="auto" w:fill="FFFFFF"/>
            <w:vAlign w:val="center"/>
            <w:hideMark/>
          </w:tcPr>
          <w:p w14:paraId="359B65F2" w14:textId="77777777" w:rsidR="00FE7942" w:rsidRPr="00B94402" w:rsidRDefault="00FE7942" w:rsidP="0064602E">
            <w:pPr>
              <w:jc w:val="center"/>
              <w:rPr>
                <w:lang w:eastAsia="en-US"/>
              </w:rPr>
            </w:pPr>
            <w:r w:rsidRPr="00B94402">
              <w:rPr>
                <w:lang w:eastAsia="en-US"/>
              </w:rPr>
              <w:t>8</w:t>
            </w:r>
          </w:p>
        </w:tc>
      </w:tr>
      <w:tr w:rsidR="00FE7942" w:rsidRPr="00B94402" w14:paraId="21C049FE" w14:textId="77777777" w:rsidTr="00545B10">
        <w:trPr>
          <w:cantSplit/>
        </w:trPr>
        <w:tc>
          <w:tcPr>
            <w:tcW w:w="1191" w:type="pct"/>
            <w:shd w:val="clear" w:color="auto" w:fill="FFFFFF"/>
            <w:hideMark/>
          </w:tcPr>
          <w:p w14:paraId="70393DED" w14:textId="77777777" w:rsidR="00FE7942" w:rsidRPr="00B94402" w:rsidRDefault="00FE7942" w:rsidP="0064602E">
            <w:pPr>
              <w:rPr>
                <w:lang w:eastAsia="en-US"/>
              </w:rPr>
            </w:pPr>
            <w:r w:rsidRPr="00B94402">
              <w:rPr>
                <w:lang w:eastAsia="en-US"/>
              </w:rPr>
              <w:t>1. Budžeta ieņēmumi</w:t>
            </w:r>
          </w:p>
        </w:tc>
        <w:tc>
          <w:tcPr>
            <w:tcW w:w="592" w:type="pct"/>
            <w:shd w:val="clear" w:color="auto" w:fill="FFFFFF"/>
            <w:vAlign w:val="center"/>
            <w:hideMark/>
          </w:tcPr>
          <w:p w14:paraId="5F099FE3" w14:textId="77777777" w:rsidR="00FE7942" w:rsidRPr="00902EB5" w:rsidRDefault="00FE7942" w:rsidP="0064602E">
            <w:pPr>
              <w:jc w:val="center"/>
              <w:rPr>
                <w:lang w:eastAsia="en-US"/>
              </w:rPr>
            </w:pPr>
            <w:r>
              <w:rPr>
                <w:lang w:eastAsia="en-US"/>
              </w:rPr>
              <w:t>1 544 273</w:t>
            </w:r>
          </w:p>
        </w:tc>
        <w:tc>
          <w:tcPr>
            <w:tcW w:w="592" w:type="pct"/>
            <w:shd w:val="clear" w:color="auto" w:fill="FFFFFF"/>
            <w:vAlign w:val="center"/>
            <w:hideMark/>
          </w:tcPr>
          <w:p w14:paraId="0F47ABCC" w14:textId="77777777" w:rsidR="00FE7942" w:rsidRPr="00902EB5" w:rsidRDefault="00FE7942" w:rsidP="0064602E">
            <w:pPr>
              <w:jc w:val="center"/>
              <w:rPr>
                <w:lang w:eastAsia="en-US"/>
              </w:rPr>
            </w:pPr>
            <w:r w:rsidRPr="00902EB5">
              <w:rPr>
                <w:lang w:eastAsia="en-US"/>
              </w:rPr>
              <w:t>0</w:t>
            </w:r>
          </w:p>
        </w:tc>
        <w:tc>
          <w:tcPr>
            <w:tcW w:w="519" w:type="pct"/>
            <w:shd w:val="clear" w:color="auto" w:fill="FFFFFF"/>
            <w:vAlign w:val="center"/>
            <w:hideMark/>
          </w:tcPr>
          <w:p w14:paraId="4B966CE7" w14:textId="77777777" w:rsidR="00FE7942" w:rsidRPr="00902EB5" w:rsidRDefault="00FE7942" w:rsidP="0064602E">
            <w:pPr>
              <w:jc w:val="center"/>
              <w:rPr>
                <w:lang w:eastAsia="en-US"/>
              </w:rPr>
            </w:pPr>
            <w:r>
              <w:rPr>
                <w:lang w:eastAsia="en-US"/>
              </w:rPr>
              <w:t>1 544 273</w:t>
            </w:r>
          </w:p>
        </w:tc>
        <w:tc>
          <w:tcPr>
            <w:tcW w:w="519" w:type="pct"/>
            <w:shd w:val="clear" w:color="auto" w:fill="FFFFFF"/>
            <w:vAlign w:val="center"/>
            <w:hideMark/>
          </w:tcPr>
          <w:p w14:paraId="64DCB1CF" w14:textId="77777777" w:rsidR="00FE7942" w:rsidRPr="00756A7B" w:rsidRDefault="00FE7942" w:rsidP="0064602E">
            <w:pPr>
              <w:jc w:val="center"/>
              <w:rPr>
                <w:lang w:eastAsia="en-US"/>
              </w:rPr>
            </w:pPr>
            <w:r w:rsidRPr="00756A7B">
              <w:rPr>
                <w:lang w:eastAsia="en-US"/>
              </w:rPr>
              <w:t>0</w:t>
            </w:r>
          </w:p>
        </w:tc>
        <w:tc>
          <w:tcPr>
            <w:tcW w:w="519" w:type="pct"/>
            <w:shd w:val="clear" w:color="auto" w:fill="FFFFFF"/>
            <w:vAlign w:val="center"/>
            <w:hideMark/>
          </w:tcPr>
          <w:p w14:paraId="019E2E84" w14:textId="77777777" w:rsidR="00FE7942" w:rsidRPr="00902EB5" w:rsidRDefault="00FE7942" w:rsidP="0064602E">
            <w:pPr>
              <w:jc w:val="center"/>
              <w:rPr>
                <w:lang w:eastAsia="en-US"/>
              </w:rPr>
            </w:pPr>
            <w:r>
              <w:rPr>
                <w:lang w:eastAsia="en-US"/>
              </w:rPr>
              <w:t>1 544 273</w:t>
            </w:r>
          </w:p>
        </w:tc>
        <w:tc>
          <w:tcPr>
            <w:tcW w:w="519" w:type="pct"/>
            <w:shd w:val="clear" w:color="auto" w:fill="FFFFFF"/>
            <w:vAlign w:val="center"/>
            <w:hideMark/>
          </w:tcPr>
          <w:p w14:paraId="2C6B290A" w14:textId="77777777" w:rsidR="00FE7942" w:rsidRPr="00756A7B" w:rsidRDefault="00FE7942" w:rsidP="0064602E">
            <w:pPr>
              <w:jc w:val="center"/>
              <w:rPr>
                <w:lang w:eastAsia="en-US"/>
              </w:rPr>
            </w:pPr>
            <w:r w:rsidRPr="00756A7B">
              <w:rPr>
                <w:lang w:eastAsia="en-US"/>
              </w:rPr>
              <w:t>0</w:t>
            </w:r>
          </w:p>
        </w:tc>
        <w:tc>
          <w:tcPr>
            <w:tcW w:w="549" w:type="pct"/>
            <w:shd w:val="clear" w:color="auto" w:fill="FFFFFF"/>
            <w:vAlign w:val="center"/>
            <w:hideMark/>
          </w:tcPr>
          <w:p w14:paraId="2612291F" w14:textId="77777777" w:rsidR="00FE7942" w:rsidRPr="00756A7B" w:rsidRDefault="00FE7942" w:rsidP="0064602E">
            <w:pPr>
              <w:jc w:val="center"/>
              <w:rPr>
                <w:lang w:eastAsia="en-US"/>
              </w:rPr>
            </w:pPr>
            <w:r w:rsidRPr="00756A7B">
              <w:rPr>
                <w:lang w:eastAsia="en-US"/>
              </w:rPr>
              <w:t>0</w:t>
            </w:r>
          </w:p>
        </w:tc>
      </w:tr>
      <w:tr w:rsidR="00FE7942" w:rsidRPr="00B94402" w14:paraId="3BEF29C5" w14:textId="77777777" w:rsidTr="00545B10">
        <w:trPr>
          <w:cantSplit/>
        </w:trPr>
        <w:tc>
          <w:tcPr>
            <w:tcW w:w="1191" w:type="pct"/>
            <w:shd w:val="clear" w:color="auto" w:fill="auto"/>
            <w:hideMark/>
          </w:tcPr>
          <w:p w14:paraId="68E3482F" w14:textId="77777777" w:rsidR="00FE7942" w:rsidRPr="00B94402" w:rsidRDefault="00FE7942" w:rsidP="0064602E">
            <w:pPr>
              <w:rPr>
                <w:lang w:eastAsia="en-US"/>
              </w:rPr>
            </w:pPr>
            <w:r w:rsidRPr="00B94402">
              <w:rPr>
                <w:lang w:eastAsia="en-US"/>
              </w:rPr>
              <w:lastRenderedPageBreak/>
              <w:t>1.1. valsts pamatbudžets, tai skaitā ieņēmumi no maksas pakalpojumiem un citi pašu ieņēmumi</w:t>
            </w:r>
          </w:p>
        </w:tc>
        <w:tc>
          <w:tcPr>
            <w:tcW w:w="592" w:type="pct"/>
            <w:shd w:val="clear" w:color="auto" w:fill="auto"/>
            <w:vAlign w:val="center"/>
            <w:hideMark/>
          </w:tcPr>
          <w:p w14:paraId="72553064" w14:textId="77777777" w:rsidR="00FE7942" w:rsidRPr="00902EB5" w:rsidRDefault="00FE7942" w:rsidP="0064602E">
            <w:pPr>
              <w:jc w:val="center"/>
              <w:rPr>
                <w:lang w:eastAsia="en-US"/>
              </w:rPr>
            </w:pPr>
            <w:r w:rsidRPr="00F33A11">
              <w:rPr>
                <w:lang w:eastAsia="en-US"/>
              </w:rPr>
              <w:t>1 544 273</w:t>
            </w:r>
          </w:p>
        </w:tc>
        <w:tc>
          <w:tcPr>
            <w:tcW w:w="592" w:type="pct"/>
            <w:shd w:val="clear" w:color="auto" w:fill="auto"/>
            <w:vAlign w:val="center"/>
            <w:hideMark/>
          </w:tcPr>
          <w:p w14:paraId="492E517B"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10F8BDC5" w14:textId="77777777" w:rsidR="00FE7942" w:rsidRPr="00902EB5" w:rsidRDefault="00FE7942" w:rsidP="0064602E">
            <w:pPr>
              <w:jc w:val="center"/>
              <w:rPr>
                <w:lang w:eastAsia="en-US"/>
              </w:rPr>
            </w:pPr>
            <w:r w:rsidRPr="00F33A11">
              <w:rPr>
                <w:lang w:eastAsia="en-US"/>
              </w:rPr>
              <w:t>1 544 273</w:t>
            </w:r>
          </w:p>
        </w:tc>
        <w:tc>
          <w:tcPr>
            <w:tcW w:w="519" w:type="pct"/>
            <w:shd w:val="clear" w:color="auto" w:fill="auto"/>
            <w:vAlign w:val="center"/>
            <w:hideMark/>
          </w:tcPr>
          <w:p w14:paraId="3194D920" w14:textId="77777777" w:rsidR="00FE7942" w:rsidRPr="00756A7B" w:rsidRDefault="00FE7942" w:rsidP="0064602E">
            <w:pPr>
              <w:jc w:val="center"/>
              <w:rPr>
                <w:lang w:eastAsia="en-US"/>
              </w:rPr>
            </w:pPr>
            <w:r w:rsidRPr="00756A7B">
              <w:rPr>
                <w:lang w:eastAsia="en-US"/>
              </w:rPr>
              <w:t>0</w:t>
            </w:r>
          </w:p>
        </w:tc>
        <w:tc>
          <w:tcPr>
            <w:tcW w:w="519" w:type="pct"/>
            <w:shd w:val="clear" w:color="auto" w:fill="auto"/>
            <w:vAlign w:val="center"/>
            <w:hideMark/>
          </w:tcPr>
          <w:p w14:paraId="365A810F" w14:textId="77777777" w:rsidR="00FE7942" w:rsidRPr="00902EB5" w:rsidRDefault="00FE7942" w:rsidP="0064602E">
            <w:pPr>
              <w:jc w:val="center"/>
              <w:rPr>
                <w:lang w:eastAsia="en-US"/>
              </w:rPr>
            </w:pPr>
            <w:r w:rsidRPr="00F33A11">
              <w:rPr>
                <w:lang w:eastAsia="en-US"/>
              </w:rPr>
              <w:t>1 544 273</w:t>
            </w:r>
          </w:p>
        </w:tc>
        <w:tc>
          <w:tcPr>
            <w:tcW w:w="519" w:type="pct"/>
            <w:shd w:val="clear" w:color="auto" w:fill="auto"/>
            <w:vAlign w:val="center"/>
            <w:hideMark/>
          </w:tcPr>
          <w:p w14:paraId="4915ED85" w14:textId="77777777" w:rsidR="00FE7942" w:rsidRPr="00756A7B" w:rsidRDefault="00FE7942" w:rsidP="0064602E">
            <w:pPr>
              <w:jc w:val="center"/>
              <w:rPr>
                <w:lang w:eastAsia="en-US"/>
              </w:rPr>
            </w:pPr>
            <w:r w:rsidRPr="00756A7B">
              <w:rPr>
                <w:lang w:eastAsia="en-US"/>
              </w:rPr>
              <w:t>0</w:t>
            </w:r>
          </w:p>
        </w:tc>
        <w:tc>
          <w:tcPr>
            <w:tcW w:w="549" w:type="pct"/>
            <w:shd w:val="clear" w:color="auto" w:fill="auto"/>
            <w:vAlign w:val="center"/>
            <w:hideMark/>
          </w:tcPr>
          <w:p w14:paraId="6945F5AF" w14:textId="77777777" w:rsidR="00FE7942" w:rsidRPr="00756A7B" w:rsidRDefault="00FE7942" w:rsidP="0064602E">
            <w:pPr>
              <w:jc w:val="center"/>
              <w:rPr>
                <w:lang w:eastAsia="en-US"/>
              </w:rPr>
            </w:pPr>
            <w:r w:rsidRPr="00756A7B">
              <w:rPr>
                <w:lang w:eastAsia="en-US"/>
              </w:rPr>
              <w:t>0</w:t>
            </w:r>
          </w:p>
        </w:tc>
      </w:tr>
      <w:tr w:rsidR="00FE7942" w:rsidRPr="00B94402" w14:paraId="642122D5" w14:textId="77777777" w:rsidTr="00545B10">
        <w:trPr>
          <w:cantSplit/>
        </w:trPr>
        <w:tc>
          <w:tcPr>
            <w:tcW w:w="1191" w:type="pct"/>
            <w:shd w:val="clear" w:color="auto" w:fill="auto"/>
            <w:hideMark/>
          </w:tcPr>
          <w:p w14:paraId="61223352" w14:textId="77777777" w:rsidR="00FE7942" w:rsidRPr="00B94402" w:rsidRDefault="00FE7942" w:rsidP="0064602E">
            <w:pPr>
              <w:rPr>
                <w:lang w:eastAsia="en-US"/>
              </w:rPr>
            </w:pPr>
            <w:r w:rsidRPr="00B94402">
              <w:rPr>
                <w:lang w:eastAsia="en-US"/>
              </w:rPr>
              <w:t>1.2. valsts speciālais budžets</w:t>
            </w:r>
          </w:p>
        </w:tc>
        <w:tc>
          <w:tcPr>
            <w:tcW w:w="592" w:type="pct"/>
            <w:shd w:val="clear" w:color="auto" w:fill="auto"/>
            <w:vAlign w:val="center"/>
            <w:hideMark/>
          </w:tcPr>
          <w:p w14:paraId="7817B8F0"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411EBB76"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30A637A"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0970F58"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E347C82"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E996363"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6D86B6D6" w14:textId="77777777" w:rsidR="00FE7942" w:rsidRPr="00902EB5" w:rsidRDefault="00FE7942" w:rsidP="0064602E">
            <w:pPr>
              <w:jc w:val="center"/>
              <w:rPr>
                <w:lang w:eastAsia="en-US"/>
              </w:rPr>
            </w:pPr>
            <w:r w:rsidRPr="00902EB5">
              <w:rPr>
                <w:lang w:eastAsia="en-US"/>
              </w:rPr>
              <w:t>0</w:t>
            </w:r>
          </w:p>
        </w:tc>
      </w:tr>
      <w:tr w:rsidR="00FE7942" w:rsidRPr="00B94402" w14:paraId="2A6FA6A5" w14:textId="77777777" w:rsidTr="00545B10">
        <w:trPr>
          <w:cantSplit/>
        </w:trPr>
        <w:tc>
          <w:tcPr>
            <w:tcW w:w="1191" w:type="pct"/>
            <w:shd w:val="clear" w:color="auto" w:fill="auto"/>
            <w:hideMark/>
          </w:tcPr>
          <w:p w14:paraId="66421F37" w14:textId="77777777" w:rsidR="00FE7942" w:rsidRPr="00B94402" w:rsidRDefault="00FE7942" w:rsidP="0064602E">
            <w:pPr>
              <w:rPr>
                <w:lang w:eastAsia="en-US"/>
              </w:rPr>
            </w:pPr>
            <w:r w:rsidRPr="00B94402">
              <w:rPr>
                <w:lang w:eastAsia="en-US"/>
              </w:rPr>
              <w:t>1.3. pašvaldību budžets</w:t>
            </w:r>
          </w:p>
        </w:tc>
        <w:tc>
          <w:tcPr>
            <w:tcW w:w="592" w:type="pct"/>
            <w:shd w:val="clear" w:color="auto" w:fill="auto"/>
            <w:vAlign w:val="center"/>
            <w:hideMark/>
          </w:tcPr>
          <w:p w14:paraId="11B47905"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539367D7"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90397B1"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79DF536A"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78FFBDA"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39BD94B7"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38FF0500" w14:textId="77777777" w:rsidR="00FE7942" w:rsidRPr="00902EB5" w:rsidRDefault="00FE7942" w:rsidP="0064602E">
            <w:pPr>
              <w:jc w:val="center"/>
              <w:rPr>
                <w:lang w:eastAsia="en-US"/>
              </w:rPr>
            </w:pPr>
            <w:r w:rsidRPr="00902EB5">
              <w:rPr>
                <w:lang w:eastAsia="en-US"/>
              </w:rPr>
              <w:t>0</w:t>
            </w:r>
          </w:p>
        </w:tc>
      </w:tr>
      <w:tr w:rsidR="00FE7942" w:rsidRPr="00B94402" w14:paraId="337CAD09" w14:textId="77777777" w:rsidTr="00545B10">
        <w:trPr>
          <w:cantSplit/>
        </w:trPr>
        <w:tc>
          <w:tcPr>
            <w:tcW w:w="1191" w:type="pct"/>
            <w:shd w:val="clear" w:color="auto" w:fill="auto"/>
            <w:hideMark/>
          </w:tcPr>
          <w:p w14:paraId="1858D306" w14:textId="77777777" w:rsidR="00FE7942" w:rsidRPr="00B94402" w:rsidRDefault="00FE7942" w:rsidP="0064602E">
            <w:pPr>
              <w:rPr>
                <w:lang w:eastAsia="en-US"/>
              </w:rPr>
            </w:pPr>
            <w:r w:rsidRPr="00B94402">
              <w:rPr>
                <w:lang w:eastAsia="en-US"/>
              </w:rPr>
              <w:t>2. Budžeta izdevumi</w:t>
            </w:r>
          </w:p>
        </w:tc>
        <w:tc>
          <w:tcPr>
            <w:tcW w:w="592" w:type="pct"/>
            <w:shd w:val="clear" w:color="auto" w:fill="FFFFFF"/>
            <w:vAlign w:val="center"/>
          </w:tcPr>
          <w:p w14:paraId="22A440CF" w14:textId="77777777" w:rsidR="00FE7942" w:rsidRPr="00902EB5" w:rsidRDefault="00FE7942" w:rsidP="0064602E">
            <w:pPr>
              <w:jc w:val="center"/>
              <w:rPr>
                <w:lang w:eastAsia="en-US"/>
              </w:rPr>
            </w:pPr>
            <w:r w:rsidRPr="00F33A11">
              <w:rPr>
                <w:lang w:eastAsia="en-US"/>
              </w:rPr>
              <w:t>1 544 273</w:t>
            </w:r>
          </w:p>
        </w:tc>
        <w:tc>
          <w:tcPr>
            <w:tcW w:w="592" w:type="pct"/>
            <w:shd w:val="clear" w:color="auto" w:fill="auto"/>
            <w:vAlign w:val="center"/>
            <w:hideMark/>
          </w:tcPr>
          <w:p w14:paraId="1256FE73" w14:textId="77777777" w:rsidR="00FE7942" w:rsidRPr="00902EB5" w:rsidRDefault="00FE7942" w:rsidP="0064602E">
            <w:pPr>
              <w:jc w:val="center"/>
              <w:rPr>
                <w:lang w:eastAsia="en-US"/>
              </w:rPr>
            </w:pPr>
            <w:r w:rsidRPr="00902EB5">
              <w:rPr>
                <w:lang w:eastAsia="en-US"/>
              </w:rPr>
              <w:t>0</w:t>
            </w:r>
          </w:p>
        </w:tc>
        <w:tc>
          <w:tcPr>
            <w:tcW w:w="519" w:type="pct"/>
            <w:shd w:val="clear" w:color="auto" w:fill="FFFFFF"/>
            <w:vAlign w:val="center"/>
            <w:hideMark/>
          </w:tcPr>
          <w:p w14:paraId="2E6C2C90" w14:textId="77777777" w:rsidR="00FE7942" w:rsidRPr="00902EB5" w:rsidRDefault="00FE7942" w:rsidP="0064602E">
            <w:pPr>
              <w:jc w:val="center"/>
              <w:rPr>
                <w:lang w:eastAsia="en-US"/>
              </w:rPr>
            </w:pPr>
            <w:r>
              <w:rPr>
                <w:lang w:eastAsia="en-US"/>
              </w:rPr>
              <w:t>1 544 273</w:t>
            </w:r>
          </w:p>
        </w:tc>
        <w:tc>
          <w:tcPr>
            <w:tcW w:w="519" w:type="pct"/>
            <w:shd w:val="clear" w:color="auto" w:fill="auto"/>
            <w:vAlign w:val="center"/>
            <w:hideMark/>
          </w:tcPr>
          <w:p w14:paraId="06F65F4A" w14:textId="77777777" w:rsidR="00FE7942" w:rsidRPr="009858DA" w:rsidRDefault="00FE7942" w:rsidP="0064602E">
            <w:pPr>
              <w:jc w:val="center"/>
              <w:rPr>
                <w:lang w:eastAsia="en-US"/>
              </w:rPr>
            </w:pPr>
            <w:r w:rsidRPr="009858DA">
              <w:rPr>
                <w:lang w:eastAsia="en-US"/>
              </w:rPr>
              <w:t>545 726</w:t>
            </w:r>
          </w:p>
        </w:tc>
        <w:tc>
          <w:tcPr>
            <w:tcW w:w="519" w:type="pct"/>
            <w:shd w:val="clear" w:color="auto" w:fill="FFFFFF"/>
            <w:vAlign w:val="center"/>
            <w:hideMark/>
          </w:tcPr>
          <w:p w14:paraId="34B25E98" w14:textId="77777777" w:rsidR="00FE7942" w:rsidRPr="00902EB5" w:rsidRDefault="00FE7942" w:rsidP="0064602E">
            <w:pPr>
              <w:jc w:val="center"/>
              <w:rPr>
                <w:lang w:eastAsia="en-US"/>
              </w:rPr>
            </w:pPr>
            <w:r>
              <w:rPr>
                <w:lang w:eastAsia="en-US"/>
              </w:rPr>
              <w:t>1 544 273</w:t>
            </w:r>
          </w:p>
        </w:tc>
        <w:tc>
          <w:tcPr>
            <w:tcW w:w="519" w:type="pct"/>
            <w:shd w:val="clear" w:color="auto" w:fill="auto"/>
            <w:vAlign w:val="center"/>
            <w:hideMark/>
          </w:tcPr>
          <w:p w14:paraId="39E3B659" w14:textId="77777777" w:rsidR="00FE7942" w:rsidRPr="009858DA" w:rsidRDefault="00FE7942" w:rsidP="0064602E">
            <w:pPr>
              <w:jc w:val="center"/>
              <w:rPr>
                <w:lang w:eastAsia="en-US"/>
              </w:rPr>
            </w:pPr>
            <w:r w:rsidRPr="009858DA">
              <w:rPr>
                <w:lang w:eastAsia="en-US"/>
              </w:rPr>
              <w:t>2 111 626</w:t>
            </w:r>
          </w:p>
        </w:tc>
        <w:tc>
          <w:tcPr>
            <w:tcW w:w="549" w:type="pct"/>
            <w:shd w:val="clear" w:color="auto" w:fill="auto"/>
            <w:vAlign w:val="center"/>
            <w:hideMark/>
          </w:tcPr>
          <w:p w14:paraId="6FD758F5" w14:textId="77777777" w:rsidR="00FE7942" w:rsidRPr="009858DA" w:rsidRDefault="00FE7942" w:rsidP="0064602E">
            <w:pPr>
              <w:jc w:val="center"/>
              <w:rPr>
                <w:lang w:eastAsia="en-US"/>
              </w:rPr>
            </w:pPr>
            <w:r w:rsidRPr="009858DA">
              <w:rPr>
                <w:lang w:eastAsia="en-US"/>
              </w:rPr>
              <w:t>2 111 626</w:t>
            </w:r>
          </w:p>
        </w:tc>
      </w:tr>
      <w:tr w:rsidR="00FE7942" w:rsidRPr="00B94402" w14:paraId="06282FC6" w14:textId="77777777" w:rsidTr="00545B10">
        <w:trPr>
          <w:cantSplit/>
        </w:trPr>
        <w:tc>
          <w:tcPr>
            <w:tcW w:w="1191" w:type="pct"/>
            <w:shd w:val="clear" w:color="auto" w:fill="auto"/>
            <w:hideMark/>
          </w:tcPr>
          <w:p w14:paraId="5106F9AD" w14:textId="77777777" w:rsidR="00FE7942" w:rsidRPr="00B94402" w:rsidRDefault="00FE7942" w:rsidP="0064602E">
            <w:pPr>
              <w:rPr>
                <w:lang w:eastAsia="en-US"/>
              </w:rPr>
            </w:pPr>
            <w:r w:rsidRPr="00B94402">
              <w:rPr>
                <w:lang w:eastAsia="en-US"/>
              </w:rPr>
              <w:t>2.1. valsts pamatbudžets</w:t>
            </w:r>
          </w:p>
        </w:tc>
        <w:tc>
          <w:tcPr>
            <w:tcW w:w="592" w:type="pct"/>
            <w:shd w:val="clear" w:color="auto" w:fill="auto"/>
            <w:vAlign w:val="center"/>
          </w:tcPr>
          <w:p w14:paraId="13A53FA9" w14:textId="77777777" w:rsidR="00FE7942" w:rsidRPr="00902EB5" w:rsidRDefault="00FE7942" w:rsidP="0064602E">
            <w:pPr>
              <w:jc w:val="center"/>
              <w:rPr>
                <w:lang w:eastAsia="en-US"/>
              </w:rPr>
            </w:pPr>
            <w:r w:rsidRPr="00F33A11">
              <w:rPr>
                <w:lang w:eastAsia="en-US"/>
              </w:rPr>
              <w:t>1 544 273</w:t>
            </w:r>
          </w:p>
        </w:tc>
        <w:tc>
          <w:tcPr>
            <w:tcW w:w="592" w:type="pct"/>
            <w:shd w:val="clear" w:color="auto" w:fill="auto"/>
            <w:vAlign w:val="center"/>
            <w:hideMark/>
          </w:tcPr>
          <w:p w14:paraId="4587F9C1"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C854645" w14:textId="77777777" w:rsidR="00FE7942" w:rsidRPr="00902EB5" w:rsidRDefault="00FE7942" w:rsidP="0064602E">
            <w:pPr>
              <w:jc w:val="center"/>
              <w:rPr>
                <w:lang w:eastAsia="en-US"/>
              </w:rPr>
            </w:pPr>
            <w:r w:rsidRPr="00F33A11">
              <w:rPr>
                <w:lang w:eastAsia="en-US"/>
              </w:rPr>
              <w:t>1 544 273</w:t>
            </w:r>
          </w:p>
        </w:tc>
        <w:tc>
          <w:tcPr>
            <w:tcW w:w="519" w:type="pct"/>
            <w:shd w:val="clear" w:color="auto" w:fill="auto"/>
            <w:vAlign w:val="center"/>
            <w:hideMark/>
          </w:tcPr>
          <w:p w14:paraId="6FE580C8" w14:textId="77777777" w:rsidR="00FE7942" w:rsidRPr="009858DA" w:rsidRDefault="00FE7942" w:rsidP="0064602E">
            <w:pPr>
              <w:jc w:val="center"/>
              <w:rPr>
                <w:lang w:eastAsia="en-US"/>
              </w:rPr>
            </w:pPr>
            <w:r w:rsidRPr="009858DA">
              <w:rPr>
                <w:lang w:eastAsia="en-US"/>
              </w:rPr>
              <w:t>545 726</w:t>
            </w:r>
          </w:p>
        </w:tc>
        <w:tc>
          <w:tcPr>
            <w:tcW w:w="519" w:type="pct"/>
            <w:shd w:val="clear" w:color="auto" w:fill="auto"/>
            <w:vAlign w:val="center"/>
            <w:hideMark/>
          </w:tcPr>
          <w:p w14:paraId="528A6FF1" w14:textId="77777777" w:rsidR="00FE7942" w:rsidRPr="00902EB5" w:rsidRDefault="00FE7942" w:rsidP="0064602E">
            <w:pPr>
              <w:jc w:val="center"/>
              <w:rPr>
                <w:lang w:eastAsia="en-US"/>
              </w:rPr>
            </w:pPr>
            <w:r w:rsidRPr="00F33A11">
              <w:rPr>
                <w:lang w:eastAsia="en-US"/>
              </w:rPr>
              <w:t>1 544 273</w:t>
            </w:r>
          </w:p>
        </w:tc>
        <w:tc>
          <w:tcPr>
            <w:tcW w:w="519" w:type="pct"/>
            <w:shd w:val="clear" w:color="auto" w:fill="auto"/>
            <w:vAlign w:val="center"/>
            <w:hideMark/>
          </w:tcPr>
          <w:p w14:paraId="23F550FC" w14:textId="77777777" w:rsidR="00FE7942" w:rsidRPr="009858DA" w:rsidRDefault="00FE7942" w:rsidP="0064602E">
            <w:pPr>
              <w:jc w:val="center"/>
              <w:rPr>
                <w:lang w:eastAsia="en-US"/>
              </w:rPr>
            </w:pPr>
            <w:r w:rsidRPr="009858DA">
              <w:rPr>
                <w:lang w:eastAsia="en-US"/>
              </w:rPr>
              <w:t>2 111 626</w:t>
            </w:r>
          </w:p>
        </w:tc>
        <w:tc>
          <w:tcPr>
            <w:tcW w:w="549" w:type="pct"/>
            <w:shd w:val="clear" w:color="auto" w:fill="auto"/>
            <w:vAlign w:val="center"/>
            <w:hideMark/>
          </w:tcPr>
          <w:p w14:paraId="1530A49F" w14:textId="77777777" w:rsidR="00FE7942" w:rsidRPr="009858DA" w:rsidRDefault="00FE7942" w:rsidP="0064602E">
            <w:pPr>
              <w:jc w:val="center"/>
              <w:rPr>
                <w:lang w:eastAsia="en-US"/>
              </w:rPr>
            </w:pPr>
            <w:r w:rsidRPr="009858DA">
              <w:rPr>
                <w:lang w:eastAsia="en-US"/>
              </w:rPr>
              <w:t>2 111 626</w:t>
            </w:r>
          </w:p>
        </w:tc>
      </w:tr>
      <w:tr w:rsidR="00FE7942" w:rsidRPr="00B94402" w14:paraId="12F22C06" w14:textId="77777777" w:rsidTr="00545B10">
        <w:trPr>
          <w:cantSplit/>
        </w:trPr>
        <w:tc>
          <w:tcPr>
            <w:tcW w:w="1191" w:type="pct"/>
            <w:shd w:val="clear" w:color="auto" w:fill="auto"/>
            <w:hideMark/>
          </w:tcPr>
          <w:p w14:paraId="4EBD6165" w14:textId="77777777" w:rsidR="00FE7942" w:rsidRPr="00B94402" w:rsidRDefault="00FE7942" w:rsidP="0064602E">
            <w:pPr>
              <w:rPr>
                <w:lang w:eastAsia="en-US"/>
              </w:rPr>
            </w:pPr>
            <w:r w:rsidRPr="00B94402">
              <w:rPr>
                <w:lang w:eastAsia="en-US"/>
              </w:rPr>
              <w:t>2.2. valsts speciālais budžets</w:t>
            </w:r>
          </w:p>
        </w:tc>
        <w:tc>
          <w:tcPr>
            <w:tcW w:w="592" w:type="pct"/>
            <w:shd w:val="clear" w:color="auto" w:fill="auto"/>
            <w:vAlign w:val="center"/>
            <w:hideMark/>
          </w:tcPr>
          <w:p w14:paraId="524E4ECF"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2132435A"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204E999B"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26794D9"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AC5EB86"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75E95157"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12E26966" w14:textId="77777777" w:rsidR="00FE7942" w:rsidRPr="00902EB5" w:rsidRDefault="00FE7942" w:rsidP="0064602E">
            <w:pPr>
              <w:jc w:val="center"/>
              <w:rPr>
                <w:lang w:eastAsia="en-US"/>
              </w:rPr>
            </w:pPr>
            <w:r w:rsidRPr="00902EB5">
              <w:rPr>
                <w:lang w:eastAsia="en-US"/>
              </w:rPr>
              <w:t>0</w:t>
            </w:r>
          </w:p>
        </w:tc>
      </w:tr>
      <w:tr w:rsidR="00FE7942" w:rsidRPr="00B94402" w14:paraId="70C849B3" w14:textId="77777777" w:rsidTr="00545B10">
        <w:trPr>
          <w:cantSplit/>
        </w:trPr>
        <w:tc>
          <w:tcPr>
            <w:tcW w:w="1191" w:type="pct"/>
            <w:shd w:val="clear" w:color="auto" w:fill="auto"/>
            <w:hideMark/>
          </w:tcPr>
          <w:p w14:paraId="6F8F9DF8" w14:textId="77777777" w:rsidR="00FE7942" w:rsidRPr="00B94402" w:rsidRDefault="00FE7942" w:rsidP="0064602E">
            <w:pPr>
              <w:rPr>
                <w:lang w:eastAsia="en-US"/>
              </w:rPr>
            </w:pPr>
            <w:r w:rsidRPr="00B94402">
              <w:rPr>
                <w:lang w:eastAsia="en-US"/>
              </w:rPr>
              <w:t>2.3. pašvaldību budžets</w:t>
            </w:r>
          </w:p>
        </w:tc>
        <w:tc>
          <w:tcPr>
            <w:tcW w:w="592" w:type="pct"/>
            <w:shd w:val="clear" w:color="auto" w:fill="auto"/>
            <w:vAlign w:val="center"/>
            <w:hideMark/>
          </w:tcPr>
          <w:p w14:paraId="73AC3158"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2FEDFFB8"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8780E55"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10CAC094"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D4A9E3E"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2A59E5E"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66B960ED" w14:textId="77777777" w:rsidR="00FE7942" w:rsidRPr="00902EB5" w:rsidRDefault="00FE7942" w:rsidP="0064602E">
            <w:pPr>
              <w:jc w:val="center"/>
              <w:rPr>
                <w:lang w:eastAsia="en-US"/>
              </w:rPr>
            </w:pPr>
            <w:r w:rsidRPr="00902EB5">
              <w:rPr>
                <w:lang w:eastAsia="en-US"/>
              </w:rPr>
              <w:t>0</w:t>
            </w:r>
          </w:p>
        </w:tc>
      </w:tr>
      <w:tr w:rsidR="00FE7942" w:rsidRPr="00B94402" w14:paraId="7AD7266C" w14:textId="77777777" w:rsidTr="00545B10">
        <w:trPr>
          <w:cantSplit/>
        </w:trPr>
        <w:tc>
          <w:tcPr>
            <w:tcW w:w="1191" w:type="pct"/>
            <w:shd w:val="clear" w:color="auto" w:fill="auto"/>
            <w:hideMark/>
          </w:tcPr>
          <w:p w14:paraId="4EC03D8E" w14:textId="77777777" w:rsidR="00FE7942" w:rsidRPr="00B94402" w:rsidRDefault="00FE7942" w:rsidP="0064602E">
            <w:pPr>
              <w:rPr>
                <w:lang w:eastAsia="en-US"/>
              </w:rPr>
            </w:pPr>
            <w:r w:rsidRPr="00B94402">
              <w:rPr>
                <w:lang w:eastAsia="en-US"/>
              </w:rPr>
              <w:t>3. Finansiālā ietekme</w:t>
            </w:r>
          </w:p>
        </w:tc>
        <w:tc>
          <w:tcPr>
            <w:tcW w:w="592" w:type="pct"/>
            <w:shd w:val="clear" w:color="auto" w:fill="auto"/>
            <w:vAlign w:val="center"/>
            <w:hideMark/>
          </w:tcPr>
          <w:p w14:paraId="40064F38"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4D1A00FE"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79A4EE75"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75CE4B5" w14:textId="77777777" w:rsidR="00FE7942" w:rsidRPr="00CA3D0B" w:rsidRDefault="00FE7942" w:rsidP="0064602E">
            <w:pPr>
              <w:jc w:val="center"/>
              <w:rPr>
                <w:color w:val="FF0000"/>
                <w:lang w:eastAsia="en-US"/>
              </w:rPr>
            </w:pPr>
            <w:r>
              <w:rPr>
                <w:lang w:eastAsia="en-US"/>
              </w:rPr>
              <w:t>-</w:t>
            </w:r>
            <w:r w:rsidRPr="009858DA">
              <w:rPr>
                <w:lang w:eastAsia="en-US"/>
              </w:rPr>
              <w:t>545 726</w:t>
            </w:r>
          </w:p>
        </w:tc>
        <w:tc>
          <w:tcPr>
            <w:tcW w:w="519" w:type="pct"/>
            <w:shd w:val="clear" w:color="auto" w:fill="auto"/>
            <w:vAlign w:val="center"/>
            <w:hideMark/>
          </w:tcPr>
          <w:p w14:paraId="51BEC44D"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1E7DA1EE" w14:textId="77777777" w:rsidR="00FE7942" w:rsidRPr="00CA3D0B" w:rsidRDefault="00FE7942" w:rsidP="0064602E">
            <w:pPr>
              <w:jc w:val="center"/>
              <w:rPr>
                <w:color w:val="FF0000"/>
                <w:lang w:eastAsia="en-US"/>
              </w:rPr>
            </w:pPr>
            <w:r>
              <w:rPr>
                <w:lang w:eastAsia="en-US"/>
              </w:rPr>
              <w:t>-</w:t>
            </w:r>
            <w:r w:rsidRPr="009858DA">
              <w:rPr>
                <w:lang w:eastAsia="en-US"/>
              </w:rPr>
              <w:t>2 111 626</w:t>
            </w:r>
          </w:p>
        </w:tc>
        <w:tc>
          <w:tcPr>
            <w:tcW w:w="549" w:type="pct"/>
            <w:shd w:val="clear" w:color="auto" w:fill="auto"/>
            <w:vAlign w:val="center"/>
            <w:hideMark/>
          </w:tcPr>
          <w:p w14:paraId="54B9E6C6" w14:textId="77777777" w:rsidR="00FE7942" w:rsidRPr="00CA3D0B" w:rsidRDefault="00FE7942" w:rsidP="0064602E">
            <w:pPr>
              <w:jc w:val="center"/>
              <w:rPr>
                <w:color w:val="FF0000"/>
                <w:lang w:eastAsia="en-US"/>
              </w:rPr>
            </w:pPr>
            <w:r>
              <w:rPr>
                <w:lang w:eastAsia="en-US"/>
              </w:rPr>
              <w:t>-</w:t>
            </w:r>
            <w:r w:rsidRPr="009858DA">
              <w:rPr>
                <w:lang w:eastAsia="en-US"/>
              </w:rPr>
              <w:t>2 111 626</w:t>
            </w:r>
          </w:p>
        </w:tc>
      </w:tr>
      <w:tr w:rsidR="00FE7942" w:rsidRPr="00B94402" w14:paraId="160F655A" w14:textId="77777777" w:rsidTr="00545B10">
        <w:trPr>
          <w:cantSplit/>
        </w:trPr>
        <w:tc>
          <w:tcPr>
            <w:tcW w:w="1191" w:type="pct"/>
            <w:shd w:val="clear" w:color="auto" w:fill="auto"/>
            <w:hideMark/>
          </w:tcPr>
          <w:p w14:paraId="2AE9FE0A" w14:textId="77777777" w:rsidR="00FE7942" w:rsidRPr="00B94402" w:rsidRDefault="00FE7942" w:rsidP="0064602E">
            <w:pPr>
              <w:rPr>
                <w:lang w:eastAsia="en-US"/>
              </w:rPr>
            </w:pPr>
            <w:r w:rsidRPr="00B94402">
              <w:rPr>
                <w:lang w:eastAsia="en-US"/>
              </w:rPr>
              <w:t>3.1. valsts pamatbudžets</w:t>
            </w:r>
          </w:p>
        </w:tc>
        <w:tc>
          <w:tcPr>
            <w:tcW w:w="592" w:type="pct"/>
            <w:shd w:val="clear" w:color="auto" w:fill="auto"/>
            <w:vAlign w:val="center"/>
            <w:hideMark/>
          </w:tcPr>
          <w:p w14:paraId="6DC38266"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006E68D0"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26B79A4D"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6CA7524A" w14:textId="77777777" w:rsidR="00FE7942" w:rsidRPr="00CA3D0B" w:rsidRDefault="00FE7942" w:rsidP="0064602E">
            <w:pPr>
              <w:jc w:val="center"/>
              <w:rPr>
                <w:color w:val="FF0000"/>
                <w:lang w:eastAsia="en-US"/>
              </w:rPr>
            </w:pPr>
            <w:r>
              <w:rPr>
                <w:lang w:eastAsia="en-US"/>
              </w:rPr>
              <w:t>-</w:t>
            </w:r>
            <w:r w:rsidRPr="009858DA">
              <w:rPr>
                <w:lang w:eastAsia="en-US"/>
              </w:rPr>
              <w:t>545 726</w:t>
            </w:r>
          </w:p>
        </w:tc>
        <w:tc>
          <w:tcPr>
            <w:tcW w:w="519" w:type="pct"/>
            <w:shd w:val="clear" w:color="auto" w:fill="auto"/>
            <w:vAlign w:val="center"/>
            <w:hideMark/>
          </w:tcPr>
          <w:p w14:paraId="6A0CCFD0"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88D4871" w14:textId="77777777" w:rsidR="00FE7942" w:rsidRPr="00CA3D0B" w:rsidRDefault="00FE7942" w:rsidP="0064602E">
            <w:pPr>
              <w:jc w:val="center"/>
              <w:rPr>
                <w:color w:val="FF0000"/>
                <w:lang w:eastAsia="en-US"/>
              </w:rPr>
            </w:pPr>
            <w:r>
              <w:rPr>
                <w:lang w:eastAsia="en-US"/>
              </w:rPr>
              <w:t>-</w:t>
            </w:r>
            <w:r w:rsidRPr="009858DA">
              <w:rPr>
                <w:lang w:eastAsia="en-US"/>
              </w:rPr>
              <w:t>2 111 626</w:t>
            </w:r>
          </w:p>
        </w:tc>
        <w:tc>
          <w:tcPr>
            <w:tcW w:w="549" w:type="pct"/>
            <w:shd w:val="clear" w:color="auto" w:fill="auto"/>
            <w:vAlign w:val="center"/>
            <w:hideMark/>
          </w:tcPr>
          <w:p w14:paraId="2F20BD6A" w14:textId="77777777" w:rsidR="00FE7942" w:rsidRPr="00CA3D0B" w:rsidRDefault="00FE7942" w:rsidP="0064602E">
            <w:pPr>
              <w:jc w:val="center"/>
              <w:rPr>
                <w:color w:val="FF0000"/>
                <w:lang w:eastAsia="en-US"/>
              </w:rPr>
            </w:pPr>
            <w:r>
              <w:rPr>
                <w:lang w:eastAsia="en-US"/>
              </w:rPr>
              <w:t>-</w:t>
            </w:r>
            <w:r w:rsidRPr="009858DA">
              <w:rPr>
                <w:lang w:eastAsia="en-US"/>
              </w:rPr>
              <w:t>2 111 626</w:t>
            </w:r>
          </w:p>
        </w:tc>
      </w:tr>
      <w:tr w:rsidR="00FE7942" w:rsidRPr="00B94402" w14:paraId="451415D6" w14:textId="77777777" w:rsidTr="00545B10">
        <w:trPr>
          <w:cantSplit/>
        </w:trPr>
        <w:tc>
          <w:tcPr>
            <w:tcW w:w="1191" w:type="pct"/>
            <w:shd w:val="clear" w:color="auto" w:fill="auto"/>
            <w:hideMark/>
          </w:tcPr>
          <w:p w14:paraId="67AFD900" w14:textId="77777777" w:rsidR="00FE7942" w:rsidRPr="00B94402" w:rsidRDefault="00FE7942" w:rsidP="0064602E">
            <w:pPr>
              <w:rPr>
                <w:lang w:eastAsia="en-US"/>
              </w:rPr>
            </w:pPr>
            <w:r w:rsidRPr="00B94402">
              <w:rPr>
                <w:lang w:eastAsia="en-US"/>
              </w:rPr>
              <w:t>3.2. speciālais budžets</w:t>
            </w:r>
          </w:p>
        </w:tc>
        <w:tc>
          <w:tcPr>
            <w:tcW w:w="592" w:type="pct"/>
            <w:shd w:val="clear" w:color="auto" w:fill="auto"/>
            <w:vAlign w:val="center"/>
            <w:hideMark/>
          </w:tcPr>
          <w:p w14:paraId="6024D4C0"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0002BE58"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44CDB5D"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13882467"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68E94BC5"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590CA8D7"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55B6136D" w14:textId="77777777" w:rsidR="00FE7942" w:rsidRPr="00902EB5" w:rsidRDefault="00FE7942" w:rsidP="0064602E">
            <w:pPr>
              <w:jc w:val="center"/>
              <w:rPr>
                <w:lang w:eastAsia="en-US"/>
              </w:rPr>
            </w:pPr>
            <w:r w:rsidRPr="00902EB5">
              <w:rPr>
                <w:lang w:eastAsia="en-US"/>
              </w:rPr>
              <w:t>0</w:t>
            </w:r>
          </w:p>
        </w:tc>
      </w:tr>
      <w:tr w:rsidR="00FE7942" w:rsidRPr="00B94402" w14:paraId="6077CF73" w14:textId="77777777" w:rsidTr="00545B10">
        <w:trPr>
          <w:cantSplit/>
        </w:trPr>
        <w:tc>
          <w:tcPr>
            <w:tcW w:w="1191" w:type="pct"/>
            <w:shd w:val="clear" w:color="auto" w:fill="auto"/>
            <w:hideMark/>
          </w:tcPr>
          <w:p w14:paraId="2E969965" w14:textId="77777777" w:rsidR="00FE7942" w:rsidRPr="00B94402" w:rsidRDefault="00FE7942" w:rsidP="0064602E">
            <w:pPr>
              <w:rPr>
                <w:lang w:eastAsia="en-US"/>
              </w:rPr>
            </w:pPr>
            <w:r w:rsidRPr="00B94402">
              <w:rPr>
                <w:lang w:eastAsia="en-US"/>
              </w:rPr>
              <w:t>3.3. pašvaldību budžets</w:t>
            </w:r>
          </w:p>
        </w:tc>
        <w:tc>
          <w:tcPr>
            <w:tcW w:w="592" w:type="pct"/>
            <w:shd w:val="clear" w:color="auto" w:fill="auto"/>
            <w:vAlign w:val="center"/>
            <w:hideMark/>
          </w:tcPr>
          <w:p w14:paraId="62878BAF" w14:textId="77777777" w:rsidR="00FE7942" w:rsidRPr="00902EB5" w:rsidRDefault="00FE7942" w:rsidP="0064602E">
            <w:pPr>
              <w:jc w:val="center"/>
              <w:rPr>
                <w:lang w:eastAsia="en-US"/>
              </w:rPr>
            </w:pPr>
            <w:r w:rsidRPr="00902EB5">
              <w:rPr>
                <w:lang w:eastAsia="en-US"/>
              </w:rPr>
              <w:t>0</w:t>
            </w:r>
          </w:p>
        </w:tc>
        <w:tc>
          <w:tcPr>
            <w:tcW w:w="592" w:type="pct"/>
            <w:shd w:val="clear" w:color="auto" w:fill="auto"/>
            <w:vAlign w:val="center"/>
            <w:hideMark/>
          </w:tcPr>
          <w:p w14:paraId="0506AA2B"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6BBAF52E"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7E5CE370"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4C8E37F2"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07052D4A"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6CA71259" w14:textId="77777777" w:rsidR="00FE7942" w:rsidRPr="00902EB5" w:rsidRDefault="00FE7942" w:rsidP="0064602E">
            <w:pPr>
              <w:jc w:val="center"/>
              <w:rPr>
                <w:lang w:eastAsia="en-US"/>
              </w:rPr>
            </w:pPr>
            <w:r w:rsidRPr="00902EB5">
              <w:rPr>
                <w:lang w:eastAsia="en-US"/>
              </w:rPr>
              <w:t>0</w:t>
            </w:r>
          </w:p>
        </w:tc>
      </w:tr>
      <w:tr w:rsidR="00FE7942" w:rsidRPr="00B94402" w14:paraId="2C38F8D9" w14:textId="77777777" w:rsidTr="00545B10">
        <w:trPr>
          <w:cantSplit/>
        </w:trPr>
        <w:tc>
          <w:tcPr>
            <w:tcW w:w="1191" w:type="pct"/>
            <w:shd w:val="clear" w:color="auto" w:fill="auto"/>
            <w:hideMark/>
          </w:tcPr>
          <w:p w14:paraId="6F5E5700" w14:textId="77777777" w:rsidR="00FE7942" w:rsidRPr="00B94402" w:rsidRDefault="00FE7942" w:rsidP="0064602E">
            <w:pPr>
              <w:rPr>
                <w:lang w:eastAsia="en-US"/>
              </w:rPr>
            </w:pPr>
            <w:r w:rsidRPr="00B94402">
              <w:rPr>
                <w:lang w:eastAsia="en-US"/>
              </w:rPr>
              <w:t>4. Finanšu līdzekļi papildu izdevumu finansēšanai (kompensējošu izdevumu samazinājumu norāda ar "+" zīmi)</w:t>
            </w:r>
          </w:p>
        </w:tc>
        <w:tc>
          <w:tcPr>
            <w:tcW w:w="592" w:type="pct"/>
            <w:shd w:val="clear" w:color="auto" w:fill="auto"/>
            <w:vAlign w:val="center"/>
            <w:hideMark/>
          </w:tcPr>
          <w:p w14:paraId="113C8E3E" w14:textId="77777777" w:rsidR="00FE7942" w:rsidRPr="00902EB5" w:rsidRDefault="00FE7942" w:rsidP="0064602E">
            <w:pPr>
              <w:jc w:val="center"/>
              <w:rPr>
                <w:lang w:eastAsia="en-US"/>
              </w:rPr>
            </w:pPr>
            <w:r w:rsidRPr="00902EB5">
              <w:rPr>
                <w:lang w:eastAsia="en-US"/>
              </w:rPr>
              <w:t>×</w:t>
            </w:r>
          </w:p>
        </w:tc>
        <w:tc>
          <w:tcPr>
            <w:tcW w:w="592" w:type="pct"/>
            <w:shd w:val="clear" w:color="auto" w:fill="auto"/>
            <w:vAlign w:val="center"/>
            <w:hideMark/>
          </w:tcPr>
          <w:p w14:paraId="5B29A1EF"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67363D9D" w14:textId="77777777" w:rsidR="00FE7942" w:rsidRPr="00902EB5" w:rsidRDefault="00FE7942" w:rsidP="0064602E">
            <w:pPr>
              <w:jc w:val="center"/>
              <w:rPr>
                <w:lang w:eastAsia="en-US"/>
              </w:rPr>
            </w:pPr>
            <w:r w:rsidRPr="00902EB5">
              <w:rPr>
                <w:lang w:eastAsia="en-US"/>
              </w:rPr>
              <w:t>×</w:t>
            </w:r>
          </w:p>
        </w:tc>
        <w:tc>
          <w:tcPr>
            <w:tcW w:w="519" w:type="pct"/>
            <w:shd w:val="clear" w:color="auto" w:fill="auto"/>
            <w:vAlign w:val="center"/>
            <w:hideMark/>
          </w:tcPr>
          <w:p w14:paraId="26E6B08A" w14:textId="77777777" w:rsidR="00FE7942" w:rsidRPr="00902EB5" w:rsidRDefault="00FE7942" w:rsidP="0064602E">
            <w:pPr>
              <w:jc w:val="center"/>
              <w:rPr>
                <w:lang w:eastAsia="en-US"/>
              </w:rPr>
            </w:pPr>
            <w:r w:rsidRPr="00902EB5">
              <w:rPr>
                <w:lang w:eastAsia="en-US"/>
              </w:rPr>
              <w:t>0</w:t>
            </w:r>
          </w:p>
        </w:tc>
        <w:tc>
          <w:tcPr>
            <w:tcW w:w="519" w:type="pct"/>
            <w:shd w:val="clear" w:color="auto" w:fill="auto"/>
            <w:vAlign w:val="center"/>
            <w:hideMark/>
          </w:tcPr>
          <w:p w14:paraId="7B0F6550" w14:textId="77777777" w:rsidR="00FE7942" w:rsidRPr="00902EB5" w:rsidRDefault="00FE7942" w:rsidP="0064602E">
            <w:pPr>
              <w:jc w:val="center"/>
              <w:rPr>
                <w:lang w:eastAsia="en-US"/>
              </w:rPr>
            </w:pPr>
            <w:r w:rsidRPr="00902EB5">
              <w:rPr>
                <w:lang w:eastAsia="en-US"/>
              </w:rPr>
              <w:t>×</w:t>
            </w:r>
          </w:p>
        </w:tc>
        <w:tc>
          <w:tcPr>
            <w:tcW w:w="519" w:type="pct"/>
            <w:shd w:val="clear" w:color="auto" w:fill="auto"/>
            <w:vAlign w:val="center"/>
            <w:hideMark/>
          </w:tcPr>
          <w:p w14:paraId="18AE9D55"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7DD695AD" w14:textId="77777777" w:rsidR="00FE7942" w:rsidRPr="00902EB5" w:rsidRDefault="00FE7942" w:rsidP="0064602E">
            <w:pPr>
              <w:jc w:val="center"/>
              <w:rPr>
                <w:lang w:eastAsia="en-US"/>
              </w:rPr>
            </w:pPr>
            <w:r w:rsidRPr="00902EB5">
              <w:rPr>
                <w:lang w:eastAsia="en-US"/>
              </w:rPr>
              <w:t>0</w:t>
            </w:r>
          </w:p>
        </w:tc>
      </w:tr>
      <w:tr w:rsidR="00FE7942" w:rsidRPr="00B94402" w14:paraId="7E8824D6" w14:textId="77777777" w:rsidTr="00545B10">
        <w:trPr>
          <w:cantSplit/>
        </w:trPr>
        <w:tc>
          <w:tcPr>
            <w:tcW w:w="1191" w:type="pct"/>
            <w:shd w:val="clear" w:color="auto" w:fill="auto"/>
            <w:hideMark/>
          </w:tcPr>
          <w:p w14:paraId="20AF5EFF" w14:textId="77777777" w:rsidR="00FE7942" w:rsidRPr="00B94402" w:rsidRDefault="00FE7942" w:rsidP="0064602E">
            <w:pPr>
              <w:rPr>
                <w:lang w:eastAsia="en-US"/>
              </w:rPr>
            </w:pPr>
            <w:r w:rsidRPr="00B94402">
              <w:rPr>
                <w:lang w:eastAsia="en-US"/>
              </w:rPr>
              <w:t>5. Precizēta finansiālā ietekme</w:t>
            </w:r>
          </w:p>
        </w:tc>
        <w:tc>
          <w:tcPr>
            <w:tcW w:w="592" w:type="pct"/>
            <w:vMerge w:val="restart"/>
            <w:shd w:val="clear" w:color="auto" w:fill="auto"/>
            <w:vAlign w:val="center"/>
            <w:hideMark/>
          </w:tcPr>
          <w:p w14:paraId="02DC1F07" w14:textId="77777777" w:rsidR="00FE7942" w:rsidRPr="00902EB5" w:rsidRDefault="00FE7942" w:rsidP="0064602E">
            <w:pPr>
              <w:jc w:val="center"/>
              <w:rPr>
                <w:lang w:eastAsia="en-US"/>
              </w:rPr>
            </w:pPr>
            <w:r w:rsidRPr="00902EB5">
              <w:rPr>
                <w:lang w:eastAsia="en-US"/>
              </w:rPr>
              <w:t>×</w:t>
            </w:r>
          </w:p>
        </w:tc>
        <w:tc>
          <w:tcPr>
            <w:tcW w:w="592" w:type="pct"/>
            <w:shd w:val="clear" w:color="auto" w:fill="auto"/>
            <w:vAlign w:val="center"/>
            <w:hideMark/>
          </w:tcPr>
          <w:p w14:paraId="519F0078" w14:textId="77777777" w:rsidR="00FE7942" w:rsidRPr="00902EB5" w:rsidRDefault="00FE7942" w:rsidP="0064602E">
            <w:pPr>
              <w:jc w:val="center"/>
              <w:rPr>
                <w:lang w:eastAsia="en-US"/>
              </w:rPr>
            </w:pPr>
            <w:r w:rsidRPr="00902EB5">
              <w:rPr>
                <w:lang w:eastAsia="en-US"/>
              </w:rPr>
              <w:t>0</w:t>
            </w:r>
          </w:p>
        </w:tc>
        <w:tc>
          <w:tcPr>
            <w:tcW w:w="519" w:type="pct"/>
            <w:vMerge w:val="restart"/>
            <w:shd w:val="clear" w:color="auto" w:fill="auto"/>
            <w:vAlign w:val="center"/>
            <w:hideMark/>
          </w:tcPr>
          <w:p w14:paraId="5BE1ECE3" w14:textId="77777777" w:rsidR="00FE7942" w:rsidRPr="00902EB5" w:rsidRDefault="00FE7942" w:rsidP="0064602E">
            <w:pPr>
              <w:jc w:val="center"/>
              <w:rPr>
                <w:lang w:eastAsia="en-US"/>
              </w:rPr>
            </w:pPr>
            <w:r w:rsidRPr="00902EB5">
              <w:rPr>
                <w:lang w:eastAsia="en-US"/>
              </w:rPr>
              <w:t>×</w:t>
            </w:r>
          </w:p>
        </w:tc>
        <w:tc>
          <w:tcPr>
            <w:tcW w:w="519" w:type="pct"/>
            <w:shd w:val="clear" w:color="auto" w:fill="auto"/>
            <w:vAlign w:val="center"/>
            <w:hideMark/>
          </w:tcPr>
          <w:p w14:paraId="0549A386" w14:textId="77777777" w:rsidR="00FE7942" w:rsidRPr="00CA3D0B" w:rsidRDefault="00FE7942" w:rsidP="0064602E">
            <w:pPr>
              <w:jc w:val="center"/>
              <w:rPr>
                <w:color w:val="FF0000"/>
                <w:lang w:eastAsia="en-US"/>
              </w:rPr>
            </w:pPr>
            <w:r>
              <w:rPr>
                <w:lang w:eastAsia="en-US"/>
              </w:rPr>
              <w:t>-</w:t>
            </w:r>
            <w:r w:rsidRPr="009858DA">
              <w:rPr>
                <w:lang w:eastAsia="en-US"/>
              </w:rPr>
              <w:t>545 726</w:t>
            </w:r>
          </w:p>
        </w:tc>
        <w:tc>
          <w:tcPr>
            <w:tcW w:w="519" w:type="pct"/>
            <w:vMerge w:val="restart"/>
            <w:shd w:val="clear" w:color="auto" w:fill="auto"/>
            <w:vAlign w:val="center"/>
            <w:hideMark/>
          </w:tcPr>
          <w:p w14:paraId="75130419" w14:textId="77777777" w:rsidR="00FE7942" w:rsidRPr="00902EB5" w:rsidRDefault="00FE7942" w:rsidP="0064602E">
            <w:pPr>
              <w:jc w:val="center"/>
              <w:rPr>
                <w:lang w:eastAsia="en-US"/>
              </w:rPr>
            </w:pPr>
            <w:r w:rsidRPr="00902EB5">
              <w:rPr>
                <w:lang w:eastAsia="en-US"/>
              </w:rPr>
              <w:t>×</w:t>
            </w:r>
          </w:p>
        </w:tc>
        <w:tc>
          <w:tcPr>
            <w:tcW w:w="519" w:type="pct"/>
            <w:shd w:val="clear" w:color="auto" w:fill="auto"/>
            <w:vAlign w:val="center"/>
            <w:hideMark/>
          </w:tcPr>
          <w:p w14:paraId="75912AAA" w14:textId="77777777" w:rsidR="00FE7942" w:rsidRPr="00CA3D0B" w:rsidRDefault="00FE7942" w:rsidP="0064602E">
            <w:pPr>
              <w:jc w:val="center"/>
              <w:rPr>
                <w:color w:val="FF0000"/>
                <w:lang w:eastAsia="en-US"/>
              </w:rPr>
            </w:pPr>
            <w:r>
              <w:rPr>
                <w:lang w:eastAsia="en-US"/>
              </w:rPr>
              <w:t>-</w:t>
            </w:r>
            <w:r w:rsidRPr="009858DA">
              <w:rPr>
                <w:lang w:eastAsia="en-US"/>
              </w:rPr>
              <w:t>2 111 626</w:t>
            </w:r>
          </w:p>
        </w:tc>
        <w:tc>
          <w:tcPr>
            <w:tcW w:w="549" w:type="pct"/>
            <w:shd w:val="clear" w:color="auto" w:fill="auto"/>
            <w:vAlign w:val="center"/>
            <w:hideMark/>
          </w:tcPr>
          <w:p w14:paraId="5D1EB810" w14:textId="77777777" w:rsidR="00FE7942" w:rsidRPr="00CA3D0B" w:rsidRDefault="00FE7942" w:rsidP="0064602E">
            <w:pPr>
              <w:jc w:val="center"/>
              <w:rPr>
                <w:color w:val="FF0000"/>
                <w:lang w:eastAsia="en-US"/>
              </w:rPr>
            </w:pPr>
            <w:r>
              <w:rPr>
                <w:lang w:eastAsia="en-US"/>
              </w:rPr>
              <w:t>-</w:t>
            </w:r>
            <w:r w:rsidRPr="009858DA">
              <w:rPr>
                <w:lang w:eastAsia="en-US"/>
              </w:rPr>
              <w:t>2 111 626</w:t>
            </w:r>
          </w:p>
        </w:tc>
      </w:tr>
      <w:tr w:rsidR="00FE7942" w:rsidRPr="00B94402" w14:paraId="5C269CE4" w14:textId="77777777" w:rsidTr="00545B10">
        <w:trPr>
          <w:cantSplit/>
        </w:trPr>
        <w:tc>
          <w:tcPr>
            <w:tcW w:w="1191" w:type="pct"/>
            <w:shd w:val="clear" w:color="auto" w:fill="auto"/>
            <w:hideMark/>
          </w:tcPr>
          <w:p w14:paraId="47FA1C94" w14:textId="77777777" w:rsidR="00FE7942" w:rsidRPr="00B94402" w:rsidRDefault="00FE7942" w:rsidP="0064602E">
            <w:pPr>
              <w:rPr>
                <w:lang w:eastAsia="en-US"/>
              </w:rPr>
            </w:pPr>
            <w:r w:rsidRPr="00B94402">
              <w:rPr>
                <w:lang w:eastAsia="en-US"/>
              </w:rPr>
              <w:t>5.1. valsts pamatbudžets</w:t>
            </w:r>
          </w:p>
        </w:tc>
        <w:tc>
          <w:tcPr>
            <w:tcW w:w="592" w:type="pct"/>
            <w:vMerge/>
            <w:shd w:val="clear" w:color="auto" w:fill="auto"/>
            <w:vAlign w:val="center"/>
            <w:hideMark/>
          </w:tcPr>
          <w:p w14:paraId="612736C0" w14:textId="77777777" w:rsidR="00FE7942" w:rsidRPr="00CA3D0B" w:rsidRDefault="00FE7942" w:rsidP="0064602E">
            <w:pPr>
              <w:jc w:val="center"/>
              <w:rPr>
                <w:color w:val="FF0000"/>
                <w:lang w:eastAsia="en-US"/>
              </w:rPr>
            </w:pPr>
          </w:p>
        </w:tc>
        <w:tc>
          <w:tcPr>
            <w:tcW w:w="592" w:type="pct"/>
            <w:shd w:val="clear" w:color="auto" w:fill="auto"/>
            <w:vAlign w:val="center"/>
            <w:hideMark/>
          </w:tcPr>
          <w:p w14:paraId="386C4D8D" w14:textId="77777777" w:rsidR="00FE7942" w:rsidRPr="00902EB5" w:rsidRDefault="00FE7942" w:rsidP="0064602E">
            <w:pPr>
              <w:jc w:val="center"/>
              <w:rPr>
                <w:lang w:eastAsia="en-US"/>
              </w:rPr>
            </w:pPr>
            <w:r w:rsidRPr="00902EB5">
              <w:rPr>
                <w:lang w:eastAsia="en-US"/>
              </w:rPr>
              <w:t>0</w:t>
            </w:r>
          </w:p>
        </w:tc>
        <w:tc>
          <w:tcPr>
            <w:tcW w:w="519" w:type="pct"/>
            <w:vMerge/>
            <w:shd w:val="clear" w:color="auto" w:fill="auto"/>
            <w:vAlign w:val="center"/>
            <w:hideMark/>
          </w:tcPr>
          <w:p w14:paraId="2DE7DFFB" w14:textId="77777777" w:rsidR="00FE7942" w:rsidRPr="00CA3D0B" w:rsidRDefault="00FE7942" w:rsidP="0064602E">
            <w:pPr>
              <w:jc w:val="center"/>
              <w:rPr>
                <w:color w:val="FF0000"/>
                <w:lang w:eastAsia="en-US"/>
              </w:rPr>
            </w:pPr>
          </w:p>
        </w:tc>
        <w:tc>
          <w:tcPr>
            <w:tcW w:w="519" w:type="pct"/>
            <w:shd w:val="clear" w:color="auto" w:fill="auto"/>
            <w:vAlign w:val="center"/>
            <w:hideMark/>
          </w:tcPr>
          <w:p w14:paraId="33887E25" w14:textId="77777777" w:rsidR="00FE7942" w:rsidRPr="00CA3D0B" w:rsidRDefault="00FE7942" w:rsidP="0064602E">
            <w:pPr>
              <w:jc w:val="center"/>
              <w:rPr>
                <w:color w:val="FF0000"/>
                <w:lang w:eastAsia="en-US"/>
              </w:rPr>
            </w:pPr>
            <w:r>
              <w:rPr>
                <w:lang w:eastAsia="en-US"/>
              </w:rPr>
              <w:t>-</w:t>
            </w:r>
            <w:r w:rsidRPr="009858DA">
              <w:rPr>
                <w:lang w:eastAsia="en-US"/>
              </w:rPr>
              <w:t>545 726</w:t>
            </w:r>
          </w:p>
        </w:tc>
        <w:tc>
          <w:tcPr>
            <w:tcW w:w="519" w:type="pct"/>
            <w:vMerge/>
            <w:shd w:val="clear" w:color="auto" w:fill="auto"/>
            <w:vAlign w:val="center"/>
            <w:hideMark/>
          </w:tcPr>
          <w:p w14:paraId="165C22BE" w14:textId="77777777" w:rsidR="00FE7942" w:rsidRPr="00CA3D0B" w:rsidRDefault="00FE7942" w:rsidP="0064602E">
            <w:pPr>
              <w:jc w:val="center"/>
              <w:rPr>
                <w:color w:val="FF0000"/>
                <w:lang w:eastAsia="en-US"/>
              </w:rPr>
            </w:pPr>
          </w:p>
        </w:tc>
        <w:tc>
          <w:tcPr>
            <w:tcW w:w="519" w:type="pct"/>
            <w:shd w:val="clear" w:color="auto" w:fill="auto"/>
            <w:vAlign w:val="center"/>
            <w:hideMark/>
          </w:tcPr>
          <w:p w14:paraId="67AD8992" w14:textId="77777777" w:rsidR="00FE7942" w:rsidRPr="00CA3D0B" w:rsidRDefault="00FE7942" w:rsidP="0064602E">
            <w:pPr>
              <w:jc w:val="center"/>
              <w:rPr>
                <w:color w:val="FF0000"/>
                <w:lang w:eastAsia="en-US"/>
              </w:rPr>
            </w:pPr>
            <w:r>
              <w:rPr>
                <w:lang w:eastAsia="en-US"/>
              </w:rPr>
              <w:t>-</w:t>
            </w:r>
            <w:r w:rsidRPr="009858DA">
              <w:rPr>
                <w:lang w:eastAsia="en-US"/>
              </w:rPr>
              <w:t>2 111 626</w:t>
            </w:r>
          </w:p>
        </w:tc>
        <w:tc>
          <w:tcPr>
            <w:tcW w:w="549" w:type="pct"/>
            <w:shd w:val="clear" w:color="auto" w:fill="auto"/>
            <w:vAlign w:val="center"/>
            <w:hideMark/>
          </w:tcPr>
          <w:p w14:paraId="078388E0" w14:textId="77777777" w:rsidR="00FE7942" w:rsidRPr="00CA3D0B" w:rsidRDefault="00FE7942" w:rsidP="0064602E">
            <w:pPr>
              <w:jc w:val="center"/>
              <w:rPr>
                <w:color w:val="FF0000"/>
                <w:lang w:eastAsia="en-US"/>
              </w:rPr>
            </w:pPr>
            <w:r>
              <w:rPr>
                <w:lang w:eastAsia="en-US"/>
              </w:rPr>
              <w:t>-</w:t>
            </w:r>
            <w:r w:rsidRPr="009858DA">
              <w:rPr>
                <w:lang w:eastAsia="en-US"/>
              </w:rPr>
              <w:t>2 111 626</w:t>
            </w:r>
          </w:p>
        </w:tc>
      </w:tr>
      <w:tr w:rsidR="00FE7942" w:rsidRPr="00B94402" w14:paraId="689F09DB" w14:textId="77777777" w:rsidTr="00545B10">
        <w:trPr>
          <w:cantSplit/>
        </w:trPr>
        <w:tc>
          <w:tcPr>
            <w:tcW w:w="1191" w:type="pct"/>
            <w:shd w:val="clear" w:color="auto" w:fill="auto"/>
            <w:hideMark/>
          </w:tcPr>
          <w:p w14:paraId="505DB46A" w14:textId="77777777" w:rsidR="00FE7942" w:rsidRPr="00B94402" w:rsidRDefault="00FE7942" w:rsidP="0064602E">
            <w:pPr>
              <w:rPr>
                <w:lang w:eastAsia="en-US"/>
              </w:rPr>
            </w:pPr>
            <w:r w:rsidRPr="00B94402">
              <w:rPr>
                <w:lang w:eastAsia="en-US"/>
              </w:rPr>
              <w:t>5.2. speciālais budžets</w:t>
            </w:r>
          </w:p>
        </w:tc>
        <w:tc>
          <w:tcPr>
            <w:tcW w:w="592" w:type="pct"/>
            <w:vMerge/>
            <w:shd w:val="clear" w:color="auto" w:fill="auto"/>
            <w:vAlign w:val="center"/>
            <w:hideMark/>
          </w:tcPr>
          <w:p w14:paraId="35DF1B54" w14:textId="77777777" w:rsidR="00FE7942" w:rsidRPr="00CA3D0B" w:rsidRDefault="00FE7942" w:rsidP="0064602E">
            <w:pPr>
              <w:jc w:val="center"/>
              <w:rPr>
                <w:color w:val="FF0000"/>
                <w:lang w:eastAsia="en-US"/>
              </w:rPr>
            </w:pPr>
          </w:p>
        </w:tc>
        <w:tc>
          <w:tcPr>
            <w:tcW w:w="592" w:type="pct"/>
            <w:shd w:val="clear" w:color="auto" w:fill="auto"/>
            <w:vAlign w:val="center"/>
            <w:hideMark/>
          </w:tcPr>
          <w:p w14:paraId="4B2830AB" w14:textId="77777777" w:rsidR="00FE7942" w:rsidRPr="00902EB5" w:rsidRDefault="00FE7942" w:rsidP="0064602E">
            <w:pPr>
              <w:jc w:val="center"/>
              <w:rPr>
                <w:lang w:eastAsia="en-US"/>
              </w:rPr>
            </w:pPr>
            <w:r w:rsidRPr="00902EB5">
              <w:rPr>
                <w:lang w:eastAsia="en-US"/>
              </w:rPr>
              <w:t>0</w:t>
            </w:r>
          </w:p>
        </w:tc>
        <w:tc>
          <w:tcPr>
            <w:tcW w:w="519" w:type="pct"/>
            <w:vMerge/>
            <w:shd w:val="clear" w:color="auto" w:fill="auto"/>
            <w:vAlign w:val="center"/>
            <w:hideMark/>
          </w:tcPr>
          <w:p w14:paraId="5FDFF114" w14:textId="77777777" w:rsidR="00FE7942" w:rsidRPr="00CA3D0B" w:rsidRDefault="00FE7942" w:rsidP="0064602E">
            <w:pPr>
              <w:jc w:val="center"/>
              <w:rPr>
                <w:color w:val="FF0000"/>
                <w:lang w:eastAsia="en-US"/>
              </w:rPr>
            </w:pPr>
          </w:p>
        </w:tc>
        <w:tc>
          <w:tcPr>
            <w:tcW w:w="519" w:type="pct"/>
            <w:shd w:val="clear" w:color="auto" w:fill="auto"/>
            <w:vAlign w:val="center"/>
            <w:hideMark/>
          </w:tcPr>
          <w:p w14:paraId="2D3067C1" w14:textId="77777777" w:rsidR="00FE7942" w:rsidRPr="00902EB5" w:rsidRDefault="00FE7942" w:rsidP="0064602E">
            <w:pPr>
              <w:jc w:val="center"/>
              <w:rPr>
                <w:lang w:eastAsia="en-US"/>
              </w:rPr>
            </w:pPr>
            <w:r w:rsidRPr="00902EB5">
              <w:rPr>
                <w:lang w:eastAsia="en-US"/>
              </w:rPr>
              <w:t>0</w:t>
            </w:r>
          </w:p>
        </w:tc>
        <w:tc>
          <w:tcPr>
            <w:tcW w:w="519" w:type="pct"/>
            <w:vMerge/>
            <w:shd w:val="clear" w:color="auto" w:fill="auto"/>
            <w:vAlign w:val="center"/>
            <w:hideMark/>
          </w:tcPr>
          <w:p w14:paraId="350928A3" w14:textId="77777777" w:rsidR="00FE7942" w:rsidRPr="00902EB5" w:rsidRDefault="00FE7942" w:rsidP="0064602E">
            <w:pPr>
              <w:jc w:val="center"/>
              <w:rPr>
                <w:lang w:eastAsia="en-US"/>
              </w:rPr>
            </w:pPr>
          </w:p>
        </w:tc>
        <w:tc>
          <w:tcPr>
            <w:tcW w:w="519" w:type="pct"/>
            <w:shd w:val="clear" w:color="auto" w:fill="auto"/>
            <w:vAlign w:val="center"/>
            <w:hideMark/>
          </w:tcPr>
          <w:p w14:paraId="3B68C0AB"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3CB43697" w14:textId="77777777" w:rsidR="00FE7942" w:rsidRPr="00902EB5" w:rsidRDefault="00FE7942" w:rsidP="0064602E">
            <w:pPr>
              <w:jc w:val="center"/>
              <w:rPr>
                <w:lang w:eastAsia="en-US"/>
              </w:rPr>
            </w:pPr>
            <w:r w:rsidRPr="00902EB5">
              <w:rPr>
                <w:lang w:eastAsia="en-US"/>
              </w:rPr>
              <w:t>0</w:t>
            </w:r>
          </w:p>
        </w:tc>
      </w:tr>
      <w:tr w:rsidR="00FE7942" w:rsidRPr="00B94402" w14:paraId="359CED76" w14:textId="77777777" w:rsidTr="00545B10">
        <w:trPr>
          <w:cantSplit/>
        </w:trPr>
        <w:tc>
          <w:tcPr>
            <w:tcW w:w="1191" w:type="pct"/>
            <w:shd w:val="clear" w:color="auto" w:fill="auto"/>
            <w:hideMark/>
          </w:tcPr>
          <w:p w14:paraId="384A0FF1" w14:textId="77777777" w:rsidR="00FE7942" w:rsidRPr="00B94402" w:rsidRDefault="00FE7942" w:rsidP="0064602E">
            <w:pPr>
              <w:rPr>
                <w:lang w:eastAsia="en-US"/>
              </w:rPr>
            </w:pPr>
            <w:r w:rsidRPr="00B94402">
              <w:rPr>
                <w:lang w:eastAsia="en-US"/>
              </w:rPr>
              <w:t>5.3. pašvaldību budžets</w:t>
            </w:r>
          </w:p>
        </w:tc>
        <w:tc>
          <w:tcPr>
            <w:tcW w:w="592" w:type="pct"/>
            <w:vMerge/>
            <w:shd w:val="clear" w:color="auto" w:fill="auto"/>
            <w:vAlign w:val="center"/>
            <w:hideMark/>
          </w:tcPr>
          <w:p w14:paraId="0C527449" w14:textId="77777777" w:rsidR="00FE7942" w:rsidRPr="00CA3D0B" w:rsidRDefault="00FE7942" w:rsidP="0064602E">
            <w:pPr>
              <w:jc w:val="center"/>
              <w:rPr>
                <w:color w:val="FF0000"/>
                <w:lang w:eastAsia="en-US"/>
              </w:rPr>
            </w:pPr>
          </w:p>
        </w:tc>
        <w:tc>
          <w:tcPr>
            <w:tcW w:w="592" w:type="pct"/>
            <w:shd w:val="clear" w:color="auto" w:fill="auto"/>
            <w:vAlign w:val="center"/>
            <w:hideMark/>
          </w:tcPr>
          <w:p w14:paraId="5243BEEE" w14:textId="77777777" w:rsidR="00FE7942" w:rsidRPr="00902EB5" w:rsidRDefault="00FE7942" w:rsidP="0064602E">
            <w:pPr>
              <w:jc w:val="center"/>
              <w:rPr>
                <w:lang w:eastAsia="en-US"/>
              </w:rPr>
            </w:pPr>
            <w:r w:rsidRPr="00902EB5">
              <w:rPr>
                <w:lang w:eastAsia="en-US"/>
              </w:rPr>
              <w:t>0</w:t>
            </w:r>
          </w:p>
        </w:tc>
        <w:tc>
          <w:tcPr>
            <w:tcW w:w="519" w:type="pct"/>
            <w:vMerge/>
            <w:shd w:val="clear" w:color="auto" w:fill="auto"/>
            <w:vAlign w:val="center"/>
            <w:hideMark/>
          </w:tcPr>
          <w:p w14:paraId="0C0082F6" w14:textId="77777777" w:rsidR="00FE7942" w:rsidRPr="00CA3D0B" w:rsidRDefault="00FE7942" w:rsidP="0064602E">
            <w:pPr>
              <w:jc w:val="center"/>
              <w:rPr>
                <w:color w:val="FF0000"/>
                <w:lang w:eastAsia="en-US"/>
              </w:rPr>
            </w:pPr>
          </w:p>
        </w:tc>
        <w:tc>
          <w:tcPr>
            <w:tcW w:w="519" w:type="pct"/>
            <w:shd w:val="clear" w:color="auto" w:fill="auto"/>
            <w:vAlign w:val="center"/>
            <w:hideMark/>
          </w:tcPr>
          <w:p w14:paraId="0AACCA52" w14:textId="77777777" w:rsidR="00FE7942" w:rsidRPr="00902EB5" w:rsidRDefault="00FE7942" w:rsidP="0064602E">
            <w:pPr>
              <w:jc w:val="center"/>
              <w:rPr>
                <w:lang w:eastAsia="en-US"/>
              </w:rPr>
            </w:pPr>
            <w:r w:rsidRPr="00902EB5">
              <w:rPr>
                <w:lang w:eastAsia="en-US"/>
              </w:rPr>
              <w:t>0</w:t>
            </w:r>
          </w:p>
        </w:tc>
        <w:tc>
          <w:tcPr>
            <w:tcW w:w="519" w:type="pct"/>
            <w:vMerge/>
            <w:shd w:val="clear" w:color="auto" w:fill="auto"/>
            <w:vAlign w:val="center"/>
            <w:hideMark/>
          </w:tcPr>
          <w:p w14:paraId="21DA730C" w14:textId="77777777" w:rsidR="00FE7942" w:rsidRPr="00902EB5" w:rsidRDefault="00FE7942" w:rsidP="0064602E">
            <w:pPr>
              <w:jc w:val="center"/>
              <w:rPr>
                <w:lang w:eastAsia="en-US"/>
              </w:rPr>
            </w:pPr>
          </w:p>
        </w:tc>
        <w:tc>
          <w:tcPr>
            <w:tcW w:w="519" w:type="pct"/>
            <w:shd w:val="clear" w:color="auto" w:fill="auto"/>
            <w:vAlign w:val="center"/>
            <w:hideMark/>
          </w:tcPr>
          <w:p w14:paraId="547C633B" w14:textId="77777777" w:rsidR="00FE7942" w:rsidRPr="00902EB5" w:rsidRDefault="00FE7942" w:rsidP="0064602E">
            <w:pPr>
              <w:jc w:val="center"/>
              <w:rPr>
                <w:lang w:eastAsia="en-US"/>
              </w:rPr>
            </w:pPr>
            <w:r w:rsidRPr="00902EB5">
              <w:rPr>
                <w:lang w:eastAsia="en-US"/>
              </w:rPr>
              <w:t>0</w:t>
            </w:r>
          </w:p>
        </w:tc>
        <w:tc>
          <w:tcPr>
            <w:tcW w:w="549" w:type="pct"/>
            <w:shd w:val="clear" w:color="auto" w:fill="auto"/>
            <w:vAlign w:val="center"/>
            <w:hideMark/>
          </w:tcPr>
          <w:p w14:paraId="42F7C066" w14:textId="77777777" w:rsidR="00FE7942" w:rsidRPr="00902EB5" w:rsidRDefault="00FE7942" w:rsidP="0064602E">
            <w:pPr>
              <w:jc w:val="center"/>
              <w:rPr>
                <w:lang w:eastAsia="en-US"/>
              </w:rPr>
            </w:pPr>
            <w:r w:rsidRPr="00902EB5">
              <w:rPr>
                <w:lang w:eastAsia="en-US"/>
              </w:rPr>
              <w:t>0</w:t>
            </w:r>
          </w:p>
        </w:tc>
      </w:tr>
      <w:tr w:rsidR="00FE7942" w:rsidRPr="00884F62" w14:paraId="78B93E78" w14:textId="77777777" w:rsidTr="00545B10">
        <w:trPr>
          <w:cantSplit/>
        </w:trPr>
        <w:tc>
          <w:tcPr>
            <w:tcW w:w="1191" w:type="pct"/>
            <w:shd w:val="clear" w:color="auto" w:fill="auto"/>
            <w:hideMark/>
          </w:tcPr>
          <w:p w14:paraId="604E8AA0" w14:textId="77777777" w:rsidR="00FE7942" w:rsidRPr="00884F62" w:rsidRDefault="00FE7942" w:rsidP="0064602E">
            <w:pPr>
              <w:rPr>
                <w:lang w:eastAsia="en-US"/>
              </w:rPr>
            </w:pPr>
            <w:r w:rsidRPr="00884F62">
              <w:rPr>
                <w:lang w:eastAsia="en-US"/>
              </w:rPr>
              <w:lastRenderedPageBreak/>
              <w:t>6. Detalizēts ieņēmumu un izdevumu aprēķins (ja nepieciešams, detalizētu ieņēmumu un izdevumu aprēķinu var pievienot anotācijas pielikumā)</w:t>
            </w:r>
          </w:p>
        </w:tc>
        <w:tc>
          <w:tcPr>
            <w:tcW w:w="3809" w:type="pct"/>
            <w:gridSpan w:val="7"/>
            <w:vMerge w:val="restart"/>
            <w:shd w:val="clear" w:color="auto" w:fill="auto"/>
            <w:vAlign w:val="center"/>
            <w:hideMark/>
          </w:tcPr>
          <w:p w14:paraId="40291642" w14:textId="77777777" w:rsidR="00FE7942" w:rsidRDefault="00FE7942" w:rsidP="0064602E">
            <w:pPr>
              <w:jc w:val="both"/>
              <w:rPr>
                <w:lang w:eastAsia="en-US"/>
              </w:rPr>
            </w:pPr>
            <w:r w:rsidRPr="00884F62">
              <w:rPr>
                <w:lang w:eastAsia="en-US"/>
              </w:rPr>
              <w:t>6.2. detalizēts izdevumu aprēķins</w:t>
            </w:r>
          </w:p>
          <w:p w14:paraId="0347BEAB" w14:textId="77777777" w:rsidR="00FE7942" w:rsidRDefault="00FE7942" w:rsidP="0064602E">
            <w:pPr>
              <w:jc w:val="both"/>
              <w:rPr>
                <w:lang w:eastAsia="en-US"/>
              </w:rPr>
            </w:pPr>
          </w:p>
          <w:p w14:paraId="726A4DAE" w14:textId="77777777" w:rsidR="00FE7942" w:rsidRDefault="00FE7942" w:rsidP="0064602E">
            <w:pPr>
              <w:jc w:val="both"/>
              <w:rPr>
                <w:i/>
                <w:lang w:eastAsia="en-US"/>
              </w:rPr>
            </w:pPr>
            <w:r w:rsidRPr="00391EBC">
              <w:rPr>
                <w:i/>
                <w:lang w:eastAsia="en-US"/>
              </w:rPr>
              <w:t>Budžeta apakšprogramma 06.01.00 “Valsts policija”</w:t>
            </w:r>
          </w:p>
          <w:p w14:paraId="1185768C" w14:textId="77777777" w:rsidR="00DB572A" w:rsidRDefault="00DB572A" w:rsidP="0064602E">
            <w:pPr>
              <w:jc w:val="both"/>
              <w:rPr>
                <w:i/>
                <w:lang w:eastAsia="en-US"/>
              </w:rPr>
            </w:pPr>
          </w:p>
          <w:p w14:paraId="07E62D65" w14:textId="07116D68" w:rsidR="00FE7942" w:rsidRDefault="00DB572A" w:rsidP="00DB572A">
            <w:pPr>
              <w:jc w:val="both"/>
              <w:rPr>
                <w:lang w:eastAsia="en-US"/>
              </w:rPr>
            </w:pPr>
            <w:r>
              <w:rPr>
                <w:lang w:eastAsia="en-US"/>
              </w:rPr>
              <w:t>Prognozētais papildu nepieciešamais finansējums Valsts policijas amatpersonu nodrošināšanai ar formas tērpiem un speciālo apģērbu (EKK2364 “Formas tērpi un speciālais apģērbs”)</w:t>
            </w:r>
          </w:p>
          <w:p w14:paraId="24682BB9" w14:textId="77777777" w:rsidR="00FE7942" w:rsidRPr="00756A7B" w:rsidRDefault="00FE7942" w:rsidP="00DB572A">
            <w:pPr>
              <w:jc w:val="both"/>
              <w:rPr>
                <w:lang w:eastAsia="en-US"/>
              </w:rPr>
            </w:pPr>
            <w:r w:rsidRPr="00756A7B">
              <w:rPr>
                <w:lang w:eastAsia="en-US"/>
              </w:rPr>
              <w:t xml:space="preserve">2020.gadā – 545 726 </w:t>
            </w:r>
            <w:r w:rsidRPr="00756A7B">
              <w:rPr>
                <w:i/>
                <w:lang w:eastAsia="en-US"/>
              </w:rPr>
              <w:t>euro</w:t>
            </w:r>
            <w:r w:rsidRPr="00756A7B">
              <w:rPr>
                <w:lang w:eastAsia="en-US"/>
              </w:rPr>
              <w:t>;</w:t>
            </w:r>
          </w:p>
          <w:p w14:paraId="4B621C3E" w14:textId="77777777" w:rsidR="00FE7942" w:rsidRPr="00756A7B" w:rsidRDefault="00FE7942" w:rsidP="00DB572A">
            <w:pPr>
              <w:jc w:val="both"/>
              <w:rPr>
                <w:lang w:eastAsia="en-US"/>
              </w:rPr>
            </w:pPr>
            <w:r w:rsidRPr="00756A7B">
              <w:rPr>
                <w:lang w:eastAsia="en-US"/>
              </w:rPr>
              <w:t xml:space="preserve">2021.gadā – 2 111 626 </w:t>
            </w:r>
            <w:r w:rsidRPr="00756A7B">
              <w:rPr>
                <w:i/>
                <w:lang w:eastAsia="en-US"/>
              </w:rPr>
              <w:t>euro</w:t>
            </w:r>
            <w:r w:rsidRPr="00756A7B">
              <w:rPr>
                <w:lang w:eastAsia="en-US"/>
              </w:rPr>
              <w:t>;</w:t>
            </w:r>
          </w:p>
          <w:p w14:paraId="0DE24DAB" w14:textId="52B1AD89" w:rsidR="00FE7942" w:rsidRPr="00756A7B" w:rsidRDefault="00FE7942" w:rsidP="00DB572A">
            <w:pPr>
              <w:jc w:val="both"/>
              <w:rPr>
                <w:lang w:eastAsia="en-US"/>
              </w:rPr>
            </w:pPr>
            <w:r w:rsidRPr="00756A7B">
              <w:rPr>
                <w:lang w:eastAsia="en-US"/>
              </w:rPr>
              <w:t xml:space="preserve">2022.gadā – 2 111 626 </w:t>
            </w:r>
            <w:r w:rsidRPr="00756A7B">
              <w:rPr>
                <w:i/>
                <w:lang w:eastAsia="en-US"/>
              </w:rPr>
              <w:t>euro</w:t>
            </w:r>
            <w:r w:rsidRPr="00756A7B">
              <w:rPr>
                <w:lang w:eastAsia="en-US"/>
              </w:rPr>
              <w:t>;</w:t>
            </w:r>
          </w:p>
          <w:p w14:paraId="3DCA561D" w14:textId="77777777" w:rsidR="00FE7942" w:rsidRPr="00756A7B" w:rsidRDefault="00FE7942" w:rsidP="00DB572A">
            <w:pPr>
              <w:jc w:val="both"/>
              <w:rPr>
                <w:lang w:eastAsia="en-US"/>
              </w:rPr>
            </w:pPr>
            <w:r w:rsidRPr="00756A7B">
              <w:rPr>
                <w:lang w:eastAsia="en-US"/>
              </w:rPr>
              <w:t xml:space="preserve">2023.gadā – 2 111 626 </w:t>
            </w:r>
            <w:r w:rsidRPr="00756A7B">
              <w:rPr>
                <w:i/>
                <w:lang w:eastAsia="en-US"/>
              </w:rPr>
              <w:t>euro</w:t>
            </w:r>
            <w:r w:rsidRPr="00756A7B">
              <w:rPr>
                <w:lang w:eastAsia="en-US"/>
              </w:rPr>
              <w:t>;</w:t>
            </w:r>
          </w:p>
          <w:p w14:paraId="16566AD5" w14:textId="77777777" w:rsidR="00FE7942" w:rsidRPr="00756A7B" w:rsidRDefault="00FE7942" w:rsidP="0064602E">
            <w:pPr>
              <w:jc w:val="both"/>
              <w:rPr>
                <w:lang w:eastAsia="en-US"/>
              </w:rPr>
            </w:pPr>
            <w:r w:rsidRPr="00756A7B">
              <w:rPr>
                <w:lang w:eastAsia="en-US"/>
              </w:rPr>
              <w:t xml:space="preserve">2024.gadā un turpmāk katru gadu – 1 505 449 </w:t>
            </w:r>
            <w:r w:rsidRPr="00756A7B">
              <w:rPr>
                <w:i/>
                <w:lang w:eastAsia="en-US"/>
              </w:rPr>
              <w:t>euro</w:t>
            </w:r>
            <w:r w:rsidRPr="00756A7B">
              <w:rPr>
                <w:lang w:eastAsia="en-US"/>
              </w:rPr>
              <w:t>.</w:t>
            </w:r>
          </w:p>
          <w:p w14:paraId="0C4D2E1F" w14:textId="77777777" w:rsidR="00FE7942" w:rsidRPr="00756A7B" w:rsidRDefault="00FE7942" w:rsidP="0064602E">
            <w:pPr>
              <w:jc w:val="both"/>
              <w:rPr>
                <w:lang w:eastAsia="en-US"/>
              </w:rPr>
            </w:pPr>
          </w:p>
          <w:p w14:paraId="7F81BBFB" w14:textId="77777777" w:rsidR="00FE7942" w:rsidRDefault="00FE7942" w:rsidP="0064602E">
            <w:pPr>
              <w:jc w:val="both"/>
              <w:rPr>
                <w:lang w:eastAsia="en-US"/>
              </w:rPr>
            </w:pPr>
            <w:r w:rsidRPr="00756A7B">
              <w:rPr>
                <w:lang w:eastAsia="en-US"/>
              </w:rPr>
              <w:t>Detalizēts izdevumu aprēķins anotācijas pielikumā</w:t>
            </w:r>
            <w:r>
              <w:rPr>
                <w:lang w:eastAsia="en-US"/>
              </w:rPr>
              <w:t>.</w:t>
            </w:r>
          </w:p>
          <w:p w14:paraId="2F158D10" w14:textId="77777777" w:rsidR="00A448E7" w:rsidRDefault="00A448E7" w:rsidP="0064602E">
            <w:pPr>
              <w:jc w:val="both"/>
              <w:rPr>
                <w:lang w:eastAsia="en-US"/>
              </w:rPr>
            </w:pPr>
          </w:p>
          <w:p w14:paraId="6EE90E47" w14:textId="5C747510" w:rsidR="00B0750D" w:rsidRDefault="00A448E7" w:rsidP="0064602E">
            <w:pPr>
              <w:jc w:val="both"/>
              <w:rPr>
                <w:lang w:eastAsia="en-US"/>
              </w:rPr>
            </w:pPr>
            <w:r w:rsidRPr="00B0447A">
              <w:rPr>
                <w:lang w:eastAsia="en-US"/>
              </w:rPr>
              <w:t>Piezīme: Saskaņā ar Iekšlietu ministrijas 2019., 2020. un 2021. gada maksimāli pieļaujamo valsts budžeta izdevumu apjomu (atbilstoši Ministru kabineta 2019. gada 8. februāra sēdē nolemta</w:t>
            </w:r>
            <w:r w:rsidR="009C0074">
              <w:rPr>
                <w:lang w:eastAsia="en-US"/>
              </w:rPr>
              <w:t>jam (prot. Nr.6 1.§ 31. punkts)</w:t>
            </w:r>
            <w:r w:rsidR="00291568">
              <w:rPr>
                <w:lang w:eastAsia="en-US"/>
              </w:rPr>
              <w:t>)</w:t>
            </w:r>
            <w:r w:rsidRPr="00B0447A">
              <w:rPr>
                <w:lang w:eastAsia="en-US"/>
              </w:rPr>
              <w:t xml:space="preserve"> Iekšlietu ministrijai budžeta apakšprogrammā 06.01.00 “Valsts policija” plānoti izdevumi (EKK 2364 “Formas tērpi un speciālais apģērbs”) 2020. gadam un 2021. gadam (katru gadu) 1 544 273 </w:t>
            </w:r>
            <w:r w:rsidRPr="00B0447A">
              <w:rPr>
                <w:i/>
                <w:lang w:eastAsia="en-US"/>
              </w:rPr>
              <w:t>euro</w:t>
            </w:r>
            <w:r w:rsidRPr="00B0447A">
              <w:rPr>
                <w:lang w:eastAsia="en-US"/>
              </w:rPr>
              <w:t xml:space="preserve"> apmērā.”.</w:t>
            </w:r>
          </w:p>
          <w:p w14:paraId="6B3F69A0" w14:textId="77777777" w:rsidR="009C0074" w:rsidRPr="00B0447A" w:rsidRDefault="009C0074" w:rsidP="0064602E">
            <w:pPr>
              <w:jc w:val="both"/>
              <w:rPr>
                <w:lang w:eastAsia="en-US"/>
              </w:rPr>
            </w:pPr>
          </w:p>
          <w:p w14:paraId="2BCE1B4F" w14:textId="77777777" w:rsidR="00F828C3" w:rsidRDefault="00F828C3" w:rsidP="00F828C3">
            <w:pPr>
              <w:jc w:val="both"/>
              <w:rPr>
                <w:lang w:eastAsia="en-US"/>
              </w:rPr>
            </w:pPr>
            <w:r w:rsidRPr="00B0447A">
              <w:rPr>
                <w:lang w:eastAsia="en-US"/>
              </w:rPr>
              <w:t>Izdevuma aprēķinā iekļautais Valsts policijas amatpersonu skaits – 5800 amatpersonas noteikts ņemot vērā statistikas datus par dienestā esošām amatpersonām Valsts policijā uz 2018. gada 31. decembri, kas sastādīja 5797 amatpersonas, noapaļojot līdz veseliem simtiem uz augšu, tas ir – 5800 amatpersonas.</w:t>
            </w:r>
          </w:p>
          <w:p w14:paraId="1CFA6C5C" w14:textId="77777777" w:rsidR="00F828C3" w:rsidRPr="00B0447A" w:rsidRDefault="00F828C3" w:rsidP="00F828C3">
            <w:pPr>
              <w:jc w:val="both"/>
              <w:rPr>
                <w:lang w:eastAsia="en-US"/>
              </w:rPr>
            </w:pPr>
          </w:p>
          <w:p w14:paraId="07EF0C58" w14:textId="4E1BC3E9" w:rsidR="00461E86" w:rsidRPr="007B5DC2" w:rsidRDefault="00F828C3" w:rsidP="00F828C3">
            <w:pPr>
              <w:jc w:val="both"/>
              <w:rPr>
                <w:color w:val="FF0000"/>
                <w:lang w:eastAsia="en-US"/>
              </w:rPr>
            </w:pPr>
            <w:r w:rsidRPr="00B0447A">
              <w:rPr>
                <w:lang w:eastAsia="en-US"/>
              </w:rPr>
              <w:t>Aprēķinos iekļauto formas tērpa sastāvdaļu cenas izriet no vidējām tirgus cenām attiecīgas funkcionalitātes un kvalitātes apģērbiem. Plānotās izmaksas formas tērpa elementiem noteiktas kā vidējās cenas, ņemot vērā Nacionālo bruņoto spēku formas tērpa cenas, kā arī izpētot dažādus militāro uniformu piegādātāju katalogus. Līdz iepirkuma īstenošanas brīdim nav iespējams detalizēti noteikt katra formas tērpa elementa izmaksas, tomēr, ņemot vēra līdzvērtīgu, augstas kvalitātes izstrādājumu izmaksas, pilna komplekta izmaksas vienai amatpersonai sastāda 1991 euro.</w:t>
            </w:r>
          </w:p>
        </w:tc>
      </w:tr>
      <w:tr w:rsidR="00FE7942" w:rsidRPr="00884F62" w14:paraId="63755622" w14:textId="77777777" w:rsidTr="00545B10">
        <w:trPr>
          <w:cantSplit/>
        </w:trPr>
        <w:tc>
          <w:tcPr>
            <w:tcW w:w="1191" w:type="pct"/>
            <w:shd w:val="clear" w:color="auto" w:fill="auto"/>
            <w:hideMark/>
          </w:tcPr>
          <w:p w14:paraId="759E6BC4" w14:textId="77777777" w:rsidR="00FE7942" w:rsidRPr="00884F62" w:rsidRDefault="00FE7942" w:rsidP="0064602E">
            <w:pPr>
              <w:rPr>
                <w:lang w:eastAsia="en-US"/>
              </w:rPr>
            </w:pPr>
            <w:r w:rsidRPr="00884F62">
              <w:rPr>
                <w:lang w:eastAsia="en-US"/>
              </w:rPr>
              <w:t>6.1. detalizēts ieņēmumu aprēķins</w:t>
            </w:r>
          </w:p>
        </w:tc>
        <w:tc>
          <w:tcPr>
            <w:tcW w:w="3809" w:type="pct"/>
            <w:gridSpan w:val="7"/>
            <w:vMerge/>
            <w:shd w:val="clear" w:color="auto" w:fill="auto"/>
            <w:vAlign w:val="center"/>
            <w:hideMark/>
          </w:tcPr>
          <w:p w14:paraId="599926E0" w14:textId="77777777" w:rsidR="00FE7942" w:rsidRPr="007B5DC2" w:rsidRDefault="00FE7942" w:rsidP="0064602E">
            <w:pPr>
              <w:jc w:val="center"/>
              <w:rPr>
                <w:color w:val="FF0000"/>
                <w:lang w:eastAsia="en-US"/>
              </w:rPr>
            </w:pPr>
          </w:p>
        </w:tc>
      </w:tr>
      <w:tr w:rsidR="00FE7942" w:rsidRPr="00884F62" w14:paraId="11903FF2" w14:textId="77777777" w:rsidTr="00545B10">
        <w:trPr>
          <w:cantSplit/>
        </w:trPr>
        <w:tc>
          <w:tcPr>
            <w:tcW w:w="1191" w:type="pct"/>
            <w:shd w:val="clear" w:color="auto" w:fill="auto"/>
            <w:hideMark/>
          </w:tcPr>
          <w:p w14:paraId="277652BC" w14:textId="65235563" w:rsidR="00FE7942" w:rsidRPr="00884F62" w:rsidRDefault="00F828C3" w:rsidP="0064602E">
            <w:pPr>
              <w:rPr>
                <w:lang w:eastAsia="en-US"/>
              </w:rPr>
            </w:pPr>
            <w:r>
              <w:rPr>
                <w:lang w:eastAsia="en-US"/>
              </w:rPr>
              <w:t>6</w:t>
            </w:r>
            <w:r w:rsidR="00FE7942" w:rsidRPr="00884F62">
              <w:rPr>
                <w:lang w:eastAsia="en-US"/>
              </w:rPr>
              <w:t>.2. detalizēts izdevumu aprēķins</w:t>
            </w:r>
          </w:p>
        </w:tc>
        <w:tc>
          <w:tcPr>
            <w:tcW w:w="3809" w:type="pct"/>
            <w:gridSpan w:val="7"/>
            <w:vMerge/>
            <w:shd w:val="clear" w:color="auto" w:fill="auto"/>
            <w:vAlign w:val="center"/>
            <w:hideMark/>
          </w:tcPr>
          <w:p w14:paraId="0150BDDC" w14:textId="77777777" w:rsidR="00FE7942" w:rsidRPr="007B5DC2" w:rsidRDefault="00FE7942" w:rsidP="0064602E">
            <w:pPr>
              <w:jc w:val="center"/>
              <w:rPr>
                <w:color w:val="FF0000"/>
                <w:lang w:eastAsia="en-US"/>
              </w:rPr>
            </w:pPr>
          </w:p>
        </w:tc>
      </w:tr>
      <w:tr w:rsidR="00FE7942" w:rsidRPr="00EE0FDB" w14:paraId="4558466C" w14:textId="77777777" w:rsidTr="00545B10">
        <w:trPr>
          <w:cantSplit/>
        </w:trPr>
        <w:tc>
          <w:tcPr>
            <w:tcW w:w="1191" w:type="pct"/>
            <w:shd w:val="clear" w:color="auto" w:fill="auto"/>
            <w:hideMark/>
          </w:tcPr>
          <w:p w14:paraId="65F1E208" w14:textId="77777777" w:rsidR="00FE7942" w:rsidRPr="00EE0FDB" w:rsidRDefault="00FE7942" w:rsidP="0064602E">
            <w:pPr>
              <w:rPr>
                <w:lang w:eastAsia="en-US"/>
              </w:rPr>
            </w:pPr>
            <w:r w:rsidRPr="00EE0FDB">
              <w:rPr>
                <w:lang w:eastAsia="en-US"/>
              </w:rPr>
              <w:t>7. Amata vietu skaita izmaiņas</w:t>
            </w:r>
          </w:p>
        </w:tc>
        <w:tc>
          <w:tcPr>
            <w:tcW w:w="3809" w:type="pct"/>
            <w:gridSpan w:val="7"/>
            <w:shd w:val="clear" w:color="auto" w:fill="auto"/>
            <w:hideMark/>
          </w:tcPr>
          <w:p w14:paraId="0B793E50" w14:textId="77777777" w:rsidR="00FE7942" w:rsidRPr="007B5DC2" w:rsidRDefault="00FE7942" w:rsidP="0064602E">
            <w:pPr>
              <w:rPr>
                <w:color w:val="FF0000"/>
                <w:lang w:eastAsia="en-US"/>
              </w:rPr>
            </w:pPr>
            <w:r w:rsidRPr="00756A7B">
              <w:rPr>
                <w:lang w:eastAsia="en-US"/>
              </w:rPr>
              <w:t>Amata vietu skaita izmaiņas Valsts policijā nav plānotas.</w:t>
            </w:r>
          </w:p>
        </w:tc>
      </w:tr>
      <w:tr w:rsidR="00FE7942" w:rsidRPr="00BC2F4E" w14:paraId="42728748" w14:textId="77777777" w:rsidTr="00545B10">
        <w:trPr>
          <w:cantSplit/>
        </w:trPr>
        <w:tc>
          <w:tcPr>
            <w:tcW w:w="1191" w:type="pct"/>
            <w:shd w:val="clear" w:color="auto" w:fill="auto"/>
            <w:hideMark/>
          </w:tcPr>
          <w:p w14:paraId="66928263" w14:textId="77777777" w:rsidR="00FE7942" w:rsidRPr="00BC2F4E" w:rsidRDefault="00FE7942" w:rsidP="0064602E">
            <w:pPr>
              <w:rPr>
                <w:lang w:eastAsia="en-US"/>
              </w:rPr>
            </w:pPr>
            <w:r w:rsidRPr="00BC2F4E">
              <w:rPr>
                <w:lang w:eastAsia="en-US"/>
              </w:rPr>
              <w:t>8. Cita informācija</w:t>
            </w:r>
          </w:p>
        </w:tc>
        <w:tc>
          <w:tcPr>
            <w:tcW w:w="3809" w:type="pct"/>
            <w:gridSpan w:val="7"/>
            <w:shd w:val="clear" w:color="auto" w:fill="auto"/>
            <w:hideMark/>
          </w:tcPr>
          <w:p w14:paraId="1DA0F20C" w14:textId="77777777" w:rsidR="00FE7942" w:rsidRPr="00756A7B" w:rsidRDefault="00FE7942" w:rsidP="0064602E">
            <w:pPr>
              <w:jc w:val="both"/>
            </w:pPr>
            <w:r w:rsidRPr="009858DA">
              <w:t>Projektam pievienots Ministru kabineta protokollēmuma projekts, kas paredz</w:t>
            </w:r>
            <w:r>
              <w:t xml:space="preserve">, ka </w:t>
            </w:r>
            <w:r w:rsidRPr="00F33A11">
              <w:t>jautājumu par papildu nepiecieš</w:t>
            </w:r>
            <w:r>
              <w:t xml:space="preserve">amo finansējumu 2020.gadā – </w:t>
            </w:r>
            <w:r w:rsidRPr="00F33A11">
              <w:t>545</w:t>
            </w:r>
            <w:r>
              <w:t> </w:t>
            </w:r>
            <w:r w:rsidRPr="00F33A11">
              <w:t>726</w:t>
            </w:r>
            <w:r>
              <w:t> </w:t>
            </w:r>
            <w:r w:rsidRPr="00F33A11">
              <w:rPr>
                <w:i/>
              </w:rPr>
              <w:t>euro</w:t>
            </w:r>
            <w:r w:rsidRPr="00F33A11">
              <w:t>; 2021.,</w:t>
            </w:r>
            <w:r>
              <w:t xml:space="preserve"> 2022. un 2023.gadā – 2 111 626 </w:t>
            </w:r>
            <w:r w:rsidRPr="00F33A11">
              <w:rPr>
                <w:i/>
              </w:rPr>
              <w:t>euro</w:t>
            </w:r>
            <w:r w:rsidRPr="00F33A11">
              <w:t>; 2024.gadā un</w:t>
            </w:r>
            <w:r>
              <w:t xml:space="preserve"> turpmāk katru gadu – 1 505 449 </w:t>
            </w:r>
            <w:r w:rsidRPr="00F33A11">
              <w:rPr>
                <w:i/>
              </w:rPr>
              <w:t>euro</w:t>
            </w:r>
            <w:r w:rsidRPr="00F33A11">
              <w:t xml:space="preserve"> apmērā Iekšlietu ministrijai budžeta apakšprogrammā 06.01.00 “Valsts policija” izskatīt Ministru kabinetā kopā ar visu ministriju un citu centrālo valsts iestāžu priekšlikumiem prioritārajiem pasākumiem likumprojekta “Par valsts budžetu 2020.gadam” un likumprojekta “Par vidēja termiņa budžeta ietvaru 2020.,2021. un 2022.gadam” sagatavošanas procesā atbilstoši valsts budžeta finansiālajām iespējām</w:t>
            </w:r>
            <w:r w:rsidRPr="009858DA">
              <w:t>.</w:t>
            </w:r>
          </w:p>
        </w:tc>
      </w:tr>
    </w:tbl>
    <w:p w14:paraId="26F9A9CC" w14:textId="77777777" w:rsidR="003530C3" w:rsidRDefault="003530C3" w:rsidP="00353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98"/>
        <w:gridCol w:w="2718"/>
        <w:gridCol w:w="5915"/>
      </w:tblGrid>
      <w:tr w:rsidR="007E17F0" w14:paraId="339B5D68" w14:textId="77777777" w:rsidTr="00533201">
        <w:tc>
          <w:tcPr>
            <w:tcW w:w="9061" w:type="dxa"/>
            <w:gridSpan w:val="3"/>
            <w:vAlign w:val="center"/>
            <w:hideMark/>
          </w:tcPr>
          <w:p w14:paraId="35B9CA87" w14:textId="77777777" w:rsidR="007E17F0" w:rsidRPr="00C42CF1" w:rsidRDefault="007E17F0" w:rsidP="00533201">
            <w:pPr>
              <w:jc w:val="center"/>
              <w:rPr>
                <w:b/>
                <w:bCs/>
              </w:rPr>
            </w:pPr>
            <w:r w:rsidRPr="00C42CF1">
              <w:rPr>
                <w:b/>
                <w:bCs/>
              </w:rPr>
              <w:lastRenderedPageBreak/>
              <w:t>IV. Tiesību akta projekta ietekme uz spēkā esošo tiesību normu sistēmu</w:t>
            </w:r>
          </w:p>
        </w:tc>
      </w:tr>
      <w:tr w:rsidR="007E17F0" w14:paraId="6A741D96" w14:textId="77777777" w:rsidTr="00533201">
        <w:tc>
          <w:tcPr>
            <w:tcW w:w="494" w:type="dxa"/>
            <w:vAlign w:val="center"/>
          </w:tcPr>
          <w:p w14:paraId="6A5B39BE" w14:textId="77777777" w:rsidR="007E17F0" w:rsidRPr="00121491" w:rsidRDefault="007E17F0" w:rsidP="00533201">
            <w:pPr>
              <w:jc w:val="center"/>
              <w:rPr>
                <w:bCs/>
              </w:rPr>
            </w:pPr>
            <w:r w:rsidRPr="00E663D2">
              <w:t>1.</w:t>
            </w:r>
          </w:p>
        </w:tc>
        <w:tc>
          <w:tcPr>
            <w:tcW w:w="2697" w:type="dxa"/>
            <w:vAlign w:val="center"/>
          </w:tcPr>
          <w:p w14:paraId="48C31B7E" w14:textId="77777777" w:rsidR="007E17F0" w:rsidRPr="00121491" w:rsidRDefault="007E17F0" w:rsidP="00533201">
            <w:pPr>
              <w:rPr>
                <w:bCs/>
              </w:rPr>
            </w:pPr>
            <w:r>
              <w:rPr>
                <w:bCs/>
              </w:rPr>
              <w:t>Saistītie tiesību aktu projekti</w:t>
            </w:r>
          </w:p>
        </w:tc>
        <w:tc>
          <w:tcPr>
            <w:tcW w:w="5870" w:type="dxa"/>
            <w:vAlign w:val="center"/>
          </w:tcPr>
          <w:p w14:paraId="00BF8E6B" w14:textId="6F23B224" w:rsidR="007E17F0" w:rsidRPr="00A31321" w:rsidRDefault="007E17F0" w:rsidP="00AB75F6">
            <w:pPr>
              <w:ind w:firstLine="284"/>
              <w:jc w:val="both"/>
            </w:pPr>
            <w:r w:rsidRPr="00A31321">
              <w:t>Attiecībā uz Valsts policijas amatpersonu ar speciālajām dienesta pakāpēm formas tērp</w:t>
            </w:r>
            <w:r w:rsidR="00FA71D4" w:rsidRPr="00A31321">
              <w:t>a</w:t>
            </w:r>
            <w:r w:rsidRPr="00A31321">
              <w:t xml:space="preserve"> un atšķirības zīmju aprakstu vienlaicīgi būs spēkā divi normatīvie akti</w:t>
            </w:r>
            <w:r w:rsidR="00AB75F6" w:rsidRPr="00A31321">
              <w:t xml:space="preserve"> līdz brīdim, kamēr Valsts policija būs pilnībā pārgājusi uz jauno formas tērpu un atšķirības zīmēm.</w:t>
            </w:r>
          </w:p>
          <w:p w14:paraId="5762200B" w14:textId="2699C7FE" w:rsidR="00033B30" w:rsidRPr="000F12E7" w:rsidRDefault="00AB75F6" w:rsidP="000F12E7">
            <w:pPr>
              <w:ind w:firstLine="284"/>
              <w:jc w:val="both"/>
            </w:pPr>
            <w:r w:rsidRPr="00A31321">
              <w:t>Paredzēts, ka Valsts policijas amatpersonu ar speciālajām dienesta pakāpēm formas tērp</w:t>
            </w:r>
            <w:r w:rsidR="00FA71D4" w:rsidRPr="00A31321">
              <w:t>a</w:t>
            </w:r>
            <w:r w:rsidRPr="00A31321">
              <w:t xml:space="preserve"> un atšķirības zīmju apraksts no </w:t>
            </w:r>
            <w:r w:rsidR="005556FC" w:rsidRPr="00A31321">
              <w:t>I</w:t>
            </w:r>
            <w:r w:rsidR="00AE2AD2" w:rsidRPr="00A31321">
              <w:t>eM projektā paredzētā normatīvā akta</w:t>
            </w:r>
            <w:r w:rsidRPr="00A31321">
              <w:t xml:space="preserve"> tiks </w:t>
            </w:r>
            <w:r w:rsidR="000931F8" w:rsidRPr="00A31321">
              <w:t>svītrots</w:t>
            </w:r>
            <w:r w:rsidRPr="00A31321">
              <w:t xml:space="preserve"> līdz 2024.gada 1.jūlijam.</w:t>
            </w:r>
          </w:p>
        </w:tc>
      </w:tr>
      <w:tr w:rsidR="007E17F0" w14:paraId="70D82956" w14:textId="77777777" w:rsidTr="00533201">
        <w:tc>
          <w:tcPr>
            <w:tcW w:w="494" w:type="dxa"/>
            <w:vAlign w:val="center"/>
          </w:tcPr>
          <w:p w14:paraId="039FEA4C" w14:textId="58AA5213" w:rsidR="007E17F0" w:rsidRPr="00E663D2" w:rsidRDefault="007E17F0" w:rsidP="00533201">
            <w:pPr>
              <w:jc w:val="center"/>
            </w:pPr>
            <w:r w:rsidRPr="00E663D2">
              <w:t>2.</w:t>
            </w:r>
          </w:p>
        </w:tc>
        <w:tc>
          <w:tcPr>
            <w:tcW w:w="2697" w:type="dxa"/>
            <w:vAlign w:val="center"/>
          </w:tcPr>
          <w:p w14:paraId="28EC212E" w14:textId="77777777" w:rsidR="007E17F0" w:rsidRPr="00E663D2" w:rsidRDefault="007E17F0" w:rsidP="00533201">
            <w:pPr>
              <w:rPr>
                <w:bCs/>
              </w:rPr>
            </w:pPr>
            <w:r w:rsidRPr="00E663D2">
              <w:rPr>
                <w:bCs/>
              </w:rPr>
              <w:t>Atbildīgā institūcija</w:t>
            </w:r>
          </w:p>
        </w:tc>
        <w:tc>
          <w:tcPr>
            <w:tcW w:w="5870" w:type="dxa"/>
            <w:vAlign w:val="center"/>
          </w:tcPr>
          <w:p w14:paraId="05C1A4B3" w14:textId="2585253E" w:rsidR="007E17F0" w:rsidRPr="000F12E7" w:rsidRDefault="000F12E7" w:rsidP="00533201">
            <w:pPr>
              <w:ind w:firstLine="284"/>
              <w:rPr>
                <w:b/>
                <w:bCs/>
              </w:rPr>
            </w:pPr>
            <w:r w:rsidRPr="000F12E7">
              <w:t>Valsts policija</w:t>
            </w:r>
            <w:r>
              <w:t>.</w:t>
            </w:r>
          </w:p>
        </w:tc>
      </w:tr>
      <w:tr w:rsidR="007E17F0" w14:paraId="7C726C12" w14:textId="77777777" w:rsidTr="00533201">
        <w:tc>
          <w:tcPr>
            <w:tcW w:w="494" w:type="dxa"/>
            <w:vAlign w:val="center"/>
          </w:tcPr>
          <w:p w14:paraId="2FB6BEEE" w14:textId="77777777" w:rsidR="007E17F0" w:rsidRPr="00E663D2" w:rsidRDefault="007E17F0" w:rsidP="00533201">
            <w:pPr>
              <w:jc w:val="center"/>
            </w:pPr>
            <w:r w:rsidRPr="00E663D2">
              <w:t>3.</w:t>
            </w:r>
          </w:p>
        </w:tc>
        <w:tc>
          <w:tcPr>
            <w:tcW w:w="2697" w:type="dxa"/>
            <w:vAlign w:val="center"/>
          </w:tcPr>
          <w:p w14:paraId="10C77F83" w14:textId="77777777" w:rsidR="007E17F0" w:rsidRPr="00E663D2" w:rsidRDefault="007E17F0" w:rsidP="00533201">
            <w:pPr>
              <w:rPr>
                <w:bCs/>
              </w:rPr>
            </w:pPr>
            <w:r w:rsidRPr="00E663D2">
              <w:rPr>
                <w:bCs/>
              </w:rPr>
              <w:t>Cita informācija</w:t>
            </w:r>
          </w:p>
        </w:tc>
        <w:tc>
          <w:tcPr>
            <w:tcW w:w="5870" w:type="dxa"/>
            <w:vAlign w:val="center"/>
          </w:tcPr>
          <w:p w14:paraId="50739044" w14:textId="10D36223" w:rsidR="007E17F0" w:rsidRDefault="00AB75F6" w:rsidP="00533201">
            <w:pPr>
              <w:ind w:firstLine="284"/>
              <w:jc w:val="both"/>
              <w:rPr>
                <w:b/>
                <w:bCs/>
              </w:rPr>
            </w:pPr>
            <w:r>
              <w:t>Nav.</w:t>
            </w:r>
          </w:p>
        </w:tc>
      </w:tr>
    </w:tbl>
    <w:p w14:paraId="48534C64" w14:textId="77777777" w:rsidR="003530C3" w:rsidRPr="00AD37B6" w:rsidRDefault="003530C3" w:rsidP="000C4C5A">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3530C3" w:rsidRPr="00AD37B6" w14:paraId="144E1816" w14:textId="77777777" w:rsidTr="00F77A6F">
        <w:trPr>
          <w:cantSplit/>
        </w:trPr>
        <w:tc>
          <w:tcPr>
            <w:tcW w:w="5000" w:type="pct"/>
            <w:vAlign w:val="center"/>
            <w:hideMark/>
          </w:tcPr>
          <w:p w14:paraId="3EA67E75" w14:textId="77777777" w:rsidR="003530C3" w:rsidRPr="00AD37B6" w:rsidRDefault="003530C3" w:rsidP="00F77A6F">
            <w:pPr>
              <w:jc w:val="center"/>
              <w:rPr>
                <w:b/>
                <w:bCs/>
              </w:rPr>
            </w:pPr>
            <w:r w:rsidRPr="00AD37B6">
              <w:rPr>
                <w:b/>
                <w:bCs/>
              </w:rPr>
              <w:t>V. Tiesību akta projekta atbilstība Latvijas Republikas starptautiskajām saistībām</w:t>
            </w:r>
          </w:p>
        </w:tc>
      </w:tr>
      <w:tr w:rsidR="003530C3" w:rsidRPr="00AD37B6" w14:paraId="52F36FB1" w14:textId="77777777" w:rsidTr="00F77A6F">
        <w:trPr>
          <w:cantSplit/>
          <w:trHeight w:val="162"/>
        </w:trPr>
        <w:tc>
          <w:tcPr>
            <w:tcW w:w="5000" w:type="pct"/>
          </w:tcPr>
          <w:p w14:paraId="12FEC5B5" w14:textId="77777777" w:rsidR="003530C3" w:rsidRPr="00AD37B6" w:rsidRDefault="003530C3" w:rsidP="008412E1">
            <w:pPr>
              <w:jc w:val="center"/>
            </w:pPr>
            <w:r>
              <w:t>Projekts šo jomu neskar</w:t>
            </w:r>
          </w:p>
        </w:tc>
      </w:tr>
    </w:tbl>
    <w:p w14:paraId="6010C951" w14:textId="77777777" w:rsidR="003530C3" w:rsidRDefault="003530C3" w:rsidP="003530C3">
      <w:pPr>
        <w:pStyle w:val="Nosaukums"/>
        <w:spacing w:before="130" w:line="260" w:lineRule="exact"/>
        <w:ind w:firstLine="539"/>
        <w:jc w:val="both"/>
        <w:rPr>
          <w:sz w:val="24"/>
          <w:szCs w:val="24"/>
        </w:rPr>
      </w:pPr>
    </w:p>
    <w:tbl>
      <w:tblPr>
        <w:tblW w:w="9054"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8"/>
        <w:gridCol w:w="3076"/>
        <w:gridCol w:w="5560"/>
      </w:tblGrid>
      <w:tr w:rsidR="008F7B68" w:rsidRPr="00D042E7" w14:paraId="40491581" w14:textId="77777777" w:rsidTr="008F7B68">
        <w:trPr>
          <w:trHeight w:val="420"/>
          <w:jc w:val="center"/>
        </w:trPr>
        <w:tc>
          <w:tcPr>
            <w:tcW w:w="9054" w:type="dxa"/>
            <w:gridSpan w:val="3"/>
            <w:tcBorders>
              <w:top w:val="single" w:sz="6" w:space="0" w:color="414142"/>
              <w:left w:val="single" w:sz="6" w:space="0" w:color="414142"/>
              <w:bottom w:val="single" w:sz="6" w:space="0" w:color="414142"/>
              <w:right w:val="single" w:sz="6" w:space="0" w:color="414142"/>
            </w:tcBorders>
            <w:vAlign w:val="center"/>
          </w:tcPr>
          <w:p w14:paraId="1E65BE7A" w14:textId="77777777" w:rsidR="008F7B68" w:rsidRPr="00D042E7" w:rsidRDefault="008F7B68" w:rsidP="006A76DE">
            <w:pPr>
              <w:jc w:val="center"/>
              <w:rPr>
                <w:b/>
              </w:rPr>
            </w:pPr>
            <w:r w:rsidRPr="00D042E7">
              <w:rPr>
                <w:b/>
              </w:rPr>
              <w:t>VI. Sabiedrības līdzdalība un komunikācijas aktivitātes</w:t>
            </w:r>
          </w:p>
        </w:tc>
      </w:tr>
      <w:tr w:rsidR="008F7B68" w:rsidRPr="00D042E7" w14:paraId="7EE94A89" w14:textId="77777777" w:rsidTr="0025034F">
        <w:trPr>
          <w:trHeight w:val="540"/>
          <w:jc w:val="center"/>
        </w:trPr>
        <w:tc>
          <w:tcPr>
            <w:tcW w:w="418" w:type="dxa"/>
            <w:tcBorders>
              <w:top w:val="single" w:sz="6" w:space="0" w:color="414142"/>
              <w:left w:val="single" w:sz="6" w:space="0" w:color="414142"/>
              <w:bottom w:val="single" w:sz="6" w:space="0" w:color="414142"/>
              <w:right w:val="single" w:sz="6" w:space="0" w:color="414142"/>
            </w:tcBorders>
          </w:tcPr>
          <w:p w14:paraId="4ECAD5C5" w14:textId="77777777" w:rsidR="008F7B68" w:rsidRPr="00D042E7" w:rsidRDefault="008F7B68" w:rsidP="006A76DE">
            <w:r w:rsidRPr="00D042E7">
              <w:t>1.</w:t>
            </w:r>
          </w:p>
        </w:tc>
        <w:tc>
          <w:tcPr>
            <w:tcW w:w="3076" w:type="dxa"/>
            <w:tcBorders>
              <w:top w:val="single" w:sz="6" w:space="0" w:color="414142"/>
              <w:left w:val="single" w:sz="6" w:space="0" w:color="414142"/>
              <w:bottom w:val="single" w:sz="6" w:space="0" w:color="414142"/>
              <w:right w:val="single" w:sz="6" w:space="0" w:color="414142"/>
            </w:tcBorders>
          </w:tcPr>
          <w:p w14:paraId="5677D396" w14:textId="77777777" w:rsidR="008F7B68" w:rsidRPr="00D042E7" w:rsidRDefault="008F7B68" w:rsidP="006A76DE">
            <w:r w:rsidRPr="00D042E7">
              <w:t>Plānotās sabiedrības līdzdalības un komunikācijas aktivitātes saistībā ar projektu</w:t>
            </w:r>
          </w:p>
        </w:tc>
        <w:tc>
          <w:tcPr>
            <w:tcW w:w="5560" w:type="dxa"/>
            <w:tcBorders>
              <w:top w:val="single" w:sz="6" w:space="0" w:color="414142"/>
              <w:left w:val="single" w:sz="6" w:space="0" w:color="414142"/>
              <w:bottom w:val="single" w:sz="6" w:space="0" w:color="414142"/>
              <w:right w:val="single" w:sz="6" w:space="0" w:color="414142"/>
            </w:tcBorders>
          </w:tcPr>
          <w:p w14:paraId="4DFD0658" w14:textId="42083AB9" w:rsidR="008F7B68" w:rsidRPr="008F7B68" w:rsidRDefault="002C25E7" w:rsidP="006A76DE">
            <w:pPr>
              <w:spacing w:after="120"/>
              <w:jc w:val="both"/>
              <w:rPr>
                <w:i/>
              </w:rPr>
            </w:pPr>
            <w:r w:rsidRPr="00A93F42">
              <w:rPr>
                <w:color w:val="000000" w:themeColor="text1"/>
              </w:rPr>
              <w:t>Par projektu informēta sabiedrība, informāciju publicējot Iekšlietu ministrijas</w:t>
            </w:r>
            <w:r>
              <w:rPr>
                <w:color w:val="000000" w:themeColor="text1"/>
              </w:rPr>
              <w:t xml:space="preserve"> un</w:t>
            </w:r>
            <w:r w:rsidRPr="00A93F42">
              <w:rPr>
                <w:color w:val="000000" w:themeColor="text1"/>
              </w:rPr>
              <w:t xml:space="preserve"> Ministru kabineta tīmekļvietnēs.</w:t>
            </w:r>
          </w:p>
        </w:tc>
      </w:tr>
      <w:tr w:rsidR="00375C51" w:rsidRPr="00D042E7" w14:paraId="54A179F1" w14:textId="77777777" w:rsidTr="0025034F">
        <w:trPr>
          <w:trHeight w:val="320"/>
          <w:jc w:val="center"/>
        </w:trPr>
        <w:tc>
          <w:tcPr>
            <w:tcW w:w="418" w:type="dxa"/>
            <w:tcBorders>
              <w:top w:val="single" w:sz="6" w:space="0" w:color="414142"/>
              <w:left w:val="single" w:sz="6" w:space="0" w:color="414142"/>
              <w:bottom w:val="single" w:sz="6" w:space="0" w:color="414142"/>
              <w:right w:val="single" w:sz="6" w:space="0" w:color="414142"/>
            </w:tcBorders>
          </w:tcPr>
          <w:p w14:paraId="56DD718A" w14:textId="77777777" w:rsidR="00375C51" w:rsidRPr="00D042E7" w:rsidRDefault="00375C51" w:rsidP="006A76DE">
            <w:r w:rsidRPr="00D042E7">
              <w:t>2.</w:t>
            </w:r>
          </w:p>
        </w:tc>
        <w:tc>
          <w:tcPr>
            <w:tcW w:w="3076" w:type="dxa"/>
            <w:tcBorders>
              <w:top w:val="single" w:sz="6" w:space="0" w:color="414142"/>
              <w:left w:val="single" w:sz="6" w:space="0" w:color="414142"/>
              <w:bottom w:val="single" w:sz="6" w:space="0" w:color="414142"/>
              <w:right w:val="single" w:sz="6" w:space="0" w:color="414142"/>
            </w:tcBorders>
          </w:tcPr>
          <w:p w14:paraId="08599A12" w14:textId="77777777" w:rsidR="00375C51" w:rsidRPr="00D042E7" w:rsidRDefault="00375C51" w:rsidP="006A76DE">
            <w:r w:rsidRPr="00D042E7">
              <w:t>Sabiedrības līdzdalība projekta izstrādē</w:t>
            </w:r>
          </w:p>
        </w:tc>
        <w:tc>
          <w:tcPr>
            <w:tcW w:w="5560" w:type="dxa"/>
            <w:tcBorders>
              <w:top w:val="single" w:sz="6" w:space="0" w:color="414142"/>
              <w:left w:val="single" w:sz="6" w:space="0" w:color="414142"/>
              <w:bottom w:val="single" w:sz="6" w:space="0" w:color="414142"/>
              <w:right w:val="single" w:sz="6" w:space="0" w:color="414142"/>
            </w:tcBorders>
          </w:tcPr>
          <w:p w14:paraId="64BBB0AA" w14:textId="77777777" w:rsidR="002C25E7" w:rsidRPr="00A93F42" w:rsidRDefault="002C25E7" w:rsidP="002C25E7">
            <w:pPr>
              <w:jc w:val="both"/>
              <w:rPr>
                <w:rFonts w:eastAsia="Calibri"/>
              </w:rPr>
            </w:pPr>
            <w:r w:rsidRPr="00A93F42">
              <w:rPr>
                <w:rFonts w:eastAsia="Calibri"/>
              </w:rPr>
              <w:t>Projekts publicēts:</w:t>
            </w:r>
          </w:p>
          <w:p w14:paraId="0F75440D" w14:textId="77777777" w:rsidR="002C25E7" w:rsidRPr="00A93F42" w:rsidRDefault="002C25E7" w:rsidP="002C25E7">
            <w:pPr>
              <w:jc w:val="both"/>
              <w:rPr>
                <w:rFonts w:eastAsia="Calibri"/>
              </w:rPr>
            </w:pPr>
            <w:r w:rsidRPr="00A93F42">
              <w:rPr>
                <w:rFonts w:eastAsia="Calibri"/>
              </w:rPr>
              <w:t xml:space="preserve">1) Iekšlietu ministrijas tīmekļvietnē, adrese: </w:t>
            </w:r>
            <w:hyperlink r:id="rId9" w:history="1">
              <w:r w:rsidRPr="00A93F42">
                <w:rPr>
                  <w:rStyle w:val="Hipersaite"/>
                  <w:rFonts w:eastAsia="Calibri"/>
                  <w:u w:val="none"/>
                </w:rPr>
                <w:t>http://www.iem.gov.lv/lat/sadarbiba_ar_nvo/diskusiju_dokumenti/</w:t>
              </w:r>
            </w:hyperlink>
          </w:p>
          <w:p w14:paraId="20C0557B" w14:textId="77777777" w:rsidR="002C25E7" w:rsidRPr="00A93F42" w:rsidRDefault="002C25E7" w:rsidP="002C25E7">
            <w:pPr>
              <w:jc w:val="both"/>
              <w:rPr>
                <w:rFonts w:eastAsia="Calibri"/>
              </w:rPr>
            </w:pPr>
            <w:r>
              <w:rPr>
                <w:rFonts w:eastAsia="Calibri"/>
              </w:rPr>
              <w:t>2</w:t>
            </w:r>
            <w:r w:rsidRPr="00A93F42">
              <w:rPr>
                <w:rFonts w:eastAsia="Calibri"/>
              </w:rPr>
              <w:t xml:space="preserve">) Ministru kabineta tīmekļvietnē, adrese: </w:t>
            </w:r>
            <w:hyperlink r:id="rId10" w:history="1">
              <w:r w:rsidRPr="00A93F42">
                <w:rPr>
                  <w:rStyle w:val="Hipersaite"/>
                  <w:rFonts w:eastAsia="Calibri"/>
                  <w:u w:val="none"/>
                </w:rPr>
                <w:t>http://www.mk.gov.lv/content/ministru-kabineta-diskusiju-dokumenti</w:t>
              </w:r>
            </w:hyperlink>
          </w:p>
          <w:p w14:paraId="70785D55" w14:textId="79B52FAF" w:rsidR="00375C51" w:rsidRPr="00D042E7" w:rsidRDefault="002C25E7" w:rsidP="00D75639">
            <w:pPr>
              <w:spacing w:after="120"/>
              <w:jc w:val="both"/>
            </w:pPr>
            <w:r w:rsidRPr="00A93F42">
              <w:rPr>
                <w:rFonts w:eastAsia="Calibri"/>
                <w:color w:val="000000" w:themeColor="text1"/>
              </w:rPr>
              <w:t xml:space="preserve">Sabiedrības </w:t>
            </w:r>
            <w:r w:rsidRPr="00A93F42">
              <w:rPr>
                <w:rFonts w:eastAsia="Calibri"/>
              </w:rPr>
              <w:t>pārstāvjiem tika dota iespēja līdzdarboties projekta izstrādē, rakstveidā sniedzot v</w:t>
            </w:r>
            <w:r>
              <w:rPr>
                <w:rFonts w:eastAsia="Calibri"/>
              </w:rPr>
              <w:t xml:space="preserve">iedokli par projektu </w:t>
            </w:r>
            <w:r w:rsidRPr="00B0447A">
              <w:rPr>
                <w:rFonts w:eastAsia="Calibri"/>
              </w:rPr>
              <w:t>līdz 2019.gada 2</w:t>
            </w:r>
            <w:r w:rsidR="00D75639">
              <w:rPr>
                <w:rFonts w:eastAsia="Calibri"/>
              </w:rPr>
              <w:t>6</w:t>
            </w:r>
            <w:r w:rsidR="00D01179" w:rsidRPr="00B0447A">
              <w:rPr>
                <w:rFonts w:eastAsia="Calibri"/>
              </w:rPr>
              <w:t>.jūnijam</w:t>
            </w:r>
            <w:r w:rsidRPr="00B0447A">
              <w:t>.</w:t>
            </w:r>
          </w:p>
        </w:tc>
      </w:tr>
      <w:tr w:rsidR="00375C51" w:rsidRPr="00D042E7" w14:paraId="4BC93F44" w14:textId="77777777" w:rsidTr="0025034F">
        <w:trPr>
          <w:trHeight w:val="460"/>
          <w:jc w:val="center"/>
        </w:trPr>
        <w:tc>
          <w:tcPr>
            <w:tcW w:w="418" w:type="dxa"/>
            <w:tcBorders>
              <w:top w:val="single" w:sz="6" w:space="0" w:color="414142"/>
              <w:left w:val="single" w:sz="6" w:space="0" w:color="414142"/>
              <w:bottom w:val="single" w:sz="6" w:space="0" w:color="414142"/>
              <w:right w:val="single" w:sz="6" w:space="0" w:color="414142"/>
            </w:tcBorders>
          </w:tcPr>
          <w:p w14:paraId="51CFFA53" w14:textId="77777777" w:rsidR="00375C51" w:rsidRPr="00D042E7" w:rsidRDefault="00375C51" w:rsidP="006A76DE">
            <w:r w:rsidRPr="00D042E7">
              <w:t>3.</w:t>
            </w:r>
          </w:p>
        </w:tc>
        <w:tc>
          <w:tcPr>
            <w:tcW w:w="3076" w:type="dxa"/>
            <w:tcBorders>
              <w:top w:val="single" w:sz="6" w:space="0" w:color="414142"/>
              <w:left w:val="single" w:sz="6" w:space="0" w:color="414142"/>
              <w:bottom w:val="single" w:sz="6" w:space="0" w:color="414142"/>
              <w:right w:val="single" w:sz="6" w:space="0" w:color="414142"/>
            </w:tcBorders>
          </w:tcPr>
          <w:p w14:paraId="32C331F2" w14:textId="77777777" w:rsidR="00375C51" w:rsidRPr="00D042E7" w:rsidRDefault="00375C51" w:rsidP="006A76DE">
            <w:r w:rsidRPr="00D042E7">
              <w:t>Sabiedrības līdzdalības rezultāti</w:t>
            </w:r>
          </w:p>
        </w:tc>
        <w:tc>
          <w:tcPr>
            <w:tcW w:w="5560" w:type="dxa"/>
            <w:tcBorders>
              <w:top w:val="single" w:sz="6" w:space="0" w:color="414142"/>
              <w:left w:val="single" w:sz="6" w:space="0" w:color="414142"/>
              <w:bottom w:val="single" w:sz="6" w:space="0" w:color="414142"/>
              <w:right w:val="single" w:sz="6" w:space="0" w:color="414142"/>
            </w:tcBorders>
          </w:tcPr>
          <w:p w14:paraId="055FEB0F" w14:textId="1192DA19" w:rsidR="00375C51" w:rsidRPr="00D042E7" w:rsidRDefault="00CD05EF" w:rsidP="006A76DE">
            <w:pPr>
              <w:spacing w:after="120"/>
            </w:pPr>
            <w:r>
              <w:t>Sabiedrības pārstāvju priekšlikumi un viedokļi līdz 2019.gada 26.jūnijam netika saņemti.</w:t>
            </w:r>
            <w:bookmarkStart w:id="0" w:name="_GoBack"/>
            <w:bookmarkEnd w:id="0"/>
          </w:p>
        </w:tc>
      </w:tr>
      <w:tr w:rsidR="00375C51" w:rsidRPr="00D042E7" w14:paraId="7955284E" w14:textId="77777777" w:rsidTr="0025034F">
        <w:trPr>
          <w:trHeight w:val="460"/>
          <w:jc w:val="center"/>
        </w:trPr>
        <w:tc>
          <w:tcPr>
            <w:tcW w:w="418" w:type="dxa"/>
            <w:tcBorders>
              <w:top w:val="single" w:sz="6" w:space="0" w:color="414142"/>
              <w:left w:val="single" w:sz="6" w:space="0" w:color="414142"/>
              <w:bottom w:val="single" w:sz="6" w:space="0" w:color="414142"/>
              <w:right w:val="single" w:sz="6" w:space="0" w:color="414142"/>
            </w:tcBorders>
          </w:tcPr>
          <w:p w14:paraId="028D02FA" w14:textId="77777777" w:rsidR="00375C51" w:rsidRPr="00D042E7" w:rsidRDefault="00375C51" w:rsidP="006A76DE">
            <w:r w:rsidRPr="00D042E7">
              <w:t>4.</w:t>
            </w:r>
          </w:p>
        </w:tc>
        <w:tc>
          <w:tcPr>
            <w:tcW w:w="3076" w:type="dxa"/>
            <w:tcBorders>
              <w:top w:val="single" w:sz="6" w:space="0" w:color="414142"/>
              <w:left w:val="single" w:sz="6" w:space="0" w:color="414142"/>
              <w:bottom w:val="single" w:sz="6" w:space="0" w:color="414142"/>
              <w:right w:val="single" w:sz="6" w:space="0" w:color="414142"/>
            </w:tcBorders>
          </w:tcPr>
          <w:p w14:paraId="76B7DA2D" w14:textId="77777777" w:rsidR="00375C51" w:rsidRPr="00D042E7" w:rsidRDefault="00375C51" w:rsidP="006A76DE">
            <w:r w:rsidRPr="00D042E7">
              <w:t>Cita informācija</w:t>
            </w:r>
          </w:p>
        </w:tc>
        <w:tc>
          <w:tcPr>
            <w:tcW w:w="5560" w:type="dxa"/>
            <w:tcBorders>
              <w:top w:val="single" w:sz="6" w:space="0" w:color="414142"/>
              <w:left w:val="single" w:sz="6" w:space="0" w:color="414142"/>
              <w:bottom w:val="single" w:sz="6" w:space="0" w:color="414142"/>
              <w:right w:val="single" w:sz="6" w:space="0" w:color="414142"/>
            </w:tcBorders>
          </w:tcPr>
          <w:p w14:paraId="0639FABF" w14:textId="622C731D" w:rsidR="00375C51" w:rsidRPr="00D042E7" w:rsidRDefault="002C25E7" w:rsidP="006A76DE">
            <w:pPr>
              <w:spacing w:after="120"/>
            </w:pPr>
            <w:r>
              <w:t>Nav.</w:t>
            </w:r>
          </w:p>
        </w:tc>
      </w:tr>
    </w:tbl>
    <w:p w14:paraId="7AC46BDC" w14:textId="77777777" w:rsidR="00EC2123" w:rsidRPr="00AD37B6" w:rsidRDefault="00EC2123" w:rsidP="008F7B68">
      <w:pPr>
        <w:pStyle w:val="Nosaukums"/>
        <w:spacing w:before="130" w:line="260" w:lineRule="exact"/>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2892"/>
        <w:gridCol w:w="5862"/>
      </w:tblGrid>
      <w:tr w:rsidR="003530C3" w:rsidRPr="00AD37B6" w14:paraId="0CA4142C" w14:textId="77777777" w:rsidTr="003648E7">
        <w:trPr>
          <w:cantSplit/>
        </w:trPr>
        <w:tc>
          <w:tcPr>
            <w:tcW w:w="5000" w:type="pct"/>
            <w:gridSpan w:val="3"/>
            <w:vAlign w:val="center"/>
            <w:hideMark/>
          </w:tcPr>
          <w:p w14:paraId="2246AE93" w14:textId="77777777" w:rsidR="003530C3" w:rsidRPr="00AD37B6" w:rsidRDefault="003530C3" w:rsidP="00F77A6F">
            <w:pPr>
              <w:jc w:val="center"/>
              <w:rPr>
                <w:b/>
                <w:bCs/>
              </w:rPr>
            </w:pPr>
            <w:r w:rsidRPr="00AD37B6">
              <w:rPr>
                <w:b/>
                <w:bCs/>
              </w:rPr>
              <w:t>VII. Tiesību akta projekta izpildes nodrošināšana un tās ietekme uz institūcijām</w:t>
            </w:r>
          </w:p>
        </w:tc>
      </w:tr>
      <w:tr w:rsidR="003530C3" w:rsidRPr="00AD37B6" w14:paraId="3EA2BC30" w14:textId="77777777" w:rsidTr="000D7204">
        <w:trPr>
          <w:cantSplit/>
        </w:trPr>
        <w:tc>
          <w:tcPr>
            <w:tcW w:w="248" w:type="pct"/>
            <w:hideMark/>
          </w:tcPr>
          <w:p w14:paraId="0DA69C80" w14:textId="77777777" w:rsidR="003530C3" w:rsidRPr="00AD37B6" w:rsidRDefault="003530C3" w:rsidP="00F77A6F">
            <w:pPr>
              <w:jc w:val="center"/>
            </w:pPr>
            <w:r w:rsidRPr="00AD37B6">
              <w:t>1.</w:t>
            </w:r>
          </w:p>
        </w:tc>
        <w:tc>
          <w:tcPr>
            <w:tcW w:w="1570" w:type="pct"/>
            <w:hideMark/>
          </w:tcPr>
          <w:p w14:paraId="4BCE9D09" w14:textId="77777777" w:rsidR="003530C3" w:rsidRPr="00AD37B6" w:rsidRDefault="003530C3" w:rsidP="006D7533">
            <w:pPr>
              <w:jc w:val="both"/>
            </w:pPr>
            <w:r w:rsidRPr="00AD37B6">
              <w:t>Projekta izpildē iesaistītās institūcijas</w:t>
            </w:r>
          </w:p>
        </w:tc>
        <w:tc>
          <w:tcPr>
            <w:tcW w:w="3182" w:type="pct"/>
            <w:hideMark/>
          </w:tcPr>
          <w:p w14:paraId="506B477F" w14:textId="5E48FD7E" w:rsidR="003530C3" w:rsidRPr="00AD37B6" w:rsidRDefault="0067463A" w:rsidP="008412E1">
            <w:r>
              <w:t>Valsts policija</w:t>
            </w:r>
            <w:r w:rsidR="00B019B8">
              <w:t>.</w:t>
            </w:r>
          </w:p>
        </w:tc>
      </w:tr>
      <w:tr w:rsidR="003530C3" w:rsidRPr="00AD37B6" w14:paraId="13DDD5E8" w14:textId="77777777" w:rsidTr="000D7204">
        <w:trPr>
          <w:cantSplit/>
        </w:trPr>
        <w:tc>
          <w:tcPr>
            <w:tcW w:w="248" w:type="pct"/>
            <w:hideMark/>
          </w:tcPr>
          <w:p w14:paraId="041A4A3E" w14:textId="77777777" w:rsidR="003530C3" w:rsidRPr="00AD37B6" w:rsidRDefault="003530C3" w:rsidP="00F77A6F">
            <w:pPr>
              <w:jc w:val="center"/>
            </w:pPr>
            <w:r w:rsidRPr="00AD37B6">
              <w:t>2.</w:t>
            </w:r>
          </w:p>
        </w:tc>
        <w:tc>
          <w:tcPr>
            <w:tcW w:w="1570" w:type="pct"/>
            <w:hideMark/>
          </w:tcPr>
          <w:p w14:paraId="7F9EE6F7" w14:textId="77777777" w:rsidR="003530C3" w:rsidRPr="00AD37B6" w:rsidRDefault="003530C3" w:rsidP="006D7533">
            <w:pPr>
              <w:jc w:val="both"/>
            </w:pPr>
            <w:r w:rsidRPr="00AD37B6">
              <w:t>Projekta izpildes ietekme uz pārvaldes funkcijām un institucionālo struktūru.</w:t>
            </w:r>
            <w:r w:rsidRPr="00AD37B6">
              <w:br/>
              <w:t>Jaunu institūciju izveide, esošu institūciju likvidācija vai reorganizācija, to ietekme uz institūcijas cilvēkresursiem</w:t>
            </w:r>
          </w:p>
        </w:tc>
        <w:tc>
          <w:tcPr>
            <w:tcW w:w="3182" w:type="pct"/>
            <w:hideMark/>
          </w:tcPr>
          <w:p w14:paraId="0E0F85A6" w14:textId="77777777" w:rsidR="008412E1" w:rsidRDefault="008412E1" w:rsidP="008412E1">
            <w:pPr>
              <w:jc w:val="both"/>
            </w:pPr>
            <w:r>
              <w:t>Projekta izpilde neietekmē projekta izstrādē iesaistīto institūciju funkcijas un uzdevumus.</w:t>
            </w:r>
          </w:p>
          <w:p w14:paraId="0486E4C9" w14:textId="77777777" w:rsidR="00662174" w:rsidRDefault="00662174" w:rsidP="008412E1">
            <w:pPr>
              <w:jc w:val="both"/>
            </w:pPr>
          </w:p>
          <w:p w14:paraId="46039E54" w14:textId="77777777" w:rsidR="003530C3" w:rsidRPr="00AD37B6" w:rsidRDefault="008412E1" w:rsidP="008412E1">
            <w:pPr>
              <w:jc w:val="both"/>
            </w:pPr>
            <w:r>
              <w:t>Projekta izpilde tiks nodrošināta esošo institūciju ietvaros, līdz ar to tas neparedz jaunu institūciju izveidi vai esošo institūciju likvidāciju vai reorganizāciju.</w:t>
            </w:r>
          </w:p>
        </w:tc>
      </w:tr>
      <w:tr w:rsidR="003530C3" w:rsidRPr="00AD37B6" w14:paraId="72C9DFC6" w14:textId="77777777" w:rsidTr="000D7204">
        <w:trPr>
          <w:cantSplit/>
        </w:trPr>
        <w:tc>
          <w:tcPr>
            <w:tcW w:w="248" w:type="pct"/>
            <w:hideMark/>
          </w:tcPr>
          <w:p w14:paraId="4063F382" w14:textId="77777777" w:rsidR="003530C3" w:rsidRPr="00AD37B6" w:rsidRDefault="003530C3" w:rsidP="00F77A6F">
            <w:pPr>
              <w:jc w:val="center"/>
            </w:pPr>
            <w:r w:rsidRPr="00AD37B6">
              <w:lastRenderedPageBreak/>
              <w:t>3.</w:t>
            </w:r>
          </w:p>
        </w:tc>
        <w:tc>
          <w:tcPr>
            <w:tcW w:w="1570" w:type="pct"/>
            <w:hideMark/>
          </w:tcPr>
          <w:p w14:paraId="55818DFA" w14:textId="77777777" w:rsidR="003530C3" w:rsidRPr="00AD37B6" w:rsidRDefault="003530C3" w:rsidP="00F77A6F">
            <w:r w:rsidRPr="00AD37B6">
              <w:t>Cita informācija</w:t>
            </w:r>
          </w:p>
        </w:tc>
        <w:tc>
          <w:tcPr>
            <w:tcW w:w="3182" w:type="pct"/>
            <w:hideMark/>
          </w:tcPr>
          <w:p w14:paraId="6630A229" w14:textId="6117E582" w:rsidR="003530C3" w:rsidRPr="00AD37B6" w:rsidRDefault="003530C3" w:rsidP="00662174">
            <w:r>
              <w:t>Nav</w:t>
            </w:r>
            <w:r w:rsidR="00DF7067">
              <w:t>.</w:t>
            </w:r>
          </w:p>
        </w:tc>
      </w:tr>
    </w:tbl>
    <w:p w14:paraId="459AA9D0" w14:textId="77777777" w:rsidR="003530C3" w:rsidRPr="00AD37B6" w:rsidRDefault="003530C3" w:rsidP="003530C3"/>
    <w:p w14:paraId="59716634" w14:textId="77777777" w:rsidR="003530C3" w:rsidRDefault="003530C3" w:rsidP="00047F72">
      <w:pPr>
        <w:jc w:val="both"/>
      </w:pPr>
    </w:p>
    <w:p w14:paraId="6E6ACA54" w14:textId="5F2A06B2" w:rsidR="003530C3" w:rsidRPr="00E71B21" w:rsidRDefault="003530C3" w:rsidP="00A141BD">
      <w:pPr>
        <w:tabs>
          <w:tab w:val="left" w:pos="7513"/>
        </w:tabs>
        <w:jc w:val="both"/>
        <w:rPr>
          <w:sz w:val="22"/>
        </w:rPr>
      </w:pPr>
      <w:r w:rsidRPr="005614F6">
        <w:t>Iekšlietu ministrs</w:t>
      </w:r>
      <w:r w:rsidRPr="005614F6">
        <w:tab/>
      </w:r>
      <w:r w:rsidR="00452BE6">
        <w:rPr>
          <w:szCs w:val="28"/>
        </w:rPr>
        <w:t>Sandis Ģirģens</w:t>
      </w:r>
    </w:p>
    <w:p w14:paraId="7EB83C54" w14:textId="77777777" w:rsidR="006606C1" w:rsidRDefault="006606C1" w:rsidP="003530C3">
      <w:pPr>
        <w:pStyle w:val="naisf"/>
        <w:rPr>
          <w:szCs w:val="24"/>
        </w:rPr>
      </w:pPr>
    </w:p>
    <w:p w14:paraId="3859A726" w14:textId="77777777" w:rsidR="00E71B21" w:rsidRPr="005614F6" w:rsidRDefault="00E71B21" w:rsidP="003530C3">
      <w:pPr>
        <w:pStyle w:val="naisf"/>
        <w:rPr>
          <w:szCs w:val="24"/>
        </w:rPr>
      </w:pPr>
    </w:p>
    <w:p w14:paraId="7CEF60FE" w14:textId="7D71D820" w:rsidR="003530C3" w:rsidRPr="005614F6" w:rsidRDefault="003530C3" w:rsidP="00E71B21">
      <w:pPr>
        <w:pStyle w:val="naisf"/>
        <w:tabs>
          <w:tab w:val="left" w:pos="7088"/>
        </w:tabs>
        <w:rPr>
          <w:szCs w:val="24"/>
        </w:rPr>
      </w:pPr>
      <w:r>
        <w:rPr>
          <w:szCs w:val="24"/>
        </w:rPr>
        <w:t>Vīza: valsts sekretārs</w:t>
      </w:r>
      <w:r w:rsidR="001C5D7F">
        <w:rPr>
          <w:szCs w:val="24"/>
        </w:rPr>
        <w:tab/>
      </w:r>
      <w:r>
        <w:rPr>
          <w:szCs w:val="24"/>
        </w:rPr>
        <w:t>D</w:t>
      </w:r>
      <w:r w:rsidR="00E71B21">
        <w:rPr>
          <w:szCs w:val="24"/>
        </w:rPr>
        <w:t xml:space="preserve">imitrijs </w:t>
      </w:r>
      <w:r>
        <w:rPr>
          <w:szCs w:val="24"/>
        </w:rPr>
        <w:t>Trofimovs</w:t>
      </w:r>
    </w:p>
    <w:p w14:paraId="0668E17E" w14:textId="77777777" w:rsidR="003530C3" w:rsidRDefault="003530C3" w:rsidP="003530C3">
      <w:pPr>
        <w:pStyle w:val="naisf"/>
        <w:spacing w:before="0" w:after="0"/>
        <w:rPr>
          <w:sz w:val="20"/>
        </w:rPr>
      </w:pPr>
    </w:p>
    <w:p w14:paraId="009F63F0" w14:textId="77777777" w:rsidR="003530C3" w:rsidRDefault="003530C3" w:rsidP="003530C3">
      <w:pPr>
        <w:pStyle w:val="naisf"/>
        <w:spacing w:before="0" w:after="0"/>
        <w:rPr>
          <w:sz w:val="20"/>
        </w:rPr>
      </w:pPr>
    </w:p>
    <w:p w14:paraId="7DC99466" w14:textId="77777777" w:rsidR="003530C3" w:rsidRDefault="003530C3" w:rsidP="003530C3">
      <w:pPr>
        <w:pStyle w:val="naisf"/>
        <w:spacing w:before="0" w:after="0"/>
        <w:rPr>
          <w:sz w:val="20"/>
        </w:rPr>
      </w:pPr>
    </w:p>
    <w:p w14:paraId="69348A13" w14:textId="77777777" w:rsidR="00205DA2" w:rsidRDefault="00205DA2" w:rsidP="003530C3">
      <w:pPr>
        <w:pStyle w:val="naisf"/>
        <w:spacing w:before="0" w:after="0"/>
        <w:rPr>
          <w:sz w:val="20"/>
        </w:rPr>
      </w:pPr>
    </w:p>
    <w:p w14:paraId="031E6B8E" w14:textId="77777777" w:rsidR="00DA6BA9" w:rsidRDefault="00DA6BA9" w:rsidP="003530C3">
      <w:pPr>
        <w:pStyle w:val="naisf"/>
        <w:spacing w:before="0" w:after="0"/>
        <w:rPr>
          <w:sz w:val="20"/>
        </w:rPr>
      </w:pPr>
    </w:p>
    <w:p w14:paraId="6301E20D" w14:textId="77777777" w:rsidR="001F0120" w:rsidRDefault="001F0120" w:rsidP="003530C3">
      <w:pPr>
        <w:pStyle w:val="naisf"/>
        <w:spacing w:before="0" w:after="0"/>
        <w:rPr>
          <w:sz w:val="20"/>
        </w:rPr>
      </w:pPr>
    </w:p>
    <w:p w14:paraId="4110E5C0" w14:textId="77777777" w:rsidR="00DA6BA9" w:rsidRDefault="00DA6BA9" w:rsidP="003530C3">
      <w:pPr>
        <w:pStyle w:val="naisf"/>
        <w:spacing w:before="0" w:after="0"/>
        <w:rPr>
          <w:sz w:val="20"/>
        </w:rPr>
      </w:pPr>
    </w:p>
    <w:p w14:paraId="7A58BD21" w14:textId="77777777" w:rsidR="004841D3" w:rsidRDefault="004841D3" w:rsidP="003530C3">
      <w:pPr>
        <w:pStyle w:val="naisf"/>
        <w:spacing w:before="0" w:after="0"/>
        <w:rPr>
          <w:sz w:val="20"/>
        </w:rPr>
      </w:pPr>
    </w:p>
    <w:p w14:paraId="395C9246" w14:textId="77777777" w:rsidR="004841D3" w:rsidRDefault="004841D3" w:rsidP="003530C3">
      <w:pPr>
        <w:pStyle w:val="naisf"/>
        <w:spacing w:before="0" w:after="0"/>
        <w:rPr>
          <w:sz w:val="20"/>
        </w:rPr>
      </w:pPr>
    </w:p>
    <w:p w14:paraId="2F6467DD" w14:textId="77777777" w:rsidR="004841D3" w:rsidRDefault="004841D3" w:rsidP="003530C3">
      <w:pPr>
        <w:pStyle w:val="naisf"/>
        <w:spacing w:before="0" w:after="0"/>
        <w:rPr>
          <w:sz w:val="20"/>
        </w:rPr>
      </w:pPr>
    </w:p>
    <w:p w14:paraId="39F15A5C" w14:textId="77777777" w:rsidR="004841D3" w:rsidRDefault="004841D3" w:rsidP="003530C3">
      <w:pPr>
        <w:pStyle w:val="naisf"/>
        <w:spacing w:before="0" w:after="0"/>
        <w:rPr>
          <w:sz w:val="20"/>
        </w:rPr>
      </w:pPr>
    </w:p>
    <w:p w14:paraId="7B24436D" w14:textId="77777777" w:rsidR="004841D3" w:rsidRDefault="004841D3" w:rsidP="003530C3">
      <w:pPr>
        <w:pStyle w:val="naisf"/>
        <w:spacing w:before="0" w:after="0"/>
        <w:rPr>
          <w:sz w:val="20"/>
        </w:rPr>
      </w:pPr>
    </w:p>
    <w:p w14:paraId="393B9BCB" w14:textId="77777777" w:rsidR="004841D3" w:rsidRDefault="004841D3" w:rsidP="003530C3">
      <w:pPr>
        <w:pStyle w:val="naisf"/>
        <w:spacing w:before="0" w:after="0"/>
        <w:rPr>
          <w:sz w:val="20"/>
        </w:rPr>
      </w:pPr>
    </w:p>
    <w:p w14:paraId="3ED48380" w14:textId="77777777" w:rsidR="004841D3" w:rsidRDefault="004841D3" w:rsidP="003530C3">
      <w:pPr>
        <w:pStyle w:val="naisf"/>
        <w:spacing w:before="0" w:after="0"/>
        <w:rPr>
          <w:sz w:val="20"/>
        </w:rPr>
      </w:pPr>
    </w:p>
    <w:p w14:paraId="79C5ADA6" w14:textId="77777777" w:rsidR="004841D3" w:rsidRDefault="004841D3" w:rsidP="003530C3">
      <w:pPr>
        <w:pStyle w:val="naisf"/>
        <w:spacing w:before="0" w:after="0"/>
        <w:rPr>
          <w:sz w:val="20"/>
        </w:rPr>
      </w:pPr>
    </w:p>
    <w:p w14:paraId="2FA3A594" w14:textId="77777777" w:rsidR="004841D3" w:rsidRDefault="004841D3" w:rsidP="003530C3">
      <w:pPr>
        <w:pStyle w:val="naisf"/>
        <w:spacing w:before="0" w:after="0"/>
        <w:rPr>
          <w:sz w:val="20"/>
        </w:rPr>
      </w:pPr>
    </w:p>
    <w:p w14:paraId="3413E460" w14:textId="77777777" w:rsidR="004841D3" w:rsidRDefault="004841D3" w:rsidP="003530C3">
      <w:pPr>
        <w:pStyle w:val="naisf"/>
        <w:spacing w:before="0" w:after="0"/>
        <w:rPr>
          <w:sz w:val="20"/>
        </w:rPr>
      </w:pPr>
    </w:p>
    <w:p w14:paraId="7A2D06E5" w14:textId="77777777" w:rsidR="004841D3" w:rsidRDefault="004841D3" w:rsidP="003530C3">
      <w:pPr>
        <w:pStyle w:val="naisf"/>
        <w:spacing w:before="0" w:after="0"/>
        <w:rPr>
          <w:sz w:val="20"/>
        </w:rPr>
      </w:pPr>
    </w:p>
    <w:p w14:paraId="2C6E7F18" w14:textId="77777777" w:rsidR="004841D3" w:rsidRDefault="004841D3" w:rsidP="003530C3">
      <w:pPr>
        <w:pStyle w:val="naisf"/>
        <w:spacing w:before="0" w:after="0"/>
        <w:rPr>
          <w:sz w:val="20"/>
        </w:rPr>
      </w:pPr>
    </w:p>
    <w:p w14:paraId="260E97F5" w14:textId="77777777" w:rsidR="004841D3" w:rsidRDefault="004841D3" w:rsidP="003530C3">
      <w:pPr>
        <w:pStyle w:val="naisf"/>
        <w:spacing w:before="0" w:after="0"/>
        <w:rPr>
          <w:sz w:val="20"/>
        </w:rPr>
      </w:pPr>
    </w:p>
    <w:p w14:paraId="18E85C7C" w14:textId="77777777" w:rsidR="004841D3" w:rsidRDefault="004841D3" w:rsidP="003530C3">
      <w:pPr>
        <w:pStyle w:val="naisf"/>
        <w:spacing w:before="0" w:after="0"/>
        <w:rPr>
          <w:sz w:val="20"/>
        </w:rPr>
      </w:pPr>
    </w:p>
    <w:p w14:paraId="2530C9A8" w14:textId="77777777" w:rsidR="004841D3" w:rsidRDefault="004841D3" w:rsidP="003530C3">
      <w:pPr>
        <w:pStyle w:val="naisf"/>
        <w:spacing w:before="0" w:after="0"/>
        <w:rPr>
          <w:sz w:val="20"/>
        </w:rPr>
      </w:pPr>
    </w:p>
    <w:p w14:paraId="5BB4E5E1" w14:textId="77777777" w:rsidR="004841D3" w:rsidRDefault="004841D3" w:rsidP="003530C3">
      <w:pPr>
        <w:pStyle w:val="naisf"/>
        <w:spacing w:before="0" w:after="0"/>
        <w:rPr>
          <w:sz w:val="20"/>
        </w:rPr>
      </w:pPr>
    </w:p>
    <w:p w14:paraId="45E3DD40" w14:textId="77777777" w:rsidR="004841D3" w:rsidRDefault="004841D3" w:rsidP="003530C3">
      <w:pPr>
        <w:pStyle w:val="naisf"/>
        <w:spacing w:before="0" w:after="0"/>
        <w:rPr>
          <w:sz w:val="20"/>
        </w:rPr>
      </w:pPr>
    </w:p>
    <w:p w14:paraId="51ABCB66" w14:textId="77777777" w:rsidR="004841D3" w:rsidRDefault="004841D3" w:rsidP="003530C3">
      <w:pPr>
        <w:pStyle w:val="naisf"/>
        <w:spacing w:before="0" w:after="0"/>
        <w:rPr>
          <w:sz w:val="20"/>
        </w:rPr>
      </w:pPr>
    </w:p>
    <w:p w14:paraId="46A6D827" w14:textId="77777777" w:rsidR="004841D3" w:rsidRDefault="004841D3" w:rsidP="003530C3">
      <w:pPr>
        <w:pStyle w:val="naisf"/>
        <w:spacing w:before="0" w:after="0"/>
        <w:rPr>
          <w:sz w:val="20"/>
        </w:rPr>
      </w:pPr>
    </w:p>
    <w:p w14:paraId="09BF30AE" w14:textId="77777777" w:rsidR="004841D3" w:rsidRDefault="004841D3" w:rsidP="003530C3">
      <w:pPr>
        <w:pStyle w:val="naisf"/>
        <w:spacing w:before="0" w:after="0"/>
        <w:rPr>
          <w:sz w:val="20"/>
        </w:rPr>
      </w:pPr>
    </w:p>
    <w:p w14:paraId="06BB34E4" w14:textId="77777777" w:rsidR="004841D3" w:rsidRDefault="004841D3" w:rsidP="003530C3">
      <w:pPr>
        <w:pStyle w:val="naisf"/>
        <w:spacing w:before="0" w:after="0"/>
        <w:rPr>
          <w:sz w:val="20"/>
        </w:rPr>
      </w:pPr>
    </w:p>
    <w:p w14:paraId="56E8D2B6" w14:textId="77777777" w:rsidR="004841D3" w:rsidRDefault="004841D3" w:rsidP="003530C3">
      <w:pPr>
        <w:pStyle w:val="naisf"/>
        <w:spacing w:before="0" w:after="0"/>
        <w:rPr>
          <w:sz w:val="20"/>
        </w:rPr>
      </w:pPr>
    </w:p>
    <w:p w14:paraId="3CE87FB0" w14:textId="77777777" w:rsidR="004841D3" w:rsidRDefault="004841D3" w:rsidP="003530C3">
      <w:pPr>
        <w:pStyle w:val="naisf"/>
        <w:spacing w:before="0" w:after="0"/>
        <w:rPr>
          <w:sz w:val="20"/>
        </w:rPr>
      </w:pPr>
    </w:p>
    <w:p w14:paraId="3E77482C" w14:textId="77777777" w:rsidR="004841D3" w:rsidRDefault="004841D3" w:rsidP="003530C3">
      <w:pPr>
        <w:pStyle w:val="naisf"/>
        <w:spacing w:before="0" w:after="0"/>
        <w:rPr>
          <w:sz w:val="20"/>
        </w:rPr>
      </w:pPr>
    </w:p>
    <w:p w14:paraId="01189389" w14:textId="77777777" w:rsidR="004841D3" w:rsidRDefault="004841D3" w:rsidP="003530C3">
      <w:pPr>
        <w:pStyle w:val="naisf"/>
        <w:spacing w:before="0" w:after="0"/>
        <w:rPr>
          <w:sz w:val="20"/>
        </w:rPr>
      </w:pPr>
    </w:p>
    <w:p w14:paraId="26E09030" w14:textId="77777777" w:rsidR="004841D3" w:rsidRDefault="004841D3" w:rsidP="003530C3">
      <w:pPr>
        <w:pStyle w:val="naisf"/>
        <w:spacing w:before="0" w:after="0"/>
        <w:rPr>
          <w:sz w:val="20"/>
        </w:rPr>
      </w:pPr>
    </w:p>
    <w:p w14:paraId="10085BBB" w14:textId="77777777" w:rsidR="004841D3" w:rsidRDefault="004841D3" w:rsidP="003530C3">
      <w:pPr>
        <w:pStyle w:val="naisf"/>
        <w:spacing w:before="0" w:after="0"/>
        <w:rPr>
          <w:sz w:val="20"/>
        </w:rPr>
      </w:pPr>
    </w:p>
    <w:p w14:paraId="2BB3CF31" w14:textId="77777777" w:rsidR="004841D3" w:rsidRDefault="004841D3" w:rsidP="003530C3">
      <w:pPr>
        <w:pStyle w:val="naisf"/>
        <w:spacing w:before="0" w:after="0"/>
        <w:rPr>
          <w:sz w:val="20"/>
        </w:rPr>
      </w:pPr>
    </w:p>
    <w:p w14:paraId="2C205A1D" w14:textId="77777777" w:rsidR="004841D3" w:rsidRDefault="004841D3" w:rsidP="003530C3">
      <w:pPr>
        <w:pStyle w:val="naisf"/>
        <w:spacing w:before="0" w:after="0"/>
        <w:rPr>
          <w:sz w:val="20"/>
        </w:rPr>
      </w:pPr>
    </w:p>
    <w:p w14:paraId="702DDB6B" w14:textId="77777777" w:rsidR="004841D3" w:rsidRDefault="004841D3" w:rsidP="003530C3">
      <w:pPr>
        <w:pStyle w:val="naisf"/>
        <w:spacing w:before="0" w:after="0"/>
        <w:rPr>
          <w:sz w:val="20"/>
        </w:rPr>
      </w:pPr>
    </w:p>
    <w:p w14:paraId="2A478801" w14:textId="77777777" w:rsidR="004841D3" w:rsidRDefault="004841D3" w:rsidP="003530C3">
      <w:pPr>
        <w:pStyle w:val="naisf"/>
        <w:spacing w:before="0" w:after="0"/>
        <w:rPr>
          <w:sz w:val="20"/>
        </w:rPr>
      </w:pPr>
    </w:p>
    <w:p w14:paraId="15394E48" w14:textId="77777777" w:rsidR="004841D3" w:rsidRDefault="004841D3" w:rsidP="003530C3">
      <w:pPr>
        <w:pStyle w:val="naisf"/>
        <w:spacing w:before="0" w:after="0"/>
        <w:rPr>
          <w:sz w:val="20"/>
        </w:rPr>
      </w:pPr>
    </w:p>
    <w:p w14:paraId="527CD14F" w14:textId="77777777" w:rsidR="004841D3" w:rsidRDefault="004841D3" w:rsidP="003530C3">
      <w:pPr>
        <w:pStyle w:val="naisf"/>
        <w:spacing w:before="0" w:after="0"/>
        <w:rPr>
          <w:sz w:val="20"/>
        </w:rPr>
      </w:pPr>
    </w:p>
    <w:p w14:paraId="1976A389" w14:textId="77777777" w:rsidR="004841D3" w:rsidRDefault="004841D3" w:rsidP="003530C3">
      <w:pPr>
        <w:pStyle w:val="naisf"/>
        <w:spacing w:before="0" w:after="0"/>
        <w:rPr>
          <w:sz w:val="20"/>
        </w:rPr>
      </w:pPr>
    </w:p>
    <w:p w14:paraId="776C7E75" w14:textId="77777777" w:rsidR="004841D3" w:rsidRDefault="004841D3" w:rsidP="003530C3">
      <w:pPr>
        <w:pStyle w:val="naisf"/>
        <w:spacing w:before="0" w:after="0"/>
        <w:rPr>
          <w:sz w:val="20"/>
        </w:rPr>
      </w:pPr>
    </w:p>
    <w:p w14:paraId="183C377B" w14:textId="77777777" w:rsidR="004841D3" w:rsidRDefault="004841D3" w:rsidP="003530C3">
      <w:pPr>
        <w:pStyle w:val="naisf"/>
        <w:spacing w:before="0" w:after="0"/>
        <w:rPr>
          <w:sz w:val="20"/>
        </w:rPr>
      </w:pPr>
    </w:p>
    <w:p w14:paraId="59292F97" w14:textId="77777777" w:rsidR="004841D3" w:rsidRDefault="004841D3" w:rsidP="003530C3">
      <w:pPr>
        <w:pStyle w:val="naisf"/>
        <w:spacing w:before="0" w:after="0"/>
        <w:rPr>
          <w:sz w:val="20"/>
        </w:rPr>
      </w:pPr>
    </w:p>
    <w:p w14:paraId="1C139FC1" w14:textId="77777777" w:rsidR="004841D3" w:rsidRDefault="004841D3" w:rsidP="003530C3">
      <w:pPr>
        <w:pStyle w:val="naisf"/>
        <w:spacing w:before="0" w:after="0"/>
        <w:rPr>
          <w:sz w:val="20"/>
        </w:rPr>
      </w:pPr>
    </w:p>
    <w:p w14:paraId="37E4782B" w14:textId="77777777" w:rsidR="004841D3" w:rsidRDefault="004841D3" w:rsidP="003530C3">
      <w:pPr>
        <w:pStyle w:val="naisf"/>
        <w:spacing w:before="0" w:after="0"/>
        <w:rPr>
          <w:sz w:val="20"/>
        </w:rPr>
      </w:pPr>
    </w:p>
    <w:p w14:paraId="52E2E748" w14:textId="77777777" w:rsidR="004841D3" w:rsidRDefault="004841D3" w:rsidP="003530C3">
      <w:pPr>
        <w:pStyle w:val="naisf"/>
        <w:spacing w:before="0" w:after="0"/>
        <w:rPr>
          <w:sz w:val="20"/>
        </w:rPr>
      </w:pPr>
    </w:p>
    <w:p w14:paraId="65CF90F1" w14:textId="77777777" w:rsidR="004841D3" w:rsidRDefault="004841D3" w:rsidP="003530C3">
      <w:pPr>
        <w:pStyle w:val="naisf"/>
        <w:spacing w:before="0" w:after="0"/>
        <w:rPr>
          <w:sz w:val="20"/>
        </w:rPr>
      </w:pPr>
    </w:p>
    <w:p w14:paraId="60C5D73F" w14:textId="77777777" w:rsidR="004841D3" w:rsidRDefault="004841D3" w:rsidP="003530C3">
      <w:pPr>
        <w:pStyle w:val="naisf"/>
        <w:spacing w:before="0" w:after="0"/>
        <w:rPr>
          <w:sz w:val="20"/>
        </w:rPr>
      </w:pPr>
    </w:p>
    <w:p w14:paraId="7A42BCC1" w14:textId="77777777" w:rsidR="00205DA2" w:rsidRDefault="00205DA2" w:rsidP="003530C3">
      <w:pPr>
        <w:pStyle w:val="naisf"/>
        <w:spacing w:before="0" w:after="0"/>
        <w:rPr>
          <w:sz w:val="20"/>
        </w:rPr>
      </w:pPr>
    </w:p>
    <w:p w14:paraId="394EFF52" w14:textId="2ECA76C8" w:rsidR="003530C3" w:rsidRDefault="000C0841" w:rsidP="003530C3">
      <w:pPr>
        <w:pStyle w:val="naisf"/>
        <w:spacing w:before="0" w:after="0"/>
        <w:rPr>
          <w:sz w:val="20"/>
        </w:rPr>
      </w:pPr>
      <w:r>
        <w:rPr>
          <w:sz w:val="20"/>
        </w:rPr>
        <w:t>Sokolova, 67075354</w:t>
      </w:r>
    </w:p>
    <w:p w14:paraId="5FCBC460" w14:textId="31E844F4" w:rsidR="003530C3" w:rsidRDefault="000C0841" w:rsidP="003530C3">
      <w:pPr>
        <w:pStyle w:val="naisf"/>
        <w:spacing w:before="0" w:after="0"/>
        <w:rPr>
          <w:sz w:val="20"/>
        </w:rPr>
      </w:pPr>
      <w:r>
        <w:rPr>
          <w:sz w:val="20"/>
        </w:rPr>
        <w:t>jolanta.sokolova@vp.gov.lv</w:t>
      </w:r>
    </w:p>
    <w:sectPr w:rsidR="003530C3" w:rsidSect="00DB572A">
      <w:headerReference w:type="default" r:id="rId11"/>
      <w:footerReference w:type="default" r:id="rId12"/>
      <w:footerReference w:type="first" r:id="rId13"/>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4828" w14:textId="77777777" w:rsidR="00A92EBC" w:rsidRDefault="00A92EBC" w:rsidP="00576B88">
      <w:r>
        <w:separator/>
      </w:r>
    </w:p>
  </w:endnote>
  <w:endnote w:type="continuationSeparator" w:id="0">
    <w:p w14:paraId="7D85BA35" w14:textId="77777777" w:rsidR="00A92EBC" w:rsidRDefault="00A92EBC"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75" w14:textId="140E6DE7" w:rsidR="00516922" w:rsidRPr="008412E1" w:rsidRDefault="00516922" w:rsidP="00516922">
    <w:pPr>
      <w:pStyle w:val="Kjene"/>
      <w:jc w:val="both"/>
      <w:rPr>
        <w:sz w:val="20"/>
        <w:szCs w:val="20"/>
      </w:rPr>
    </w:pPr>
    <w:r w:rsidRPr="008412E1">
      <w:rPr>
        <w:sz w:val="20"/>
        <w:szCs w:val="20"/>
      </w:rPr>
      <w:t>M</w:t>
    </w:r>
    <w:r>
      <w:rPr>
        <w:sz w:val="20"/>
        <w:szCs w:val="20"/>
      </w:rPr>
      <w:t>K</w:t>
    </w:r>
    <w:r w:rsidR="00A1075D">
      <w:rPr>
        <w:sz w:val="20"/>
        <w:szCs w:val="20"/>
      </w:rPr>
      <w:t>Anot_12</w:t>
    </w:r>
    <w:r w:rsidR="005B4CCF">
      <w:rPr>
        <w:sz w:val="20"/>
        <w:szCs w:val="20"/>
      </w:rPr>
      <w:t>06</w:t>
    </w:r>
    <w:r>
      <w:rPr>
        <w:sz w:val="20"/>
        <w:szCs w:val="20"/>
      </w:rPr>
      <w:t>19</w:t>
    </w:r>
    <w:r w:rsidRPr="008412E1">
      <w:rPr>
        <w:sz w:val="20"/>
        <w:szCs w:val="20"/>
      </w:rPr>
      <w:t>_</w:t>
    </w:r>
    <w:r>
      <w:rPr>
        <w:sz w:val="20"/>
        <w:szCs w:val="20"/>
      </w:rPr>
      <w:t>formas_terpi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68CD" w14:textId="04F5E751" w:rsidR="00AD37B6" w:rsidRPr="008412E1" w:rsidRDefault="008412E1" w:rsidP="00AB27B1">
    <w:pPr>
      <w:pStyle w:val="Kjene"/>
      <w:jc w:val="both"/>
      <w:rPr>
        <w:sz w:val="20"/>
        <w:szCs w:val="20"/>
      </w:rPr>
    </w:pPr>
    <w:r w:rsidRPr="008412E1">
      <w:rPr>
        <w:sz w:val="20"/>
        <w:szCs w:val="20"/>
      </w:rPr>
      <w:t>M</w:t>
    </w:r>
    <w:r w:rsidR="00BA5249">
      <w:rPr>
        <w:sz w:val="20"/>
        <w:szCs w:val="20"/>
      </w:rPr>
      <w:t>K</w:t>
    </w:r>
    <w:r w:rsidRPr="008412E1">
      <w:rPr>
        <w:sz w:val="20"/>
        <w:szCs w:val="20"/>
      </w:rPr>
      <w:t>Anot_</w:t>
    </w:r>
    <w:r w:rsidR="00A1075D">
      <w:rPr>
        <w:sz w:val="20"/>
        <w:szCs w:val="20"/>
      </w:rPr>
      <w:t>1206</w:t>
    </w:r>
    <w:r w:rsidR="003648E7">
      <w:rPr>
        <w:sz w:val="20"/>
        <w:szCs w:val="20"/>
      </w:rPr>
      <w:t>19</w:t>
    </w:r>
    <w:r w:rsidRPr="008412E1">
      <w:rPr>
        <w:sz w:val="20"/>
        <w:szCs w:val="20"/>
      </w:rPr>
      <w:t>_</w:t>
    </w:r>
    <w:r w:rsidR="00BA5249">
      <w:rPr>
        <w:sz w:val="20"/>
        <w:szCs w:val="20"/>
      </w:rPr>
      <w:t>formas_terpi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B5CFC" w14:textId="77777777" w:rsidR="00A92EBC" w:rsidRDefault="00A92EBC" w:rsidP="00576B88">
      <w:r>
        <w:separator/>
      </w:r>
    </w:p>
  </w:footnote>
  <w:footnote w:type="continuationSeparator" w:id="0">
    <w:p w14:paraId="7E5B27AA" w14:textId="77777777" w:rsidR="00A92EBC" w:rsidRDefault="00A92EBC"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37148"/>
      <w:docPartObj>
        <w:docPartGallery w:val="Page Numbers (Top of Page)"/>
        <w:docPartUnique/>
      </w:docPartObj>
    </w:sdtPr>
    <w:sdtEndPr>
      <w:rPr>
        <w:noProof/>
      </w:rPr>
    </w:sdtEndPr>
    <w:sdtContent>
      <w:p w14:paraId="7BD82523" w14:textId="77777777" w:rsidR="00AD37B6" w:rsidRDefault="00060D2F">
        <w:pPr>
          <w:pStyle w:val="Galvene"/>
          <w:jc w:val="center"/>
        </w:pPr>
        <w:r>
          <w:fldChar w:fldCharType="begin"/>
        </w:r>
        <w:r>
          <w:instrText xml:space="preserve"> PAGE   \* MERGEFORMAT </w:instrText>
        </w:r>
        <w:r>
          <w:fldChar w:fldCharType="separate"/>
        </w:r>
        <w:r w:rsidR="00CD05EF">
          <w:rPr>
            <w:noProof/>
          </w:rPr>
          <w:t>7</w:t>
        </w:r>
        <w:r>
          <w:rPr>
            <w:noProof/>
          </w:rPr>
          <w:fldChar w:fldCharType="end"/>
        </w:r>
      </w:p>
    </w:sdtContent>
  </w:sdt>
  <w:p w14:paraId="2E15BAA2" w14:textId="77777777" w:rsidR="00AD37B6" w:rsidRDefault="00CD05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4146"/>
    <w:multiLevelType w:val="multilevel"/>
    <w:tmpl w:val="CF48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05594"/>
    <w:multiLevelType w:val="multilevel"/>
    <w:tmpl w:val="A55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abstractNum w:abstractNumId="3">
    <w:nsid w:val="5AD43551"/>
    <w:multiLevelType w:val="multilevel"/>
    <w:tmpl w:val="4A6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668AC"/>
    <w:multiLevelType w:val="hybridMultilevel"/>
    <w:tmpl w:val="1960E1CA"/>
    <w:lvl w:ilvl="0" w:tplc="21D085BC">
      <w:start w:val="1"/>
      <w:numFmt w:val="bullet"/>
      <w:lvlText w:val=""/>
      <w:lvlJc w:val="left"/>
      <w:pPr>
        <w:tabs>
          <w:tab w:val="num" w:pos="644"/>
        </w:tabs>
        <w:ind w:left="644" w:hanging="360"/>
      </w:pPr>
      <w:rPr>
        <w:rFonts w:ascii="Symbol" w:hAnsi="Symbol" w:hint="default"/>
        <w:sz w:val="16"/>
        <w:szCs w:val="16"/>
      </w:rPr>
    </w:lvl>
    <w:lvl w:ilvl="1" w:tplc="C896AAB2">
      <w:start w:val="2007"/>
      <w:numFmt w:val="bullet"/>
      <w:lvlText w:val="–"/>
      <w:lvlJc w:val="left"/>
      <w:pPr>
        <w:tabs>
          <w:tab w:val="num" w:pos="2039"/>
        </w:tabs>
        <w:ind w:left="2039" w:hanging="1035"/>
      </w:pPr>
      <w:rPr>
        <w:rFonts w:ascii="Times New Roman" w:eastAsia="Times New Roman" w:hAnsi="Times New Roman" w:cs="Times New Roman" w:hint="default"/>
      </w:r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3"/>
    <w:rsid w:val="00002760"/>
    <w:rsid w:val="00004D2F"/>
    <w:rsid w:val="00006892"/>
    <w:rsid w:val="00006A1F"/>
    <w:rsid w:val="000118B3"/>
    <w:rsid w:val="000148C7"/>
    <w:rsid w:val="0001635E"/>
    <w:rsid w:val="000221E9"/>
    <w:rsid w:val="000244F5"/>
    <w:rsid w:val="0002477D"/>
    <w:rsid w:val="000249DD"/>
    <w:rsid w:val="00026670"/>
    <w:rsid w:val="00026CAE"/>
    <w:rsid w:val="0002753D"/>
    <w:rsid w:val="00030E11"/>
    <w:rsid w:val="00033B30"/>
    <w:rsid w:val="00033D6A"/>
    <w:rsid w:val="0003448D"/>
    <w:rsid w:val="000473AC"/>
    <w:rsid w:val="00047F72"/>
    <w:rsid w:val="00057D93"/>
    <w:rsid w:val="00060D2F"/>
    <w:rsid w:val="00065D5D"/>
    <w:rsid w:val="000776D4"/>
    <w:rsid w:val="000863C0"/>
    <w:rsid w:val="000879B3"/>
    <w:rsid w:val="000931F8"/>
    <w:rsid w:val="00094E8B"/>
    <w:rsid w:val="00096810"/>
    <w:rsid w:val="000A3B92"/>
    <w:rsid w:val="000A555F"/>
    <w:rsid w:val="000B7C66"/>
    <w:rsid w:val="000C0841"/>
    <w:rsid w:val="000C4C5A"/>
    <w:rsid w:val="000C7309"/>
    <w:rsid w:val="000D1D6F"/>
    <w:rsid w:val="000D417B"/>
    <w:rsid w:val="000D421F"/>
    <w:rsid w:val="000D7204"/>
    <w:rsid w:val="000E5E8D"/>
    <w:rsid w:val="000F12E7"/>
    <w:rsid w:val="000F42A9"/>
    <w:rsid w:val="000F7C25"/>
    <w:rsid w:val="001073DC"/>
    <w:rsid w:val="001146E8"/>
    <w:rsid w:val="00114764"/>
    <w:rsid w:val="00120075"/>
    <w:rsid w:val="00132E72"/>
    <w:rsid w:val="00134327"/>
    <w:rsid w:val="001523ED"/>
    <w:rsid w:val="00154029"/>
    <w:rsid w:val="00154F6A"/>
    <w:rsid w:val="00155700"/>
    <w:rsid w:val="001566F4"/>
    <w:rsid w:val="001618A2"/>
    <w:rsid w:val="0016535B"/>
    <w:rsid w:val="0016538B"/>
    <w:rsid w:val="00166199"/>
    <w:rsid w:val="00177FBF"/>
    <w:rsid w:val="00182994"/>
    <w:rsid w:val="001851CE"/>
    <w:rsid w:val="0018628A"/>
    <w:rsid w:val="00186A69"/>
    <w:rsid w:val="00191E18"/>
    <w:rsid w:val="001960C8"/>
    <w:rsid w:val="001A2B4A"/>
    <w:rsid w:val="001A40D1"/>
    <w:rsid w:val="001A65C5"/>
    <w:rsid w:val="001A78E9"/>
    <w:rsid w:val="001B2BF1"/>
    <w:rsid w:val="001B2F4A"/>
    <w:rsid w:val="001C5D7F"/>
    <w:rsid w:val="001D19CC"/>
    <w:rsid w:val="001D3C32"/>
    <w:rsid w:val="001D5213"/>
    <w:rsid w:val="001E0C11"/>
    <w:rsid w:val="001E5B17"/>
    <w:rsid w:val="001F0120"/>
    <w:rsid w:val="001F71FC"/>
    <w:rsid w:val="001F7BEC"/>
    <w:rsid w:val="00200577"/>
    <w:rsid w:val="00204689"/>
    <w:rsid w:val="00204FE6"/>
    <w:rsid w:val="00205DA2"/>
    <w:rsid w:val="002076D5"/>
    <w:rsid w:val="00226580"/>
    <w:rsid w:val="00227A7B"/>
    <w:rsid w:val="00227D0F"/>
    <w:rsid w:val="00227EC3"/>
    <w:rsid w:val="00232B0B"/>
    <w:rsid w:val="00240F00"/>
    <w:rsid w:val="00244D40"/>
    <w:rsid w:val="0025034F"/>
    <w:rsid w:val="002579AD"/>
    <w:rsid w:val="0027683A"/>
    <w:rsid w:val="0028174F"/>
    <w:rsid w:val="002849CF"/>
    <w:rsid w:val="00290420"/>
    <w:rsid w:val="00291568"/>
    <w:rsid w:val="002918DE"/>
    <w:rsid w:val="00295DF3"/>
    <w:rsid w:val="002B5959"/>
    <w:rsid w:val="002C000A"/>
    <w:rsid w:val="002C0C5C"/>
    <w:rsid w:val="002C2502"/>
    <w:rsid w:val="002C25E7"/>
    <w:rsid w:val="002C6E4A"/>
    <w:rsid w:val="002C7B61"/>
    <w:rsid w:val="002D1D24"/>
    <w:rsid w:val="002E76BA"/>
    <w:rsid w:val="002E7760"/>
    <w:rsid w:val="00304333"/>
    <w:rsid w:val="00317FD9"/>
    <w:rsid w:val="0032077A"/>
    <w:rsid w:val="00327FFA"/>
    <w:rsid w:val="00337472"/>
    <w:rsid w:val="003429D7"/>
    <w:rsid w:val="00350526"/>
    <w:rsid w:val="003530C3"/>
    <w:rsid w:val="00360F73"/>
    <w:rsid w:val="00363F3A"/>
    <w:rsid w:val="00364347"/>
    <w:rsid w:val="003648E7"/>
    <w:rsid w:val="0036753D"/>
    <w:rsid w:val="00372B9C"/>
    <w:rsid w:val="003731F4"/>
    <w:rsid w:val="00375C51"/>
    <w:rsid w:val="003927CE"/>
    <w:rsid w:val="003938D1"/>
    <w:rsid w:val="003A2465"/>
    <w:rsid w:val="003B66C9"/>
    <w:rsid w:val="003B77B9"/>
    <w:rsid w:val="003C09F5"/>
    <w:rsid w:val="003C339D"/>
    <w:rsid w:val="003C403F"/>
    <w:rsid w:val="003D0E48"/>
    <w:rsid w:val="003D1941"/>
    <w:rsid w:val="003D5B42"/>
    <w:rsid w:val="003E2DD6"/>
    <w:rsid w:val="003E4C6B"/>
    <w:rsid w:val="003F0D7D"/>
    <w:rsid w:val="003F6F38"/>
    <w:rsid w:val="003F7E1E"/>
    <w:rsid w:val="00402EF1"/>
    <w:rsid w:val="00412E08"/>
    <w:rsid w:val="004169B9"/>
    <w:rsid w:val="00420DD1"/>
    <w:rsid w:val="0042479E"/>
    <w:rsid w:val="00427DE3"/>
    <w:rsid w:val="00430376"/>
    <w:rsid w:val="00430698"/>
    <w:rsid w:val="00430721"/>
    <w:rsid w:val="00446513"/>
    <w:rsid w:val="00452BE6"/>
    <w:rsid w:val="00461CF3"/>
    <w:rsid w:val="00461E86"/>
    <w:rsid w:val="0046390C"/>
    <w:rsid w:val="00471533"/>
    <w:rsid w:val="00474D46"/>
    <w:rsid w:val="004820A6"/>
    <w:rsid w:val="00482381"/>
    <w:rsid w:val="004841D3"/>
    <w:rsid w:val="00484EC5"/>
    <w:rsid w:val="00486A7C"/>
    <w:rsid w:val="0048778F"/>
    <w:rsid w:val="0049108F"/>
    <w:rsid w:val="004969B9"/>
    <w:rsid w:val="004A607B"/>
    <w:rsid w:val="004B30AE"/>
    <w:rsid w:val="004B481D"/>
    <w:rsid w:val="004C505A"/>
    <w:rsid w:val="004C53E5"/>
    <w:rsid w:val="004C5C12"/>
    <w:rsid w:val="004C7817"/>
    <w:rsid w:val="004E221A"/>
    <w:rsid w:val="004F67B4"/>
    <w:rsid w:val="004F6C87"/>
    <w:rsid w:val="004F793F"/>
    <w:rsid w:val="00504B47"/>
    <w:rsid w:val="0050624C"/>
    <w:rsid w:val="005138A2"/>
    <w:rsid w:val="00516922"/>
    <w:rsid w:val="00520D7A"/>
    <w:rsid w:val="00524B09"/>
    <w:rsid w:val="00542E39"/>
    <w:rsid w:val="00545B10"/>
    <w:rsid w:val="005556FC"/>
    <w:rsid w:val="00563119"/>
    <w:rsid w:val="005720DF"/>
    <w:rsid w:val="00576B88"/>
    <w:rsid w:val="00577509"/>
    <w:rsid w:val="005808C4"/>
    <w:rsid w:val="0058479D"/>
    <w:rsid w:val="005A0F3D"/>
    <w:rsid w:val="005A457A"/>
    <w:rsid w:val="005A67C4"/>
    <w:rsid w:val="005B45F1"/>
    <w:rsid w:val="005B4CCF"/>
    <w:rsid w:val="005B651E"/>
    <w:rsid w:val="005B6BFB"/>
    <w:rsid w:val="005C1D8D"/>
    <w:rsid w:val="005C3DC1"/>
    <w:rsid w:val="005C5E37"/>
    <w:rsid w:val="005E71FE"/>
    <w:rsid w:val="005F1238"/>
    <w:rsid w:val="005F2102"/>
    <w:rsid w:val="00602D68"/>
    <w:rsid w:val="00602E3C"/>
    <w:rsid w:val="0060415A"/>
    <w:rsid w:val="006108EC"/>
    <w:rsid w:val="00611247"/>
    <w:rsid w:val="006120A5"/>
    <w:rsid w:val="006144ED"/>
    <w:rsid w:val="006154A4"/>
    <w:rsid w:val="00615614"/>
    <w:rsid w:val="00626149"/>
    <w:rsid w:val="006263C0"/>
    <w:rsid w:val="00634F3E"/>
    <w:rsid w:val="00651203"/>
    <w:rsid w:val="00652C4E"/>
    <w:rsid w:val="006563BB"/>
    <w:rsid w:val="00657815"/>
    <w:rsid w:val="006606C1"/>
    <w:rsid w:val="00662174"/>
    <w:rsid w:val="00670B42"/>
    <w:rsid w:val="00672FA7"/>
    <w:rsid w:val="0067463A"/>
    <w:rsid w:val="00675EE9"/>
    <w:rsid w:val="00676391"/>
    <w:rsid w:val="00676BB9"/>
    <w:rsid w:val="00677745"/>
    <w:rsid w:val="006834C1"/>
    <w:rsid w:val="00683CFF"/>
    <w:rsid w:val="00685203"/>
    <w:rsid w:val="0068599B"/>
    <w:rsid w:val="006A030D"/>
    <w:rsid w:val="006A32DB"/>
    <w:rsid w:val="006B6789"/>
    <w:rsid w:val="006C1605"/>
    <w:rsid w:val="006C78FE"/>
    <w:rsid w:val="006D7533"/>
    <w:rsid w:val="006E3B9D"/>
    <w:rsid w:val="006E4B84"/>
    <w:rsid w:val="006E608E"/>
    <w:rsid w:val="006E6996"/>
    <w:rsid w:val="006F5AAE"/>
    <w:rsid w:val="006F6C55"/>
    <w:rsid w:val="007058DE"/>
    <w:rsid w:val="00710639"/>
    <w:rsid w:val="00711299"/>
    <w:rsid w:val="00711606"/>
    <w:rsid w:val="00712EC7"/>
    <w:rsid w:val="0071427E"/>
    <w:rsid w:val="00720DD8"/>
    <w:rsid w:val="007251E2"/>
    <w:rsid w:val="0072736D"/>
    <w:rsid w:val="00740663"/>
    <w:rsid w:val="0074186D"/>
    <w:rsid w:val="00743442"/>
    <w:rsid w:val="00747593"/>
    <w:rsid w:val="007512B3"/>
    <w:rsid w:val="007536E7"/>
    <w:rsid w:val="0076384E"/>
    <w:rsid w:val="00787929"/>
    <w:rsid w:val="007A33B8"/>
    <w:rsid w:val="007B3C6B"/>
    <w:rsid w:val="007B5DC2"/>
    <w:rsid w:val="007C0635"/>
    <w:rsid w:val="007C3E79"/>
    <w:rsid w:val="007C696F"/>
    <w:rsid w:val="007C6E4D"/>
    <w:rsid w:val="007D4D8B"/>
    <w:rsid w:val="007D565B"/>
    <w:rsid w:val="007D6D1F"/>
    <w:rsid w:val="007D7563"/>
    <w:rsid w:val="007E17F0"/>
    <w:rsid w:val="007E4506"/>
    <w:rsid w:val="007E650A"/>
    <w:rsid w:val="007E7008"/>
    <w:rsid w:val="007F0A02"/>
    <w:rsid w:val="007F1630"/>
    <w:rsid w:val="008026B0"/>
    <w:rsid w:val="008178AB"/>
    <w:rsid w:val="0082605B"/>
    <w:rsid w:val="008300B5"/>
    <w:rsid w:val="00837C85"/>
    <w:rsid w:val="008412E1"/>
    <w:rsid w:val="00841974"/>
    <w:rsid w:val="00845CF0"/>
    <w:rsid w:val="008479F7"/>
    <w:rsid w:val="008503C1"/>
    <w:rsid w:val="0085072F"/>
    <w:rsid w:val="0085124E"/>
    <w:rsid w:val="008539A0"/>
    <w:rsid w:val="00856252"/>
    <w:rsid w:val="00861408"/>
    <w:rsid w:val="0086404F"/>
    <w:rsid w:val="008707C6"/>
    <w:rsid w:val="0087143A"/>
    <w:rsid w:val="00871AD2"/>
    <w:rsid w:val="00875119"/>
    <w:rsid w:val="00877483"/>
    <w:rsid w:val="00881A5A"/>
    <w:rsid w:val="00884F62"/>
    <w:rsid w:val="00897600"/>
    <w:rsid w:val="008A379D"/>
    <w:rsid w:val="008A7647"/>
    <w:rsid w:val="008A7B57"/>
    <w:rsid w:val="008B07E7"/>
    <w:rsid w:val="008B61FE"/>
    <w:rsid w:val="008C2FD8"/>
    <w:rsid w:val="008C6D39"/>
    <w:rsid w:val="008D15BE"/>
    <w:rsid w:val="008D76D2"/>
    <w:rsid w:val="008E38F9"/>
    <w:rsid w:val="008F0BA5"/>
    <w:rsid w:val="008F185B"/>
    <w:rsid w:val="008F194C"/>
    <w:rsid w:val="008F7B68"/>
    <w:rsid w:val="00901155"/>
    <w:rsid w:val="00917E30"/>
    <w:rsid w:val="0092075C"/>
    <w:rsid w:val="009231C9"/>
    <w:rsid w:val="009255A8"/>
    <w:rsid w:val="009278D1"/>
    <w:rsid w:val="00935F7B"/>
    <w:rsid w:val="00942610"/>
    <w:rsid w:val="00944F28"/>
    <w:rsid w:val="00950F0F"/>
    <w:rsid w:val="00952B73"/>
    <w:rsid w:val="00953597"/>
    <w:rsid w:val="00963C7C"/>
    <w:rsid w:val="00965A77"/>
    <w:rsid w:val="00995A32"/>
    <w:rsid w:val="00996527"/>
    <w:rsid w:val="00997776"/>
    <w:rsid w:val="009B698A"/>
    <w:rsid w:val="009C0074"/>
    <w:rsid w:val="009C5B40"/>
    <w:rsid w:val="009C639B"/>
    <w:rsid w:val="009D09F5"/>
    <w:rsid w:val="009E16B8"/>
    <w:rsid w:val="009F3507"/>
    <w:rsid w:val="009F6C6C"/>
    <w:rsid w:val="00A02CF9"/>
    <w:rsid w:val="00A041BC"/>
    <w:rsid w:val="00A05366"/>
    <w:rsid w:val="00A06933"/>
    <w:rsid w:val="00A1075D"/>
    <w:rsid w:val="00A131CC"/>
    <w:rsid w:val="00A14065"/>
    <w:rsid w:val="00A141BD"/>
    <w:rsid w:val="00A15681"/>
    <w:rsid w:val="00A213A3"/>
    <w:rsid w:val="00A30306"/>
    <w:rsid w:val="00A31321"/>
    <w:rsid w:val="00A34E43"/>
    <w:rsid w:val="00A40C94"/>
    <w:rsid w:val="00A448E7"/>
    <w:rsid w:val="00A46FA3"/>
    <w:rsid w:val="00A62524"/>
    <w:rsid w:val="00A64567"/>
    <w:rsid w:val="00A672BA"/>
    <w:rsid w:val="00A70D18"/>
    <w:rsid w:val="00A74F2C"/>
    <w:rsid w:val="00A77B6C"/>
    <w:rsid w:val="00A80CD2"/>
    <w:rsid w:val="00A842B2"/>
    <w:rsid w:val="00A850C4"/>
    <w:rsid w:val="00A8763A"/>
    <w:rsid w:val="00A92EBC"/>
    <w:rsid w:val="00A9353A"/>
    <w:rsid w:val="00A9425E"/>
    <w:rsid w:val="00A948C3"/>
    <w:rsid w:val="00A96059"/>
    <w:rsid w:val="00A9724C"/>
    <w:rsid w:val="00AA4F11"/>
    <w:rsid w:val="00AB546A"/>
    <w:rsid w:val="00AB75F6"/>
    <w:rsid w:val="00AC437B"/>
    <w:rsid w:val="00AC6CE8"/>
    <w:rsid w:val="00AD3594"/>
    <w:rsid w:val="00AE2AD2"/>
    <w:rsid w:val="00AE2E74"/>
    <w:rsid w:val="00AE76F4"/>
    <w:rsid w:val="00B00AC9"/>
    <w:rsid w:val="00B019B8"/>
    <w:rsid w:val="00B03372"/>
    <w:rsid w:val="00B0447A"/>
    <w:rsid w:val="00B0750D"/>
    <w:rsid w:val="00B17277"/>
    <w:rsid w:val="00B22C71"/>
    <w:rsid w:val="00B23199"/>
    <w:rsid w:val="00B57E85"/>
    <w:rsid w:val="00B62AF8"/>
    <w:rsid w:val="00B72852"/>
    <w:rsid w:val="00B80340"/>
    <w:rsid w:val="00B84DA5"/>
    <w:rsid w:val="00B853B7"/>
    <w:rsid w:val="00B9172B"/>
    <w:rsid w:val="00B94402"/>
    <w:rsid w:val="00BA0D6C"/>
    <w:rsid w:val="00BA5249"/>
    <w:rsid w:val="00BB5D3C"/>
    <w:rsid w:val="00BC1544"/>
    <w:rsid w:val="00BC2F4E"/>
    <w:rsid w:val="00BD3960"/>
    <w:rsid w:val="00BD3F81"/>
    <w:rsid w:val="00BE74DE"/>
    <w:rsid w:val="00BF00BA"/>
    <w:rsid w:val="00BF260C"/>
    <w:rsid w:val="00C04B9C"/>
    <w:rsid w:val="00C04BE9"/>
    <w:rsid w:val="00C079C9"/>
    <w:rsid w:val="00C13488"/>
    <w:rsid w:val="00C42A27"/>
    <w:rsid w:val="00C467FF"/>
    <w:rsid w:val="00C62858"/>
    <w:rsid w:val="00C7232A"/>
    <w:rsid w:val="00C846DD"/>
    <w:rsid w:val="00C91CAA"/>
    <w:rsid w:val="00CA2065"/>
    <w:rsid w:val="00CA2B6C"/>
    <w:rsid w:val="00CA3B06"/>
    <w:rsid w:val="00CA3D0B"/>
    <w:rsid w:val="00CA612D"/>
    <w:rsid w:val="00CB654C"/>
    <w:rsid w:val="00CB6AB0"/>
    <w:rsid w:val="00CC1894"/>
    <w:rsid w:val="00CD05EF"/>
    <w:rsid w:val="00CD10D7"/>
    <w:rsid w:val="00CD1AC8"/>
    <w:rsid w:val="00CD4DFD"/>
    <w:rsid w:val="00CE0452"/>
    <w:rsid w:val="00CE4D01"/>
    <w:rsid w:val="00CF3D09"/>
    <w:rsid w:val="00CF476B"/>
    <w:rsid w:val="00CF6516"/>
    <w:rsid w:val="00D01179"/>
    <w:rsid w:val="00D05DC1"/>
    <w:rsid w:val="00D1274D"/>
    <w:rsid w:val="00D12836"/>
    <w:rsid w:val="00D15613"/>
    <w:rsid w:val="00D236F7"/>
    <w:rsid w:val="00D331C7"/>
    <w:rsid w:val="00D34CF3"/>
    <w:rsid w:val="00D51FF4"/>
    <w:rsid w:val="00D53B89"/>
    <w:rsid w:val="00D54509"/>
    <w:rsid w:val="00D63B57"/>
    <w:rsid w:val="00D65372"/>
    <w:rsid w:val="00D725EC"/>
    <w:rsid w:val="00D74C6E"/>
    <w:rsid w:val="00D75639"/>
    <w:rsid w:val="00D959DF"/>
    <w:rsid w:val="00D97393"/>
    <w:rsid w:val="00DA1554"/>
    <w:rsid w:val="00DA2A19"/>
    <w:rsid w:val="00DA5ECE"/>
    <w:rsid w:val="00DA6BA9"/>
    <w:rsid w:val="00DB0E17"/>
    <w:rsid w:val="00DB53E8"/>
    <w:rsid w:val="00DB572A"/>
    <w:rsid w:val="00DB72B8"/>
    <w:rsid w:val="00DC1E22"/>
    <w:rsid w:val="00DD311F"/>
    <w:rsid w:val="00DD37D4"/>
    <w:rsid w:val="00DD7836"/>
    <w:rsid w:val="00DE0AA2"/>
    <w:rsid w:val="00DE17EC"/>
    <w:rsid w:val="00DE71BF"/>
    <w:rsid w:val="00DE7587"/>
    <w:rsid w:val="00DF7067"/>
    <w:rsid w:val="00E00B9A"/>
    <w:rsid w:val="00E03E53"/>
    <w:rsid w:val="00E05B41"/>
    <w:rsid w:val="00E10187"/>
    <w:rsid w:val="00E24369"/>
    <w:rsid w:val="00E361AE"/>
    <w:rsid w:val="00E421AC"/>
    <w:rsid w:val="00E4505A"/>
    <w:rsid w:val="00E51BB3"/>
    <w:rsid w:val="00E55E95"/>
    <w:rsid w:val="00E56FE4"/>
    <w:rsid w:val="00E601FE"/>
    <w:rsid w:val="00E65669"/>
    <w:rsid w:val="00E71B21"/>
    <w:rsid w:val="00E73E3C"/>
    <w:rsid w:val="00E84948"/>
    <w:rsid w:val="00E85ABF"/>
    <w:rsid w:val="00E93211"/>
    <w:rsid w:val="00EA0F7D"/>
    <w:rsid w:val="00EA3ADF"/>
    <w:rsid w:val="00EA5C30"/>
    <w:rsid w:val="00EA776E"/>
    <w:rsid w:val="00EB05EE"/>
    <w:rsid w:val="00EB4569"/>
    <w:rsid w:val="00EB7844"/>
    <w:rsid w:val="00EC2123"/>
    <w:rsid w:val="00EC7CD6"/>
    <w:rsid w:val="00EE0FDB"/>
    <w:rsid w:val="00EE7D87"/>
    <w:rsid w:val="00EF4FA3"/>
    <w:rsid w:val="00F00D23"/>
    <w:rsid w:val="00F13ECB"/>
    <w:rsid w:val="00F14768"/>
    <w:rsid w:val="00F16DE7"/>
    <w:rsid w:val="00F21002"/>
    <w:rsid w:val="00F2264A"/>
    <w:rsid w:val="00F22C35"/>
    <w:rsid w:val="00F231DE"/>
    <w:rsid w:val="00F25FED"/>
    <w:rsid w:val="00F32342"/>
    <w:rsid w:val="00F33AAD"/>
    <w:rsid w:val="00F40C20"/>
    <w:rsid w:val="00F426E3"/>
    <w:rsid w:val="00F52AC4"/>
    <w:rsid w:val="00F72189"/>
    <w:rsid w:val="00F81B02"/>
    <w:rsid w:val="00F822C1"/>
    <w:rsid w:val="00F828C3"/>
    <w:rsid w:val="00F849A2"/>
    <w:rsid w:val="00F94ACA"/>
    <w:rsid w:val="00FA3A34"/>
    <w:rsid w:val="00FA497A"/>
    <w:rsid w:val="00FA692D"/>
    <w:rsid w:val="00FA71D4"/>
    <w:rsid w:val="00FB24A2"/>
    <w:rsid w:val="00FB53A8"/>
    <w:rsid w:val="00FB5790"/>
    <w:rsid w:val="00FB7105"/>
    <w:rsid w:val="00FB7D0F"/>
    <w:rsid w:val="00FC2CCB"/>
    <w:rsid w:val="00FC5E9D"/>
    <w:rsid w:val="00FE6D95"/>
    <w:rsid w:val="00FE7942"/>
    <w:rsid w:val="00FF3982"/>
    <w:rsid w:val="00FF6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customStyle="1" w:styleId="tv2132">
    <w:name w:val="tv2132"/>
    <w:basedOn w:val="Parasts"/>
    <w:rsid w:val="000E5E8D"/>
    <w:pPr>
      <w:spacing w:line="360" w:lineRule="auto"/>
      <w:ind w:firstLine="300"/>
    </w:pPr>
    <w:rPr>
      <w:color w:val="414142"/>
      <w:sz w:val="20"/>
      <w:szCs w:val="20"/>
    </w:rPr>
  </w:style>
  <w:style w:type="paragraph" w:customStyle="1" w:styleId="tv213">
    <w:name w:val="tv213"/>
    <w:basedOn w:val="Parasts"/>
    <w:rsid w:val="003F0D7D"/>
    <w:pPr>
      <w:spacing w:before="100" w:beforeAutospacing="1" w:after="100" w:afterAutospacing="1"/>
    </w:pPr>
  </w:style>
  <w:style w:type="paragraph" w:customStyle="1" w:styleId="naislab">
    <w:name w:val="naislab"/>
    <w:basedOn w:val="Parasts"/>
    <w:uiPriority w:val="99"/>
    <w:rsid w:val="008F185B"/>
    <w:pPr>
      <w:spacing w:before="75" w:after="75"/>
      <w:jc w:val="right"/>
    </w:pPr>
  </w:style>
  <w:style w:type="paragraph" w:styleId="Bezatstarpm">
    <w:name w:val="No Spacing"/>
    <w:uiPriority w:val="1"/>
    <w:qFormat/>
    <w:rsid w:val="00950F0F"/>
    <w:rPr>
      <w:rFonts w:ascii="Calibri" w:eastAsia="Times New Roman" w:hAnsi="Calibri" w:cs="Times New Roman"/>
      <w:sz w:val="22"/>
      <w:lang w:eastAsia="lv-LV"/>
    </w:rPr>
  </w:style>
  <w:style w:type="paragraph" w:customStyle="1" w:styleId="naisnod">
    <w:name w:val="naisnod"/>
    <w:basedOn w:val="Parasts"/>
    <w:rsid w:val="00EC2123"/>
    <w:pPr>
      <w:spacing w:before="150" w:after="150"/>
      <w:jc w:val="center"/>
    </w:pPr>
    <w:rPr>
      <w:b/>
      <w:bCs/>
    </w:rPr>
  </w:style>
  <w:style w:type="character" w:styleId="Izteiksmgs">
    <w:name w:val="Strong"/>
    <w:basedOn w:val="Noklusjumarindkopasfonts"/>
    <w:uiPriority w:val="22"/>
    <w:qFormat/>
    <w:rsid w:val="009D09F5"/>
    <w:rPr>
      <w:b/>
      <w:bCs/>
    </w:rPr>
  </w:style>
  <w:style w:type="character" w:customStyle="1" w:styleId="spelle">
    <w:name w:val="spelle"/>
    <w:basedOn w:val="Noklusjumarindkopasfonts"/>
    <w:rsid w:val="00AC437B"/>
  </w:style>
  <w:style w:type="paragraph" w:styleId="Paraststmeklis">
    <w:name w:val="Normal (Web)"/>
    <w:basedOn w:val="Parasts"/>
    <w:uiPriority w:val="99"/>
    <w:semiHidden/>
    <w:unhideWhenUsed/>
    <w:rsid w:val="00A30306"/>
    <w:pPr>
      <w:spacing w:after="240"/>
    </w:pPr>
  </w:style>
  <w:style w:type="character" w:customStyle="1" w:styleId="st1">
    <w:name w:val="st1"/>
    <w:basedOn w:val="Noklusjumarindkopasfonts"/>
    <w:rsid w:val="00F426E3"/>
  </w:style>
  <w:style w:type="paragraph" w:styleId="Vresteksts">
    <w:name w:val="footnote text"/>
    <w:basedOn w:val="Parasts"/>
    <w:link w:val="VrestekstsRakstz"/>
    <w:uiPriority w:val="99"/>
    <w:semiHidden/>
    <w:unhideWhenUsed/>
    <w:rsid w:val="00461E86"/>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461E86"/>
    <w:rPr>
      <w:rFonts w:asciiTheme="minorHAnsi" w:hAnsiTheme="minorHAnsi"/>
      <w:sz w:val="20"/>
      <w:szCs w:val="20"/>
    </w:rPr>
  </w:style>
  <w:style w:type="character" w:styleId="Vresatsauce">
    <w:name w:val="footnote reference"/>
    <w:basedOn w:val="Noklusjumarindkopasfonts"/>
    <w:uiPriority w:val="99"/>
    <w:semiHidden/>
    <w:unhideWhenUsed/>
    <w:rsid w:val="00461E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customStyle="1" w:styleId="tv2132">
    <w:name w:val="tv2132"/>
    <w:basedOn w:val="Parasts"/>
    <w:rsid w:val="000E5E8D"/>
    <w:pPr>
      <w:spacing w:line="360" w:lineRule="auto"/>
      <w:ind w:firstLine="300"/>
    </w:pPr>
    <w:rPr>
      <w:color w:val="414142"/>
      <w:sz w:val="20"/>
      <w:szCs w:val="20"/>
    </w:rPr>
  </w:style>
  <w:style w:type="paragraph" w:customStyle="1" w:styleId="tv213">
    <w:name w:val="tv213"/>
    <w:basedOn w:val="Parasts"/>
    <w:rsid w:val="003F0D7D"/>
    <w:pPr>
      <w:spacing w:before="100" w:beforeAutospacing="1" w:after="100" w:afterAutospacing="1"/>
    </w:pPr>
  </w:style>
  <w:style w:type="paragraph" w:customStyle="1" w:styleId="naislab">
    <w:name w:val="naislab"/>
    <w:basedOn w:val="Parasts"/>
    <w:uiPriority w:val="99"/>
    <w:rsid w:val="008F185B"/>
    <w:pPr>
      <w:spacing w:before="75" w:after="75"/>
      <w:jc w:val="right"/>
    </w:pPr>
  </w:style>
  <w:style w:type="paragraph" w:styleId="Bezatstarpm">
    <w:name w:val="No Spacing"/>
    <w:uiPriority w:val="1"/>
    <w:qFormat/>
    <w:rsid w:val="00950F0F"/>
    <w:rPr>
      <w:rFonts w:ascii="Calibri" w:eastAsia="Times New Roman" w:hAnsi="Calibri" w:cs="Times New Roman"/>
      <w:sz w:val="22"/>
      <w:lang w:eastAsia="lv-LV"/>
    </w:rPr>
  </w:style>
  <w:style w:type="paragraph" w:customStyle="1" w:styleId="naisnod">
    <w:name w:val="naisnod"/>
    <w:basedOn w:val="Parasts"/>
    <w:rsid w:val="00EC2123"/>
    <w:pPr>
      <w:spacing w:before="150" w:after="150"/>
      <w:jc w:val="center"/>
    </w:pPr>
    <w:rPr>
      <w:b/>
      <w:bCs/>
    </w:rPr>
  </w:style>
  <w:style w:type="character" w:styleId="Izteiksmgs">
    <w:name w:val="Strong"/>
    <w:basedOn w:val="Noklusjumarindkopasfonts"/>
    <w:uiPriority w:val="22"/>
    <w:qFormat/>
    <w:rsid w:val="009D09F5"/>
    <w:rPr>
      <w:b/>
      <w:bCs/>
    </w:rPr>
  </w:style>
  <w:style w:type="character" w:customStyle="1" w:styleId="spelle">
    <w:name w:val="spelle"/>
    <w:basedOn w:val="Noklusjumarindkopasfonts"/>
    <w:rsid w:val="00AC437B"/>
  </w:style>
  <w:style w:type="paragraph" w:styleId="Paraststmeklis">
    <w:name w:val="Normal (Web)"/>
    <w:basedOn w:val="Parasts"/>
    <w:uiPriority w:val="99"/>
    <w:semiHidden/>
    <w:unhideWhenUsed/>
    <w:rsid w:val="00A30306"/>
    <w:pPr>
      <w:spacing w:after="240"/>
    </w:pPr>
  </w:style>
  <w:style w:type="character" w:customStyle="1" w:styleId="st1">
    <w:name w:val="st1"/>
    <w:basedOn w:val="Noklusjumarindkopasfonts"/>
    <w:rsid w:val="00F426E3"/>
  </w:style>
  <w:style w:type="paragraph" w:styleId="Vresteksts">
    <w:name w:val="footnote text"/>
    <w:basedOn w:val="Parasts"/>
    <w:link w:val="VrestekstsRakstz"/>
    <w:uiPriority w:val="99"/>
    <w:semiHidden/>
    <w:unhideWhenUsed/>
    <w:rsid w:val="00461E86"/>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461E86"/>
    <w:rPr>
      <w:rFonts w:asciiTheme="minorHAnsi" w:hAnsiTheme="minorHAnsi"/>
      <w:sz w:val="20"/>
      <w:szCs w:val="20"/>
    </w:rPr>
  </w:style>
  <w:style w:type="character" w:styleId="Vresatsauce">
    <w:name w:val="footnote reference"/>
    <w:basedOn w:val="Noklusjumarindkopasfonts"/>
    <w:uiPriority w:val="99"/>
    <w:semiHidden/>
    <w:unhideWhenUsed/>
    <w:rsid w:val="00461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0163">
      <w:bodyDiv w:val="1"/>
      <w:marLeft w:val="0"/>
      <w:marRight w:val="0"/>
      <w:marTop w:val="0"/>
      <w:marBottom w:val="0"/>
      <w:divBdr>
        <w:top w:val="none" w:sz="0" w:space="0" w:color="auto"/>
        <w:left w:val="none" w:sz="0" w:space="0" w:color="auto"/>
        <w:bottom w:val="none" w:sz="0" w:space="0" w:color="auto"/>
        <w:right w:val="none" w:sz="0" w:space="0" w:color="auto"/>
      </w:divBdr>
    </w:div>
    <w:div w:id="922488521">
      <w:bodyDiv w:val="1"/>
      <w:marLeft w:val="0"/>
      <w:marRight w:val="0"/>
      <w:marTop w:val="0"/>
      <w:marBottom w:val="0"/>
      <w:divBdr>
        <w:top w:val="none" w:sz="0" w:space="0" w:color="auto"/>
        <w:left w:val="none" w:sz="0" w:space="0" w:color="auto"/>
        <w:bottom w:val="none" w:sz="0" w:space="0" w:color="auto"/>
        <w:right w:val="none" w:sz="0" w:space="0" w:color="auto"/>
      </w:divBdr>
    </w:div>
    <w:div w:id="1097091096">
      <w:bodyDiv w:val="1"/>
      <w:marLeft w:val="0"/>
      <w:marRight w:val="0"/>
      <w:marTop w:val="0"/>
      <w:marBottom w:val="0"/>
      <w:divBdr>
        <w:top w:val="none" w:sz="0" w:space="0" w:color="auto"/>
        <w:left w:val="none" w:sz="0" w:space="0" w:color="auto"/>
        <w:bottom w:val="none" w:sz="0" w:space="0" w:color="auto"/>
        <w:right w:val="none" w:sz="0" w:space="0" w:color="auto"/>
      </w:divBdr>
    </w:div>
    <w:div w:id="1376002280">
      <w:bodyDiv w:val="1"/>
      <w:marLeft w:val="0"/>
      <w:marRight w:val="0"/>
      <w:marTop w:val="0"/>
      <w:marBottom w:val="0"/>
      <w:divBdr>
        <w:top w:val="none" w:sz="0" w:space="0" w:color="auto"/>
        <w:left w:val="none" w:sz="0" w:space="0" w:color="auto"/>
        <w:bottom w:val="none" w:sz="0" w:space="0" w:color="auto"/>
        <w:right w:val="none" w:sz="0" w:space="0" w:color="auto"/>
      </w:divBdr>
      <w:divsChild>
        <w:div w:id="1076778379">
          <w:marLeft w:val="0"/>
          <w:marRight w:val="0"/>
          <w:marTop w:val="0"/>
          <w:marBottom w:val="0"/>
          <w:divBdr>
            <w:top w:val="none" w:sz="0" w:space="0" w:color="auto"/>
            <w:left w:val="none" w:sz="0" w:space="0" w:color="auto"/>
            <w:bottom w:val="none" w:sz="0" w:space="0" w:color="auto"/>
            <w:right w:val="none" w:sz="0" w:space="0" w:color="auto"/>
          </w:divBdr>
          <w:divsChild>
            <w:div w:id="13422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620">
      <w:bodyDiv w:val="1"/>
      <w:marLeft w:val="0"/>
      <w:marRight w:val="0"/>
      <w:marTop w:val="0"/>
      <w:marBottom w:val="0"/>
      <w:divBdr>
        <w:top w:val="none" w:sz="0" w:space="0" w:color="auto"/>
        <w:left w:val="none" w:sz="0" w:space="0" w:color="auto"/>
        <w:bottom w:val="none" w:sz="0" w:space="0" w:color="auto"/>
        <w:right w:val="none" w:sz="0" w:space="0" w:color="auto"/>
      </w:divBdr>
      <w:divsChild>
        <w:div w:id="1710573028">
          <w:marLeft w:val="0"/>
          <w:marRight w:val="0"/>
          <w:marTop w:val="0"/>
          <w:marBottom w:val="0"/>
          <w:divBdr>
            <w:top w:val="none" w:sz="0" w:space="0" w:color="auto"/>
            <w:left w:val="none" w:sz="0" w:space="0" w:color="auto"/>
            <w:bottom w:val="none" w:sz="0" w:space="0" w:color="auto"/>
            <w:right w:val="none" w:sz="0" w:space="0" w:color="auto"/>
          </w:divBdr>
          <w:divsChild>
            <w:div w:id="1932657617">
              <w:marLeft w:val="0"/>
              <w:marRight w:val="0"/>
              <w:marTop w:val="0"/>
              <w:marBottom w:val="0"/>
              <w:divBdr>
                <w:top w:val="none" w:sz="0" w:space="0" w:color="auto"/>
                <w:left w:val="none" w:sz="0" w:space="0" w:color="auto"/>
                <w:bottom w:val="none" w:sz="0" w:space="0" w:color="auto"/>
                <w:right w:val="none" w:sz="0" w:space="0" w:color="auto"/>
              </w:divBdr>
              <w:divsChild>
                <w:div w:id="1286499138">
                  <w:marLeft w:val="0"/>
                  <w:marRight w:val="0"/>
                  <w:marTop w:val="0"/>
                  <w:marBottom w:val="0"/>
                  <w:divBdr>
                    <w:top w:val="none" w:sz="0" w:space="0" w:color="auto"/>
                    <w:left w:val="none" w:sz="0" w:space="0" w:color="auto"/>
                    <w:bottom w:val="none" w:sz="0" w:space="0" w:color="auto"/>
                    <w:right w:val="none" w:sz="0" w:space="0" w:color="auto"/>
                  </w:divBdr>
                  <w:divsChild>
                    <w:div w:id="725302822">
                      <w:marLeft w:val="0"/>
                      <w:marRight w:val="0"/>
                      <w:marTop w:val="0"/>
                      <w:marBottom w:val="0"/>
                      <w:divBdr>
                        <w:top w:val="none" w:sz="0" w:space="0" w:color="auto"/>
                        <w:left w:val="none" w:sz="0" w:space="0" w:color="auto"/>
                        <w:bottom w:val="none" w:sz="0" w:space="0" w:color="auto"/>
                        <w:right w:val="none" w:sz="0" w:space="0" w:color="auto"/>
                      </w:divBdr>
                      <w:divsChild>
                        <w:div w:id="1396079574">
                          <w:marLeft w:val="0"/>
                          <w:marRight w:val="0"/>
                          <w:marTop w:val="0"/>
                          <w:marBottom w:val="0"/>
                          <w:divBdr>
                            <w:top w:val="none" w:sz="0" w:space="0" w:color="auto"/>
                            <w:left w:val="none" w:sz="0" w:space="0" w:color="auto"/>
                            <w:bottom w:val="none" w:sz="0" w:space="0" w:color="auto"/>
                            <w:right w:val="none" w:sz="0" w:space="0" w:color="auto"/>
                          </w:divBdr>
                          <w:divsChild>
                            <w:div w:id="1858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0504">
      <w:bodyDiv w:val="1"/>
      <w:marLeft w:val="0"/>
      <w:marRight w:val="0"/>
      <w:marTop w:val="0"/>
      <w:marBottom w:val="0"/>
      <w:divBdr>
        <w:top w:val="none" w:sz="0" w:space="0" w:color="auto"/>
        <w:left w:val="none" w:sz="0" w:space="0" w:color="auto"/>
        <w:bottom w:val="none" w:sz="0" w:space="0" w:color="auto"/>
        <w:right w:val="none" w:sz="0" w:space="0" w:color="auto"/>
      </w:divBdr>
    </w:div>
    <w:div w:id="1534919263">
      <w:bodyDiv w:val="1"/>
      <w:marLeft w:val="0"/>
      <w:marRight w:val="0"/>
      <w:marTop w:val="0"/>
      <w:marBottom w:val="0"/>
      <w:divBdr>
        <w:top w:val="none" w:sz="0" w:space="0" w:color="auto"/>
        <w:left w:val="none" w:sz="0" w:space="0" w:color="auto"/>
        <w:bottom w:val="none" w:sz="0" w:space="0" w:color="auto"/>
        <w:right w:val="none" w:sz="0" w:space="0" w:color="auto"/>
      </w:divBdr>
      <w:divsChild>
        <w:div w:id="477843230">
          <w:marLeft w:val="0"/>
          <w:marRight w:val="0"/>
          <w:marTop w:val="0"/>
          <w:marBottom w:val="0"/>
          <w:divBdr>
            <w:top w:val="none" w:sz="0" w:space="0" w:color="auto"/>
            <w:left w:val="none" w:sz="0" w:space="0" w:color="auto"/>
            <w:bottom w:val="none" w:sz="0" w:space="0" w:color="auto"/>
            <w:right w:val="none" w:sz="0" w:space="0" w:color="auto"/>
          </w:divBdr>
          <w:divsChild>
            <w:div w:id="562565716">
              <w:marLeft w:val="0"/>
              <w:marRight w:val="0"/>
              <w:marTop w:val="0"/>
              <w:marBottom w:val="0"/>
              <w:divBdr>
                <w:top w:val="none" w:sz="0" w:space="0" w:color="auto"/>
                <w:left w:val="none" w:sz="0" w:space="0" w:color="auto"/>
                <w:bottom w:val="none" w:sz="0" w:space="0" w:color="auto"/>
                <w:right w:val="none" w:sz="0" w:space="0" w:color="auto"/>
              </w:divBdr>
              <w:divsChild>
                <w:div w:id="20520983">
                  <w:marLeft w:val="0"/>
                  <w:marRight w:val="0"/>
                  <w:marTop w:val="0"/>
                  <w:marBottom w:val="0"/>
                  <w:divBdr>
                    <w:top w:val="none" w:sz="0" w:space="0" w:color="auto"/>
                    <w:left w:val="none" w:sz="0" w:space="0" w:color="auto"/>
                    <w:bottom w:val="none" w:sz="0" w:space="0" w:color="auto"/>
                    <w:right w:val="none" w:sz="0" w:space="0" w:color="auto"/>
                  </w:divBdr>
                  <w:divsChild>
                    <w:div w:id="1171261450">
                      <w:marLeft w:val="0"/>
                      <w:marRight w:val="0"/>
                      <w:marTop w:val="0"/>
                      <w:marBottom w:val="0"/>
                      <w:divBdr>
                        <w:top w:val="none" w:sz="0" w:space="0" w:color="auto"/>
                        <w:left w:val="none" w:sz="0" w:space="0" w:color="auto"/>
                        <w:bottom w:val="none" w:sz="0" w:space="0" w:color="auto"/>
                        <w:right w:val="none" w:sz="0" w:space="0" w:color="auto"/>
                      </w:divBdr>
                      <w:divsChild>
                        <w:div w:id="357856604">
                          <w:marLeft w:val="0"/>
                          <w:marRight w:val="0"/>
                          <w:marTop w:val="0"/>
                          <w:marBottom w:val="0"/>
                          <w:divBdr>
                            <w:top w:val="none" w:sz="0" w:space="0" w:color="auto"/>
                            <w:left w:val="none" w:sz="0" w:space="0" w:color="auto"/>
                            <w:bottom w:val="none" w:sz="0" w:space="0" w:color="auto"/>
                            <w:right w:val="none" w:sz="0" w:space="0" w:color="auto"/>
                          </w:divBdr>
                          <w:divsChild>
                            <w:div w:id="12305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12486">
      <w:bodyDiv w:val="1"/>
      <w:marLeft w:val="0"/>
      <w:marRight w:val="0"/>
      <w:marTop w:val="0"/>
      <w:marBottom w:val="0"/>
      <w:divBdr>
        <w:top w:val="none" w:sz="0" w:space="0" w:color="auto"/>
        <w:left w:val="none" w:sz="0" w:space="0" w:color="auto"/>
        <w:bottom w:val="none" w:sz="0" w:space="0" w:color="auto"/>
        <w:right w:val="none" w:sz="0" w:space="0" w:color="auto"/>
      </w:divBdr>
      <w:divsChild>
        <w:div w:id="1532375216">
          <w:marLeft w:val="0"/>
          <w:marRight w:val="0"/>
          <w:marTop w:val="0"/>
          <w:marBottom w:val="0"/>
          <w:divBdr>
            <w:top w:val="none" w:sz="0" w:space="0" w:color="auto"/>
            <w:left w:val="none" w:sz="0" w:space="0" w:color="auto"/>
            <w:bottom w:val="none" w:sz="0" w:space="0" w:color="auto"/>
            <w:right w:val="none" w:sz="0" w:space="0" w:color="auto"/>
          </w:divBdr>
          <w:divsChild>
            <w:div w:id="546842302">
              <w:marLeft w:val="0"/>
              <w:marRight w:val="0"/>
              <w:marTop w:val="0"/>
              <w:marBottom w:val="0"/>
              <w:divBdr>
                <w:top w:val="none" w:sz="0" w:space="0" w:color="auto"/>
                <w:left w:val="none" w:sz="0" w:space="0" w:color="auto"/>
                <w:bottom w:val="none" w:sz="0" w:space="0" w:color="auto"/>
                <w:right w:val="none" w:sz="0" w:space="0" w:color="auto"/>
              </w:divBdr>
              <w:divsChild>
                <w:div w:id="1986661604">
                  <w:marLeft w:val="0"/>
                  <w:marRight w:val="0"/>
                  <w:marTop w:val="0"/>
                  <w:marBottom w:val="0"/>
                  <w:divBdr>
                    <w:top w:val="none" w:sz="0" w:space="0" w:color="auto"/>
                    <w:left w:val="none" w:sz="0" w:space="0" w:color="auto"/>
                    <w:bottom w:val="none" w:sz="0" w:space="0" w:color="auto"/>
                    <w:right w:val="none" w:sz="0" w:space="0" w:color="auto"/>
                  </w:divBdr>
                  <w:divsChild>
                    <w:div w:id="549145902">
                      <w:marLeft w:val="0"/>
                      <w:marRight w:val="0"/>
                      <w:marTop w:val="0"/>
                      <w:marBottom w:val="0"/>
                      <w:divBdr>
                        <w:top w:val="none" w:sz="0" w:space="0" w:color="auto"/>
                        <w:left w:val="none" w:sz="0" w:space="0" w:color="auto"/>
                        <w:bottom w:val="none" w:sz="0" w:space="0" w:color="auto"/>
                        <w:right w:val="none" w:sz="0" w:space="0" w:color="auto"/>
                      </w:divBdr>
                      <w:divsChild>
                        <w:div w:id="875890669">
                          <w:marLeft w:val="0"/>
                          <w:marRight w:val="0"/>
                          <w:marTop w:val="0"/>
                          <w:marBottom w:val="0"/>
                          <w:divBdr>
                            <w:top w:val="none" w:sz="0" w:space="0" w:color="auto"/>
                            <w:left w:val="none" w:sz="0" w:space="0" w:color="auto"/>
                            <w:bottom w:val="none" w:sz="0" w:space="0" w:color="auto"/>
                            <w:right w:val="none" w:sz="0" w:space="0" w:color="auto"/>
                          </w:divBdr>
                          <w:divsChild>
                            <w:div w:id="1993410245">
                              <w:marLeft w:val="0"/>
                              <w:marRight w:val="0"/>
                              <w:marTop w:val="0"/>
                              <w:marBottom w:val="0"/>
                              <w:divBdr>
                                <w:top w:val="none" w:sz="0" w:space="0" w:color="auto"/>
                                <w:left w:val="none" w:sz="0" w:space="0" w:color="auto"/>
                                <w:bottom w:val="none" w:sz="0" w:space="0" w:color="auto"/>
                                <w:right w:val="none" w:sz="0" w:space="0" w:color="auto"/>
                              </w:divBdr>
                              <w:divsChild>
                                <w:div w:id="478232080">
                                  <w:marLeft w:val="0"/>
                                  <w:marRight w:val="0"/>
                                  <w:marTop w:val="0"/>
                                  <w:marBottom w:val="0"/>
                                  <w:divBdr>
                                    <w:top w:val="none" w:sz="0" w:space="0" w:color="auto"/>
                                    <w:left w:val="none" w:sz="0" w:space="0" w:color="auto"/>
                                    <w:bottom w:val="none" w:sz="0" w:space="0" w:color="auto"/>
                                    <w:right w:val="none" w:sz="0" w:space="0" w:color="auto"/>
                                  </w:divBdr>
                                  <w:divsChild>
                                    <w:div w:id="360253064">
                                      <w:marLeft w:val="0"/>
                                      <w:marRight w:val="0"/>
                                      <w:marTop w:val="0"/>
                                      <w:marBottom w:val="0"/>
                                      <w:divBdr>
                                        <w:top w:val="none" w:sz="0" w:space="0" w:color="auto"/>
                                        <w:left w:val="none" w:sz="0" w:space="0" w:color="auto"/>
                                        <w:bottom w:val="none" w:sz="0" w:space="0" w:color="auto"/>
                                        <w:right w:val="none" w:sz="0" w:space="0" w:color="auto"/>
                                      </w:divBdr>
                                      <w:divsChild>
                                        <w:div w:id="214390080">
                                          <w:marLeft w:val="0"/>
                                          <w:marRight w:val="0"/>
                                          <w:marTop w:val="0"/>
                                          <w:marBottom w:val="0"/>
                                          <w:divBdr>
                                            <w:top w:val="none" w:sz="0" w:space="0" w:color="auto"/>
                                            <w:left w:val="none" w:sz="0" w:space="0" w:color="auto"/>
                                            <w:bottom w:val="none" w:sz="0" w:space="0" w:color="auto"/>
                                            <w:right w:val="none" w:sz="0" w:space="0" w:color="auto"/>
                                          </w:divBdr>
                                          <w:divsChild>
                                            <w:div w:id="1931698637">
                                              <w:marLeft w:val="0"/>
                                              <w:marRight w:val="0"/>
                                              <w:marTop w:val="0"/>
                                              <w:marBottom w:val="0"/>
                                              <w:divBdr>
                                                <w:top w:val="none" w:sz="0" w:space="0" w:color="auto"/>
                                                <w:left w:val="none" w:sz="0" w:space="0" w:color="auto"/>
                                                <w:bottom w:val="none" w:sz="0" w:space="0" w:color="auto"/>
                                                <w:right w:val="none" w:sz="0" w:space="0" w:color="auto"/>
                                              </w:divBdr>
                                              <w:divsChild>
                                                <w:div w:id="1085613675">
                                                  <w:marLeft w:val="0"/>
                                                  <w:marRight w:val="0"/>
                                                  <w:marTop w:val="0"/>
                                                  <w:marBottom w:val="0"/>
                                                  <w:divBdr>
                                                    <w:top w:val="none" w:sz="0" w:space="0" w:color="auto"/>
                                                    <w:left w:val="none" w:sz="0" w:space="0" w:color="auto"/>
                                                    <w:bottom w:val="none" w:sz="0" w:space="0" w:color="auto"/>
                                                    <w:right w:val="none" w:sz="0" w:space="0" w:color="auto"/>
                                                  </w:divBdr>
                                                  <w:divsChild>
                                                    <w:div w:id="309217203">
                                                      <w:marLeft w:val="0"/>
                                                      <w:marRight w:val="0"/>
                                                      <w:marTop w:val="0"/>
                                                      <w:marBottom w:val="0"/>
                                                      <w:divBdr>
                                                        <w:top w:val="none" w:sz="0" w:space="0" w:color="auto"/>
                                                        <w:left w:val="none" w:sz="0" w:space="0" w:color="auto"/>
                                                        <w:bottom w:val="none" w:sz="0" w:space="0" w:color="auto"/>
                                                        <w:right w:val="none" w:sz="0" w:space="0" w:color="auto"/>
                                                      </w:divBdr>
                                                      <w:divsChild>
                                                        <w:div w:id="1477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489737">
      <w:bodyDiv w:val="1"/>
      <w:marLeft w:val="0"/>
      <w:marRight w:val="0"/>
      <w:marTop w:val="0"/>
      <w:marBottom w:val="0"/>
      <w:divBdr>
        <w:top w:val="none" w:sz="0" w:space="0" w:color="auto"/>
        <w:left w:val="none" w:sz="0" w:space="0" w:color="auto"/>
        <w:bottom w:val="none" w:sz="0" w:space="0" w:color="auto"/>
        <w:right w:val="none" w:sz="0" w:space="0" w:color="auto"/>
      </w:divBdr>
      <w:divsChild>
        <w:div w:id="780106230">
          <w:marLeft w:val="0"/>
          <w:marRight w:val="0"/>
          <w:marTop w:val="0"/>
          <w:marBottom w:val="0"/>
          <w:divBdr>
            <w:top w:val="none" w:sz="0" w:space="0" w:color="auto"/>
            <w:left w:val="none" w:sz="0" w:space="0" w:color="auto"/>
            <w:bottom w:val="none" w:sz="0" w:space="0" w:color="auto"/>
            <w:right w:val="none" w:sz="0" w:space="0" w:color="auto"/>
          </w:divBdr>
          <w:divsChild>
            <w:div w:id="1619292746">
              <w:marLeft w:val="0"/>
              <w:marRight w:val="0"/>
              <w:marTop w:val="0"/>
              <w:marBottom w:val="0"/>
              <w:divBdr>
                <w:top w:val="none" w:sz="0" w:space="0" w:color="auto"/>
                <w:left w:val="none" w:sz="0" w:space="0" w:color="auto"/>
                <w:bottom w:val="none" w:sz="0" w:space="0" w:color="auto"/>
                <w:right w:val="none" w:sz="0" w:space="0" w:color="auto"/>
              </w:divBdr>
              <w:divsChild>
                <w:div w:id="401634655">
                  <w:marLeft w:val="0"/>
                  <w:marRight w:val="0"/>
                  <w:marTop w:val="0"/>
                  <w:marBottom w:val="0"/>
                  <w:divBdr>
                    <w:top w:val="none" w:sz="0" w:space="0" w:color="auto"/>
                    <w:left w:val="none" w:sz="0" w:space="0" w:color="auto"/>
                    <w:bottom w:val="none" w:sz="0" w:space="0" w:color="auto"/>
                    <w:right w:val="none" w:sz="0" w:space="0" w:color="auto"/>
                  </w:divBdr>
                  <w:divsChild>
                    <w:div w:id="758253412">
                      <w:marLeft w:val="0"/>
                      <w:marRight w:val="0"/>
                      <w:marTop w:val="0"/>
                      <w:marBottom w:val="0"/>
                      <w:divBdr>
                        <w:top w:val="none" w:sz="0" w:space="0" w:color="auto"/>
                        <w:left w:val="none" w:sz="0" w:space="0" w:color="auto"/>
                        <w:bottom w:val="none" w:sz="0" w:space="0" w:color="auto"/>
                        <w:right w:val="none" w:sz="0" w:space="0" w:color="auto"/>
                      </w:divBdr>
                      <w:divsChild>
                        <w:div w:id="530581347">
                          <w:marLeft w:val="0"/>
                          <w:marRight w:val="0"/>
                          <w:marTop w:val="0"/>
                          <w:marBottom w:val="0"/>
                          <w:divBdr>
                            <w:top w:val="none" w:sz="0" w:space="0" w:color="auto"/>
                            <w:left w:val="none" w:sz="0" w:space="0" w:color="auto"/>
                            <w:bottom w:val="none" w:sz="0" w:space="0" w:color="auto"/>
                            <w:right w:val="none" w:sz="0" w:space="0" w:color="auto"/>
                          </w:divBdr>
                          <w:divsChild>
                            <w:div w:id="2008626411">
                              <w:marLeft w:val="0"/>
                              <w:marRight w:val="0"/>
                              <w:marTop w:val="0"/>
                              <w:marBottom w:val="0"/>
                              <w:divBdr>
                                <w:top w:val="none" w:sz="0" w:space="0" w:color="auto"/>
                                <w:left w:val="none" w:sz="0" w:space="0" w:color="auto"/>
                                <w:bottom w:val="none" w:sz="0" w:space="0" w:color="auto"/>
                                <w:right w:val="none" w:sz="0" w:space="0" w:color="auto"/>
                              </w:divBdr>
                              <w:divsChild>
                                <w:div w:id="495190194">
                                  <w:marLeft w:val="0"/>
                                  <w:marRight w:val="0"/>
                                  <w:marTop w:val="0"/>
                                  <w:marBottom w:val="0"/>
                                  <w:divBdr>
                                    <w:top w:val="none" w:sz="0" w:space="0" w:color="auto"/>
                                    <w:left w:val="none" w:sz="0" w:space="0" w:color="auto"/>
                                    <w:bottom w:val="none" w:sz="0" w:space="0" w:color="auto"/>
                                    <w:right w:val="none" w:sz="0" w:space="0" w:color="auto"/>
                                  </w:divBdr>
                                </w:div>
                                <w:div w:id="208226205">
                                  <w:marLeft w:val="0"/>
                                  <w:marRight w:val="0"/>
                                  <w:marTop w:val="0"/>
                                  <w:marBottom w:val="0"/>
                                  <w:divBdr>
                                    <w:top w:val="none" w:sz="0" w:space="0" w:color="auto"/>
                                    <w:left w:val="none" w:sz="0" w:space="0" w:color="auto"/>
                                    <w:bottom w:val="none" w:sz="0" w:space="0" w:color="auto"/>
                                    <w:right w:val="none" w:sz="0" w:space="0" w:color="auto"/>
                                  </w:divBdr>
                                  <w:divsChild>
                                    <w:div w:id="1737163798">
                                      <w:marLeft w:val="0"/>
                                      <w:marRight w:val="0"/>
                                      <w:marTop w:val="0"/>
                                      <w:marBottom w:val="0"/>
                                      <w:divBdr>
                                        <w:top w:val="none" w:sz="0" w:space="0" w:color="auto"/>
                                        <w:left w:val="none" w:sz="0" w:space="0" w:color="auto"/>
                                        <w:bottom w:val="none" w:sz="0" w:space="0" w:color="auto"/>
                                        <w:right w:val="none" w:sz="0" w:space="0" w:color="auto"/>
                                      </w:divBdr>
                                      <w:divsChild>
                                        <w:div w:id="761876431">
                                          <w:marLeft w:val="0"/>
                                          <w:marRight w:val="0"/>
                                          <w:marTop w:val="0"/>
                                          <w:marBottom w:val="0"/>
                                          <w:divBdr>
                                            <w:top w:val="none" w:sz="0" w:space="0" w:color="auto"/>
                                            <w:left w:val="none" w:sz="0" w:space="0" w:color="auto"/>
                                            <w:bottom w:val="none" w:sz="0" w:space="0" w:color="auto"/>
                                            <w:right w:val="none" w:sz="0" w:space="0" w:color="auto"/>
                                          </w:divBdr>
                                        </w:div>
                                        <w:div w:id="126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747553">
      <w:bodyDiv w:val="1"/>
      <w:marLeft w:val="0"/>
      <w:marRight w:val="0"/>
      <w:marTop w:val="0"/>
      <w:marBottom w:val="0"/>
      <w:divBdr>
        <w:top w:val="none" w:sz="0" w:space="0" w:color="auto"/>
        <w:left w:val="none" w:sz="0" w:space="0" w:color="auto"/>
        <w:bottom w:val="none" w:sz="0" w:space="0" w:color="auto"/>
        <w:right w:val="none" w:sz="0" w:space="0" w:color="auto"/>
      </w:divBdr>
    </w:div>
    <w:div w:id="1991597534">
      <w:bodyDiv w:val="1"/>
      <w:marLeft w:val="0"/>
      <w:marRight w:val="0"/>
      <w:marTop w:val="0"/>
      <w:marBottom w:val="0"/>
      <w:divBdr>
        <w:top w:val="none" w:sz="0" w:space="0" w:color="auto"/>
        <w:left w:val="none" w:sz="0" w:space="0" w:color="auto"/>
        <w:bottom w:val="none" w:sz="0" w:space="0" w:color="auto"/>
        <w:right w:val="none" w:sz="0" w:space="0" w:color="auto"/>
      </w:divBdr>
      <w:divsChild>
        <w:div w:id="1851918313">
          <w:marLeft w:val="0"/>
          <w:marRight w:val="0"/>
          <w:marTop w:val="0"/>
          <w:marBottom w:val="0"/>
          <w:divBdr>
            <w:top w:val="none" w:sz="0" w:space="0" w:color="auto"/>
            <w:left w:val="none" w:sz="0" w:space="0" w:color="auto"/>
            <w:bottom w:val="none" w:sz="0" w:space="0" w:color="auto"/>
            <w:right w:val="none" w:sz="0" w:space="0" w:color="auto"/>
          </w:divBdr>
          <w:divsChild>
            <w:div w:id="2082677468">
              <w:marLeft w:val="0"/>
              <w:marRight w:val="0"/>
              <w:marTop w:val="0"/>
              <w:marBottom w:val="0"/>
              <w:divBdr>
                <w:top w:val="none" w:sz="0" w:space="0" w:color="auto"/>
                <w:left w:val="none" w:sz="0" w:space="0" w:color="auto"/>
                <w:bottom w:val="none" w:sz="0" w:space="0" w:color="auto"/>
                <w:right w:val="none" w:sz="0" w:space="0" w:color="auto"/>
              </w:divBdr>
              <w:divsChild>
                <w:div w:id="276454516">
                  <w:marLeft w:val="0"/>
                  <w:marRight w:val="0"/>
                  <w:marTop w:val="0"/>
                  <w:marBottom w:val="0"/>
                  <w:divBdr>
                    <w:top w:val="none" w:sz="0" w:space="0" w:color="auto"/>
                    <w:left w:val="none" w:sz="0" w:space="0" w:color="auto"/>
                    <w:bottom w:val="none" w:sz="0" w:space="0" w:color="auto"/>
                    <w:right w:val="none" w:sz="0" w:space="0" w:color="auto"/>
                  </w:divBdr>
                  <w:divsChild>
                    <w:div w:id="989677206">
                      <w:marLeft w:val="0"/>
                      <w:marRight w:val="0"/>
                      <w:marTop w:val="0"/>
                      <w:marBottom w:val="0"/>
                      <w:divBdr>
                        <w:top w:val="none" w:sz="0" w:space="0" w:color="auto"/>
                        <w:left w:val="none" w:sz="0" w:space="0" w:color="auto"/>
                        <w:bottom w:val="none" w:sz="0" w:space="0" w:color="auto"/>
                        <w:right w:val="none" w:sz="0" w:space="0" w:color="auto"/>
                      </w:divBdr>
                      <w:divsChild>
                        <w:div w:id="1685017534">
                          <w:marLeft w:val="0"/>
                          <w:marRight w:val="0"/>
                          <w:marTop w:val="0"/>
                          <w:marBottom w:val="0"/>
                          <w:divBdr>
                            <w:top w:val="none" w:sz="0" w:space="0" w:color="auto"/>
                            <w:left w:val="none" w:sz="0" w:space="0" w:color="auto"/>
                            <w:bottom w:val="none" w:sz="0" w:space="0" w:color="auto"/>
                            <w:right w:val="none" w:sz="0" w:space="0" w:color="auto"/>
                          </w:divBdr>
                          <w:divsChild>
                            <w:div w:id="1213735041">
                              <w:marLeft w:val="0"/>
                              <w:marRight w:val="0"/>
                              <w:marTop w:val="0"/>
                              <w:marBottom w:val="567"/>
                              <w:divBdr>
                                <w:top w:val="none" w:sz="0" w:space="0" w:color="auto"/>
                                <w:left w:val="none" w:sz="0" w:space="0" w:color="auto"/>
                                <w:bottom w:val="none" w:sz="0" w:space="0" w:color="auto"/>
                                <w:right w:val="none" w:sz="0" w:space="0" w:color="auto"/>
                              </w:divBdr>
                            </w:div>
                            <w:div w:id="1369139266">
                              <w:marLeft w:val="0"/>
                              <w:marRight w:val="0"/>
                              <w:marTop w:val="0"/>
                              <w:marBottom w:val="0"/>
                              <w:divBdr>
                                <w:top w:val="none" w:sz="0" w:space="0" w:color="auto"/>
                                <w:left w:val="none" w:sz="0" w:space="0" w:color="auto"/>
                                <w:bottom w:val="none" w:sz="0" w:space="0" w:color="auto"/>
                                <w:right w:val="none" w:sz="0" w:space="0" w:color="auto"/>
                              </w:divBdr>
                              <w:divsChild>
                                <w:div w:id="76295149">
                                  <w:marLeft w:val="0"/>
                                  <w:marRight w:val="0"/>
                                  <w:marTop w:val="0"/>
                                  <w:marBottom w:val="0"/>
                                  <w:divBdr>
                                    <w:top w:val="none" w:sz="0" w:space="0" w:color="auto"/>
                                    <w:left w:val="none" w:sz="0" w:space="0" w:color="auto"/>
                                    <w:bottom w:val="none" w:sz="0" w:space="0" w:color="auto"/>
                                    <w:right w:val="none" w:sz="0" w:space="0" w:color="auto"/>
                                  </w:divBdr>
                                  <w:divsChild>
                                    <w:div w:id="19668948">
                                      <w:marLeft w:val="0"/>
                                      <w:marRight w:val="0"/>
                                      <w:marTop w:val="0"/>
                                      <w:marBottom w:val="0"/>
                                      <w:divBdr>
                                        <w:top w:val="none" w:sz="0" w:space="0" w:color="auto"/>
                                        <w:left w:val="none" w:sz="0" w:space="0" w:color="auto"/>
                                        <w:bottom w:val="none" w:sz="0" w:space="0" w:color="auto"/>
                                        <w:right w:val="none" w:sz="0" w:space="0" w:color="auto"/>
                                      </w:divBdr>
                                    </w:div>
                                    <w:div w:id="304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4022">
                              <w:marLeft w:val="0"/>
                              <w:marRight w:val="0"/>
                              <w:marTop w:val="0"/>
                              <w:marBottom w:val="0"/>
                              <w:divBdr>
                                <w:top w:val="none" w:sz="0" w:space="0" w:color="auto"/>
                                <w:left w:val="none" w:sz="0" w:space="0" w:color="auto"/>
                                <w:bottom w:val="none" w:sz="0" w:space="0" w:color="auto"/>
                                <w:right w:val="none" w:sz="0" w:space="0" w:color="auto"/>
                              </w:divBdr>
                              <w:divsChild>
                                <w:div w:id="1087264780">
                                  <w:marLeft w:val="0"/>
                                  <w:marRight w:val="0"/>
                                  <w:marTop w:val="0"/>
                                  <w:marBottom w:val="0"/>
                                  <w:divBdr>
                                    <w:top w:val="none" w:sz="0" w:space="0" w:color="auto"/>
                                    <w:left w:val="none" w:sz="0" w:space="0" w:color="auto"/>
                                    <w:bottom w:val="none" w:sz="0" w:space="0" w:color="auto"/>
                                    <w:right w:val="none" w:sz="0" w:space="0" w:color="auto"/>
                                  </w:divBdr>
                                </w:div>
                                <w:div w:id="1640651490">
                                  <w:marLeft w:val="0"/>
                                  <w:marRight w:val="0"/>
                                  <w:marTop w:val="0"/>
                                  <w:marBottom w:val="0"/>
                                  <w:divBdr>
                                    <w:top w:val="none" w:sz="0" w:space="0" w:color="auto"/>
                                    <w:left w:val="none" w:sz="0" w:space="0" w:color="auto"/>
                                    <w:bottom w:val="none" w:sz="0" w:space="0" w:color="auto"/>
                                    <w:right w:val="none" w:sz="0" w:space="0" w:color="auto"/>
                                  </w:divBdr>
                                  <w:divsChild>
                                    <w:div w:id="545719295">
                                      <w:marLeft w:val="0"/>
                                      <w:marRight w:val="0"/>
                                      <w:marTop w:val="0"/>
                                      <w:marBottom w:val="0"/>
                                      <w:divBdr>
                                        <w:top w:val="none" w:sz="0" w:space="0" w:color="auto"/>
                                        <w:left w:val="none" w:sz="0" w:space="0" w:color="auto"/>
                                        <w:bottom w:val="none" w:sz="0" w:space="0" w:color="auto"/>
                                        <w:right w:val="none" w:sz="0" w:space="0" w:color="auto"/>
                                      </w:divBdr>
                                      <w:divsChild>
                                        <w:div w:id="1530803072">
                                          <w:marLeft w:val="0"/>
                                          <w:marRight w:val="0"/>
                                          <w:marTop w:val="0"/>
                                          <w:marBottom w:val="0"/>
                                          <w:divBdr>
                                            <w:top w:val="none" w:sz="0" w:space="0" w:color="auto"/>
                                            <w:left w:val="none" w:sz="0" w:space="0" w:color="auto"/>
                                            <w:bottom w:val="none" w:sz="0" w:space="0" w:color="auto"/>
                                            <w:right w:val="none" w:sz="0" w:space="0" w:color="auto"/>
                                          </w:divBdr>
                                        </w:div>
                                        <w:div w:id="1540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1781415944">
          <w:marLeft w:val="0"/>
          <w:marRight w:val="0"/>
          <w:marTop w:val="0"/>
          <w:marBottom w:val="0"/>
          <w:divBdr>
            <w:top w:val="none" w:sz="0" w:space="0" w:color="auto"/>
            <w:left w:val="none" w:sz="0" w:space="0" w:color="auto"/>
            <w:bottom w:val="none" w:sz="0" w:space="0" w:color="auto"/>
            <w:right w:val="none" w:sz="0" w:space="0" w:color="auto"/>
          </w:divBdr>
          <w:divsChild>
            <w:div w:id="300886769">
              <w:marLeft w:val="0"/>
              <w:marRight w:val="0"/>
              <w:marTop w:val="0"/>
              <w:marBottom w:val="0"/>
              <w:divBdr>
                <w:top w:val="none" w:sz="0" w:space="0" w:color="auto"/>
                <w:left w:val="none" w:sz="0" w:space="0" w:color="auto"/>
                <w:bottom w:val="none" w:sz="0" w:space="0" w:color="auto"/>
                <w:right w:val="none" w:sz="0" w:space="0" w:color="auto"/>
              </w:divBdr>
              <w:divsChild>
                <w:div w:id="632834407">
                  <w:marLeft w:val="0"/>
                  <w:marRight w:val="0"/>
                  <w:marTop w:val="0"/>
                  <w:marBottom w:val="0"/>
                  <w:divBdr>
                    <w:top w:val="none" w:sz="0" w:space="0" w:color="auto"/>
                    <w:left w:val="none" w:sz="0" w:space="0" w:color="auto"/>
                    <w:bottom w:val="none" w:sz="0" w:space="0" w:color="auto"/>
                    <w:right w:val="none" w:sz="0" w:space="0" w:color="auto"/>
                  </w:divBdr>
                  <w:divsChild>
                    <w:div w:id="861432407">
                      <w:marLeft w:val="0"/>
                      <w:marRight w:val="0"/>
                      <w:marTop w:val="0"/>
                      <w:marBottom w:val="0"/>
                      <w:divBdr>
                        <w:top w:val="none" w:sz="0" w:space="0" w:color="auto"/>
                        <w:left w:val="none" w:sz="0" w:space="0" w:color="auto"/>
                        <w:bottom w:val="none" w:sz="0" w:space="0" w:color="auto"/>
                        <w:right w:val="none" w:sz="0" w:space="0" w:color="auto"/>
                      </w:divBdr>
                      <w:divsChild>
                        <w:div w:id="1827545710">
                          <w:marLeft w:val="0"/>
                          <w:marRight w:val="0"/>
                          <w:marTop w:val="0"/>
                          <w:marBottom w:val="0"/>
                          <w:divBdr>
                            <w:top w:val="none" w:sz="0" w:space="0" w:color="auto"/>
                            <w:left w:val="none" w:sz="0" w:space="0" w:color="auto"/>
                            <w:bottom w:val="none" w:sz="0" w:space="0" w:color="auto"/>
                            <w:right w:val="none" w:sz="0" w:space="0" w:color="auto"/>
                          </w:divBdr>
                          <w:divsChild>
                            <w:div w:id="57676523">
                              <w:marLeft w:val="0"/>
                              <w:marRight w:val="0"/>
                              <w:marTop w:val="480"/>
                              <w:marBottom w:val="240"/>
                              <w:divBdr>
                                <w:top w:val="none" w:sz="0" w:space="0" w:color="auto"/>
                                <w:left w:val="none" w:sz="0" w:space="0" w:color="auto"/>
                                <w:bottom w:val="none" w:sz="0" w:space="0" w:color="auto"/>
                                <w:right w:val="none" w:sz="0" w:space="0" w:color="auto"/>
                              </w:divBdr>
                            </w:div>
                            <w:div w:id="1518931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gov.lv/content/ministru-kabineta-diskusiju-dokumenti" TargetMode="External"/><Relationship Id="rId4" Type="http://schemas.microsoft.com/office/2007/relationships/stylesWithEffects" Target="stylesWithEffects.xml"/><Relationship Id="rId9" Type="http://schemas.openxmlformats.org/officeDocument/2006/relationships/hyperlink" Target="http://www.iem.gov.lv/lat/sadarbiba_ar_nvo/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5CDB-0482-4984-AF73-C7A2A3A3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10747</Words>
  <Characters>6126</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Jolanta Sokolova</cp:lastModifiedBy>
  <cp:revision>6</cp:revision>
  <cp:lastPrinted>2019-06-07T07:34:00Z</cp:lastPrinted>
  <dcterms:created xsi:type="dcterms:W3CDTF">2019-06-12T07:41:00Z</dcterms:created>
  <dcterms:modified xsi:type="dcterms:W3CDTF">2019-06-27T06:45:00Z</dcterms:modified>
</cp:coreProperties>
</file>