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5673" w:rsidR="002D1699" w:rsidP="00DA0781" w:rsidRDefault="00417277" w14:paraId="1BE6E2D7" w14:textId="17804629">
      <w:pPr>
        <w:jc w:val="center"/>
        <w:rPr>
          <w:rFonts w:cs="Times New Roman"/>
          <w:b/>
          <w:bCs/>
          <w:sz w:val="24"/>
          <w:szCs w:val="24"/>
        </w:rPr>
      </w:pPr>
      <w:r w:rsidRPr="00BF5673">
        <w:rPr>
          <w:rFonts w:cs="Times New Roman"/>
          <w:b/>
          <w:bCs/>
          <w:sz w:val="24"/>
          <w:szCs w:val="24"/>
        </w:rPr>
        <w:t>Likum</w:t>
      </w:r>
      <w:r w:rsidRPr="00BF5673" w:rsidR="002D1699">
        <w:rPr>
          <w:rFonts w:cs="Times New Roman"/>
          <w:b/>
          <w:bCs/>
          <w:sz w:val="24"/>
          <w:szCs w:val="24"/>
        </w:rPr>
        <w:t>projekta „</w:t>
      </w:r>
      <w:r w:rsidRPr="00BF5673" w:rsidR="00DA0781">
        <w:rPr>
          <w:rFonts w:cs="Times New Roman"/>
          <w:b/>
          <w:sz w:val="24"/>
          <w:szCs w:val="24"/>
        </w:rPr>
        <w:t xml:space="preserve">Grozījumi </w:t>
      </w:r>
      <w:r w:rsidRPr="00BF5673" w:rsidR="00A94C6F">
        <w:rPr>
          <w:rFonts w:cs="Times New Roman"/>
          <w:b/>
          <w:sz w:val="24"/>
          <w:szCs w:val="24"/>
        </w:rPr>
        <w:t xml:space="preserve">Ceļu satiksmes </w:t>
      </w:r>
      <w:r w:rsidRPr="00BF5673">
        <w:rPr>
          <w:rFonts w:cs="Times New Roman"/>
          <w:b/>
          <w:sz w:val="24"/>
          <w:szCs w:val="24"/>
        </w:rPr>
        <w:t>likumā</w:t>
      </w:r>
      <w:r w:rsidRPr="00BF5673" w:rsidR="002D1699">
        <w:rPr>
          <w:rFonts w:cs="Times New Roman"/>
          <w:b/>
          <w:bCs/>
          <w:sz w:val="24"/>
          <w:szCs w:val="24"/>
        </w:rPr>
        <w:t>” sākotnējās ietekmes novērtējuma ziņojums (anotācija)</w:t>
      </w:r>
    </w:p>
    <w:p w:rsidRPr="00BF5673" w:rsidR="00010041" w:rsidP="002D1699" w:rsidRDefault="00010041" w14:paraId="53EBB56B" w14:textId="2EC5668F">
      <w:pPr>
        <w:ind w:firstLine="0"/>
        <w:jc w:val="center"/>
        <w:rPr>
          <w:rFonts w:cs="Times New Roman"/>
          <w:b/>
          <w:bCs/>
          <w:sz w:val="24"/>
          <w:szCs w:val="24"/>
        </w:rPr>
      </w:pPr>
    </w:p>
    <w:tbl>
      <w:tblPr>
        <w:tblW w:w="498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5"/>
        <w:gridCol w:w="3574"/>
        <w:gridCol w:w="5409"/>
      </w:tblGrid>
      <w:tr w:rsidRPr="00BF5673" w:rsidR="00A93360" w:rsidTr="005D06AD" w14:paraId="31B3FDAE" w14:textId="77777777">
        <w:trPr>
          <w:trHeight w:val="405"/>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hideMark/>
          </w:tcPr>
          <w:p w:rsidRPr="00BF5673" w:rsidR="00A93360" w:rsidP="005D06AD" w:rsidRDefault="00A93360" w14:paraId="5E4FAD30" w14:textId="77777777">
            <w:pPr>
              <w:ind w:firstLine="0"/>
              <w:jc w:val="center"/>
              <w:rPr>
                <w:rFonts w:cs="Times New Roman"/>
                <w:b/>
                <w:bCs/>
                <w:sz w:val="24"/>
                <w:szCs w:val="24"/>
              </w:rPr>
            </w:pPr>
            <w:r w:rsidRPr="00BF5673">
              <w:rPr>
                <w:rFonts w:cs="Times New Roman"/>
                <w:b/>
                <w:bCs/>
                <w:sz w:val="24"/>
                <w:szCs w:val="24"/>
              </w:rPr>
              <w:t>Tiesību akta projekta anotācijas kopsavilkums</w:t>
            </w:r>
          </w:p>
        </w:tc>
      </w:tr>
      <w:tr w:rsidRPr="00BF5673" w:rsidR="00A93360" w:rsidTr="005D06AD" w14:paraId="30676FC1" w14:textId="77777777">
        <w:tblPrEx>
          <w:tblCellSpacing w:w="0" w:type="nil"/>
          <w:tblBorders>
            <w:top w:val="outset" w:color="414142" w:sz="6" w:space="0"/>
            <w:left w:val="outset" w:color="414142" w:sz="6" w:space="0"/>
            <w:bottom w:val="outset" w:color="414142" w:sz="6" w:space="0"/>
            <w:right w:val="outset" w:color="414142" w:sz="6" w:space="0"/>
          </w:tblBorders>
          <w:shd w:val="clear" w:color="auto" w:fill="FFFFFF"/>
        </w:tblPrEx>
        <w:trPr>
          <w:gridBefore w:val="1"/>
        </w:trPr>
        <w:tc>
          <w:tcPr>
            <w:tcW w:w="1955" w:type="pct"/>
            <w:tcBorders>
              <w:top w:val="outset" w:color="414142" w:sz="6" w:space="0"/>
              <w:left w:val="outset" w:color="414142" w:sz="6" w:space="0"/>
              <w:bottom w:val="outset" w:color="414142" w:sz="6" w:space="0"/>
              <w:right w:val="outset" w:color="414142" w:sz="6" w:space="0"/>
            </w:tcBorders>
            <w:shd w:val="clear" w:color="auto" w:fill="FFFFFF"/>
            <w:hideMark/>
          </w:tcPr>
          <w:p w:rsidRPr="00BF5673" w:rsidR="00A93360" w:rsidP="005D06AD" w:rsidRDefault="00A93360" w14:paraId="6117BD9F" w14:textId="77777777">
            <w:pPr>
              <w:ind w:firstLine="0"/>
              <w:rPr>
                <w:rFonts w:eastAsia="Times New Roman"/>
                <w:color w:val="000000"/>
                <w:sz w:val="24"/>
                <w:szCs w:val="24"/>
              </w:rPr>
            </w:pPr>
            <w:r w:rsidRPr="00BF5673">
              <w:rPr>
                <w:rFonts w:eastAsia="Times New Roman"/>
                <w:color w:val="000000"/>
                <w:sz w:val="24"/>
                <w:szCs w:val="24"/>
              </w:rPr>
              <w:t>Mērķis, risinājums un projekta spēkā stāšanās laiks.</w:t>
            </w:r>
          </w:p>
        </w:tc>
        <w:tc>
          <w:tcPr>
            <w:tcW w:w="2960" w:type="pct"/>
            <w:tcBorders>
              <w:top w:val="outset" w:color="414142" w:sz="6" w:space="0"/>
              <w:left w:val="outset" w:color="414142" w:sz="6" w:space="0"/>
              <w:bottom w:val="outset" w:color="414142" w:sz="6" w:space="0"/>
              <w:right w:val="outset" w:color="414142" w:sz="6" w:space="0"/>
            </w:tcBorders>
            <w:shd w:val="clear" w:color="auto" w:fill="FFFFFF"/>
            <w:hideMark/>
          </w:tcPr>
          <w:p w:rsidRPr="00BF5673" w:rsidR="00A93360" w:rsidP="00684902" w:rsidRDefault="00A93360" w14:paraId="319B5DBA" w14:textId="31CB188F">
            <w:pPr>
              <w:pStyle w:val="naiskr"/>
              <w:jc w:val="both"/>
            </w:pPr>
            <w:r w:rsidRPr="00BF5673">
              <w:t>Likumprojekta „Grozījumi Ceļu satiksmes likumā” (turpmāk – Likumprojekts) mērķis ir nodrošināt sabiedrisko kārtību</w:t>
            </w:r>
            <w:r w:rsidRPr="00BF5673" w:rsidR="003C1B39">
              <w:t xml:space="preserve"> un drošību uz ceļiem</w:t>
            </w:r>
            <w:r w:rsidRPr="00BF5673">
              <w:t xml:space="preserve">, kā arī atturēt personas no pārkāpumu izdarīšanas šajā jomā. Likumprojekts paredz noteikt administratīvos pārkāpumus </w:t>
            </w:r>
            <w:r w:rsidRPr="00BF5673" w:rsidR="003C1B39">
              <w:t>ceļu satiksmes</w:t>
            </w:r>
            <w:r w:rsidRPr="00BF5673">
              <w:t xml:space="preserve"> </w:t>
            </w:r>
            <w:r w:rsidRPr="00BF5673" w:rsidR="00856BE9">
              <w:t>jomā</w:t>
            </w:r>
            <w:r w:rsidRPr="00BF5673">
              <w:t>, par tiem piemērojamos sodus un institūciju kompetenci sodu piemērošanā. Likumprojekts stājas sp</w:t>
            </w:r>
            <w:r w:rsidRPr="00BF5673" w:rsidR="003C1B39">
              <w:t>ēkā vienlaikus ar Administratīvās</w:t>
            </w:r>
            <w:r w:rsidRPr="00BF5673">
              <w:t xml:space="preserve"> </w:t>
            </w:r>
            <w:r w:rsidRPr="00BF5673" w:rsidR="003C1B39">
              <w:t>atbildības</w:t>
            </w:r>
            <w:r w:rsidRPr="00BF5673">
              <w:t xml:space="preserve"> likumu.</w:t>
            </w:r>
          </w:p>
        </w:tc>
      </w:tr>
    </w:tbl>
    <w:p w:rsidRPr="00BF5673" w:rsidR="00A93360" w:rsidP="002D1699" w:rsidRDefault="00A93360" w14:paraId="133A3E01" w14:textId="77777777">
      <w:pPr>
        <w:ind w:firstLine="0"/>
        <w:jc w:val="center"/>
        <w:rPr>
          <w:rFonts w:cs="Times New Roman"/>
          <w:b/>
          <w:bCs/>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Pr="00BF5673" w:rsidR="002D1699" w:rsidTr="005D06AD" w14:paraId="4CD14F45" w14:textId="77777777">
        <w:trPr>
          <w:trHeight w:val="40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F5673" w:rsidR="002D1699" w:rsidP="008D361B" w:rsidRDefault="002D1699" w14:paraId="20F0B15F" w14:textId="77777777">
            <w:pPr>
              <w:ind w:firstLine="0"/>
              <w:jc w:val="center"/>
              <w:rPr>
                <w:rFonts w:cs="Times New Roman"/>
                <w:b/>
                <w:bCs/>
                <w:sz w:val="24"/>
                <w:szCs w:val="24"/>
              </w:rPr>
            </w:pPr>
            <w:r w:rsidRPr="00BF5673">
              <w:rPr>
                <w:rFonts w:cs="Times New Roman"/>
                <w:b/>
                <w:bCs/>
                <w:sz w:val="24"/>
                <w:szCs w:val="24"/>
              </w:rPr>
              <w:t>I. Tiesību akta projekta izstrādes nepieciešamība</w:t>
            </w:r>
          </w:p>
        </w:tc>
      </w:tr>
      <w:tr w:rsidRPr="00BF5673" w:rsidR="00417277" w:rsidTr="005D06AD" w14:paraId="2E1E2A49" w14:textId="77777777">
        <w:trPr>
          <w:trHeight w:val="40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14DAE808" w14:textId="77777777">
            <w:pPr>
              <w:ind w:firstLine="0"/>
              <w:rPr>
                <w:rFonts w:cs="Times New Roman"/>
                <w:sz w:val="24"/>
                <w:szCs w:val="24"/>
              </w:rPr>
            </w:pPr>
            <w:r w:rsidRPr="00BF5673">
              <w:rPr>
                <w:rFonts w:cs="Times New Roman"/>
                <w:sz w:val="24"/>
                <w:szCs w:val="24"/>
              </w:rPr>
              <w:t>1.</w:t>
            </w:r>
          </w:p>
        </w:tc>
        <w:tc>
          <w:tcPr>
            <w:tcW w:w="1530"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2D0425D7" w14:textId="77777777">
            <w:pPr>
              <w:ind w:firstLine="0"/>
              <w:rPr>
                <w:rFonts w:cs="Times New Roman"/>
                <w:sz w:val="24"/>
                <w:szCs w:val="24"/>
              </w:rPr>
            </w:pPr>
            <w:r w:rsidRPr="00BF5673">
              <w:rPr>
                <w:rFonts w:cs="Times New Roman"/>
                <w:sz w:val="24"/>
                <w:szCs w:val="24"/>
              </w:rPr>
              <w:t>Pamatojums</w:t>
            </w:r>
          </w:p>
        </w:tc>
        <w:tc>
          <w:tcPr>
            <w:tcW w:w="3159" w:type="pct"/>
            <w:tcBorders>
              <w:top w:val="outset" w:color="auto" w:sz="6" w:space="0"/>
              <w:left w:val="outset" w:color="auto" w:sz="6" w:space="0"/>
              <w:bottom w:val="outset" w:color="auto" w:sz="6" w:space="0"/>
              <w:right w:val="outset" w:color="auto" w:sz="6" w:space="0"/>
            </w:tcBorders>
            <w:hideMark/>
          </w:tcPr>
          <w:p w:rsidRPr="00BF5673" w:rsidR="00056D25" w:rsidP="00056D25" w:rsidRDefault="00056D25" w14:paraId="59655AEC" w14:textId="77777777">
            <w:pPr>
              <w:autoSpaceDE w:val="0"/>
              <w:autoSpaceDN w:val="0"/>
              <w:adjustRightInd w:val="0"/>
              <w:ind w:firstLine="0"/>
              <w:jc w:val="both"/>
              <w:rPr>
                <w:rFonts w:cs="Times New Roman"/>
                <w:bCs/>
                <w:sz w:val="24"/>
                <w:szCs w:val="24"/>
              </w:rPr>
            </w:pPr>
            <w:r w:rsidRPr="00BF5673">
              <w:rPr>
                <w:rFonts w:cs="Times New Roman"/>
                <w:bCs/>
                <w:sz w:val="24"/>
                <w:szCs w:val="24"/>
              </w:rPr>
              <w:t>Likumprojekts „Grozījumi Ceļu satiksmes likumā” (turpmāk – Likumprojekts) izstrādāts atbilstoši:</w:t>
            </w:r>
          </w:p>
          <w:p w:rsidRPr="005D06AD" w:rsidR="005D06AD" w:rsidP="005D06AD" w:rsidRDefault="005D06AD" w14:paraId="20665573" w14:textId="77777777">
            <w:pPr>
              <w:widowControl w:val="0"/>
              <w:ind w:firstLine="0"/>
              <w:jc w:val="both"/>
              <w:rPr>
                <w:rFonts w:eastAsia="Calibri" w:cs="Times New Roman"/>
                <w:sz w:val="24"/>
                <w:szCs w:val="24"/>
              </w:rPr>
            </w:pPr>
            <w:r w:rsidRPr="005D06AD">
              <w:rPr>
                <w:rFonts w:eastAsia="Calibri" w:cs="Times New Roman"/>
                <w:sz w:val="24"/>
                <w:szCs w:val="24"/>
              </w:rPr>
              <w:t xml:space="preserve">1) Ministru kabineta 2014.gada 22.aprīļa sēdes </w:t>
            </w:r>
            <w:proofErr w:type="spellStart"/>
            <w:r w:rsidRPr="005D06AD">
              <w:rPr>
                <w:rFonts w:eastAsia="Calibri" w:cs="Times New Roman"/>
                <w:sz w:val="24"/>
                <w:szCs w:val="24"/>
              </w:rPr>
              <w:t>protokollēmuma</w:t>
            </w:r>
            <w:proofErr w:type="spellEnd"/>
            <w:r w:rsidRPr="005D06AD">
              <w:rPr>
                <w:rFonts w:eastAsia="Calibri" w:cs="Times New Roman"/>
                <w:sz w:val="24"/>
                <w:szCs w:val="24"/>
              </w:rPr>
              <w:t xml:space="preserve"> (prot. Nr.24, 26.§) „Informatīvais ziņojums „Nozaru administratīvo pārkāpumu kodifikācijas ieviešanas sistēma”” 2.punkts;</w:t>
            </w:r>
          </w:p>
          <w:p w:rsidRPr="005D06AD" w:rsidR="005D06AD" w:rsidP="005D06AD" w:rsidRDefault="005D06AD" w14:paraId="10E8D08E" w14:textId="77777777">
            <w:pPr>
              <w:widowControl w:val="0"/>
              <w:ind w:firstLine="0"/>
              <w:jc w:val="both"/>
              <w:rPr>
                <w:rFonts w:eastAsia="Calibri" w:cs="Times New Roman"/>
                <w:sz w:val="24"/>
                <w:szCs w:val="24"/>
              </w:rPr>
            </w:pPr>
            <w:r w:rsidRPr="005D06AD">
              <w:rPr>
                <w:rFonts w:eastAsia="Calibri" w:cs="Times New Roman"/>
                <w:sz w:val="24"/>
                <w:szCs w:val="24"/>
              </w:rPr>
              <w:t xml:space="preserve">2) Ministru kabineta 2016.gada 13.decembra sēdes </w:t>
            </w:r>
            <w:proofErr w:type="spellStart"/>
            <w:r w:rsidRPr="005D06AD">
              <w:rPr>
                <w:rFonts w:eastAsia="Calibri" w:cs="Times New Roman"/>
                <w:sz w:val="24"/>
                <w:szCs w:val="24"/>
              </w:rPr>
              <w:t>protokollēmuma</w:t>
            </w:r>
            <w:proofErr w:type="spellEnd"/>
            <w:r w:rsidRPr="005D06AD">
              <w:rPr>
                <w:rFonts w:eastAsia="Calibri" w:cs="Times New Roman"/>
                <w:sz w:val="24"/>
                <w:szCs w:val="24"/>
              </w:rPr>
              <w:t xml:space="preserve"> (prot. Nr.68, 67.§) “Informatīvais ziņojums “Nozaru administratīvo pārkāpumu kodifikācijas ieviešanas sistēmas īstenošana”” 2.punkts;</w:t>
            </w:r>
          </w:p>
          <w:p w:rsidRPr="00BF5673" w:rsidR="005D06AD" w:rsidP="005D06AD" w:rsidRDefault="005D06AD" w14:paraId="205E01DA" w14:textId="4E959EC4">
            <w:pPr>
              <w:autoSpaceDE w:val="0"/>
              <w:autoSpaceDN w:val="0"/>
              <w:adjustRightInd w:val="0"/>
              <w:ind w:firstLine="0"/>
              <w:jc w:val="both"/>
              <w:rPr>
                <w:rFonts w:cs="Times New Roman"/>
                <w:sz w:val="24"/>
                <w:szCs w:val="24"/>
              </w:rPr>
            </w:pPr>
            <w:r w:rsidRPr="005D06AD">
              <w:rPr>
                <w:rFonts w:eastAsia="Calibri" w:cs="Times New Roman"/>
                <w:sz w:val="24"/>
                <w:szCs w:val="24"/>
              </w:rPr>
              <w:t xml:space="preserve">3) Ministru kabineta 2018.gada 18.decembra sēdes </w:t>
            </w:r>
            <w:proofErr w:type="spellStart"/>
            <w:r w:rsidRPr="005D06AD">
              <w:rPr>
                <w:rFonts w:eastAsia="Calibri" w:cs="Times New Roman"/>
                <w:sz w:val="24"/>
                <w:szCs w:val="24"/>
              </w:rPr>
              <w:t>protokollēmuma</w:t>
            </w:r>
            <w:proofErr w:type="spellEnd"/>
            <w:r w:rsidRPr="005D06AD">
              <w:rPr>
                <w:rFonts w:eastAsia="Calibri" w:cs="Times New Roman"/>
                <w:sz w:val="24"/>
                <w:szCs w:val="24"/>
              </w:rPr>
              <w:t xml:space="preserve"> (prot. Nr.60, 98.§) „Informatīvais ziņojums „Nozaru administratīvo pārkāpumu kodifikācijas ieviešanas sistēmas īstenošana”” 2.punkts.</w:t>
            </w:r>
          </w:p>
          <w:p w:rsidRPr="00BF5673" w:rsidR="00056D25" w:rsidP="00056D25" w:rsidRDefault="00056D25" w14:paraId="132C8605" w14:textId="5ABE795C">
            <w:pPr>
              <w:autoSpaceDE w:val="0"/>
              <w:autoSpaceDN w:val="0"/>
              <w:adjustRightInd w:val="0"/>
              <w:ind w:firstLine="0"/>
              <w:jc w:val="both"/>
              <w:rPr>
                <w:rFonts w:cs="Times New Roman"/>
                <w:sz w:val="24"/>
                <w:szCs w:val="24"/>
              </w:rPr>
            </w:pPr>
          </w:p>
        </w:tc>
      </w:tr>
      <w:tr w:rsidRPr="00BF5673" w:rsidR="00417277" w:rsidTr="005D06AD" w14:paraId="6EB3B454"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5648FC66" w14:textId="77777777">
            <w:pPr>
              <w:ind w:firstLine="0"/>
              <w:rPr>
                <w:rFonts w:cs="Times New Roman"/>
                <w:sz w:val="24"/>
                <w:szCs w:val="24"/>
              </w:rPr>
            </w:pPr>
            <w:r w:rsidRPr="00BF5673">
              <w:rPr>
                <w:rFonts w:cs="Times New Roman"/>
                <w:sz w:val="24"/>
                <w:szCs w:val="24"/>
              </w:rPr>
              <w:t>2.</w:t>
            </w:r>
          </w:p>
        </w:tc>
        <w:tc>
          <w:tcPr>
            <w:tcW w:w="1530"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1A865F62" w14:textId="77777777">
            <w:pPr>
              <w:ind w:firstLine="0"/>
              <w:rPr>
                <w:rFonts w:cs="Times New Roman"/>
                <w:sz w:val="24"/>
                <w:szCs w:val="24"/>
              </w:rPr>
            </w:pPr>
            <w:r w:rsidRPr="00BF5673">
              <w:rPr>
                <w:rFonts w:cs="Times New Roman"/>
                <w:sz w:val="24"/>
                <w:szCs w:val="24"/>
              </w:rPr>
              <w:t>Pašreizējā situācija un problēmas, kuru risināšanai tiesību akta projekts izstrādāts, tiesiskā regulējuma mērķis un būtība</w:t>
            </w:r>
          </w:p>
          <w:p w:rsidRPr="00BF5673" w:rsidR="008A10DE" w:rsidP="00BF5673" w:rsidRDefault="008A10DE" w14:paraId="6F60A787" w14:textId="77777777">
            <w:pPr>
              <w:rPr>
                <w:rFonts w:cs="Times New Roman"/>
                <w:sz w:val="24"/>
                <w:szCs w:val="24"/>
              </w:rPr>
            </w:pPr>
          </w:p>
          <w:p w:rsidRPr="00BF5673" w:rsidR="008A10DE" w:rsidP="00BF5673" w:rsidRDefault="008A10DE" w14:paraId="497B0ED7" w14:textId="77777777">
            <w:pPr>
              <w:rPr>
                <w:rFonts w:cs="Times New Roman"/>
                <w:sz w:val="24"/>
                <w:szCs w:val="24"/>
              </w:rPr>
            </w:pPr>
          </w:p>
          <w:p w:rsidRPr="00BF5673" w:rsidR="008A10DE" w:rsidP="00BF5673" w:rsidRDefault="008A10DE" w14:paraId="2A3AC75E" w14:textId="77777777">
            <w:pPr>
              <w:rPr>
                <w:rFonts w:cs="Times New Roman"/>
                <w:sz w:val="24"/>
                <w:szCs w:val="24"/>
              </w:rPr>
            </w:pPr>
          </w:p>
          <w:p w:rsidRPr="00BF5673" w:rsidR="008A10DE" w:rsidP="00BF5673" w:rsidRDefault="008A10DE" w14:paraId="79C32ADD" w14:textId="77777777">
            <w:pPr>
              <w:rPr>
                <w:rFonts w:cs="Times New Roman"/>
                <w:sz w:val="24"/>
                <w:szCs w:val="24"/>
              </w:rPr>
            </w:pPr>
          </w:p>
          <w:p w:rsidRPr="00BF5673" w:rsidR="008A10DE" w:rsidP="00BF5673" w:rsidRDefault="008A10DE" w14:paraId="58089EF3" w14:textId="77777777">
            <w:pPr>
              <w:rPr>
                <w:rFonts w:cs="Times New Roman"/>
                <w:sz w:val="24"/>
                <w:szCs w:val="24"/>
              </w:rPr>
            </w:pPr>
          </w:p>
          <w:p w:rsidRPr="00BF5673" w:rsidR="008A10DE" w:rsidP="00BF5673" w:rsidRDefault="008A10DE" w14:paraId="29DDAE0C" w14:textId="77777777">
            <w:pPr>
              <w:rPr>
                <w:rFonts w:cs="Times New Roman"/>
                <w:sz w:val="24"/>
                <w:szCs w:val="24"/>
              </w:rPr>
            </w:pPr>
          </w:p>
          <w:p w:rsidRPr="00BF5673" w:rsidR="008A10DE" w:rsidP="00BF5673" w:rsidRDefault="008A10DE" w14:paraId="721EF548" w14:textId="77777777">
            <w:pPr>
              <w:rPr>
                <w:rFonts w:cs="Times New Roman"/>
                <w:sz w:val="24"/>
                <w:szCs w:val="24"/>
              </w:rPr>
            </w:pPr>
          </w:p>
          <w:p w:rsidRPr="00BF5673" w:rsidR="008A10DE" w:rsidP="00BF5673" w:rsidRDefault="008A10DE" w14:paraId="3794A0A7" w14:textId="77777777">
            <w:pPr>
              <w:rPr>
                <w:rFonts w:cs="Times New Roman"/>
                <w:sz w:val="24"/>
                <w:szCs w:val="24"/>
              </w:rPr>
            </w:pPr>
          </w:p>
          <w:p w:rsidRPr="00BF5673" w:rsidR="008A10DE" w:rsidP="00BF5673" w:rsidRDefault="008A10DE" w14:paraId="566CDBF5" w14:textId="77777777">
            <w:pPr>
              <w:rPr>
                <w:rFonts w:cs="Times New Roman"/>
                <w:sz w:val="24"/>
                <w:szCs w:val="24"/>
              </w:rPr>
            </w:pPr>
          </w:p>
          <w:p w:rsidRPr="00BF5673" w:rsidR="008A10DE" w:rsidP="00BF5673" w:rsidRDefault="008A10DE" w14:paraId="7539D8B3" w14:textId="77777777">
            <w:pPr>
              <w:rPr>
                <w:rFonts w:cs="Times New Roman"/>
                <w:sz w:val="24"/>
                <w:szCs w:val="24"/>
              </w:rPr>
            </w:pPr>
          </w:p>
          <w:p w:rsidRPr="00BF5673" w:rsidR="008A10DE" w:rsidP="00BF5673" w:rsidRDefault="008A10DE" w14:paraId="46802240" w14:textId="77777777">
            <w:pPr>
              <w:rPr>
                <w:rFonts w:cs="Times New Roman"/>
                <w:sz w:val="24"/>
                <w:szCs w:val="24"/>
              </w:rPr>
            </w:pPr>
          </w:p>
          <w:p w:rsidRPr="00BF5673" w:rsidR="008A10DE" w:rsidP="00BF5673" w:rsidRDefault="008A10DE" w14:paraId="185EA6C8" w14:textId="77777777">
            <w:pPr>
              <w:rPr>
                <w:rFonts w:cs="Times New Roman"/>
                <w:sz w:val="24"/>
                <w:szCs w:val="24"/>
              </w:rPr>
            </w:pPr>
          </w:p>
          <w:p w:rsidRPr="00BF5673" w:rsidR="008A10DE" w:rsidP="008A10DE" w:rsidRDefault="008A10DE" w14:paraId="2C91152C" w14:textId="7DA94194">
            <w:pPr>
              <w:rPr>
                <w:rFonts w:cs="Times New Roman"/>
                <w:sz w:val="24"/>
                <w:szCs w:val="24"/>
              </w:rPr>
            </w:pPr>
          </w:p>
          <w:p w:rsidRPr="00BF5673" w:rsidR="00BF5673" w:rsidP="00BF5673" w:rsidRDefault="00BF5673" w14:paraId="6145CE90" w14:textId="4E1257A2">
            <w:pPr>
              <w:rPr>
                <w:rFonts w:cs="Times New Roman"/>
                <w:sz w:val="24"/>
                <w:szCs w:val="24"/>
              </w:rPr>
            </w:pPr>
          </w:p>
          <w:p w:rsidRPr="00BF5673" w:rsidR="00BF5673" w:rsidP="00BF5673" w:rsidRDefault="00BF5673" w14:paraId="30B8BC37" w14:textId="77777777">
            <w:pPr>
              <w:rPr>
                <w:rFonts w:cs="Times New Roman"/>
                <w:sz w:val="24"/>
                <w:szCs w:val="24"/>
              </w:rPr>
            </w:pPr>
          </w:p>
          <w:p w:rsidRPr="00BF5673" w:rsidR="00BF5673" w:rsidP="00BF5673" w:rsidRDefault="00BF5673" w14:paraId="632646B5" w14:textId="4E73724F">
            <w:pPr>
              <w:rPr>
                <w:rFonts w:cs="Times New Roman"/>
                <w:sz w:val="24"/>
                <w:szCs w:val="24"/>
              </w:rPr>
            </w:pPr>
          </w:p>
          <w:p w:rsidRPr="00BF5673" w:rsidR="00BF5673" w:rsidP="00BF5673" w:rsidRDefault="00BF5673" w14:paraId="3DF51166" w14:textId="77777777">
            <w:pPr>
              <w:rPr>
                <w:rFonts w:cs="Times New Roman"/>
                <w:sz w:val="24"/>
                <w:szCs w:val="24"/>
              </w:rPr>
            </w:pPr>
          </w:p>
          <w:p w:rsidRPr="00BF5673" w:rsidR="00BF5673" w:rsidP="00BF5673" w:rsidRDefault="00BF5673" w14:paraId="28553A66" w14:textId="68AE1559">
            <w:pPr>
              <w:rPr>
                <w:rFonts w:cs="Times New Roman"/>
                <w:sz w:val="24"/>
                <w:szCs w:val="24"/>
              </w:rPr>
            </w:pPr>
          </w:p>
          <w:p w:rsidRPr="00BF5673" w:rsidR="00BF5673" w:rsidP="00BF5673" w:rsidRDefault="00BF5673" w14:paraId="7975DD4E" w14:textId="77777777">
            <w:pPr>
              <w:rPr>
                <w:rFonts w:cs="Times New Roman"/>
                <w:sz w:val="24"/>
                <w:szCs w:val="24"/>
              </w:rPr>
            </w:pPr>
          </w:p>
          <w:p w:rsidRPr="00BF5673" w:rsidR="00BF5673" w:rsidP="00BF5673" w:rsidRDefault="00BF5673" w14:paraId="02FF940D" w14:textId="21DF5CB7">
            <w:pPr>
              <w:rPr>
                <w:rFonts w:cs="Times New Roman"/>
                <w:sz w:val="24"/>
                <w:szCs w:val="24"/>
              </w:rPr>
            </w:pPr>
          </w:p>
          <w:p w:rsidRPr="00BF5673" w:rsidR="00BF5673" w:rsidP="00BF5673" w:rsidRDefault="00BF5673" w14:paraId="10F48F7C" w14:textId="77777777">
            <w:pPr>
              <w:rPr>
                <w:rFonts w:cs="Times New Roman"/>
                <w:sz w:val="24"/>
                <w:szCs w:val="24"/>
              </w:rPr>
            </w:pPr>
          </w:p>
          <w:p w:rsidRPr="00BF5673" w:rsidR="00BF5673" w:rsidP="00BF5673" w:rsidRDefault="00BF5673" w14:paraId="5B46F753" w14:textId="4C8B225D">
            <w:pPr>
              <w:rPr>
                <w:rFonts w:cs="Times New Roman"/>
                <w:sz w:val="24"/>
                <w:szCs w:val="24"/>
              </w:rPr>
            </w:pPr>
          </w:p>
          <w:p w:rsidRPr="00BF5673" w:rsidR="00BF5673" w:rsidP="00BF5673" w:rsidRDefault="00BF5673" w14:paraId="10B22341" w14:textId="77777777">
            <w:pPr>
              <w:rPr>
                <w:rFonts w:cs="Times New Roman"/>
                <w:sz w:val="24"/>
                <w:szCs w:val="24"/>
              </w:rPr>
            </w:pPr>
          </w:p>
          <w:p w:rsidRPr="00BF5673" w:rsidR="00BF5673" w:rsidP="00BF5673" w:rsidRDefault="00BF5673" w14:paraId="0026894B" w14:textId="616DA3F6">
            <w:pPr>
              <w:rPr>
                <w:rFonts w:cs="Times New Roman"/>
                <w:sz w:val="24"/>
                <w:szCs w:val="24"/>
              </w:rPr>
            </w:pPr>
          </w:p>
          <w:p w:rsidRPr="00BF5673" w:rsidR="00BF5673" w:rsidP="00BF5673" w:rsidRDefault="00BF5673" w14:paraId="46380A88" w14:textId="77777777">
            <w:pPr>
              <w:rPr>
                <w:rFonts w:cs="Times New Roman"/>
                <w:sz w:val="24"/>
                <w:szCs w:val="24"/>
              </w:rPr>
            </w:pPr>
          </w:p>
          <w:p w:rsidRPr="00BF5673" w:rsidR="00BF5673" w:rsidP="00BF5673" w:rsidRDefault="00BF5673" w14:paraId="7547B6B8" w14:textId="5B39AA9A">
            <w:pPr>
              <w:rPr>
                <w:rFonts w:cs="Times New Roman"/>
                <w:sz w:val="24"/>
                <w:szCs w:val="24"/>
              </w:rPr>
            </w:pPr>
          </w:p>
          <w:p w:rsidRPr="00BF5673" w:rsidR="00BF5673" w:rsidP="00BF5673" w:rsidRDefault="00BF5673" w14:paraId="4E52B63A" w14:textId="77777777">
            <w:pPr>
              <w:rPr>
                <w:rFonts w:cs="Times New Roman"/>
                <w:sz w:val="24"/>
                <w:szCs w:val="24"/>
              </w:rPr>
            </w:pPr>
          </w:p>
          <w:p w:rsidRPr="00BF5673" w:rsidR="00BF5673" w:rsidP="00BF5673" w:rsidRDefault="00BF5673" w14:paraId="497DD86C" w14:textId="7BE48C29">
            <w:pPr>
              <w:rPr>
                <w:rFonts w:cs="Times New Roman"/>
                <w:sz w:val="24"/>
                <w:szCs w:val="24"/>
              </w:rPr>
            </w:pPr>
          </w:p>
          <w:p w:rsidRPr="00BF5673" w:rsidR="00BF5673" w:rsidP="00BF5673" w:rsidRDefault="00BF5673" w14:paraId="09E1F470" w14:textId="77777777">
            <w:pPr>
              <w:rPr>
                <w:rFonts w:cs="Times New Roman"/>
                <w:sz w:val="24"/>
                <w:szCs w:val="24"/>
              </w:rPr>
            </w:pPr>
          </w:p>
          <w:p w:rsidRPr="00BF5673" w:rsidR="00BF5673" w:rsidP="00BF5673" w:rsidRDefault="00BF5673" w14:paraId="66770040" w14:textId="7E519460">
            <w:pPr>
              <w:rPr>
                <w:rFonts w:cs="Times New Roman"/>
                <w:sz w:val="24"/>
                <w:szCs w:val="24"/>
              </w:rPr>
            </w:pPr>
          </w:p>
          <w:p w:rsidRPr="00BF5673" w:rsidR="00BF5673" w:rsidP="00BF5673" w:rsidRDefault="00BF5673" w14:paraId="1AB6341E" w14:textId="77777777">
            <w:pPr>
              <w:rPr>
                <w:rFonts w:cs="Times New Roman"/>
                <w:sz w:val="24"/>
                <w:szCs w:val="24"/>
              </w:rPr>
            </w:pPr>
          </w:p>
          <w:p w:rsidRPr="00BF5673" w:rsidR="00BF5673" w:rsidP="00BF5673" w:rsidRDefault="00BF5673" w14:paraId="13D6B822" w14:textId="2F62AA46">
            <w:pPr>
              <w:rPr>
                <w:rFonts w:cs="Times New Roman"/>
                <w:sz w:val="24"/>
                <w:szCs w:val="24"/>
              </w:rPr>
            </w:pPr>
          </w:p>
          <w:p w:rsidRPr="00BF5673" w:rsidR="00BF5673" w:rsidP="00BF5673" w:rsidRDefault="00BF5673" w14:paraId="772B0290" w14:textId="77777777">
            <w:pPr>
              <w:rPr>
                <w:rFonts w:cs="Times New Roman"/>
                <w:sz w:val="24"/>
                <w:szCs w:val="24"/>
              </w:rPr>
            </w:pPr>
          </w:p>
          <w:p w:rsidRPr="00BF5673" w:rsidR="00BF5673" w:rsidP="00BF5673" w:rsidRDefault="00BF5673" w14:paraId="4D41B011" w14:textId="6C0C557D">
            <w:pPr>
              <w:rPr>
                <w:rFonts w:cs="Times New Roman"/>
                <w:sz w:val="24"/>
                <w:szCs w:val="24"/>
              </w:rPr>
            </w:pPr>
          </w:p>
          <w:p w:rsidRPr="00BF5673" w:rsidR="00BF5673" w:rsidP="00BF5673" w:rsidRDefault="00BF5673" w14:paraId="30388A08" w14:textId="77777777">
            <w:pPr>
              <w:rPr>
                <w:rFonts w:cs="Times New Roman"/>
                <w:sz w:val="24"/>
                <w:szCs w:val="24"/>
              </w:rPr>
            </w:pPr>
          </w:p>
          <w:p w:rsidRPr="00BF5673" w:rsidR="00BF5673" w:rsidP="00BF5673" w:rsidRDefault="00BF5673" w14:paraId="28B28838" w14:textId="64209F5D">
            <w:pPr>
              <w:rPr>
                <w:rFonts w:cs="Times New Roman"/>
                <w:sz w:val="24"/>
                <w:szCs w:val="24"/>
              </w:rPr>
            </w:pPr>
          </w:p>
          <w:p w:rsidRPr="00BF5673" w:rsidR="00BF5673" w:rsidP="00BF5673" w:rsidRDefault="00BF5673" w14:paraId="528E9684" w14:textId="77777777">
            <w:pPr>
              <w:rPr>
                <w:rFonts w:cs="Times New Roman"/>
                <w:sz w:val="24"/>
                <w:szCs w:val="24"/>
              </w:rPr>
            </w:pPr>
          </w:p>
          <w:p w:rsidRPr="00BF5673" w:rsidR="008A10DE" w:rsidP="008A10DE" w:rsidRDefault="008A10DE" w14:paraId="184135BA" w14:textId="18B6D04D">
            <w:pPr>
              <w:rPr>
                <w:rFonts w:cs="Times New Roman"/>
                <w:sz w:val="24"/>
                <w:szCs w:val="24"/>
              </w:rPr>
            </w:pPr>
          </w:p>
          <w:p w:rsidRPr="00BF5673" w:rsidR="008A10DE" w:rsidRDefault="008A10DE" w14:paraId="3861E880" w14:textId="77777777">
            <w:pPr>
              <w:rPr>
                <w:rFonts w:cs="Times New Roman"/>
                <w:sz w:val="24"/>
                <w:szCs w:val="24"/>
              </w:rPr>
            </w:pPr>
          </w:p>
          <w:p w:rsidRPr="00BF5673" w:rsidR="008A10DE" w:rsidP="008A10DE" w:rsidRDefault="008A10DE" w14:paraId="2B806322" w14:textId="7767DEFF">
            <w:pPr>
              <w:rPr>
                <w:rFonts w:cs="Times New Roman"/>
                <w:sz w:val="24"/>
                <w:szCs w:val="24"/>
              </w:rPr>
            </w:pPr>
          </w:p>
          <w:p w:rsidRPr="00BF5673" w:rsidR="008A10DE" w:rsidRDefault="008A10DE" w14:paraId="66E2E00F" w14:textId="77777777">
            <w:pPr>
              <w:rPr>
                <w:rFonts w:cs="Times New Roman"/>
                <w:sz w:val="24"/>
                <w:szCs w:val="24"/>
              </w:rPr>
            </w:pPr>
          </w:p>
          <w:p w:rsidRPr="00BF5673" w:rsidR="008A10DE" w:rsidP="008A10DE" w:rsidRDefault="008A10DE" w14:paraId="2DCBD633" w14:textId="7FE5341F">
            <w:pPr>
              <w:rPr>
                <w:rFonts w:cs="Times New Roman"/>
                <w:sz w:val="24"/>
                <w:szCs w:val="24"/>
              </w:rPr>
            </w:pPr>
          </w:p>
          <w:p w:rsidRPr="00BF5673" w:rsidR="008A10DE" w:rsidRDefault="008A10DE" w14:paraId="170D820D" w14:textId="77777777">
            <w:pPr>
              <w:rPr>
                <w:rFonts w:cs="Times New Roman"/>
                <w:sz w:val="24"/>
                <w:szCs w:val="24"/>
              </w:rPr>
            </w:pPr>
          </w:p>
          <w:p w:rsidRPr="00BF5673" w:rsidR="008A10DE" w:rsidP="008A10DE" w:rsidRDefault="008A10DE" w14:paraId="45E66BE4" w14:textId="33C5F580">
            <w:pPr>
              <w:rPr>
                <w:rFonts w:cs="Times New Roman"/>
                <w:sz w:val="24"/>
                <w:szCs w:val="24"/>
              </w:rPr>
            </w:pPr>
          </w:p>
          <w:p w:rsidRPr="00BF5673" w:rsidR="008A10DE" w:rsidRDefault="008A10DE" w14:paraId="4C680A03" w14:textId="77777777">
            <w:pPr>
              <w:rPr>
                <w:rFonts w:cs="Times New Roman"/>
                <w:sz w:val="24"/>
                <w:szCs w:val="24"/>
              </w:rPr>
            </w:pPr>
          </w:p>
          <w:p w:rsidRPr="00BF5673" w:rsidR="008A10DE" w:rsidP="008A10DE" w:rsidRDefault="008A10DE" w14:paraId="3D1D54F5" w14:textId="29510C01">
            <w:pPr>
              <w:rPr>
                <w:rFonts w:cs="Times New Roman"/>
                <w:sz w:val="24"/>
                <w:szCs w:val="24"/>
              </w:rPr>
            </w:pPr>
          </w:p>
          <w:p w:rsidRPr="00BF5673" w:rsidR="008A10DE" w:rsidP="00BF5673" w:rsidRDefault="008A10DE" w14:paraId="25464367" w14:textId="77777777">
            <w:pPr>
              <w:rPr>
                <w:rFonts w:cs="Times New Roman"/>
                <w:sz w:val="24"/>
                <w:szCs w:val="24"/>
              </w:rPr>
            </w:pPr>
          </w:p>
          <w:p w:rsidRPr="00BF5673" w:rsidR="008A10DE" w:rsidP="00BF5673" w:rsidRDefault="008A10DE" w14:paraId="155F6004" w14:textId="77777777">
            <w:pPr>
              <w:rPr>
                <w:rFonts w:cs="Times New Roman"/>
                <w:sz w:val="24"/>
                <w:szCs w:val="24"/>
              </w:rPr>
            </w:pPr>
          </w:p>
          <w:p w:rsidRPr="00BF5673" w:rsidR="008A10DE" w:rsidP="00BF5673" w:rsidRDefault="008A10DE" w14:paraId="4907B2A4" w14:textId="54E5F7C7">
            <w:pPr>
              <w:rPr>
                <w:rFonts w:cs="Times New Roman"/>
                <w:sz w:val="24"/>
                <w:szCs w:val="24"/>
              </w:rPr>
            </w:pPr>
          </w:p>
        </w:tc>
        <w:tc>
          <w:tcPr>
            <w:tcW w:w="3159" w:type="pct"/>
            <w:tcBorders>
              <w:top w:val="outset" w:color="auto" w:sz="6" w:space="0"/>
              <w:left w:val="outset" w:color="auto" w:sz="6" w:space="0"/>
              <w:bottom w:val="outset" w:color="auto" w:sz="6" w:space="0"/>
              <w:right w:val="outset" w:color="auto" w:sz="6" w:space="0"/>
            </w:tcBorders>
          </w:tcPr>
          <w:p w:rsidRPr="00BF5673" w:rsidR="00417277" w:rsidP="008D361B" w:rsidRDefault="005D06AD" w14:paraId="475D1266" w14:textId="1EA9396A">
            <w:pPr>
              <w:widowControl w:val="0"/>
              <w:ind w:firstLine="0"/>
              <w:jc w:val="both"/>
              <w:outlineLvl w:val="2"/>
              <w:rPr>
                <w:rFonts w:cs="Times New Roman"/>
                <w:sz w:val="24"/>
                <w:szCs w:val="24"/>
              </w:rPr>
            </w:pPr>
            <w:r w:rsidRPr="00D52747">
              <w:rPr>
                <w:rFonts w:eastAsia="Times New Roman" w:cs="Times New Roman"/>
                <w:sz w:val="24"/>
                <w:szCs w:val="24"/>
                <w:lang w:eastAsia="lv-LV"/>
              </w:rPr>
              <w:lastRenderedPageBreak/>
              <w:t xml:space="preserve">Saskaņā ar Ministru kabineta 2014. gada 22. aprīļa sēdes protokola Nr.24 26.§ „Informatīvais ziņojums „Nozaru administratīvo pārkāpumu kodifikācijas ieviešanas sistēma”” 2.punktu </w:t>
            </w:r>
            <w:r w:rsidRPr="00D52747">
              <w:rPr>
                <w:rFonts w:eastAsia="Calibri" w:cs="Times New Roman"/>
                <w:sz w:val="24"/>
                <w:szCs w:val="24"/>
                <w:lang w:eastAsia="lv-LV"/>
              </w:rPr>
              <w:t>Satiksmes ministrijai</w:t>
            </w:r>
            <w:r w:rsidRPr="00D52747">
              <w:rPr>
                <w:rFonts w:eastAsia="Times New Roman" w:cs="Times New Roman"/>
                <w:sz w:val="24"/>
                <w:szCs w:val="24"/>
                <w:lang w:eastAsia="lv-LV"/>
              </w:rPr>
              <w:t xml:space="preserve">, ievērojot informatīvā ziņojuma „Nozaru administratīvo pārkāpumu kodifikācijas ieviešanas sistēma” (turpmāk – informatīvais ziņojums) 2.pielikumā noteikto nozaru administratīvo pārkāpumu kodifikācijas laika grafiku, </w:t>
            </w:r>
            <w:r w:rsidRPr="00D52747">
              <w:rPr>
                <w:rFonts w:eastAsia="Calibri" w:cs="Times New Roman"/>
                <w:sz w:val="24"/>
                <w:szCs w:val="24"/>
                <w:lang w:eastAsia="lv-LV"/>
              </w:rPr>
              <w:t>tika uzdots</w:t>
            </w:r>
            <w:r w:rsidRPr="00D52747">
              <w:rPr>
                <w:rFonts w:eastAsia="Times New Roman" w:cs="Times New Roman"/>
                <w:sz w:val="24"/>
                <w:szCs w:val="24"/>
                <w:lang w:eastAsia="lv-LV"/>
              </w:rPr>
              <w:t xml:space="preserve"> veikt administratīvo pārkāpumu kodifikāciju </w:t>
            </w:r>
            <w:r>
              <w:rPr>
                <w:rFonts w:eastAsia="Times New Roman" w:cs="Times New Roman"/>
                <w:sz w:val="24"/>
                <w:szCs w:val="24"/>
                <w:lang w:eastAsia="lv-LV"/>
              </w:rPr>
              <w:t xml:space="preserve">ceļu satiksmes jomā. </w:t>
            </w:r>
            <w:r w:rsidRPr="00BF5673" w:rsidR="00A56080">
              <w:rPr>
                <w:rFonts w:cs="Times New Roman"/>
                <w:sz w:val="24"/>
                <w:szCs w:val="24"/>
              </w:rPr>
              <w:t xml:space="preserve">Lai izpildītu doto uzdevumu Satiksmes ministrija </w:t>
            </w:r>
            <w:r w:rsidRPr="00BF5673" w:rsidR="00856BE9">
              <w:rPr>
                <w:rFonts w:cs="Times New Roman"/>
                <w:sz w:val="24"/>
                <w:szCs w:val="24"/>
              </w:rPr>
              <w:t>sadarbībā ar valsts akciju sabiedrību “Ceļu satiksmes drošības direkcija”</w:t>
            </w:r>
            <w:r w:rsidRPr="00BF5673" w:rsidR="00CF1516">
              <w:rPr>
                <w:rFonts w:cs="Times New Roman"/>
                <w:sz w:val="24"/>
                <w:szCs w:val="24"/>
              </w:rPr>
              <w:t xml:space="preserve"> (turpmāk - CSDD)</w:t>
            </w:r>
            <w:r w:rsidRPr="00BF5673" w:rsidR="00856BE9">
              <w:rPr>
                <w:rFonts w:cs="Times New Roman"/>
                <w:sz w:val="24"/>
                <w:szCs w:val="24"/>
              </w:rPr>
              <w:t xml:space="preserve"> izstrādāja</w:t>
            </w:r>
            <w:r w:rsidRPr="00BF5673" w:rsidR="00A56080">
              <w:rPr>
                <w:rFonts w:cs="Times New Roman"/>
                <w:sz w:val="24"/>
                <w:szCs w:val="24"/>
              </w:rPr>
              <w:t xml:space="preserve"> Likumprojekt</w:t>
            </w:r>
            <w:r w:rsidRPr="00BF5673" w:rsidR="00856BE9">
              <w:rPr>
                <w:rFonts w:cs="Times New Roman"/>
                <w:sz w:val="24"/>
                <w:szCs w:val="24"/>
              </w:rPr>
              <w:t>u</w:t>
            </w:r>
            <w:r w:rsidRPr="00BF5673" w:rsidR="00A56080">
              <w:rPr>
                <w:rFonts w:cs="Times New Roman"/>
                <w:sz w:val="24"/>
                <w:szCs w:val="24"/>
              </w:rPr>
              <w:t>.</w:t>
            </w:r>
          </w:p>
          <w:p w:rsidRPr="00BF5673" w:rsidR="00AC0B14" w:rsidP="008D361B" w:rsidRDefault="00417277" w14:paraId="58979E35" w14:textId="5212C386">
            <w:pPr>
              <w:widowControl w:val="0"/>
              <w:ind w:firstLine="0"/>
              <w:jc w:val="both"/>
              <w:rPr>
                <w:rFonts w:cs="Times New Roman"/>
                <w:sz w:val="24"/>
                <w:szCs w:val="24"/>
              </w:rPr>
            </w:pPr>
            <w:r w:rsidRPr="00BF5673">
              <w:rPr>
                <w:rFonts w:cs="Times New Roman"/>
                <w:sz w:val="24"/>
                <w:szCs w:val="24"/>
              </w:rPr>
              <w:t>Sas</w:t>
            </w:r>
            <w:r w:rsidRPr="00BF5673" w:rsidR="0070544E">
              <w:rPr>
                <w:rFonts w:cs="Times New Roman"/>
                <w:sz w:val="24"/>
                <w:szCs w:val="24"/>
              </w:rPr>
              <w:t>kaņā ar Ministru kabineta 2013.gada 4.februāra rīkojumu Nr.</w:t>
            </w:r>
            <w:r w:rsidRPr="00BF5673">
              <w:rPr>
                <w:rFonts w:cs="Times New Roman"/>
                <w:sz w:val="24"/>
                <w:szCs w:val="24"/>
              </w:rPr>
              <w:t xml:space="preserve">38 „Administratīvo sodu sistēmas attīstības koncepcijas kopsavilkums” (turpmāk - Koncepcijas kopsavilkums) </w:t>
            </w:r>
            <w:r w:rsidRPr="00BF5673">
              <w:rPr>
                <w:rFonts w:eastAsia="Times New Roman" w:cs="Times New Roman"/>
                <w:sz w:val="24"/>
                <w:szCs w:val="24"/>
                <w:lang w:eastAsia="lv-LV"/>
              </w:rPr>
              <w:t xml:space="preserve">šobrīd Latvijā pastāvošais administratīvās atbildības regulējums ietverts Latvijas Administratīvo pārkāpumu kodeksā (turpmāk - </w:t>
            </w:r>
            <w:r w:rsidRPr="00BF5673" w:rsidR="00557C5D">
              <w:rPr>
                <w:rFonts w:eastAsia="Times New Roman" w:cs="Times New Roman"/>
                <w:sz w:val="24"/>
                <w:szCs w:val="24"/>
                <w:lang w:eastAsia="lv-LV"/>
              </w:rPr>
              <w:t>LAPK</w:t>
            </w:r>
            <w:r w:rsidRPr="00BF5673">
              <w:rPr>
                <w:rFonts w:eastAsia="Times New Roman" w:cs="Times New Roman"/>
                <w:sz w:val="24"/>
                <w:szCs w:val="24"/>
                <w:lang w:eastAsia="lv-LV"/>
              </w:rPr>
              <w:t xml:space="preserve">). </w:t>
            </w:r>
          </w:p>
          <w:p w:rsidRPr="00BF5673" w:rsidR="00417277" w:rsidP="008D361B" w:rsidRDefault="00417277" w14:paraId="4B9D3836" w14:textId="420DC385">
            <w:pPr>
              <w:ind w:firstLine="0"/>
              <w:jc w:val="both"/>
              <w:rPr>
                <w:rFonts w:cs="Times New Roman"/>
                <w:sz w:val="24"/>
                <w:szCs w:val="24"/>
              </w:rPr>
            </w:pPr>
            <w:r w:rsidRPr="00BF5673">
              <w:rPr>
                <w:rFonts w:cs="Times New Roman"/>
                <w:sz w:val="24"/>
                <w:szCs w:val="24"/>
              </w:rPr>
              <w:lastRenderedPageBreak/>
              <w:t xml:space="preserve">Saskaņā ar </w:t>
            </w:r>
            <w:r w:rsidRPr="00BF5673" w:rsidR="001B4DAA">
              <w:rPr>
                <w:rFonts w:cs="Times New Roman"/>
                <w:sz w:val="24"/>
                <w:szCs w:val="24"/>
              </w:rPr>
              <w:t>Ministru kabineta 2013. gada 4.februāra rīkojumu Nr.</w:t>
            </w:r>
            <w:r w:rsidRPr="00BF5673">
              <w:rPr>
                <w:rFonts w:cs="Times New Roman"/>
                <w:sz w:val="24"/>
                <w:szCs w:val="24"/>
              </w:rPr>
              <w:t>38 „Par Administratīvo sodu sistēmas attīstīb</w:t>
            </w:r>
            <w:r w:rsidRPr="00BF5673" w:rsidR="00822A1E">
              <w:rPr>
                <w:rFonts w:cs="Times New Roman"/>
                <w:sz w:val="24"/>
                <w:szCs w:val="24"/>
              </w:rPr>
              <w:t>as koncepciju” tika atbalstīti k</w:t>
            </w:r>
            <w:r w:rsidRPr="00BF5673">
              <w:rPr>
                <w:rFonts w:cs="Times New Roman"/>
                <w:sz w:val="24"/>
                <w:szCs w:val="24"/>
              </w:rPr>
              <w:t>oncepcijas kopsavilkumā ietvertie risinājumi, t.sk., paredzot nozaru administratīvo pārkāpumu kodifikāciju.</w:t>
            </w:r>
          </w:p>
          <w:p w:rsidRPr="00BF5673" w:rsidR="00557C5D" w:rsidP="00557C5D" w:rsidRDefault="00557C5D" w14:paraId="4CF011C1" w14:textId="30315185">
            <w:pPr>
              <w:ind w:firstLine="0"/>
              <w:jc w:val="both"/>
              <w:rPr>
                <w:rFonts w:cs="Times New Roman"/>
                <w:sz w:val="24"/>
                <w:szCs w:val="24"/>
              </w:rPr>
            </w:pPr>
            <w:r w:rsidRPr="00BF5673">
              <w:rPr>
                <w:rFonts w:cs="Times New Roman"/>
                <w:sz w:val="24"/>
                <w:szCs w:val="24"/>
              </w:rPr>
              <w:t>Administratīvās atbildības likums Saeimā pieņemts 2018.gada 25.oktobrī un stāsies spēkā 2020.gada 1.janvārī, kad spēku zaudēs LAPK.</w:t>
            </w:r>
          </w:p>
          <w:p w:rsidR="006F2452" w:rsidP="008D361B" w:rsidRDefault="009F311A" w14:paraId="23A0F7A2" w14:textId="5D0C59F8">
            <w:pPr>
              <w:ind w:firstLine="0"/>
              <w:jc w:val="both"/>
              <w:rPr>
                <w:rFonts w:cs="Times New Roman"/>
                <w:sz w:val="24"/>
                <w:szCs w:val="24"/>
              </w:rPr>
            </w:pPr>
            <w:r w:rsidRPr="00BF5673">
              <w:rPr>
                <w:rFonts w:cs="Times New Roman"/>
                <w:sz w:val="24"/>
                <w:szCs w:val="24"/>
              </w:rPr>
              <w:t>Lai īstenotu nozaru administratīvo pārkāpumu kodifikāciju</w:t>
            </w:r>
            <w:r w:rsidR="005D06AD">
              <w:rPr>
                <w:rFonts w:cs="Times New Roman"/>
                <w:sz w:val="24"/>
                <w:szCs w:val="24"/>
              </w:rPr>
              <w:t>,</w:t>
            </w:r>
            <w:r w:rsidRPr="00BF5673">
              <w:rPr>
                <w:rFonts w:cs="Times New Roman"/>
                <w:sz w:val="24"/>
                <w:szCs w:val="24"/>
              </w:rPr>
              <w:t xml:space="preserve"> Satiksmes ministrija izstrādājusi Likumprojektu, kas papildina Ceļu satiksmes likumu ar IX nodaļu, kurā ir iekļauti ceļu satiksmes nozarē paredzētie administratīvie pārkāpumi un noteiktas kompetentās institūcijas, kurām būs piekritīgs administratīvo pārkāpuma process.</w:t>
            </w:r>
          </w:p>
          <w:p w:rsidRPr="00BF5673" w:rsidR="00557C5D" w:rsidP="008D361B" w:rsidRDefault="006F2452" w14:paraId="25129A36" w14:textId="11B2CC79">
            <w:pPr>
              <w:ind w:firstLine="0"/>
              <w:jc w:val="both"/>
              <w:rPr>
                <w:rFonts w:cs="Times New Roman"/>
                <w:sz w:val="24"/>
                <w:szCs w:val="24"/>
              </w:rPr>
            </w:pPr>
            <w:r>
              <w:rPr>
                <w:rFonts w:cs="Times New Roman"/>
                <w:sz w:val="24"/>
                <w:szCs w:val="24"/>
              </w:rPr>
              <w:t>Administratīvo sodu apmēri nav manīti</w:t>
            </w:r>
            <w:r w:rsidR="005D06AD">
              <w:rPr>
                <w:rFonts w:cs="Times New Roman"/>
                <w:sz w:val="24"/>
                <w:szCs w:val="24"/>
              </w:rPr>
              <w:t>,</w:t>
            </w:r>
            <w:r>
              <w:rPr>
                <w:rFonts w:cs="Times New Roman"/>
                <w:sz w:val="24"/>
                <w:szCs w:val="24"/>
              </w:rPr>
              <w:t xml:space="preserve"> salīdzinot ar L</w:t>
            </w:r>
            <w:r w:rsidR="005D06AD">
              <w:rPr>
                <w:rFonts w:cs="Times New Roman"/>
                <w:sz w:val="24"/>
                <w:szCs w:val="24"/>
              </w:rPr>
              <w:t xml:space="preserve">APK </w:t>
            </w:r>
            <w:r>
              <w:rPr>
                <w:rFonts w:cs="Times New Roman"/>
                <w:sz w:val="24"/>
                <w:szCs w:val="24"/>
              </w:rPr>
              <w:t xml:space="preserve">paredzētajiem sodu apmēriem, vienlaikus nepieciešamības gadījumā noapaļojot paredzētos sodus līdz veselām soda vienībām. </w:t>
            </w:r>
            <w:r w:rsidRPr="00BF5673" w:rsidR="009F311A">
              <w:rPr>
                <w:rFonts w:cs="Times New Roman"/>
                <w:sz w:val="24"/>
                <w:szCs w:val="24"/>
              </w:rPr>
              <w:t xml:space="preserve"> Administratīvo pārkāpumu ceļu satiksmē uzskaitījums ir veidots, pārņemot LAPK 140., 149</w:t>
            </w:r>
            <w:r w:rsidRPr="00BF5673" w:rsidR="009F311A">
              <w:rPr>
                <w:rFonts w:cs="Times New Roman"/>
                <w:sz w:val="24"/>
                <w:szCs w:val="24"/>
                <w:vertAlign w:val="superscript"/>
              </w:rPr>
              <w:t>3</w:t>
            </w:r>
            <w:r w:rsidRPr="00BF5673" w:rsidR="009F311A">
              <w:rPr>
                <w:rFonts w:cs="Times New Roman"/>
                <w:sz w:val="24"/>
                <w:szCs w:val="24"/>
              </w:rPr>
              <w:t>. – 149</w:t>
            </w:r>
            <w:r w:rsidRPr="00BF5673" w:rsidR="009F311A">
              <w:rPr>
                <w:rFonts w:cs="Times New Roman"/>
                <w:sz w:val="24"/>
                <w:szCs w:val="24"/>
                <w:vertAlign w:val="superscript"/>
              </w:rPr>
              <w:t>32</w:t>
            </w:r>
            <w:r w:rsidRPr="00BF5673" w:rsidR="009F311A">
              <w:rPr>
                <w:rFonts w:cs="Times New Roman"/>
                <w:sz w:val="24"/>
                <w:szCs w:val="24"/>
              </w:rPr>
              <w:t>.pantā, 149</w:t>
            </w:r>
            <w:r w:rsidRPr="00BF5673" w:rsidR="009F311A">
              <w:rPr>
                <w:rFonts w:cs="Times New Roman"/>
                <w:sz w:val="24"/>
                <w:szCs w:val="24"/>
                <w:vertAlign w:val="superscript"/>
              </w:rPr>
              <w:t>37</w:t>
            </w:r>
            <w:r w:rsidRPr="00BF5673" w:rsidR="009F311A">
              <w:rPr>
                <w:rFonts w:cs="Times New Roman"/>
                <w:sz w:val="24"/>
                <w:szCs w:val="24"/>
              </w:rPr>
              <w:t>.pantā un 149</w:t>
            </w:r>
            <w:r w:rsidRPr="00BF5673" w:rsidR="009F311A">
              <w:rPr>
                <w:rFonts w:cs="Times New Roman"/>
                <w:sz w:val="24"/>
                <w:szCs w:val="24"/>
                <w:vertAlign w:val="superscript"/>
              </w:rPr>
              <w:t>41</w:t>
            </w:r>
            <w:r w:rsidRPr="00BF5673" w:rsidR="009F311A">
              <w:rPr>
                <w:rFonts w:cs="Times New Roman"/>
                <w:sz w:val="24"/>
                <w:szCs w:val="24"/>
              </w:rPr>
              <w:t>.pantā paredzētos administratīvos pārkāpumus.</w:t>
            </w:r>
          </w:p>
          <w:p w:rsidRPr="00BF5673" w:rsidR="00A219E9" w:rsidP="009F311A" w:rsidRDefault="009F311A" w14:paraId="1050F1C1" w14:textId="6F757025">
            <w:pPr>
              <w:ind w:firstLine="0"/>
              <w:jc w:val="both"/>
              <w:rPr>
                <w:rFonts w:cs="Times New Roman"/>
                <w:sz w:val="24"/>
                <w:szCs w:val="24"/>
              </w:rPr>
            </w:pPr>
            <w:r w:rsidRPr="00BF5673">
              <w:rPr>
                <w:rFonts w:cs="Times New Roman"/>
                <w:sz w:val="24"/>
                <w:szCs w:val="24"/>
              </w:rPr>
              <w:t>Kompetence administratīvo pārkāpumu procesa veikšanai ceļu satiksmes jomā atbilstoši LAPK ir saglabāta Valsts policijai, Valsts robežsardzei, pašvaldīb</w:t>
            </w:r>
            <w:r w:rsidR="005D06AD">
              <w:rPr>
                <w:rFonts w:cs="Times New Roman"/>
                <w:sz w:val="24"/>
                <w:szCs w:val="24"/>
              </w:rPr>
              <w:t>as</w:t>
            </w:r>
            <w:r w:rsidRPr="00BF5673">
              <w:rPr>
                <w:rFonts w:cs="Times New Roman"/>
                <w:sz w:val="24"/>
                <w:szCs w:val="24"/>
              </w:rPr>
              <w:t xml:space="preserve"> policijai, pašvaldības Transporta kontroles dienestam un pašvaldīb</w:t>
            </w:r>
            <w:r w:rsidR="005D06AD">
              <w:rPr>
                <w:rFonts w:cs="Times New Roman"/>
                <w:sz w:val="24"/>
                <w:szCs w:val="24"/>
              </w:rPr>
              <w:t>as</w:t>
            </w:r>
            <w:r w:rsidRPr="00BF5673">
              <w:rPr>
                <w:rFonts w:cs="Times New Roman"/>
                <w:sz w:val="24"/>
                <w:szCs w:val="24"/>
              </w:rPr>
              <w:t xml:space="preserve"> administratīvajai komisijai</w:t>
            </w:r>
            <w:r w:rsidRPr="00BF5673" w:rsidR="00A219E9">
              <w:rPr>
                <w:rFonts w:cs="Times New Roman"/>
                <w:sz w:val="24"/>
                <w:szCs w:val="24"/>
              </w:rPr>
              <w:t xml:space="preserve"> un apakškomisijai</w:t>
            </w:r>
            <w:r w:rsidRPr="00BF5673">
              <w:rPr>
                <w:rFonts w:cs="Times New Roman"/>
                <w:sz w:val="24"/>
                <w:szCs w:val="24"/>
              </w:rPr>
              <w:t>.</w:t>
            </w:r>
            <w:r w:rsidRPr="00BF5673" w:rsidR="00A219E9">
              <w:rPr>
                <w:rFonts w:cs="Times New Roman"/>
                <w:sz w:val="24"/>
                <w:szCs w:val="24"/>
              </w:rPr>
              <w:t xml:space="preserve"> Katra no minētajām institūcijām realizē tām normatīvajos aktos noteiktās kontroles un uzraudzības funkcijas</w:t>
            </w:r>
            <w:r w:rsidR="005D06AD">
              <w:rPr>
                <w:rFonts w:cs="Times New Roman"/>
                <w:sz w:val="24"/>
                <w:szCs w:val="24"/>
              </w:rPr>
              <w:t xml:space="preserve"> </w:t>
            </w:r>
            <w:r w:rsidRPr="00BF5673" w:rsidR="00A219E9">
              <w:rPr>
                <w:rFonts w:cs="Times New Roman"/>
                <w:sz w:val="24"/>
                <w:szCs w:val="24"/>
              </w:rPr>
              <w:t>normatīvajos aktos noteiktajā apjomā.</w:t>
            </w:r>
          </w:p>
          <w:p w:rsidRPr="00BF5673" w:rsidR="00066301" w:rsidP="00977F04" w:rsidRDefault="00977F04" w14:paraId="224A13FB" w14:textId="74C94CBE">
            <w:pPr>
              <w:ind w:firstLine="0"/>
              <w:jc w:val="both"/>
              <w:rPr>
                <w:rFonts w:eastAsia="Times New Roman" w:cs="Times New Roman"/>
                <w:color w:val="000000" w:themeColor="text1"/>
                <w:sz w:val="24"/>
                <w:szCs w:val="24"/>
              </w:rPr>
            </w:pPr>
            <w:r w:rsidRPr="00BF5673">
              <w:rPr>
                <w:rFonts w:cs="Times New Roman"/>
                <w:sz w:val="24"/>
                <w:szCs w:val="24"/>
              </w:rPr>
              <w:t>Ceļu satiksmes likum</w:t>
            </w:r>
            <w:r w:rsidRPr="00BF5673" w:rsidR="00A219E9">
              <w:rPr>
                <w:rFonts w:cs="Times New Roman"/>
                <w:sz w:val="24"/>
                <w:szCs w:val="24"/>
              </w:rPr>
              <w:t>ā</w:t>
            </w:r>
            <w:r w:rsidRPr="00BF5673">
              <w:rPr>
                <w:rFonts w:cs="Times New Roman"/>
                <w:sz w:val="24"/>
                <w:szCs w:val="24"/>
              </w:rPr>
              <w:t xml:space="preserve"> tiek precizē</w:t>
            </w:r>
            <w:r w:rsidRPr="00BF5673" w:rsidR="00A219E9">
              <w:rPr>
                <w:rFonts w:cs="Times New Roman"/>
                <w:sz w:val="24"/>
                <w:szCs w:val="24"/>
              </w:rPr>
              <w:t>ts</w:t>
            </w:r>
            <w:r w:rsidRPr="00BF5673">
              <w:rPr>
                <w:rFonts w:cs="Times New Roman"/>
                <w:sz w:val="24"/>
                <w:szCs w:val="24"/>
              </w:rPr>
              <w:t xml:space="preserve"> VII nodaļas nosaukum</w:t>
            </w:r>
            <w:r w:rsidRPr="00BF5673" w:rsidR="00A219E9">
              <w:rPr>
                <w:rFonts w:cs="Times New Roman"/>
                <w:sz w:val="24"/>
                <w:szCs w:val="24"/>
              </w:rPr>
              <w:t>s</w:t>
            </w:r>
            <w:r w:rsidRPr="00BF5673">
              <w:rPr>
                <w:rFonts w:cs="Times New Roman"/>
                <w:sz w:val="24"/>
                <w:szCs w:val="24"/>
              </w:rPr>
              <w:t xml:space="preserve"> un izslē</w:t>
            </w:r>
            <w:r w:rsidRPr="00BF5673" w:rsidR="00A219E9">
              <w:rPr>
                <w:rFonts w:cs="Times New Roman"/>
                <w:sz w:val="24"/>
                <w:szCs w:val="24"/>
              </w:rPr>
              <w:t>gts</w:t>
            </w:r>
            <w:r w:rsidRPr="00BF5673">
              <w:rPr>
                <w:rFonts w:cs="Times New Roman"/>
                <w:sz w:val="24"/>
                <w:szCs w:val="24"/>
              </w:rPr>
              <w:t xml:space="preserve"> </w:t>
            </w:r>
            <w:r w:rsidRPr="00BF5673">
              <w:rPr>
                <w:rFonts w:eastAsia="Times New Roman" w:cs="Times New Roman"/>
                <w:color w:val="000000" w:themeColor="text1"/>
                <w:sz w:val="24"/>
                <w:szCs w:val="24"/>
              </w:rPr>
              <w:t>43</w:t>
            </w:r>
            <w:r w:rsidRPr="00BF5673">
              <w:rPr>
                <w:rFonts w:eastAsia="Times New Roman" w:cs="Times New Roman"/>
                <w:color w:val="000000" w:themeColor="text1"/>
                <w:sz w:val="24"/>
                <w:szCs w:val="24"/>
                <w:vertAlign w:val="superscript"/>
              </w:rPr>
              <w:t>2</w:t>
            </w:r>
            <w:r w:rsidRPr="00BF5673">
              <w:rPr>
                <w:rFonts w:eastAsia="Times New Roman" w:cs="Times New Roman"/>
                <w:color w:val="000000" w:themeColor="text1"/>
                <w:sz w:val="24"/>
                <w:szCs w:val="24"/>
              </w:rPr>
              <w:t>. un 43</w:t>
            </w:r>
            <w:r w:rsidRPr="00BF5673">
              <w:rPr>
                <w:rFonts w:eastAsia="Times New Roman" w:cs="Times New Roman"/>
                <w:color w:val="000000" w:themeColor="text1"/>
                <w:sz w:val="24"/>
                <w:szCs w:val="24"/>
                <w:vertAlign w:val="superscript"/>
              </w:rPr>
              <w:t>6</w:t>
            </w:r>
            <w:r w:rsidRPr="00BF5673" w:rsidR="007D453E">
              <w:rPr>
                <w:rFonts w:eastAsia="Times New Roman" w:cs="Times New Roman"/>
                <w:color w:val="000000" w:themeColor="text1"/>
                <w:sz w:val="24"/>
                <w:szCs w:val="24"/>
              </w:rPr>
              <w:t>.</w:t>
            </w:r>
            <w:r w:rsidRPr="00BF5673">
              <w:rPr>
                <w:rFonts w:eastAsia="Times New Roman" w:cs="Times New Roman"/>
                <w:color w:val="000000" w:themeColor="text1"/>
                <w:sz w:val="24"/>
                <w:szCs w:val="24"/>
              </w:rPr>
              <w:t>pant</w:t>
            </w:r>
            <w:r w:rsidRPr="00BF5673" w:rsidR="00A219E9">
              <w:rPr>
                <w:rFonts w:eastAsia="Times New Roman" w:cs="Times New Roman"/>
                <w:color w:val="000000" w:themeColor="text1"/>
                <w:sz w:val="24"/>
                <w:szCs w:val="24"/>
              </w:rPr>
              <w:t>s</w:t>
            </w:r>
            <w:r w:rsidRPr="00BF5673">
              <w:rPr>
                <w:rFonts w:cs="Times New Roman"/>
                <w:sz w:val="24"/>
                <w:szCs w:val="24"/>
              </w:rPr>
              <w:t xml:space="preserve">, jo atbilstošais regulējums ietverts Administratīvās atbildības likuma 162. un 163.pantā. Attiecīgi precizēta arī </w:t>
            </w:r>
            <w:r w:rsidRPr="00BF5673">
              <w:rPr>
                <w:rFonts w:eastAsia="Times New Roman" w:cs="Times New Roman"/>
                <w:color w:val="000000" w:themeColor="text1"/>
                <w:sz w:val="24"/>
                <w:szCs w:val="24"/>
              </w:rPr>
              <w:t>43</w:t>
            </w:r>
            <w:r w:rsidRPr="00BF5673">
              <w:rPr>
                <w:rFonts w:eastAsia="Times New Roman" w:cs="Times New Roman"/>
                <w:color w:val="000000" w:themeColor="text1"/>
                <w:sz w:val="24"/>
                <w:szCs w:val="24"/>
                <w:vertAlign w:val="superscript"/>
              </w:rPr>
              <w:t>7</w:t>
            </w:r>
            <w:r w:rsidRPr="00BF5673">
              <w:rPr>
                <w:rFonts w:eastAsia="Times New Roman" w:cs="Times New Roman"/>
                <w:color w:val="000000" w:themeColor="text1"/>
                <w:sz w:val="24"/>
                <w:szCs w:val="24"/>
              </w:rPr>
              <w:t>.panta</w:t>
            </w:r>
            <w:r w:rsidR="000471B8">
              <w:rPr>
                <w:rFonts w:eastAsia="Times New Roman" w:cs="Times New Roman"/>
                <w:color w:val="000000" w:themeColor="text1"/>
                <w:sz w:val="24"/>
                <w:szCs w:val="24"/>
              </w:rPr>
              <w:t xml:space="preserve"> pirmā un</w:t>
            </w:r>
            <w:r w:rsidRPr="00BF5673">
              <w:rPr>
                <w:rFonts w:eastAsia="Times New Roman" w:cs="Times New Roman"/>
                <w:color w:val="000000" w:themeColor="text1"/>
                <w:sz w:val="24"/>
                <w:szCs w:val="24"/>
              </w:rPr>
              <w:t xml:space="preserve"> otrā daļa.</w:t>
            </w:r>
            <w:r w:rsidRPr="00BF5673" w:rsidR="00A219E9">
              <w:rPr>
                <w:rFonts w:eastAsia="Times New Roman" w:cs="Times New Roman"/>
                <w:color w:val="000000" w:themeColor="text1"/>
                <w:sz w:val="24"/>
                <w:szCs w:val="24"/>
              </w:rPr>
              <w:t xml:space="preserve"> </w:t>
            </w:r>
            <w:r w:rsidRPr="00BF5673" w:rsidR="00066301">
              <w:rPr>
                <w:rFonts w:cs="Times New Roman"/>
                <w:sz w:val="24"/>
                <w:szCs w:val="24"/>
              </w:rPr>
              <w:t>No 2020. gada 1. janvāra saskaņā ar Administratīvās atbildības likuma 2. panta otro daļu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kā arī starptautisko sadarbību administratīvo pārkāpumu procesā noteiks Administratīvās atbildības likums.</w:t>
            </w:r>
          </w:p>
          <w:p w:rsidRPr="0099244C" w:rsidR="00977F04" w:rsidP="00977F04" w:rsidRDefault="005D06AD" w14:paraId="2FF70F38" w14:textId="7C43766E">
            <w:pPr>
              <w:ind w:firstLine="0"/>
              <w:jc w:val="both"/>
              <w:rPr>
                <w:rFonts w:cs="Times New Roman"/>
                <w:sz w:val="24"/>
                <w:szCs w:val="24"/>
              </w:rPr>
            </w:pPr>
            <w:r w:rsidRPr="0099244C">
              <w:rPr>
                <w:rFonts w:cs="Times New Roman"/>
                <w:sz w:val="24"/>
                <w:szCs w:val="24"/>
              </w:rPr>
              <w:t>Ar Likumprojektu t</w:t>
            </w:r>
            <w:r w:rsidRPr="0099244C" w:rsidR="00977F04">
              <w:rPr>
                <w:rFonts w:cs="Times New Roman"/>
                <w:sz w:val="24"/>
                <w:szCs w:val="24"/>
              </w:rPr>
              <w:t xml:space="preserve">iek </w:t>
            </w:r>
            <w:r w:rsidRPr="0099244C" w:rsidR="00E7430F">
              <w:rPr>
                <w:rFonts w:cs="Times New Roman"/>
                <w:sz w:val="24"/>
                <w:szCs w:val="24"/>
              </w:rPr>
              <w:t>precizēts 30.panta nosaukums, lai nošķirtu administratīvā soda veidu “transportlīdzekļu vadīšanas tiesību izmantošanas aizliegum</w:t>
            </w:r>
            <w:r w:rsidRPr="0099244C">
              <w:rPr>
                <w:rFonts w:cs="Times New Roman"/>
                <w:sz w:val="24"/>
                <w:szCs w:val="24"/>
              </w:rPr>
              <w:t>s</w:t>
            </w:r>
            <w:r w:rsidRPr="0099244C" w:rsidR="00E7430F">
              <w:rPr>
                <w:rFonts w:cs="Times New Roman"/>
                <w:sz w:val="24"/>
                <w:szCs w:val="24"/>
              </w:rPr>
              <w:t>” no Ceļu satiksmes likuma 30.panta otrajā daļā noteiktajiem gadījumiem, kad aizliegts izmantot vadīšanas tiesības</w:t>
            </w:r>
            <w:r w:rsidRPr="0099244C" w:rsidR="00977F04">
              <w:rPr>
                <w:rFonts w:cs="Times New Roman"/>
                <w:sz w:val="24"/>
                <w:szCs w:val="24"/>
              </w:rPr>
              <w:t>.</w:t>
            </w:r>
          </w:p>
          <w:p w:rsidRPr="00BF5673" w:rsidR="002614F2" w:rsidP="00977F04" w:rsidRDefault="002614F2" w14:paraId="432362C8" w14:textId="1F081C3A">
            <w:pPr>
              <w:ind w:firstLine="0"/>
              <w:jc w:val="both"/>
              <w:rPr>
                <w:rFonts w:cs="Times New Roman"/>
                <w:sz w:val="24"/>
                <w:szCs w:val="24"/>
              </w:rPr>
            </w:pPr>
            <w:r w:rsidRPr="0099244C">
              <w:rPr>
                <w:rFonts w:cs="Times New Roman"/>
                <w:sz w:val="24"/>
                <w:szCs w:val="24"/>
              </w:rPr>
              <w:t xml:space="preserve">Papildus precizētas normas, kas nosaka atbildību par transportlīdzekļa vadīšanu, ja ir spēkā transportlīdzekļu vadīšanas tiesību izmantošanas aizliegums, kas piemērots </w:t>
            </w:r>
            <w:r w:rsidRPr="0099244C">
              <w:rPr>
                <w:rFonts w:cs="Times New Roman"/>
                <w:sz w:val="24"/>
                <w:szCs w:val="24"/>
              </w:rPr>
              <w:lastRenderedPageBreak/>
              <w:t>saskaņā ar Ceļu satiksmes likuma 30.panta otro daļu vai ir spēkā transportlīdzekļu vadīšanas tiesību izmantošanas aizliegums, kas piemērots Administratīvās atbildības likuma 18.panta noteiktajā kārtībā, kā arī precizēts deleģējumus Ministru kabinetam noteikt transportlīdzekļa vadītāja tiesību iegūšanas un atjaunošanas kārtību, kārtību, kādā iegūst transportlīdzekļa vadītāja tiesības, ja tās atņemtas saskaņā ar Administratīvas atbildības likuma 17.pantā minēto kārtību, kā arī vadītāja apliecības izsniegšanas, apmaiņas un atjaunošanas kārtību un termiņus.</w:t>
            </w:r>
            <w:bookmarkStart w:name="_GoBack" w:id="0"/>
            <w:bookmarkEnd w:id="0"/>
          </w:p>
          <w:p w:rsidRPr="00BF5673" w:rsidR="00977F04" w:rsidP="00977F04" w:rsidRDefault="00977F04" w14:paraId="57413E70" w14:textId="03A6954A">
            <w:pPr>
              <w:ind w:firstLine="0"/>
              <w:jc w:val="both"/>
              <w:rPr>
                <w:rFonts w:cs="Times New Roman"/>
                <w:sz w:val="24"/>
                <w:szCs w:val="24"/>
              </w:rPr>
            </w:pPr>
            <w:r w:rsidRPr="00BF5673">
              <w:rPr>
                <w:rFonts w:cs="Times New Roman"/>
                <w:sz w:val="24"/>
                <w:szCs w:val="24"/>
              </w:rPr>
              <w:t>Pamatojoties uz Administratīvo pārkāpumu likuma 2.panta trešo daļu, tiek paredzēts CSDD un Valsts tehniskās uzraudzības aģentūras pakalpojumu izmantošanas ierobežojumi personām, kas izvairās no administratīvā soda izpildes. Šāds aizliegums saglabā LAPK 299</w:t>
            </w:r>
            <w:r w:rsidRPr="00BF5673">
              <w:rPr>
                <w:rFonts w:cs="Times New Roman"/>
                <w:sz w:val="24"/>
                <w:szCs w:val="24"/>
                <w:vertAlign w:val="superscript"/>
              </w:rPr>
              <w:t>1</w:t>
            </w:r>
            <w:r w:rsidRPr="00BF5673">
              <w:rPr>
                <w:rFonts w:cs="Times New Roman"/>
                <w:sz w:val="24"/>
                <w:szCs w:val="24"/>
              </w:rPr>
              <w:t>.pantā paredzēto aizliegumu līdz naudas soda samaksai veikt transportlīdzekļa vadītāja apliecības izsniegšanu, transportlīdzekļa reģistrāciju vai valsts tehnisko apskati.</w:t>
            </w:r>
          </w:p>
          <w:p w:rsidRPr="00BF5673" w:rsidR="00385C45" w:rsidP="00977F04" w:rsidRDefault="00385C45" w14:paraId="28B9DF39" w14:textId="2BEF4951">
            <w:pPr>
              <w:ind w:firstLine="0"/>
              <w:jc w:val="both"/>
              <w:rPr>
                <w:rFonts w:cs="Times New Roman"/>
                <w:sz w:val="24"/>
                <w:szCs w:val="24"/>
              </w:rPr>
            </w:pPr>
            <w:r w:rsidRPr="00BF5673">
              <w:rPr>
                <w:rFonts w:cs="Times New Roman"/>
                <w:sz w:val="24"/>
                <w:szCs w:val="24"/>
              </w:rPr>
              <w:t>Likumprojektā saglabāt</w:t>
            </w:r>
            <w:r w:rsidR="005D06AD">
              <w:rPr>
                <w:rFonts w:cs="Times New Roman"/>
                <w:sz w:val="24"/>
                <w:szCs w:val="24"/>
              </w:rPr>
              <w:t>i</w:t>
            </w:r>
            <w:r w:rsidRPr="00BF5673">
              <w:rPr>
                <w:rFonts w:cs="Times New Roman"/>
                <w:sz w:val="24"/>
                <w:szCs w:val="24"/>
              </w:rPr>
              <w:t xml:space="preserve"> aktuāl</w:t>
            </w:r>
            <w:r w:rsidR="005D06AD">
              <w:rPr>
                <w:rFonts w:cs="Times New Roman"/>
                <w:sz w:val="24"/>
                <w:szCs w:val="24"/>
              </w:rPr>
              <w:t>ie</w:t>
            </w:r>
            <w:r w:rsidRPr="00BF5673">
              <w:rPr>
                <w:rFonts w:cs="Times New Roman"/>
                <w:sz w:val="24"/>
                <w:szCs w:val="24"/>
              </w:rPr>
              <w:t xml:space="preserve"> administratīvo sodu apmēri, taču agrākās tiesību atņemšanas vietā likumprojektā ir paredzēts sods</w:t>
            </w:r>
            <w:r w:rsidR="005D06AD">
              <w:rPr>
                <w:rFonts w:cs="Times New Roman"/>
                <w:sz w:val="24"/>
                <w:szCs w:val="24"/>
              </w:rPr>
              <w:t xml:space="preserve"> -</w:t>
            </w:r>
            <w:r w:rsidRPr="00BF5673">
              <w:rPr>
                <w:rFonts w:cs="Times New Roman"/>
                <w:sz w:val="24"/>
                <w:szCs w:val="24"/>
              </w:rPr>
              <w:t xml:space="preserve"> tiesību izmantošanas aizliegums un tiesību atņemšana. Tiesību atņemšana, kas nozīmē to pilnīgu atņemšanu un atkārtotu to iegūšanu pēc atņemšanas termiņa beigām, ir paredzēta tiem pārkāpumiem, par kuriem iepriekš atņemšanas termiņš bija lielāks par 12 mēnešiem, kā arī par visiem pārkāpumiem, kas saistīti ar transportlīdzekļu vadīšanu reibumā. Pārējos gadījumos ir paredzēts </w:t>
            </w:r>
            <w:r w:rsidR="005D06AD">
              <w:rPr>
                <w:rFonts w:cs="Times New Roman"/>
                <w:sz w:val="24"/>
                <w:szCs w:val="24"/>
              </w:rPr>
              <w:t xml:space="preserve">piemērot </w:t>
            </w:r>
            <w:r w:rsidRPr="00BF5673">
              <w:rPr>
                <w:rFonts w:cs="Times New Roman"/>
                <w:sz w:val="24"/>
                <w:szCs w:val="24"/>
              </w:rPr>
              <w:t>tiesību izmantošanas aizliegum</w:t>
            </w:r>
            <w:r w:rsidR="005D06AD">
              <w:rPr>
                <w:rFonts w:cs="Times New Roman"/>
                <w:sz w:val="24"/>
                <w:szCs w:val="24"/>
              </w:rPr>
              <w:t>u.</w:t>
            </w:r>
          </w:p>
          <w:p w:rsidR="00417277" w:rsidP="008D361B" w:rsidRDefault="00010041" w14:paraId="6B506A8A" w14:textId="01892F92">
            <w:pPr>
              <w:ind w:firstLine="0"/>
              <w:jc w:val="both"/>
              <w:rPr>
                <w:rFonts w:cs="Times New Roman"/>
                <w:bCs/>
                <w:sz w:val="24"/>
                <w:szCs w:val="24"/>
              </w:rPr>
            </w:pPr>
            <w:r w:rsidRPr="00BF5673">
              <w:rPr>
                <w:rFonts w:cs="Times New Roman"/>
                <w:sz w:val="24"/>
                <w:szCs w:val="24"/>
              </w:rPr>
              <w:t>Likumprojekt</w:t>
            </w:r>
            <w:r w:rsidRPr="00BF5673" w:rsidR="001F03BB">
              <w:rPr>
                <w:rFonts w:cs="Times New Roman"/>
                <w:sz w:val="24"/>
                <w:szCs w:val="24"/>
              </w:rPr>
              <w:t>s</w:t>
            </w:r>
            <w:r w:rsidRPr="00BF5673">
              <w:rPr>
                <w:rFonts w:cs="Times New Roman"/>
                <w:sz w:val="24"/>
                <w:szCs w:val="24"/>
              </w:rPr>
              <w:t xml:space="preserve"> paredz, ka grozījumi stāsies spēkā vienlaicīgi ar </w:t>
            </w:r>
            <w:r w:rsidRPr="00BF5673">
              <w:rPr>
                <w:rFonts w:cs="Times New Roman"/>
                <w:bCs/>
                <w:sz w:val="24"/>
                <w:szCs w:val="24"/>
              </w:rPr>
              <w:t>Administratīvās atbildības likumu.</w:t>
            </w:r>
          </w:p>
          <w:p w:rsidRPr="00B61A99" w:rsidR="00B61A99" w:rsidP="00B61A99" w:rsidRDefault="00DD340D" w14:paraId="240D317E" w14:textId="476B4C42">
            <w:pPr>
              <w:ind w:firstLine="0"/>
              <w:jc w:val="both"/>
              <w:rPr>
                <w:rFonts w:cs="Times New Roman"/>
                <w:bCs/>
                <w:sz w:val="24"/>
                <w:szCs w:val="24"/>
              </w:rPr>
            </w:pPr>
            <w:r w:rsidRPr="00DD340D">
              <w:rPr>
                <w:rFonts w:cs="Times New Roman"/>
                <w:bCs/>
                <w:sz w:val="24"/>
                <w:szCs w:val="24"/>
              </w:rPr>
              <w:t>Ceļu satiksmes likuma 25.pants</w:t>
            </w:r>
            <w:r>
              <w:rPr>
                <w:rFonts w:cs="Times New Roman"/>
                <w:bCs/>
                <w:sz w:val="24"/>
                <w:szCs w:val="24"/>
              </w:rPr>
              <w:t xml:space="preserve"> nosaka</w:t>
            </w:r>
            <w:r w:rsidR="005D06AD">
              <w:rPr>
                <w:rFonts w:cs="Times New Roman"/>
                <w:bCs/>
                <w:sz w:val="24"/>
                <w:szCs w:val="24"/>
              </w:rPr>
              <w:t>,</w:t>
            </w:r>
            <w:r w:rsidR="00B61A99">
              <w:rPr>
                <w:rFonts w:cs="Times New Roman"/>
                <w:bCs/>
                <w:sz w:val="24"/>
                <w:szCs w:val="24"/>
              </w:rPr>
              <w:t xml:space="preserve"> ka m</w:t>
            </w:r>
            <w:r w:rsidRPr="00B61A99" w:rsidR="00B61A99">
              <w:rPr>
                <w:rFonts w:cs="Times New Roman"/>
                <w:bCs/>
                <w:sz w:val="24"/>
                <w:szCs w:val="24"/>
              </w:rPr>
              <w:t>ehāniskā transportlīdzekļa vadītājam jābūt klāt šādiem dokumentiem, kas pēc policijas darbinieku, robežsargu vai muitas amatpersonu pieprasījuma jāiedod tiem pārbaudei:</w:t>
            </w:r>
          </w:p>
          <w:p w:rsidRPr="00B61A99" w:rsidR="00B61A99" w:rsidP="00B61A99" w:rsidRDefault="00B61A99" w14:paraId="440D16B1" w14:textId="502B005B">
            <w:pPr>
              <w:ind w:firstLine="0"/>
              <w:jc w:val="both"/>
              <w:rPr>
                <w:rFonts w:cs="Times New Roman"/>
                <w:bCs/>
                <w:sz w:val="24"/>
                <w:szCs w:val="24"/>
              </w:rPr>
            </w:pPr>
            <w:r w:rsidRPr="00B61A99">
              <w:rPr>
                <w:rFonts w:cs="Times New Roman"/>
                <w:bCs/>
                <w:sz w:val="24"/>
                <w:szCs w:val="24"/>
              </w:rPr>
              <w:t>1) vadītāja apliecība vai personu apliecinošs dokuments (transportlīdzekļa vadītājam, par kura tiesībām vadīt attiecīgās kategorijas transportlīdzekli, pārvietojoties Latvijas teritorijā, izdarīts ieraksts transportlīdzekļu un to vadītāju valsts reģistrā vai traktortehnikas un tās vadītāju valsts informatīvajā sistēmā)</w:t>
            </w:r>
          </w:p>
          <w:p w:rsidR="00B61A99" w:rsidP="008D361B" w:rsidRDefault="00B61A99" w14:paraId="7C4FBDAC" w14:textId="157D3843">
            <w:pPr>
              <w:ind w:firstLine="0"/>
              <w:jc w:val="both"/>
              <w:rPr>
                <w:rFonts w:cs="Times New Roman"/>
                <w:bCs/>
                <w:sz w:val="24"/>
                <w:szCs w:val="24"/>
              </w:rPr>
            </w:pPr>
            <w:r w:rsidRPr="00B61A99">
              <w:rPr>
                <w:rFonts w:cs="Times New Roman"/>
                <w:bCs/>
                <w:sz w:val="24"/>
                <w:szCs w:val="24"/>
              </w:rPr>
              <w:t>2) transportlīdzekļa reģistrācijas dokumenti, izņemot transportlīdzekļa vadītājus, kuri pārvietojas Latvijas teritorijā ar transportlīdzekļu un to vadītāju valsts reģistrā vai traktortehnikas un tās vadītāju valsts informatīvajā sistēmā reģistrētiem transportlīdzekļiem</w:t>
            </w:r>
          </w:p>
          <w:p w:rsidRPr="00BF5673" w:rsidR="00DD340D" w:rsidP="008D361B" w:rsidRDefault="00DD340D" w14:paraId="06F2AEB6" w14:textId="4C26CE44">
            <w:pPr>
              <w:ind w:firstLine="0"/>
              <w:jc w:val="both"/>
              <w:rPr>
                <w:rFonts w:cs="Times New Roman"/>
                <w:bCs/>
                <w:sz w:val="24"/>
                <w:szCs w:val="24"/>
              </w:rPr>
            </w:pPr>
            <w:r>
              <w:rPr>
                <w:rFonts w:cs="Times New Roman"/>
                <w:bCs/>
                <w:sz w:val="24"/>
                <w:szCs w:val="24"/>
              </w:rPr>
              <w:t xml:space="preserve"> </w:t>
            </w:r>
            <w:r w:rsidR="00B61A99">
              <w:rPr>
                <w:rFonts w:cs="Times New Roman"/>
                <w:bCs/>
                <w:sz w:val="24"/>
                <w:szCs w:val="24"/>
              </w:rPr>
              <w:t>T</w:t>
            </w:r>
            <w:r>
              <w:rPr>
                <w:rFonts w:cs="Times New Roman"/>
                <w:bCs/>
                <w:sz w:val="24"/>
                <w:szCs w:val="24"/>
              </w:rPr>
              <w:t xml:space="preserve">omēr arī turpmāk </w:t>
            </w:r>
            <w:r w:rsidRPr="00DD340D">
              <w:rPr>
                <w:rFonts w:cs="Times New Roman"/>
                <w:bCs/>
                <w:sz w:val="24"/>
                <w:szCs w:val="24"/>
              </w:rPr>
              <w:t>ir jā</w:t>
            </w:r>
            <w:r>
              <w:rPr>
                <w:rFonts w:cs="Times New Roman"/>
                <w:bCs/>
                <w:sz w:val="24"/>
                <w:szCs w:val="24"/>
              </w:rPr>
              <w:t>paredz</w:t>
            </w:r>
            <w:r w:rsidRPr="00DD340D">
              <w:rPr>
                <w:rFonts w:cs="Times New Roman"/>
                <w:bCs/>
                <w:sz w:val="24"/>
                <w:szCs w:val="24"/>
              </w:rPr>
              <w:t xml:space="preserve"> atbildība, ja neizpildās </w:t>
            </w:r>
            <w:r>
              <w:rPr>
                <w:rFonts w:cs="Times New Roman"/>
                <w:bCs/>
                <w:sz w:val="24"/>
                <w:szCs w:val="24"/>
              </w:rPr>
              <w:t xml:space="preserve">Ceļu satiksmes </w:t>
            </w:r>
            <w:r w:rsidRPr="00DD340D">
              <w:rPr>
                <w:rFonts w:cs="Times New Roman"/>
                <w:bCs/>
                <w:sz w:val="24"/>
                <w:szCs w:val="24"/>
              </w:rPr>
              <w:t>likumā noteikt</w:t>
            </w:r>
            <w:r w:rsidR="00B61A99">
              <w:rPr>
                <w:rFonts w:cs="Times New Roman"/>
                <w:bCs/>
                <w:sz w:val="24"/>
                <w:szCs w:val="24"/>
              </w:rPr>
              <w:t>ie nosacījumi</w:t>
            </w:r>
            <w:r w:rsidRPr="00DD340D">
              <w:rPr>
                <w:rFonts w:cs="Times New Roman"/>
                <w:bCs/>
                <w:sz w:val="24"/>
                <w:szCs w:val="24"/>
              </w:rPr>
              <w:t>, kā arī jāņem vērā, ka šis nosacījums attiecas tikai uz Latvijā izsniegtu vadītāja apliecību un transportlīdzekļa reģistrācijas apliecību.</w:t>
            </w:r>
          </w:p>
          <w:p w:rsidRPr="00BF5673" w:rsidR="00056D25" w:rsidP="00056D25" w:rsidRDefault="00056D25" w14:paraId="661ABD72" w14:textId="77777777">
            <w:pPr>
              <w:ind w:firstLine="0"/>
              <w:jc w:val="both"/>
              <w:rPr>
                <w:sz w:val="24"/>
                <w:szCs w:val="24"/>
              </w:rPr>
            </w:pPr>
            <w:r w:rsidRPr="00BF5673">
              <w:rPr>
                <w:sz w:val="24"/>
                <w:szCs w:val="24"/>
              </w:rPr>
              <w:lastRenderedPageBreak/>
              <w:t xml:space="preserve">Komisijas 2016.gada 18.marta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 (turpmāk – Regula), uzskaita administratīvos pārkāpumus autopārvadājumu jomā, tos iedalot pēc pārkāpuma smaguma. Šobrīd </w:t>
            </w:r>
            <w:r w:rsidRPr="00BF5673">
              <w:rPr>
                <w:rFonts w:eastAsia="Times New Roman" w:cs="Times New Roman"/>
                <w:sz w:val="24"/>
                <w:szCs w:val="24"/>
              </w:rPr>
              <w:t xml:space="preserve">administratīvie pārkāpumi autopārvadājumu jomā </w:t>
            </w:r>
            <w:r w:rsidRPr="00BF5673">
              <w:rPr>
                <w:sz w:val="24"/>
                <w:szCs w:val="24"/>
              </w:rPr>
              <w:t xml:space="preserve">Latvijā neparedz tādu iedalījumu, kāds ir Regulā. </w:t>
            </w:r>
          </w:p>
          <w:p w:rsidRPr="00BF5673" w:rsidR="00056D25" w:rsidP="00056D25" w:rsidRDefault="00056D25" w14:paraId="2AE2B76D" w14:textId="013BA6AF">
            <w:pPr>
              <w:widowControl w:val="0"/>
              <w:ind w:firstLine="0"/>
              <w:jc w:val="both"/>
              <w:outlineLvl w:val="2"/>
              <w:rPr>
                <w:rFonts w:eastAsia="Times New Roman" w:cs="Times New Roman"/>
                <w:sz w:val="24"/>
                <w:szCs w:val="24"/>
              </w:rPr>
            </w:pPr>
            <w:r w:rsidRPr="00BF5673">
              <w:rPr>
                <w:rFonts w:ascii="inherit" w:hAnsi="inherit" w:eastAsia="Times New Roman" w:cs="Times New Roman"/>
                <w:color w:val="000000"/>
                <w:sz w:val="24"/>
                <w:szCs w:val="24"/>
                <w:lang w:eastAsia="lv-LV"/>
              </w:rPr>
              <w:t xml:space="preserve">Likumprojekta 80.pantā </w:t>
            </w:r>
            <w:r w:rsidR="005D06AD">
              <w:rPr>
                <w:rFonts w:ascii="inherit" w:hAnsi="inherit" w:eastAsia="Times New Roman" w:cs="Times New Roman"/>
                <w:color w:val="000000"/>
                <w:sz w:val="24"/>
                <w:szCs w:val="24"/>
                <w:lang w:eastAsia="lv-LV"/>
              </w:rPr>
              <w:t>LAPK</w:t>
            </w:r>
            <w:r w:rsidRPr="00BF5673">
              <w:rPr>
                <w:rFonts w:cs="Times New Roman"/>
                <w:bCs/>
                <w:sz w:val="24"/>
                <w:szCs w:val="24"/>
              </w:rPr>
              <w:t xml:space="preserve"> 149.</w:t>
            </w:r>
            <w:r w:rsidRPr="00BF5673">
              <w:rPr>
                <w:rFonts w:cs="Times New Roman"/>
                <w:bCs/>
                <w:sz w:val="24"/>
                <w:szCs w:val="24"/>
                <w:vertAlign w:val="superscript"/>
              </w:rPr>
              <w:t>37</w:t>
            </w:r>
            <w:r w:rsidRPr="00BF5673">
              <w:rPr>
                <w:rFonts w:cs="Times New Roman"/>
                <w:bCs/>
                <w:sz w:val="24"/>
                <w:szCs w:val="24"/>
              </w:rPr>
              <w:t xml:space="preserve"> pants tiek izteikts jaunā redakcijā, saglabājot visus šobrīd esošos pārkāpumus un papildinot pantu ar pārkāpumiem, kurus paredz Regula</w:t>
            </w:r>
            <w:r w:rsidR="005D06AD">
              <w:rPr>
                <w:rFonts w:cs="Times New Roman"/>
                <w:bCs/>
                <w:sz w:val="24"/>
                <w:szCs w:val="24"/>
              </w:rPr>
              <w:t>,</w:t>
            </w:r>
            <w:r w:rsidRPr="00BF5673">
              <w:rPr>
                <w:rFonts w:cs="Times New Roman"/>
                <w:bCs/>
                <w:sz w:val="24"/>
                <w:szCs w:val="24"/>
              </w:rPr>
              <w:t xml:space="preserve"> atbilstoši </w:t>
            </w:r>
            <w:r w:rsidRPr="00BF5673">
              <w:rPr>
                <w:rFonts w:ascii="inherit" w:hAnsi="inherit" w:eastAsia="Times New Roman" w:cs="Times New Roman"/>
                <w:color w:val="000000"/>
                <w:sz w:val="24"/>
                <w:szCs w:val="24"/>
                <w:lang w:eastAsia="lv-LV"/>
              </w:rPr>
              <w:t>Eiropas Parlamenta un Padomes Regulā (EK) Nr. 561/2006 un Eiropas Parlamenta un Padomes Direktīvā 2002/15/EK minētajiem pārkāpumiem par transportlīdzekļu vadītāju darba un atpūtas laika pārkāpšanu, precīzi nosakot, kurā panta daļas sastāvā laika vienības ieskaitāmas/neieskaitāmas, novēršot sankcijas pārklāšanos panta ietvaros.</w:t>
            </w:r>
          </w:p>
          <w:p w:rsidRPr="00BF5673" w:rsidR="00056D25" w:rsidP="00056D25" w:rsidRDefault="00056D25" w14:paraId="56A3917C" w14:textId="77777777">
            <w:pPr>
              <w:widowControl w:val="0"/>
              <w:ind w:firstLine="0"/>
              <w:jc w:val="both"/>
              <w:outlineLvl w:val="2"/>
              <w:rPr>
                <w:rFonts w:ascii="inherit" w:hAnsi="inherit" w:eastAsia="Times New Roman" w:cs="Times New Roman"/>
                <w:color w:val="000000"/>
                <w:sz w:val="24"/>
                <w:szCs w:val="24"/>
                <w:lang w:eastAsia="lv-LV"/>
              </w:rPr>
            </w:pPr>
            <w:r w:rsidRPr="00BF5673">
              <w:rPr>
                <w:rFonts w:eastAsia="Times New Roman" w:cs="Times New Roman"/>
                <w:sz w:val="24"/>
                <w:szCs w:val="24"/>
              </w:rPr>
              <w:t xml:space="preserve">Regula paredz kategorizēt pārkāpumus komercpārvadājumos ar autotransportu, izstrādājot pārkāpumu klasifikācijas sarakstu, paredzot pārkāpumu dalījumu pēc to smaguma pakāpes. </w:t>
            </w:r>
            <w:r w:rsidRPr="00BF5673">
              <w:rPr>
                <w:rFonts w:ascii="inherit" w:hAnsi="inherit" w:eastAsia="Times New Roman" w:cs="Times New Roman"/>
                <w:color w:val="000000"/>
                <w:sz w:val="24"/>
                <w:szCs w:val="24"/>
                <w:lang w:eastAsia="lv-LV"/>
              </w:rPr>
              <w:t>Regulā minētie pārkāpumi var izraisīt autotransporta uzņēmuma vai pārvadājumu vadītāja labas reputācijas zaudēšanu.</w:t>
            </w:r>
          </w:p>
          <w:p w:rsidRPr="00BF5673" w:rsidR="00056D25" w:rsidP="00056D25" w:rsidRDefault="00056D25" w14:paraId="5C11276C" w14:textId="77777777">
            <w:pPr>
              <w:widowControl w:val="0"/>
              <w:ind w:firstLine="0"/>
              <w:jc w:val="both"/>
              <w:outlineLvl w:val="2"/>
              <w:rPr>
                <w:rFonts w:eastAsia="Times New Roman" w:cs="Times New Roman"/>
                <w:sz w:val="24"/>
                <w:szCs w:val="24"/>
              </w:rPr>
            </w:pPr>
            <w:r w:rsidRPr="00BF5673">
              <w:rPr>
                <w:rFonts w:eastAsia="Times New Roman" w:cs="Times New Roman"/>
                <w:sz w:val="24"/>
                <w:szCs w:val="24"/>
              </w:rPr>
              <w:t xml:space="preserve">Regula </w:t>
            </w:r>
            <w:r w:rsidRPr="00BF5673">
              <w:rPr>
                <w:rFonts w:ascii="inherit" w:hAnsi="inherit" w:eastAsia="Times New Roman" w:cs="Times New Roman"/>
                <w:color w:val="000000"/>
                <w:sz w:val="24"/>
                <w:szCs w:val="24"/>
                <w:lang w:eastAsia="lv-LV"/>
              </w:rPr>
              <w:t xml:space="preserve">nosaka pārkāpumu smaguma pakāpi, ņemot vērā dzīvības apdraudējuma vai smagu miesas bojājumu risku, un norāda pārkāpumu atkārtošanās biežumu, kuru pārsniedzot, atkārtoti izdarītus pārkāpumus uzskata par smagākiem pārkāpumiem. </w:t>
            </w:r>
            <w:r w:rsidRPr="00BF5673">
              <w:rPr>
                <w:rFonts w:eastAsia="Times New Roman" w:cs="Times New Roman"/>
                <w:sz w:val="24"/>
                <w:szCs w:val="24"/>
              </w:rPr>
              <w:t xml:space="preserve">Regulas </w:t>
            </w:r>
            <w:r w:rsidRPr="00BF5673">
              <w:rPr>
                <w:rFonts w:cs="Times New Roman"/>
                <w:bCs/>
                <w:sz w:val="24"/>
                <w:szCs w:val="24"/>
              </w:rPr>
              <w:t xml:space="preserve">I pielikumā minētie nopietnie pārkāpumi ir </w:t>
            </w:r>
            <w:r w:rsidRPr="00BF5673">
              <w:rPr>
                <w:rFonts w:ascii="inherit" w:hAnsi="inherit" w:eastAsia="Times New Roman" w:cs="Times New Roman"/>
                <w:color w:val="000000"/>
                <w:sz w:val="24"/>
                <w:szCs w:val="24"/>
                <w:lang w:eastAsia="lv-LV"/>
              </w:rPr>
              <w:t>iedalīti trijās kategorijās pēc smaguma pakāpes: MSI = vissmagākie pārkāpumi; VSI = ļoti smagi pārkāpumi; SI = smagi pārkāpumi.</w:t>
            </w:r>
          </w:p>
          <w:p w:rsidRPr="00BF5673" w:rsidR="00056D25" w:rsidP="00056D25" w:rsidRDefault="00056D25" w14:paraId="19225139" w14:textId="77777777">
            <w:pPr>
              <w:widowControl w:val="0"/>
              <w:ind w:firstLine="0"/>
              <w:jc w:val="both"/>
              <w:outlineLvl w:val="2"/>
              <w:rPr>
                <w:rFonts w:ascii="inherit" w:hAnsi="inherit" w:eastAsia="Times New Roman" w:cs="Times New Roman"/>
                <w:color w:val="000000"/>
                <w:sz w:val="24"/>
                <w:szCs w:val="24"/>
                <w:lang w:eastAsia="lv-LV"/>
              </w:rPr>
            </w:pPr>
            <w:r w:rsidRPr="00BF5673">
              <w:rPr>
                <w:rFonts w:ascii="inherit" w:hAnsi="inherit" w:eastAsia="Times New Roman" w:cs="Times New Roman"/>
                <w:color w:val="000000"/>
                <w:sz w:val="24"/>
                <w:szCs w:val="24"/>
                <w:lang w:eastAsia="lv-LV"/>
              </w:rPr>
              <w:t>Likumprojektā iestrādāti Regulā noteiktie pārkāpumi šādās administratīvo pārkāpumu grupās:</w:t>
            </w:r>
          </w:p>
          <w:p w:rsidRPr="00BF5673" w:rsidR="00056D25" w:rsidP="00056D25" w:rsidRDefault="00056D25" w14:paraId="5492BC44" w14:textId="68764610">
            <w:pPr>
              <w:widowControl w:val="0"/>
              <w:ind w:firstLine="0"/>
              <w:jc w:val="both"/>
              <w:outlineLvl w:val="2"/>
              <w:rPr>
                <w:rFonts w:ascii="inherit" w:hAnsi="inherit" w:eastAsia="Times New Roman" w:cs="Times New Roman"/>
                <w:color w:val="000000"/>
                <w:sz w:val="24"/>
                <w:szCs w:val="24"/>
                <w:lang w:eastAsia="lv-LV"/>
              </w:rPr>
            </w:pPr>
            <w:r w:rsidRPr="00BF5673">
              <w:rPr>
                <w:rFonts w:cs="Times New Roman"/>
                <w:sz w:val="24"/>
                <w:szCs w:val="24"/>
              </w:rPr>
              <w:t xml:space="preserve">1) </w:t>
            </w:r>
            <w:r w:rsidRPr="00BF5673">
              <w:rPr>
                <w:rFonts w:ascii="inherit" w:hAnsi="inherit" w:eastAsia="Times New Roman" w:cs="Times New Roman"/>
                <w:color w:val="000000"/>
                <w:sz w:val="24"/>
                <w:szCs w:val="24"/>
                <w:lang w:eastAsia="lv-LV"/>
              </w:rPr>
              <w:t>Eiropas Parlamenta un Padomes 2006.gada 15. marta Regula (EK) Nr. 561/2006, ar ko paredz dažu sociālās jomas tiesību aktu saskaņošanu saistībā ar autotransportu, groza Padomes Regulu (EEK) Nr. 3821/85 un Padomes Regulu (EK) Nr. 2135/98 un atceļ Padomes Regulu (EEK) Nr. 3820/85</w:t>
            </w:r>
            <w:r w:rsidR="005D06AD">
              <w:rPr>
                <w:rFonts w:ascii="inherit" w:hAnsi="inherit" w:eastAsia="Times New Roman" w:cs="Times New Roman"/>
                <w:color w:val="000000"/>
                <w:sz w:val="24"/>
                <w:szCs w:val="24"/>
                <w:lang w:eastAsia="lv-LV"/>
              </w:rPr>
              <w:t>,</w:t>
            </w:r>
            <w:r w:rsidRPr="00BF5673">
              <w:rPr>
                <w:rFonts w:ascii="inherit" w:hAnsi="inherit" w:eastAsia="Times New Roman" w:cs="Times New Roman"/>
                <w:color w:val="000000"/>
                <w:sz w:val="24"/>
                <w:szCs w:val="24"/>
                <w:lang w:eastAsia="lv-LV"/>
              </w:rPr>
              <w:t xml:space="preserve"> pārkāpumu grupas (Braukšanas un atpūtas laiks).</w:t>
            </w:r>
          </w:p>
          <w:p w:rsidR="00056D25" w:rsidP="00056D25" w:rsidRDefault="00056D25" w14:paraId="1C4D5E43" w14:textId="1C6AC063">
            <w:pPr>
              <w:widowControl w:val="0"/>
              <w:ind w:firstLine="0"/>
              <w:jc w:val="both"/>
              <w:outlineLvl w:val="2"/>
              <w:rPr>
                <w:rFonts w:ascii="inherit" w:hAnsi="inherit" w:eastAsia="Times New Roman" w:cs="Times New Roman"/>
                <w:color w:val="000000"/>
                <w:sz w:val="24"/>
                <w:szCs w:val="24"/>
                <w:lang w:eastAsia="lv-LV"/>
              </w:rPr>
            </w:pPr>
            <w:r w:rsidRPr="00BF5673">
              <w:rPr>
                <w:rFonts w:ascii="inherit" w:hAnsi="inherit" w:eastAsia="Times New Roman" w:cs="Times New Roman"/>
                <w:color w:val="000000"/>
                <w:sz w:val="24"/>
                <w:szCs w:val="24"/>
                <w:lang w:eastAsia="lv-LV"/>
              </w:rPr>
              <w:t>2) Eiropas Parlamenta un Padomes 2002.gada 11. marta Direktīva 2002/15/EK par darba laika organizēšanu personām, kas ir autotransporta apkalpes locekļi</w:t>
            </w:r>
            <w:r w:rsidR="005D06AD">
              <w:rPr>
                <w:rFonts w:ascii="inherit" w:hAnsi="inherit" w:eastAsia="Times New Roman" w:cs="Times New Roman"/>
                <w:color w:val="000000"/>
                <w:sz w:val="24"/>
                <w:szCs w:val="24"/>
                <w:lang w:eastAsia="lv-LV"/>
              </w:rPr>
              <w:t>,</w:t>
            </w:r>
            <w:r w:rsidRPr="00BF5673">
              <w:rPr>
                <w:rFonts w:ascii="inherit" w:hAnsi="inherit" w:eastAsia="Times New Roman" w:cs="Times New Roman"/>
                <w:color w:val="000000"/>
                <w:sz w:val="24"/>
                <w:szCs w:val="24"/>
                <w:lang w:eastAsia="lv-LV"/>
              </w:rPr>
              <w:t xml:space="preserve"> pārkāpumu grupas (Darba laika noteikumi).</w:t>
            </w:r>
          </w:p>
          <w:p w:rsidRPr="00BF5673" w:rsidR="009D65D3" w:rsidP="009D65D3" w:rsidRDefault="009D65D3" w14:paraId="34F7148E" w14:textId="244E900C">
            <w:pPr>
              <w:widowControl w:val="0"/>
              <w:ind w:firstLine="0"/>
              <w:jc w:val="both"/>
              <w:outlineLvl w:val="2"/>
              <w:rPr>
                <w:rFonts w:ascii="inherit" w:hAnsi="inherit" w:eastAsia="Times New Roman" w:cs="Times New Roman"/>
                <w:color w:val="000000"/>
                <w:sz w:val="24"/>
                <w:szCs w:val="24"/>
                <w:lang w:eastAsia="lv-LV"/>
              </w:rPr>
            </w:pPr>
            <w:r>
              <w:rPr>
                <w:rFonts w:ascii="inherit" w:hAnsi="inherit" w:eastAsia="Times New Roman" w:cs="Times New Roman"/>
                <w:color w:val="000000"/>
                <w:sz w:val="24"/>
                <w:szCs w:val="24"/>
                <w:lang w:eastAsia="lv-LV"/>
              </w:rPr>
              <w:t xml:space="preserve">Ceļu satiksmes likuma </w:t>
            </w:r>
            <w:r w:rsidRPr="009D65D3">
              <w:rPr>
                <w:rFonts w:ascii="inherit" w:hAnsi="inherit" w:eastAsia="Times New Roman" w:cs="Times New Roman"/>
                <w:color w:val="000000"/>
                <w:sz w:val="24"/>
                <w:szCs w:val="24"/>
                <w:lang w:eastAsia="lv-LV"/>
              </w:rPr>
              <w:t>V</w:t>
            </w:r>
            <w:r>
              <w:rPr>
                <w:rFonts w:ascii="inherit" w:hAnsi="inherit" w:eastAsia="Times New Roman" w:cs="Times New Roman"/>
                <w:color w:val="000000"/>
                <w:sz w:val="24"/>
                <w:szCs w:val="24"/>
                <w:lang w:eastAsia="lv-LV"/>
              </w:rPr>
              <w:t xml:space="preserve"> </w:t>
            </w:r>
            <w:r w:rsidRPr="009D65D3">
              <w:rPr>
                <w:rFonts w:ascii="inherit" w:hAnsi="inherit" w:eastAsia="Times New Roman" w:cs="Times New Roman"/>
                <w:color w:val="000000"/>
                <w:sz w:val="24"/>
                <w:szCs w:val="24"/>
                <w:lang w:eastAsia="lv-LV"/>
              </w:rPr>
              <w:t>nodaļa</w:t>
            </w:r>
            <w:r>
              <w:rPr>
                <w:rFonts w:ascii="inherit" w:hAnsi="inherit" w:eastAsia="Times New Roman" w:cs="Times New Roman"/>
                <w:color w:val="000000"/>
                <w:sz w:val="24"/>
                <w:szCs w:val="24"/>
                <w:lang w:eastAsia="lv-LV"/>
              </w:rPr>
              <w:t xml:space="preserve"> “</w:t>
            </w:r>
            <w:r w:rsidRPr="009D65D3">
              <w:rPr>
                <w:rFonts w:ascii="inherit" w:hAnsi="inherit" w:eastAsia="Times New Roman" w:cs="Times New Roman"/>
                <w:color w:val="000000"/>
                <w:sz w:val="24"/>
                <w:szCs w:val="24"/>
                <w:lang w:eastAsia="lv-LV"/>
              </w:rPr>
              <w:t>Transportlīdzekļu apkalpes locekļu darba laiks</w:t>
            </w:r>
            <w:r>
              <w:rPr>
                <w:rFonts w:ascii="inherit" w:hAnsi="inherit" w:eastAsia="Times New Roman" w:cs="Times New Roman"/>
                <w:color w:val="000000"/>
                <w:sz w:val="24"/>
                <w:szCs w:val="24"/>
                <w:lang w:eastAsia="lv-LV"/>
              </w:rPr>
              <w:t>” nosaka p</w:t>
            </w:r>
            <w:r w:rsidRPr="009D65D3">
              <w:rPr>
                <w:rFonts w:ascii="inherit" w:hAnsi="inherit" w:eastAsia="Times New Roman" w:cs="Times New Roman"/>
                <w:color w:val="000000"/>
                <w:sz w:val="24"/>
                <w:szCs w:val="24"/>
                <w:lang w:eastAsia="lv-LV"/>
              </w:rPr>
              <w:t xml:space="preserve">rasības attiecībā uz transportlīdzekļu apkalpes locekļu darba laika </w:t>
            </w:r>
            <w:r w:rsidRPr="009D65D3">
              <w:rPr>
                <w:rFonts w:ascii="inherit" w:hAnsi="inherit" w:eastAsia="Times New Roman" w:cs="Times New Roman"/>
                <w:color w:val="000000"/>
                <w:sz w:val="24"/>
                <w:szCs w:val="24"/>
                <w:lang w:eastAsia="lv-LV"/>
              </w:rPr>
              <w:lastRenderedPageBreak/>
              <w:t>organizēšanu, ievērošanu un uzskaiti</w:t>
            </w:r>
            <w:r>
              <w:rPr>
                <w:rFonts w:ascii="inherit" w:hAnsi="inherit" w:eastAsia="Times New Roman" w:cs="Times New Roman"/>
                <w:color w:val="000000"/>
                <w:sz w:val="24"/>
                <w:szCs w:val="24"/>
                <w:lang w:eastAsia="lv-LV"/>
              </w:rPr>
              <w:t xml:space="preserve">, </w:t>
            </w:r>
            <w:proofErr w:type="spellStart"/>
            <w:r>
              <w:rPr>
                <w:rFonts w:ascii="inherit" w:hAnsi="inherit" w:eastAsia="Times New Roman" w:cs="Times New Roman"/>
                <w:color w:val="000000"/>
                <w:sz w:val="24"/>
                <w:szCs w:val="24"/>
                <w:lang w:eastAsia="lv-LV"/>
              </w:rPr>
              <w:t>t</w:t>
            </w:r>
            <w:r w:rsidRPr="009D65D3">
              <w:rPr>
                <w:rFonts w:ascii="inherit" w:hAnsi="inherit" w:eastAsia="Times New Roman" w:cs="Times New Roman"/>
                <w:color w:val="000000"/>
                <w:sz w:val="24"/>
                <w:szCs w:val="24"/>
                <w:lang w:eastAsia="lv-LV"/>
              </w:rPr>
              <w:t>ahogrāfa</w:t>
            </w:r>
            <w:proofErr w:type="spellEnd"/>
            <w:r w:rsidRPr="009D65D3">
              <w:rPr>
                <w:rFonts w:ascii="inherit" w:hAnsi="inherit" w:eastAsia="Times New Roman" w:cs="Times New Roman"/>
                <w:color w:val="000000"/>
                <w:sz w:val="24"/>
                <w:szCs w:val="24"/>
                <w:lang w:eastAsia="lv-LV"/>
              </w:rPr>
              <w:t xml:space="preserve"> uzstādīšan</w:t>
            </w:r>
            <w:r>
              <w:rPr>
                <w:rFonts w:ascii="inherit" w:hAnsi="inherit" w:eastAsia="Times New Roman" w:cs="Times New Roman"/>
                <w:color w:val="000000"/>
                <w:sz w:val="24"/>
                <w:szCs w:val="24"/>
                <w:lang w:eastAsia="lv-LV"/>
              </w:rPr>
              <w:t>u</w:t>
            </w:r>
            <w:r w:rsidRPr="009D65D3">
              <w:rPr>
                <w:rFonts w:ascii="inherit" w:hAnsi="inherit" w:eastAsia="Times New Roman" w:cs="Times New Roman"/>
                <w:color w:val="000000"/>
                <w:sz w:val="24"/>
                <w:szCs w:val="24"/>
                <w:lang w:eastAsia="lv-LV"/>
              </w:rPr>
              <w:t>, pārbaud</w:t>
            </w:r>
            <w:r>
              <w:rPr>
                <w:rFonts w:ascii="inherit" w:hAnsi="inherit" w:eastAsia="Times New Roman" w:cs="Times New Roman"/>
                <w:color w:val="000000"/>
                <w:sz w:val="24"/>
                <w:szCs w:val="24"/>
                <w:lang w:eastAsia="lv-LV"/>
              </w:rPr>
              <w:t>i</w:t>
            </w:r>
            <w:r w:rsidRPr="009D65D3">
              <w:rPr>
                <w:rFonts w:ascii="inherit" w:hAnsi="inherit" w:eastAsia="Times New Roman" w:cs="Times New Roman"/>
                <w:color w:val="000000"/>
                <w:sz w:val="24"/>
                <w:szCs w:val="24"/>
                <w:lang w:eastAsia="lv-LV"/>
              </w:rPr>
              <w:t>, remont</w:t>
            </w:r>
            <w:r>
              <w:rPr>
                <w:rFonts w:ascii="inherit" w:hAnsi="inherit" w:eastAsia="Times New Roman" w:cs="Times New Roman"/>
                <w:color w:val="000000"/>
                <w:sz w:val="24"/>
                <w:szCs w:val="24"/>
                <w:lang w:eastAsia="lv-LV"/>
              </w:rPr>
              <w:t>u</w:t>
            </w:r>
            <w:r w:rsidRPr="009D65D3">
              <w:rPr>
                <w:rFonts w:ascii="inherit" w:hAnsi="inherit" w:eastAsia="Times New Roman" w:cs="Times New Roman"/>
                <w:color w:val="000000"/>
                <w:sz w:val="24"/>
                <w:szCs w:val="24"/>
                <w:lang w:eastAsia="lv-LV"/>
              </w:rPr>
              <w:t xml:space="preserve"> un plombēšan</w:t>
            </w:r>
            <w:r>
              <w:rPr>
                <w:rFonts w:ascii="inherit" w:hAnsi="inherit" w:eastAsia="Times New Roman" w:cs="Times New Roman"/>
                <w:color w:val="000000"/>
                <w:sz w:val="24"/>
                <w:szCs w:val="24"/>
                <w:lang w:eastAsia="lv-LV"/>
              </w:rPr>
              <w:t>u, kā arī  prasības t</w:t>
            </w:r>
            <w:r w:rsidRPr="009D65D3">
              <w:rPr>
                <w:rFonts w:ascii="inherit" w:hAnsi="inherit" w:eastAsia="Times New Roman" w:cs="Times New Roman"/>
                <w:color w:val="000000"/>
                <w:sz w:val="24"/>
                <w:szCs w:val="24"/>
                <w:lang w:eastAsia="lv-LV"/>
              </w:rPr>
              <w:t>ransportlīdzekļu apkalpes locekļu darba laika ilgum</w:t>
            </w:r>
            <w:r>
              <w:rPr>
                <w:rFonts w:ascii="inherit" w:hAnsi="inherit" w:eastAsia="Times New Roman" w:cs="Times New Roman"/>
                <w:color w:val="000000"/>
                <w:sz w:val="24"/>
                <w:szCs w:val="24"/>
                <w:lang w:eastAsia="lv-LV"/>
              </w:rPr>
              <w:t>am</w:t>
            </w:r>
            <w:r w:rsidR="005D06AD">
              <w:rPr>
                <w:rFonts w:ascii="inherit" w:hAnsi="inherit" w:eastAsia="Times New Roman" w:cs="Times New Roman"/>
                <w:color w:val="000000"/>
                <w:sz w:val="24"/>
                <w:szCs w:val="24"/>
                <w:lang w:eastAsia="lv-LV"/>
              </w:rPr>
              <w:t>.</w:t>
            </w:r>
            <w:r>
              <w:rPr>
                <w:rFonts w:ascii="inherit" w:hAnsi="inherit" w:eastAsia="Times New Roman" w:cs="Times New Roman"/>
                <w:color w:val="000000"/>
                <w:sz w:val="24"/>
                <w:szCs w:val="24"/>
                <w:lang w:eastAsia="lv-LV"/>
              </w:rPr>
              <w:t xml:space="preserve"> </w:t>
            </w:r>
            <w:r w:rsidR="005D06AD">
              <w:rPr>
                <w:rFonts w:ascii="inherit" w:hAnsi="inherit" w:eastAsia="Times New Roman" w:cs="Times New Roman"/>
                <w:color w:val="000000"/>
                <w:sz w:val="24"/>
                <w:szCs w:val="24"/>
                <w:lang w:eastAsia="lv-LV"/>
              </w:rPr>
              <w:t>I</w:t>
            </w:r>
            <w:r>
              <w:rPr>
                <w:rFonts w:ascii="inherit" w:hAnsi="inherit" w:eastAsia="Times New Roman" w:cs="Times New Roman"/>
                <w:color w:val="000000"/>
                <w:sz w:val="24"/>
                <w:szCs w:val="24"/>
                <w:lang w:eastAsia="lv-LV"/>
              </w:rPr>
              <w:t>evērojot minēto, atbildība par t</w:t>
            </w:r>
            <w:r w:rsidRPr="009D65D3">
              <w:rPr>
                <w:rFonts w:ascii="inherit" w:hAnsi="inherit" w:eastAsia="Times New Roman" w:cs="Times New Roman"/>
                <w:color w:val="000000"/>
                <w:sz w:val="24"/>
                <w:szCs w:val="24"/>
                <w:lang w:eastAsia="lv-LV"/>
              </w:rPr>
              <w:t>ransportlīdzekļu vadītāju darba un atpūtas laika noteikumu pārkāpšan</w:t>
            </w:r>
            <w:r>
              <w:rPr>
                <w:rFonts w:ascii="inherit" w:hAnsi="inherit" w:eastAsia="Times New Roman" w:cs="Times New Roman"/>
                <w:color w:val="000000"/>
                <w:sz w:val="24"/>
                <w:szCs w:val="24"/>
                <w:lang w:eastAsia="lv-LV"/>
              </w:rPr>
              <w:t xml:space="preserve">u paredzēta </w:t>
            </w:r>
            <w:r w:rsidR="005D06AD">
              <w:rPr>
                <w:rFonts w:ascii="inherit" w:hAnsi="inherit" w:eastAsia="Times New Roman" w:cs="Times New Roman"/>
                <w:color w:val="000000"/>
                <w:sz w:val="24"/>
                <w:szCs w:val="24"/>
                <w:lang w:eastAsia="lv-LV"/>
              </w:rPr>
              <w:t>L</w:t>
            </w:r>
            <w:r>
              <w:rPr>
                <w:rFonts w:ascii="inherit" w:hAnsi="inherit" w:eastAsia="Times New Roman" w:cs="Times New Roman"/>
                <w:color w:val="000000"/>
                <w:sz w:val="24"/>
                <w:szCs w:val="24"/>
                <w:lang w:eastAsia="lv-LV"/>
              </w:rPr>
              <w:t>ikumprojektā.</w:t>
            </w:r>
          </w:p>
          <w:p w:rsidRPr="00BF5673" w:rsidR="00056D25" w:rsidP="00C472FF" w:rsidRDefault="00056D25" w14:paraId="46881C55" w14:textId="72C73CA8">
            <w:pPr>
              <w:ind w:firstLine="0"/>
              <w:jc w:val="both"/>
              <w:rPr>
                <w:rFonts w:cs="Times New Roman"/>
                <w:sz w:val="24"/>
                <w:szCs w:val="24"/>
              </w:rPr>
            </w:pPr>
            <w:r w:rsidRPr="00BF5673">
              <w:rPr>
                <w:rFonts w:ascii="inherit" w:hAnsi="inherit" w:eastAsia="Times New Roman" w:cs="Times New Roman"/>
                <w:color w:val="000000"/>
                <w:sz w:val="24"/>
                <w:szCs w:val="24"/>
                <w:lang w:eastAsia="lv-LV"/>
              </w:rPr>
              <w:t>Likumprojekta 80.pantā</w:t>
            </w:r>
            <w:r w:rsidR="005D06AD">
              <w:rPr>
                <w:rFonts w:ascii="inherit" w:hAnsi="inherit" w:eastAsia="Times New Roman" w:cs="Times New Roman"/>
                <w:color w:val="000000"/>
                <w:sz w:val="24"/>
                <w:szCs w:val="24"/>
                <w:lang w:eastAsia="lv-LV"/>
              </w:rPr>
              <w:t xml:space="preserve"> LAPK</w:t>
            </w:r>
            <w:r w:rsidRPr="00BF5673">
              <w:rPr>
                <w:rFonts w:cs="Times New Roman"/>
                <w:bCs/>
                <w:sz w:val="24"/>
                <w:szCs w:val="24"/>
              </w:rPr>
              <w:t xml:space="preserve"> 149.</w:t>
            </w:r>
            <w:r w:rsidRPr="00BF5673">
              <w:rPr>
                <w:rFonts w:cs="Times New Roman"/>
                <w:bCs/>
                <w:sz w:val="24"/>
                <w:szCs w:val="24"/>
                <w:vertAlign w:val="superscript"/>
              </w:rPr>
              <w:t>37</w:t>
            </w:r>
            <w:r w:rsidRPr="00BF5673">
              <w:rPr>
                <w:rFonts w:cs="Times New Roman"/>
                <w:bCs/>
                <w:sz w:val="24"/>
                <w:szCs w:val="24"/>
              </w:rPr>
              <w:t xml:space="preserve"> pants tiek izteikts jaunā redakcijā, saglabājot visus šobrīd esošos pārkāpumus un papildinot pantu ar pārkāpumiem, kurus paredz Regula atbilstoši </w:t>
            </w:r>
            <w:r w:rsidRPr="00BF5673">
              <w:rPr>
                <w:rFonts w:ascii="inherit" w:hAnsi="inherit" w:eastAsia="Times New Roman" w:cs="Times New Roman"/>
                <w:color w:val="000000"/>
                <w:sz w:val="24"/>
                <w:szCs w:val="24"/>
                <w:lang w:eastAsia="lv-LV"/>
              </w:rPr>
              <w:t>Eiropas Parlamenta un Padomes Regulā (EK) Nr. 561/2006 un Eiropas Parlamenta un Padomes Direktīvā 2002/15/EK minētajiem pārkāpumiem.</w:t>
            </w:r>
          </w:p>
        </w:tc>
      </w:tr>
      <w:tr w:rsidRPr="00BF5673" w:rsidR="00417277" w:rsidTr="005D06AD" w14:paraId="1603359C"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7F19F758" w14:textId="77777777">
            <w:pPr>
              <w:ind w:firstLine="0"/>
              <w:rPr>
                <w:rFonts w:cs="Times New Roman"/>
                <w:sz w:val="24"/>
                <w:szCs w:val="24"/>
              </w:rPr>
            </w:pPr>
            <w:r w:rsidRPr="00BF5673">
              <w:rPr>
                <w:rFonts w:cs="Times New Roman"/>
                <w:sz w:val="24"/>
                <w:szCs w:val="24"/>
              </w:rPr>
              <w:lastRenderedPageBreak/>
              <w:t>3.</w:t>
            </w:r>
          </w:p>
        </w:tc>
        <w:tc>
          <w:tcPr>
            <w:tcW w:w="1530" w:type="pct"/>
            <w:tcBorders>
              <w:top w:val="outset" w:color="auto" w:sz="6" w:space="0"/>
              <w:left w:val="outset" w:color="auto" w:sz="6" w:space="0"/>
              <w:bottom w:val="outset" w:color="auto" w:sz="6" w:space="0"/>
              <w:right w:val="outset" w:color="auto" w:sz="6" w:space="0"/>
            </w:tcBorders>
            <w:hideMark/>
          </w:tcPr>
          <w:p w:rsidRPr="00BF5673" w:rsidR="00417277" w:rsidP="005D06AD" w:rsidRDefault="00010041" w14:paraId="2232DC7D" w14:textId="2152DB51">
            <w:pPr>
              <w:ind w:firstLine="0"/>
              <w:rPr>
                <w:rFonts w:cs="Times New Roman"/>
                <w:sz w:val="24"/>
                <w:szCs w:val="24"/>
              </w:rPr>
            </w:pPr>
            <w:r w:rsidRPr="00BF5673">
              <w:rPr>
                <w:rFonts w:cs="Times New Roman"/>
                <w:sz w:val="24"/>
                <w:szCs w:val="24"/>
              </w:rPr>
              <w:t>Projekta izstrādē iesaistītās institūcijas un publiskas personas kapitālsabiedrības</w:t>
            </w:r>
          </w:p>
        </w:tc>
        <w:tc>
          <w:tcPr>
            <w:tcW w:w="3159" w:type="pct"/>
            <w:tcBorders>
              <w:top w:val="outset" w:color="auto" w:sz="6" w:space="0"/>
              <w:left w:val="outset" w:color="auto" w:sz="6" w:space="0"/>
              <w:bottom w:val="outset" w:color="auto" w:sz="6" w:space="0"/>
              <w:right w:val="outset" w:color="auto" w:sz="6" w:space="0"/>
            </w:tcBorders>
            <w:hideMark/>
          </w:tcPr>
          <w:p w:rsidRPr="00BF5673" w:rsidR="00A94C6F" w:rsidP="00A94C6F" w:rsidRDefault="00AE4DD3" w14:paraId="14416215" w14:textId="77777777">
            <w:pPr>
              <w:ind w:firstLine="0"/>
              <w:jc w:val="both"/>
              <w:rPr>
                <w:rFonts w:cs="Times New Roman"/>
                <w:sz w:val="24"/>
                <w:szCs w:val="24"/>
              </w:rPr>
            </w:pPr>
            <w:r w:rsidRPr="00BF5673">
              <w:rPr>
                <w:rFonts w:cs="Times New Roman"/>
                <w:sz w:val="24"/>
                <w:szCs w:val="24"/>
              </w:rPr>
              <w:t>Satiksmes ministrija,</w:t>
            </w:r>
            <w:r w:rsidRPr="00BF5673" w:rsidR="00A94C6F">
              <w:rPr>
                <w:rFonts w:cs="Times New Roman"/>
                <w:sz w:val="24"/>
                <w:szCs w:val="24"/>
              </w:rPr>
              <w:t xml:space="preserve"> valsts akciju sabiedrība “Ceļu satik</w:t>
            </w:r>
            <w:r w:rsidRPr="00BF5673" w:rsidR="00852CC3">
              <w:rPr>
                <w:rFonts w:cs="Times New Roman"/>
                <w:sz w:val="24"/>
                <w:szCs w:val="24"/>
              </w:rPr>
              <w:t>smes drošības direkcija”.</w:t>
            </w:r>
          </w:p>
          <w:p w:rsidRPr="00BF5673" w:rsidR="00417277" w:rsidP="00C472FF" w:rsidRDefault="00417277" w14:paraId="2B5C7BB9" w14:textId="14669304">
            <w:pPr>
              <w:ind w:firstLine="0"/>
              <w:jc w:val="both"/>
              <w:rPr>
                <w:rFonts w:cs="Times New Roman"/>
                <w:sz w:val="24"/>
                <w:szCs w:val="24"/>
              </w:rPr>
            </w:pPr>
          </w:p>
        </w:tc>
      </w:tr>
      <w:tr w:rsidRPr="00BF5673" w:rsidR="00417277" w:rsidTr="005D06AD" w14:paraId="03C4673F" w14:textId="77777777">
        <w:trPr>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142C6D81" w14:textId="77777777">
            <w:pPr>
              <w:ind w:firstLine="0"/>
              <w:rPr>
                <w:rFonts w:cs="Times New Roman"/>
                <w:sz w:val="24"/>
                <w:szCs w:val="24"/>
              </w:rPr>
            </w:pPr>
            <w:r w:rsidRPr="00BF5673">
              <w:rPr>
                <w:rFonts w:cs="Times New Roman"/>
                <w:sz w:val="24"/>
                <w:szCs w:val="24"/>
              </w:rPr>
              <w:t>4.</w:t>
            </w:r>
          </w:p>
        </w:tc>
        <w:tc>
          <w:tcPr>
            <w:tcW w:w="1530" w:type="pct"/>
            <w:tcBorders>
              <w:top w:val="outset" w:color="auto" w:sz="6" w:space="0"/>
              <w:left w:val="outset" w:color="auto" w:sz="6" w:space="0"/>
              <w:bottom w:val="outset" w:color="auto" w:sz="6" w:space="0"/>
              <w:right w:val="outset" w:color="auto" w:sz="6" w:space="0"/>
            </w:tcBorders>
            <w:hideMark/>
          </w:tcPr>
          <w:p w:rsidRPr="00BF5673" w:rsidR="00417277" w:rsidP="005D06AD" w:rsidRDefault="00417277" w14:paraId="07719A73" w14:textId="77777777">
            <w:pPr>
              <w:ind w:firstLine="0"/>
              <w:rPr>
                <w:rFonts w:cs="Times New Roman"/>
                <w:sz w:val="24"/>
                <w:szCs w:val="24"/>
              </w:rPr>
            </w:pPr>
            <w:r w:rsidRPr="00BF5673">
              <w:rPr>
                <w:rFonts w:cs="Times New Roman"/>
                <w:sz w:val="24"/>
                <w:szCs w:val="24"/>
              </w:rPr>
              <w:t>Cita informācija</w:t>
            </w:r>
          </w:p>
        </w:tc>
        <w:tc>
          <w:tcPr>
            <w:tcW w:w="3159" w:type="pct"/>
            <w:tcBorders>
              <w:top w:val="outset" w:color="auto" w:sz="6" w:space="0"/>
              <w:left w:val="outset" w:color="auto" w:sz="6" w:space="0"/>
              <w:bottom w:val="outset" w:color="auto" w:sz="6" w:space="0"/>
              <w:right w:val="outset" w:color="auto" w:sz="6" w:space="0"/>
            </w:tcBorders>
          </w:tcPr>
          <w:p w:rsidRPr="005D06AD" w:rsidR="005D06AD" w:rsidP="005D06AD" w:rsidRDefault="00385C45" w14:paraId="2D79FECB" w14:textId="77777777">
            <w:pPr>
              <w:ind w:firstLine="0"/>
              <w:jc w:val="both"/>
              <w:rPr>
                <w:rFonts w:cs="Times New Roman"/>
                <w:sz w:val="24"/>
                <w:szCs w:val="24"/>
              </w:rPr>
            </w:pPr>
            <w:r w:rsidRPr="00BF5673">
              <w:rPr>
                <w:rFonts w:cs="Times New Roman"/>
                <w:sz w:val="24"/>
                <w:szCs w:val="24"/>
              </w:rPr>
              <w:t>Likumprojekts 2019.gada 2.maijā tika izskatīts Latvijas Administratīvo pārkāpumu kodeksa pastāvīgās darba grupas sēdē.</w:t>
            </w:r>
            <w:r w:rsidR="005D06AD">
              <w:rPr>
                <w:rFonts w:cs="Times New Roman"/>
                <w:sz w:val="24"/>
                <w:szCs w:val="24"/>
              </w:rPr>
              <w:t xml:space="preserve"> </w:t>
            </w:r>
            <w:r w:rsidRPr="005D06AD" w:rsidR="005D06AD">
              <w:rPr>
                <w:rFonts w:cs="Times New Roman"/>
                <w:sz w:val="24"/>
                <w:szCs w:val="24"/>
              </w:rPr>
              <w:t xml:space="preserve">Saeimas Juridiskās komisijas 2019.gada 23.aprīļa sēdē Satiksmes ministrijai tika dots uzdevums līdz Saeimas pavasara sesijas beigām iesniegt Saeimā likumprojektu “Grozījumi Ceļu satiksmes likumā”, kas sagatavots administratīvo pārkāpumu </w:t>
            </w:r>
            <w:proofErr w:type="spellStart"/>
            <w:r w:rsidRPr="005D06AD" w:rsidR="005D06AD">
              <w:rPr>
                <w:rFonts w:cs="Times New Roman"/>
                <w:sz w:val="24"/>
                <w:szCs w:val="24"/>
              </w:rPr>
              <w:t>dekodifikācijas</w:t>
            </w:r>
            <w:proofErr w:type="spellEnd"/>
            <w:r w:rsidRPr="005D06AD" w:rsidR="005D06AD">
              <w:rPr>
                <w:rFonts w:cs="Times New Roman"/>
                <w:sz w:val="24"/>
                <w:szCs w:val="24"/>
              </w:rPr>
              <w:t xml:space="preserve"> procesa ietvaros. </w:t>
            </w:r>
          </w:p>
          <w:p w:rsidRPr="00BF5673" w:rsidR="00720D12" w:rsidP="005D06AD" w:rsidRDefault="005D06AD" w14:paraId="2C3EE42D" w14:textId="3C30879D">
            <w:pPr>
              <w:ind w:firstLine="0"/>
              <w:jc w:val="both"/>
              <w:rPr>
                <w:rFonts w:cs="Times New Roman"/>
                <w:sz w:val="24"/>
                <w:szCs w:val="24"/>
              </w:rPr>
            </w:pPr>
            <w:r w:rsidRPr="005D06AD">
              <w:rPr>
                <w:rFonts w:cs="Times New Roman"/>
                <w:sz w:val="24"/>
                <w:szCs w:val="24"/>
              </w:rPr>
              <w:t>Lai nodrošinātu likumprojekta izskatīšanu 1.lasījumā līdz Saeimas pavasara sesijas beigām,  likumprojekts būtu izskatāms Ministru kabineta 2019.gada 11.jūnija sēdē.</w:t>
            </w:r>
          </w:p>
        </w:tc>
      </w:tr>
    </w:tbl>
    <w:p w:rsidRPr="00BF5673" w:rsidR="002D1699" w:rsidP="002D1699" w:rsidRDefault="002D1699" w14:paraId="20B987A6" w14:textId="77777777">
      <w:pPr>
        <w:ind w:firstLine="0"/>
        <w:rPr>
          <w:rFonts w:cs="Times New Roman"/>
          <w:sz w:val="24"/>
          <w:szCs w:val="24"/>
        </w:rPr>
      </w:pPr>
      <w:r w:rsidRPr="00BF5673">
        <w:rPr>
          <w:rFonts w:cs="Times New Roman"/>
          <w:sz w:val="24"/>
          <w:szCs w:val="24"/>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Pr="00BF5673" w:rsidR="002D1699" w:rsidTr="005D06AD" w14:paraId="6F6C2B27" w14:textId="77777777">
        <w:trPr>
          <w:trHeight w:val="55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F5673" w:rsidR="002D1699" w:rsidP="008D361B" w:rsidRDefault="002D1699" w14:paraId="0895A1C8" w14:textId="77777777">
            <w:pPr>
              <w:ind w:firstLine="0"/>
              <w:jc w:val="center"/>
              <w:rPr>
                <w:rFonts w:cs="Times New Roman"/>
                <w:b/>
                <w:bCs/>
                <w:sz w:val="24"/>
                <w:szCs w:val="24"/>
              </w:rPr>
            </w:pPr>
            <w:r w:rsidRPr="00BF5673">
              <w:rPr>
                <w:rFonts w:cs="Times New Roman"/>
                <w:b/>
                <w:bCs/>
                <w:sz w:val="24"/>
                <w:szCs w:val="24"/>
              </w:rPr>
              <w:t>II. Tiesību akta projekta ietekme uz sabiedrību, tautsaimniecības attīstību un administratīvo slogu</w:t>
            </w:r>
          </w:p>
        </w:tc>
      </w:tr>
      <w:tr w:rsidRPr="00BF5673" w:rsidR="00A511A2" w:rsidTr="005D06AD" w14:paraId="22ABB250"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A511A2" w:rsidP="005D06AD" w:rsidRDefault="00A511A2" w14:paraId="23C06B89" w14:textId="77777777">
            <w:pPr>
              <w:ind w:firstLine="0"/>
              <w:rPr>
                <w:rFonts w:cs="Times New Roman"/>
                <w:sz w:val="24"/>
                <w:szCs w:val="24"/>
              </w:rPr>
            </w:pPr>
            <w:r w:rsidRPr="00BF5673">
              <w:rPr>
                <w:rFonts w:cs="Times New Roman"/>
                <w:sz w:val="24"/>
                <w:szCs w:val="24"/>
              </w:rPr>
              <w:t>1.</w:t>
            </w:r>
          </w:p>
        </w:tc>
        <w:tc>
          <w:tcPr>
            <w:tcW w:w="1530" w:type="pct"/>
            <w:tcBorders>
              <w:top w:val="outset" w:color="auto" w:sz="6" w:space="0"/>
              <w:left w:val="outset" w:color="auto" w:sz="6" w:space="0"/>
              <w:bottom w:val="outset" w:color="auto" w:sz="6" w:space="0"/>
              <w:right w:val="outset" w:color="auto" w:sz="6" w:space="0"/>
            </w:tcBorders>
            <w:hideMark/>
          </w:tcPr>
          <w:p w:rsidRPr="00BF5673" w:rsidR="00A511A2" w:rsidP="005D06AD" w:rsidRDefault="00A511A2" w14:paraId="27EA1DB2" w14:textId="77777777">
            <w:pPr>
              <w:ind w:firstLine="0"/>
              <w:rPr>
                <w:rFonts w:cs="Times New Roman"/>
                <w:sz w:val="24"/>
                <w:szCs w:val="24"/>
              </w:rPr>
            </w:pPr>
            <w:r w:rsidRPr="00BF5673">
              <w:rPr>
                <w:rFonts w:cs="Times New Roman"/>
                <w:sz w:val="24"/>
                <w:szCs w:val="24"/>
              </w:rPr>
              <w:t xml:space="preserve">Sabiedrības </w:t>
            </w:r>
            <w:proofErr w:type="spellStart"/>
            <w:r w:rsidRPr="00BF5673">
              <w:rPr>
                <w:rFonts w:cs="Times New Roman"/>
                <w:sz w:val="24"/>
                <w:szCs w:val="24"/>
              </w:rPr>
              <w:t>mērķgrupas</w:t>
            </w:r>
            <w:proofErr w:type="spellEnd"/>
            <w:r w:rsidRPr="00BF5673">
              <w:rPr>
                <w:rFonts w:cs="Times New Roman"/>
                <w:sz w:val="24"/>
                <w:szCs w:val="24"/>
              </w:rPr>
              <w:t>, kuras tiesiskais regulējums ietekmē vai varētu ietekmēt</w:t>
            </w:r>
          </w:p>
        </w:tc>
        <w:tc>
          <w:tcPr>
            <w:tcW w:w="3159" w:type="pct"/>
            <w:tcBorders>
              <w:top w:val="outset" w:color="auto" w:sz="6" w:space="0"/>
              <w:left w:val="outset" w:color="auto" w:sz="6" w:space="0"/>
              <w:bottom w:val="outset" w:color="auto" w:sz="6" w:space="0"/>
              <w:right w:val="outset" w:color="auto" w:sz="6" w:space="0"/>
            </w:tcBorders>
            <w:hideMark/>
          </w:tcPr>
          <w:p w:rsidRPr="00BF5673" w:rsidR="00215EC0" w:rsidP="00383937" w:rsidRDefault="006A3948" w14:paraId="5B81EE9C" w14:textId="77777777">
            <w:pPr>
              <w:ind w:firstLine="0"/>
              <w:jc w:val="both"/>
              <w:rPr>
                <w:rFonts w:eastAsia="Times New Roman" w:cs="Times New Roman"/>
                <w:color w:val="FF0000"/>
                <w:sz w:val="24"/>
                <w:szCs w:val="24"/>
                <w:highlight w:val="yellow"/>
                <w:lang w:eastAsia="lv-LV"/>
              </w:rPr>
            </w:pPr>
            <w:r w:rsidRPr="00BF5673">
              <w:rPr>
                <w:rFonts w:eastAsia="Times New Roman" w:cs="Times New Roman"/>
                <w:sz w:val="24"/>
                <w:szCs w:val="24"/>
                <w:lang w:eastAsia="lv-LV"/>
              </w:rPr>
              <w:t xml:space="preserve"> </w:t>
            </w:r>
            <w:r w:rsidRPr="00BF5673" w:rsidR="00852CC3">
              <w:rPr>
                <w:rFonts w:eastAsia="Times New Roman" w:cs="Times New Roman"/>
                <w:sz w:val="24"/>
                <w:szCs w:val="24"/>
                <w:lang w:eastAsia="lv-LV"/>
              </w:rPr>
              <w:t>Likumprojekts attiecas uz</w:t>
            </w:r>
            <w:r w:rsidRPr="00BF5673" w:rsidR="00152655">
              <w:t xml:space="preserve"> </w:t>
            </w:r>
            <w:r w:rsidRPr="00BF5673" w:rsidR="00152655">
              <w:rPr>
                <w:rFonts w:eastAsia="Times New Roman" w:cs="Times New Roman"/>
                <w:sz w:val="24"/>
                <w:szCs w:val="24"/>
                <w:lang w:eastAsia="lv-LV"/>
              </w:rPr>
              <w:t>transportlīdzekļu īpašniekiem (turētāji, valdītāji)</w:t>
            </w:r>
            <w:r w:rsidRPr="00BF5673" w:rsidR="00383937">
              <w:rPr>
                <w:rFonts w:eastAsia="Times New Roman" w:cs="Times New Roman"/>
                <w:sz w:val="24"/>
                <w:szCs w:val="24"/>
                <w:lang w:eastAsia="lv-LV"/>
              </w:rPr>
              <w:t xml:space="preserve">. </w:t>
            </w:r>
            <w:r w:rsidRPr="00BF5673" w:rsidR="00852CC3">
              <w:rPr>
                <w:rFonts w:eastAsia="Times New Roman" w:cs="Times New Roman"/>
                <w:sz w:val="24"/>
                <w:szCs w:val="24"/>
                <w:lang w:eastAsia="lv-LV"/>
              </w:rPr>
              <w:t>Latvijā ir reģistrēti vairāk kā 850 000 transportlīdzekļu, no kuriem gandrīz 700 000 ir pielaide ceļu satiksmei.</w:t>
            </w:r>
          </w:p>
        </w:tc>
      </w:tr>
      <w:tr w:rsidRPr="00BF5673" w:rsidR="002D1699" w:rsidTr="005D06AD" w14:paraId="3B784F81"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2FE46029" w14:textId="77777777">
            <w:pPr>
              <w:ind w:firstLine="0"/>
              <w:rPr>
                <w:rFonts w:cs="Times New Roman"/>
                <w:sz w:val="24"/>
                <w:szCs w:val="24"/>
              </w:rPr>
            </w:pPr>
            <w:r w:rsidRPr="00BF5673">
              <w:rPr>
                <w:rFonts w:cs="Times New Roman"/>
                <w:sz w:val="24"/>
                <w:szCs w:val="24"/>
              </w:rPr>
              <w:t>2.</w:t>
            </w:r>
          </w:p>
        </w:tc>
        <w:tc>
          <w:tcPr>
            <w:tcW w:w="1530"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6749C81A" w14:textId="77777777">
            <w:pPr>
              <w:ind w:firstLine="0"/>
              <w:rPr>
                <w:rFonts w:cs="Times New Roman"/>
                <w:sz w:val="24"/>
                <w:szCs w:val="24"/>
              </w:rPr>
            </w:pPr>
            <w:r w:rsidRPr="00BF5673">
              <w:rPr>
                <w:rFonts w:cs="Times New Roman"/>
                <w:sz w:val="24"/>
                <w:szCs w:val="24"/>
              </w:rPr>
              <w:t>Tiesiskā regulējuma ietekme uz tautsaimniecību un administratīvo slogu</w:t>
            </w:r>
          </w:p>
        </w:tc>
        <w:tc>
          <w:tcPr>
            <w:tcW w:w="3159" w:type="pct"/>
            <w:tcBorders>
              <w:top w:val="outset" w:color="auto" w:sz="6" w:space="0"/>
              <w:left w:val="outset" w:color="auto" w:sz="6" w:space="0"/>
              <w:bottom w:val="outset" w:color="auto" w:sz="6" w:space="0"/>
              <w:right w:val="outset" w:color="auto" w:sz="6" w:space="0"/>
            </w:tcBorders>
            <w:hideMark/>
          </w:tcPr>
          <w:p w:rsidRPr="00BF5673" w:rsidR="002D1699" w:rsidP="002314F6" w:rsidRDefault="00A94C6F" w14:paraId="148E8B07" w14:textId="77777777">
            <w:pPr>
              <w:ind w:firstLine="0"/>
              <w:jc w:val="both"/>
              <w:rPr>
                <w:rFonts w:cs="Times New Roman"/>
                <w:sz w:val="24"/>
                <w:szCs w:val="24"/>
              </w:rPr>
            </w:pPr>
            <w:r w:rsidRPr="00BF5673">
              <w:rPr>
                <w:rFonts w:cs="Times New Roman"/>
                <w:sz w:val="24"/>
                <w:szCs w:val="24"/>
              </w:rPr>
              <w:t>Likumprojekta tiesiskais regulējums nemaina minēto transportlīdzekļu īpašnieku (turētāju, valdītāju) tiesības un pienākumus, kā arī veicamās darbības.</w:t>
            </w:r>
          </w:p>
        </w:tc>
      </w:tr>
      <w:tr w:rsidRPr="00BF5673" w:rsidR="00010041" w:rsidTr="00010041" w14:paraId="03A75E0A"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00DE5AA8" w14:textId="77777777">
            <w:pPr>
              <w:ind w:firstLine="0"/>
              <w:rPr>
                <w:rFonts w:cs="Times New Roman"/>
                <w:sz w:val="24"/>
                <w:szCs w:val="24"/>
              </w:rPr>
            </w:pPr>
            <w:r w:rsidRPr="00BF5673">
              <w:rPr>
                <w:rFonts w:cs="Times New Roman"/>
                <w:sz w:val="24"/>
                <w:szCs w:val="24"/>
              </w:rPr>
              <w:t>3.</w:t>
            </w:r>
          </w:p>
        </w:tc>
        <w:tc>
          <w:tcPr>
            <w:tcW w:w="1530"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6D487F9F" w14:textId="77777777">
            <w:pPr>
              <w:ind w:firstLine="0"/>
              <w:rPr>
                <w:rFonts w:cs="Times New Roman"/>
                <w:sz w:val="24"/>
                <w:szCs w:val="24"/>
              </w:rPr>
            </w:pPr>
            <w:r w:rsidRPr="00BF5673">
              <w:rPr>
                <w:rFonts w:cs="Times New Roman"/>
                <w:sz w:val="24"/>
                <w:szCs w:val="24"/>
              </w:rPr>
              <w:t>Administratīvo izmaksu monetārs novērtējums</w:t>
            </w:r>
          </w:p>
        </w:tc>
        <w:tc>
          <w:tcPr>
            <w:tcW w:w="3159"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1154F77E" w14:textId="77777777">
            <w:pPr>
              <w:ind w:firstLine="0"/>
              <w:jc w:val="both"/>
              <w:rPr>
                <w:rFonts w:cs="Times New Roman"/>
                <w:sz w:val="24"/>
                <w:szCs w:val="24"/>
              </w:rPr>
            </w:pPr>
            <w:r w:rsidRPr="00BF5673">
              <w:rPr>
                <w:rFonts w:cs="Times New Roman"/>
                <w:sz w:val="24"/>
                <w:szCs w:val="24"/>
              </w:rPr>
              <w:t>Projekts šo jomu neskar.</w:t>
            </w:r>
          </w:p>
        </w:tc>
      </w:tr>
      <w:tr w:rsidRPr="00BF5673" w:rsidR="00010041" w:rsidTr="00010041" w14:paraId="58D15ED8"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46CF6120" w14:textId="77777777">
            <w:pPr>
              <w:ind w:firstLine="0"/>
              <w:rPr>
                <w:rFonts w:cs="Times New Roman"/>
                <w:sz w:val="24"/>
                <w:szCs w:val="24"/>
              </w:rPr>
            </w:pPr>
            <w:r w:rsidRPr="00BF5673">
              <w:rPr>
                <w:rFonts w:cs="Times New Roman"/>
                <w:sz w:val="24"/>
                <w:szCs w:val="24"/>
              </w:rPr>
              <w:t>4.</w:t>
            </w:r>
          </w:p>
        </w:tc>
        <w:tc>
          <w:tcPr>
            <w:tcW w:w="1530"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1CCDEB02" w14:textId="77777777">
            <w:pPr>
              <w:ind w:firstLine="0"/>
              <w:rPr>
                <w:rFonts w:cs="Times New Roman"/>
                <w:sz w:val="24"/>
                <w:szCs w:val="24"/>
              </w:rPr>
            </w:pPr>
            <w:r w:rsidRPr="00BF5673">
              <w:rPr>
                <w:rFonts w:cs="Times New Roman"/>
                <w:sz w:val="24"/>
                <w:szCs w:val="24"/>
              </w:rPr>
              <w:t>Atbilstības izmaksu monetārs novērtējums</w:t>
            </w:r>
          </w:p>
        </w:tc>
        <w:tc>
          <w:tcPr>
            <w:tcW w:w="3159"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22BD7229" w14:textId="77777777">
            <w:pPr>
              <w:ind w:firstLine="0"/>
              <w:jc w:val="both"/>
              <w:rPr>
                <w:rFonts w:cs="Times New Roman"/>
                <w:sz w:val="24"/>
                <w:szCs w:val="24"/>
              </w:rPr>
            </w:pPr>
            <w:r w:rsidRPr="00BF5673">
              <w:rPr>
                <w:rFonts w:cs="Times New Roman"/>
                <w:sz w:val="24"/>
                <w:szCs w:val="24"/>
              </w:rPr>
              <w:t>Projekts šo jomu neskar.</w:t>
            </w:r>
          </w:p>
        </w:tc>
      </w:tr>
      <w:tr w:rsidRPr="00BF5673" w:rsidR="00010041" w:rsidTr="00010041" w14:paraId="0F024759"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73305709" w14:textId="77777777">
            <w:pPr>
              <w:ind w:firstLine="0"/>
              <w:rPr>
                <w:rFonts w:cs="Times New Roman"/>
                <w:sz w:val="24"/>
                <w:szCs w:val="24"/>
              </w:rPr>
            </w:pPr>
            <w:r w:rsidRPr="00BF5673">
              <w:rPr>
                <w:rFonts w:cs="Times New Roman"/>
                <w:sz w:val="24"/>
                <w:szCs w:val="24"/>
              </w:rPr>
              <w:t>5.</w:t>
            </w:r>
          </w:p>
        </w:tc>
        <w:tc>
          <w:tcPr>
            <w:tcW w:w="1530"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2087FAEB" w14:textId="77777777">
            <w:pPr>
              <w:ind w:firstLine="0"/>
              <w:rPr>
                <w:rFonts w:cs="Times New Roman"/>
                <w:sz w:val="24"/>
                <w:szCs w:val="24"/>
              </w:rPr>
            </w:pPr>
            <w:r w:rsidRPr="00BF5673">
              <w:rPr>
                <w:rFonts w:cs="Times New Roman"/>
                <w:sz w:val="24"/>
                <w:szCs w:val="24"/>
              </w:rPr>
              <w:t>Cita informācija</w:t>
            </w:r>
          </w:p>
        </w:tc>
        <w:tc>
          <w:tcPr>
            <w:tcW w:w="3159" w:type="pct"/>
            <w:tcBorders>
              <w:top w:val="outset" w:color="auto" w:sz="6" w:space="0"/>
              <w:left w:val="outset" w:color="auto" w:sz="6" w:space="0"/>
              <w:bottom w:val="outset" w:color="auto" w:sz="6" w:space="0"/>
              <w:right w:val="outset" w:color="auto" w:sz="6" w:space="0"/>
            </w:tcBorders>
            <w:hideMark/>
          </w:tcPr>
          <w:p w:rsidRPr="00BF5673" w:rsidR="00010041" w:rsidP="005D06AD" w:rsidRDefault="00010041" w14:paraId="1BB1CC96" w14:textId="73AFDB1F">
            <w:pPr>
              <w:ind w:firstLine="0"/>
              <w:jc w:val="both"/>
              <w:rPr>
                <w:rFonts w:cs="Times New Roman"/>
                <w:sz w:val="24"/>
                <w:szCs w:val="24"/>
              </w:rPr>
            </w:pPr>
            <w:r w:rsidRPr="00BF5673">
              <w:rPr>
                <w:rFonts w:cs="Times New Roman"/>
                <w:sz w:val="24"/>
                <w:szCs w:val="24"/>
              </w:rPr>
              <w:t>Nav</w:t>
            </w:r>
            <w:r w:rsidR="00BC4676">
              <w:rPr>
                <w:rFonts w:cs="Times New Roman"/>
                <w:sz w:val="24"/>
                <w:szCs w:val="24"/>
              </w:rPr>
              <w:t>.</w:t>
            </w:r>
          </w:p>
        </w:tc>
      </w:tr>
    </w:tbl>
    <w:p w:rsidRPr="00BF5673" w:rsidR="00010041" w:rsidP="002D1699" w:rsidRDefault="00010041" w14:paraId="09DBBB2C" w14:textId="77777777">
      <w:pPr>
        <w:ind w:firstLine="0"/>
        <w:rPr>
          <w:rFonts w:cs="Times New Roman"/>
          <w:sz w:val="24"/>
          <w:szCs w:val="24"/>
        </w:rPr>
      </w:pPr>
    </w:p>
    <w:p w:rsidRPr="00BF5673" w:rsidR="002D1699" w:rsidP="002D1699" w:rsidRDefault="002D1699" w14:paraId="0ABBA215" w14:textId="0EFB765A">
      <w:pPr>
        <w:ind w:firstLine="0"/>
        <w:rPr>
          <w:rFonts w:cs="Times New Roman"/>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82"/>
        <w:gridCol w:w="933"/>
        <w:gridCol w:w="1192"/>
        <w:gridCol w:w="843"/>
        <w:gridCol w:w="1263"/>
        <w:gridCol w:w="843"/>
        <w:gridCol w:w="1192"/>
        <w:gridCol w:w="1207"/>
      </w:tblGrid>
      <w:tr w:rsidRPr="002C76E0" w:rsidR="00510F90" w:rsidTr="000471B8" w14:paraId="67B500DE"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53E078F" w14:textId="77777777">
            <w:pPr>
              <w:ind w:firstLine="0"/>
              <w:jc w:val="center"/>
              <w:rPr>
                <w:rFonts w:eastAsia="Times New Roman" w:cs="Times New Roman"/>
                <w:b/>
                <w:bCs/>
                <w:iCs/>
                <w:sz w:val="24"/>
                <w:szCs w:val="24"/>
                <w:lang w:eastAsia="lv-LV"/>
              </w:rPr>
            </w:pPr>
            <w:r w:rsidRPr="002C76E0">
              <w:rPr>
                <w:rFonts w:eastAsia="Times New Roman" w:cs="Times New Roman"/>
                <w:b/>
                <w:bCs/>
                <w:iCs/>
                <w:sz w:val="24"/>
                <w:szCs w:val="24"/>
                <w:lang w:eastAsia="lv-LV"/>
              </w:rPr>
              <w:t>III. Tiesību akta projekta ietekme uz valsts budžetu un pašvaldību budžetiem</w:t>
            </w:r>
          </w:p>
        </w:tc>
      </w:tr>
      <w:tr w:rsidRPr="002C76E0" w:rsidR="00510F90" w:rsidTr="000471B8" w14:paraId="2D01AFF4" w14:textId="77777777">
        <w:trPr>
          <w:tblCellSpacing w:w="15" w:type="dxa"/>
        </w:trPr>
        <w:tc>
          <w:tcPr>
            <w:tcW w:w="1025"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5EF31A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Rādītāji</w:t>
            </w:r>
          </w:p>
        </w:tc>
        <w:tc>
          <w:tcPr>
            <w:tcW w:w="1097"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45151F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2019. gads</w:t>
            </w:r>
          </w:p>
        </w:tc>
        <w:tc>
          <w:tcPr>
            <w:tcW w:w="2812" w:type="pct"/>
            <w:gridSpan w:val="5"/>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EC2AA0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Turpmākie trīs gadi (</w:t>
            </w:r>
            <w:proofErr w:type="spellStart"/>
            <w:r w:rsidRPr="002C76E0">
              <w:rPr>
                <w:rFonts w:eastAsia="Times New Roman" w:cs="Times New Roman"/>
                <w:i/>
                <w:iCs/>
                <w:sz w:val="24"/>
                <w:szCs w:val="24"/>
                <w:lang w:eastAsia="lv-LV"/>
              </w:rPr>
              <w:t>euro</w:t>
            </w:r>
            <w:proofErr w:type="spellEnd"/>
            <w:r w:rsidRPr="002C76E0">
              <w:rPr>
                <w:rFonts w:eastAsia="Times New Roman" w:cs="Times New Roman"/>
                <w:iCs/>
                <w:sz w:val="24"/>
                <w:szCs w:val="24"/>
                <w:lang w:eastAsia="lv-LV"/>
              </w:rPr>
              <w:t>)</w:t>
            </w:r>
          </w:p>
        </w:tc>
      </w:tr>
      <w:tr w:rsidRPr="002C76E0" w:rsidR="00510F90" w:rsidTr="000471B8" w14:paraId="7A2C534E"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4C7DC36" w14:textId="77777777">
            <w:pPr>
              <w:ind w:firstLine="0"/>
              <w:rPr>
                <w:rFonts w:eastAsia="Times New Roman" w:cs="Times New Roman"/>
                <w:iCs/>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257E2C6" w14:textId="77777777">
            <w:pPr>
              <w:ind w:firstLine="0"/>
              <w:rPr>
                <w:rFonts w:eastAsia="Times New Roman" w:cs="Times New Roman"/>
                <w:iCs/>
                <w:sz w:val="24"/>
                <w:szCs w:val="24"/>
                <w:lang w:eastAsia="lv-LV"/>
              </w:rPr>
            </w:pPr>
          </w:p>
        </w:tc>
        <w:tc>
          <w:tcPr>
            <w:tcW w:w="1061" w:type="pct"/>
            <w:gridSpan w:val="2"/>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0A3B9FF"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2020. gads</w:t>
            </w:r>
          </w:p>
        </w:tc>
        <w:tc>
          <w:tcPr>
            <w:tcW w:w="1060" w:type="pct"/>
            <w:gridSpan w:val="2"/>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4232D0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2021. gads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484152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2022. gads</w:t>
            </w:r>
          </w:p>
        </w:tc>
      </w:tr>
      <w:tr w:rsidRPr="002C76E0" w:rsidR="00510F90" w:rsidTr="000471B8" w14:paraId="11309867"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184C4E2" w14:textId="77777777">
            <w:pPr>
              <w:ind w:firstLine="0"/>
              <w:rPr>
                <w:rFonts w:eastAsia="Times New Roman" w:cs="Times New Roman"/>
                <w:iCs/>
                <w:sz w:val="24"/>
                <w:szCs w:val="24"/>
                <w:lang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D81DB2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valsts budžetu kārtējam gadam</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9C16B3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kārtējā gadā, salīdzinot ar valsts budžetu kārtējam gadam</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C3A129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vidēja termiņa budžeta ietvaru</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AE7F1E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2020.gadam</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F3772C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D3BD41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2021. gadam</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B43C02F"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2021. gadam</w:t>
            </w:r>
          </w:p>
        </w:tc>
      </w:tr>
      <w:tr w:rsidRPr="002C76E0" w:rsidR="00510F90" w:rsidTr="000471B8" w14:paraId="3EFC81D1"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0536C4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B6DB6D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B0CF24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AB8993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4</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6D9B43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8E3331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F2AD68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7</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9752AE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8</w:t>
            </w:r>
          </w:p>
        </w:tc>
      </w:tr>
      <w:tr w:rsidRPr="002C76E0" w:rsidR="00510F90" w:rsidTr="000471B8" w14:paraId="5DAC95E7"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780CFFD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 Budžeta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5C0084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309E9DA"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E5D1F2C"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5819FB2"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8D838CC"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A07A861"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2D3428A"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r>
      <w:tr w:rsidRPr="002C76E0" w:rsidR="00510F90" w:rsidTr="000471B8" w14:paraId="1C5B19B8"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40FF9CB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1.1. valsts pamatbudžets, tai skaitā ieņēmumi no maksas pakalpojumiem un citi pašu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92C754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99CA367"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9356222"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002A9A4"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132B2A6"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0FC5B61"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C4A603F"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r>
      <w:tr w:rsidRPr="002C76E0" w:rsidR="00510F90" w:rsidTr="000471B8" w14:paraId="1DC1D20A"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6DF6709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24A85B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FF9435B" w14:textId="77777777">
            <w:pPr>
              <w:ind w:firstLine="0"/>
              <w:rPr>
                <w:rFonts w:eastAsia="Times New Roman" w:cs="Times New Roman"/>
                <w:iCs/>
                <w:sz w:val="24"/>
                <w:szCs w:val="24"/>
                <w:lang w:eastAsia="lv-LV"/>
              </w:rPr>
            </w:pPr>
            <w:r>
              <w:rPr>
                <w:rFonts w:eastAsia="Times New Roman" w:cs="Times New Roman"/>
                <w:iCs/>
                <w:sz w:val="24"/>
                <w:szCs w:val="24"/>
                <w:lang w:eastAsia="lv-LV"/>
              </w:rPr>
              <w:t>0</w:t>
            </w:r>
            <w:r w:rsidRPr="002C76E0">
              <w:rPr>
                <w:rFonts w:eastAsia="Times New Roman" w:cs="Times New Roman"/>
                <w:iCs/>
                <w:sz w:val="24"/>
                <w:szCs w:val="24"/>
                <w:lang w:eastAsia="lv-LV"/>
              </w:rPr>
              <w:t> </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899CD8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F6E9B3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14591C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4F56DD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684551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09D24BFF"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2FA38C52"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04AF29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6496BA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9B4265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F2E7E76"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5B665F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1715F5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563341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5FF32472"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63BA2FD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 Budžeta izdevumi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8CAC39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5BD77CE"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0A9E37E"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0892175"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7D54053"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B117A2E"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889223C"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r>
      <w:tr w:rsidRPr="002C76E0" w:rsidR="00510F90" w:rsidTr="000471B8" w14:paraId="741B9CF6"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0DCA22A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EA0101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D966818"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E2458D5"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3709D73"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25515DA"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5341435"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9F7D7B9" w14:textId="77777777">
            <w:pPr>
              <w:ind w:firstLine="0"/>
              <w:rPr>
                <w:rFonts w:eastAsia="Times New Roman" w:cs="Times New Roman"/>
                <w:iCs/>
                <w:sz w:val="20"/>
                <w:szCs w:val="20"/>
                <w:lang w:eastAsia="lv-LV"/>
              </w:rPr>
            </w:pPr>
            <w:r w:rsidRPr="002C76E0">
              <w:rPr>
                <w:rFonts w:eastAsia="Times New Roman" w:cs="Times New Roman"/>
                <w:iCs/>
                <w:sz w:val="20"/>
                <w:szCs w:val="20"/>
                <w:lang w:eastAsia="lv-LV"/>
              </w:rPr>
              <w:t> Nav aprēķināms</w:t>
            </w:r>
          </w:p>
        </w:tc>
      </w:tr>
      <w:tr w:rsidRPr="002C76E0" w:rsidR="00510F90" w:rsidTr="000471B8" w14:paraId="24E06DBB"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6261718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F4CC16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EA3535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AC13E2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279EFD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AF352F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3C1ABB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7E6308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2FF3DB09"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0DE6BB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FD7EC1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989955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E33C44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2FD100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15C1C7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5BD68E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E6E7E66" w14:textId="77777777">
            <w:pPr>
              <w:ind w:firstLine="0"/>
              <w:rPr>
                <w:rFonts w:eastAsia="Times New Roman" w:cs="Times New Roman"/>
                <w:iCs/>
                <w:sz w:val="24"/>
                <w:szCs w:val="24"/>
                <w:lang w:eastAsia="lv-LV"/>
              </w:rPr>
            </w:pPr>
            <w:r>
              <w:rPr>
                <w:rFonts w:eastAsia="Times New Roman" w:cs="Times New Roman"/>
                <w:iCs/>
                <w:sz w:val="24"/>
                <w:szCs w:val="24"/>
                <w:lang w:eastAsia="lv-LV"/>
              </w:rPr>
              <w:t>0</w:t>
            </w:r>
            <w:r w:rsidRPr="002C76E0">
              <w:rPr>
                <w:rFonts w:eastAsia="Times New Roman" w:cs="Times New Roman"/>
                <w:iCs/>
                <w:sz w:val="24"/>
                <w:szCs w:val="24"/>
                <w:lang w:eastAsia="lv-LV"/>
              </w:rPr>
              <w:t> </w:t>
            </w:r>
          </w:p>
        </w:tc>
      </w:tr>
      <w:tr w:rsidRPr="002C76E0" w:rsidR="00510F90" w:rsidTr="000471B8" w14:paraId="2B3F40B1"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3926A2C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 Finansiālā ietekme</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A3FF3E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27CBA9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60DF16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FF2635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0D8FA0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EFCFC6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A6C63D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02428A59"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34A19D72"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721DB6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8EAF91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962350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7983EC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6AE3DB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581E63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3691B2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17AC8506"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4DC2252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3.2.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C17A16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1970C2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AB964E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560784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0F3733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697F7F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F11C48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303A1E41"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077E9E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355420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8D1AFE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F54EED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85C102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EE4F57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0A9F11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29383F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72D4362E"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40A76BB2"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lastRenderedPageBreak/>
              <w:t>4. Finanšu līdzekļi papildu izdevumu finansēšanai (kompensējošu izdevumu samazinājumu norāda ar "+" zīmi)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1DB5B76"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750A8DE" w14:textId="77777777">
            <w:pPr>
              <w:ind w:firstLine="0"/>
              <w:jc w:val="center"/>
              <w:rPr>
                <w:rFonts w:eastAsia="Times New Roman" w:cs="Times New Roman"/>
                <w:iCs/>
                <w:sz w:val="24"/>
                <w:szCs w:val="24"/>
                <w:lang w:eastAsia="lv-LV"/>
              </w:rPr>
            </w:pP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C6B0ED0"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22403F2" w14:textId="77777777">
            <w:pPr>
              <w:ind w:firstLine="0"/>
              <w:jc w:val="center"/>
              <w:rPr>
                <w:rFonts w:eastAsia="Times New Roman" w:cs="Times New Roman"/>
                <w:iCs/>
                <w:sz w:val="24"/>
                <w:szCs w:val="24"/>
                <w:lang w:eastAsia="lv-LV"/>
              </w:rPr>
            </w:pPr>
            <w:r>
              <w:rPr>
                <w:rFonts w:eastAsia="Times New Roman" w:cs="Times New Roman"/>
                <w:iCs/>
                <w:sz w:val="24"/>
                <w:szCs w:val="24"/>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AB85891"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D2AA40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7E40D0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7309CA76"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22F79D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 Precizēta finansiālā ietekme</w:t>
            </w:r>
          </w:p>
        </w:tc>
        <w:tc>
          <w:tcPr>
            <w:tcW w:w="514"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2624C7B" w14:textId="77777777">
            <w:pPr>
              <w:ind w:firstLine="0"/>
              <w:jc w:val="center"/>
              <w:rPr>
                <w:rFonts w:eastAsia="Times New Roman" w:cs="Times New Roman"/>
                <w:iCs/>
                <w:sz w:val="24"/>
                <w:szCs w:val="24"/>
                <w:lang w:eastAsia="lv-LV"/>
              </w:rPr>
            </w:pPr>
          </w:p>
          <w:p w:rsidRPr="002C76E0" w:rsidR="00510F90" w:rsidP="000471B8" w:rsidRDefault="00510F90" w14:paraId="101CCB93" w14:textId="77777777">
            <w:pPr>
              <w:ind w:firstLine="0"/>
              <w:jc w:val="center"/>
              <w:rPr>
                <w:rFonts w:eastAsia="Times New Roman" w:cs="Times New Roman"/>
                <w:iCs/>
                <w:sz w:val="24"/>
                <w:szCs w:val="24"/>
                <w:lang w:eastAsia="lv-LV"/>
              </w:rPr>
            </w:pPr>
          </w:p>
          <w:p w:rsidRPr="002C76E0" w:rsidR="00510F90" w:rsidP="000471B8" w:rsidRDefault="00510F90" w14:paraId="3BBA856C" w14:textId="77777777">
            <w:pPr>
              <w:ind w:firstLine="0"/>
              <w:jc w:val="center"/>
              <w:rPr>
                <w:rFonts w:eastAsia="Times New Roman" w:cs="Times New Roman"/>
                <w:iCs/>
                <w:sz w:val="24"/>
                <w:szCs w:val="24"/>
                <w:lang w:eastAsia="lv-LV"/>
              </w:rPr>
            </w:pPr>
          </w:p>
          <w:p w:rsidRPr="002C76E0" w:rsidR="00510F90" w:rsidP="000471B8" w:rsidRDefault="00510F90" w14:paraId="7D9D417E" w14:textId="77777777">
            <w:pPr>
              <w:ind w:firstLine="0"/>
              <w:jc w:val="center"/>
              <w:rPr>
                <w:rFonts w:eastAsia="Times New Roman" w:cs="Times New Roman"/>
                <w:iCs/>
                <w:sz w:val="24"/>
                <w:szCs w:val="24"/>
                <w:lang w:eastAsia="lv-LV"/>
              </w:rPr>
            </w:pPr>
          </w:p>
          <w:p w:rsidRPr="002C76E0" w:rsidR="00510F90" w:rsidP="000471B8" w:rsidRDefault="00510F90" w14:paraId="14E686FF" w14:textId="77777777">
            <w:pPr>
              <w:ind w:firstLine="0"/>
              <w:jc w:val="center"/>
              <w:rPr>
                <w:rFonts w:eastAsia="Times New Roman" w:cs="Times New Roman"/>
                <w:iCs/>
                <w:sz w:val="24"/>
                <w:szCs w:val="24"/>
                <w:lang w:eastAsia="lv-LV"/>
              </w:rPr>
            </w:pPr>
          </w:p>
          <w:p w:rsidRPr="002C76E0" w:rsidR="00510F90" w:rsidP="000471B8" w:rsidRDefault="00510F90" w14:paraId="6AD5A0CD"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086D335" w14:textId="77777777">
            <w:pPr>
              <w:ind w:firstLine="0"/>
              <w:jc w:val="center"/>
              <w:rPr>
                <w:rFonts w:eastAsia="Times New Roman" w:cs="Times New Roman"/>
                <w:iCs/>
                <w:sz w:val="24"/>
                <w:szCs w:val="24"/>
                <w:lang w:eastAsia="lv-LV"/>
              </w:rPr>
            </w:pPr>
            <w:r>
              <w:rPr>
                <w:rFonts w:eastAsia="Times New Roman" w:cs="Times New Roman"/>
                <w:iCs/>
                <w:sz w:val="24"/>
                <w:szCs w:val="24"/>
                <w:lang w:eastAsia="lv-LV"/>
              </w:rPr>
              <w:t>Nav aprēķināms</w:t>
            </w:r>
          </w:p>
        </w:tc>
        <w:tc>
          <w:tcPr>
            <w:tcW w:w="478"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F61601C" w14:textId="77777777">
            <w:pPr>
              <w:ind w:firstLine="0"/>
              <w:jc w:val="center"/>
              <w:rPr>
                <w:rFonts w:eastAsia="Times New Roman" w:cs="Times New Roman"/>
                <w:iCs/>
                <w:sz w:val="24"/>
                <w:szCs w:val="24"/>
                <w:lang w:eastAsia="lv-LV"/>
              </w:rPr>
            </w:pPr>
          </w:p>
          <w:p w:rsidRPr="002C76E0" w:rsidR="00510F90" w:rsidP="000471B8" w:rsidRDefault="00510F90" w14:paraId="05B0F36F" w14:textId="77777777">
            <w:pPr>
              <w:ind w:firstLine="0"/>
              <w:jc w:val="center"/>
              <w:rPr>
                <w:rFonts w:eastAsia="Times New Roman" w:cs="Times New Roman"/>
                <w:iCs/>
                <w:sz w:val="24"/>
                <w:szCs w:val="24"/>
                <w:lang w:eastAsia="lv-LV"/>
              </w:rPr>
            </w:pPr>
          </w:p>
          <w:p w:rsidRPr="002C76E0" w:rsidR="00510F90" w:rsidP="000471B8" w:rsidRDefault="00510F90" w14:paraId="7077941B" w14:textId="77777777">
            <w:pPr>
              <w:ind w:firstLine="0"/>
              <w:jc w:val="center"/>
              <w:rPr>
                <w:rFonts w:eastAsia="Times New Roman" w:cs="Times New Roman"/>
                <w:iCs/>
                <w:sz w:val="24"/>
                <w:szCs w:val="24"/>
                <w:lang w:eastAsia="lv-LV"/>
              </w:rPr>
            </w:pPr>
          </w:p>
          <w:p w:rsidRPr="002C76E0" w:rsidR="00510F90" w:rsidP="000471B8" w:rsidRDefault="00510F90" w14:paraId="3679C526" w14:textId="77777777">
            <w:pPr>
              <w:ind w:firstLine="0"/>
              <w:jc w:val="center"/>
              <w:rPr>
                <w:rFonts w:eastAsia="Times New Roman" w:cs="Times New Roman"/>
                <w:iCs/>
                <w:sz w:val="24"/>
                <w:szCs w:val="24"/>
                <w:lang w:eastAsia="lv-LV"/>
              </w:rPr>
            </w:pPr>
          </w:p>
          <w:p w:rsidRPr="002C76E0" w:rsidR="00510F90" w:rsidP="000471B8" w:rsidRDefault="00510F90" w14:paraId="788D07A9" w14:textId="77777777">
            <w:pPr>
              <w:ind w:firstLine="0"/>
              <w:jc w:val="center"/>
              <w:rPr>
                <w:rFonts w:eastAsia="Times New Roman" w:cs="Times New Roman"/>
                <w:iCs/>
                <w:sz w:val="24"/>
                <w:szCs w:val="24"/>
                <w:lang w:eastAsia="lv-LV"/>
              </w:rPr>
            </w:pPr>
          </w:p>
          <w:p w:rsidRPr="002C76E0" w:rsidR="00510F90" w:rsidP="000471B8" w:rsidRDefault="00510F90" w14:paraId="556BDBD3"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5DD0A31" w14:textId="77777777">
            <w:pPr>
              <w:ind w:firstLine="0"/>
              <w:jc w:val="center"/>
              <w:rPr>
                <w:rFonts w:eastAsia="Times New Roman" w:cs="Times New Roman"/>
                <w:iCs/>
                <w:sz w:val="24"/>
                <w:szCs w:val="24"/>
                <w:lang w:eastAsia="lv-LV"/>
              </w:rPr>
            </w:pPr>
            <w:r>
              <w:rPr>
                <w:rFonts w:eastAsia="Times New Roman" w:cs="Times New Roman"/>
                <w:iCs/>
                <w:sz w:val="24"/>
                <w:szCs w:val="24"/>
                <w:lang w:eastAsia="lv-LV"/>
              </w:rPr>
              <w:t>Nav aprēķināms</w:t>
            </w:r>
          </w:p>
        </w:tc>
        <w:tc>
          <w:tcPr>
            <w:tcW w:w="478"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BDCB9CB" w14:textId="77777777">
            <w:pPr>
              <w:ind w:firstLine="0"/>
              <w:jc w:val="center"/>
              <w:rPr>
                <w:rFonts w:eastAsia="Times New Roman" w:cs="Times New Roman"/>
                <w:iCs/>
                <w:sz w:val="24"/>
                <w:szCs w:val="24"/>
                <w:lang w:eastAsia="lv-LV"/>
              </w:rPr>
            </w:pPr>
          </w:p>
          <w:p w:rsidRPr="002C76E0" w:rsidR="00510F90" w:rsidP="000471B8" w:rsidRDefault="00510F90" w14:paraId="4DD058DE" w14:textId="77777777">
            <w:pPr>
              <w:ind w:firstLine="0"/>
              <w:jc w:val="center"/>
              <w:rPr>
                <w:rFonts w:eastAsia="Times New Roman" w:cs="Times New Roman"/>
                <w:iCs/>
                <w:sz w:val="24"/>
                <w:szCs w:val="24"/>
                <w:lang w:eastAsia="lv-LV"/>
              </w:rPr>
            </w:pPr>
          </w:p>
          <w:p w:rsidRPr="002C76E0" w:rsidR="00510F90" w:rsidP="000471B8" w:rsidRDefault="00510F90" w14:paraId="4CEE185C" w14:textId="77777777">
            <w:pPr>
              <w:ind w:firstLine="0"/>
              <w:jc w:val="center"/>
              <w:rPr>
                <w:rFonts w:eastAsia="Times New Roman" w:cs="Times New Roman"/>
                <w:iCs/>
                <w:sz w:val="24"/>
                <w:szCs w:val="24"/>
                <w:lang w:eastAsia="lv-LV"/>
              </w:rPr>
            </w:pPr>
          </w:p>
          <w:p w:rsidRPr="002C76E0" w:rsidR="00510F90" w:rsidP="000471B8" w:rsidRDefault="00510F90" w14:paraId="652967D9" w14:textId="77777777">
            <w:pPr>
              <w:ind w:firstLine="0"/>
              <w:jc w:val="center"/>
              <w:rPr>
                <w:rFonts w:eastAsia="Times New Roman" w:cs="Times New Roman"/>
                <w:iCs/>
                <w:sz w:val="24"/>
                <w:szCs w:val="24"/>
                <w:lang w:eastAsia="lv-LV"/>
              </w:rPr>
            </w:pPr>
          </w:p>
          <w:p w:rsidRPr="002C76E0" w:rsidR="00510F90" w:rsidP="000471B8" w:rsidRDefault="00510F90" w14:paraId="0081D54A" w14:textId="77777777">
            <w:pPr>
              <w:ind w:firstLine="0"/>
              <w:jc w:val="center"/>
              <w:rPr>
                <w:rFonts w:eastAsia="Times New Roman" w:cs="Times New Roman"/>
                <w:iCs/>
                <w:sz w:val="24"/>
                <w:szCs w:val="24"/>
                <w:lang w:eastAsia="lv-LV"/>
              </w:rPr>
            </w:pPr>
          </w:p>
          <w:p w:rsidRPr="002C76E0" w:rsidR="00510F90" w:rsidP="000471B8" w:rsidRDefault="00510F90" w14:paraId="0FE0291D"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595FDF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63D26E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r>
      <w:tr w:rsidRPr="002C76E0" w:rsidR="00510F90" w:rsidTr="000471B8" w14:paraId="2E51446D"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9A8F9F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289E938" w14:textId="77777777">
            <w:pPr>
              <w:ind w:firstLine="0"/>
              <w:rPr>
                <w:rFonts w:eastAsia="Times New Roman" w:cs="Times New Roman"/>
                <w:iCs/>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FC4F28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199993D" w14:textId="77777777">
            <w:pPr>
              <w:ind w:firstLine="0"/>
              <w:rPr>
                <w:rFonts w:eastAsia="Times New Roman" w:cs="Times New Roman"/>
                <w:iCs/>
                <w:sz w:val="24"/>
                <w:szCs w:val="24"/>
                <w:lang w:eastAsia="lv-LV"/>
              </w:rPr>
            </w:pP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C986B5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E5B9D15"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BA6335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20BEB5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Nav aprēķināms</w:t>
            </w:r>
          </w:p>
        </w:tc>
      </w:tr>
      <w:tr w:rsidRPr="002C76E0" w:rsidR="00510F90" w:rsidTr="000471B8" w14:paraId="4C00BB4A"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7EBAC3D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DF707EF" w14:textId="77777777">
            <w:pPr>
              <w:ind w:firstLine="0"/>
              <w:rPr>
                <w:rFonts w:eastAsia="Times New Roman" w:cs="Times New Roman"/>
                <w:iCs/>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8F841F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706F739" w14:textId="77777777">
            <w:pPr>
              <w:ind w:firstLine="0"/>
              <w:rPr>
                <w:rFonts w:eastAsia="Times New Roman" w:cs="Times New Roman"/>
                <w:iCs/>
                <w:sz w:val="24"/>
                <w:szCs w:val="24"/>
                <w:lang w:eastAsia="lv-LV"/>
              </w:rPr>
            </w:pP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0147076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1CF4792D"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9D97D0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579D638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Pr>
                <w:rFonts w:eastAsia="Times New Roman" w:cs="Times New Roman"/>
                <w:iCs/>
                <w:sz w:val="24"/>
                <w:szCs w:val="24"/>
                <w:lang w:eastAsia="lv-LV"/>
              </w:rPr>
              <w:t>0</w:t>
            </w:r>
          </w:p>
        </w:tc>
      </w:tr>
      <w:tr w:rsidRPr="002C76E0" w:rsidR="00510F90" w:rsidTr="000471B8" w14:paraId="7BA9772A"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31DE00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C280D5D" w14:textId="77777777">
            <w:pPr>
              <w:ind w:firstLine="0"/>
              <w:rPr>
                <w:rFonts w:eastAsia="Times New Roman" w:cs="Times New Roman"/>
                <w:iCs/>
                <w:sz w:val="24"/>
                <w:szCs w:val="24"/>
                <w:lang w:eastAsia="lv-LV"/>
              </w:rPr>
            </w:pPr>
          </w:p>
        </w:tc>
        <w:tc>
          <w:tcPr>
            <w:tcW w:w="567"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79571B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B376306" w14:textId="77777777">
            <w:pPr>
              <w:ind w:firstLine="0"/>
              <w:rPr>
                <w:rFonts w:eastAsia="Times New Roman" w:cs="Times New Roman"/>
                <w:iCs/>
                <w:sz w:val="24"/>
                <w:szCs w:val="24"/>
                <w:lang w:eastAsia="lv-LV"/>
              </w:rPr>
            </w:pPr>
          </w:p>
        </w:tc>
        <w:tc>
          <w:tcPr>
            <w:tcW w:w="566"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6DEC13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AA6FAF9"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22F711C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p>
        </w:tc>
        <w:tc>
          <w:tcPr>
            <w:tcW w:w="658" w:type="pc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7B72BC2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p>
        </w:tc>
      </w:tr>
      <w:tr w:rsidRPr="002C76E0" w:rsidR="00510F90" w:rsidTr="000471B8" w14:paraId="0F9B3963"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2F4D734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3925" w:type="pct"/>
            <w:gridSpan w:val="7"/>
            <w:vMerge w:val="restart"/>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494C4FB9" w14:textId="77777777">
            <w:pPr>
              <w:ind w:firstLine="0"/>
              <w:rPr>
                <w:rFonts w:eastAsia="Times New Roman" w:cs="Times New Roman"/>
                <w:iCs/>
                <w:sz w:val="24"/>
                <w:szCs w:val="24"/>
                <w:lang w:eastAsia="lv-LV"/>
              </w:rPr>
            </w:pPr>
            <w:r>
              <w:rPr>
                <w:rFonts w:eastAsia="Times New Roman" w:cs="Times New Roman"/>
                <w:iCs/>
                <w:sz w:val="24"/>
                <w:szCs w:val="24"/>
                <w:lang w:eastAsia="lv-LV"/>
              </w:rPr>
              <w:t xml:space="preserve"> Nav aprēķināms</w:t>
            </w:r>
          </w:p>
        </w:tc>
      </w:tr>
      <w:tr w:rsidRPr="002C76E0" w:rsidR="00510F90" w:rsidTr="000471B8" w14:paraId="11720792"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0F541E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6BED80C5" w14:textId="77777777">
            <w:pPr>
              <w:ind w:firstLine="0"/>
              <w:rPr>
                <w:rFonts w:eastAsia="Times New Roman" w:cs="Times New Roman"/>
                <w:iCs/>
                <w:sz w:val="24"/>
                <w:szCs w:val="24"/>
                <w:lang w:eastAsia="lv-LV"/>
              </w:rPr>
            </w:pPr>
          </w:p>
        </w:tc>
      </w:tr>
      <w:tr w:rsidRPr="002C76E0" w:rsidR="00510F90" w:rsidTr="000471B8" w14:paraId="7CB62F34"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5E99253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2C76E0" w:rsidR="00510F90" w:rsidP="000471B8" w:rsidRDefault="00510F90" w14:paraId="343552CC" w14:textId="77777777">
            <w:pPr>
              <w:ind w:firstLine="0"/>
              <w:rPr>
                <w:rFonts w:eastAsia="Times New Roman" w:cs="Times New Roman"/>
                <w:iCs/>
                <w:sz w:val="24"/>
                <w:szCs w:val="24"/>
                <w:lang w:eastAsia="lv-LV"/>
              </w:rPr>
            </w:pPr>
          </w:p>
        </w:tc>
      </w:tr>
      <w:tr w:rsidRPr="002C76E0" w:rsidR="00510F90" w:rsidTr="000471B8" w14:paraId="5256EF2C"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743DC896"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7. Amata vietu skaita izmaiņas</w:t>
            </w:r>
          </w:p>
        </w:tc>
        <w:tc>
          <w:tcPr>
            <w:tcW w:w="3925" w:type="pct"/>
            <w:gridSpan w:val="7"/>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01451583" w14:textId="77777777">
            <w:pPr>
              <w:spacing w:after="160" w:line="259" w:lineRule="auto"/>
              <w:ind w:firstLine="0"/>
              <w:rPr>
                <w:rFonts w:eastAsia="Calibri" w:cs="Times New Roman"/>
                <w:sz w:val="24"/>
                <w:szCs w:val="24"/>
              </w:rPr>
            </w:pPr>
            <w:r w:rsidRPr="002C76E0">
              <w:rPr>
                <w:rFonts w:eastAsia="Calibri" w:cs="Times New Roman"/>
                <w:sz w:val="24"/>
                <w:szCs w:val="24"/>
              </w:rPr>
              <w:t>Projekts šo jomu neskar.</w:t>
            </w:r>
          </w:p>
        </w:tc>
      </w:tr>
      <w:tr w:rsidRPr="002C76E0" w:rsidR="00510F90" w:rsidTr="000471B8" w14:paraId="3F41ACB8" w14:textId="77777777">
        <w:trPr>
          <w:tblCellSpacing w:w="15" w:type="dxa"/>
        </w:trPr>
        <w:tc>
          <w:tcPr>
            <w:tcW w:w="1025" w:type="pct"/>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6C2247BF"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8. Cita informācija</w:t>
            </w:r>
          </w:p>
        </w:tc>
        <w:tc>
          <w:tcPr>
            <w:tcW w:w="3925" w:type="pct"/>
            <w:gridSpan w:val="7"/>
            <w:tcBorders>
              <w:top w:val="outset" w:color="auto" w:sz="6" w:space="0"/>
              <w:left w:val="outset" w:color="auto" w:sz="6" w:space="0"/>
              <w:bottom w:val="outset" w:color="auto" w:sz="6" w:space="0"/>
              <w:right w:val="outset" w:color="auto" w:sz="6" w:space="0"/>
            </w:tcBorders>
            <w:hideMark/>
          </w:tcPr>
          <w:p w:rsidRPr="002C76E0" w:rsidR="00510F90" w:rsidP="000471B8" w:rsidRDefault="00510F90" w14:paraId="7A274ABE" w14:textId="77777777">
            <w:pPr>
              <w:spacing w:after="160" w:line="259" w:lineRule="auto"/>
              <w:ind w:firstLine="0"/>
              <w:jc w:val="both"/>
              <w:rPr>
                <w:rFonts w:eastAsia="Calibri" w:cs="Times New Roman"/>
                <w:sz w:val="24"/>
                <w:szCs w:val="24"/>
              </w:rPr>
            </w:pPr>
            <w:r w:rsidRPr="002C76E0">
              <w:rPr>
                <w:rFonts w:eastAsia="Times New Roman" w:cs="Times New Roman"/>
                <w:iCs/>
                <w:sz w:val="24"/>
                <w:szCs w:val="24"/>
                <w:lang w:eastAsia="lv-LV"/>
              </w:rPr>
              <w:t>Likumprojektam precīzi nav aprēķināma ietekme uz valsts pamatbudžetu, pieņemot, ka palielinātos ieņēmumi no</w:t>
            </w:r>
            <w:r>
              <w:rPr>
                <w:rFonts w:eastAsia="Times New Roman" w:cs="Times New Roman"/>
                <w:iCs/>
                <w:sz w:val="24"/>
                <w:szCs w:val="24"/>
                <w:lang w:eastAsia="lv-LV"/>
              </w:rPr>
              <w:t xml:space="preserve"> naudas sodiem</w:t>
            </w:r>
            <w:r w:rsidRPr="002C76E0">
              <w:rPr>
                <w:rFonts w:eastAsia="Times New Roman" w:cs="Times New Roman"/>
                <w:iCs/>
                <w:sz w:val="24"/>
                <w:szCs w:val="24"/>
                <w:lang w:eastAsia="lv-LV"/>
              </w:rPr>
              <w:t xml:space="preserve">, kas iekasēti </w:t>
            </w:r>
            <w:r>
              <w:rPr>
                <w:rFonts w:eastAsia="Times New Roman" w:cs="Times New Roman"/>
                <w:iCs/>
                <w:sz w:val="24"/>
                <w:szCs w:val="24"/>
                <w:lang w:eastAsia="lv-LV"/>
              </w:rPr>
              <w:t xml:space="preserve">par </w:t>
            </w:r>
            <w:r w:rsidRPr="002C76E0">
              <w:rPr>
                <w:rFonts w:eastAsia="Times New Roman" w:cs="Times New Roman"/>
                <w:iCs/>
                <w:sz w:val="24"/>
                <w:szCs w:val="24"/>
                <w:lang w:eastAsia="lv-LV"/>
              </w:rPr>
              <w:t>ceļu satiksm</w:t>
            </w:r>
            <w:r>
              <w:rPr>
                <w:rFonts w:eastAsia="Times New Roman" w:cs="Times New Roman"/>
                <w:iCs/>
                <w:sz w:val="24"/>
                <w:szCs w:val="24"/>
                <w:lang w:eastAsia="lv-LV"/>
              </w:rPr>
              <w:t>es noteikumu pārkāpumiem. Likumprojekts tiks īstenots Satiksmes ministrijas esošo valsts budžeta līdzekļu ietvaros.</w:t>
            </w:r>
          </w:p>
          <w:p w:rsidRPr="002C76E0" w:rsidR="00510F90" w:rsidP="000471B8" w:rsidRDefault="00510F90" w14:paraId="506B4BA4" w14:textId="77777777">
            <w:pPr>
              <w:spacing w:after="160" w:line="259" w:lineRule="auto"/>
              <w:ind w:firstLine="0"/>
              <w:jc w:val="both"/>
              <w:rPr>
                <w:rFonts w:eastAsia="Calibri" w:cs="Times New Roman"/>
                <w:sz w:val="24"/>
                <w:szCs w:val="24"/>
              </w:rPr>
            </w:pPr>
            <w:r w:rsidRPr="002C76E0">
              <w:rPr>
                <w:rFonts w:eastAsia="Calibri" w:cs="Times New Roman"/>
                <w:sz w:val="24"/>
                <w:szCs w:val="24"/>
              </w:rPr>
              <w:lastRenderedPageBreak/>
              <w:t xml:space="preserve"> </w:t>
            </w:r>
          </w:p>
        </w:tc>
      </w:tr>
    </w:tbl>
    <w:p w:rsidR="002D1699" w:rsidP="002D1699" w:rsidRDefault="002D1699" w14:paraId="24583326" w14:textId="3C761C7D">
      <w:pPr>
        <w:ind w:firstLine="0"/>
        <w:rPr>
          <w:rFonts w:cs="Times New Roman"/>
          <w:sz w:val="24"/>
          <w:szCs w:val="24"/>
        </w:rPr>
      </w:pPr>
    </w:p>
    <w:p w:rsidRPr="00BF5673" w:rsidR="00BC4676" w:rsidP="002D1699" w:rsidRDefault="00BC4676" w14:paraId="1A2FB45D" w14:textId="77777777">
      <w:pPr>
        <w:ind w:firstLine="0"/>
        <w:rPr>
          <w:rFonts w:cs="Times New Roman"/>
          <w:sz w:val="24"/>
          <w:szCs w:val="24"/>
        </w:rPr>
      </w:pPr>
    </w:p>
    <w:tbl>
      <w:tblPr>
        <w:tblW w:w="5062" w:type="pct"/>
        <w:tblCellSpacing w:w="20" w:type="dxa"/>
        <w:tblBorders>
          <w:top w:val="outset" w:color="auto" w:sz="6" w:space="0"/>
          <w:left w:val="outset" w:color="auto" w:sz="6" w:space="0"/>
          <w:bottom w:val="inset" w:color="auto" w:sz="6" w:space="0"/>
          <w:right w:val="inset" w:color="auto" w:sz="6" w:space="0"/>
        </w:tblBorders>
        <w:tblCellMar>
          <w:top w:w="30" w:type="dxa"/>
          <w:left w:w="30" w:type="dxa"/>
          <w:bottom w:w="30" w:type="dxa"/>
          <w:right w:w="30" w:type="dxa"/>
        </w:tblCellMar>
        <w:tblLook w:val="04A0" w:firstRow="1" w:lastRow="0" w:firstColumn="1" w:lastColumn="0" w:noHBand="0" w:noVBand="1"/>
      </w:tblPr>
      <w:tblGrid>
        <w:gridCol w:w="2462"/>
        <w:gridCol w:w="6524"/>
        <w:gridCol w:w="181"/>
      </w:tblGrid>
      <w:tr w:rsidRPr="00BF5673" w:rsidR="00BF5673" w:rsidTr="00BF5673" w14:paraId="22898C95" w14:textId="77777777">
        <w:trPr>
          <w:tblCellSpacing w:w="20" w:type="dxa"/>
        </w:trPr>
        <w:tc>
          <w:tcPr>
            <w:tcW w:w="4956" w:type="pct"/>
            <w:gridSpan w:val="3"/>
            <w:vAlign w:val="center"/>
          </w:tcPr>
          <w:p w:rsidRPr="00BF5673" w:rsidR="00BF5673" w:rsidP="00BF5673" w:rsidRDefault="00BF5673" w14:paraId="18F8F988" w14:textId="77777777">
            <w:pPr>
              <w:spacing w:after="120"/>
              <w:ind w:firstLine="0"/>
              <w:jc w:val="center"/>
              <w:rPr>
                <w:rFonts w:eastAsia="Times New Roman" w:cs="Times New Roman"/>
                <w:b/>
                <w:bCs/>
                <w:sz w:val="24"/>
                <w:szCs w:val="24"/>
                <w:lang w:eastAsia="lv-LV"/>
              </w:rPr>
            </w:pPr>
            <w:r w:rsidRPr="00BF5673">
              <w:rPr>
                <w:rFonts w:eastAsia="Times New Roman" w:cs="Times New Roman"/>
                <w:b/>
                <w:bCs/>
                <w:sz w:val="24"/>
                <w:szCs w:val="24"/>
                <w:lang w:eastAsia="lv-LV"/>
              </w:rPr>
              <w:t>IV. Tiesību akta projekta ietekme uz spēkā esošo tiesību normu sistēmu</w:t>
            </w:r>
          </w:p>
        </w:tc>
      </w:tr>
      <w:tr w:rsidRPr="00BF5673" w:rsidR="00BF5673" w:rsidTr="00BF5673" w14:paraId="2A96C451" w14:textId="77777777">
        <w:trPr>
          <w:gridAfter w:val="1"/>
          <w:wAfter w:w="23" w:type="pct"/>
          <w:tblCellSpacing w:w="20" w:type="dxa"/>
        </w:trPr>
        <w:tc>
          <w:tcPr>
            <w:tcW w:w="1322"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11E2F01F" w14:textId="42B4251C">
            <w:pPr>
              <w:ind w:right="238" w:firstLine="0"/>
              <w:jc w:val="both"/>
              <w:rPr>
                <w:rFonts w:eastAsia="Times New Roman" w:cs="Times New Roman"/>
                <w:sz w:val="24"/>
                <w:szCs w:val="24"/>
                <w:lang w:eastAsia="lv-LV"/>
              </w:rPr>
            </w:pPr>
            <w:r w:rsidRPr="00BF5673">
              <w:rPr>
                <w:rFonts w:eastAsia="Times New Roman" w:cs="Times New Roman"/>
                <w:sz w:val="24"/>
                <w:szCs w:val="24"/>
                <w:lang w:eastAsia="lv-LV"/>
              </w:rPr>
              <w:t>Saistītie tiesību aktu projekti</w:t>
            </w:r>
          </w:p>
        </w:tc>
        <w:tc>
          <w:tcPr>
            <w:tcW w:w="3568"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4A228D62" w14:textId="3EA1A5AE">
            <w:pPr>
              <w:spacing w:before="100" w:beforeAutospacing="1" w:after="100" w:afterAutospacing="1"/>
              <w:ind w:firstLine="0"/>
              <w:jc w:val="both"/>
              <w:rPr>
                <w:rFonts w:eastAsia="Times New Roman" w:cs="Times New Roman"/>
                <w:bCs/>
                <w:sz w:val="24"/>
                <w:szCs w:val="24"/>
                <w:lang w:eastAsia="lv-LV"/>
              </w:rPr>
            </w:pPr>
            <w:r w:rsidRPr="00BF5673">
              <w:rPr>
                <w:rFonts w:eastAsia="Times New Roman" w:cs="Times New Roman"/>
                <w:bCs/>
                <w:sz w:val="24"/>
                <w:szCs w:val="24"/>
                <w:lang w:eastAsia="lv-LV"/>
              </w:rPr>
              <w:t>Ievērojot to, ka uz C</w:t>
            </w:r>
            <w:r w:rsidR="005D06AD">
              <w:rPr>
                <w:rFonts w:eastAsia="Times New Roman" w:cs="Times New Roman"/>
                <w:bCs/>
                <w:sz w:val="24"/>
                <w:szCs w:val="24"/>
                <w:lang w:eastAsia="lv-LV"/>
              </w:rPr>
              <w:t>eļu satiksmes likuma</w:t>
            </w:r>
            <w:r w:rsidRPr="00BF5673">
              <w:rPr>
                <w:rFonts w:eastAsia="Times New Roman" w:cs="Times New Roman"/>
                <w:bCs/>
                <w:sz w:val="24"/>
                <w:szCs w:val="24"/>
                <w:lang w:eastAsia="lv-LV"/>
              </w:rPr>
              <w:t xml:space="preserve"> 43.</w:t>
            </w:r>
            <w:r w:rsidRPr="00BF5673">
              <w:rPr>
                <w:rFonts w:eastAsia="Times New Roman" w:cs="Times New Roman"/>
                <w:bCs/>
                <w:sz w:val="24"/>
                <w:szCs w:val="24"/>
                <w:vertAlign w:val="superscript"/>
                <w:lang w:eastAsia="lv-LV"/>
              </w:rPr>
              <w:t>2</w:t>
            </w:r>
            <w:r w:rsidRPr="00BF5673">
              <w:rPr>
                <w:rFonts w:eastAsia="Times New Roman" w:cs="Times New Roman"/>
                <w:bCs/>
                <w:sz w:val="24"/>
                <w:szCs w:val="24"/>
                <w:lang w:eastAsia="lv-LV"/>
              </w:rPr>
              <w:t> panta septītās daļas pamata ir izdoti Ministru kabineta 2016. gada 21. jūnija noteikumi Nr. 402 "Kārtība, kādā noformē administratīvā pārkāpuma protokolu–lēmumu par transportlīdzekļu apstāšanās un stāvēšanas noteikumu pārkāpumu" un uz C</w:t>
            </w:r>
            <w:r w:rsidR="005D06AD">
              <w:rPr>
                <w:rFonts w:eastAsia="Times New Roman" w:cs="Times New Roman"/>
                <w:bCs/>
                <w:sz w:val="24"/>
                <w:szCs w:val="24"/>
                <w:lang w:eastAsia="lv-LV"/>
              </w:rPr>
              <w:t>eļu satiksmes likuma</w:t>
            </w:r>
            <w:r w:rsidRPr="00BF5673">
              <w:rPr>
                <w:rFonts w:eastAsia="Times New Roman" w:cs="Times New Roman"/>
                <w:bCs/>
                <w:sz w:val="24"/>
                <w:szCs w:val="24"/>
                <w:lang w:eastAsia="lv-LV"/>
              </w:rPr>
              <w:t xml:space="preserve"> 43.</w:t>
            </w:r>
            <w:r w:rsidRPr="00BF5673">
              <w:rPr>
                <w:rFonts w:eastAsia="Times New Roman" w:cs="Times New Roman"/>
                <w:bCs/>
                <w:sz w:val="24"/>
                <w:szCs w:val="24"/>
                <w:vertAlign w:val="superscript"/>
                <w:lang w:eastAsia="lv-LV"/>
              </w:rPr>
              <w:t>6</w:t>
            </w:r>
            <w:r w:rsidRPr="00BF5673">
              <w:rPr>
                <w:rFonts w:eastAsia="Times New Roman" w:cs="Times New Roman"/>
                <w:bCs/>
                <w:sz w:val="24"/>
                <w:szCs w:val="24"/>
                <w:lang w:eastAsia="lv-LV"/>
              </w:rPr>
              <w:t> panta pirmās daļas pamata izdoti Ministru kabineta 2014. gada 15. aprīļa noteikumi Nr. 200 "Tehnisko līdzekļu (</w:t>
            </w:r>
            <w:proofErr w:type="spellStart"/>
            <w:r w:rsidRPr="00BF5673">
              <w:rPr>
                <w:rFonts w:eastAsia="Times New Roman" w:cs="Times New Roman"/>
                <w:bCs/>
                <w:sz w:val="24"/>
                <w:szCs w:val="24"/>
                <w:lang w:eastAsia="lv-LV"/>
              </w:rPr>
              <w:t>fotoiekārtu</w:t>
            </w:r>
            <w:proofErr w:type="spellEnd"/>
            <w:r w:rsidRPr="00BF5673">
              <w:rPr>
                <w:rFonts w:eastAsia="Times New Roman" w:cs="Times New Roman"/>
                <w:bCs/>
                <w:sz w:val="24"/>
                <w:szCs w:val="24"/>
                <w:lang w:eastAsia="lv-LV"/>
              </w:rPr>
              <w:t xml:space="preserve"> vai videoiekārtu) izmantošanas kārtība", būs nepieciešams izdot jaunus noteikumus</w:t>
            </w:r>
            <w:r w:rsidR="002C28D2">
              <w:rPr>
                <w:rFonts w:eastAsia="Times New Roman" w:cs="Times New Roman"/>
                <w:bCs/>
                <w:sz w:val="24"/>
                <w:szCs w:val="24"/>
                <w:lang w:eastAsia="lv-LV"/>
              </w:rPr>
              <w:t>,</w:t>
            </w:r>
            <w:r w:rsidRPr="00BF5673">
              <w:rPr>
                <w:rFonts w:eastAsia="Times New Roman" w:cs="Times New Roman"/>
                <w:bCs/>
                <w:sz w:val="24"/>
                <w:szCs w:val="24"/>
                <w:lang w:eastAsia="lv-LV"/>
              </w:rPr>
              <w:t xml:space="preserve"> pamatojoties uz Administratīvās atbildības likumu. </w:t>
            </w:r>
          </w:p>
        </w:tc>
      </w:tr>
      <w:tr w:rsidRPr="00BF5673" w:rsidR="00BF5673" w:rsidTr="00BF5673" w14:paraId="549E2506" w14:textId="77777777">
        <w:trPr>
          <w:gridAfter w:val="1"/>
          <w:wAfter w:w="23" w:type="pct"/>
          <w:tblCellSpacing w:w="20" w:type="dxa"/>
        </w:trPr>
        <w:tc>
          <w:tcPr>
            <w:tcW w:w="1322"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74F6177D" w14:textId="77777777">
            <w:pPr>
              <w:ind w:firstLine="0"/>
              <w:rPr>
                <w:rFonts w:eastAsia="Times New Roman" w:cs="Times New Roman"/>
                <w:sz w:val="24"/>
                <w:szCs w:val="24"/>
                <w:lang w:eastAsia="lv-LV"/>
              </w:rPr>
            </w:pPr>
            <w:r w:rsidRPr="00BF5673">
              <w:rPr>
                <w:rFonts w:eastAsia="Calibri" w:cs="Times New Roman"/>
                <w:sz w:val="24"/>
                <w:szCs w:val="24"/>
                <w:shd w:val="clear" w:color="auto" w:fill="FFFFFF"/>
              </w:rPr>
              <w:t>Atbildīgā institūcija</w:t>
            </w:r>
          </w:p>
        </w:tc>
        <w:tc>
          <w:tcPr>
            <w:tcW w:w="3568"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1FEFFBDE" w14:textId="77777777">
            <w:pPr>
              <w:spacing w:after="120"/>
              <w:ind w:firstLine="0"/>
              <w:jc w:val="both"/>
              <w:rPr>
                <w:rFonts w:eastAsia="Times New Roman" w:cs="Times New Roman"/>
                <w:sz w:val="24"/>
                <w:szCs w:val="24"/>
                <w:lang w:eastAsia="lv-LV"/>
              </w:rPr>
            </w:pPr>
            <w:r w:rsidRPr="00BF5673">
              <w:rPr>
                <w:rFonts w:eastAsia="Times New Roman" w:cs="Times New Roman"/>
                <w:sz w:val="24"/>
                <w:szCs w:val="24"/>
                <w:lang w:eastAsia="lv-LV"/>
              </w:rPr>
              <w:t>Satiksmes ministrija.</w:t>
            </w:r>
          </w:p>
        </w:tc>
      </w:tr>
      <w:tr w:rsidRPr="00BF5673" w:rsidR="00BF5673" w:rsidTr="00BF5673" w14:paraId="6EDC398C" w14:textId="77777777">
        <w:trPr>
          <w:gridAfter w:val="1"/>
          <w:wAfter w:w="23" w:type="pct"/>
          <w:tblCellSpacing w:w="20" w:type="dxa"/>
        </w:trPr>
        <w:tc>
          <w:tcPr>
            <w:tcW w:w="1322"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51FF4BEB" w14:textId="77777777">
            <w:pPr>
              <w:spacing w:after="120"/>
              <w:ind w:firstLine="0"/>
              <w:rPr>
                <w:rFonts w:eastAsia="Times New Roman" w:cs="Times New Roman"/>
                <w:sz w:val="24"/>
                <w:szCs w:val="24"/>
                <w:lang w:eastAsia="lv-LV"/>
              </w:rPr>
            </w:pPr>
            <w:r w:rsidRPr="00BF5673">
              <w:rPr>
                <w:rFonts w:eastAsia="Times New Roman" w:cs="Times New Roman"/>
                <w:sz w:val="24"/>
                <w:szCs w:val="24"/>
                <w:lang w:eastAsia="lv-LV"/>
              </w:rPr>
              <w:t>Cita informācija</w:t>
            </w:r>
          </w:p>
        </w:tc>
        <w:tc>
          <w:tcPr>
            <w:tcW w:w="3568" w:type="pct"/>
            <w:tcBorders>
              <w:top w:val="outset" w:color="auto" w:sz="6" w:space="0"/>
              <w:left w:val="outset" w:color="auto" w:sz="6" w:space="0"/>
              <w:bottom w:val="outset" w:color="auto" w:sz="6" w:space="0"/>
              <w:right w:val="outset" w:color="auto" w:sz="6" w:space="0"/>
            </w:tcBorders>
          </w:tcPr>
          <w:p w:rsidRPr="00BF5673" w:rsidR="00BF5673" w:rsidP="00BF5673" w:rsidRDefault="00BF5673" w14:paraId="4A10500F" w14:textId="77777777">
            <w:pPr>
              <w:spacing w:after="120"/>
              <w:ind w:firstLine="0"/>
              <w:rPr>
                <w:rFonts w:eastAsia="Times New Roman" w:cs="Times New Roman"/>
                <w:sz w:val="24"/>
                <w:szCs w:val="24"/>
                <w:lang w:eastAsia="lv-LV"/>
              </w:rPr>
            </w:pPr>
            <w:r w:rsidRPr="00BF5673">
              <w:rPr>
                <w:rFonts w:eastAsia="Times New Roman" w:cs="Times New Roman"/>
                <w:sz w:val="24"/>
                <w:szCs w:val="24"/>
                <w:lang w:eastAsia="lv-LV"/>
              </w:rPr>
              <w:t>Nav</w:t>
            </w:r>
          </w:p>
        </w:tc>
      </w:tr>
    </w:tbl>
    <w:p w:rsidRPr="00BF5673" w:rsidR="00645140" w:rsidP="002D1699" w:rsidRDefault="00645140" w14:paraId="076B9913" w14:textId="37691E78">
      <w:pPr>
        <w:ind w:firstLine="0"/>
        <w:rPr>
          <w:rFonts w:cs="Times New Roman"/>
          <w:sz w:val="24"/>
          <w:szCs w:val="24"/>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467"/>
        <w:gridCol w:w="1231"/>
        <w:gridCol w:w="1312"/>
        <w:gridCol w:w="353"/>
        <w:gridCol w:w="1390"/>
        <w:gridCol w:w="4302"/>
      </w:tblGrid>
      <w:tr w:rsidRPr="00BF5673" w:rsidR="007F2634" w:rsidTr="005D06AD" w14:paraId="26976ECB" w14:textId="77777777">
        <w:trPr>
          <w:trHeight w:val="360"/>
          <w:tblCellSpacing w:w="20" w:type="dxa"/>
        </w:trPr>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hideMark/>
          </w:tcPr>
          <w:p w:rsidRPr="00BF5673" w:rsidR="007F2634" w:rsidP="005D06AD" w:rsidRDefault="007F2634" w14:paraId="378FE6D6"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BF5673">
              <w:rPr>
                <w:rFonts w:eastAsia="Times New Roman" w:cs="Times New Roman"/>
                <w:b/>
                <w:bCs/>
                <w:iCs/>
                <w:color w:val="000000" w:themeColor="text1"/>
                <w:sz w:val="24"/>
                <w:szCs w:val="24"/>
                <w:lang w:eastAsia="lv-LV"/>
              </w:rPr>
              <w:t>V. Tiesību akta projekta atbilstība Latvijas Republikas starptautiskajām saistībām</w:t>
            </w:r>
          </w:p>
        </w:tc>
      </w:tr>
      <w:tr w:rsidRPr="00BF5673" w:rsidR="007F2634" w:rsidTr="00BF5673" w14:paraId="4E905F35" w14:textId="77777777">
        <w:tblPrEx>
          <w:tblCellSpacing w:w="15" w:type="dxa"/>
          <w:tblBorders>
            <w:insideH w:val="none" w:color="auto" w:sz="0" w:space="0"/>
            <w:insideV w:val="none" w:color="auto" w:sz="0" w:space="0"/>
          </w:tblBorders>
          <w:shd w:val="clear" w:color="auto" w:fill="auto"/>
        </w:tblPrEx>
        <w:trPr>
          <w:tblCellSpacing w:w="15" w:type="dxa"/>
        </w:trPr>
        <w:tc>
          <w:tcPr>
            <w:tcW w:w="230" w:type="pct"/>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1A822D6D" w14:textId="77777777">
            <w:pPr>
              <w:ind w:firstLine="0"/>
              <w:rPr>
                <w:rFonts w:cs="Times New Roman"/>
                <w:sz w:val="24"/>
                <w:szCs w:val="24"/>
              </w:rPr>
            </w:pPr>
            <w:r w:rsidRPr="00BF5673">
              <w:rPr>
                <w:rFonts w:cs="Times New Roman"/>
                <w:sz w:val="24"/>
                <w:szCs w:val="24"/>
              </w:rPr>
              <w:t>1.</w:t>
            </w:r>
          </w:p>
        </w:tc>
        <w:tc>
          <w:tcPr>
            <w:tcW w:w="139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0F15739C" w14:textId="77777777">
            <w:pPr>
              <w:ind w:firstLine="0"/>
              <w:rPr>
                <w:rFonts w:cs="Times New Roman"/>
                <w:sz w:val="24"/>
                <w:szCs w:val="24"/>
              </w:rPr>
            </w:pPr>
            <w:r w:rsidRPr="00BF5673">
              <w:rPr>
                <w:rFonts w:cs="Times New Roman"/>
                <w:sz w:val="24"/>
                <w:szCs w:val="24"/>
              </w:rPr>
              <w:t>Saistības pret Eiropas Savienību</w:t>
            </w:r>
          </w:p>
        </w:tc>
        <w:tc>
          <w:tcPr>
            <w:tcW w:w="3288" w:type="pct"/>
            <w:gridSpan w:val="3"/>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4500E650" w14:textId="77777777">
            <w:pPr>
              <w:ind w:firstLine="0"/>
              <w:jc w:val="both"/>
              <w:rPr>
                <w:rFonts w:cs="Times New Roman"/>
                <w:sz w:val="24"/>
                <w:szCs w:val="24"/>
              </w:rPr>
            </w:pPr>
            <w:r w:rsidRPr="00BF5673">
              <w:rPr>
                <w:rFonts w:cs="Times New Roman"/>
                <w:bCs/>
                <w:sz w:val="24"/>
                <w:szCs w:val="24"/>
              </w:rPr>
              <w:t>Komisijas 2016.gada 18.marta regula (ES) 2016/403, 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p>
        </w:tc>
      </w:tr>
      <w:tr w:rsidRPr="00BF5673" w:rsidR="007F2634" w:rsidTr="00BF5673" w14:paraId="1D6FB03F" w14:textId="77777777">
        <w:tblPrEx>
          <w:tblCellSpacing w:w="15" w:type="dxa"/>
          <w:tblBorders>
            <w:insideH w:val="none" w:color="auto" w:sz="0" w:space="0"/>
            <w:insideV w:val="none" w:color="auto" w:sz="0" w:space="0"/>
          </w:tblBorders>
          <w:shd w:val="clear" w:color="auto" w:fill="auto"/>
        </w:tblPrEx>
        <w:trPr>
          <w:tblCellSpacing w:w="15" w:type="dxa"/>
        </w:trPr>
        <w:tc>
          <w:tcPr>
            <w:tcW w:w="230" w:type="pct"/>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13A14D6C" w14:textId="77777777">
            <w:pPr>
              <w:ind w:firstLine="0"/>
              <w:rPr>
                <w:rFonts w:cs="Times New Roman"/>
                <w:sz w:val="24"/>
                <w:szCs w:val="24"/>
              </w:rPr>
            </w:pPr>
            <w:r w:rsidRPr="00BF5673">
              <w:rPr>
                <w:rFonts w:cs="Times New Roman"/>
                <w:sz w:val="24"/>
                <w:szCs w:val="24"/>
              </w:rPr>
              <w:t>2.</w:t>
            </w:r>
          </w:p>
        </w:tc>
        <w:tc>
          <w:tcPr>
            <w:tcW w:w="139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E23E18E" w14:textId="77777777">
            <w:pPr>
              <w:ind w:firstLine="0"/>
              <w:rPr>
                <w:rFonts w:cs="Times New Roman"/>
                <w:sz w:val="24"/>
                <w:szCs w:val="24"/>
              </w:rPr>
            </w:pPr>
            <w:r w:rsidRPr="00BF5673">
              <w:rPr>
                <w:rFonts w:cs="Times New Roman"/>
                <w:sz w:val="24"/>
                <w:szCs w:val="24"/>
              </w:rPr>
              <w:t>Citas starptautiskās saistības</w:t>
            </w:r>
          </w:p>
        </w:tc>
        <w:tc>
          <w:tcPr>
            <w:tcW w:w="3288" w:type="pct"/>
            <w:gridSpan w:val="3"/>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3190DCB4" w14:textId="77777777">
            <w:pPr>
              <w:ind w:firstLine="0"/>
              <w:rPr>
                <w:rFonts w:cs="Times New Roman"/>
                <w:sz w:val="24"/>
                <w:szCs w:val="24"/>
              </w:rPr>
            </w:pPr>
            <w:r w:rsidRPr="00BF5673">
              <w:rPr>
                <w:rFonts w:cs="Times New Roman"/>
                <w:sz w:val="24"/>
                <w:szCs w:val="24"/>
              </w:rPr>
              <w:t>Projekts šo jomu neskar.</w:t>
            </w:r>
          </w:p>
        </w:tc>
      </w:tr>
      <w:tr w:rsidRPr="00BF5673" w:rsidR="007F2634" w:rsidTr="00BF5673" w14:paraId="7DB7E910" w14:textId="77777777">
        <w:tblPrEx>
          <w:tblCellSpacing w:w="15" w:type="dxa"/>
          <w:tblBorders>
            <w:insideH w:val="none" w:color="auto" w:sz="0" w:space="0"/>
            <w:insideV w:val="none" w:color="auto" w:sz="0" w:space="0"/>
          </w:tblBorders>
          <w:shd w:val="clear" w:color="auto" w:fill="auto"/>
        </w:tblPrEx>
        <w:trPr>
          <w:tblCellSpacing w:w="15" w:type="dxa"/>
        </w:trPr>
        <w:tc>
          <w:tcPr>
            <w:tcW w:w="230" w:type="pct"/>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60C925F8" w14:textId="77777777">
            <w:pPr>
              <w:ind w:firstLine="0"/>
              <w:rPr>
                <w:rFonts w:cs="Times New Roman"/>
                <w:sz w:val="24"/>
                <w:szCs w:val="24"/>
              </w:rPr>
            </w:pPr>
            <w:r w:rsidRPr="00BF5673">
              <w:rPr>
                <w:rFonts w:cs="Times New Roman"/>
                <w:sz w:val="24"/>
                <w:szCs w:val="24"/>
              </w:rPr>
              <w:t>3.</w:t>
            </w:r>
          </w:p>
        </w:tc>
        <w:tc>
          <w:tcPr>
            <w:tcW w:w="139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1FC28711" w14:textId="77777777">
            <w:pPr>
              <w:ind w:firstLine="0"/>
              <w:rPr>
                <w:rFonts w:cs="Times New Roman"/>
                <w:sz w:val="24"/>
                <w:szCs w:val="24"/>
              </w:rPr>
            </w:pPr>
            <w:r w:rsidRPr="00BF5673">
              <w:rPr>
                <w:rFonts w:cs="Times New Roman"/>
                <w:sz w:val="24"/>
                <w:szCs w:val="24"/>
              </w:rPr>
              <w:t>Cita informācija</w:t>
            </w:r>
          </w:p>
        </w:tc>
        <w:tc>
          <w:tcPr>
            <w:tcW w:w="3288" w:type="pct"/>
            <w:gridSpan w:val="3"/>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04C46734" w14:textId="77777777">
            <w:pPr>
              <w:ind w:firstLine="0"/>
              <w:rPr>
                <w:rFonts w:cs="Times New Roman"/>
                <w:sz w:val="24"/>
                <w:szCs w:val="24"/>
              </w:rPr>
            </w:pPr>
            <w:r w:rsidRPr="00BF5673">
              <w:rPr>
                <w:rFonts w:cs="Times New Roman"/>
                <w:sz w:val="24"/>
                <w:szCs w:val="24"/>
              </w:rPr>
              <w:t>Nav.</w:t>
            </w:r>
          </w:p>
        </w:tc>
      </w:tr>
      <w:tr w:rsidRPr="00BF5673" w:rsidR="007F2634" w:rsidTr="005D06AD" w14:paraId="0C8D8645" w14:textId="77777777">
        <w:trPr>
          <w:trHeight w:val="360"/>
          <w:tblCellSpacing w:w="20" w:type="dxa"/>
        </w:trPr>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hideMark/>
          </w:tcPr>
          <w:p w:rsidRPr="00BF5673" w:rsidR="007F2634" w:rsidP="005D06AD" w:rsidRDefault="007F2634" w14:paraId="13750D57"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BF5673">
              <w:rPr>
                <w:rFonts w:eastAsia="Times New Roman" w:cs="Times New Roman"/>
                <w:b/>
                <w:bCs/>
                <w:iCs/>
                <w:color w:val="000000" w:themeColor="text1"/>
                <w:sz w:val="24"/>
                <w:szCs w:val="24"/>
                <w:lang w:eastAsia="lv-LV"/>
              </w:rPr>
              <w:t>1.tabula</w:t>
            </w:r>
            <w:r w:rsidRPr="00BF5673">
              <w:rPr>
                <w:rFonts w:eastAsia="Times New Roman" w:cs="Times New Roman"/>
                <w:b/>
                <w:bCs/>
                <w:iCs/>
                <w:color w:val="000000" w:themeColor="text1"/>
                <w:sz w:val="24"/>
                <w:szCs w:val="24"/>
                <w:lang w:eastAsia="lv-LV"/>
              </w:rPr>
              <w:br/>
              <w:t>Tiesību akta projekta atbilstība ES tiesību aktiem</w:t>
            </w:r>
          </w:p>
        </w:tc>
      </w:tr>
      <w:tr w:rsidRPr="00BF5673" w:rsidR="007F2634" w:rsidTr="00BF5673" w14:paraId="30E39DCF"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C64B95E" w14:textId="77777777">
            <w:pPr>
              <w:ind w:firstLine="0"/>
              <w:rPr>
                <w:rFonts w:cs="Times New Roman"/>
                <w:sz w:val="24"/>
                <w:szCs w:val="24"/>
              </w:rPr>
            </w:pPr>
            <w:r w:rsidRPr="00BF5673">
              <w:rPr>
                <w:rFonts w:cs="Times New Roman"/>
                <w:sz w:val="24"/>
                <w:szCs w:val="24"/>
              </w:rPr>
              <w:t>Attiecīgā ES tiesību akta datums, numurs un nosaukums</w:t>
            </w:r>
          </w:p>
        </w:tc>
        <w:tc>
          <w:tcPr>
            <w:tcW w:w="4029" w:type="pct"/>
            <w:gridSpan w:val="4"/>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F281CBF" w14:textId="77777777">
            <w:pPr>
              <w:ind w:firstLine="0"/>
              <w:jc w:val="both"/>
              <w:rPr>
                <w:rFonts w:cs="Times New Roman"/>
                <w:bCs/>
                <w:sz w:val="24"/>
                <w:szCs w:val="24"/>
              </w:rPr>
            </w:pPr>
            <w:r w:rsidRPr="00BF5673">
              <w:rPr>
                <w:rFonts w:cs="Times New Roman"/>
                <w:bCs/>
                <w:sz w:val="24"/>
                <w:szCs w:val="24"/>
              </w:rPr>
              <w:t>Komisijas 2016.gada 18.marta regula (ES) 2016/403, ar ko papildina Eiropas Parlamenta un Padomes Regulu (EK) Nr.1071/2009 attiecībā uz Savienības noteikumu tādu nopietnu pārkāpumu klasifikāciju, kas var izraisīt autopārvadātāja labas reputācijas zaudēšanu, un ar ko groza Eiropas Parlamenta un Padomes Direktīvas 2006/22/EK III pielikumu.</w:t>
            </w:r>
          </w:p>
        </w:tc>
      </w:tr>
      <w:tr w:rsidRPr="00BF5673" w:rsidR="007F2634" w:rsidTr="00BF5673" w14:paraId="5552A3F6"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vAlign w:val="center"/>
            <w:hideMark/>
          </w:tcPr>
          <w:p w:rsidRPr="00BF5673" w:rsidR="007F2634" w:rsidP="005D06AD" w:rsidRDefault="007F2634" w14:paraId="2729E08C" w14:textId="77777777">
            <w:pPr>
              <w:ind w:firstLine="0"/>
              <w:rPr>
                <w:rFonts w:cs="Times New Roman"/>
                <w:sz w:val="24"/>
                <w:szCs w:val="24"/>
              </w:rPr>
            </w:pPr>
            <w:r w:rsidRPr="00BF5673">
              <w:rPr>
                <w:rFonts w:cs="Times New Roman"/>
                <w:sz w:val="24"/>
                <w:szCs w:val="24"/>
              </w:rPr>
              <w:t>A</w:t>
            </w:r>
          </w:p>
        </w:tc>
        <w:tc>
          <w:tcPr>
            <w:tcW w:w="897" w:type="pct"/>
            <w:gridSpan w:val="2"/>
            <w:tcBorders>
              <w:top w:val="outset" w:color="auto" w:sz="6" w:space="0"/>
              <w:left w:val="outset" w:color="auto" w:sz="6" w:space="0"/>
              <w:bottom w:val="outset" w:color="auto" w:sz="6" w:space="0"/>
              <w:right w:val="outset" w:color="auto" w:sz="6" w:space="0"/>
            </w:tcBorders>
            <w:vAlign w:val="center"/>
            <w:hideMark/>
          </w:tcPr>
          <w:p w:rsidRPr="00BF5673" w:rsidR="007F2634" w:rsidP="005D06AD" w:rsidRDefault="007F2634" w14:paraId="0C98263E" w14:textId="77777777">
            <w:pPr>
              <w:ind w:firstLine="0"/>
              <w:rPr>
                <w:rFonts w:cs="Times New Roman"/>
                <w:sz w:val="24"/>
                <w:szCs w:val="24"/>
              </w:rPr>
            </w:pPr>
            <w:r w:rsidRPr="00BF5673">
              <w:rPr>
                <w:rFonts w:cs="Times New Roman"/>
                <w:sz w:val="24"/>
                <w:szCs w:val="24"/>
              </w:rPr>
              <w:t>B</w:t>
            </w:r>
          </w:p>
        </w:tc>
        <w:tc>
          <w:tcPr>
            <w:tcW w:w="745" w:type="pct"/>
            <w:tcBorders>
              <w:top w:val="outset" w:color="auto" w:sz="6" w:space="0"/>
              <w:left w:val="outset" w:color="auto" w:sz="6" w:space="0"/>
              <w:bottom w:val="outset" w:color="auto" w:sz="6" w:space="0"/>
              <w:right w:val="outset" w:color="auto" w:sz="6" w:space="0"/>
            </w:tcBorders>
            <w:vAlign w:val="center"/>
            <w:hideMark/>
          </w:tcPr>
          <w:p w:rsidRPr="00BF5673" w:rsidR="007F2634" w:rsidP="005D06AD" w:rsidRDefault="007F2634" w14:paraId="43FFC1A9" w14:textId="77777777">
            <w:pPr>
              <w:ind w:firstLine="0"/>
              <w:rPr>
                <w:rFonts w:cs="Times New Roman"/>
                <w:sz w:val="24"/>
                <w:szCs w:val="24"/>
              </w:rPr>
            </w:pPr>
            <w:r w:rsidRPr="00BF5673">
              <w:rPr>
                <w:rFonts w:cs="Times New Roman"/>
                <w:sz w:val="24"/>
                <w:szCs w:val="24"/>
              </w:rPr>
              <w:t>C</w:t>
            </w:r>
          </w:p>
        </w:tc>
        <w:tc>
          <w:tcPr>
            <w:tcW w:w="2342" w:type="pct"/>
            <w:tcBorders>
              <w:top w:val="outset" w:color="auto" w:sz="6" w:space="0"/>
              <w:left w:val="outset" w:color="auto" w:sz="6" w:space="0"/>
              <w:bottom w:val="outset" w:color="auto" w:sz="6" w:space="0"/>
              <w:right w:val="outset" w:color="auto" w:sz="6" w:space="0"/>
            </w:tcBorders>
            <w:vAlign w:val="center"/>
            <w:hideMark/>
          </w:tcPr>
          <w:p w:rsidRPr="00BF5673" w:rsidR="007F2634" w:rsidP="005D06AD" w:rsidRDefault="007F2634" w14:paraId="45B53F85" w14:textId="77777777">
            <w:pPr>
              <w:ind w:firstLine="0"/>
              <w:rPr>
                <w:rFonts w:cs="Times New Roman"/>
                <w:sz w:val="24"/>
                <w:szCs w:val="24"/>
              </w:rPr>
            </w:pPr>
            <w:r w:rsidRPr="00BF5673">
              <w:rPr>
                <w:rFonts w:cs="Times New Roman"/>
                <w:sz w:val="24"/>
                <w:szCs w:val="24"/>
              </w:rPr>
              <w:t>D</w:t>
            </w:r>
          </w:p>
        </w:tc>
      </w:tr>
      <w:tr w:rsidRPr="00BF5673" w:rsidR="007F2634" w:rsidTr="00BF5673" w14:paraId="1B66F992"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5E68FB9E" w14:textId="77777777">
            <w:pPr>
              <w:ind w:firstLine="0"/>
              <w:jc w:val="both"/>
              <w:rPr>
                <w:rFonts w:cs="Times New Roman"/>
                <w:sz w:val="24"/>
                <w:szCs w:val="24"/>
              </w:rPr>
            </w:pPr>
            <w:r w:rsidRPr="00BF5673">
              <w:rPr>
                <w:rFonts w:cs="Times New Roman"/>
                <w:sz w:val="24"/>
                <w:szCs w:val="24"/>
              </w:rPr>
              <w:t>Attiecīgā ES tiesību akta panta numurs (uzskaitot katru tiesību akta vienību – pantu, daļu, punktu, apakšpunktu)</w:t>
            </w:r>
          </w:p>
        </w:tc>
        <w:tc>
          <w:tcPr>
            <w:tcW w:w="897"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7C89C1C6" w14:textId="77777777">
            <w:pPr>
              <w:ind w:firstLine="0"/>
              <w:jc w:val="both"/>
              <w:rPr>
                <w:rFonts w:cs="Times New Roman"/>
                <w:sz w:val="24"/>
                <w:szCs w:val="24"/>
              </w:rPr>
            </w:pPr>
            <w:r w:rsidRPr="00BF5673">
              <w:rPr>
                <w:rFonts w:cs="Times New Roman"/>
                <w:sz w:val="24"/>
                <w:szCs w:val="24"/>
              </w:rPr>
              <w:t xml:space="preserve">Projekta vienība, kas pārņem vai ievieš katru šīs tabulas A ailē minēto ES tiesību akta vienību, vai </w:t>
            </w:r>
            <w:r w:rsidRPr="00BF5673">
              <w:rPr>
                <w:rFonts w:cs="Times New Roman"/>
                <w:sz w:val="24"/>
                <w:szCs w:val="24"/>
              </w:rPr>
              <w:lastRenderedPageBreak/>
              <w:t>tiesību akts, kur attiecīgā ES tiesību akta vienība pārņemta vai ieviesta</w:t>
            </w:r>
          </w:p>
        </w:tc>
        <w:tc>
          <w:tcPr>
            <w:tcW w:w="745" w:type="pct"/>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4BDBBFEA" w14:textId="77777777">
            <w:pPr>
              <w:ind w:firstLine="0"/>
              <w:jc w:val="both"/>
              <w:rPr>
                <w:rFonts w:cs="Times New Roman"/>
                <w:sz w:val="24"/>
                <w:szCs w:val="24"/>
              </w:rPr>
            </w:pPr>
            <w:r w:rsidRPr="00BF5673">
              <w:rPr>
                <w:rFonts w:cs="Times New Roman"/>
                <w:sz w:val="24"/>
                <w:szCs w:val="24"/>
              </w:rPr>
              <w:lastRenderedPageBreak/>
              <w:t xml:space="preserve">Informācija par to, vai šīs tabulas A ailē minētās ES tiesību akta vienības tiek </w:t>
            </w:r>
            <w:r w:rsidRPr="00BF5673">
              <w:rPr>
                <w:rFonts w:cs="Times New Roman"/>
                <w:sz w:val="24"/>
                <w:szCs w:val="24"/>
              </w:rPr>
              <w:lastRenderedPageBreak/>
              <w:t xml:space="preserve">pārņemtas vai ieviestas pilnībā vai daļēji. </w:t>
            </w:r>
          </w:p>
          <w:p w:rsidRPr="00BF5673" w:rsidR="007F2634" w:rsidP="005D06AD" w:rsidRDefault="007F2634" w14:paraId="485E5EEE" w14:textId="77777777">
            <w:pPr>
              <w:ind w:firstLine="0"/>
              <w:jc w:val="both"/>
              <w:rPr>
                <w:rFonts w:cs="Times New Roman"/>
                <w:sz w:val="24"/>
                <w:szCs w:val="24"/>
              </w:rPr>
            </w:pPr>
            <w:r w:rsidRPr="00BF5673">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Pr="00BF5673" w:rsidR="007F2634" w:rsidP="005D06AD" w:rsidRDefault="007F2634" w14:paraId="676CB204" w14:textId="77777777">
            <w:pPr>
              <w:ind w:firstLine="0"/>
              <w:jc w:val="both"/>
              <w:rPr>
                <w:rFonts w:cs="Times New Roman"/>
                <w:sz w:val="24"/>
                <w:szCs w:val="24"/>
              </w:rPr>
            </w:pPr>
            <w:r w:rsidRPr="00BF5673">
              <w:rPr>
                <w:rFonts w:cs="Times New Roman"/>
                <w:sz w:val="24"/>
                <w:szCs w:val="24"/>
              </w:rPr>
              <w:t>Norāda institūciju, kas ir atbildīga par šo saistību izpildi pilnībā</w:t>
            </w:r>
          </w:p>
        </w:tc>
        <w:tc>
          <w:tcPr>
            <w:tcW w:w="2342" w:type="pct"/>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4FF63053" w14:textId="77777777">
            <w:pPr>
              <w:ind w:firstLine="0"/>
              <w:jc w:val="both"/>
              <w:rPr>
                <w:rFonts w:cs="Times New Roman"/>
                <w:sz w:val="24"/>
                <w:szCs w:val="24"/>
              </w:rPr>
            </w:pPr>
            <w:r w:rsidRPr="00BF5673">
              <w:rPr>
                <w:rFonts w:cs="Times New Roman"/>
                <w:sz w:val="24"/>
                <w:szCs w:val="24"/>
              </w:rPr>
              <w:lastRenderedPageBreak/>
              <w:t xml:space="preserve">Informācija par to, vai šīs tabulas B ailē minētās projekta vienības paredz stingrākas prasības nekā šīs tabulas A ailē minētās ES tiesību akta vienības. </w:t>
            </w:r>
          </w:p>
          <w:p w:rsidRPr="00BF5673" w:rsidR="007F2634" w:rsidP="005D06AD" w:rsidRDefault="007F2634" w14:paraId="32A8B712" w14:textId="77777777">
            <w:pPr>
              <w:ind w:firstLine="0"/>
              <w:jc w:val="both"/>
              <w:rPr>
                <w:rFonts w:cs="Times New Roman"/>
                <w:sz w:val="24"/>
                <w:szCs w:val="24"/>
              </w:rPr>
            </w:pPr>
            <w:r w:rsidRPr="00BF5673">
              <w:rPr>
                <w:rFonts w:cs="Times New Roman"/>
                <w:sz w:val="24"/>
                <w:szCs w:val="24"/>
              </w:rPr>
              <w:t>Ja projekts satur stingrākas prasības nekā attiecīgais ES tiesību akts, norāda pamatojumu un samērīgumu.</w:t>
            </w:r>
          </w:p>
          <w:p w:rsidRPr="00BF5673" w:rsidR="007F2634" w:rsidP="005D06AD" w:rsidRDefault="007F2634" w14:paraId="0D83FBFE" w14:textId="77777777">
            <w:pPr>
              <w:ind w:firstLine="0"/>
              <w:jc w:val="both"/>
              <w:rPr>
                <w:rFonts w:cs="Times New Roman"/>
                <w:sz w:val="24"/>
                <w:szCs w:val="24"/>
              </w:rPr>
            </w:pPr>
            <w:r w:rsidRPr="00BF5673">
              <w:rPr>
                <w:rFonts w:cs="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Pr="00BF5673" w:rsidR="007F2634" w:rsidTr="00BF5673" w14:paraId="50CC591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88115A7" w14:textId="77777777">
            <w:pPr>
              <w:ind w:firstLine="0"/>
              <w:rPr>
                <w:rFonts w:cs="Times New Roman"/>
                <w:sz w:val="24"/>
                <w:szCs w:val="24"/>
              </w:rPr>
            </w:pPr>
            <w:r w:rsidRPr="00BF5673">
              <w:rPr>
                <w:rFonts w:cs="Times New Roman"/>
                <w:sz w:val="24"/>
                <w:szCs w:val="24"/>
              </w:rPr>
              <w:lastRenderedPageBreak/>
              <w:t>Regulas I Pielikuma 1.punkta 1.apakšpunkts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B2889AC" w14:textId="77777777">
            <w:pPr>
              <w:ind w:firstLine="0"/>
              <w:rPr>
                <w:rFonts w:cs="Times New Roman"/>
                <w:sz w:val="24"/>
                <w:szCs w:val="24"/>
              </w:rPr>
            </w:pPr>
            <w:r w:rsidRPr="00BF5673">
              <w:rPr>
                <w:rFonts w:cs="Times New Roman"/>
                <w:sz w:val="24"/>
                <w:szCs w:val="24"/>
              </w:rPr>
              <w:t>Projekta 80.panta pirmā daļa</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D367BCE"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E384C19"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2BE02E0A"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A837517" w14:textId="77777777">
            <w:pPr>
              <w:ind w:firstLine="0"/>
              <w:rPr>
                <w:rFonts w:cs="Times New Roman"/>
                <w:sz w:val="24"/>
                <w:szCs w:val="24"/>
              </w:rPr>
            </w:pPr>
            <w:r w:rsidRPr="00BF5673">
              <w:rPr>
                <w:rFonts w:cs="Times New Roman"/>
                <w:sz w:val="24"/>
                <w:szCs w:val="24"/>
              </w:rPr>
              <w:t>Regulas I Pielikuma 1.punkta 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02FDF1B" w14:textId="77777777">
            <w:pPr>
              <w:ind w:firstLine="0"/>
              <w:rPr>
                <w:rFonts w:cs="Times New Roman"/>
                <w:sz w:val="24"/>
                <w:szCs w:val="24"/>
              </w:rPr>
            </w:pPr>
            <w:r w:rsidRPr="00BF5673">
              <w:rPr>
                <w:rFonts w:cs="Times New Roman"/>
                <w:sz w:val="24"/>
                <w:szCs w:val="24"/>
              </w:rPr>
              <w:t>Projekta 80.panta otrās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78EC9EE"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BE56EFF"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3AFA61E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25303C8" w14:textId="77777777">
            <w:pPr>
              <w:ind w:firstLine="0"/>
              <w:rPr>
                <w:rFonts w:cs="Times New Roman"/>
                <w:sz w:val="24"/>
                <w:szCs w:val="24"/>
              </w:rPr>
            </w:pPr>
            <w:r w:rsidRPr="00BF5673">
              <w:rPr>
                <w:rFonts w:cs="Times New Roman"/>
                <w:sz w:val="24"/>
                <w:szCs w:val="24"/>
              </w:rPr>
              <w:t>Regulas I Pielikuma 1.punkta 3.apakšpunkts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5C4FACD" w14:textId="77777777">
            <w:pPr>
              <w:ind w:firstLine="0"/>
              <w:rPr>
                <w:rFonts w:cs="Times New Roman"/>
                <w:sz w:val="24"/>
                <w:szCs w:val="24"/>
              </w:rPr>
            </w:pPr>
            <w:r w:rsidRPr="00BF5673">
              <w:rPr>
                <w:rFonts w:cs="Times New Roman"/>
                <w:sz w:val="24"/>
                <w:szCs w:val="24"/>
              </w:rPr>
              <w:t>Projekta 80.panta otrās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0D680F0"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01D3155"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3FFD80E"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28B6A16" w14:textId="77777777">
            <w:pPr>
              <w:ind w:firstLine="0"/>
              <w:rPr>
                <w:rFonts w:cs="Times New Roman"/>
                <w:sz w:val="24"/>
                <w:szCs w:val="24"/>
              </w:rPr>
            </w:pPr>
            <w:r w:rsidRPr="00BF5673">
              <w:rPr>
                <w:rFonts w:cs="Times New Roman"/>
                <w:sz w:val="24"/>
                <w:szCs w:val="24"/>
              </w:rPr>
              <w:t>Regulas I Pielikuma 1.punkta 4.apakšpunkts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9718F2E" w14:textId="77777777">
            <w:pPr>
              <w:ind w:firstLine="0"/>
              <w:rPr>
                <w:rFonts w:cs="Times New Roman"/>
                <w:sz w:val="24"/>
                <w:szCs w:val="24"/>
              </w:rPr>
            </w:pPr>
            <w:r w:rsidRPr="00BF5673">
              <w:rPr>
                <w:rFonts w:cs="Times New Roman"/>
                <w:sz w:val="24"/>
                <w:szCs w:val="24"/>
              </w:rPr>
              <w:t>Projekta 80.panta otrās daļas 3.punkts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48EB29A"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1667E15"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3F6B8D44"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9103E45" w14:textId="77777777">
            <w:pPr>
              <w:ind w:firstLine="0"/>
              <w:rPr>
                <w:rFonts w:cs="Times New Roman"/>
                <w:sz w:val="24"/>
                <w:szCs w:val="24"/>
              </w:rPr>
            </w:pPr>
            <w:r w:rsidRPr="00BF5673">
              <w:rPr>
                <w:rFonts w:cs="Times New Roman"/>
                <w:sz w:val="24"/>
                <w:szCs w:val="24"/>
              </w:rPr>
              <w:t>Regulas I Pielikuma 1.punkta 5.apakšpunkts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F31A4D9" w14:textId="77777777">
            <w:pPr>
              <w:ind w:firstLine="0"/>
              <w:rPr>
                <w:rFonts w:cs="Times New Roman"/>
                <w:sz w:val="24"/>
                <w:szCs w:val="24"/>
              </w:rPr>
            </w:pPr>
            <w:r w:rsidRPr="00BF5673">
              <w:rPr>
                <w:rFonts w:cs="Times New Roman"/>
                <w:sz w:val="24"/>
                <w:szCs w:val="24"/>
              </w:rPr>
              <w:t>Projekta 80.panta otrās daļas 4.punkts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E8DF31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6B4C161"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DD6370D"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C173A2E" w14:textId="77777777">
            <w:pPr>
              <w:ind w:firstLine="0"/>
              <w:rPr>
                <w:rFonts w:cs="Times New Roman"/>
                <w:sz w:val="24"/>
                <w:szCs w:val="24"/>
              </w:rPr>
            </w:pPr>
            <w:r w:rsidRPr="00BF5673">
              <w:rPr>
                <w:rFonts w:cs="Times New Roman"/>
                <w:sz w:val="24"/>
                <w:szCs w:val="24"/>
              </w:rPr>
              <w:lastRenderedPageBreak/>
              <w:t>Regulas I Pielikuma 1.punkta 6.apakšpunkts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21FAD55" w14:textId="77777777">
            <w:pPr>
              <w:ind w:firstLine="0"/>
              <w:rPr>
                <w:rFonts w:cs="Times New Roman"/>
                <w:sz w:val="24"/>
                <w:szCs w:val="24"/>
              </w:rPr>
            </w:pPr>
            <w:r w:rsidRPr="00BF5673">
              <w:rPr>
                <w:rFonts w:cs="Times New Roman"/>
                <w:sz w:val="24"/>
                <w:szCs w:val="24"/>
              </w:rPr>
              <w:t>Projekta 80.panta otrās daļas 5.punkts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4497FAD"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2B3FBF9"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38C75053"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E0AE562" w14:textId="77777777">
            <w:pPr>
              <w:ind w:firstLine="0"/>
              <w:rPr>
                <w:rFonts w:cs="Times New Roman"/>
                <w:sz w:val="24"/>
                <w:szCs w:val="24"/>
              </w:rPr>
            </w:pPr>
            <w:r w:rsidRPr="00BF5673">
              <w:rPr>
                <w:rFonts w:cs="Times New Roman"/>
                <w:sz w:val="24"/>
                <w:szCs w:val="24"/>
              </w:rPr>
              <w:t>Regulas I Pielikuma 1.punkta 7.apakšpunkts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30EBD97" w14:textId="77777777">
            <w:pPr>
              <w:ind w:firstLine="0"/>
              <w:rPr>
                <w:rFonts w:cs="Times New Roman"/>
                <w:sz w:val="24"/>
                <w:szCs w:val="24"/>
              </w:rPr>
            </w:pPr>
            <w:r w:rsidRPr="00BF5673">
              <w:rPr>
                <w:rFonts w:cs="Times New Roman"/>
                <w:sz w:val="24"/>
                <w:szCs w:val="24"/>
              </w:rPr>
              <w:t>Projekta 80.panta otrās daļas 6.punkts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78C0D4B"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2E6BC02"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57241100"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1615173" w14:textId="77777777">
            <w:pPr>
              <w:ind w:firstLine="0"/>
              <w:rPr>
                <w:rFonts w:cs="Times New Roman"/>
                <w:sz w:val="24"/>
                <w:szCs w:val="24"/>
              </w:rPr>
            </w:pPr>
            <w:r w:rsidRPr="00BF5673">
              <w:rPr>
                <w:rFonts w:cs="Times New Roman"/>
                <w:sz w:val="24"/>
                <w:szCs w:val="24"/>
              </w:rPr>
              <w:t>Regulas I Pielikuma 1.punkta 8.apakšpunkts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D7E85B1" w14:textId="77777777">
            <w:pPr>
              <w:ind w:firstLine="0"/>
              <w:rPr>
                <w:rFonts w:cs="Times New Roman"/>
                <w:sz w:val="24"/>
                <w:szCs w:val="24"/>
              </w:rPr>
            </w:pPr>
            <w:r w:rsidRPr="00BF5673">
              <w:rPr>
                <w:rFonts w:cs="Times New Roman"/>
                <w:sz w:val="24"/>
                <w:szCs w:val="24"/>
              </w:rPr>
              <w:t>Projekta 80.panta trešās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9DB93C5"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7C0B673"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2A9F0781"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DAD01D2" w14:textId="77777777">
            <w:pPr>
              <w:ind w:firstLine="0"/>
              <w:rPr>
                <w:rFonts w:cs="Times New Roman"/>
                <w:sz w:val="24"/>
                <w:szCs w:val="24"/>
              </w:rPr>
            </w:pPr>
            <w:r w:rsidRPr="00BF5673">
              <w:rPr>
                <w:rFonts w:cs="Times New Roman"/>
                <w:sz w:val="24"/>
                <w:szCs w:val="24"/>
              </w:rPr>
              <w:t>Regulas I Pielikuma 1.punkta 9.apakšpunkts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12BA072" w14:textId="77777777">
            <w:pPr>
              <w:ind w:firstLine="0"/>
              <w:rPr>
                <w:rFonts w:cs="Times New Roman"/>
                <w:sz w:val="24"/>
                <w:szCs w:val="24"/>
              </w:rPr>
            </w:pPr>
            <w:r w:rsidRPr="00BF5673">
              <w:rPr>
                <w:rFonts w:cs="Times New Roman"/>
                <w:sz w:val="24"/>
                <w:szCs w:val="24"/>
              </w:rPr>
              <w:t>Projekta 80.panta trešās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1B6F002"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2225836"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50A0CFCE"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1EFAB51" w14:textId="77777777">
            <w:pPr>
              <w:ind w:firstLine="0"/>
              <w:rPr>
                <w:rFonts w:cs="Times New Roman"/>
                <w:sz w:val="24"/>
                <w:szCs w:val="24"/>
              </w:rPr>
            </w:pPr>
            <w:r w:rsidRPr="00BF5673">
              <w:rPr>
                <w:rFonts w:cs="Times New Roman"/>
                <w:sz w:val="24"/>
                <w:szCs w:val="24"/>
              </w:rPr>
              <w:t>Regulas I Pielikuma 1.punkta 10.apakšpunkts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28C18E4" w14:textId="77777777">
            <w:pPr>
              <w:ind w:firstLine="0"/>
              <w:rPr>
                <w:rFonts w:cs="Times New Roman"/>
                <w:sz w:val="24"/>
                <w:szCs w:val="24"/>
              </w:rPr>
            </w:pPr>
            <w:r w:rsidRPr="00BF5673">
              <w:rPr>
                <w:rFonts w:cs="Times New Roman"/>
                <w:sz w:val="24"/>
                <w:szCs w:val="24"/>
              </w:rPr>
              <w:t>Projekta 80.panta trešās daļas 3.punkts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3A3D431"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F105530"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57518649"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450E29C" w14:textId="77777777">
            <w:pPr>
              <w:ind w:firstLine="0"/>
              <w:rPr>
                <w:rFonts w:cs="Times New Roman"/>
                <w:sz w:val="24"/>
                <w:szCs w:val="24"/>
              </w:rPr>
            </w:pPr>
            <w:r w:rsidRPr="00BF5673">
              <w:rPr>
                <w:rFonts w:cs="Times New Roman"/>
                <w:sz w:val="24"/>
                <w:szCs w:val="24"/>
              </w:rPr>
              <w:t>Regulas I Pielikuma 1.punkta 11.apakšpunkts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E124D2A" w14:textId="77777777">
            <w:pPr>
              <w:ind w:firstLine="0"/>
              <w:rPr>
                <w:rFonts w:cs="Times New Roman"/>
                <w:sz w:val="24"/>
                <w:szCs w:val="24"/>
              </w:rPr>
            </w:pPr>
            <w:r w:rsidRPr="00BF5673">
              <w:rPr>
                <w:rFonts w:cs="Times New Roman"/>
                <w:sz w:val="24"/>
                <w:szCs w:val="24"/>
              </w:rPr>
              <w:t>Projekta 80.panta ceturtās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F2743E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0661572"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9DB7AC7"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D99907C" w14:textId="77777777">
            <w:pPr>
              <w:ind w:firstLine="0"/>
              <w:rPr>
                <w:rFonts w:cs="Times New Roman"/>
                <w:sz w:val="24"/>
                <w:szCs w:val="24"/>
              </w:rPr>
            </w:pPr>
            <w:r w:rsidRPr="00BF5673">
              <w:rPr>
                <w:rFonts w:cs="Times New Roman"/>
                <w:sz w:val="24"/>
                <w:szCs w:val="24"/>
              </w:rPr>
              <w:t>Regulas I Pielikuma 1.punkta 12.apakšpunkts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748C974" w14:textId="77777777">
            <w:pPr>
              <w:ind w:firstLine="0"/>
              <w:rPr>
                <w:rFonts w:cs="Times New Roman"/>
                <w:sz w:val="24"/>
                <w:szCs w:val="24"/>
              </w:rPr>
            </w:pPr>
            <w:r w:rsidRPr="00BF5673">
              <w:rPr>
                <w:rFonts w:cs="Times New Roman"/>
                <w:sz w:val="24"/>
                <w:szCs w:val="24"/>
              </w:rPr>
              <w:t>Projekta 80.panta ceturtās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E6529E6"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A0556B1"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9BC707E"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401D9CB" w14:textId="77777777">
            <w:pPr>
              <w:ind w:firstLine="0"/>
              <w:rPr>
                <w:rFonts w:cs="Times New Roman"/>
                <w:sz w:val="24"/>
                <w:szCs w:val="24"/>
              </w:rPr>
            </w:pPr>
            <w:r w:rsidRPr="00BF5673">
              <w:rPr>
                <w:rFonts w:cs="Times New Roman"/>
                <w:sz w:val="24"/>
                <w:szCs w:val="24"/>
              </w:rPr>
              <w:t>Regulas I Pielikuma 1.punkta 13.apakšpunkts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60D0EC0" w14:textId="77777777">
            <w:pPr>
              <w:ind w:firstLine="0"/>
              <w:rPr>
                <w:rFonts w:cs="Times New Roman"/>
                <w:sz w:val="24"/>
                <w:szCs w:val="24"/>
              </w:rPr>
            </w:pPr>
            <w:r w:rsidRPr="00BF5673">
              <w:rPr>
                <w:rFonts w:cs="Times New Roman"/>
                <w:sz w:val="24"/>
                <w:szCs w:val="24"/>
              </w:rPr>
              <w:t>Projekta 80.panta ceturtās daļas 3.punkts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DFB929A"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733CFED"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398738B4"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D3470DB" w14:textId="77777777">
            <w:pPr>
              <w:ind w:firstLine="0"/>
              <w:rPr>
                <w:rFonts w:cs="Times New Roman"/>
                <w:sz w:val="24"/>
                <w:szCs w:val="24"/>
              </w:rPr>
            </w:pPr>
            <w:r w:rsidRPr="00BF5673">
              <w:rPr>
                <w:rFonts w:cs="Times New Roman"/>
                <w:sz w:val="24"/>
                <w:szCs w:val="24"/>
              </w:rPr>
              <w:t>Regulas I Pielikuma 1.punkta 14.apakšpunkts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FDA6EA7" w14:textId="77777777">
            <w:pPr>
              <w:ind w:firstLine="0"/>
              <w:rPr>
                <w:rFonts w:cs="Times New Roman"/>
                <w:sz w:val="24"/>
                <w:szCs w:val="24"/>
              </w:rPr>
            </w:pPr>
            <w:r w:rsidRPr="00BF5673">
              <w:rPr>
                <w:rFonts w:cs="Times New Roman"/>
                <w:sz w:val="24"/>
                <w:szCs w:val="24"/>
              </w:rPr>
              <w:t>Projekta 80.panta piektās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9D3E87D"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18AEBDD"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935019E"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3972CCE" w14:textId="77777777">
            <w:pPr>
              <w:ind w:firstLine="0"/>
              <w:rPr>
                <w:rFonts w:cs="Times New Roman"/>
                <w:sz w:val="24"/>
                <w:szCs w:val="24"/>
              </w:rPr>
            </w:pPr>
            <w:r w:rsidRPr="00BF5673">
              <w:rPr>
                <w:rFonts w:cs="Times New Roman"/>
                <w:sz w:val="24"/>
                <w:szCs w:val="24"/>
              </w:rPr>
              <w:t>Regulas I Pielikuma 1.punkta 15.apakšpunkts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99EA564" w14:textId="77777777">
            <w:pPr>
              <w:ind w:firstLine="0"/>
              <w:rPr>
                <w:rFonts w:cs="Times New Roman"/>
                <w:sz w:val="24"/>
                <w:szCs w:val="24"/>
              </w:rPr>
            </w:pPr>
            <w:r w:rsidRPr="00BF5673">
              <w:rPr>
                <w:rFonts w:cs="Times New Roman"/>
                <w:sz w:val="24"/>
                <w:szCs w:val="24"/>
              </w:rPr>
              <w:t>Projekta 80.panta piektās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63BBCE7"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CCAC002"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5C6D1E56"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18BCBA9" w14:textId="77777777">
            <w:pPr>
              <w:ind w:firstLine="0"/>
              <w:rPr>
                <w:rFonts w:cs="Times New Roman"/>
                <w:sz w:val="24"/>
                <w:szCs w:val="24"/>
              </w:rPr>
            </w:pPr>
            <w:r w:rsidRPr="00BF5673">
              <w:rPr>
                <w:rFonts w:cs="Times New Roman"/>
                <w:sz w:val="24"/>
                <w:szCs w:val="24"/>
              </w:rPr>
              <w:t>Regulas I Pielikuma 1.punkta 16.apakšpunkts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B10F43F" w14:textId="77777777">
            <w:pPr>
              <w:ind w:firstLine="0"/>
              <w:rPr>
                <w:rFonts w:cs="Times New Roman"/>
                <w:sz w:val="24"/>
                <w:szCs w:val="24"/>
              </w:rPr>
            </w:pPr>
            <w:r w:rsidRPr="00BF5673">
              <w:rPr>
                <w:rFonts w:cs="Times New Roman"/>
                <w:sz w:val="24"/>
                <w:szCs w:val="24"/>
              </w:rPr>
              <w:t>Projekta 80.panta sestās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4771DA1"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8B8965B"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29C6C2AF"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131BE0E" w14:textId="77777777">
            <w:pPr>
              <w:ind w:firstLine="0"/>
              <w:rPr>
                <w:rFonts w:cs="Times New Roman"/>
                <w:sz w:val="24"/>
                <w:szCs w:val="24"/>
              </w:rPr>
            </w:pPr>
            <w:r w:rsidRPr="00BF5673">
              <w:rPr>
                <w:rFonts w:cs="Times New Roman"/>
                <w:sz w:val="24"/>
                <w:szCs w:val="24"/>
              </w:rPr>
              <w:t xml:space="preserve">Regulas I Pielikuma </w:t>
            </w:r>
            <w:r w:rsidRPr="00BF5673">
              <w:rPr>
                <w:rFonts w:cs="Times New Roman"/>
                <w:sz w:val="24"/>
                <w:szCs w:val="24"/>
              </w:rPr>
              <w:lastRenderedPageBreak/>
              <w:t>1.punkta 17.apakšpunkts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C54FFBE" w14:textId="77777777">
            <w:pPr>
              <w:ind w:firstLine="0"/>
              <w:rPr>
                <w:rFonts w:cs="Times New Roman"/>
                <w:sz w:val="24"/>
                <w:szCs w:val="24"/>
              </w:rPr>
            </w:pPr>
            <w:r w:rsidRPr="00BF5673">
              <w:rPr>
                <w:rFonts w:cs="Times New Roman"/>
                <w:sz w:val="24"/>
                <w:szCs w:val="24"/>
              </w:rPr>
              <w:lastRenderedPageBreak/>
              <w:t>Projekta 80.panta sestās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3E401F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D2D9C02"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7EDF915"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92771C4" w14:textId="77777777">
            <w:pPr>
              <w:ind w:firstLine="0"/>
              <w:rPr>
                <w:rFonts w:cs="Times New Roman"/>
                <w:sz w:val="24"/>
                <w:szCs w:val="24"/>
              </w:rPr>
            </w:pPr>
            <w:r w:rsidRPr="00BF5673">
              <w:rPr>
                <w:rFonts w:cs="Times New Roman"/>
                <w:sz w:val="24"/>
                <w:szCs w:val="24"/>
              </w:rPr>
              <w:t>Regulas I Pielikuma 1.punkta 18.apakšpunkts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9443CE8" w14:textId="77777777">
            <w:pPr>
              <w:ind w:firstLine="0"/>
              <w:rPr>
                <w:rFonts w:cs="Times New Roman"/>
                <w:sz w:val="24"/>
                <w:szCs w:val="24"/>
              </w:rPr>
            </w:pPr>
            <w:r w:rsidRPr="00BF5673">
              <w:rPr>
                <w:rFonts w:cs="Times New Roman"/>
                <w:sz w:val="24"/>
                <w:szCs w:val="24"/>
              </w:rPr>
              <w:t>Projekta 80.panta sestās daļas 3.punkts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9E1357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FCC33D9"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7CE6249D"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F7947CF" w14:textId="77777777">
            <w:pPr>
              <w:ind w:firstLine="0"/>
              <w:rPr>
                <w:rFonts w:cs="Times New Roman"/>
                <w:sz w:val="24"/>
                <w:szCs w:val="24"/>
              </w:rPr>
            </w:pPr>
            <w:r w:rsidRPr="00BF5673">
              <w:rPr>
                <w:rFonts w:cs="Times New Roman"/>
                <w:sz w:val="24"/>
                <w:szCs w:val="24"/>
              </w:rPr>
              <w:t>Regulas I Pielikuma 1.punkta 19.apakšpunkts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AC4BE57" w14:textId="77777777">
            <w:pPr>
              <w:ind w:firstLine="0"/>
              <w:rPr>
                <w:rFonts w:cs="Times New Roman"/>
                <w:sz w:val="24"/>
                <w:szCs w:val="24"/>
              </w:rPr>
            </w:pPr>
            <w:r w:rsidRPr="00BF5673">
              <w:rPr>
                <w:rFonts w:cs="Times New Roman"/>
                <w:sz w:val="24"/>
                <w:szCs w:val="24"/>
              </w:rPr>
              <w:t>Projekta 80.panta sestās daļas 4.punkts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8C71041"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7C7892C"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2F647849"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4178DC1" w14:textId="77777777">
            <w:pPr>
              <w:ind w:firstLine="0"/>
              <w:rPr>
                <w:rFonts w:cs="Times New Roman"/>
                <w:sz w:val="24"/>
                <w:szCs w:val="24"/>
              </w:rPr>
            </w:pPr>
            <w:r w:rsidRPr="00BF5673">
              <w:rPr>
                <w:rFonts w:cs="Times New Roman"/>
                <w:sz w:val="24"/>
                <w:szCs w:val="24"/>
              </w:rPr>
              <w:t>Regulas I Pielikuma 1.punkta 20.apakšpunkts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6A5DC30" w14:textId="77777777">
            <w:pPr>
              <w:ind w:firstLine="0"/>
              <w:rPr>
                <w:rFonts w:cs="Times New Roman"/>
                <w:sz w:val="24"/>
                <w:szCs w:val="24"/>
              </w:rPr>
            </w:pPr>
            <w:r w:rsidRPr="00BF5673">
              <w:rPr>
                <w:rFonts w:cs="Times New Roman"/>
                <w:sz w:val="24"/>
                <w:szCs w:val="24"/>
              </w:rPr>
              <w:t>Projekta 80.panta sestās daļas 5.punkts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3FCE45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7CFF12F"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20179AF"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C6744B0" w14:textId="77777777">
            <w:pPr>
              <w:ind w:firstLine="0"/>
              <w:rPr>
                <w:rFonts w:cs="Times New Roman"/>
                <w:sz w:val="24"/>
                <w:szCs w:val="24"/>
              </w:rPr>
            </w:pPr>
            <w:r w:rsidRPr="00BF5673">
              <w:rPr>
                <w:rFonts w:cs="Times New Roman"/>
                <w:sz w:val="24"/>
                <w:szCs w:val="24"/>
              </w:rPr>
              <w:t>Regulas I Pielikuma 1.punkta 21.apakšpunkts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0C2E84E" w14:textId="77777777">
            <w:pPr>
              <w:ind w:firstLine="0"/>
              <w:rPr>
                <w:rFonts w:cs="Times New Roman"/>
                <w:sz w:val="24"/>
                <w:szCs w:val="24"/>
              </w:rPr>
            </w:pPr>
            <w:r w:rsidRPr="00BF5673">
              <w:rPr>
                <w:rFonts w:cs="Times New Roman"/>
                <w:sz w:val="24"/>
                <w:szCs w:val="24"/>
              </w:rPr>
              <w:t>Projekta 80.panta sestās daļas 6.punkts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056E668"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0D1F71B"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03A193B"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DA61539" w14:textId="77777777">
            <w:pPr>
              <w:ind w:firstLine="0"/>
              <w:rPr>
                <w:rFonts w:cs="Times New Roman"/>
                <w:sz w:val="24"/>
                <w:szCs w:val="24"/>
              </w:rPr>
            </w:pPr>
            <w:r w:rsidRPr="00BF5673">
              <w:rPr>
                <w:rFonts w:cs="Times New Roman"/>
                <w:sz w:val="24"/>
                <w:szCs w:val="24"/>
              </w:rPr>
              <w:t>Regulas I Pielikuma 1.punkta 22.apakšpunkts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7892611" w14:textId="77777777">
            <w:pPr>
              <w:ind w:firstLine="0"/>
              <w:rPr>
                <w:rFonts w:cs="Times New Roman"/>
                <w:sz w:val="24"/>
                <w:szCs w:val="24"/>
              </w:rPr>
            </w:pPr>
            <w:r w:rsidRPr="00BF5673">
              <w:rPr>
                <w:rFonts w:cs="Times New Roman"/>
                <w:sz w:val="24"/>
                <w:szCs w:val="24"/>
              </w:rPr>
              <w:t>Projekta 80.panta sestās daļas 7.punkts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386257C"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C58A837"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06EE0DAA"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FE69857" w14:textId="77777777">
            <w:pPr>
              <w:ind w:firstLine="0"/>
              <w:rPr>
                <w:rFonts w:cs="Times New Roman"/>
                <w:sz w:val="24"/>
                <w:szCs w:val="24"/>
              </w:rPr>
            </w:pPr>
            <w:r w:rsidRPr="00BF5673">
              <w:rPr>
                <w:rFonts w:cs="Times New Roman"/>
                <w:sz w:val="24"/>
                <w:szCs w:val="24"/>
              </w:rPr>
              <w:t>Regulas I Pielikuma 1.punkta 23.apakšpunkts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C6F2C61" w14:textId="77777777">
            <w:pPr>
              <w:ind w:firstLine="0"/>
              <w:rPr>
                <w:rFonts w:cs="Times New Roman"/>
                <w:sz w:val="24"/>
                <w:szCs w:val="24"/>
              </w:rPr>
            </w:pPr>
            <w:r w:rsidRPr="00BF5673">
              <w:rPr>
                <w:rFonts w:cs="Times New Roman"/>
                <w:sz w:val="24"/>
                <w:szCs w:val="24"/>
              </w:rPr>
              <w:t>Projekta 80.panta sestās daļas 8.punkts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006673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0B3A5D8"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6DF12B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58EDD17" w14:textId="77777777">
            <w:pPr>
              <w:ind w:firstLine="0"/>
              <w:rPr>
                <w:rFonts w:cs="Times New Roman"/>
                <w:sz w:val="24"/>
                <w:szCs w:val="24"/>
              </w:rPr>
            </w:pPr>
            <w:r w:rsidRPr="00BF5673">
              <w:rPr>
                <w:rFonts w:cs="Times New Roman"/>
                <w:sz w:val="24"/>
                <w:szCs w:val="24"/>
              </w:rPr>
              <w:t>Regulas I Pielikuma 1.punkta 24.apakšpunkts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4C4B8C0" w14:textId="77777777">
            <w:pPr>
              <w:ind w:firstLine="0"/>
              <w:rPr>
                <w:rFonts w:cs="Times New Roman"/>
                <w:sz w:val="24"/>
                <w:szCs w:val="24"/>
              </w:rPr>
            </w:pPr>
            <w:r w:rsidRPr="00BF5673">
              <w:rPr>
                <w:rFonts w:cs="Times New Roman"/>
                <w:sz w:val="24"/>
                <w:szCs w:val="24"/>
              </w:rPr>
              <w:t>Projekta 80.panta septītās daļas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9F0638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626502F"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45AE4E38"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6DE9336" w14:textId="77777777">
            <w:pPr>
              <w:ind w:firstLine="0"/>
              <w:rPr>
                <w:rFonts w:cs="Times New Roman"/>
                <w:sz w:val="24"/>
                <w:szCs w:val="24"/>
              </w:rPr>
            </w:pPr>
            <w:r w:rsidRPr="00BF5673">
              <w:rPr>
                <w:rFonts w:cs="Times New Roman"/>
                <w:sz w:val="24"/>
                <w:szCs w:val="24"/>
              </w:rPr>
              <w:t>Regulas I Pielikuma 1.punkta 25.apakšpunkts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3C23B15" w14:textId="77777777">
            <w:pPr>
              <w:ind w:firstLine="0"/>
              <w:rPr>
                <w:rFonts w:cs="Times New Roman"/>
                <w:sz w:val="24"/>
                <w:szCs w:val="24"/>
              </w:rPr>
            </w:pPr>
            <w:r w:rsidRPr="00BF5673">
              <w:rPr>
                <w:rFonts w:cs="Times New Roman"/>
                <w:sz w:val="24"/>
                <w:szCs w:val="24"/>
              </w:rPr>
              <w:t>Projekta 80.panta septītās daļas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D6184DE"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1333CC0"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11E4007A"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AFB8439" w14:textId="77777777">
            <w:pPr>
              <w:ind w:firstLine="0"/>
              <w:rPr>
                <w:rFonts w:cs="Times New Roman"/>
                <w:sz w:val="24"/>
                <w:szCs w:val="24"/>
              </w:rPr>
            </w:pPr>
            <w:r w:rsidRPr="00BF5673">
              <w:rPr>
                <w:rFonts w:cs="Times New Roman"/>
                <w:sz w:val="24"/>
                <w:szCs w:val="24"/>
              </w:rPr>
              <w:t>Regulas I Pielikuma 1.punkta 26.apakšpunkts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E0C5C4B" w14:textId="77777777">
            <w:pPr>
              <w:ind w:firstLine="0"/>
              <w:rPr>
                <w:rFonts w:cs="Times New Roman"/>
                <w:sz w:val="24"/>
                <w:szCs w:val="24"/>
              </w:rPr>
            </w:pPr>
            <w:r w:rsidRPr="00BF5673">
              <w:rPr>
                <w:rFonts w:cs="Times New Roman"/>
                <w:sz w:val="24"/>
                <w:szCs w:val="24"/>
              </w:rPr>
              <w:t>Projekta 80.panta septītās daļas 3.punkts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B3D7E11"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11A1D54"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3726D8C1"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2F2FD97" w14:textId="77777777">
            <w:pPr>
              <w:ind w:firstLine="0"/>
              <w:rPr>
                <w:rFonts w:cs="Times New Roman"/>
                <w:sz w:val="24"/>
                <w:szCs w:val="24"/>
              </w:rPr>
            </w:pPr>
            <w:r w:rsidRPr="00BF5673">
              <w:rPr>
                <w:rFonts w:cs="Times New Roman"/>
                <w:sz w:val="24"/>
                <w:szCs w:val="24"/>
              </w:rPr>
              <w:t>Regulas I Pielikuma 1.punkta 27.apakšpunkts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EF78FAD" w14:textId="77777777">
            <w:pPr>
              <w:ind w:firstLine="0"/>
              <w:rPr>
                <w:rFonts w:cs="Times New Roman"/>
                <w:sz w:val="24"/>
                <w:szCs w:val="24"/>
              </w:rPr>
            </w:pPr>
            <w:r w:rsidRPr="00BF5673">
              <w:rPr>
                <w:rFonts w:cs="Times New Roman"/>
                <w:sz w:val="24"/>
                <w:szCs w:val="24"/>
              </w:rPr>
              <w:t>Projekta 80.panta septītās daļas 4.punkts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A4FC99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1F4CB44"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18D7ACD9"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685630EA" w14:textId="77777777">
            <w:pPr>
              <w:ind w:firstLine="0"/>
              <w:rPr>
                <w:rFonts w:cs="Times New Roman"/>
                <w:sz w:val="24"/>
                <w:szCs w:val="24"/>
              </w:rPr>
            </w:pPr>
            <w:r w:rsidRPr="00BF5673">
              <w:rPr>
                <w:rFonts w:cs="Times New Roman"/>
                <w:sz w:val="24"/>
                <w:szCs w:val="24"/>
              </w:rPr>
              <w:t>Regulas I Pielikuma 1.punkta 28.apakšpunkts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D9F61D1" w14:textId="77777777">
            <w:pPr>
              <w:ind w:firstLine="0"/>
              <w:rPr>
                <w:rFonts w:cs="Times New Roman"/>
                <w:sz w:val="24"/>
                <w:szCs w:val="24"/>
              </w:rPr>
            </w:pPr>
            <w:r w:rsidRPr="00BF5673">
              <w:rPr>
                <w:rFonts w:cs="Times New Roman"/>
                <w:sz w:val="24"/>
                <w:szCs w:val="24"/>
              </w:rPr>
              <w:t xml:space="preserve">Projekta 80.panta astotā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76785C79"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2808E17"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F6B2E28"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50EC5EC" w14:textId="77777777">
            <w:pPr>
              <w:ind w:firstLine="0"/>
              <w:rPr>
                <w:rFonts w:cs="Times New Roman"/>
                <w:sz w:val="24"/>
                <w:szCs w:val="24"/>
              </w:rPr>
            </w:pPr>
            <w:r w:rsidRPr="00BF5673">
              <w:rPr>
                <w:rFonts w:cs="Times New Roman"/>
                <w:sz w:val="24"/>
                <w:szCs w:val="24"/>
              </w:rPr>
              <w:lastRenderedPageBreak/>
              <w:t>Regulas I Pielikuma 1.punkta 29.apakšpunkts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2CBA4FC" w14:textId="77777777">
            <w:pPr>
              <w:ind w:firstLine="0"/>
              <w:rPr>
                <w:rFonts w:cs="Times New Roman"/>
                <w:sz w:val="24"/>
                <w:szCs w:val="24"/>
              </w:rPr>
            </w:pPr>
            <w:r w:rsidRPr="00BF5673">
              <w:rPr>
                <w:rFonts w:cs="Times New Roman"/>
                <w:sz w:val="24"/>
                <w:szCs w:val="24"/>
              </w:rPr>
              <w:t xml:space="preserve">Projekta 80.panta devītā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9851E82"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2F0153B"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2372F8C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DD6976F" w14:textId="77777777">
            <w:pPr>
              <w:ind w:firstLine="0"/>
              <w:rPr>
                <w:rFonts w:cs="Times New Roman"/>
                <w:sz w:val="24"/>
                <w:szCs w:val="24"/>
              </w:rPr>
            </w:pPr>
            <w:r w:rsidRPr="00BF5673">
              <w:rPr>
                <w:rFonts w:cs="Times New Roman"/>
                <w:sz w:val="24"/>
                <w:szCs w:val="24"/>
              </w:rPr>
              <w:t>Regulas I Pielikuma 1.punkta 30.apakšpunkts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C7C7489" w14:textId="77777777">
            <w:pPr>
              <w:ind w:firstLine="0"/>
              <w:rPr>
                <w:rFonts w:cs="Times New Roman"/>
                <w:sz w:val="24"/>
                <w:szCs w:val="24"/>
              </w:rPr>
            </w:pPr>
            <w:r w:rsidRPr="00BF5673">
              <w:rPr>
                <w:rFonts w:cs="Times New Roman"/>
                <w:sz w:val="24"/>
                <w:szCs w:val="24"/>
              </w:rPr>
              <w:t xml:space="preserve">Projekta 80.panta desmitā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D8F854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5FA03DC"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4EB29382"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CBF76D7" w14:textId="77777777">
            <w:pPr>
              <w:ind w:firstLine="0"/>
              <w:rPr>
                <w:rFonts w:cs="Times New Roman"/>
                <w:sz w:val="24"/>
                <w:szCs w:val="24"/>
              </w:rPr>
            </w:pPr>
            <w:r w:rsidRPr="00BF5673">
              <w:rPr>
                <w:rFonts w:cs="Times New Roman"/>
                <w:sz w:val="24"/>
                <w:szCs w:val="24"/>
              </w:rPr>
              <w:t>Regulas I Pielikuma 1.punkta 31.apakšpunkts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83EC995" w14:textId="77777777">
            <w:pPr>
              <w:ind w:firstLine="0"/>
              <w:rPr>
                <w:rFonts w:cs="Times New Roman"/>
                <w:sz w:val="24"/>
                <w:szCs w:val="24"/>
              </w:rPr>
            </w:pPr>
            <w:r w:rsidRPr="00BF5673">
              <w:rPr>
                <w:rFonts w:cs="Times New Roman"/>
                <w:sz w:val="24"/>
                <w:szCs w:val="24"/>
              </w:rPr>
              <w:t xml:space="preserve">Projekta 80.panta vienpadsmitā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BC82ACE"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91ED3DD"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576A4321"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3D1D458" w14:textId="77777777">
            <w:pPr>
              <w:ind w:firstLine="0"/>
              <w:rPr>
                <w:rFonts w:cs="Times New Roman"/>
                <w:sz w:val="24"/>
                <w:szCs w:val="24"/>
              </w:rPr>
            </w:pPr>
            <w:r w:rsidRPr="00BF5673">
              <w:rPr>
                <w:rFonts w:cs="Times New Roman"/>
                <w:sz w:val="24"/>
                <w:szCs w:val="24"/>
              </w:rPr>
              <w:t>Regulas I Pielikuma 1.punkta 32.apakšpunkts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3CBFFF3" w14:textId="77777777">
            <w:pPr>
              <w:ind w:firstLine="0"/>
              <w:rPr>
                <w:rFonts w:cs="Times New Roman"/>
                <w:sz w:val="24"/>
                <w:szCs w:val="24"/>
              </w:rPr>
            </w:pPr>
            <w:r w:rsidRPr="00BF5673">
              <w:rPr>
                <w:rFonts w:cs="Times New Roman"/>
                <w:sz w:val="24"/>
                <w:szCs w:val="24"/>
              </w:rPr>
              <w:t xml:space="preserve">Projekta 80.panta divpadsmitā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426C7CD"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ECBB1A1"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4FDB0B02"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29E3A6F" w14:textId="77777777">
            <w:pPr>
              <w:ind w:firstLine="0"/>
              <w:rPr>
                <w:rFonts w:cs="Times New Roman"/>
                <w:sz w:val="24"/>
                <w:szCs w:val="24"/>
              </w:rPr>
            </w:pPr>
            <w:r w:rsidRPr="00BF5673">
              <w:rPr>
                <w:rFonts w:cs="Times New Roman"/>
                <w:sz w:val="24"/>
                <w:szCs w:val="24"/>
              </w:rPr>
              <w:t>Regulas I Pielikuma 1.punkta 33.apakšpunkts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B3467F4" w14:textId="77777777">
            <w:pPr>
              <w:ind w:firstLine="0"/>
              <w:rPr>
                <w:rFonts w:cs="Times New Roman"/>
                <w:sz w:val="24"/>
                <w:szCs w:val="24"/>
              </w:rPr>
            </w:pPr>
            <w:r w:rsidRPr="00BF5673">
              <w:rPr>
                <w:rFonts w:cs="Times New Roman"/>
                <w:sz w:val="24"/>
                <w:szCs w:val="24"/>
              </w:rPr>
              <w:t xml:space="preserve">Projekta 80.panta trīspadsmitā daļa </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484B4E4"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21C399D" w14:textId="77777777">
            <w:pPr>
              <w:ind w:firstLine="0"/>
              <w:rPr>
                <w:rFonts w:cs="Times New Roman"/>
                <w:sz w:val="24"/>
                <w:szCs w:val="24"/>
              </w:rPr>
            </w:pPr>
            <w:r w:rsidRPr="00BF5673">
              <w:rPr>
                <w:rFonts w:eastAsia="Calibri" w:cs="Times New Roman"/>
                <w:sz w:val="24"/>
                <w:szCs w:val="24"/>
                <w:lang w:eastAsia="lv-LV"/>
              </w:rPr>
              <w:t>Stingrākas prasības neparedz.</w:t>
            </w:r>
          </w:p>
        </w:tc>
      </w:tr>
      <w:tr w:rsidRPr="00BF5673" w:rsidR="007F2634" w:rsidTr="00BF5673" w14:paraId="6B93CFF2"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14236CD" w14:textId="77777777">
            <w:pPr>
              <w:ind w:firstLine="0"/>
              <w:rPr>
                <w:rFonts w:cs="Times New Roman"/>
                <w:sz w:val="24"/>
                <w:szCs w:val="24"/>
              </w:rPr>
            </w:pPr>
            <w:r w:rsidRPr="00BF5673">
              <w:rPr>
                <w:rFonts w:cs="Times New Roman"/>
                <w:sz w:val="24"/>
                <w:szCs w:val="24"/>
              </w:rPr>
              <w:t>Regulas I Pielikuma 3.punkta 1.apakšpunkts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43D1F9B" w14:textId="77777777">
            <w:pPr>
              <w:ind w:firstLine="0"/>
              <w:rPr>
                <w:rFonts w:cs="Times New Roman"/>
                <w:sz w:val="24"/>
                <w:szCs w:val="24"/>
              </w:rPr>
            </w:pPr>
            <w:r w:rsidRPr="00BF5673">
              <w:rPr>
                <w:rFonts w:cs="Times New Roman"/>
                <w:sz w:val="24"/>
                <w:szCs w:val="24"/>
              </w:rPr>
              <w:t>Projekta 80.panta četrpadsmitās daļa 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7F23B9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2E44E11"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7C2D79E4"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09D54BA" w14:textId="77777777">
            <w:pPr>
              <w:ind w:firstLine="0"/>
              <w:rPr>
                <w:rFonts w:cs="Times New Roman"/>
                <w:sz w:val="24"/>
                <w:szCs w:val="24"/>
              </w:rPr>
            </w:pPr>
            <w:r w:rsidRPr="00BF5673">
              <w:rPr>
                <w:rFonts w:cs="Times New Roman"/>
                <w:sz w:val="24"/>
                <w:szCs w:val="24"/>
              </w:rPr>
              <w:t>Regulas I Pielikuma 3.punkta 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EC826EE" w14:textId="77777777">
            <w:pPr>
              <w:ind w:firstLine="0"/>
              <w:rPr>
                <w:rFonts w:cs="Times New Roman"/>
                <w:sz w:val="24"/>
                <w:szCs w:val="24"/>
              </w:rPr>
            </w:pPr>
            <w:r w:rsidRPr="00BF5673">
              <w:rPr>
                <w:rFonts w:cs="Times New Roman"/>
                <w:sz w:val="24"/>
                <w:szCs w:val="24"/>
              </w:rPr>
              <w:t>Projekta 80.panta četrpadsmitās daļa 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F8A5D9D"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2A36321E"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281A5CE9"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7AA2D97" w14:textId="77777777">
            <w:pPr>
              <w:ind w:firstLine="0"/>
              <w:rPr>
                <w:rFonts w:cs="Times New Roman"/>
                <w:sz w:val="24"/>
                <w:szCs w:val="24"/>
              </w:rPr>
            </w:pPr>
            <w:r w:rsidRPr="00BF5673">
              <w:rPr>
                <w:rFonts w:cs="Times New Roman"/>
                <w:sz w:val="24"/>
                <w:szCs w:val="24"/>
              </w:rPr>
              <w:t>Regulas I Pielikuma 3.punkta 3.apakšpunkts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6A3ED2B" w14:textId="77777777">
            <w:pPr>
              <w:ind w:firstLine="0"/>
              <w:rPr>
                <w:rFonts w:cs="Times New Roman"/>
                <w:sz w:val="24"/>
                <w:szCs w:val="24"/>
              </w:rPr>
            </w:pPr>
            <w:r w:rsidRPr="00BF5673">
              <w:rPr>
                <w:rFonts w:cs="Times New Roman"/>
                <w:sz w:val="24"/>
                <w:szCs w:val="24"/>
              </w:rPr>
              <w:t>Projekta 80.panta piecpadsmitās daļa 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9CE7970"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115B054"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7303F78D"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66B1AAF" w14:textId="77777777">
            <w:pPr>
              <w:ind w:firstLine="0"/>
              <w:rPr>
                <w:rFonts w:cs="Times New Roman"/>
                <w:sz w:val="24"/>
                <w:szCs w:val="24"/>
              </w:rPr>
            </w:pPr>
            <w:r w:rsidRPr="00BF5673">
              <w:rPr>
                <w:rFonts w:cs="Times New Roman"/>
                <w:sz w:val="24"/>
                <w:szCs w:val="24"/>
              </w:rPr>
              <w:t>Regulas I Pielikuma 3.punkta 4.apakšpunkts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5EB5C5B" w14:textId="77777777">
            <w:pPr>
              <w:ind w:firstLine="0"/>
              <w:rPr>
                <w:rFonts w:cs="Times New Roman"/>
                <w:sz w:val="24"/>
                <w:szCs w:val="24"/>
              </w:rPr>
            </w:pPr>
            <w:r w:rsidRPr="00BF5673">
              <w:rPr>
                <w:rFonts w:cs="Times New Roman"/>
                <w:sz w:val="24"/>
                <w:szCs w:val="24"/>
              </w:rPr>
              <w:t>Projekta 80.panta piecpadsmitās daļa 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142CC0D"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A9AE305"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024BECFA"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7A3CDA06" w14:textId="77777777">
            <w:pPr>
              <w:ind w:firstLine="0"/>
              <w:rPr>
                <w:rFonts w:cs="Times New Roman"/>
                <w:sz w:val="24"/>
                <w:szCs w:val="24"/>
              </w:rPr>
            </w:pPr>
            <w:r w:rsidRPr="00BF5673">
              <w:rPr>
                <w:rFonts w:cs="Times New Roman"/>
                <w:sz w:val="24"/>
                <w:szCs w:val="24"/>
              </w:rPr>
              <w:t>Regulas I Pielikuma 3.punkta 5.apakšpunkts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B85177D" w14:textId="77777777">
            <w:pPr>
              <w:ind w:firstLine="0"/>
              <w:rPr>
                <w:rFonts w:cs="Times New Roman"/>
                <w:sz w:val="24"/>
                <w:szCs w:val="24"/>
              </w:rPr>
            </w:pPr>
            <w:r w:rsidRPr="00BF5673">
              <w:rPr>
                <w:rFonts w:cs="Times New Roman"/>
                <w:sz w:val="24"/>
                <w:szCs w:val="24"/>
              </w:rPr>
              <w:t>Projekta 80.panta sešpadsmitās daļa 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BE2BAE7"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428F501"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3689ADD7"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5CEDC7B" w14:textId="77777777">
            <w:pPr>
              <w:ind w:firstLine="0"/>
              <w:rPr>
                <w:rFonts w:cs="Times New Roman"/>
                <w:sz w:val="24"/>
                <w:szCs w:val="24"/>
              </w:rPr>
            </w:pPr>
            <w:r w:rsidRPr="00BF5673">
              <w:rPr>
                <w:rFonts w:cs="Times New Roman"/>
                <w:sz w:val="24"/>
                <w:szCs w:val="24"/>
              </w:rPr>
              <w:t>Regulas I Pielikuma 3.punkta 6.apakšpunkts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BED3439" w14:textId="77777777">
            <w:pPr>
              <w:ind w:firstLine="0"/>
              <w:rPr>
                <w:rFonts w:cs="Times New Roman"/>
                <w:sz w:val="24"/>
                <w:szCs w:val="24"/>
              </w:rPr>
            </w:pPr>
            <w:r w:rsidRPr="00BF5673">
              <w:rPr>
                <w:rFonts w:cs="Times New Roman"/>
                <w:sz w:val="24"/>
                <w:szCs w:val="24"/>
              </w:rPr>
              <w:t>Projekta 80.panta sešpadsmitās daļa 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5F961DF"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B2C88D2"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0178A4E7"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5ADEEADE" w14:textId="77777777">
            <w:pPr>
              <w:ind w:firstLine="0"/>
              <w:rPr>
                <w:rFonts w:cs="Times New Roman"/>
                <w:sz w:val="24"/>
                <w:szCs w:val="24"/>
              </w:rPr>
            </w:pPr>
            <w:r w:rsidRPr="00BF5673">
              <w:rPr>
                <w:rFonts w:cs="Times New Roman"/>
                <w:sz w:val="24"/>
                <w:szCs w:val="24"/>
              </w:rPr>
              <w:t xml:space="preserve">Regulas I Pielikuma </w:t>
            </w:r>
            <w:r w:rsidRPr="00BF5673">
              <w:rPr>
                <w:rFonts w:cs="Times New Roman"/>
                <w:sz w:val="24"/>
                <w:szCs w:val="24"/>
              </w:rPr>
              <w:lastRenderedPageBreak/>
              <w:t>3.punkta 7.apakšpunkts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4E537B7" w14:textId="77777777">
            <w:pPr>
              <w:ind w:firstLine="0"/>
              <w:rPr>
                <w:rFonts w:cs="Times New Roman"/>
                <w:sz w:val="24"/>
                <w:szCs w:val="24"/>
              </w:rPr>
            </w:pPr>
            <w:r w:rsidRPr="00BF5673">
              <w:rPr>
                <w:rFonts w:cs="Times New Roman"/>
                <w:sz w:val="24"/>
                <w:szCs w:val="24"/>
              </w:rPr>
              <w:lastRenderedPageBreak/>
              <w:t xml:space="preserve">Projekta 80.panta </w:t>
            </w:r>
            <w:r w:rsidRPr="00BF5673">
              <w:rPr>
                <w:rFonts w:cs="Times New Roman"/>
                <w:sz w:val="24"/>
                <w:szCs w:val="24"/>
              </w:rPr>
              <w:lastRenderedPageBreak/>
              <w:t>septiņpadsmitās daļa 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589744FD" w14:textId="77777777">
            <w:pPr>
              <w:ind w:firstLine="0"/>
              <w:rPr>
                <w:rFonts w:cs="Times New Roman"/>
                <w:sz w:val="24"/>
                <w:szCs w:val="24"/>
              </w:rPr>
            </w:pPr>
            <w:r w:rsidRPr="00BF5673">
              <w:rPr>
                <w:rFonts w:cs="Times New Roman"/>
                <w:sz w:val="24"/>
                <w:szCs w:val="24"/>
              </w:rPr>
              <w:lastRenderedPageBreak/>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E3E9220"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13B96E96"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C5AEC24" w14:textId="77777777">
            <w:pPr>
              <w:ind w:firstLine="0"/>
              <w:rPr>
                <w:rFonts w:cs="Times New Roman"/>
                <w:sz w:val="24"/>
                <w:szCs w:val="24"/>
              </w:rPr>
            </w:pPr>
            <w:r w:rsidRPr="00BF5673">
              <w:rPr>
                <w:rFonts w:cs="Times New Roman"/>
                <w:sz w:val="24"/>
                <w:szCs w:val="24"/>
              </w:rPr>
              <w:t>Regulas I Pielikuma 3.punkta 8.apakšpunkts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1721D9BA" w14:textId="77777777">
            <w:pPr>
              <w:ind w:firstLine="0"/>
              <w:rPr>
                <w:rFonts w:cs="Times New Roman"/>
                <w:sz w:val="24"/>
                <w:szCs w:val="24"/>
              </w:rPr>
            </w:pPr>
            <w:r w:rsidRPr="00BF5673">
              <w:rPr>
                <w:rFonts w:cs="Times New Roman"/>
                <w:sz w:val="24"/>
                <w:szCs w:val="24"/>
              </w:rPr>
              <w:t>Projekta 80.panta septiņpadsmitās daļa 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8AA7FD7"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FF70CF9"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271A966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BD41C36" w14:textId="77777777">
            <w:pPr>
              <w:ind w:firstLine="0"/>
              <w:rPr>
                <w:rFonts w:cs="Times New Roman"/>
                <w:sz w:val="24"/>
                <w:szCs w:val="24"/>
              </w:rPr>
            </w:pPr>
            <w:r w:rsidRPr="00BF5673">
              <w:rPr>
                <w:rFonts w:cs="Times New Roman"/>
                <w:sz w:val="24"/>
                <w:szCs w:val="24"/>
              </w:rPr>
              <w:t>Regulas I Pielikuma 3.punkta 9.apakšpunkts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34B3027" w14:textId="77777777">
            <w:pPr>
              <w:ind w:firstLine="0"/>
              <w:rPr>
                <w:rFonts w:cs="Times New Roman"/>
                <w:sz w:val="24"/>
                <w:szCs w:val="24"/>
              </w:rPr>
            </w:pPr>
            <w:r w:rsidRPr="00BF5673">
              <w:rPr>
                <w:rFonts w:cs="Times New Roman"/>
                <w:sz w:val="24"/>
                <w:szCs w:val="24"/>
              </w:rPr>
              <w:t>Projekta 80.panta astoņpadsmitās daļa s 1.punkts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168312F3"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3D7AB265"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0DE1DB7E"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42097CE2" w14:textId="77777777">
            <w:pPr>
              <w:ind w:firstLine="0"/>
              <w:rPr>
                <w:rFonts w:cs="Times New Roman"/>
                <w:sz w:val="24"/>
                <w:szCs w:val="24"/>
              </w:rPr>
            </w:pPr>
            <w:r w:rsidRPr="00BF5673">
              <w:rPr>
                <w:rFonts w:cs="Times New Roman"/>
                <w:sz w:val="24"/>
                <w:szCs w:val="24"/>
              </w:rPr>
              <w:t>Regulas I Pielikuma 3.punkta 10.apakšpunkts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0108C72B" w14:textId="77777777">
            <w:pPr>
              <w:ind w:firstLine="0"/>
              <w:rPr>
                <w:rFonts w:cs="Times New Roman"/>
                <w:sz w:val="24"/>
                <w:szCs w:val="24"/>
              </w:rPr>
            </w:pPr>
            <w:r w:rsidRPr="00BF5673">
              <w:rPr>
                <w:rFonts w:cs="Times New Roman"/>
                <w:sz w:val="24"/>
                <w:szCs w:val="24"/>
              </w:rPr>
              <w:t>Projekta 80.panta astoņpadsmitās daļa s 2.punkts</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8CD60A9"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0A021B66"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2462ECFC"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2CAE3688" w14:textId="77777777">
            <w:pPr>
              <w:ind w:firstLine="0"/>
              <w:rPr>
                <w:rFonts w:cs="Times New Roman"/>
                <w:sz w:val="24"/>
                <w:szCs w:val="24"/>
              </w:rPr>
            </w:pPr>
            <w:r w:rsidRPr="00BF5673">
              <w:rPr>
                <w:rFonts w:cs="Times New Roman"/>
                <w:sz w:val="24"/>
                <w:szCs w:val="24"/>
              </w:rPr>
              <w:t>Regulas I Pielikuma 3.punkta 11. un 12..apakšpunkts</w:t>
            </w:r>
          </w:p>
        </w:tc>
        <w:tc>
          <w:tcPr>
            <w:tcW w:w="897" w:type="pct"/>
            <w:gridSpan w:val="2"/>
            <w:tcBorders>
              <w:top w:val="outset" w:color="auto" w:sz="6" w:space="0"/>
              <w:left w:val="outset" w:color="auto" w:sz="6" w:space="0"/>
              <w:bottom w:val="outset" w:color="auto" w:sz="6" w:space="0"/>
              <w:right w:val="outset" w:color="auto" w:sz="6" w:space="0"/>
            </w:tcBorders>
          </w:tcPr>
          <w:p w:rsidRPr="00BF5673" w:rsidR="007F2634" w:rsidP="005D06AD" w:rsidRDefault="007F2634" w14:paraId="326EDD5E" w14:textId="77777777">
            <w:pPr>
              <w:ind w:firstLine="0"/>
              <w:rPr>
                <w:rFonts w:cs="Times New Roman"/>
                <w:sz w:val="24"/>
                <w:szCs w:val="24"/>
              </w:rPr>
            </w:pPr>
            <w:r w:rsidRPr="00BF5673">
              <w:rPr>
                <w:rFonts w:cs="Times New Roman"/>
                <w:sz w:val="24"/>
                <w:szCs w:val="24"/>
              </w:rPr>
              <w:t>Projekta 80.panta deviņpadsmitā daļa</w:t>
            </w:r>
          </w:p>
        </w:tc>
        <w:tc>
          <w:tcPr>
            <w:tcW w:w="745"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622F3072" w14:textId="77777777">
            <w:pPr>
              <w:ind w:firstLine="0"/>
              <w:rPr>
                <w:rFonts w:cs="Times New Roman"/>
                <w:sz w:val="24"/>
                <w:szCs w:val="24"/>
              </w:rPr>
            </w:pPr>
            <w:r w:rsidRPr="00BF5673">
              <w:rPr>
                <w:rFonts w:cs="Times New Roman"/>
                <w:sz w:val="24"/>
                <w:szCs w:val="24"/>
              </w:rPr>
              <w:t>Prasības tiek ieviestas pilnībā.</w:t>
            </w:r>
          </w:p>
        </w:tc>
        <w:tc>
          <w:tcPr>
            <w:tcW w:w="2342" w:type="pct"/>
            <w:tcBorders>
              <w:top w:val="outset" w:color="auto" w:sz="6" w:space="0"/>
              <w:left w:val="outset" w:color="auto" w:sz="6" w:space="0"/>
              <w:bottom w:val="outset" w:color="auto" w:sz="6" w:space="0"/>
              <w:right w:val="outset" w:color="auto" w:sz="6" w:space="0"/>
            </w:tcBorders>
          </w:tcPr>
          <w:p w:rsidRPr="00BF5673" w:rsidR="007F2634" w:rsidP="005D06AD" w:rsidRDefault="007F2634" w14:paraId="47626253" w14:textId="77777777">
            <w:pPr>
              <w:ind w:firstLine="0"/>
              <w:rPr>
                <w:rFonts w:cs="Times New Roman"/>
                <w:sz w:val="24"/>
                <w:szCs w:val="24"/>
              </w:rPr>
            </w:pPr>
            <w:r w:rsidRPr="00BF5673">
              <w:rPr>
                <w:rFonts w:cs="Times New Roman"/>
                <w:sz w:val="24"/>
                <w:szCs w:val="24"/>
              </w:rPr>
              <w:t>Stingrākas prasības neparedz.</w:t>
            </w:r>
          </w:p>
        </w:tc>
      </w:tr>
      <w:tr w:rsidRPr="00BF5673" w:rsidR="007F2634" w:rsidTr="00BF5673" w14:paraId="2C59B7E6" w14:textId="77777777">
        <w:tblPrEx>
          <w:jc w:val="center"/>
          <w:tblCellSpacing w:w="15" w:type="dxa"/>
          <w:tblBorders>
            <w:insideH w:val="none" w:color="auto" w:sz="0" w:space="0"/>
            <w:insideV w:val="none" w:color="auto" w:sz="0" w:space="0"/>
          </w:tblBorders>
          <w:shd w:val="clear" w:color="auto" w:fill="auto"/>
        </w:tblPrEx>
        <w:trPr>
          <w:trHeight w:val="2911"/>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022A496E" w14:textId="77777777">
            <w:pPr>
              <w:ind w:firstLine="0"/>
              <w:rPr>
                <w:rFonts w:cs="Times New Roman"/>
                <w:sz w:val="24"/>
                <w:szCs w:val="24"/>
              </w:rPr>
            </w:pPr>
            <w:r w:rsidRPr="00BF5673">
              <w:rPr>
                <w:rFonts w:cs="Times New Roman"/>
                <w:sz w:val="24"/>
                <w:szCs w:val="24"/>
              </w:rPr>
              <w:t>Kā ir izmantota ES tiesību aktā paredzētā rīcības brīvība dalībvalstij pārņemt vai ieviest noteiktas ES tiesību akta normas?</w:t>
            </w:r>
            <w:r w:rsidRPr="00BF5673">
              <w:rPr>
                <w:rFonts w:cs="Times New Roman"/>
                <w:sz w:val="24"/>
                <w:szCs w:val="24"/>
              </w:rPr>
              <w:br/>
              <w:t>Kādēļ?</w:t>
            </w:r>
          </w:p>
        </w:tc>
        <w:tc>
          <w:tcPr>
            <w:tcW w:w="4029" w:type="pct"/>
            <w:gridSpan w:val="4"/>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B4FB82F" w14:textId="77777777">
            <w:pPr>
              <w:ind w:firstLine="0"/>
              <w:rPr>
                <w:rFonts w:cs="Times New Roman"/>
                <w:sz w:val="24"/>
                <w:szCs w:val="24"/>
              </w:rPr>
            </w:pPr>
            <w:r w:rsidRPr="00BF5673">
              <w:rPr>
                <w:rFonts w:cs="Times New Roman"/>
                <w:sz w:val="24"/>
                <w:szCs w:val="24"/>
              </w:rPr>
              <w:t>Projekts šo jomu neskar.</w:t>
            </w:r>
          </w:p>
        </w:tc>
      </w:tr>
      <w:tr w:rsidRPr="00BF5673" w:rsidR="007F2634" w:rsidTr="00BF5673" w14:paraId="2B458044" w14:textId="77777777">
        <w:tblPrEx>
          <w:jc w:val="center"/>
          <w:tblCellSpacing w:w="15" w:type="dxa"/>
          <w:tblBorders>
            <w:insideH w:val="none" w:color="auto" w:sz="0" w:space="0"/>
            <w:insideV w:val="none" w:color="auto" w:sz="0" w:space="0"/>
          </w:tblBorders>
          <w:shd w:val="clear" w:color="auto" w:fill="auto"/>
        </w:tblPrEx>
        <w:trPr>
          <w:trHeight w:val="22"/>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08F0AE5A" w14:textId="77777777">
            <w:pPr>
              <w:ind w:firstLine="0"/>
              <w:rPr>
                <w:rFonts w:cs="Times New Roman"/>
                <w:sz w:val="24"/>
                <w:szCs w:val="24"/>
              </w:rPr>
            </w:pPr>
            <w:r w:rsidRPr="00BF5673">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29" w:type="pct"/>
            <w:gridSpan w:val="4"/>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145D643A" w14:textId="77777777">
            <w:pPr>
              <w:tabs>
                <w:tab w:val="left" w:pos="6135"/>
              </w:tabs>
              <w:ind w:firstLine="0"/>
              <w:rPr>
                <w:rFonts w:cs="Times New Roman"/>
                <w:sz w:val="24"/>
                <w:szCs w:val="24"/>
              </w:rPr>
            </w:pPr>
            <w:r w:rsidRPr="00BF5673">
              <w:rPr>
                <w:rFonts w:cs="Times New Roman"/>
                <w:sz w:val="24"/>
                <w:szCs w:val="24"/>
              </w:rPr>
              <w:t>Projekts šo jomu neskar.</w:t>
            </w:r>
            <w:r w:rsidRPr="00BF5673">
              <w:rPr>
                <w:rFonts w:cs="Times New Roman"/>
                <w:sz w:val="24"/>
                <w:szCs w:val="24"/>
              </w:rPr>
              <w:tab/>
            </w:r>
          </w:p>
          <w:p w:rsidRPr="00BF5673" w:rsidR="007F2634" w:rsidP="005D06AD" w:rsidRDefault="007F2634" w14:paraId="5DDABB04" w14:textId="77777777">
            <w:pPr>
              <w:tabs>
                <w:tab w:val="left" w:pos="6135"/>
              </w:tabs>
              <w:ind w:firstLine="0"/>
              <w:rPr>
                <w:rFonts w:cs="Times New Roman"/>
                <w:sz w:val="24"/>
                <w:szCs w:val="24"/>
              </w:rPr>
            </w:pPr>
          </w:p>
        </w:tc>
      </w:tr>
      <w:tr w:rsidRPr="00BF5673" w:rsidR="007F2634" w:rsidTr="00BF5673" w14:paraId="1261102D"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904" w:type="pct"/>
            <w:gridSpan w:val="2"/>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4567531" w14:textId="77777777">
            <w:pPr>
              <w:ind w:firstLine="0"/>
              <w:rPr>
                <w:rFonts w:cs="Times New Roman"/>
                <w:sz w:val="24"/>
                <w:szCs w:val="24"/>
              </w:rPr>
            </w:pPr>
            <w:r w:rsidRPr="00BF5673">
              <w:rPr>
                <w:rFonts w:cs="Times New Roman"/>
                <w:sz w:val="24"/>
                <w:szCs w:val="24"/>
              </w:rPr>
              <w:lastRenderedPageBreak/>
              <w:t>Cita informācija</w:t>
            </w:r>
          </w:p>
        </w:tc>
        <w:tc>
          <w:tcPr>
            <w:tcW w:w="4029" w:type="pct"/>
            <w:gridSpan w:val="4"/>
            <w:tcBorders>
              <w:top w:val="outset" w:color="auto" w:sz="6" w:space="0"/>
              <w:left w:val="outset" w:color="auto" w:sz="6" w:space="0"/>
              <w:bottom w:val="outset" w:color="auto" w:sz="6" w:space="0"/>
              <w:right w:val="outset" w:color="auto" w:sz="6" w:space="0"/>
            </w:tcBorders>
            <w:hideMark/>
          </w:tcPr>
          <w:p w:rsidRPr="00BF5673" w:rsidR="007F2634" w:rsidP="005D06AD" w:rsidRDefault="007F2634" w14:paraId="23DA8D07" w14:textId="77777777">
            <w:pPr>
              <w:ind w:firstLine="0"/>
              <w:rPr>
                <w:rFonts w:cs="Times New Roman"/>
                <w:sz w:val="24"/>
                <w:szCs w:val="24"/>
              </w:rPr>
            </w:pPr>
            <w:r w:rsidRPr="00BF5673">
              <w:rPr>
                <w:rFonts w:cs="Times New Roman"/>
                <w:sz w:val="24"/>
                <w:szCs w:val="24"/>
              </w:rPr>
              <w:t>Nav.</w:t>
            </w:r>
          </w:p>
        </w:tc>
      </w:tr>
      <w:tr w:rsidRPr="00BF5673" w:rsidR="007F2634" w:rsidTr="00BF5673" w14:paraId="5A899303"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4956" w:type="pct"/>
            <w:gridSpan w:val="6"/>
            <w:tcBorders>
              <w:top w:val="outset" w:color="auto" w:sz="6" w:space="0"/>
              <w:left w:val="outset" w:color="auto" w:sz="6" w:space="0"/>
              <w:bottom w:val="outset" w:color="auto" w:sz="6" w:space="0"/>
              <w:right w:val="outset" w:color="auto" w:sz="6" w:space="0"/>
            </w:tcBorders>
            <w:vAlign w:val="center"/>
            <w:hideMark/>
          </w:tcPr>
          <w:p w:rsidRPr="00BF5673" w:rsidR="007F2634" w:rsidP="005D06AD" w:rsidRDefault="007F2634" w14:paraId="30B63E87" w14:textId="77777777">
            <w:pPr>
              <w:ind w:firstLine="0"/>
              <w:jc w:val="center"/>
              <w:rPr>
                <w:rFonts w:cs="Times New Roman"/>
                <w:b/>
                <w:bCs/>
                <w:sz w:val="24"/>
                <w:szCs w:val="24"/>
              </w:rPr>
            </w:pPr>
            <w:r w:rsidRPr="00BF5673">
              <w:rPr>
                <w:rFonts w:cs="Times New Roman"/>
                <w:b/>
                <w:bCs/>
                <w:sz w:val="24"/>
                <w:szCs w:val="24"/>
              </w:rPr>
              <w:t>2.tabula</w:t>
            </w:r>
            <w:r w:rsidRPr="00BF5673">
              <w:rPr>
                <w:rFonts w:cs="Times New Roman"/>
                <w:b/>
                <w:bCs/>
                <w:sz w:val="24"/>
                <w:szCs w:val="24"/>
              </w:rPr>
              <w:br/>
              <w:t>Ar tiesību akta projektu izpildītās vai uzņemtās saistības, kas izriet no starptautiskajiem tiesību aktiem vai starptautiskas institūcijas vai organizācijas dokumentiem.</w:t>
            </w:r>
            <w:r w:rsidRPr="00BF5673">
              <w:rPr>
                <w:rFonts w:cs="Times New Roman"/>
                <w:b/>
                <w:bCs/>
                <w:sz w:val="24"/>
                <w:szCs w:val="24"/>
              </w:rPr>
              <w:br/>
              <w:t>Pasākumi šo saistību izpildei</w:t>
            </w:r>
          </w:p>
        </w:tc>
      </w:tr>
      <w:tr w:rsidRPr="00BF5673" w:rsidR="007F2634" w:rsidTr="00BF5673" w14:paraId="40F493CD" w14:textId="77777777">
        <w:tblPrEx>
          <w:jc w:val="center"/>
          <w:tblCellSpacing w:w="15" w:type="dxa"/>
          <w:tblBorders>
            <w:insideH w:val="none" w:color="auto" w:sz="0" w:space="0"/>
            <w:insideV w:val="none" w:color="auto" w:sz="0" w:space="0"/>
          </w:tblBorders>
          <w:shd w:val="clear" w:color="auto" w:fill="auto"/>
        </w:tblPrEx>
        <w:trPr>
          <w:tblCellSpacing w:w="15" w:type="dxa"/>
          <w:jc w:val="center"/>
        </w:trPr>
        <w:tc>
          <w:tcPr>
            <w:tcW w:w="4956" w:type="pct"/>
            <w:gridSpan w:val="6"/>
            <w:tcBorders>
              <w:top w:val="outset" w:color="auto" w:sz="6" w:space="0"/>
              <w:left w:val="outset" w:color="auto" w:sz="6" w:space="0"/>
              <w:bottom w:val="outset" w:color="auto" w:sz="6" w:space="0"/>
              <w:right w:val="outset" w:color="auto" w:sz="6" w:space="0"/>
            </w:tcBorders>
          </w:tcPr>
          <w:p w:rsidRPr="00BF5673" w:rsidR="007F2634" w:rsidP="005D06AD" w:rsidRDefault="007F2634" w14:paraId="6AD9CF5A" w14:textId="77777777">
            <w:pPr>
              <w:ind w:firstLine="0"/>
              <w:jc w:val="center"/>
              <w:rPr>
                <w:rFonts w:cs="Times New Roman"/>
                <w:sz w:val="24"/>
                <w:szCs w:val="24"/>
              </w:rPr>
            </w:pPr>
            <w:r w:rsidRPr="00BF5673">
              <w:rPr>
                <w:rFonts w:cs="Times New Roman"/>
                <w:sz w:val="24"/>
                <w:szCs w:val="24"/>
              </w:rPr>
              <w:t>Projekts šo jomu neskar.</w:t>
            </w:r>
          </w:p>
        </w:tc>
      </w:tr>
    </w:tbl>
    <w:p w:rsidRPr="00BF5673" w:rsidR="00273266" w:rsidP="002D1699" w:rsidRDefault="00273266" w14:paraId="43DB174D"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F5673" w:rsidR="002D1699" w:rsidTr="005D06AD" w14:paraId="73522712" w14:textId="77777777">
        <w:trPr>
          <w:trHeight w:val="420"/>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BF5673" w:rsidR="002D1699" w:rsidP="008D361B" w:rsidRDefault="002D1699" w14:paraId="238D0053" w14:textId="77777777">
            <w:pPr>
              <w:ind w:firstLine="0"/>
              <w:jc w:val="center"/>
              <w:rPr>
                <w:rFonts w:cs="Times New Roman"/>
                <w:b/>
                <w:bCs/>
                <w:sz w:val="24"/>
                <w:szCs w:val="24"/>
              </w:rPr>
            </w:pPr>
            <w:r w:rsidRPr="00BF5673">
              <w:rPr>
                <w:rFonts w:cs="Times New Roman"/>
                <w:b/>
                <w:bCs/>
                <w:sz w:val="24"/>
                <w:szCs w:val="24"/>
              </w:rPr>
              <w:t>VI. Sabiedrības līdzdalība un komunikācijas aktivitātes</w:t>
            </w:r>
          </w:p>
        </w:tc>
      </w:tr>
      <w:tr w:rsidRPr="00BF5673" w:rsidR="00D22771" w:rsidTr="005D06AD" w14:paraId="10666A42" w14:textId="77777777">
        <w:trPr>
          <w:trHeight w:val="420"/>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BF5673" w:rsidR="00D22771" w:rsidP="008D361B" w:rsidRDefault="00D22771" w14:paraId="31B1E336" w14:textId="77777777">
            <w:pPr>
              <w:ind w:firstLine="0"/>
              <w:jc w:val="center"/>
              <w:rPr>
                <w:rFonts w:cs="Times New Roman"/>
                <w:bCs/>
                <w:sz w:val="24"/>
                <w:szCs w:val="24"/>
              </w:rPr>
            </w:pPr>
            <w:r w:rsidRPr="00BF5673">
              <w:rPr>
                <w:rFonts w:cs="Times New Roman"/>
                <w:bCs/>
                <w:sz w:val="24"/>
                <w:szCs w:val="24"/>
              </w:rPr>
              <w:t>Projekts šo jomu neskar.</w:t>
            </w:r>
          </w:p>
        </w:tc>
      </w:tr>
    </w:tbl>
    <w:p w:rsidRPr="00BF5673" w:rsidR="00273266" w:rsidP="002D1699" w:rsidRDefault="002D1699" w14:paraId="64F52CA9" w14:textId="575D009A">
      <w:pPr>
        <w:ind w:firstLine="0"/>
        <w:rPr>
          <w:rFonts w:cs="Times New Roman"/>
          <w:sz w:val="24"/>
          <w:szCs w:val="24"/>
        </w:rPr>
      </w:pPr>
      <w:r w:rsidRPr="00BF5673">
        <w:rPr>
          <w:rFonts w:cs="Times New Roman"/>
          <w:sz w:val="24"/>
          <w:szCs w:val="24"/>
        </w:rPr>
        <w:t> </w:t>
      </w: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Pr="00BF5673" w:rsidR="002D1699" w:rsidTr="005D06AD" w14:paraId="0D5F32C1" w14:textId="77777777">
        <w:trPr>
          <w:trHeight w:val="375"/>
          <w:tblCellSpacing w:w="15" w:type="dxa"/>
          <w:jc w:val="center"/>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F5673" w:rsidR="002D1699" w:rsidP="008D361B" w:rsidRDefault="002D1699" w14:paraId="603FDF1D" w14:textId="77777777">
            <w:pPr>
              <w:ind w:firstLine="0"/>
              <w:jc w:val="center"/>
              <w:rPr>
                <w:rFonts w:cs="Times New Roman"/>
                <w:b/>
                <w:bCs/>
                <w:sz w:val="24"/>
                <w:szCs w:val="24"/>
              </w:rPr>
            </w:pPr>
            <w:r w:rsidRPr="00BF5673">
              <w:rPr>
                <w:rFonts w:cs="Times New Roman"/>
                <w:b/>
                <w:bCs/>
                <w:sz w:val="24"/>
                <w:szCs w:val="24"/>
              </w:rPr>
              <w:t>VII. Tiesību akta projekta izpildes nodrošināšana un tās ietekme uz institūcijām</w:t>
            </w:r>
          </w:p>
        </w:tc>
      </w:tr>
      <w:tr w:rsidRPr="00BF5673" w:rsidR="002D1699" w:rsidTr="005D06AD" w14:paraId="4D8B1028" w14:textId="77777777">
        <w:trPr>
          <w:trHeight w:val="42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182ADA13" w14:textId="77777777">
            <w:pPr>
              <w:ind w:firstLine="0"/>
              <w:rPr>
                <w:rFonts w:cs="Times New Roman"/>
                <w:sz w:val="24"/>
                <w:szCs w:val="24"/>
              </w:rPr>
            </w:pPr>
            <w:r w:rsidRPr="00BF5673">
              <w:rPr>
                <w:rFonts w:cs="Times New Roman"/>
                <w:sz w:val="24"/>
                <w:szCs w:val="24"/>
              </w:rPr>
              <w:t>1.</w:t>
            </w:r>
          </w:p>
        </w:tc>
        <w:tc>
          <w:tcPr>
            <w:tcW w:w="1875"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3EFCDB13" w14:textId="77777777">
            <w:pPr>
              <w:ind w:firstLine="0"/>
              <w:rPr>
                <w:rFonts w:cs="Times New Roman"/>
                <w:sz w:val="24"/>
                <w:szCs w:val="24"/>
              </w:rPr>
            </w:pPr>
            <w:r w:rsidRPr="00BF5673">
              <w:rPr>
                <w:rFonts w:cs="Times New Roman"/>
                <w:sz w:val="24"/>
                <w:szCs w:val="24"/>
              </w:rPr>
              <w:t>Projekta izpildē iesaistītās institūcijas</w:t>
            </w:r>
          </w:p>
        </w:tc>
        <w:tc>
          <w:tcPr>
            <w:tcW w:w="2813" w:type="pct"/>
            <w:tcBorders>
              <w:top w:val="outset" w:color="auto" w:sz="6" w:space="0"/>
              <w:left w:val="outset" w:color="auto" w:sz="6" w:space="0"/>
              <w:bottom w:val="outset" w:color="auto" w:sz="6" w:space="0"/>
              <w:right w:val="outset" w:color="auto" w:sz="6" w:space="0"/>
            </w:tcBorders>
            <w:hideMark/>
          </w:tcPr>
          <w:p w:rsidRPr="00BF5673" w:rsidR="002D1699" w:rsidP="00273266" w:rsidRDefault="0092053F" w14:paraId="056D4F62" w14:textId="20C9E101">
            <w:pPr>
              <w:ind w:firstLine="0"/>
              <w:jc w:val="both"/>
              <w:rPr>
                <w:rFonts w:cs="Times New Roman"/>
                <w:sz w:val="24"/>
                <w:szCs w:val="24"/>
              </w:rPr>
            </w:pPr>
            <w:r w:rsidRPr="00BF5673">
              <w:rPr>
                <w:rFonts w:cs="Times New Roman"/>
                <w:sz w:val="24"/>
                <w:szCs w:val="24"/>
              </w:rPr>
              <w:t>Valsts policija</w:t>
            </w:r>
            <w:r w:rsidRPr="00BF5673" w:rsidR="00DD7147">
              <w:rPr>
                <w:rFonts w:cs="Times New Roman"/>
                <w:sz w:val="24"/>
                <w:szCs w:val="24"/>
              </w:rPr>
              <w:t>, Valsts robežsardze,</w:t>
            </w:r>
            <w:r w:rsidRPr="00BF5673" w:rsidR="004C44F8">
              <w:rPr>
                <w:rFonts w:cs="Times New Roman"/>
                <w:sz w:val="24"/>
                <w:szCs w:val="24"/>
              </w:rPr>
              <w:t xml:space="preserve"> pašvaldīb</w:t>
            </w:r>
            <w:r w:rsidR="002C28D2">
              <w:rPr>
                <w:rFonts w:cs="Times New Roman"/>
                <w:sz w:val="24"/>
                <w:szCs w:val="24"/>
              </w:rPr>
              <w:t>as</w:t>
            </w:r>
            <w:r w:rsidRPr="00BF5673" w:rsidR="004C44F8">
              <w:rPr>
                <w:rFonts w:cs="Times New Roman"/>
                <w:sz w:val="24"/>
                <w:szCs w:val="24"/>
              </w:rPr>
              <w:t xml:space="preserve"> policija,</w:t>
            </w:r>
            <w:r w:rsidRPr="00BF5673" w:rsidR="00DD7147">
              <w:rPr>
                <w:rFonts w:cs="Times New Roman"/>
                <w:sz w:val="24"/>
                <w:szCs w:val="24"/>
              </w:rPr>
              <w:t xml:space="preserve"> pašvaldīb</w:t>
            </w:r>
            <w:r w:rsidRPr="00BF5673" w:rsidR="00273266">
              <w:rPr>
                <w:rFonts w:cs="Times New Roman"/>
                <w:sz w:val="24"/>
                <w:szCs w:val="24"/>
              </w:rPr>
              <w:t>as</w:t>
            </w:r>
            <w:r w:rsidRPr="00BF5673" w:rsidR="00DD7147">
              <w:rPr>
                <w:rFonts w:cs="Times New Roman"/>
                <w:sz w:val="24"/>
                <w:szCs w:val="24"/>
              </w:rPr>
              <w:t xml:space="preserve"> </w:t>
            </w:r>
            <w:r w:rsidRPr="00BF5673" w:rsidR="00273266">
              <w:rPr>
                <w:rFonts w:cs="Times New Roman"/>
                <w:sz w:val="24"/>
                <w:szCs w:val="24"/>
              </w:rPr>
              <w:t>Transporta kontroles dienests</w:t>
            </w:r>
            <w:r w:rsidRPr="00BF5673" w:rsidR="00350901">
              <w:rPr>
                <w:rFonts w:cs="Times New Roman"/>
                <w:sz w:val="24"/>
                <w:szCs w:val="24"/>
              </w:rPr>
              <w:t>, pašvaldīb</w:t>
            </w:r>
            <w:r w:rsidRPr="00BF5673" w:rsidR="00273266">
              <w:rPr>
                <w:rFonts w:cs="Times New Roman"/>
                <w:sz w:val="24"/>
                <w:szCs w:val="24"/>
              </w:rPr>
              <w:t>u</w:t>
            </w:r>
            <w:r w:rsidRPr="00BF5673" w:rsidR="00350901">
              <w:rPr>
                <w:rFonts w:cs="Times New Roman"/>
                <w:sz w:val="24"/>
                <w:szCs w:val="24"/>
              </w:rPr>
              <w:t xml:space="preserve"> administratīvās komisijas</w:t>
            </w:r>
            <w:r w:rsidRPr="00BF5673" w:rsidR="004262EA">
              <w:rPr>
                <w:rFonts w:cs="Times New Roman"/>
                <w:sz w:val="24"/>
                <w:szCs w:val="24"/>
              </w:rPr>
              <w:t xml:space="preserve"> un apakškomisijas</w:t>
            </w:r>
            <w:r w:rsidRPr="00BF5673" w:rsidR="00273266">
              <w:rPr>
                <w:rFonts w:cs="Times New Roman"/>
                <w:sz w:val="24"/>
                <w:szCs w:val="24"/>
              </w:rPr>
              <w:t>.</w:t>
            </w:r>
          </w:p>
        </w:tc>
      </w:tr>
      <w:tr w:rsidRPr="00BF5673" w:rsidR="002D1699" w:rsidTr="005D06AD" w14:paraId="65EC43B1" w14:textId="77777777">
        <w:trPr>
          <w:trHeight w:val="45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6AF7B927" w14:textId="77777777">
            <w:pPr>
              <w:ind w:firstLine="0"/>
              <w:rPr>
                <w:rFonts w:cs="Times New Roman"/>
                <w:sz w:val="24"/>
                <w:szCs w:val="24"/>
              </w:rPr>
            </w:pPr>
            <w:r w:rsidRPr="00BF5673">
              <w:rPr>
                <w:rFonts w:cs="Times New Roman"/>
                <w:sz w:val="24"/>
                <w:szCs w:val="24"/>
              </w:rPr>
              <w:t>2.</w:t>
            </w:r>
          </w:p>
        </w:tc>
        <w:tc>
          <w:tcPr>
            <w:tcW w:w="1875"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3C86F937" w14:textId="77777777">
            <w:pPr>
              <w:ind w:firstLine="0"/>
              <w:rPr>
                <w:rFonts w:cs="Times New Roman"/>
                <w:sz w:val="24"/>
                <w:szCs w:val="24"/>
              </w:rPr>
            </w:pPr>
            <w:r w:rsidRPr="00BF5673">
              <w:rPr>
                <w:rFonts w:cs="Times New Roman"/>
                <w:sz w:val="24"/>
                <w:szCs w:val="24"/>
              </w:rPr>
              <w:t xml:space="preserve">Projekta izpildes ietekme uz pārvaldes funkcijām un institucionālo struktūru. </w:t>
            </w:r>
          </w:p>
          <w:p w:rsidRPr="00BF5673" w:rsidR="002D1699" w:rsidP="005D06AD" w:rsidRDefault="002D1699" w14:paraId="21138A20" w14:textId="77777777">
            <w:pPr>
              <w:ind w:firstLine="0"/>
              <w:rPr>
                <w:rFonts w:cs="Times New Roman"/>
                <w:sz w:val="24"/>
                <w:szCs w:val="24"/>
              </w:rPr>
            </w:pPr>
            <w:r w:rsidRPr="00BF5673">
              <w:rPr>
                <w:rFonts w:cs="Times New Roman"/>
                <w:sz w:val="24"/>
                <w:szCs w:val="24"/>
              </w:rPr>
              <w:t>Jaunu institūciju izveide, esošu institūciju likvidācija vai reorganizācija, to ietekme uz institūcijas cilvēkresursiem</w:t>
            </w:r>
          </w:p>
        </w:tc>
        <w:tc>
          <w:tcPr>
            <w:tcW w:w="2813" w:type="pct"/>
            <w:tcBorders>
              <w:top w:val="outset" w:color="auto" w:sz="6" w:space="0"/>
              <w:left w:val="outset" w:color="auto" w:sz="6" w:space="0"/>
              <w:bottom w:val="outset" w:color="auto" w:sz="6" w:space="0"/>
              <w:right w:val="outset" w:color="auto" w:sz="6" w:space="0"/>
            </w:tcBorders>
            <w:hideMark/>
          </w:tcPr>
          <w:p w:rsidRPr="00BF5673" w:rsidR="00B31932" w:rsidP="00042E41" w:rsidRDefault="00E94A02" w14:paraId="05A6AA9F" w14:textId="77777777">
            <w:pPr>
              <w:ind w:firstLine="0"/>
              <w:jc w:val="both"/>
              <w:rPr>
                <w:rFonts w:cs="Times New Roman"/>
                <w:sz w:val="24"/>
                <w:szCs w:val="24"/>
              </w:rPr>
            </w:pPr>
            <w:r w:rsidRPr="00BF5673">
              <w:rPr>
                <w:rFonts w:cs="Times New Roman"/>
                <w:sz w:val="24"/>
                <w:szCs w:val="24"/>
              </w:rPr>
              <w:t xml:space="preserve">Institūcijām </w:t>
            </w:r>
            <w:r w:rsidRPr="00BF5673" w:rsidR="00B31932">
              <w:rPr>
                <w:rFonts w:cs="Times New Roman"/>
                <w:sz w:val="24"/>
                <w:szCs w:val="24"/>
              </w:rPr>
              <w:t>esošais funkciju un uzdevumu apjoms netiek mainīts.</w:t>
            </w:r>
          </w:p>
        </w:tc>
      </w:tr>
      <w:tr w:rsidRPr="00BF5673" w:rsidR="002D1699" w:rsidTr="005D06AD" w14:paraId="7B556331" w14:textId="77777777">
        <w:trPr>
          <w:trHeight w:val="39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33EDC467" w14:textId="77777777">
            <w:pPr>
              <w:ind w:firstLine="0"/>
              <w:rPr>
                <w:rFonts w:cs="Times New Roman"/>
                <w:sz w:val="24"/>
                <w:szCs w:val="24"/>
              </w:rPr>
            </w:pPr>
            <w:r w:rsidRPr="00BF5673">
              <w:rPr>
                <w:rFonts w:cs="Times New Roman"/>
                <w:sz w:val="24"/>
                <w:szCs w:val="24"/>
              </w:rPr>
              <w:t>3.</w:t>
            </w:r>
          </w:p>
        </w:tc>
        <w:tc>
          <w:tcPr>
            <w:tcW w:w="1875"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43947ADC" w14:textId="77777777">
            <w:pPr>
              <w:ind w:firstLine="0"/>
              <w:rPr>
                <w:rFonts w:cs="Times New Roman"/>
                <w:sz w:val="24"/>
                <w:szCs w:val="24"/>
              </w:rPr>
            </w:pPr>
            <w:r w:rsidRPr="00BF5673">
              <w:rPr>
                <w:rFonts w:cs="Times New Roman"/>
                <w:sz w:val="24"/>
                <w:szCs w:val="24"/>
              </w:rPr>
              <w:t>Cita informācija</w:t>
            </w:r>
          </w:p>
        </w:tc>
        <w:tc>
          <w:tcPr>
            <w:tcW w:w="2813" w:type="pct"/>
            <w:tcBorders>
              <w:top w:val="outset" w:color="auto" w:sz="6" w:space="0"/>
              <w:left w:val="outset" w:color="auto" w:sz="6" w:space="0"/>
              <w:bottom w:val="outset" w:color="auto" w:sz="6" w:space="0"/>
              <w:right w:val="outset" w:color="auto" w:sz="6" w:space="0"/>
            </w:tcBorders>
            <w:hideMark/>
          </w:tcPr>
          <w:p w:rsidRPr="00BF5673" w:rsidR="002D1699" w:rsidP="005D06AD" w:rsidRDefault="002D1699" w14:paraId="323A22CA" w14:textId="77777777">
            <w:pPr>
              <w:ind w:firstLine="0"/>
              <w:rPr>
                <w:rFonts w:cs="Times New Roman"/>
                <w:sz w:val="24"/>
                <w:szCs w:val="24"/>
              </w:rPr>
            </w:pPr>
            <w:r w:rsidRPr="00BF5673">
              <w:rPr>
                <w:rFonts w:cs="Times New Roman"/>
                <w:sz w:val="24"/>
                <w:szCs w:val="24"/>
              </w:rPr>
              <w:t>Nav</w:t>
            </w:r>
            <w:r w:rsidRPr="00BF5673" w:rsidR="0045312F">
              <w:rPr>
                <w:rFonts w:cs="Times New Roman"/>
                <w:sz w:val="24"/>
                <w:szCs w:val="24"/>
              </w:rPr>
              <w:t>.</w:t>
            </w:r>
          </w:p>
        </w:tc>
      </w:tr>
    </w:tbl>
    <w:p w:rsidR="002D1699" w:rsidP="002D1699" w:rsidRDefault="002D1699" w14:paraId="15CB3767" w14:textId="55A68E28">
      <w:pPr>
        <w:ind w:firstLine="0"/>
        <w:rPr>
          <w:rFonts w:cs="Times New Roman"/>
          <w:sz w:val="24"/>
          <w:szCs w:val="24"/>
        </w:rPr>
      </w:pPr>
    </w:p>
    <w:p w:rsidRPr="00BF5673" w:rsidR="002E3B60" w:rsidP="002D1699" w:rsidRDefault="002E3B60" w14:paraId="71A8831F" w14:textId="77777777">
      <w:pPr>
        <w:ind w:firstLine="0"/>
        <w:rPr>
          <w:rFonts w:cs="Times New Roman"/>
          <w:sz w:val="24"/>
          <w:szCs w:val="24"/>
        </w:rPr>
      </w:pPr>
    </w:p>
    <w:p w:rsidRPr="00B632F4" w:rsidR="00B632F4" w:rsidP="00B632F4" w:rsidRDefault="00B632F4" w14:paraId="0E7129CF" w14:textId="77777777">
      <w:pPr>
        <w:ind w:right="-335" w:firstLine="0"/>
        <w:rPr>
          <w:rFonts w:eastAsia="Times New Roman" w:cs="Times New Roman"/>
          <w:sz w:val="24"/>
          <w:szCs w:val="24"/>
        </w:rPr>
      </w:pPr>
      <w:r w:rsidRPr="00B632F4">
        <w:rPr>
          <w:rFonts w:eastAsia="Times New Roman" w:cs="Times New Roman"/>
          <w:sz w:val="24"/>
          <w:szCs w:val="24"/>
        </w:rPr>
        <w:t xml:space="preserve">Satiksmes ministrs </w:t>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t>T.Linkaits</w:t>
      </w:r>
    </w:p>
    <w:p w:rsidRPr="00B632F4" w:rsidR="00B632F4" w:rsidP="00B632F4" w:rsidRDefault="00B632F4" w14:paraId="265DAB2A" w14:textId="77777777">
      <w:pPr>
        <w:ind w:firstLine="0"/>
        <w:jc w:val="both"/>
        <w:rPr>
          <w:rFonts w:eastAsia="Times New Roman" w:cs="Times New Roman"/>
          <w:sz w:val="24"/>
          <w:szCs w:val="24"/>
        </w:rPr>
      </w:pP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r w:rsidRPr="00B632F4">
        <w:rPr>
          <w:rFonts w:eastAsia="Times New Roman" w:cs="Times New Roman"/>
          <w:sz w:val="24"/>
          <w:szCs w:val="24"/>
        </w:rPr>
        <w:tab/>
      </w:r>
    </w:p>
    <w:p w:rsidRPr="00B632F4" w:rsidR="00B632F4" w:rsidP="00B632F4" w:rsidRDefault="00B632F4" w14:paraId="727C303D" w14:textId="77777777">
      <w:pPr>
        <w:ind w:firstLine="0"/>
        <w:jc w:val="both"/>
        <w:rPr>
          <w:rFonts w:eastAsia="Times New Roman" w:cs="Times New Roman"/>
          <w:sz w:val="24"/>
          <w:szCs w:val="24"/>
        </w:rPr>
      </w:pPr>
    </w:p>
    <w:p w:rsidR="00B632F4" w:rsidP="00B632F4" w:rsidRDefault="00B632F4" w14:paraId="39D1BCBE" w14:textId="77777777">
      <w:pPr>
        <w:ind w:firstLine="0"/>
        <w:jc w:val="both"/>
        <w:rPr>
          <w:rFonts w:eastAsia="Times New Roman" w:cs="Times New Roman"/>
          <w:sz w:val="24"/>
          <w:szCs w:val="24"/>
          <w:lang w:eastAsia="lv-LV"/>
        </w:rPr>
      </w:pPr>
      <w:r w:rsidRPr="00B632F4">
        <w:rPr>
          <w:rFonts w:eastAsia="Times New Roman" w:cs="Times New Roman"/>
          <w:sz w:val="24"/>
          <w:szCs w:val="24"/>
          <w:lang w:eastAsia="lv-LV"/>
        </w:rPr>
        <w:t>Vīza:</w:t>
      </w:r>
    </w:p>
    <w:p w:rsidRPr="00B632F4" w:rsidR="00010041" w:rsidP="00B632F4" w:rsidRDefault="00B632F4" w14:paraId="362DDC82" w14:textId="3C6CED20">
      <w:pPr>
        <w:ind w:firstLine="0"/>
        <w:jc w:val="both"/>
        <w:rPr>
          <w:rFonts w:eastAsia="Times New Roman" w:cs="Times New Roman"/>
          <w:sz w:val="24"/>
          <w:szCs w:val="24"/>
          <w:lang w:eastAsia="lv-LV"/>
        </w:rPr>
      </w:pPr>
      <w:r w:rsidRPr="00B632F4">
        <w:rPr>
          <w:rFonts w:eastAsia="Times New Roman" w:cs="Times New Roman"/>
          <w:sz w:val="24"/>
          <w:szCs w:val="24"/>
          <w:lang w:eastAsia="lv-LV"/>
        </w:rPr>
        <w:t xml:space="preserve">valsts sekretāra </w:t>
      </w:r>
      <w:proofErr w:type="spellStart"/>
      <w:r w:rsidRPr="00B632F4">
        <w:rPr>
          <w:rFonts w:eastAsia="Times New Roman" w:cs="Times New Roman"/>
          <w:sz w:val="24"/>
          <w:szCs w:val="24"/>
          <w:lang w:eastAsia="lv-LV"/>
        </w:rPr>
        <w:t>p.i</w:t>
      </w:r>
      <w:proofErr w:type="spellEnd"/>
      <w:r w:rsidRPr="00B632F4">
        <w:rPr>
          <w:rFonts w:eastAsia="Times New Roman" w:cs="Times New Roman"/>
          <w:sz w:val="24"/>
          <w:szCs w:val="24"/>
          <w:lang w:eastAsia="lv-LV"/>
        </w:rPr>
        <w:t xml:space="preserve">. </w:t>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r w:rsidRPr="00B632F4">
        <w:rPr>
          <w:rFonts w:eastAsia="Times New Roman" w:cs="Times New Roman"/>
          <w:sz w:val="24"/>
          <w:szCs w:val="24"/>
          <w:lang w:eastAsia="lv-LV"/>
        </w:rPr>
        <w:tab/>
      </w:r>
      <w:proofErr w:type="spellStart"/>
      <w:r w:rsidRPr="00B632F4">
        <w:rPr>
          <w:rFonts w:eastAsia="Times New Roman" w:cs="Times New Roman"/>
          <w:sz w:val="24"/>
          <w:szCs w:val="24"/>
          <w:lang w:eastAsia="lv-LV"/>
        </w:rPr>
        <w:t>Dž.Innusa</w:t>
      </w:r>
      <w:proofErr w:type="spellEnd"/>
    </w:p>
    <w:p w:rsidRPr="00BF5673" w:rsidR="00044B41" w:rsidP="002A4199" w:rsidRDefault="00044B41" w14:paraId="32699518" w14:textId="77777777">
      <w:pPr>
        <w:shd w:val="clear" w:color="auto" w:fill="FFFFFF"/>
        <w:tabs>
          <w:tab w:val="left" w:pos="6394"/>
        </w:tabs>
        <w:ind w:firstLine="0"/>
        <w:rPr>
          <w:sz w:val="22"/>
        </w:rPr>
      </w:pPr>
    </w:p>
    <w:sectPr w:rsidRPr="00BF5673" w:rsidR="00044B41" w:rsidSect="00BF5673">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D3E5" w14:textId="77777777" w:rsidR="00647EF0" w:rsidRDefault="00647EF0">
      <w:r>
        <w:separator/>
      </w:r>
    </w:p>
  </w:endnote>
  <w:endnote w:type="continuationSeparator" w:id="0">
    <w:p w14:paraId="321C4B7A" w14:textId="77777777" w:rsidR="00647EF0" w:rsidRDefault="0064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FFA3" w14:textId="3BC6C965" w:rsidR="000471B8" w:rsidRPr="008E3E94" w:rsidRDefault="000471B8" w:rsidP="00073C71">
    <w:pPr>
      <w:pStyle w:val="Footer"/>
      <w:ind w:firstLine="0"/>
      <w:jc w:val="both"/>
      <w:rPr>
        <w:sz w:val="20"/>
        <w:szCs w:val="20"/>
      </w:rPr>
    </w:pPr>
    <w:bookmarkStart w:id="1" w:name="_Hlk11162937"/>
    <w:bookmarkStart w:id="2" w:name="_Hlk11162938"/>
    <w:r w:rsidRPr="00BF5673">
      <w:rPr>
        <w:sz w:val="20"/>
        <w:szCs w:val="20"/>
      </w:rPr>
      <w:t>SMAnot_</w:t>
    </w:r>
    <w:r>
      <w:rPr>
        <w:sz w:val="20"/>
        <w:szCs w:val="20"/>
      </w:rPr>
      <w:t>10</w:t>
    </w:r>
    <w:r w:rsidRPr="00BF5673">
      <w:rPr>
        <w:sz w:val="20"/>
        <w:szCs w:val="20"/>
      </w:rPr>
      <w:t>0619_CSL</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5DA5" w14:textId="5D17A2C0" w:rsidR="000471B8" w:rsidRPr="008E3E94" w:rsidRDefault="000471B8" w:rsidP="005D06AD">
    <w:pPr>
      <w:pStyle w:val="Footer"/>
      <w:ind w:firstLine="0"/>
      <w:jc w:val="both"/>
      <w:rPr>
        <w:sz w:val="20"/>
        <w:szCs w:val="20"/>
      </w:rPr>
    </w:pPr>
    <w:r w:rsidRPr="00B632F4">
      <w:rPr>
        <w:sz w:val="20"/>
        <w:szCs w:val="20"/>
      </w:rPr>
      <w:t>SMAnot_100619_CSL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76D9" w14:textId="77777777" w:rsidR="00647EF0" w:rsidRDefault="00647EF0">
      <w:r>
        <w:separator/>
      </w:r>
    </w:p>
  </w:footnote>
  <w:footnote w:type="continuationSeparator" w:id="0">
    <w:p w14:paraId="7624A7B4" w14:textId="77777777" w:rsidR="00647EF0" w:rsidRDefault="0064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9969"/>
      <w:docPartObj>
        <w:docPartGallery w:val="Page Numbers (Top of Page)"/>
        <w:docPartUnique/>
      </w:docPartObj>
    </w:sdtPr>
    <w:sdtEndPr>
      <w:rPr>
        <w:noProof/>
      </w:rPr>
    </w:sdtEndPr>
    <w:sdtContent>
      <w:p w:rsidR="000471B8" w:rsidRDefault="000471B8" w14:paraId="7FD5954E" w14:textId="795332B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0471B8" w:rsidRDefault="000471B8" w14:paraId="3FCDC8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10041"/>
    <w:rsid w:val="000230E0"/>
    <w:rsid w:val="00036C83"/>
    <w:rsid w:val="00042E41"/>
    <w:rsid w:val="00044B41"/>
    <w:rsid w:val="000471B8"/>
    <w:rsid w:val="00052CBF"/>
    <w:rsid w:val="00055E72"/>
    <w:rsid w:val="00056D25"/>
    <w:rsid w:val="00066301"/>
    <w:rsid w:val="0007136D"/>
    <w:rsid w:val="00072346"/>
    <w:rsid w:val="00073C71"/>
    <w:rsid w:val="00082BC9"/>
    <w:rsid w:val="000D395D"/>
    <w:rsid w:val="000E2A64"/>
    <w:rsid w:val="00131F99"/>
    <w:rsid w:val="00136A1C"/>
    <w:rsid w:val="00152655"/>
    <w:rsid w:val="0016244E"/>
    <w:rsid w:val="001755A2"/>
    <w:rsid w:val="001A322F"/>
    <w:rsid w:val="001A52F5"/>
    <w:rsid w:val="001B298A"/>
    <w:rsid w:val="001B4759"/>
    <w:rsid w:val="001B4DAA"/>
    <w:rsid w:val="001C1EB5"/>
    <w:rsid w:val="001F03BB"/>
    <w:rsid w:val="0020083C"/>
    <w:rsid w:val="00211B9F"/>
    <w:rsid w:val="00212AC0"/>
    <w:rsid w:val="00212FFC"/>
    <w:rsid w:val="00215EC0"/>
    <w:rsid w:val="00224097"/>
    <w:rsid w:val="002314F6"/>
    <w:rsid w:val="00243C3C"/>
    <w:rsid w:val="00246A04"/>
    <w:rsid w:val="00250720"/>
    <w:rsid w:val="002614F2"/>
    <w:rsid w:val="00263DE9"/>
    <w:rsid w:val="0026624E"/>
    <w:rsid w:val="00273266"/>
    <w:rsid w:val="00274BA8"/>
    <w:rsid w:val="00297170"/>
    <w:rsid w:val="002A0B99"/>
    <w:rsid w:val="002A2144"/>
    <w:rsid w:val="002A4199"/>
    <w:rsid w:val="002C1463"/>
    <w:rsid w:val="002C28D2"/>
    <w:rsid w:val="002D1699"/>
    <w:rsid w:val="002E3B60"/>
    <w:rsid w:val="00300CEC"/>
    <w:rsid w:val="00302F9C"/>
    <w:rsid w:val="00315CFC"/>
    <w:rsid w:val="003161EE"/>
    <w:rsid w:val="003259F7"/>
    <w:rsid w:val="00340368"/>
    <w:rsid w:val="00340D74"/>
    <w:rsid w:val="00350901"/>
    <w:rsid w:val="003656DD"/>
    <w:rsid w:val="00383937"/>
    <w:rsid w:val="00385C45"/>
    <w:rsid w:val="0038667C"/>
    <w:rsid w:val="00393FB0"/>
    <w:rsid w:val="003B4071"/>
    <w:rsid w:val="003C1B39"/>
    <w:rsid w:val="003C64AA"/>
    <w:rsid w:val="003C678B"/>
    <w:rsid w:val="003F180A"/>
    <w:rsid w:val="00410D1E"/>
    <w:rsid w:val="00417277"/>
    <w:rsid w:val="00424A28"/>
    <w:rsid w:val="004262EA"/>
    <w:rsid w:val="00431BD1"/>
    <w:rsid w:val="00433590"/>
    <w:rsid w:val="00451762"/>
    <w:rsid w:val="0045312F"/>
    <w:rsid w:val="00463B25"/>
    <w:rsid w:val="00466778"/>
    <w:rsid w:val="00486883"/>
    <w:rsid w:val="004915E5"/>
    <w:rsid w:val="004952DC"/>
    <w:rsid w:val="00496E5D"/>
    <w:rsid w:val="004B3F47"/>
    <w:rsid w:val="004B4F8E"/>
    <w:rsid w:val="004C0249"/>
    <w:rsid w:val="004C44F8"/>
    <w:rsid w:val="004D5259"/>
    <w:rsid w:val="004D5394"/>
    <w:rsid w:val="004E086F"/>
    <w:rsid w:val="004E2DF1"/>
    <w:rsid w:val="00506975"/>
    <w:rsid w:val="00510F90"/>
    <w:rsid w:val="00514D7D"/>
    <w:rsid w:val="00527434"/>
    <w:rsid w:val="00557C5D"/>
    <w:rsid w:val="0056352F"/>
    <w:rsid w:val="005B70BE"/>
    <w:rsid w:val="005D06AD"/>
    <w:rsid w:val="005D3CD0"/>
    <w:rsid w:val="005D647E"/>
    <w:rsid w:val="005F7B49"/>
    <w:rsid w:val="006028F1"/>
    <w:rsid w:val="00605F42"/>
    <w:rsid w:val="006145B9"/>
    <w:rsid w:val="00621566"/>
    <w:rsid w:val="0063147F"/>
    <w:rsid w:val="00642ADA"/>
    <w:rsid w:val="00645140"/>
    <w:rsid w:val="00647EF0"/>
    <w:rsid w:val="00656521"/>
    <w:rsid w:val="00684902"/>
    <w:rsid w:val="006A3948"/>
    <w:rsid w:val="006B0EE0"/>
    <w:rsid w:val="006C286E"/>
    <w:rsid w:val="006F2452"/>
    <w:rsid w:val="0070544E"/>
    <w:rsid w:val="00712C96"/>
    <w:rsid w:val="00720D12"/>
    <w:rsid w:val="00724D9D"/>
    <w:rsid w:val="00733071"/>
    <w:rsid w:val="00747290"/>
    <w:rsid w:val="00750EF0"/>
    <w:rsid w:val="00751E39"/>
    <w:rsid w:val="00766905"/>
    <w:rsid w:val="00767887"/>
    <w:rsid w:val="007859DE"/>
    <w:rsid w:val="00795CB1"/>
    <w:rsid w:val="007A2504"/>
    <w:rsid w:val="007B2A9E"/>
    <w:rsid w:val="007C09D6"/>
    <w:rsid w:val="007C61E7"/>
    <w:rsid w:val="007D3866"/>
    <w:rsid w:val="007D453E"/>
    <w:rsid w:val="007D5ABA"/>
    <w:rsid w:val="007E5AE4"/>
    <w:rsid w:val="007F2634"/>
    <w:rsid w:val="0080393C"/>
    <w:rsid w:val="008144CD"/>
    <w:rsid w:val="00822A1E"/>
    <w:rsid w:val="008321F6"/>
    <w:rsid w:val="00834C7E"/>
    <w:rsid w:val="00835B29"/>
    <w:rsid w:val="008523AF"/>
    <w:rsid w:val="00852CC3"/>
    <w:rsid w:val="00856BE9"/>
    <w:rsid w:val="008619DD"/>
    <w:rsid w:val="00863EB9"/>
    <w:rsid w:val="008655FA"/>
    <w:rsid w:val="00871BF6"/>
    <w:rsid w:val="008779C7"/>
    <w:rsid w:val="00885764"/>
    <w:rsid w:val="0089015D"/>
    <w:rsid w:val="00896B14"/>
    <w:rsid w:val="008A10DE"/>
    <w:rsid w:val="008A4C17"/>
    <w:rsid w:val="008B5105"/>
    <w:rsid w:val="008B7BD6"/>
    <w:rsid w:val="008D20CF"/>
    <w:rsid w:val="008D361B"/>
    <w:rsid w:val="0090291A"/>
    <w:rsid w:val="0090743A"/>
    <w:rsid w:val="009075F4"/>
    <w:rsid w:val="0092053F"/>
    <w:rsid w:val="009314FC"/>
    <w:rsid w:val="0094184E"/>
    <w:rsid w:val="0096168C"/>
    <w:rsid w:val="00977B17"/>
    <w:rsid w:val="00977F04"/>
    <w:rsid w:val="0099244C"/>
    <w:rsid w:val="00994432"/>
    <w:rsid w:val="00996CC6"/>
    <w:rsid w:val="009B24D1"/>
    <w:rsid w:val="009D10FC"/>
    <w:rsid w:val="009D52D8"/>
    <w:rsid w:val="009D65D3"/>
    <w:rsid w:val="009D6B54"/>
    <w:rsid w:val="009D7019"/>
    <w:rsid w:val="009D75E9"/>
    <w:rsid w:val="009E050B"/>
    <w:rsid w:val="009E0B19"/>
    <w:rsid w:val="009F311A"/>
    <w:rsid w:val="009F34F1"/>
    <w:rsid w:val="009F593D"/>
    <w:rsid w:val="009F70EF"/>
    <w:rsid w:val="00A137E8"/>
    <w:rsid w:val="00A219E9"/>
    <w:rsid w:val="00A370A5"/>
    <w:rsid w:val="00A4234B"/>
    <w:rsid w:val="00A47755"/>
    <w:rsid w:val="00A50329"/>
    <w:rsid w:val="00A511A2"/>
    <w:rsid w:val="00A52EE0"/>
    <w:rsid w:val="00A551B1"/>
    <w:rsid w:val="00A55CC8"/>
    <w:rsid w:val="00A56080"/>
    <w:rsid w:val="00A707E1"/>
    <w:rsid w:val="00A70AD5"/>
    <w:rsid w:val="00A83665"/>
    <w:rsid w:val="00A93360"/>
    <w:rsid w:val="00A94C6F"/>
    <w:rsid w:val="00A9777D"/>
    <w:rsid w:val="00AC0B14"/>
    <w:rsid w:val="00AC6949"/>
    <w:rsid w:val="00AD3346"/>
    <w:rsid w:val="00AE4DD3"/>
    <w:rsid w:val="00B13DFA"/>
    <w:rsid w:val="00B223FE"/>
    <w:rsid w:val="00B24745"/>
    <w:rsid w:val="00B257AB"/>
    <w:rsid w:val="00B31932"/>
    <w:rsid w:val="00B46B66"/>
    <w:rsid w:val="00B61A99"/>
    <w:rsid w:val="00B632F4"/>
    <w:rsid w:val="00B87BE1"/>
    <w:rsid w:val="00BC4676"/>
    <w:rsid w:val="00BD73AB"/>
    <w:rsid w:val="00BF5673"/>
    <w:rsid w:val="00BF58AA"/>
    <w:rsid w:val="00C04273"/>
    <w:rsid w:val="00C043AE"/>
    <w:rsid w:val="00C0633E"/>
    <w:rsid w:val="00C0701A"/>
    <w:rsid w:val="00C20973"/>
    <w:rsid w:val="00C343B5"/>
    <w:rsid w:val="00C472FF"/>
    <w:rsid w:val="00C70001"/>
    <w:rsid w:val="00C753FC"/>
    <w:rsid w:val="00CA4959"/>
    <w:rsid w:val="00CE273B"/>
    <w:rsid w:val="00CF1516"/>
    <w:rsid w:val="00D145BC"/>
    <w:rsid w:val="00D22771"/>
    <w:rsid w:val="00D25453"/>
    <w:rsid w:val="00D304E5"/>
    <w:rsid w:val="00D4071C"/>
    <w:rsid w:val="00D45B92"/>
    <w:rsid w:val="00D57925"/>
    <w:rsid w:val="00D655C9"/>
    <w:rsid w:val="00D7001B"/>
    <w:rsid w:val="00D72749"/>
    <w:rsid w:val="00D86D19"/>
    <w:rsid w:val="00D927D6"/>
    <w:rsid w:val="00D92A5F"/>
    <w:rsid w:val="00D933C3"/>
    <w:rsid w:val="00D9747E"/>
    <w:rsid w:val="00DA025B"/>
    <w:rsid w:val="00DA0781"/>
    <w:rsid w:val="00DA4792"/>
    <w:rsid w:val="00DB3CDA"/>
    <w:rsid w:val="00DC0050"/>
    <w:rsid w:val="00DC0110"/>
    <w:rsid w:val="00DD340D"/>
    <w:rsid w:val="00DD670C"/>
    <w:rsid w:val="00DD7147"/>
    <w:rsid w:val="00DE451C"/>
    <w:rsid w:val="00DE5811"/>
    <w:rsid w:val="00DF0400"/>
    <w:rsid w:val="00DF05CB"/>
    <w:rsid w:val="00E00901"/>
    <w:rsid w:val="00E12B35"/>
    <w:rsid w:val="00E14A45"/>
    <w:rsid w:val="00E14B57"/>
    <w:rsid w:val="00E269F4"/>
    <w:rsid w:val="00E33EBA"/>
    <w:rsid w:val="00E356CA"/>
    <w:rsid w:val="00E55477"/>
    <w:rsid w:val="00E7430F"/>
    <w:rsid w:val="00E77DFE"/>
    <w:rsid w:val="00E832E1"/>
    <w:rsid w:val="00E9363C"/>
    <w:rsid w:val="00E94A02"/>
    <w:rsid w:val="00EB5513"/>
    <w:rsid w:val="00EC607B"/>
    <w:rsid w:val="00ED04FB"/>
    <w:rsid w:val="00EF3448"/>
    <w:rsid w:val="00EF3C5C"/>
    <w:rsid w:val="00EF7FF6"/>
    <w:rsid w:val="00F03774"/>
    <w:rsid w:val="00F25DE9"/>
    <w:rsid w:val="00F36E98"/>
    <w:rsid w:val="00F523AF"/>
    <w:rsid w:val="00F541F6"/>
    <w:rsid w:val="00F73DA7"/>
    <w:rsid w:val="00F91241"/>
    <w:rsid w:val="00F96F94"/>
    <w:rsid w:val="00F97364"/>
    <w:rsid w:val="00F97F30"/>
    <w:rsid w:val="00FA767B"/>
    <w:rsid w:val="00FB43DD"/>
    <w:rsid w:val="00FC1014"/>
    <w:rsid w:val="00FC3F3B"/>
    <w:rsid w:val="00FD4B00"/>
    <w:rsid w:val="00FE05F8"/>
    <w:rsid w:val="00FE4F4D"/>
    <w:rsid w:val="00FF2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680F"/>
  <w15:docId w15:val="{8E119618-F1BE-47B5-8938-4867B76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kr">
    <w:name w:val="naiskr"/>
    <w:basedOn w:val="Normal"/>
    <w:rsid w:val="00A93360"/>
    <w:pPr>
      <w:spacing w:before="100" w:beforeAutospacing="1" w:after="100" w:afterAutospacing="1"/>
      <w:ind w:firstLine="0"/>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54">
      <w:bodyDiv w:val="1"/>
      <w:marLeft w:val="0"/>
      <w:marRight w:val="0"/>
      <w:marTop w:val="0"/>
      <w:marBottom w:val="0"/>
      <w:divBdr>
        <w:top w:val="none" w:sz="0" w:space="0" w:color="auto"/>
        <w:left w:val="none" w:sz="0" w:space="0" w:color="auto"/>
        <w:bottom w:val="none" w:sz="0" w:space="0" w:color="auto"/>
        <w:right w:val="none" w:sz="0" w:space="0" w:color="auto"/>
      </w:divBdr>
    </w:div>
    <w:div w:id="515195912">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506434431">
      <w:bodyDiv w:val="1"/>
      <w:marLeft w:val="0"/>
      <w:marRight w:val="0"/>
      <w:marTop w:val="0"/>
      <w:marBottom w:val="0"/>
      <w:divBdr>
        <w:top w:val="none" w:sz="0" w:space="0" w:color="auto"/>
        <w:left w:val="none" w:sz="0" w:space="0" w:color="auto"/>
        <w:bottom w:val="none" w:sz="0" w:space="0" w:color="auto"/>
        <w:right w:val="none" w:sz="0" w:space="0" w:color="auto"/>
      </w:divBdr>
    </w:div>
    <w:div w:id="21067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4728-93A7-4814-8DC5-790E976F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16423</Words>
  <Characters>9362</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Likumprojekta „Grozījumi Ceļu satiksmes likumā” sākotnējās ietekmes novērtējuma ziņojums (anotācija)</vt:lpstr>
    </vt:vector>
  </TitlesOfParts>
  <Company>Satiksmes ministrija</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Ceļu satiksmes likumā” sākotnējās ietekmes novērtējuma ziņojums (anotācija)</dc:title>
  <dc:subject>Anotācija</dc:subject>
  <dc:creator>Lauris.Mikelsons@sam.gov.lv</dc:creator>
  <dc:description/>
  <cp:lastModifiedBy>Lauris Miķelsons</cp:lastModifiedBy>
  <cp:revision>32</cp:revision>
  <cp:lastPrinted>2016-03-03T09:15:00Z</cp:lastPrinted>
  <dcterms:created xsi:type="dcterms:W3CDTF">2019-05-21T08:37:00Z</dcterms:created>
  <dcterms:modified xsi:type="dcterms:W3CDTF">2019-06-28T05:55:00Z</dcterms:modified>
</cp:coreProperties>
</file>