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95D9" w14:textId="55D76CCC" w:rsidR="009D7B95" w:rsidRPr="00473625" w:rsidRDefault="009D7B95" w:rsidP="003F5A2A">
      <w:pPr>
        <w:jc w:val="center"/>
        <w:rPr>
          <w:b/>
          <w:bCs/>
          <w:sz w:val="24"/>
          <w:szCs w:val="24"/>
        </w:rPr>
      </w:pPr>
      <w:bookmarkStart w:id="0" w:name="468683"/>
      <w:bookmarkStart w:id="1" w:name="_Hlk514239332"/>
      <w:bookmarkStart w:id="2" w:name="_GoBack"/>
      <w:bookmarkEnd w:id="0"/>
      <w:bookmarkEnd w:id="2"/>
      <w:r w:rsidRPr="00473625">
        <w:rPr>
          <w:b/>
          <w:bCs/>
          <w:sz w:val="24"/>
          <w:szCs w:val="24"/>
        </w:rPr>
        <w:t xml:space="preserve">Ministru kabineta noteikumu projekta </w:t>
      </w:r>
      <w:r w:rsidR="00473625" w:rsidRPr="00473625">
        <w:rPr>
          <w:rFonts w:cs="Times New Roman"/>
          <w:b/>
          <w:sz w:val="24"/>
          <w:szCs w:val="24"/>
        </w:rPr>
        <w:t xml:space="preserve">“Pasažieru komercpārvadājumu ar taksometru un vieglo automobili tīmekļvietņu vai mobilo lietotņu pakalpojuma sniedzēju reģistrācijas noteikumi” </w:t>
      </w:r>
      <w:r w:rsidRPr="00473625">
        <w:rPr>
          <w:b/>
          <w:bCs/>
          <w:sz w:val="24"/>
          <w:szCs w:val="24"/>
        </w:rPr>
        <w:t>sākotnējās ietekmes novērtējuma ziņojums (anotācija)</w:t>
      </w:r>
    </w:p>
    <w:bookmarkEnd w:id="1"/>
    <w:p w14:paraId="14D95B55" w14:textId="77777777" w:rsidR="009D7B95" w:rsidRPr="00473625" w:rsidRDefault="009D7B95" w:rsidP="009D7B95">
      <w:pPr>
        <w:ind w:firstLine="0"/>
        <w:jc w:val="center"/>
        <w:rPr>
          <w:b/>
          <w:bCs/>
          <w:sz w:val="24"/>
          <w:szCs w:val="24"/>
        </w:rPr>
      </w:pPr>
    </w:p>
    <w:tbl>
      <w:tblPr>
        <w:tblStyle w:val="TableGrid"/>
        <w:tblW w:w="0" w:type="auto"/>
        <w:shd w:val="clear" w:color="auto" w:fill="FFFFFF" w:themeFill="background1"/>
        <w:tblLook w:val="04A0" w:firstRow="1" w:lastRow="0" w:firstColumn="1" w:lastColumn="0" w:noHBand="0" w:noVBand="1"/>
      </w:tblPr>
      <w:tblGrid>
        <w:gridCol w:w="3287"/>
        <w:gridCol w:w="5774"/>
      </w:tblGrid>
      <w:tr w:rsidR="009D7B95" w:rsidRPr="00855C8C" w14:paraId="79C929F2" w14:textId="77777777" w:rsidTr="00F771F5">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199E0" w14:textId="77777777" w:rsidR="009D7B95" w:rsidRPr="00855C8C" w:rsidRDefault="009D7B95" w:rsidP="00F771F5">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009D7B95" w:rsidRPr="00855C8C" w14:paraId="111E9F06" w14:textId="77777777" w:rsidTr="00F771F5">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B279E" w14:textId="77777777" w:rsidR="009D7B95" w:rsidRPr="00855C8C" w:rsidRDefault="009D7B95" w:rsidP="00F771F5">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BB83C" w14:textId="462B8937" w:rsidR="009D7B95" w:rsidRDefault="009D7B95" w:rsidP="00BE58AB">
            <w:pPr>
              <w:ind w:firstLine="0"/>
              <w:jc w:val="both"/>
              <w:rPr>
                <w:sz w:val="24"/>
                <w:szCs w:val="24"/>
              </w:rPr>
            </w:pPr>
            <w:r w:rsidRPr="00855C8C">
              <w:rPr>
                <w:sz w:val="24"/>
                <w:szCs w:val="24"/>
              </w:rPr>
              <w:t xml:space="preserve">Noteikumu projekts </w:t>
            </w:r>
            <w:r w:rsidR="00E56B28">
              <w:rPr>
                <w:sz w:val="24"/>
                <w:szCs w:val="24"/>
              </w:rPr>
              <w:t>nosaka</w:t>
            </w:r>
            <w:r w:rsidRPr="00855C8C">
              <w:rPr>
                <w:sz w:val="24"/>
                <w:szCs w:val="24"/>
              </w:rPr>
              <w:t xml:space="preserve"> </w:t>
            </w:r>
            <w:r w:rsidR="00BE58AB">
              <w:rPr>
                <w:sz w:val="24"/>
                <w:szCs w:val="24"/>
              </w:rPr>
              <w:t xml:space="preserve">kārtību, kādā </w:t>
            </w:r>
            <w:r w:rsidR="006E56E9">
              <w:rPr>
                <w:sz w:val="24"/>
                <w:szCs w:val="24"/>
              </w:rPr>
              <w:t>VSIA “</w:t>
            </w:r>
            <w:r w:rsidR="00BE58AB">
              <w:rPr>
                <w:sz w:val="24"/>
                <w:szCs w:val="24"/>
              </w:rPr>
              <w:t>Autotransporta direkcija</w:t>
            </w:r>
            <w:r w:rsidR="006E56E9">
              <w:rPr>
                <w:sz w:val="24"/>
                <w:szCs w:val="24"/>
              </w:rPr>
              <w:t>” (turpmāk – Autotransporta direkcija)</w:t>
            </w:r>
            <w:r w:rsidR="00BE58AB">
              <w:rPr>
                <w:sz w:val="24"/>
                <w:szCs w:val="24"/>
              </w:rPr>
              <w:t xml:space="preserve"> uzturētajā Autopārvadātāju informatīvajā datu bāzē tiek reģistrēti tīmekļvietnes vai mobilo lietotņu pakalpojumu sniedzēji, kas </w:t>
            </w:r>
            <w:r w:rsidR="00224F23">
              <w:rPr>
                <w:sz w:val="24"/>
                <w:szCs w:val="24"/>
              </w:rPr>
              <w:t>nodrošina tiešsaistes pakalpojumus autopārvadājumiem un atbilstoši ar pārvadātāju noslēgtam līgumam tiešsaistes režīmā organizē autopārvadājumus un sniedz saistītus pakalpojumus. Noteikumu projekts ietver kārtību šādu pakalpojumu sniedzēju reģistrācijai, reģistrācijas anulēšanai un uzraudzībai, tīmekļvietnē vai mobil</w:t>
            </w:r>
            <w:r w:rsidR="00785FC2">
              <w:rPr>
                <w:sz w:val="24"/>
                <w:szCs w:val="24"/>
              </w:rPr>
              <w:t>aj</w:t>
            </w:r>
            <w:r w:rsidR="00224F23">
              <w:rPr>
                <w:sz w:val="24"/>
                <w:szCs w:val="24"/>
              </w:rPr>
              <w:t xml:space="preserve">ā </w:t>
            </w:r>
            <w:r w:rsidR="002B2777">
              <w:rPr>
                <w:sz w:val="24"/>
                <w:szCs w:val="24"/>
              </w:rPr>
              <w:t>lietotnē</w:t>
            </w:r>
            <w:r w:rsidR="00224F23">
              <w:rPr>
                <w:sz w:val="24"/>
                <w:szCs w:val="24"/>
              </w:rPr>
              <w:t xml:space="preserve"> norādāmās informācijas apjomu, kā arī nosaka Valsts ieņēmumu dienestam </w:t>
            </w:r>
            <w:r w:rsidR="00A5173C">
              <w:rPr>
                <w:sz w:val="24"/>
                <w:szCs w:val="24"/>
              </w:rPr>
              <w:t xml:space="preserve">(turpmāk – VID) </w:t>
            </w:r>
            <w:r w:rsidR="00224F23">
              <w:rPr>
                <w:sz w:val="24"/>
                <w:szCs w:val="24"/>
              </w:rPr>
              <w:t>sniedzamo informāciju.</w:t>
            </w:r>
          </w:p>
          <w:p w14:paraId="2DA7957D" w14:textId="4A7B70A6" w:rsidR="00224F23" w:rsidRPr="00855C8C" w:rsidRDefault="00224F23" w:rsidP="00BE58AB">
            <w:pPr>
              <w:ind w:firstLine="0"/>
              <w:jc w:val="both"/>
              <w:rPr>
                <w:rFonts w:eastAsia="Times New Roman"/>
                <w:iCs/>
                <w:sz w:val="24"/>
                <w:szCs w:val="24"/>
                <w:lang w:eastAsia="lv-LV"/>
              </w:rPr>
            </w:pPr>
            <w:r>
              <w:rPr>
                <w:sz w:val="24"/>
                <w:szCs w:val="24"/>
              </w:rPr>
              <w:t>Noteikum</w:t>
            </w:r>
            <w:r w:rsidR="00666E6C">
              <w:rPr>
                <w:sz w:val="24"/>
                <w:szCs w:val="24"/>
              </w:rPr>
              <w:t>i s</w:t>
            </w:r>
            <w:r w:rsidR="00666E6C" w:rsidRPr="00076660">
              <w:rPr>
                <w:rFonts w:cs="Times New Roman"/>
                <w:sz w:val="24"/>
                <w:szCs w:val="24"/>
              </w:rPr>
              <w:t xml:space="preserve">tājas spēkā </w:t>
            </w:r>
            <w:r w:rsidR="00666E6C">
              <w:rPr>
                <w:rFonts w:cs="Times New Roman"/>
                <w:sz w:val="24"/>
                <w:szCs w:val="24"/>
              </w:rPr>
              <w:t>2019.gada 1.septembrī</w:t>
            </w:r>
            <w:r w:rsidR="00666E6C" w:rsidRPr="00076660">
              <w:rPr>
                <w:rFonts w:cs="Times New Roman"/>
                <w:sz w:val="24"/>
                <w:szCs w:val="24"/>
              </w:rPr>
              <w:t>.</w:t>
            </w:r>
            <w:r w:rsidR="00666E6C">
              <w:rPr>
                <w:rFonts w:cs="Times New Roman"/>
                <w:sz w:val="24"/>
                <w:szCs w:val="24"/>
              </w:rPr>
              <w:t xml:space="preserve">         </w:t>
            </w:r>
          </w:p>
        </w:tc>
      </w:tr>
    </w:tbl>
    <w:p w14:paraId="5EC76F03" w14:textId="77777777" w:rsidR="009D7B95" w:rsidRPr="00855C8C" w:rsidRDefault="009D7B95" w:rsidP="009D7B95">
      <w:pPr>
        <w:ind w:firstLine="0"/>
        <w:jc w:val="center"/>
        <w:rPr>
          <w:b/>
          <w:bCs/>
          <w:sz w:val="24"/>
          <w:szCs w:val="24"/>
        </w:rPr>
      </w:pPr>
    </w:p>
    <w:tbl>
      <w:tblPr>
        <w:tblStyle w:val="TableGrid"/>
        <w:tblpPr w:leftFromText="180" w:rightFromText="180" w:vertAnchor="text" w:tblpY="1"/>
        <w:tblOverlap w:val="never"/>
        <w:tblW w:w="5019" w:type="pct"/>
        <w:tblLook w:val="04A0" w:firstRow="1" w:lastRow="0" w:firstColumn="1" w:lastColumn="0" w:noHBand="0" w:noVBand="1"/>
      </w:tblPr>
      <w:tblGrid>
        <w:gridCol w:w="453"/>
        <w:gridCol w:w="2810"/>
        <w:gridCol w:w="5832"/>
      </w:tblGrid>
      <w:tr w:rsidR="009D7B95" w:rsidRPr="00855C8C" w14:paraId="627FABFE" w14:textId="77777777" w:rsidTr="00F771F5">
        <w:trPr>
          <w:trHeight w:val="405"/>
        </w:trPr>
        <w:tc>
          <w:tcPr>
            <w:tcW w:w="5000" w:type="pct"/>
            <w:gridSpan w:val="3"/>
            <w:hideMark/>
          </w:tcPr>
          <w:p w14:paraId="23FAAB05" w14:textId="77777777" w:rsidR="009D7B95" w:rsidRPr="00855C8C" w:rsidRDefault="009D7B95" w:rsidP="00BA2826">
            <w:pPr>
              <w:ind w:firstLine="0"/>
              <w:jc w:val="center"/>
              <w:rPr>
                <w:b/>
                <w:bCs/>
                <w:sz w:val="24"/>
                <w:szCs w:val="24"/>
              </w:rPr>
            </w:pPr>
            <w:r w:rsidRPr="00855C8C">
              <w:rPr>
                <w:b/>
                <w:bCs/>
                <w:sz w:val="24"/>
                <w:szCs w:val="24"/>
              </w:rPr>
              <w:t>I. Tiesību akta projekta izstrādes nepieciešamība</w:t>
            </w:r>
          </w:p>
        </w:tc>
      </w:tr>
      <w:tr w:rsidR="009D7B95" w:rsidRPr="00855C8C" w14:paraId="37E31D80" w14:textId="77777777" w:rsidTr="00F771F5">
        <w:trPr>
          <w:trHeight w:val="405"/>
        </w:trPr>
        <w:tc>
          <w:tcPr>
            <w:tcW w:w="249" w:type="pct"/>
            <w:hideMark/>
          </w:tcPr>
          <w:p w14:paraId="56F60C8F" w14:textId="77777777" w:rsidR="009D7B95" w:rsidRPr="00855C8C" w:rsidRDefault="009D7B95" w:rsidP="00F771F5">
            <w:pPr>
              <w:ind w:firstLine="0"/>
              <w:rPr>
                <w:sz w:val="24"/>
                <w:szCs w:val="24"/>
              </w:rPr>
            </w:pPr>
            <w:r w:rsidRPr="00855C8C">
              <w:rPr>
                <w:sz w:val="24"/>
                <w:szCs w:val="24"/>
              </w:rPr>
              <w:t>1.</w:t>
            </w:r>
          </w:p>
        </w:tc>
        <w:tc>
          <w:tcPr>
            <w:tcW w:w="1545" w:type="pct"/>
            <w:hideMark/>
          </w:tcPr>
          <w:p w14:paraId="384CA942" w14:textId="77777777" w:rsidR="009D7B95" w:rsidRPr="00855C8C" w:rsidRDefault="009D7B95" w:rsidP="00F771F5">
            <w:pPr>
              <w:ind w:firstLine="0"/>
              <w:rPr>
                <w:sz w:val="24"/>
                <w:szCs w:val="24"/>
              </w:rPr>
            </w:pPr>
            <w:r w:rsidRPr="00855C8C">
              <w:rPr>
                <w:sz w:val="24"/>
                <w:szCs w:val="24"/>
              </w:rPr>
              <w:t>Pamatojums</w:t>
            </w:r>
          </w:p>
        </w:tc>
        <w:tc>
          <w:tcPr>
            <w:tcW w:w="3206" w:type="pct"/>
          </w:tcPr>
          <w:p w14:paraId="36B77A7F" w14:textId="07D0D269" w:rsidR="009D7B95" w:rsidRPr="00855C8C" w:rsidRDefault="006065CB" w:rsidP="00CA338C">
            <w:pPr>
              <w:ind w:firstLine="0"/>
              <w:jc w:val="both"/>
              <w:rPr>
                <w:sz w:val="24"/>
                <w:szCs w:val="24"/>
                <w:highlight w:val="yellow"/>
              </w:rPr>
            </w:pPr>
            <w:r>
              <w:rPr>
                <w:sz w:val="24"/>
                <w:szCs w:val="24"/>
              </w:rPr>
              <w:t>A</w:t>
            </w:r>
            <w:r w:rsidR="009D7B95" w:rsidRPr="00855C8C">
              <w:rPr>
                <w:sz w:val="24"/>
                <w:szCs w:val="24"/>
              </w:rPr>
              <w:t>utopārvadājumu  likum</w:t>
            </w:r>
            <w:r w:rsidR="00A5173C">
              <w:rPr>
                <w:sz w:val="24"/>
                <w:szCs w:val="24"/>
              </w:rPr>
              <w:t>a 35.</w:t>
            </w:r>
            <w:r w:rsidR="00A5173C" w:rsidRPr="00EA5B15">
              <w:rPr>
                <w:sz w:val="24"/>
                <w:szCs w:val="24"/>
                <w:vertAlign w:val="superscript"/>
              </w:rPr>
              <w:t>2</w:t>
            </w:r>
            <w:r w:rsidR="00A5173C">
              <w:rPr>
                <w:sz w:val="24"/>
                <w:szCs w:val="24"/>
              </w:rPr>
              <w:t xml:space="preserve"> panta septītā daļa.</w:t>
            </w:r>
          </w:p>
        </w:tc>
      </w:tr>
      <w:tr w:rsidR="009D7B95" w:rsidRPr="00855C8C" w14:paraId="289E9763" w14:textId="77777777" w:rsidTr="00F771F5">
        <w:trPr>
          <w:trHeight w:val="465"/>
        </w:trPr>
        <w:tc>
          <w:tcPr>
            <w:tcW w:w="249" w:type="pct"/>
            <w:hideMark/>
          </w:tcPr>
          <w:p w14:paraId="1EEF764B" w14:textId="77777777" w:rsidR="009D7B95" w:rsidRPr="00855C8C" w:rsidRDefault="009D7B95" w:rsidP="00F771F5">
            <w:pPr>
              <w:ind w:firstLine="0"/>
              <w:rPr>
                <w:sz w:val="24"/>
                <w:szCs w:val="24"/>
              </w:rPr>
            </w:pPr>
            <w:r w:rsidRPr="00855C8C">
              <w:rPr>
                <w:sz w:val="24"/>
                <w:szCs w:val="24"/>
              </w:rPr>
              <w:t>2.</w:t>
            </w:r>
          </w:p>
        </w:tc>
        <w:tc>
          <w:tcPr>
            <w:tcW w:w="1545" w:type="pct"/>
            <w:hideMark/>
          </w:tcPr>
          <w:p w14:paraId="6399D6F6" w14:textId="77777777" w:rsidR="009D7B95" w:rsidRPr="00855C8C" w:rsidRDefault="009D7B95" w:rsidP="00F771F5">
            <w:pPr>
              <w:ind w:firstLine="0"/>
              <w:rPr>
                <w:sz w:val="24"/>
                <w:szCs w:val="24"/>
              </w:rPr>
            </w:pPr>
            <w:r w:rsidRPr="00855C8C">
              <w:rPr>
                <w:sz w:val="24"/>
                <w:szCs w:val="24"/>
              </w:rPr>
              <w:t>Pašreizējā situācija un problēmas, kuru risināšanai tiesību akta projekts izstrādāts, tiesiskā regulējuma mērķis un būtība</w:t>
            </w:r>
          </w:p>
        </w:tc>
        <w:tc>
          <w:tcPr>
            <w:tcW w:w="3206" w:type="pct"/>
            <w:hideMark/>
          </w:tcPr>
          <w:p w14:paraId="1FD892A8" w14:textId="32C3AB72" w:rsidR="00A057F0" w:rsidRDefault="00A057F0" w:rsidP="00F771F5">
            <w:pPr>
              <w:ind w:firstLine="0"/>
              <w:jc w:val="both"/>
              <w:rPr>
                <w:sz w:val="24"/>
                <w:szCs w:val="24"/>
              </w:rPr>
            </w:pPr>
            <w:r>
              <w:rPr>
                <w:sz w:val="24"/>
                <w:szCs w:val="24"/>
              </w:rPr>
              <w:t xml:space="preserve">Saeimā 3.lasījumā </w:t>
            </w:r>
            <w:r w:rsidR="00B54996">
              <w:rPr>
                <w:sz w:val="24"/>
                <w:szCs w:val="24"/>
              </w:rPr>
              <w:t xml:space="preserve">2019.gada 13.jūnijā </w:t>
            </w:r>
            <w:r>
              <w:rPr>
                <w:sz w:val="24"/>
                <w:szCs w:val="24"/>
              </w:rPr>
              <w:t>pieņemtie grozījumi Autopārvadājumu likumā</w:t>
            </w:r>
            <w:r w:rsidR="00A5173C">
              <w:rPr>
                <w:sz w:val="24"/>
                <w:szCs w:val="24"/>
              </w:rPr>
              <w:t xml:space="preserve"> (turpmāk – likums) </w:t>
            </w:r>
            <w:r>
              <w:rPr>
                <w:sz w:val="24"/>
                <w:szCs w:val="24"/>
              </w:rPr>
              <w:t xml:space="preserve">paredz prasības un nosacījumus tīmekļvietnes vai mobilās lietotnes pakalpojumu sniedzējam un šādu pakalpojumu sniegšanai autopārvadājumu ar taksometru un vieglo automobili jomā. </w:t>
            </w:r>
            <w:r w:rsidR="00A5173C">
              <w:rPr>
                <w:sz w:val="24"/>
                <w:szCs w:val="24"/>
              </w:rPr>
              <w:t>L</w:t>
            </w:r>
            <w:r>
              <w:rPr>
                <w:sz w:val="24"/>
                <w:szCs w:val="24"/>
              </w:rPr>
              <w:t>ikuma 1.panta 32</w:t>
            </w:r>
            <w:r w:rsidR="00666E6C">
              <w:rPr>
                <w:sz w:val="24"/>
                <w:szCs w:val="24"/>
              </w:rPr>
              <w:t>.</w:t>
            </w:r>
            <w:r w:rsidRPr="00811808">
              <w:rPr>
                <w:sz w:val="24"/>
                <w:szCs w:val="24"/>
                <w:vertAlign w:val="superscript"/>
              </w:rPr>
              <w:t>2</w:t>
            </w:r>
            <w:r w:rsidR="00666E6C">
              <w:rPr>
                <w:sz w:val="24"/>
                <w:szCs w:val="24"/>
              </w:rPr>
              <w:t xml:space="preserve"> </w:t>
            </w:r>
            <w:r>
              <w:rPr>
                <w:sz w:val="24"/>
                <w:szCs w:val="24"/>
              </w:rPr>
              <w:t>punkts noteic, ka ar tīmekļvietnes vai mobilās lietotnes pakalpojuma sniedzēju ir saprotams komersants, kas atbilstoši ar pārvadātāju noslēgtam līgumam tiešsaistes režīmā organizē autopārvadājumus un sniedz saistītus pakalpojumus.</w:t>
            </w:r>
          </w:p>
          <w:p w14:paraId="527EF11A" w14:textId="6040A422" w:rsidR="00A057F0" w:rsidRDefault="00D45333" w:rsidP="00F771F5">
            <w:pPr>
              <w:ind w:firstLine="0"/>
              <w:jc w:val="both"/>
              <w:rPr>
                <w:sz w:val="24"/>
                <w:szCs w:val="24"/>
              </w:rPr>
            </w:pPr>
            <w:r>
              <w:rPr>
                <w:sz w:val="24"/>
                <w:szCs w:val="24"/>
              </w:rPr>
              <w:t xml:space="preserve">Ņemot vērā likumā noteikto attiecībā uz tīmekļvietnēm vai mobilām lietotnēm un to sniegtajiem pakalpojumiem izvirzītajām prasībām, kā arī Autotransporta direkcijas kompetenci tīmekļvietņu reģistrācijas un uzraudzības jomā un ievērojot likuma </w:t>
            </w:r>
            <w:r w:rsidRPr="00A057F0">
              <w:rPr>
                <w:sz w:val="24"/>
                <w:szCs w:val="24"/>
              </w:rPr>
              <w:t>35.</w:t>
            </w:r>
            <w:r w:rsidRPr="00A057F0">
              <w:rPr>
                <w:sz w:val="24"/>
                <w:szCs w:val="24"/>
                <w:vertAlign w:val="superscript"/>
              </w:rPr>
              <w:t>2</w:t>
            </w:r>
            <w:r w:rsidRPr="00A057F0">
              <w:rPr>
                <w:sz w:val="24"/>
                <w:szCs w:val="24"/>
              </w:rPr>
              <w:t xml:space="preserve"> panta septīt</w:t>
            </w:r>
            <w:r>
              <w:rPr>
                <w:sz w:val="24"/>
                <w:szCs w:val="24"/>
              </w:rPr>
              <w:t>ā</w:t>
            </w:r>
            <w:r w:rsidRPr="00A057F0">
              <w:rPr>
                <w:sz w:val="24"/>
                <w:szCs w:val="24"/>
              </w:rPr>
              <w:t xml:space="preserve"> daļ</w:t>
            </w:r>
            <w:r>
              <w:rPr>
                <w:sz w:val="24"/>
                <w:szCs w:val="24"/>
              </w:rPr>
              <w:t>ā noteikto pilnvarojuma apjomu, noteikumu projekts paredz:</w:t>
            </w:r>
          </w:p>
          <w:p w14:paraId="6AF44384" w14:textId="0494F80E" w:rsidR="00D45333" w:rsidRDefault="00666E6C" w:rsidP="00D45333">
            <w:pPr>
              <w:pStyle w:val="ListParagraph"/>
              <w:numPr>
                <w:ilvl w:val="0"/>
                <w:numId w:val="4"/>
              </w:numPr>
              <w:ind w:left="0" w:firstLine="360"/>
              <w:jc w:val="both"/>
              <w:rPr>
                <w:sz w:val="24"/>
                <w:szCs w:val="24"/>
              </w:rPr>
            </w:pPr>
            <w:r>
              <w:rPr>
                <w:sz w:val="24"/>
                <w:szCs w:val="24"/>
              </w:rPr>
              <w:t>t</w:t>
            </w:r>
            <w:r w:rsidR="00D45333">
              <w:rPr>
                <w:sz w:val="24"/>
                <w:szCs w:val="24"/>
              </w:rPr>
              <w:t xml:space="preserve">īmekļvietņu vai mobilo lietotņu </w:t>
            </w:r>
            <w:r>
              <w:rPr>
                <w:sz w:val="24"/>
                <w:szCs w:val="24"/>
              </w:rPr>
              <w:t xml:space="preserve">pakalpojumu sniedzēju </w:t>
            </w:r>
            <w:r w:rsidR="00D45333">
              <w:rPr>
                <w:sz w:val="24"/>
                <w:szCs w:val="24"/>
              </w:rPr>
              <w:t>reģistrācijas kārtību – reģistrācijai Autotransporta direkcijā iesniedzamos dokumentus un informāciju, lai Autotransporta direkcija varētu pārliecināties par attiecīgā pakalpojuma sniedzēja atbilstību Autopārvadājumu likuma 35.</w:t>
            </w:r>
            <w:r w:rsidR="00D45333" w:rsidRPr="00B94C1A">
              <w:rPr>
                <w:sz w:val="24"/>
                <w:szCs w:val="24"/>
                <w:vertAlign w:val="superscript"/>
              </w:rPr>
              <w:t>2</w:t>
            </w:r>
            <w:r w:rsidR="00D45333">
              <w:rPr>
                <w:sz w:val="24"/>
                <w:szCs w:val="24"/>
              </w:rPr>
              <w:t xml:space="preserve"> panta pirmajā daļā noteiktajām prasībām. </w:t>
            </w:r>
            <w:r w:rsidR="00683B37">
              <w:rPr>
                <w:sz w:val="24"/>
                <w:szCs w:val="24"/>
              </w:rPr>
              <w:t>Informāciju par pakalpojuma sniedzēja atbilstību normatīvajos aktos noteiktajām prasībām Autotransporta direkcija iegūs Uzņēmumu reģistr</w:t>
            </w:r>
            <w:r w:rsidR="00785FC2">
              <w:rPr>
                <w:sz w:val="24"/>
                <w:szCs w:val="24"/>
              </w:rPr>
              <w:t>a komercreģistrā</w:t>
            </w:r>
            <w:r w:rsidR="00683B37">
              <w:rPr>
                <w:sz w:val="24"/>
                <w:szCs w:val="24"/>
              </w:rPr>
              <w:t xml:space="preserve">, Patērētāju tiesību aizsardzības </w:t>
            </w:r>
            <w:r w:rsidR="00683B37">
              <w:rPr>
                <w:sz w:val="24"/>
                <w:szCs w:val="24"/>
              </w:rPr>
              <w:lastRenderedPageBreak/>
              <w:t>centrā un V</w:t>
            </w:r>
            <w:r w:rsidR="00A5173C">
              <w:rPr>
                <w:sz w:val="24"/>
                <w:szCs w:val="24"/>
              </w:rPr>
              <w:t>ID</w:t>
            </w:r>
            <w:r w:rsidR="00683B37">
              <w:rPr>
                <w:sz w:val="24"/>
                <w:szCs w:val="24"/>
              </w:rPr>
              <w:t>. Prasībām atbilstoša tīmekļvietne vai mobilā</w:t>
            </w:r>
            <w:r w:rsidR="00785FC2">
              <w:rPr>
                <w:sz w:val="24"/>
                <w:szCs w:val="24"/>
              </w:rPr>
              <w:t>s</w:t>
            </w:r>
            <w:r w:rsidR="00683B37">
              <w:rPr>
                <w:sz w:val="24"/>
                <w:szCs w:val="24"/>
              </w:rPr>
              <w:t xml:space="preserve"> lietotne</w:t>
            </w:r>
            <w:r>
              <w:rPr>
                <w:sz w:val="24"/>
                <w:szCs w:val="24"/>
              </w:rPr>
              <w:t>s pakalpojuma sniedzējs</w:t>
            </w:r>
            <w:r w:rsidR="00683B37">
              <w:rPr>
                <w:sz w:val="24"/>
                <w:szCs w:val="24"/>
              </w:rPr>
              <w:t xml:space="preserve"> tiks reģistrēt</w:t>
            </w:r>
            <w:r w:rsidR="00785FC2">
              <w:rPr>
                <w:sz w:val="24"/>
                <w:szCs w:val="24"/>
              </w:rPr>
              <w:t>s</w:t>
            </w:r>
            <w:r w:rsidR="00683B37">
              <w:rPr>
                <w:sz w:val="24"/>
                <w:szCs w:val="24"/>
              </w:rPr>
              <w:t xml:space="preserve"> 30 dienu laikā</w:t>
            </w:r>
            <w:r w:rsidR="00785FC2">
              <w:rPr>
                <w:sz w:val="24"/>
                <w:szCs w:val="24"/>
              </w:rPr>
              <w:t xml:space="preserve"> no iesnieguma saņemšanas dienas</w:t>
            </w:r>
            <w:r w:rsidR="00683B37">
              <w:rPr>
                <w:sz w:val="24"/>
                <w:szCs w:val="24"/>
              </w:rPr>
              <w:t xml:space="preserve">, </w:t>
            </w:r>
            <w:r w:rsidR="00683B37" w:rsidRPr="00564D74">
              <w:rPr>
                <w:rFonts w:cs="Times New Roman"/>
                <w:sz w:val="24"/>
              </w:rPr>
              <w:t xml:space="preserve">publicējot </w:t>
            </w:r>
            <w:r w:rsidR="00683B37">
              <w:rPr>
                <w:rFonts w:cs="Times New Roman"/>
                <w:sz w:val="24"/>
              </w:rPr>
              <w:t>pakalpojum</w:t>
            </w:r>
            <w:r w:rsidR="00785FC2">
              <w:rPr>
                <w:rFonts w:cs="Times New Roman"/>
                <w:sz w:val="24"/>
              </w:rPr>
              <w:t>a</w:t>
            </w:r>
            <w:r w:rsidR="00683B37">
              <w:rPr>
                <w:rFonts w:cs="Times New Roman"/>
                <w:sz w:val="24"/>
              </w:rPr>
              <w:t xml:space="preserve"> sniedzēja nosaukumu, juridisko adresi, reģistrācijas numuru, tīmekļvietnes adresi vai mobilās lietotnes nosaukumu, reģistrācijas datumu</w:t>
            </w:r>
            <w:r w:rsidR="00683B37" w:rsidRPr="00564D74">
              <w:rPr>
                <w:rFonts w:cs="Times New Roman"/>
                <w:sz w:val="24"/>
              </w:rPr>
              <w:t xml:space="preserve"> </w:t>
            </w:r>
            <w:proofErr w:type="spellStart"/>
            <w:r w:rsidR="00683B37" w:rsidRPr="00564D74">
              <w:rPr>
                <w:rFonts w:cs="Times New Roman"/>
                <w:sz w:val="24"/>
              </w:rPr>
              <w:t>Autot</w:t>
            </w:r>
            <w:r w:rsidR="001B47EE">
              <w:rPr>
                <w:rFonts w:cs="Times New Roman"/>
                <w:sz w:val="24"/>
              </w:rPr>
              <w:t>opārvadātāju</w:t>
            </w:r>
            <w:proofErr w:type="spellEnd"/>
            <w:r w:rsidR="001B47EE">
              <w:rPr>
                <w:rFonts w:cs="Times New Roman"/>
                <w:sz w:val="24"/>
              </w:rPr>
              <w:t xml:space="preserve"> informatīvajā datu bāzē</w:t>
            </w:r>
            <w:r w:rsidR="00683B37">
              <w:rPr>
                <w:rFonts w:cs="Times New Roman"/>
                <w:sz w:val="24"/>
              </w:rPr>
              <w:t xml:space="preserve">, </w:t>
            </w:r>
            <w:r w:rsidR="00683B37" w:rsidRPr="00564D74">
              <w:rPr>
                <w:rFonts w:cs="Times New Roman"/>
                <w:sz w:val="24"/>
              </w:rPr>
              <w:t xml:space="preserve">vienlaikus nosūtot informāciju </w:t>
            </w:r>
            <w:r w:rsidR="00683B37">
              <w:rPr>
                <w:rFonts w:cs="Times New Roman"/>
                <w:sz w:val="24"/>
              </w:rPr>
              <w:t xml:space="preserve">pakalpojumu sniedzējam </w:t>
            </w:r>
            <w:r w:rsidR="00683B37" w:rsidRPr="00564D74">
              <w:rPr>
                <w:rFonts w:cs="Times New Roman"/>
                <w:sz w:val="24"/>
              </w:rPr>
              <w:t>uz iesniegumā norādīto e</w:t>
            </w:r>
            <w:r w:rsidR="00683B37">
              <w:rPr>
                <w:rFonts w:cs="Times New Roman"/>
                <w:sz w:val="24"/>
              </w:rPr>
              <w:t xml:space="preserve">lektroniskā </w:t>
            </w:r>
            <w:r w:rsidR="00683B37" w:rsidRPr="00564D74">
              <w:rPr>
                <w:rFonts w:cs="Times New Roman"/>
                <w:sz w:val="24"/>
              </w:rPr>
              <w:t>pasta adresi</w:t>
            </w:r>
            <w:r w:rsidR="00683B37">
              <w:rPr>
                <w:rFonts w:cs="Times New Roman"/>
                <w:sz w:val="24"/>
              </w:rPr>
              <w:t>.</w:t>
            </w:r>
          </w:p>
          <w:p w14:paraId="37CF0D53" w14:textId="14A9E2C9" w:rsidR="00B94C1A" w:rsidRDefault="00B94C1A" w:rsidP="00D45333">
            <w:pPr>
              <w:pStyle w:val="ListParagraph"/>
              <w:numPr>
                <w:ilvl w:val="0"/>
                <w:numId w:val="4"/>
              </w:numPr>
              <w:ind w:left="0" w:firstLine="360"/>
              <w:jc w:val="both"/>
              <w:rPr>
                <w:sz w:val="24"/>
                <w:szCs w:val="24"/>
              </w:rPr>
            </w:pPr>
            <w:r>
              <w:rPr>
                <w:sz w:val="24"/>
                <w:szCs w:val="24"/>
              </w:rPr>
              <w:t>Prasības tīmekļvietnes vai mobilās lietotnes funkcionalitātei un norādām</w:t>
            </w:r>
            <w:r w:rsidR="00785FC2">
              <w:rPr>
                <w:sz w:val="24"/>
                <w:szCs w:val="24"/>
              </w:rPr>
              <w:t>aj</w:t>
            </w:r>
            <w:r>
              <w:rPr>
                <w:sz w:val="24"/>
                <w:szCs w:val="24"/>
              </w:rPr>
              <w:t xml:space="preserve">ai informācijai, </w:t>
            </w:r>
            <w:r w:rsidR="00020F38">
              <w:rPr>
                <w:sz w:val="24"/>
                <w:szCs w:val="24"/>
              </w:rPr>
              <w:t>ņemot vērā no</w:t>
            </w:r>
            <w:r>
              <w:rPr>
                <w:sz w:val="24"/>
                <w:szCs w:val="24"/>
              </w:rPr>
              <w:t xml:space="preserve"> likuma </w:t>
            </w:r>
            <w:r w:rsidRPr="00A057F0">
              <w:rPr>
                <w:sz w:val="24"/>
                <w:szCs w:val="24"/>
              </w:rPr>
              <w:t>35.</w:t>
            </w:r>
            <w:r w:rsidRPr="00A057F0">
              <w:rPr>
                <w:sz w:val="24"/>
                <w:szCs w:val="24"/>
                <w:vertAlign w:val="superscript"/>
              </w:rPr>
              <w:t>2</w:t>
            </w:r>
            <w:r w:rsidRPr="00A057F0">
              <w:rPr>
                <w:sz w:val="24"/>
                <w:szCs w:val="24"/>
              </w:rPr>
              <w:t xml:space="preserve"> panta</w:t>
            </w:r>
            <w:r>
              <w:rPr>
                <w:sz w:val="24"/>
                <w:szCs w:val="24"/>
              </w:rPr>
              <w:t xml:space="preserve"> </w:t>
            </w:r>
            <w:r w:rsidR="00020F38">
              <w:rPr>
                <w:sz w:val="24"/>
                <w:szCs w:val="24"/>
              </w:rPr>
              <w:t>izrietošās</w:t>
            </w:r>
            <w:r>
              <w:rPr>
                <w:sz w:val="24"/>
                <w:szCs w:val="24"/>
              </w:rPr>
              <w:t xml:space="preserve"> obligātā</w:t>
            </w:r>
            <w:r w:rsidR="00020F38">
              <w:rPr>
                <w:sz w:val="24"/>
                <w:szCs w:val="24"/>
              </w:rPr>
              <w:t>s</w:t>
            </w:r>
            <w:r>
              <w:rPr>
                <w:sz w:val="24"/>
                <w:szCs w:val="24"/>
              </w:rPr>
              <w:t xml:space="preserve"> prasīb</w:t>
            </w:r>
            <w:r w:rsidR="00020F38">
              <w:rPr>
                <w:sz w:val="24"/>
                <w:szCs w:val="24"/>
              </w:rPr>
              <w:t>as</w:t>
            </w:r>
            <w:r>
              <w:rPr>
                <w:sz w:val="24"/>
                <w:szCs w:val="24"/>
              </w:rPr>
              <w:t xml:space="preserve"> tīmekļvietnes vai mobilās lietotnes satur</w:t>
            </w:r>
            <w:r w:rsidR="00020F38">
              <w:rPr>
                <w:sz w:val="24"/>
                <w:szCs w:val="24"/>
              </w:rPr>
              <w:t>am</w:t>
            </w:r>
            <w:r>
              <w:rPr>
                <w:sz w:val="24"/>
                <w:szCs w:val="24"/>
              </w:rPr>
              <w:t xml:space="preserve">, </w:t>
            </w:r>
            <w:r w:rsidR="00020F38">
              <w:rPr>
                <w:sz w:val="24"/>
                <w:szCs w:val="24"/>
              </w:rPr>
              <w:t xml:space="preserve">šādu pakalpojumu sniegšanai, </w:t>
            </w:r>
            <w:r>
              <w:rPr>
                <w:sz w:val="24"/>
                <w:szCs w:val="24"/>
              </w:rPr>
              <w:t>kā arī</w:t>
            </w:r>
            <w:r w:rsidR="00785FC2">
              <w:rPr>
                <w:sz w:val="24"/>
                <w:szCs w:val="24"/>
              </w:rPr>
              <w:t>,</w:t>
            </w:r>
            <w:r>
              <w:rPr>
                <w:sz w:val="24"/>
                <w:szCs w:val="24"/>
              </w:rPr>
              <w:t xml:space="preserve"> ņemot vērā likumā ietvertās pārvadājumu pakalpojumu </w:t>
            </w:r>
            <w:r w:rsidR="00020F38">
              <w:rPr>
                <w:sz w:val="24"/>
                <w:szCs w:val="24"/>
              </w:rPr>
              <w:t xml:space="preserve">veidu - </w:t>
            </w:r>
            <w:r>
              <w:rPr>
                <w:sz w:val="24"/>
                <w:szCs w:val="24"/>
              </w:rPr>
              <w:t>ar taksometru un vieglo automobili</w:t>
            </w:r>
            <w:r w:rsidR="00020F38">
              <w:rPr>
                <w:sz w:val="24"/>
                <w:szCs w:val="24"/>
              </w:rPr>
              <w:t xml:space="preserve"> -</w:t>
            </w:r>
            <w:r>
              <w:rPr>
                <w:sz w:val="24"/>
                <w:szCs w:val="24"/>
              </w:rPr>
              <w:t xml:space="preserve"> sniegšanas atšķirības (piemēram, attiecībā uz norēķinu kārību</w:t>
            </w:r>
            <w:r w:rsidR="00020F38">
              <w:rPr>
                <w:sz w:val="24"/>
                <w:szCs w:val="24"/>
              </w:rPr>
              <w:t>, pakalpojumu pieprasīšanu, piedāvāšanu un apstiprināšanu)</w:t>
            </w:r>
            <w:r>
              <w:rPr>
                <w:sz w:val="24"/>
                <w:szCs w:val="24"/>
              </w:rPr>
              <w:t>.</w:t>
            </w:r>
          </w:p>
          <w:p w14:paraId="1D3EF20F" w14:textId="186CD1EE" w:rsidR="00B94C1A" w:rsidRPr="00D45333" w:rsidRDefault="00B31267" w:rsidP="00B31267">
            <w:pPr>
              <w:pStyle w:val="ListParagraph"/>
              <w:ind w:left="0" w:firstLine="360"/>
              <w:jc w:val="both"/>
              <w:rPr>
                <w:sz w:val="24"/>
                <w:szCs w:val="24"/>
              </w:rPr>
            </w:pPr>
            <w:r>
              <w:rPr>
                <w:sz w:val="24"/>
                <w:szCs w:val="24"/>
              </w:rPr>
              <w:t>Vienlaikus noteikumu projekts nosaka minimālās prasības informācijai, kuras redzamība tīmekļvietnei vai mobil</w:t>
            </w:r>
            <w:r w:rsidR="00785FC2">
              <w:rPr>
                <w:sz w:val="24"/>
                <w:szCs w:val="24"/>
              </w:rPr>
              <w:t>aj</w:t>
            </w:r>
            <w:r>
              <w:rPr>
                <w:sz w:val="24"/>
                <w:szCs w:val="24"/>
              </w:rPr>
              <w:t>ai lietotnei jānodrošina pasažierim, autovadītājam, pārvadātājam un kontroles institūcijām.</w:t>
            </w:r>
          </w:p>
          <w:p w14:paraId="12D8F92D" w14:textId="61FCEF80" w:rsidR="00A057F0" w:rsidRPr="00C6558A" w:rsidRDefault="00C6558A" w:rsidP="00C6558A">
            <w:pPr>
              <w:pStyle w:val="ListParagraph"/>
              <w:numPr>
                <w:ilvl w:val="0"/>
                <w:numId w:val="5"/>
              </w:numPr>
              <w:shd w:val="clear" w:color="auto" w:fill="FFFFFF"/>
              <w:spacing w:line="293" w:lineRule="atLeast"/>
              <w:ind w:left="0" w:hanging="502"/>
              <w:jc w:val="both"/>
              <w:rPr>
                <w:rFonts w:eastAsia="Times New Roman" w:cs="Times New Roman"/>
                <w:sz w:val="24"/>
                <w:szCs w:val="24"/>
                <w:lang w:eastAsia="lv-LV"/>
              </w:rPr>
            </w:pPr>
            <w:r>
              <w:rPr>
                <w:sz w:val="24"/>
                <w:szCs w:val="24"/>
              </w:rPr>
              <w:t>Atbilstoši likumā ietvertam pilnvarojumam un tīmekļvietņu un mobilo lietotņu pakalpojumu sniegšanas uzraudzības pasākumu ietvaros, noteikumu projekts no</w:t>
            </w:r>
            <w:r w:rsidR="00B54996">
              <w:rPr>
                <w:sz w:val="24"/>
                <w:szCs w:val="24"/>
              </w:rPr>
              <w:t>teic</w:t>
            </w:r>
            <w:r>
              <w:rPr>
                <w:sz w:val="24"/>
                <w:szCs w:val="24"/>
              </w:rPr>
              <w:t xml:space="preserve">, ka tīmekļvietņu un mobilo lietotņu pakalpojumu sniedzējam vienu reizi </w:t>
            </w:r>
            <w:r w:rsidR="00666E6C">
              <w:rPr>
                <w:sz w:val="24"/>
                <w:szCs w:val="24"/>
              </w:rPr>
              <w:t>ceturksnī</w:t>
            </w:r>
            <w:r>
              <w:rPr>
                <w:sz w:val="24"/>
                <w:szCs w:val="24"/>
              </w:rPr>
              <w:t xml:space="preserve">  </w:t>
            </w:r>
            <w:r w:rsidR="00666E6C">
              <w:rPr>
                <w:sz w:val="24"/>
                <w:szCs w:val="24"/>
              </w:rPr>
              <w:t>ir</w:t>
            </w:r>
            <w:r>
              <w:rPr>
                <w:sz w:val="24"/>
                <w:szCs w:val="24"/>
              </w:rPr>
              <w:t xml:space="preserve"> jāsniedz informācija V</w:t>
            </w:r>
            <w:r w:rsidR="00A5173C">
              <w:rPr>
                <w:sz w:val="24"/>
                <w:szCs w:val="24"/>
              </w:rPr>
              <w:t>ID</w:t>
            </w:r>
            <w:r>
              <w:rPr>
                <w:sz w:val="24"/>
                <w:szCs w:val="24"/>
              </w:rPr>
              <w:t xml:space="preserve"> par Latvijas teritorijā </w:t>
            </w:r>
            <w:r w:rsidRPr="00B4711C">
              <w:rPr>
                <w:rFonts w:eastAsia="Times New Roman" w:cs="Times New Roman"/>
                <w:sz w:val="24"/>
                <w:szCs w:val="24"/>
                <w:lang w:eastAsia="lv-LV"/>
              </w:rPr>
              <w:t xml:space="preserve">tīmekļvietnē vai mobilajā lietotnē piedāvātajiem, pārvadātāja atteiktajiem un veiktajiem pasažieru komercpārvadājumiem, autovadītājiem un autotransporta līdzekļiem. </w:t>
            </w:r>
            <w:r>
              <w:rPr>
                <w:rFonts w:eastAsia="Times New Roman" w:cs="Times New Roman"/>
                <w:sz w:val="24"/>
                <w:szCs w:val="24"/>
                <w:lang w:eastAsia="lv-LV"/>
              </w:rPr>
              <w:t>Noteikumu projekta 1</w:t>
            </w:r>
            <w:r w:rsidR="00B54996">
              <w:rPr>
                <w:rFonts w:eastAsia="Times New Roman" w:cs="Times New Roman"/>
                <w:sz w:val="24"/>
                <w:szCs w:val="24"/>
                <w:lang w:eastAsia="lv-LV"/>
              </w:rPr>
              <w:t>0</w:t>
            </w:r>
            <w:r>
              <w:rPr>
                <w:rFonts w:eastAsia="Times New Roman" w:cs="Times New Roman"/>
                <w:sz w:val="24"/>
                <w:szCs w:val="24"/>
                <w:lang w:eastAsia="lv-LV"/>
              </w:rPr>
              <w:t>.punktā tiek detalizēta V</w:t>
            </w:r>
            <w:r w:rsidR="00A5173C">
              <w:rPr>
                <w:rFonts w:eastAsia="Times New Roman" w:cs="Times New Roman"/>
                <w:sz w:val="24"/>
                <w:szCs w:val="24"/>
                <w:lang w:eastAsia="lv-LV"/>
              </w:rPr>
              <w:t>ID</w:t>
            </w:r>
            <w:r>
              <w:rPr>
                <w:rFonts w:eastAsia="Times New Roman" w:cs="Times New Roman"/>
                <w:sz w:val="24"/>
                <w:szCs w:val="24"/>
                <w:lang w:eastAsia="lv-LV"/>
              </w:rPr>
              <w:t xml:space="preserve"> iesniedzamā informācija. </w:t>
            </w:r>
            <w:r w:rsidR="00785FC2">
              <w:rPr>
                <w:rFonts w:eastAsia="Times New Roman" w:cs="Times New Roman"/>
                <w:sz w:val="24"/>
                <w:szCs w:val="24"/>
                <w:lang w:eastAsia="lv-LV"/>
              </w:rPr>
              <w:t>Vienlaikus</w:t>
            </w:r>
            <w:r>
              <w:rPr>
                <w:rFonts w:eastAsia="Times New Roman" w:cs="Times New Roman"/>
                <w:sz w:val="24"/>
                <w:szCs w:val="24"/>
                <w:lang w:eastAsia="lv-LV"/>
              </w:rPr>
              <w:t xml:space="preserve">, lai nodrošinātu šādu pakalpojumu sniegšanas uzraudzību un atbilstību normatīvajos aktos noteiktajām prasībām, ir paredzēts, ka Autotransporta direkcija </w:t>
            </w:r>
            <w:r w:rsidR="00785FC2">
              <w:rPr>
                <w:rFonts w:eastAsia="Times New Roman" w:cs="Times New Roman"/>
                <w:sz w:val="24"/>
                <w:szCs w:val="24"/>
                <w:lang w:eastAsia="lv-LV"/>
              </w:rPr>
              <w:t xml:space="preserve">vienu </w:t>
            </w:r>
            <w:r>
              <w:rPr>
                <w:rFonts w:eastAsia="Times New Roman" w:cs="Times New Roman"/>
                <w:sz w:val="24"/>
                <w:szCs w:val="24"/>
                <w:lang w:eastAsia="lv-LV"/>
              </w:rPr>
              <w:t>reizi gadā vai pēc kontrolējoši institūciju pieprasījuma veiks attiecīgus uzraudzības jeb atbilstības pārbaudes pasākumus. K</w:t>
            </w:r>
            <w:r>
              <w:rPr>
                <w:rFonts w:cs="Times New Roman"/>
                <w:sz w:val="24"/>
              </w:rPr>
              <w:t xml:space="preserve">onstatējot </w:t>
            </w:r>
            <w:r w:rsidRPr="00564D74">
              <w:rPr>
                <w:rFonts w:cs="Times New Roman"/>
                <w:sz w:val="24"/>
              </w:rPr>
              <w:t>pakalpojuma sniedzēj</w:t>
            </w:r>
            <w:r>
              <w:rPr>
                <w:rFonts w:cs="Times New Roman"/>
                <w:sz w:val="24"/>
              </w:rPr>
              <w:t>a</w:t>
            </w:r>
            <w:r w:rsidRPr="00564D74">
              <w:rPr>
                <w:rFonts w:cs="Times New Roman"/>
                <w:sz w:val="24"/>
              </w:rPr>
              <w:t xml:space="preserve"> </w:t>
            </w:r>
            <w:r>
              <w:rPr>
                <w:rFonts w:cs="Times New Roman"/>
                <w:sz w:val="24"/>
              </w:rPr>
              <w:t>neatbilstību noteikumu un likumā noteikt</w:t>
            </w:r>
            <w:r w:rsidR="00785FC2">
              <w:rPr>
                <w:rFonts w:cs="Times New Roman"/>
                <w:sz w:val="24"/>
              </w:rPr>
              <w:t>aj</w:t>
            </w:r>
            <w:r>
              <w:rPr>
                <w:rFonts w:cs="Times New Roman"/>
                <w:sz w:val="24"/>
              </w:rPr>
              <w:t xml:space="preserve">ām prasībām, Autotransporta direkcija pakalpojumu sniedzējam uz iesniegumā norādīto elektroniskā pasta adresi nosūtīs </w:t>
            </w:r>
            <w:r w:rsidRPr="008B2160">
              <w:rPr>
                <w:rFonts w:cs="Times New Roman"/>
                <w:sz w:val="24"/>
              </w:rPr>
              <w:t>rakstisk</w:t>
            </w:r>
            <w:r>
              <w:rPr>
                <w:rFonts w:cs="Times New Roman"/>
                <w:sz w:val="24"/>
              </w:rPr>
              <w:t>u</w:t>
            </w:r>
            <w:r w:rsidRPr="008B2160">
              <w:rPr>
                <w:rFonts w:cs="Times New Roman"/>
                <w:sz w:val="24"/>
              </w:rPr>
              <w:t xml:space="preserve"> aicinājum</w:t>
            </w:r>
            <w:r>
              <w:rPr>
                <w:rFonts w:cs="Times New Roman"/>
                <w:sz w:val="24"/>
              </w:rPr>
              <w:t xml:space="preserve">u noteiktā termiņā </w:t>
            </w:r>
            <w:r w:rsidRPr="008B2160">
              <w:rPr>
                <w:rFonts w:cs="Times New Roman"/>
                <w:sz w:val="24"/>
              </w:rPr>
              <w:t>novērst</w:t>
            </w:r>
            <w:r>
              <w:rPr>
                <w:rFonts w:cs="Times New Roman"/>
                <w:sz w:val="24"/>
              </w:rPr>
              <w:t xml:space="preserve"> neatbilstības.</w:t>
            </w:r>
          </w:p>
          <w:p w14:paraId="28DBF104" w14:textId="018DD309" w:rsidR="00C6558A" w:rsidRPr="00683B37" w:rsidRDefault="00A5173C" w:rsidP="00C6558A">
            <w:pPr>
              <w:pStyle w:val="ListParagraph"/>
              <w:numPr>
                <w:ilvl w:val="0"/>
                <w:numId w:val="5"/>
              </w:numPr>
              <w:shd w:val="clear" w:color="auto" w:fill="FFFFFF"/>
              <w:spacing w:line="293" w:lineRule="atLeast"/>
              <w:ind w:left="0" w:hanging="502"/>
              <w:jc w:val="both"/>
              <w:rPr>
                <w:rFonts w:eastAsia="Times New Roman" w:cs="Times New Roman"/>
                <w:sz w:val="24"/>
                <w:szCs w:val="24"/>
                <w:lang w:eastAsia="lv-LV"/>
              </w:rPr>
            </w:pPr>
            <w:r>
              <w:rPr>
                <w:rFonts w:cs="Times New Roman"/>
                <w:sz w:val="24"/>
              </w:rPr>
              <w:t>Noteikumu projekts paredz t</w:t>
            </w:r>
            <w:r w:rsidR="00683B37">
              <w:rPr>
                <w:rFonts w:cs="Times New Roman"/>
                <w:sz w:val="24"/>
              </w:rPr>
              <w:t xml:space="preserve">īmekļvietņu vai mobilo lietotņu </w:t>
            </w:r>
            <w:r w:rsidR="00666E6C">
              <w:rPr>
                <w:rFonts w:cs="Times New Roman"/>
                <w:sz w:val="24"/>
              </w:rPr>
              <w:t xml:space="preserve">pakalpojuma sniedzēju </w:t>
            </w:r>
            <w:r w:rsidR="00683B37">
              <w:rPr>
                <w:rFonts w:cs="Times New Roman"/>
                <w:sz w:val="24"/>
              </w:rPr>
              <w:t>reģistrācijas anulēšanas</w:t>
            </w:r>
            <w:r w:rsidR="00BE58AB">
              <w:rPr>
                <w:rFonts w:cs="Times New Roman"/>
                <w:sz w:val="24"/>
              </w:rPr>
              <w:t xml:space="preserve"> un to bloķēšanas</w:t>
            </w:r>
            <w:r w:rsidR="00683B37">
              <w:rPr>
                <w:rFonts w:cs="Times New Roman"/>
                <w:sz w:val="24"/>
              </w:rPr>
              <w:t xml:space="preserve"> nosacījumus. Proti, Autotransporta direkcijā reģistrētas tīmekļvietnes vai mobilās lietotnes </w:t>
            </w:r>
            <w:r w:rsidR="00666E6C">
              <w:rPr>
                <w:rFonts w:cs="Times New Roman"/>
                <w:sz w:val="24"/>
              </w:rPr>
              <w:t xml:space="preserve">pakalpojuma </w:t>
            </w:r>
            <w:r w:rsidR="00666E6C">
              <w:rPr>
                <w:rFonts w:cs="Times New Roman"/>
                <w:sz w:val="24"/>
              </w:rPr>
              <w:lastRenderedPageBreak/>
              <w:t xml:space="preserve">sniedzēja </w:t>
            </w:r>
            <w:r w:rsidR="00683B37">
              <w:rPr>
                <w:rFonts w:cs="Times New Roman"/>
                <w:sz w:val="24"/>
              </w:rPr>
              <w:t>reģistrāciju Autotransporta direkcija varēs anulēt, ja:</w:t>
            </w:r>
          </w:p>
          <w:p w14:paraId="18B9ECBD" w14:textId="77777777" w:rsidR="00683B37" w:rsidRPr="00683B37" w:rsidRDefault="00683B37" w:rsidP="00683B37">
            <w:pPr>
              <w:ind w:firstLine="0"/>
              <w:jc w:val="both"/>
              <w:rPr>
                <w:rFonts w:cs="Times New Roman"/>
                <w:sz w:val="24"/>
              </w:rPr>
            </w:pPr>
            <w:r w:rsidRPr="00683B37">
              <w:rPr>
                <w:rFonts w:cs="Times New Roman"/>
                <w:sz w:val="24"/>
              </w:rPr>
              <w:t xml:space="preserve">- pakalpojuma sniedzējs Autotransporta direkcijā </w:t>
            </w:r>
            <w:r>
              <w:rPr>
                <w:rFonts w:cs="Times New Roman"/>
                <w:sz w:val="24"/>
              </w:rPr>
              <w:t xml:space="preserve">būs </w:t>
            </w:r>
            <w:r w:rsidRPr="00683B37">
              <w:rPr>
                <w:rFonts w:cs="Times New Roman"/>
                <w:sz w:val="24"/>
              </w:rPr>
              <w:t>iesniedzis iesniegumu par reģistrācijas anulēšanu;</w:t>
            </w:r>
          </w:p>
          <w:p w14:paraId="2FBBD0AC" w14:textId="4E0ECC6E" w:rsidR="00683B37" w:rsidRPr="00683B37" w:rsidRDefault="00683B37" w:rsidP="00683B37">
            <w:pPr>
              <w:ind w:firstLine="0"/>
              <w:jc w:val="both"/>
              <w:rPr>
                <w:rFonts w:cs="Times New Roman"/>
                <w:sz w:val="24"/>
              </w:rPr>
            </w:pPr>
            <w:r>
              <w:rPr>
                <w:rFonts w:cs="Times New Roman"/>
                <w:sz w:val="24"/>
              </w:rPr>
              <w:t xml:space="preserve">- tiks </w:t>
            </w:r>
            <w:r w:rsidRPr="00683B37">
              <w:rPr>
                <w:rFonts w:cs="Times New Roman"/>
                <w:sz w:val="24"/>
              </w:rPr>
              <w:t>konstatēta</w:t>
            </w:r>
            <w:r>
              <w:rPr>
                <w:rFonts w:cs="Times New Roman"/>
                <w:sz w:val="24"/>
              </w:rPr>
              <w:t xml:space="preserve"> tīmekļvietnes vai mobilās lietotnes pakalpojuma sniedzēja</w:t>
            </w:r>
            <w:r w:rsidRPr="00683B37">
              <w:rPr>
                <w:rFonts w:cs="Times New Roman"/>
                <w:sz w:val="24"/>
              </w:rPr>
              <w:t xml:space="preserve"> neatbilstība</w:t>
            </w:r>
            <w:r>
              <w:rPr>
                <w:rFonts w:cs="Times New Roman"/>
                <w:sz w:val="24"/>
              </w:rPr>
              <w:t xml:space="preserve"> normatīvajos aktos noteiktajām prasībām </w:t>
            </w:r>
            <w:r w:rsidR="00785FC2">
              <w:rPr>
                <w:rFonts w:cs="Times New Roman"/>
                <w:sz w:val="24"/>
              </w:rPr>
              <w:t>ar</w:t>
            </w:r>
            <w:r>
              <w:rPr>
                <w:rFonts w:cs="Times New Roman"/>
                <w:sz w:val="24"/>
              </w:rPr>
              <w:t xml:space="preserve"> nosacījum</w:t>
            </w:r>
            <w:r w:rsidR="00785FC2">
              <w:rPr>
                <w:rFonts w:cs="Times New Roman"/>
                <w:sz w:val="24"/>
              </w:rPr>
              <w:t>u</w:t>
            </w:r>
            <w:r>
              <w:rPr>
                <w:rFonts w:cs="Times New Roman"/>
                <w:sz w:val="24"/>
              </w:rPr>
              <w:t xml:space="preserve">, </w:t>
            </w:r>
            <w:r w:rsidR="00785FC2">
              <w:rPr>
                <w:rFonts w:cs="Times New Roman"/>
                <w:sz w:val="24"/>
              </w:rPr>
              <w:t>k</w:t>
            </w:r>
            <w:r>
              <w:rPr>
                <w:rFonts w:cs="Times New Roman"/>
                <w:sz w:val="24"/>
              </w:rPr>
              <w:t xml:space="preserve">a </w:t>
            </w:r>
            <w:r w:rsidRPr="00683B37">
              <w:rPr>
                <w:rFonts w:cs="Times New Roman"/>
                <w:sz w:val="24"/>
              </w:rPr>
              <w:t>pakalpojuma sniedzējs pēc Autotransporta direkcijas rakstisk</w:t>
            </w:r>
            <w:r w:rsidR="00785FC2">
              <w:rPr>
                <w:rFonts w:cs="Times New Roman"/>
                <w:sz w:val="24"/>
              </w:rPr>
              <w:t>a</w:t>
            </w:r>
            <w:r w:rsidRPr="00683B37">
              <w:rPr>
                <w:rFonts w:cs="Times New Roman"/>
                <w:sz w:val="24"/>
              </w:rPr>
              <w:t xml:space="preserve"> aicinājum</w:t>
            </w:r>
            <w:r w:rsidR="00785FC2">
              <w:rPr>
                <w:rFonts w:cs="Times New Roman"/>
                <w:sz w:val="24"/>
              </w:rPr>
              <w:t>a</w:t>
            </w:r>
            <w:r w:rsidRPr="00683B37">
              <w:rPr>
                <w:rFonts w:cs="Times New Roman"/>
                <w:sz w:val="24"/>
              </w:rPr>
              <w:t xml:space="preserve"> noteikt</w:t>
            </w:r>
            <w:r w:rsidR="00785FC2">
              <w:rPr>
                <w:rFonts w:cs="Times New Roman"/>
                <w:sz w:val="24"/>
              </w:rPr>
              <w:t>aj</w:t>
            </w:r>
            <w:r w:rsidRPr="00683B37">
              <w:rPr>
                <w:rFonts w:cs="Times New Roman"/>
                <w:sz w:val="24"/>
              </w:rPr>
              <w:t>ā termiņ</w:t>
            </w:r>
            <w:r w:rsidR="00785FC2">
              <w:rPr>
                <w:rFonts w:cs="Times New Roman"/>
                <w:sz w:val="24"/>
              </w:rPr>
              <w:t>ā nav novērsis</w:t>
            </w:r>
            <w:r w:rsidRPr="00683B37">
              <w:rPr>
                <w:rFonts w:cs="Times New Roman"/>
                <w:sz w:val="24"/>
              </w:rPr>
              <w:t xml:space="preserve"> </w:t>
            </w:r>
            <w:r>
              <w:rPr>
                <w:rFonts w:cs="Times New Roman"/>
                <w:sz w:val="24"/>
              </w:rPr>
              <w:t>konstatētos pārkāpumus</w:t>
            </w:r>
            <w:r w:rsidRPr="00683B37">
              <w:rPr>
                <w:rFonts w:cs="Times New Roman"/>
                <w:sz w:val="24"/>
              </w:rPr>
              <w:t>;</w:t>
            </w:r>
          </w:p>
          <w:p w14:paraId="5341314C" w14:textId="28C5897B" w:rsidR="00683B37" w:rsidRPr="00683B37" w:rsidRDefault="00683B37" w:rsidP="00683B37">
            <w:pPr>
              <w:ind w:firstLine="0"/>
              <w:jc w:val="both"/>
              <w:rPr>
                <w:rFonts w:cs="Times New Roman"/>
                <w:sz w:val="24"/>
              </w:rPr>
            </w:pPr>
            <w:r>
              <w:rPr>
                <w:rFonts w:cs="Times New Roman"/>
                <w:sz w:val="24"/>
              </w:rPr>
              <w:t xml:space="preserve">- </w:t>
            </w:r>
            <w:r w:rsidRPr="00683B37">
              <w:rPr>
                <w:rFonts w:cs="Times New Roman"/>
                <w:sz w:val="24"/>
              </w:rPr>
              <w:t>pakalpojuma sniedzējs neievēro normatīvo aktu prasības nodokļu jomā un V</w:t>
            </w:r>
            <w:r w:rsidR="00A5173C">
              <w:rPr>
                <w:rFonts w:cs="Times New Roman"/>
                <w:sz w:val="24"/>
              </w:rPr>
              <w:t>ID</w:t>
            </w:r>
            <w:r w:rsidRPr="00683B37">
              <w:rPr>
                <w:rFonts w:cs="Times New Roman"/>
                <w:sz w:val="24"/>
              </w:rPr>
              <w:t xml:space="preserve"> pieņēmis lēmumu par tā saimnieciskās darbības apturēšanu;</w:t>
            </w:r>
          </w:p>
          <w:p w14:paraId="070D1026" w14:textId="77777777" w:rsidR="00683B37" w:rsidRPr="00683B37" w:rsidRDefault="00683B37" w:rsidP="00683B37">
            <w:pPr>
              <w:ind w:firstLine="0"/>
              <w:jc w:val="both"/>
              <w:rPr>
                <w:rFonts w:cs="Times New Roman"/>
                <w:sz w:val="24"/>
              </w:rPr>
            </w:pPr>
            <w:r>
              <w:rPr>
                <w:rFonts w:cs="Times New Roman"/>
                <w:sz w:val="24"/>
              </w:rPr>
              <w:t xml:space="preserve">- </w:t>
            </w:r>
            <w:r w:rsidRPr="00683B37">
              <w:rPr>
                <w:rFonts w:cs="Times New Roman"/>
                <w:sz w:val="24"/>
              </w:rPr>
              <w:t>saņemta kontrolējošo institūciju sniegta informācija par nesadarbošanos vai prasību neievērošanu;</w:t>
            </w:r>
          </w:p>
          <w:p w14:paraId="1B31259F" w14:textId="77777777" w:rsidR="00683B37" w:rsidRPr="00683B37" w:rsidRDefault="00683B37" w:rsidP="00683B37">
            <w:pPr>
              <w:ind w:firstLine="0"/>
              <w:jc w:val="both"/>
              <w:rPr>
                <w:rFonts w:cs="Times New Roman"/>
                <w:sz w:val="24"/>
              </w:rPr>
            </w:pPr>
            <w:r>
              <w:rPr>
                <w:rFonts w:cs="Times New Roman"/>
                <w:sz w:val="24"/>
              </w:rPr>
              <w:t xml:space="preserve">- </w:t>
            </w:r>
            <w:r w:rsidRPr="00683B37">
              <w:rPr>
                <w:rFonts w:cs="Times New Roman"/>
                <w:sz w:val="24"/>
              </w:rPr>
              <w:t>nepamatoti tiek liegta piekļuve komercpārvadājumu ar taksometru vai vieglo automobili pakalpojumam;</w:t>
            </w:r>
          </w:p>
          <w:p w14:paraId="477D17DB" w14:textId="107354EC" w:rsidR="00683B37" w:rsidRPr="00683B37" w:rsidRDefault="00683B37" w:rsidP="00683B37">
            <w:pPr>
              <w:ind w:firstLine="0"/>
              <w:jc w:val="both"/>
              <w:rPr>
                <w:rFonts w:cs="Times New Roman"/>
                <w:sz w:val="24"/>
              </w:rPr>
            </w:pPr>
            <w:r>
              <w:rPr>
                <w:rFonts w:cs="Times New Roman"/>
                <w:sz w:val="24"/>
              </w:rPr>
              <w:t>-</w:t>
            </w:r>
            <w:r w:rsidRPr="00683B37">
              <w:rPr>
                <w:rFonts w:cs="Times New Roman"/>
                <w:sz w:val="24"/>
              </w:rPr>
              <w:t xml:space="preserve"> pakalpojuma sniedzējs piedāvā autovadītājus, kas nav reģistrēti taksometru vadītāju reģistrā, pārvadātājus, kuriem nav spēkā esošas speciālās atļaujas (licences) pasažieru komercpārvadājumiem ar taksometriem vai vieglajiem automobiļiem</w:t>
            </w:r>
            <w:r w:rsidR="00785FC2">
              <w:rPr>
                <w:rFonts w:cs="Times New Roman"/>
                <w:sz w:val="24"/>
              </w:rPr>
              <w:t>,</w:t>
            </w:r>
            <w:r w:rsidRPr="00683B37">
              <w:rPr>
                <w:rFonts w:cs="Times New Roman"/>
                <w:sz w:val="24"/>
              </w:rPr>
              <w:t xml:space="preserve"> un autotransporta līdzekļus, kuriem nav spēkā esošas licences kartītes komercpārvadājumiem ar taksometriem vai vieglajiem automobiļiem;</w:t>
            </w:r>
          </w:p>
          <w:p w14:paraId="25091742" w14:textId="77777777" w:rsidR="00683B37" w:rsidRPr="00683B37" w:rsidRDefault="00683B37" w:rsidP="00683B37">
            <w:pPr>
              <w:ind w:firstLine="0"/>
              <w:jc w:val="both"/>
              <w:rPr>
                <w:rFonts w:cs="Times New Roman"/>
                <w:sz w:val="24"/>
              </w:rPr>
            </w:pPr>
            <w:r>
              <w:rPr>
                <w:rFonts w:cs="Times New Roman"/>
                <w:sz w:val="24"/>
              </w:rPr>
              <w:t xml:space="preserve">- </w:t>
            </w:r>
            <w:r w:rsidRPr="00683B37">
              <w:rPr>
                <w:rFonts w:cs="Times New Roman"/>
                <w:sz w:val="24"/>
              </w:rPr>
              <w:t>mainīta pakalpojuma sniedzēja tīmekļvietne vai mobilā lietotne;</w:t>
            </w:r>
          </w:p>
          <w:p w14:paraId="68CE0BA0" w14:textId="77777777" w:rsidR="00683B37" w:rsidRPr="00683B37" w:rsidRDefault="00683B37" w:rsidP="00683B37">
            <w:pPr>
              <w:ind w:firstLine="0"/>
              <w:jc w:val="both"/>
              <w:rPr>
                <w:rFonts w:cs="Times New Roman"/>
                <w:sz w:val="24"/>
              </w:rPr>
            </w:pPr>
            <w:r>
              <w:rPr>
                <w:rFonts w:cs="Times New Roman"/>
                <w:sz w:val="24"/>
              </w:rPr>
              <w:t>-</w:t>
            </w:r>
            <w:r w:rsidRPr="00683B37">
              <w:rPr>
                <w:rFonts w:cs="Times New Roman"/>
                <w:sz w:val="24"/>
              </w:rPr>
              <w:t xml:space="preserve"> komersants</w:t>
            </w:r>
            <w:r>
              <w:rPr>
                <w:rFonts w:cs="Times New Roman"/>
                <w:sz w:val="24"/>
              </w:rPr>
              <w:t xml:space="preserve"> ir</w:t>
            </w:r>
            <w:r w:rsidRPr="00683B37">
              <w:rPr>
                <w:rFonts w:cs="Times New Roman"/>
                <w:sz w:val="24"/>
              </w:rPr>
              <w:t xml:space="preserve"> izslēgts no komercreģistra.</w:t>
            </w:r>
          </w:p>
          <w:p w14:paraId="43A0F25C" w14:textId="25BCF548" w:rsidR="001D1FAE" w:rsidRDefault="00785FC2" w:rsidP="00BE58AB">
            <w:pPr>
              <w:pStyle w:val="ListParagraph"/>
              <w:numPr>
                <w:ilvl w:val="0"/>
                <w:numId w:val="5"/>
              </w:numPr>
              <w:shd w:val="clear" w:color="auto" w:fill="FFFFFF"/>
              <w:spacing w:line="293" w:lineRule="atLeast"/>
              <w:ind w:left="0" w:hanging="502"/>
              <w:jc w:val="both"/>
              <w:rPr>
                <w:rFonts w:eastAsia="Times New Roman" w:cs="Times New Roman"/>
                <w:sz w:val="24"/>
                <w:szCs w:val="24"/>
                <w:lang w:eastAsia="lv-LV"/>
              </w:rPr>
            </w:pPr>
            <w:r>
              <w:rPr>
                <w:rFonts w:eastAsia="Times New Roman" w:cs="Times New Roman"/>
                <w:sz w:val="24"/>
                <w:szCs w:val="24"/>
                <w:lang w:eastAsia="lv-LV"/>
              </w:rPr>
              <w:t>Informācija par pakalpojuma sniedzēja r</w:t>
            </w:r>
            <w:r w:rsidR="001D1FAE">
              <w:rPr>
                <w:rFonts w:eastAsia="Times New Roman" w:cs="Times New Roman"/>
                <w:sz w:val="24"/>
                <w:szCs w:val="24"/>
                <w:lang w:eastAsia="lv-LV"/>
              </w:rPr>
              <w:t>eģistrācijas anulēšan</w:t>
            </w:r>
            <w:r>
              <w:rPr>
                <w:rFonts w:eastAsia="Times New Roman" w:cs="Times New Roman"/>
                <w:sz w:val="24"/>
                <w:szCs w:val="24"/>
                <w:lang w:eastAsia="lv-LV"/>
              </w:rPr>
              <w:t>u</w:t>
            </w:r>
            <w:r w:rsidR="001D1FAE">
              <w:rPr>
                <w:rFonts w:eastAsia="Times New Roman" w:cs="Times New Roman"/>
                <w:sz w:val="24"/>
                <w:szCs w:val="24"/>
                <w:lang w:eastAsia="lv-LV"/>
              </w:rPr>
              <w:t xml:space="preserve"> tiks publiskota Autotransporta direkcijas tīmekļvietnē, šo informāciju nosūtot elektroniski</w:t>
            </w:r>
            <w:r>
              <w:rPr>
                <w:rFonts w:eastAsia="Times New Roman" w:cs="Times New Roman"/>
                <w:sz w:val="24"/>
                <w:szCs w:val="24"/>
                <w:lang w:eastAsia="lv-LV"/>
              </w:rPr>
              <w:t xml:space="preserve"> pakalpojuma sniedzējam, kā</w:t>
            </w:r>
            <w:r w:rsidR="001D1FAE">
              <w:rPr>
                <w:rFonts w:eastAsia="Times New Roman" w:cs="Times New Roman"/>
                <w:sz w:val="24"/>
                <w:szCs w:val="24"/>
                <w:lang w:eastAsia="lv-LV"/>
              </w:rPr>
              <w:t xml:space="preserve"> arī taksometru vadītāju reģistrā reģistrētajiem autovadītājiem. Komersanti, k</w:t>
            </w:r>
            <w:r w:rsidR="00A5173C">
              <w:rPr>
                <w:rFonts w:eastAsia="Times New Roman" w:cs="Times New Roman"/>
                <w:sz w:val="24"/>
                <w:szCs w:val="24"/>
                <w:lang w:eastAsia="lv-LV"/>
              </w:rPr>
              <w:t xml:space="preserve">uriem </w:t>
            </w:r>
            <w:r w:rsidR="001D1FAE">
              <w:rPr>
                <w:rFonts w:eastAsia="Times New Roman" w:cs="Times New Roman"/>
                <w:sz w:val="24"/>
                <w:szCs w:val="24"/>
                <w:lang w:eastAsia="lv-LV"/>
              </w:rPr>
              <w:t>tiks anulēta reģistrācija, atkārtoti reģistrācijas iesniegumu varēs iesniegt ne agrāk kā vienu gadu no reģistrācijas anulēšanas datuma.</w:t>
            </w:r>
          </w:p>
          <w:p w14:paraId="107E8938" w14:textId="77777777" w:rsidR="00BE58AB" w:rsidRPr="00BE58AB" w:rsidRDefault="00BE58AB" w:rsidP="00BE58AB">
            <w:pPr>
              <w:pStyle w:val="ListParagraph"/>
              <w:numPr>
                <w:ilvl w:val="0"/>
                <w:numId w:val="5"/>
              </w:numPr>
              <w:shd w:val="clear" w:color="auto" w:fill="FFFFFF"/>
              <w:spacing w:line="293" w:lineRule="atLeast"/>
              <w:ind w:left="0" w:hanging="502"/>
              <w:jc w:val="both"/>
              <w:rPr>
                <w:rFonts w:eastAsia="Times New Roman" w:cs="Times New Roman"/>
                <w:sz w:val="24"/>
                <w:szCs w:val="24"/>
                <w:lang w:eastAsia="lv-LV"/>
              </w:rPr>
            </w:pPr>
            <w:r>
              <w:rPr>
                <w:rFonts w:eastAsia="Times New Roman" w:cs="Times New Roman"/>
                <w:sz w:val="24"/>
                <w:szCs w:val="24"/>
                <w:lang w:eastAsia="lv-LV"/>
              </w:rPr>
              <w:t>Par tīmekļvietnes vai mobilās lietotnes pakalpojumu sniegšanu bez reģistrācijas Autotransporta direkcija būs tiesīga pieņemt lēmumu par tīmekļvietnes vai mobilās lietotnes bloķēšanu Latvijas teritorijā. Par šādu Autotransporta direkcijas lēmumu izpildi būs atbildīgi attiecīgie elektronisko sakaru komersanti.</w:t>
            </w:r>
          </w:p>
          <w:p w14:paraId="6162DBFE" w14:textId="77777777" w:rsidR="009D7B95" w:rsidRPr="00855C8C" w:rsidRDefault="009D7B95" w:rsidP="00F771F5">
            <w:pPr>
              <w:ind w:firstLine="0"/>
              <w:jc w:val="both"/>
              <w:rPr>
                <w:sz w:val="24"/>
                <w:szCs w:val="24"/>
              </w:rPr>
            </w:pPr>
          </w:p>
        </w:tc>
      </w:tr>
      <w:tr w:rsidR="009D7B95" w:rsidRPr="00855C8C" w14:paraId="6C63BB72" w14:textId="77777777" w:rsidTr="00F771F5">
        <w:trPr>
          <w:trHeight w:val="465"/>
        </w:trPr>
        <w:tc>
          <w:tcPr>
            <w:tcW w:w="249" w:type="pct"/>
            <w:hideMark/>
          </w:tcPr>
          <w:p w14:paraId="67226AF5" w14:textId="77777777" w:rsidR="009D7B95" w:rsidRPr="00855C8C" w:rsidRDefault="009D7B95" w:rsidP="00F771F5">
            <w:pPr>
              <w:ind w:firstLine="0"/>
              <w:rPr>
                <w:sz w:val="24"/>
                <w:szCs w:val="24"/>
              </w:rPr>
            </w:pPr>
            <w:r w:rsidRPr="00855C8C">
              <w:rPr>
                <w:sz w:val="24"/>
                <w:szCs w:val="24"/>
              </w:rPr>
              <w:lastRenderedPageBreak/>
              <w:t>3.</w:t>
            </w:r>
          </w:p>
        </w:tc>
        <w:tc>
          <w:tcPr>
            <w:tcW w:w="1545" w:type="pct"/>
            <w:hideMark/>
          </w:tcPr>
          <w:p w14:paraId="2E6E2979" w14:textId="77777777" w:rsidR="009D7B95" w:rsidRPr="00855C8C" w:rsidRDefault="009D7B95" w:rsidP="00F771F5">
            <w:pPr>
              <w:ind w:firstLine="0"/>
              <w:rPr>
                <w:sz w:val="24"/>
                <w:szCs w:val="24"/>
              </w:rPr>
            </w:pPr>
            <w:r w:rsidRPr="00855C8C">
              <w:rPr>
                <w:sz w:val="24"/>
                <w:szCs w:val="24"/>
              </w:rPr>
              <w:t>Projekta izstrādē iesaistītās institūcijas un publiskas personas kapitālsabiedrības</w:t>
            </w:r>
          </w:p>
        </w:tc>
        <w:tc>
          <w:tcPr>
            <w:tcW w:w="3206" w:type="pct"/>
            <w:hideMark/>
          </w:tcPr>
          <w:p w14:paraId="5339D315" w14:textId="6D30D5B1" w:rsidR="009D7B95" w:rsidRPr="00855C8C" w:rsidRDefault="009D7B95" w:rsidP="00224F23">
            <w:pPr>
              <w:ind w:firstLine="0"/>
              <w:rPr>
                <w:sz w:val="24"/>
                <w:szCs w:val="24"/>
              </w:rPr>
            </w:pPr>
            <w:r w:rsidRPr="00855C8C">
              <w:rPr>
                <w:sz w:val="24"/>
                <w:szCs w:val="24"/>
              </w:rPr>
              <w:t>Satiksmes ministrija</w:t>
            </w:r>
            <w:r w:rsidR="00B33655">
              <w:rPr>
                <w:sz w:val="24"/>
                <w:szCs w:val="24"/>
              </w:rPr>
              <w:t xml:space="preserve">, </w:t>
            </w:r>
            <w:r w:rsidR="007873D5">
              <w:rPr>
                <w:sz w:val="24"/>
                <w:szCs w:val="24"/>
              </w:rPr>
              <w:t>Autotransporta direkcija</w:t>
            </w:r>
            <w:r w:rsidR="00B33655">
              <w:rPr>
                <w:sz w:val="24"/>
                <w:szCs w:val="24"/>
              </w:rPr>
              <w:t xml:space="preserve">, VID. </w:t>
            </w:r>
          </w:p>
        </w:tc>
      </w:tr>
      <w:tr w:rsidR="009D7B95" w:rsidRPr="00855C8C" w14:paraId="1D21E1C5" w14:textId="77777777" w:rsidTr="00F771F5">
        <w:tc>
          <w:tcPr>
            <w:tcW w:w="249" w:type="pct"/>
            <w:hideMark/>
          </w:tcPr>
          <w:p w14:paraId="491AF70E" w14:textId="77777777" w:rsidR="009D7B95" w:rsidRPr="00855C8C" w:rsidRDefault="009D7B95" w:rsidP="00F771F5">
            <w:pPr>
              <w:ind w:firstLine="0"/>
              <w:rPr>
                <w:sz w:val="24"/>
                <w:szCs w:val="24"/>
              </w:rPr>
            </w:pPr>
            <w:r w:rsidRPr="00855C8C">
              <w:rPr>
                <w:sz w:val="24"/>
                <w:szCs w:val="24"/>
              </w:rPr>
              <w:t>4.</w:t>
            </w:r>
          </w:p>
        </w:tc>
        <w:tc>
          <w:tcPr>
            <w:tcW w:w="1545" w:type="pct"/>
            <w:hideMark/>
          </w:tcPr>
          <w:p w14:paraId="2A84AAA1" w14:textId="77777777" w:rsidR="009D7B95" w:rsidRPr="00855C8C" w:rsidRDefault="009D7B95" w:rsidP="00F771F5">
            <w:pPr>
              <w:ind w:firstLine="0"/>
              <w:rPr>
                <w:sz w:val="24"/>
                <w:szCs w:val="24"/>
              </w:rPr>
            </w:pPr>
            <w:r w:rsidRPr="00855C8C">
              <w:rPr>
                <w:sz w:val="24"/>
                <w:szCs w:val="24"/>
              </w:rPr>
              <w:t>Cita informācija</w:t>
            </w:r>
          </w:p>
        </w:tc>
        <w:tc>
          <w:tcPr>
            <w:tcW w:w="3206" w:type="pct"/>
            <w:hideMark/>
          </w:tcPr>
          <w:p w14:paraId="3E92B476" w14:textId="4D3510BC" w:rsidR="009D7B95" w:rsidRPr="00855C8C" w:rsidRDefault="009D7B95" w:rsidP="00F771F5">
            <w:pPr>
              <w:ind w:firstLine="0"/>
              <w:rPr>
                <w:sz w:val="24"/>
                <w:szCs w:val="24"/>
              </w:rPr>
            </w:pPr>
            <w:r w:rsidRPr="00855C8C">
              <w:rPr>
                <w:sz w:val="24"/>
                <w:szCs w:val="24"/>
              </w:rPr>
              <w:t>Nav</w:t>
            </w:r>
            <w:r w:rsidR="007873D5">
              <w:rPr>
                <w:sz w:val="24"/>
                <w:szCs w:val="24"/>
              </w:rPr>
              <w:t>.</w:t>
            </w:r>
          </w:p>
        </w:tc>
      </w:tr>
    </w:tbl>
    <w:p w14:paraId="37DF004F" w14:textId="1B375BBF" w:rsidR="009D7B95" w:rsidRDefault="009D7B95" w:rsidP="009D7B95">
      <w:pPr>
        <w:ind w:firstLine="0"/>
        <w:rPr>
          <w:sz w:val="24"/>
          <w:szCs w:val="24"/>
        </w:rPr>
      </w:pPr>
      <w:r w:rsidRPr="00855C8C">
        <w:rPr>
          <w:sz w:val="24"/>
          <w:szCs w:val="24"/>
        </w:rPr>
        <w:t> </w:t>
      </w:r>
    </w:p>
    <w:p w14:paraId="35C77FAF" w14:textId="33B31BDD" w:rsidR="00710D6D" w:rsidRDefault="00710D6D" w:rsidP="009D7B95">
      <w:pPr>
        <w:ind w:firstLine="0"/>
        <w:rPr>
          <w:sz w:val="24"/>
          <w:szCs w:val="24"/>
        </w:rPr>
      </w:pPr>
    </w:p>
    <w:p w14:paraId="7940CCAA" w14:textId="77777777" w:rsidR="00710D6D" w:rsidRPr="00855C8C" w:rsidRDefault="00710D6D" w:rsidP="009D7B95">
      <w:pPr>
        <w:ind w:firstLine="0"/>
        <w:rPr>
          <w:sz w:val="24"/>
          <w:szCs w:val="24"/>
        </w:rPr>
      </w:pPr>
    </w:p>
    <w:tbl>
      <w:tblPr>
        <w:tblStyle w:val="TableGrid"/>
        <w:tblW w:w="5000" w:type="pct"/>
        <w:tblLook w:val="04A0" w:firstRow="1" w:lastRow="0" w:firstColumn="1" w:lastColumn="0" w:noHBand="0" w:noVBand="1"/>
      </w:tblPr>
      <w:tblGrid>
        <w:gridCol w:w="453"/>
        <w:gridCol w:w="2809"/>
        <w:gridCol w:w="5799"/>
      </w:tblGrid>
      <w:tr w:rsidR="009D7B95" w:rsidRPr="00855C8C" w14:paraId="1C6D8589" w14:textId="77777777" w:rsidTr="00F771F5">
        <w:trPr>
          <w:trHeight w:val="555"/>
        </w:trPr>
        <w:tc>
          <w:tcPr>
            <w:tcW w:w="0" w:type="auto"/>
            <w:gridSpan w:val="3"/>
            <w:hideMark/>
          </w:tcPr>
          <w:p w14:paraId="011BA3F4" w14:textId="77777777" w:rsidR="009D7B95" w:rsidRPr="00855C8C" w:rsidRDefault="009D7B95" w:rsidP="00666E6C">
            <w:pPr>
              <w:ind w:firstLine="0"/>
              <w:jc w:val="center"/>
              <w:rPr>
                <w:b/>
                <w:bCs/>
                <w:sz w:val="24"/>
                <w:szCs w:val="24"/>
              </w:rPr>
            </w:pPr>
            <w:r w:rsidRPr="00855C8C">
              <w:rPr>
                <w:b/>
                <w:bCs/>
                <w:sz w:val="24"/>
                <w:szCs w:val="24"/>
              </w:rPr>
              <w:t>II. Tiesību akta projekta ietekme uz sabiedrību, tautsaimniecības attīstību un administratīvo slogu</w:t>
            </w:r>
          </w:p>
        </w:tc>
      </w:tr>
      <w:tr w:rsidR="009D7B95" w:rsidRPr="00855C8C" w14:paraId="5D8C52BC" w14:textId="77777777" w:rsidTr="00F771F5">
        <w:trPr>
          <w:trHeight w:val="465"/>
        </w:trPr>
        <w:tc>
          <w:tcPr>
            <w:tcW w:w="250" w:type="pct"/>
            <w:hideMark/>
          </w:tcPr>
          <w:p w14:paraId="30A88D99" w14:textId="77777777" w:rsidR="009D7B95" w:rsidRPr="00855C8C" w:rsidRDefault="009D7B95" w:rsidP="00F771F5">
            <w:pPr>
              <w:ind w:firstLine="0"/>
              <w:rPr>
                <w:sz w:val="24"/>
                <w:szCs w:val="24"/>
              </w:rPr>
            </w:pPr>
            <w:r w:rsidRPr="00855C8C">
              <w:rPr>
                <w:sz w:val="24"/>
                <w:szCs w:val="24"/>
              </w:rPr>
              <w:t>1.</w:t>
            </w:r>
          </w:p>
        </w:tc>
        <w:tc>
          <w:tcPr>
            <w:tcW w:w="1550" w:type="pct"/>
            <w:hideMark/>
          </w:tcPr>
          <w:p w14:paraId="4D4CE7BB" w14:textId="77777777" w:rsidR="009D7B95" w:rsidRPr="00855C8C" w:rsidRDefault="009D7B95" w:rsidP="00F771F5">
            <w:pPr>
              <w:ind w:firstLine="0"/>
              <w:rPr>
                <w:sz w:val="24"/>
                <w:szCs w:val="24"/>
              </w:rPr>
            </w:pPr>
            <w:r w:rsidRPr="00855C8C">
              <w:rPr>
                <w:sz w:val="24"/>
                <w:szCs w:val="24"/>
              </w:rPr>
              <w:t xml:space="preserve">Sabiedrības </w:t>
            </w:r>
            <w:proofErr w:type="spellStart"/>
            <w:r w:rsidRPr="00855C8C">
              <w:rPr>
                <w:sz w:val="24"/>
                <w:szCs w:val="24"/>
              </w:rPr>
              <w:t>mērķgrupas</w:t>
            </w:r>
            <w:proofErr w:type="spellEnd"/>
            <w:r w:rsidRPr="00855C8C">
              <w:rPr>
                <w:sz w:val="24"/>
                <w:szCs w:val="24"/>
              </w:rPr>
              <w:t>, kuras tiesiskais regulējums ietekmē vai varētu ietekmēt</w:t>
            </w:r>
          </w:p>
        </w:tc>
        <w:tc>
          <w:tcPr>
            <w:tcW w:w="3200" w:type="pct"/>
            <w:hideMark/>
          </w:tcPr>
          <w:p w14:paraId="1A62DB86" w14:textId="77777777" w:rsidR="009D7B95" w:rsidRPr="00855C8C" w:rsidRDefault="009D7B95" w:rsidP="00224F23">
            <w:pPr>
              <w:ind w:firstLine="0"/>
              <w:jc w:val="both"/>
              <w:rPr>
                <w:sz w:val="24"/>
                <w:szCs w:val="24"/>
                <w:highlight w:val="yellow"/>
              </w:rPr>
            </w:pPr>
            <w:r w:rsidRPr="00855C8C">
              <w:rPr>
                <w:sz w:val="24"/>
                <w:szCs w:val="24"/>
              </w:rPr>
              <w:t xml:space="preserve">Noteikumu projekta tiesiskais regulējums attiecas uz personām, kuras vēlas </w:t>
            </w:r>
            <w:r w:rsidR="00224F23">
              <w:rPr>
                <w:sz w:val="24"/>
                <w:szCs w:val="24"/>
              </w:rPr>
              <w:t>sniegt tīmekļvietņu un mobilo lietotņu pakalpojumus autopārvadājumu jomā, taksometru un vieglo automobiļu pakalpojumu sniedzējiem, autovadītājiem.</w:t>
            </w:r>
          </w:p>
        </w:tc>
      </w:tr>
      <w:tr w:rsidR="009D7B95" w:rsidRPr="00855C8C" w14:paraId="1A756D57" w14:textId="77777777" w:rsidTr="00F771F5">
        <w:trPr>
          <w:trHeight w:val="510"/>
        </w:trPr>
        <w:tc>
          <w:tcPr>
            <w:tcW w:w="250" w:type="pct"/>
            <w:hideMark/>
          </w:tcPr>
          <w:p w14:paraId="6B4ED2D5" w14:textId="77777777" w:rsidR="009D7B95" w:rsidRPr="00855C8C" w:rsidRDefault="009D7B95" w:rsidP="00F771F5">
            <w:pPr>
              <w:ind w:firstLine="0"/>
              <w:rPr>
                <w:sz w:val="24"/>
                <w:szCs w:val="24"/>
              </w:rPr>
            </w:pPr>
            <w:r w:rsidRPr="00855C8C">
              <w:rPr>
                <w:sz w:val="24"/>
                <w:szCs w:val="24"/>
              </w:rPr>
              <w:t>2.</w:t>
            </w:r>
          </w:p>
        </w:tc>
        <w:tc>
          <w:tcPr>
            <w:tcW w:w="1550" w:type="pct"/>
            <w:hideMark/>
          </w:tcPr>
          <w:p w14:paraId="49FB1BBB" w14:textId="77777777" w:rsidR="009D7B95" w:rsidRPr="00855C8C" w:rsidRDefault="009D7B95" w:rsidP="00F771F5">
            <w:pPr>
              <w:ind w:firstLine="0"/>
              <w:rPr>
                <w:sz w:val="24"/>
                <w:szCs w:val="24"/>
              </w:rPr>
            </w:pPr>
            <w:r w:rsidRPr="00855C8C">
              <w:rPr>
                <w:sz w:val="24"/>
                <w:szCs w:val="24"/>
              </w:rPr>
              <w:t>Tiesiskā regulējuma ietekme uz tautsaimniecību un administratīvo slogu</w:t>
            </w:r>
          </w:p>
        </w:tc>
        <w:tc>
          <w:tcPr>
            <w:tcW w:w="3200" w:type="pct"/>
          </w:tcPr>
          <w:p w14:paraId="4163B391" w14:textId="0DCC3559" w:rsidR="00224F23" w:rsidRDefault="009D7B95" w:rsidP="00224F23">
            <w:pPr>
              <w:ind w:firstLine="0"/>
              <w:jc w:val="both"/>
              <w:rPr>
                <w:rFonts w:eastAsia="Times New Roman"/>
                <w:sz w:val="24"/>
                <w:szCs w:val="24"/>
                <w:lang w:eastAsia="lv-LV"/>
              </w:rPr>
            </w:pPr>
            <w:r w:rsidRPr="00855C8C">
              <w:rPr>
                <w:rFonts w:eastAsia="Times New Roman"/>
                <w:sz w:val="24"/>
                <w:szCs w:val="24"/>
                <w:lang w:eastAsia="lv-LV"/>
              </w:rPr>
              <w:t xml:space="preserve">Projekts </w:t>
            </w:r>
            <w:r w:rsidR="00224F23">
              <w:rPr>
                <w:rFonts w:eastAsia="Times New Roman"/>
                <w:sz w:val="24"/>
                <w:szCs w:val="24"/>
                <w:lang w:eastAsia="lv-LV"/>
              </w:rPr>
              <w:t xml:space="preserve">paredz jaunas administratīvās procedūras, ieviešot pienākumu </w:t>
            </w:r>
            <w:r w:rsidR="007176A1">
              <w:rPr>
                <w:rFonts w:eastAsia="Times New Roman"/>
                <w:sz w:val="24"/>
                <w:szCs w:val="24"/>
                <w:lang w:eastAsia="lv-LV"/>
              </w:rPr>
              <w:t xml:space="preserve">tīmekļvietņu un </w:t>
            </w:r>
            <w:r w:rsidR="00224F23">
              <w:rPr>
                <w:rFonts w:eastAsia="Times New Roman"/>
                <w:sz w:val="24"/>
                <w:szCs w:val="24"/>
                <w:lang w:eastAsia="lv-LV"/>
              </w:rPr>
              <w:t>mobilo lietotņu pakalpojumu sniedzējiem autopārvadājumu jomā pirms pakalpojumu sniegšanas uzsākšanas reģistrēties Autotransporta direkcijā.</w:t>
            </w:r>
          </w:p>
          <w:p w14:paraId="28ECAB54" w14:textId="5D1A9CAD" w:rsidR="009D7B95" w:rsidRPr="00855C8C" w:rsidRDefault="00785FC2" w:rsidP="00666E6C">
            <w:pPr>
              <w:ind w:firstLine="0"/>
              <w:jc w:val="both"/>
              <w:rPr>
                <w:sz w:val="24"/>
                <w:szCs w:val="24"/>
              </w:rPr>
            </w:pPr>
            <w:r>
              <w:rPr>
                <w:sz w:val="24"/>
                <w:szCs w:val="24"/>
              </w:rPr>
              <w:t>P</w:t>
            </w:r>
            <w:r w:rsidR="00666E6C">
              <w:rPr>
                <w:sz w:val="24"/>
                <w:szCs w:val="24"/>
              </w:rPr>
              <w:t xml:space="preserve">asažieru </w:t>
            </w:r>
            <w:proofErr w:type="spellStart"/>
            <w:r w:rsidR="00666E6C">
              <w:rPr>
                <w:sz w:val="24"/>
                <w:szCs w:val="24"/>
              </w:rPr>
              <w:t>komercpārvadātāji</w:t>
            </w:r>
            <w:proofErr w:type="spellEnd"/>
            <w:r w:rsidR="00666E6C">
              <w:rPr>
                <w:sz w:val="24"/>
                <w:szCs w:val="24"/>
              </w:rPr>
              <w:t xml:space="preserve"> ar taksometru vai vieglo automobili drīkstēs izmantot tikai reģistrēta pakalpojuma sniedzēja </w:t>
            </w:r>
            <w:r w:rsidR="007873D5">
              <w:rPr>
                <w:sz w:val="24"/>
                <w:szCs w:val="24"/>
              </w:rPr>
              <w:t>tīmekļvietnes vai mobilās lietotnes</w:t>
            </w:r>
            <w:r w:rsidR="00666E6C">
              <w:rPr>
                <w:sz w:val="24"/>
                <w:szCs w:val="24"/>
              </w:rPr>
              <w:t>.</w:t>
            </w:r>
          </w:p>
        </w:tc>
      </w:tr>
      <w:tr w:rsidR="009D7B95" w:rsidRPr="00855C8C" w14:paraId="669E0377" w14:textId="77777777" w:rsidTr="00F771F5">
        <w:trPr>
          <w:trHeight w:val="510"/>
        </w:trPr>
        <w:tc>
          <w:tcPr>
            <w:tcW w:w="250" w:type="pct"/>
            <w:hideMark/>
          </w:tcPr>
          <w:p w14:paraId="25F06272" w14:textId="77777777" w:rsidR="009D7B95" w:rsidRPr="00855C8C" w:rsidRDefault="009D7B95" w:rsidP="00F771F5">
            <w:pPr>
              <w:ind w:firstLine="0"/>
              <w:rPr>
                <w:sz w:val="24"/>
                <w:szCs w:val="24"/>
              </w:rPr>
            </w:pPr>
            <w:r w:rsidRPr="00855C8C">
              <w:rPr>
                <w:sz w:val="24"/>
                <w:szCs w:val="24"/>
              </w:rPr>
              <w:t>3.</w:t>
            </w:r>
          </w:p>
        </w:tc>
        <w:tc>
          <w:tcPr>
            <w:tcW w:w="1550" w:type="pct"/>
            <w:hideMark/>
          </w:tcPr>
          <w:p w14:paraId="11FD7FF7" w14:textId="77777777" w:rsidR="009D7B95" w:rsidRPr="00855C8C" w:rsidRDefault="009D7B95" w:rsidP="00F771F5">
            <w:pPr>
              <w:ind w:firstLine="0"/>
              <w:rPr>
                <w:sz w:val="24"/>
                <w:szCs w:val="24"/>
              </w:rPr>
            </w:pPr>
            <w:r w:rsidRPr="00855C8C">
              <w:rPr>
                <w:sz w:val="24"/>
                <w:szCs w:val="24"/>
              </w:rPr>
              <w:t>Administratīvo izmaksu monetārs novērtējums</w:t>
            </w:r>
          </w:p>
        </w:tc>
        <w:tc>
          <w:tcPr>
            <w:tcW w:w="3200" w:type="pct"/>
            <w:hideMark/>
          </w:tcPr>
          <w:p w14:paraId="4522E452" w14:textId="48101BCB" w:rsidR="009D7B95" w:rsidRPr="00855C8C" w:rsidRDefault="009D7B95" w:rsidP="00F32DBE">
            <w:pPr>
              <w:ind w:firstLine="0"/>
              <w:jc w:val="both"/>
              <w:rPr>
                <w:sz w:val="24"/>
                <w:szCs w:val="24"/>
              </w:rPr>
            </w:pPr>
            <w:r w:rsidRPr="00855C8C">
              <w:rPr>
                <w:sz w:val="24"/>
                <w:szCs w:val="24"/>
              </w:rPr>
              <w:t xml:space="preserve">Administratīvo izmaksu </w:t>
            </w:r>
            <w:r w:rsidR="00F32DBE">
              <w:rPr>
                <w:sz w:val="24"/>
                <w:szCs w:val="24"/>
              </w:rPr>
              <w:t xml:space="preserve">pieaugums </w:t>
            </w:r>
            <w:r w:rsidRPr="00855C8C">
              <w:rPr>
                <w:sz w:val="24"/>
                <w:szCs w:val="24"/>
              </w:rPr>
              <w:t>gada laikā</w:t>
            </w:r>
            <w:r w:rsidR="007176A1">
              <w:rPr>
                <w:sz w:val="24"/>
                <w:szCs w:val="24"/>
              </w:rPr>
              <w:t xml:space="preserve"> tīmekļvietņu vai </w:t>
            </w:r>
            <w:r w:rsidR="00F32DBE">
              <w:rPr>
                <w:sz w:val="24"/>
                <w:szCs w:val="24"/>
              </w:rPr>
              <w:t xml:space="preserve">mobilo lietotņu pakalpojumu sniedzējiem </w:t>
            </w:r>
            <w:r w:rsidRPr="00855C8C">
              <w:rPr>
                <w:sz w:val="24"/>
                <w:szCs w:val="24"/>
              </w:rPr>
              <w:t xml:space="preserve">nepārsniedz 2000 </w:t>
            </w:r>
            <w:proofErr w:type="spellStart"/>
            <w:r w:rsidRPr="00855C8C">
              <w:rPr>
                <w:i/>
                <w:sz w:val="24"/>
                <w:szCs w:val="24"/>
              </w:rPr>
              <w:t>euro</w:t>
            </w:r>
            <w:proofErr w:type="spellEnd"/>
            <w:r w:rsidRPr="00855C8C">
              <w:rPr>
                <w:sz w:val="24"/>
                <w:szCs w:val="24"/>
              </w:rPr>
              <w:t xml:space="preserve">. </w:t>
            </w:r>
          </w:p>
        </w:tc>
      </w:tr>
      <w:tr w:rsidR="009D7B95" w:rsidRPr="00855C8C" w14:paraId="69D22C97" w14:textId="77777777" w:rsidTr="00F771F5">
        <w:trPr>
          <w:trHeight w:val="510"/>
        </w:trPr>
        <w:tc>
          <w:tcPr>
            <w:tcW w:w="250" w:type="pct"/>
            <w:hideMark/>
          </w:tcPr>
          <w:p w14:paraId="56F7D8BA" w14:textId="77777777" w:rsidR="009D7B95" w:rsidRPr="00855C8C" w:rsidRDefault="009D7B95" w:rsidP="007873D5">
            <w:pPr>
              <w:ind w:firstLine="0"/>
              <w:jc w:val="both"/>
              <w:rPr>
                <w:rFonts w:eastAsia="Times New Roman"/>
                <w:sz w:val="24"/>
                <w:szCs w:val="24"/>
                <w:lang w:eastAsia="lv-LV"/>
              </w:rPr>
            </w:pPr>
            <w:r w:rsidRPr="00855C8C">
              <w:rPr>
                <w:rFonts w:eastAsia="Times New Roman"/>
                <w:sz w:val="24"/>
                <w:szCs w:val="24"/>
                <w:lang w:eastAsia="lv-LV"/>
              </w:rPr>
              <w:t>4.</w:t>
            </w:r>
          </w:p>
        </w:tc>
        <w:tc>
          <w:tcPr>
            <w:tcW w:w="1550" w:type="pct"/>
            <w:hideMark/>
          </w:tcPr>
          <w:p w14:paraId="7D423201" w14:textId="77777777" w:rsidR="009D7B95" w:rsidRPr="00855C8C" w:rsidRDefault="009D7B95" w:rsidP="007873D5">
            <w:pPr>
              <w:ind w:firstLine="0"/>
              <w:jc w:val="both"/>
              <w:rPr>
                <w:rFonts w:eastAsia="Times New Roman"/>
                <w:sz w:val="24"/>
                <w:szCs w:val="24"/>
                <w:lang w:eastAsia="lv-LV"/>
              </w:rPr>
            </w:pPr>
            <w:r w:rsidRPr="00855C8C">
              <w:rPr>
                <w:rFonts w:eastAsia="Times New Roman"/>
                <w:sz w:val="24"/>
                <w:szCs w:val="24"/>
                <w:lang w:eastAsia="lv-LV"/>
              </w:rPr>
              <w:t>Atbilstības izmaksu monetārs novērtējums</w:t>
            </w:r>
          </w:p>
        </w:tc>
        <w:tc>
          <w:tcPr>
            <w:tcW w:w="3200" w:type="pct"/>
            <w:hideMark/>
          </w:tcPr>
          <w:p w14:paraId="6F8559C7" w14:textId="77777777" w:rsidR="009D7B95" w:rsidRPr="00855C8C" w:rsidRDefault="009D7B95" w:rsidP="007873D5">
            <w:pPr>
              <w:ind w:firstLine="0"/>
              <w:jc w:val="both"/>
              <w:rPr>
                <w:rFonts w:eastAsia="Times New Roman"/>
                <w:sz w:val="24"/>
                <w:szCs w:val="24"/>
                <w:lang w:eastAsia="lv-LV"/>
              </w:rPr>
            </w:pPr>
            <w:r w:rsidRPr="00855C8C">
              <w:rPr>
                <w:sz w:val="24"/>
                <w:szCs w:val="24"/>
              </w:rPr>
              <w:t>No projektā ietvertā regulējuma jaunas atbilstības izmaksas neveidosies.</w:t>
            </w:r>
          </w:p>
        </w:tc>
      </w:tr>
      <w:tr w:rsidR="009D7B95" w:rsidRPr="00855C8C" w14:paraId="70302BAC" w14:textId="77777777" w:rsidTr="00F771F5">
        <w:trPr>
          <w:trHeight w:val="345"/>
        </w:trPr>
        <w:tc>
          <w:tcPr>
            <w:tcW w:w="250" w:type="pct"/>
            <w:hideMark/>
          </w:tcPr>
          <w:p w14:paraId="3F057C17" w14:textId="77777777" w:rsidR="009D7B95" w:rsidRPr="00855C8C" w:rsidRDefault="009D7B95" w:rsidP="00F771F5">
            <w:pPr>
              <w:ind w:firstLine="0"/>
              <w:rPr>
                <w:sz w:val="24"/>
                <w:szCs w:val="24"/>
              </w:rPr>
            </w:pPr>
            <w:r w:rsidRPr="00855C8C">
              <w:rPr>
                <w:sz w:val="24"/>
                <w:szCs w:val="24"/>
              </w:rPr>
              <w:t>5.</w:t>
            </w:r>
          </w:p>
        </w:tc>
        <w:tc>
          <w:tcPr>
            <w:tcW w:w="1550" w:type="pct"/>
            <w:hideMark/>
          </w:tcPr>
          <w:p w14:paraId="50765306" w14:textId="77777777" w:rsidR="009D7B95" w:rsidRPr="00855C8C" w:rsidRDefault="009D7B95" w:rsidP="00F771F5">
            <w:pPr>
              <w:ind w:firstLine="0"/>
              <w:rPr>
                <w:sz w:val="24"/>
                <w:szCs w:val="24"/>
              </w:rPr>
            </w:pPr>
            <w:r w:rsidRPr="00855C8C">
              <w:rPr>
                <w:sz w:val="24"/>
                <w:szCs w:val="24"/>
              </w:rPr>
              <w:t>Cita informācija</w:t>
            </w:r>
          </w:p>
        </w:tc>
        <w:tc>
          <w:tcPr>
            <w:tcW w:w="3200" w:type="pct"/>
            <w:hideMark/>
          </w:tcPr>
          <w:p w14:paraId="665BF0C2" w14:textId="6348F79F" w:rsidR="009D7B95" w:rsidRPr="00855C8C" w:rsidRDefault="009D7B95" w:rsidP="00F771F5">
            <w:pPr>
              <w:ind w:firstLine="0"/>
              <w:jc w:val="both"/>
              <w:rPr>
                <w:sz w:val="24"/>
                <w:szCs w:val="24"/>
              </w:rPr>
            </w:pPr>
            <w:r w:rsidRPr="00855C8C">
              <w:rPr>
                <w:sz w:val="24"/>
                <w:szCs w:val="24"/>
              </w:rPr>
              <w:t>Nav</w:t>
            </w:r>
            <w:r w:rsidR="00710D6D">
              <w:rPr>
                <w:sz w:val="24"/>
                <w:szCs w:val="24"/>
              </w:rPr>
              <w:t>.</w:t>
            </w:r>
          </w:p>
        </w:tc>
      </w:tr>
    </w:tbl>
    <w:p w14:paraId="03086697" w14:textId="77777777" w:rsidR="009D7B95" w:rsidRPr="00855C8C" w:rsidRDefault="009D7B95" w:rsidP="009D7B95">
      <w:pPr>
        <w:ind w:firstLine="0"/>
        <w:rPr>
          <w:sz w:val="24"/>
          <w:szCs w:val="24"/>
        </w:rPr>
      </w:pPr>
    </w:p>
    <w:tbl>
      <w:tblPr>
        <w:tblStyle w:val="TableGrid"/>
        <w:tblW w:w="5000" w:type="pct"/>
        <w:jc w:val="center"/>
        <w:tblLook w:val="04A0" w:firstRow="1" w:lastRow="0" w:firstColumn="1" w:lastColumn="0" w:noHBand="0" w:noVBand="1"/>
      </w:tblPr>
      <w:tblGrid>
        <w:gridCol w:w="9061"/>
      </w:tblGrid>
      <w:tr w:rsidR="009D7B95" w:rsidRPr="00855C8C" w14:paraId="641F2A9F" w14:textId="77777777" w:rsidTr="00F771F5">
        <w:trPr>
          <w:trHeight w:val="360"/>
          <w:jc w:val="center"/>
        </w:trPr>
        <w:tc>
          <w:tcPr>
            <w:tcW w:w="0" w:type="auto"/>
            <w:hideMark/>
          </w:tcPr>
          <w:p w14:paraId="74546121" w14:textId="77777777" w:rsidR="009D7B95" w:rsidRPr="00855C8C" w:rsidRDefault="009D7B95" w:rsidP="00F771F5">
            <w:pPr>
              <w:ind w:firstLine="0"/>
              <w:jc w:val="center"/>
              <w:rPr>
                <w:b/>
                <w:bCs/>
                <w:sz w:val="24"/>
                <w:szCs w:val="24"/>
              </w:rPr>
            </w:pPr>
            <w:r w:rsidRPr="00855C8C">
              <w:rPr>
                <w:b/>
                <w:bCs/>
                <w:sz w:val="24"/>
                <w:szCs w:val="24"/>
              </w:rPr>
              <w:t>III. Tiesību akta projekta ietekme uz valsts budžetu un pašvaldību budžetiem</w:t>
            </w:r>
          </w:p>
        </w:tc>
      </w:tr>
      <w:tr w:rsidR="009D7B95" w:rsidRPr="00855C8C" w14:paraId="5F64E42F" w14:textId="77777777" w:rsidTr="00F771F5">
        <w:trPr>
          <w:trHeight w:val="360"/>
          <w:jc w:val="center"/>
        </w:trPr>
        <w:tc>
          <w:tcPr>
            <w:tcW w:w="0" w:type="auto"/>
          </w:tcPr>
          <w:p w14:paraId="1AB2FB71" w14:textId="77777777" w:rsidR="009D7B95" w:rsidRPr="00855C8C" w:rsidRDefault="009D7B95" w:rsidP="00F771F5">
            <w:pPr>
              <w:ind w:firstLine="0"/>
              <w:jc w:val="center"/>
              <w:rPr>
                <w:b/>
                <w:bCs/>
                <w:sz w:val="24"/>
                <w:szCs w:val="24"/>
              </w:rPr>
            </w:pPr>
            <w:r w:rsidRPr="00855C8C">
              <w:rPr>
                <w:sz w:val="24"/>
                <w:szCs w:val="24"/>
              </w:rPr>
              <w:t>Projekts šo jomu neskar.</w:t>
            </w:r>
          </w:p>
        </w:tc>
      </w:tr>
    </w:tbl>
    <w:p w14:paraId="3C92B983" w14:textId="77777777" w:rsidR="009D7B95" w:rsidRPr="00855C8C" w:rsidRDefault="009D7B95" w:rsidP="009D7B95">
      <w:pPr>
        <w:ind w:firstLine="0"/>
        <w:rPr>
          <w:sz w:val="24"/>
          <w:szCs w:val="24"/>
        </w:rPr>
      </w:pPr>
    </w:p>
    <w:tbl>
      <w:tblPr>
        <w:tblStyle w:val="TableGrid"/>
        <w:tblW w:w="5000" w:type="pct"/>
        <w:tblLook w:val="04A0" w:firstRow="1" w:lastRow="0" w:firstColumn="1" w:lastColumn="0" w:noHBand="0" w:noVBand="1"/>
      </w:tblPr>
      <w:tblGrid>
        <w:gridCol w:w="9061"/>
      </w:tblGrid>
      <w:tr w:rsidR="009D7B95" w:rsidRPr="00855C8C" w14:paraId="3255CDBA" w14:textId="77777777" w:rsidTr="00F771F5">
        <w:trPr>
          <w:trHeight w:val="450"/>
        </w:trPr>
        <w:tc>
          <w:tcPr>
            <w:tcW w:w="0" w:type="auto"/>
            <w:tcBorders>
              <w:bottom w:val="single" w:sz="4" w:space="0" w:color="auto"/>
            </w:tcBorders>
            <w:hideMark/>
          </w:tcPr>
          <w:p w14:paraId="63E3B9A5" w14:textId="77777777" w:rsidR="009D7B95" w:rsidRPr="00855C8C" w:rsidRDefault="009D7B95" w:rsidP="00F771F5">
            <w:pPr>
              <w:ind w:firstLine="0"/>
              <w:rPr>
                <w:b/>
                <w:bCs/>
                <w:sz w:val="24"/>
                <w:szCs w:val="24"/>
              </w:rPr>
            </w:pPr>
            <w:r w:rsidRPr="00855C8C">
              <w:rPr>
                <w:b/>
                <w:bCs/>
                <w:sz w:val="24"/>
                <w:szCs w:val="24"/>
              </w:rPr>
              <w:t>IV. Tiesību akta projekta ietekme uz spēkā esošo tiesību normu sistēmu</w:t>
            </w:r>
          </w:p>
        </w:tc>
      </w:tr>
      <w:tr w:rsidR="009D7B95" w:rsidRPr="00855C8C" w14:paraId="53CA26B0" w14:textId="77777777" w:rsidTr="00F771F5">
        <w:trPr>
          <w:trHeight w:val="360"/>
        </w:trPr>
        <w:tc>
          <w:tcPr>
            <w:tcW w:w="0" w:type="auto"/>
          </w:tcPr>
          <w:p w14:paraId="20C229CB" w14:textId="77777777" w:rsidR="009D7B95" w:rsidRPr="00855C8C" w:rsidRDefault="009D7B95" w:rsidP="00F771F5">
            <w:pPr>
              <w:ind w:firstLine="0"/>
              <w:jc w:val="center"/>
              <w:rPr>
                <w:b/>
                <w:bCs/>
                <w:sz w:val="24"/>
                <w:szCs w:val="24"/>
              </w:rPr>
            </w:pPr>
            <w:r w:rsidRPr="00855C8C">
              <w:rPr>
                <w:sz w:val="24"/>
                <w:szCs w:val="24"/>
              </w:rPr>
              <w:t>Projekts šo jomu neskar</w:t>
            </w:r>
            <w:r w:rsidR="00F32DBE">
              <w:rPr>
                <w:sz w:val="24"/>
                <w:szCs w:val="24"/>
              </w:rPr>
              <w:t>.</w:t>
            </w:r>
          </w:p>
        </w:tc>
      </w:tr>
    </w:tbl>
    <w:p w14:paraId="0D3B14E4" w14:textId="77777777" w:rsidR="009D7B95" w:rsidRPr="001F071A" w:rsidRDefault="009D7B95" w:rsidP="009D7B95">
      <w:pPr>
        <w:ind w:firstLine="0"/>
        <w:rPr>
          <w:color w:val="FF0000"/>
          <w:sz w:val="24"/>
          <w:szCs w:val="24"/>
        </w:rPr>
      </w:pPr>
    </w:p>
    <w:tbl>
      <w:tblPr>
        <w:tblStyle w:val="TableGrid"/>
        <w:tblW w:w="5019" w:type="pct"/>
        <w:tblLook w:val="04A0" w:firstRow="1" w:lastRow="0" w:firstColumn="1" w:lastColumn="0" w:noHBand="0" w:noVBand="1"/>
      </w:tblPr>
      <w:tblGrid>
        <w:gridCol w:w="9095"/>
      </w:tblGrid>
      <w:tr w:rsidR="009D7B95" w:rsidRPr="00855C8C" w14:paraId="6086F5FC" w14:textId="77777777" w:rsidTr="00F32DBE">
        <w:tc>
          <w:tcPr>
            <w:tcW w:w="5000" w:type="pct"/>
            <w:hideMark/>
          </w:tcPr>
          <w:p w14:paraId="2E9D3856" w14:textId="77777777" w:rsidR="009D7B95" w:rsidRPr="00855C8C" w:rsidRDefault="009D7B95" w:rsidP="00F771F5">
            <w:pPr>
              <w:ind w:firstLine="0"/>
              <w:rPr>
                <w:b/>
                <w:bCs/>
                <w:sz w:val="24"/>
                <w:szCs w:val="24"/>
              </w:rPr>
            </w:pPr>
            <w:r w:rsidRPr="00855C8C">
              <w:rPr>
                <w:b/>
                <w:bCs/>
                <w:sz w:val="24"/>
                <w:szCs w:val="24"/>
              </w:rPr>
              <w:t>V. Tiesību akta projekta atbilstība Latvijas Republikas starptautiskajām saistībām</w:t>
            </w:r>
          </w:p>
        </w:tc>
      </w:tr>
      <w:tr w:rsidR="00F32DBE" w:rsidRPr="00855C8C" w14:paraId="44E208DD" w14:textId="77777777" w:rsidTr="00F32DBE">
        <w:tc>
          <w:tcPr>
            <w:tcW w:w="5000" w:type="pct"/>
            <w:hideMark/>
          </w:tcPr>
          <w:p w14:paraId="3497ADF9" w14:textId="77777777" w:rsidR="00F32DBE" w:rsidRDefault="00F32DBE" w:rsidP="00F32DBE">
            <w:pPr>
              <w:ind w:firstLine="0"/>
              <w:jc w:val="center"/>
              <w:rPr>
                <w:sz w:val="24"/>
                <w:szCs w:val="24"/>
              </w:rPr>
            </w:pPr>
            <w:r>
              <w:rPr>
                <w:sz w:val="24"/>
                <w:szCs w:val="24"/>
              </w:rPr>
              <w:t>Projekts šo jomu neskar.</w:t>
            </w:r>
          </w:p>
          <w:p w14:paraId="39F9F2BD" w14:textId="77777777" w:rsidR="00F32DBE" w:rsidRPr="00855C8C" w:rsidRDefault="00F32DBE" w:rsidP="00F771F5">
            <w:pPr>
              <w:ind w:firstLine="0"/>
              <w:rPr>
                <w:sz w:val="24"/>
                <w:szCs w:val="24"/>
              </w:rPr>
            </w:pPr>
          </w:p>
        </w:tc>
      </w:tr>
    </w:tbl>
    <w:p w14:paraId="2E7AD5B6" w14:textId="77777777" w:rsidR="009D7B95" w:rsidRPr="00855C8C" w:rsidRDefault="009D7B95" w:rsidP="009D7B95">
      <w:pPr>
        <w:ind w:firstLine="0"/>
        <w:rPr>
          <w:sz w:val="24"/>
          <w:szCs w:val="24"/>
        </w:rPr>
      </w:pPr>
    </w:p>
    <w:tbl>
      <w:tblPr>
        <w:tblStyle w:val="TableGrid"/>
        <w:tblW w:w="5000" w:type="pct"/>
        <w:tblLook w:val="04A0" w:firstRow="1" w:lastRow="0" w:firstColumn="1" w:lastColumn="0" w:noHBand="0" w:noVBand="1"/>
      </w:tblPr>
      <w:tblGrid>
        <w:gridCol w:w="453"/>
        <w:gridCol w:w="2718"/>
        <w:gridCol w:w="5890"/>
      </w:tblGrid>
      <w:tr w:rsidR="009D7B95" w:rsidRPr="00855C8C" w14:paraId="036AA733" w14:textId="77777777" w:rsidTr="00F771F5">
        <w:trPr>
          <w:trHeight w:val="420"/>
        </w:trPr>
        <w:tc>
          <w:tcPr>
            <w:tcW w:w="0" w:type="auto"/>
            <w:gridSpan w:val="3"/>
            <w:hideMark/>
          </w:tcPr>
          <w:p w14:paraId="39656F46" w14:textId="77777777" w:rsidR="009D7B95" w:rsidRPr="00855C8C" w:rsidRDefault="009D7B95" w:rsidP="00F771F5">
            <w:pPr>
              <w:ind w:firstLine="0"/>
              <w:jc w:val="center"/>
              <w:rPr>
                <w:b/>
                <w:bCs/>
                <w:sz w:val="24"/>
                <w:szCs w:val="24"/>
              </w:rPr>
            </w:pPr>
            <w:r w:rsidRPr="00855C8C">
              <w:rPr>
                <w:b/>
                <w:bCs/>
                <w:sz w:val="24"/>
                <w:szCs w:val="24"/>
              </w:rPr>
              <w:t>VI. Sabiedrības līdzdalība un komunikācijas aktivitātes</w:t>
            </w:r>
          </w:p>
        </w:tc>
      </w:tr>
      <w:tr w:rsidR="009D7B95" w:rsidRPr="00855C8C" w14:paraId="284895FA" w14:textId="77777777" w:rsidTr="00F771F5">
        <w:trPr>
          <w:trHeight w:val="540"/>
        </w:trPr>
        <w:tc>
          <w:tcPr>
            <w:tcW w:w="250" w:type="pct"/>
            <w:hideMark/>
          </w:tcPr>
          <w:p w14:paraId="2D9D100B" w14:textId="77777777" w:rsidR="009D7B95" w:rsidRPr="00855C8C" w:rsidRDefault="009D7B95" w:rsidP="00F771F5">
            <w:pPr>
              <w:ind w:firstLine="0"/>
              <w:rPr>
                <w:sz w:val="24"/>
                <w:szCs w:val="24"/>
              </w:rPr>
            </w:pPr>
            <w:r w:rsidRPr="00855C8C">
              <w:rPr>
                <w:sz w:val="24"/>
                <w:szCs w:val="24"/>
              </w:rPr>
              <w:t>1.</w:t>
            </w:r>
          </w:p>
        </w:tc>
        <w:tc>
          <w:tcPr>
            <w:tcW w:w="1500" w:type="pct"/>
            <w:hideMark/>
          </w:tcPr>
          <w:p w14:paraId="7D7D3887" w14:textId="77777777" w:rsidR="009D7B95" w:rsidRPr="00855C8C" w:rsidRDefault="009D7B95" w:rsidP="00F771F5">
            <w:pPr>
              <w:ind w:firstLine="0"/>
              <w:rPr>
                <w:sz w:val="24"/>
                <w:szCs w:val="24"/>
              </w:rPr>
            </w:pPr>
            <w:r w:rsidRPr="00855C8C">
              <w:rPr>
                <w:sz w:val="24"/>
                <w:szCs w:val="24"/>
              </w:rPr>
              <w:t>Plānotās sabiedrības līdzdalības un komunikācijas aktivitātes saistībā ar projektu</w:t>
            </w:r>
          </w:p>
        </w:tc>
        <w:tc>
          <w:tcPr>
            <w:tcW w:w="3250" w:type="pct"/>
            <w:hideMark/>
          </w:tcPr>
          <w:p w14:paraId="47EE9EA2" w14:textId="25FBEE73" w:rsidR="009D7B95" w:rsidRPr="00855C8C" w:rsidRDefault="00171DC5" w:rsidP="00F771F5">
            <w:pPr>
              <w:ind w:firstLine="0"/>
              <w:jc w:val="both"/>
              <w:rPr>
                <w:rFonts w:cs="Times New Roman"/>
                <w:sz w:val="24"/>
                <w:szCs w:val="24"/>
              </w:rPr>
            </w:pPr>
            <w:r w:rsidRPr="00855C8C">
              <w:rPr>
                <w:rFonts w:cs="Times New Roman"/>
                <w:sz w:val="24"/>
                <w:szCs w:val="24"/>
              </w:rPr>
              <w:t>Atbilstoši Ministru kabineta 2009.gada 25.augusta noteikumu Nr.970 „Sabiedrības līdzdalības kārtība attīstības plānošanas procesā” 7.4.</w:t>
            </w:r>
            <w:r w:rsidRPr="00855C8C">
              <w:rPr>
                <w:rFonts w:cs="Times New Roman"/>
                <w:sz w:val="24"/>
                <w:szCs w:val="24"/>
                <w:vertAlign w:val="superscript"/>
              </w:rPr>
              <w:t xml:space="preserve">1 </w:t>
            </w:r>
            <w:r w:rsidRPr="00855C8C">
              <w:rPr>
                <w:rFonts w:cs="Times New Roman"/>
                <w:sz w:val="24"/>
                <w:szCs w:val="24"/>
              </w:rPr>
              <w:t>apakšpunktam sabiedrībai tiks dota iespēja rakstiski sniegt viedokli par noteikumu projektu tā izstrādes stadijā</w:t>
            </w:r>
            <w:r w:rsidR="00EA5B15">
              <w:rPr>
                <w:rFonts w:cs="Times New Roman"/>
                <w:sz w:val="24"/>
                <w:szCs w:val="24"/>
              </w:rPr>
              <w:t>.</w:t>
            </w:r>
          </w:p>
        </w:tc>
      </w:tr>
      <w:tr w:rsidR="009D7B95" w:rsidRPr="00855C8C" w14:paraId="1A35F3C9" w14:textId="77777777" w:rsidTr="00F771F5">
        <w:trPr>
          <w:trHeight w:val="330"/>
        </w:trPr>
        <w:tc>
          <w:tcPr>
            <w:tcW w:w="250" w:type="pct"/>
            <w:hideMark/>
          </w:tcPr>
          <w:p w14:paraId="03AE6B98" w14:textId="77777777" w:rsidR="009D7B95" w:rsidRPr="00855C8C" w:rsidRDefault="009D7B95" w:rsidP="00F771F5">
            <w:pPr>
              <w:ind w:firstLine="0"/>
              <w:rPr>
                <w:sz w:val="24"/>
                <w:szCs w:val="24"/>
              </w:rPr>
            </w:pPr>
            <w:r w:rsidRPr="00855C8C">
              <w:rPr>
                <w:sz w:val="24"/>
                <w:szCs w:val="24"/>
              </w:rPr>
              <w:t>2.</w:t>
            </w:r>
          </w:p>
        </w:tc>
        <w:tc>
          <w:tcPr>
            <w:tcW w:w="1500" w:type="pct"/>
            <w:hideMark/>
          </w:tcPr>
          <w:p w14:paraId="55625C8A" w14:textId="77777777" w:rsidR="009D7B95" w:rsidRPr="00855C8C" w:rsidRDefault="009D7B95" w:rsidP="00F771F5">
            <w:pPr>
              <w:ind w:firstLine="0"/>
              <w:rPr>
                <w:sz w:val="24"/>
                <w:szCs w:val="24"/>
              </w:rPr>
            </w:pPr>
            <w:r w:rsidRPr="00855C8C">
              <w:rPr>
                <w:sz w:val="24"/>
                <w:szCs w:val="24"/>
              </w:rPr>
              <w:t>Sabiedrības līdzdalība projekta izstrādē</w:t>
            </w:r>
          </w:p>
        </w:tc>
        <w:tc>
          <w:tcPr>
            <w:tcW w:w="3250" w:type="pct"/>
            <w:hideMark/>
          </w:tcPr>
          <w:p w14:paraId="40871B7A" w14:textId="145D6818" w:rsidR="009D7B95" w:rsidRPr="00855C8C" w:rsidRDefault="00171DC5" w:rsidP="00BA2826">
            <w:pPr>
              <w:ind w:firstLine="0"/>
              <w:jc w:val="both"/>
              <w:rPr>
                <w:sz w:val="24"/>
                <w:szCs w:val="24"/>
              </w:rPr>
            </w:pPr>
            <w:r w:rsidRPr="00855C8C">
              <w:rPr>
                <w:rFonts w:cs="Times New Roman"/>
                <w:bCs/>
                <w:sz w:val="24"/>
                <w:szCs w:val="24"/>
              </w:rPr>
              <w:t>Paziņojums par līdzdalības iespējām tiesību akta izstrādes procesā tik</w:t>
            </w:r>
            <w:r>
              <w:rPr>
                <w:rFonts w:cs="Times New Roman"/>
                <w:bCs/>
                <w:sz w:val="24"/>
                <w:szCs w:val="24"/>
              </w:rPr>
              <w:t>a</w:t>
            </w:r>
            <w:r w:rsidRPr="00855C8C">
              <w:rPr>
                <w:rFonts w:cs="Times New Roman"/>
                <w:bCs/>
                <w:sz w:val="24"/>
                <w:szCs w:val="24"/>
              </w:rPr>
              <w:t xml:space="preserve"> ievietots </w:t>
            </w:r>
            <w:r w:rsidR="00710D6D">
              <w:rPr>
                <w:rFonts w:cs="Times New Roman"/>
                <w:bCs/>
                <w:sz w:val="24"/>
                <w:szCs w:val="24"/>
              </w:rPr>
              <w:t xml:space="preserve">2019.gada 17.jūnijā </w:t>
            </w:r>
            <w:r w:rsidRPr="00855C8C">
              <w:rPr>
                <w:rFonts w:cs="Times New Roman"/>
                <w:bCs/>
                <w:sz w:val="24"/>
                <w:szCs w:val="24"/>
              </w:rPr>
              <w:t>Satiksmes ministrijas</w:t>
            </w:r>
            <w:r w:rsidR="00710D6D">
              <w:rPr>
                <w:rFonts w:cs="Times New Roman"/>
                <w:bCs/>
                <w:sz w:val="24"/>
                <w:szCs w:val="24"/>
              </w:rPr>
              <w:t xml:space="preserve"> </w:t>
            </w:r>
            <w:r w:rsidRPr="00855C8C">
              <w:rPr>
                <w:rFonts w:cs="Times New Roman"/>
                <w:bCs/>
                <w:sz w:val="24"/>
                <w:szCs w:val="24"/>
              </w:rPr>
              <w:t>tīmekļa vietnē</w:t>
            </w:r>
            <w:r w:rsidR="00710D6D">
              <w:rPr>
                <w:rFonts w:cs="Times New Roman"/>
                <w:bCs/>
                <w:sz w:val="24"/>
                <w:szCs w:val="24"/>
              </w:rPr>
              <w:t xml:space="preserve"> </w:t>
            </w:r>
            <w:r w:rsidR="00B33655">
              <w:rPr>
                <w:rFonts w:cs="Times New Roman"/>
                <w:bCs/>
                <w:sz w:val="24"/>
                <w:szCs w:val="24"/>
              </w:rPr>
              <w:t>h</w:t>
            </w:r>
            <w:r w:rsidRPr="00171DC5">
              <w:rPr>
                <w:rFonts w:cs="Times New Roman"/>
                <w:bCs/>
                <w:sz w:val="24"/>
                <w:szCs w:val="24"/>
              </w:rPr>
              <w:t>ttp://www.sam.gov.lv/sm/content/?cat=553</w:t>
            </w:r>
          </w:p>
        </w:tc>
      </w:tr>
      <w:tr w:rsidR="009D7B95" w:rsidRPr="00855C8C" w14:paraId="773F79AF" w14:textId="77777777" w:rsidTr="00F771F5">
        <w:trPr>
          <w:trHeight w:val="465"/>
        </w:trPr>
        <w:tc>
          <w:tcPr>
            <w:tcW w:w="250" w:type="pct"/>
            <w:hideMark/>
          </w:tcPr>
          <w:p w14:paraId="22D61F0B" w14:textId="77777777" w:rsidR="009D7B95" w:rsidRPr="00855C8C" w:rsidRDefault="009D7B95" w:rsidP="00F771F5">
            <w:pPr>
              <w:ind w:firstLine="0"/>
              <w:rPr>
                <w:sz w:val="24"/>
                <w:szCs w:val="24"/>
              </w:rPr>
            </w:pPr>
            <w:r w:rsidRPr="00855C8C">
              <w:rPr>
                <w:sz w:val="24"/>
                <w:szCs w:val="24"/>
              </w:rPr>
              <w:t>3.</w:t>
            </w:r>
          </w:p>
        </w:tc>
        <w:tc>
          <w:tcPr>
            <w:tcW w:w="1500" w:type="pct"/>
            <w:hideMark/>
          </w:tcPr>
          <w:p w14:paraId="0B71A53E" w14:textId="77777777" w:rsidR="009D7B95" w:rsidRPr="00855C8C" w:rsidRDefault="009D7B95" w:rsidP="00F771F5">
            <w:pPr>
              <w:ind w:firstLine="0"/>
              <w:rPr>
                <w:sz w:val="24"/>
                <w:szCs w:val="24"/>
              </w:rPr>
            </w:pPr>
            <w:r w:rsidRPr="00855C8C">
              <w:rPr>
                <w:sz w:val="24"/>
                <w:szCs w:val="24"/>
              </w:rPr>
              <w:t>Sabiedrības līdzdalības rezultāti</w:t>
            </w:r>
          </w:p>
        </w:tc>
        <w:tc>
          <w:tcPr>
            <w:tcW w:w="3250" w:type="pct"/>
            <w:hideMark/>
          </w:tcPr>
          <w:p w14:paraId="34032216" w14:textId="262DDB03" w:rsidR="009D7B95" w:rsidRPr="00855C8C" w:rsidRDefault="00EA5B15" w:rsidP="00171DC5">
            <w:pPr>
              <w:ind w:firstLine="0"/>
              <w:rPr>
                <w:sz w:val="24"/>
                <w:szCs w:val="24"/>
              </w:rPr>
            </w:pPr>
            <w:r>
              <w:rPr>
                <w:sz w:val="24"/>
                <w:szCs w:val="24"/>
              </w:rPr>
              <w:t>Iebildumi un p</w:t>
            </w:r>
            <w:r w:rsidR="00B33655">
              <w:rPr>
                <w:sz w:val="24"/>
                <w:szCs w:val="24"/>
              </w:rPr>
              <w:t>riekšlikumi n</w:t>
            </w:r>
            <w:r>
              <w:rPr>
                <w:sz w:val="24"/>
                <w:szCs w:val="24"/>
              </w:rPr>
              <w:t>etika</w:t>
            </w:r>
            <w:r w:rsidR="00B33655">
              <w:rPr>
                <w:sz w:val="24"/>
                <w:szCs w:val="24"/>
              </w:rPr>
              <w:t xml:space="preserve"> saņemti.</w:t>
            </w:r>
          </w:p>
        </w:tc>
      </w:tr>
      <w:tr w:rsidR="009D7B95" w:rsidRPr="00855C8C" w14:paraId="45356256" w14:textId="77777777" w:rsidTr="00F771F5">
        <w:trPr>
          <w:trHeight w:val="465"/>
        </w:trPr>
        <w:tc>
          <w:tcPr>
            <w:tcW w:w="250" w:type="pct"/>
            <w:hideMark/>
          </w:tcPr>
          <w:p w14:paraId="592C2AA7" w14:textId="77777777" w:rsidR="009D7B95" w:rsidRPr="00855C8C" w:rsidRDefault="009D7B95" w:rsidP="00F771F5">
            <w:pPr>
              <w:ind w:firstLine="0"/>
              <w:rPr>
                <w:sz w:val="24"/>
                <w:szCs w:val="24"/>
              </w:rPr>
            </w:pPr>
            <w:r w:rsidRPr="00855C8C">
              <w:rPr>
                <w:sz w:val="24"/>
                <w:szCs w:val="24"/>
              </w:rPr>
              <w:t>4.</w:t>
            </w:r>
          </w:p>
        </w:tc>
        <w:tc>
          <w:tcPr>
            <w:tcW w:w="1500" w:type="pct"/>
            <w:hideMark/>
          </w:tcPr>
          <w:p w14:paraId="0E6D4115" w14:textId="77777777" w:rsidR="009D7B95" w:rsidRPr="00855C8C" w:rsidRDefault="009D7B95" w:rsidP="00F771F5">
            <w:pPr>
              <w:ind w:firstLine="0"/>
              <w:rPr>
                <w:sz w:val="24"/>
                <w:szCs w:val="24"/>
              </w:rPr>
            </w:pPr>
            <w:r w:rsidRPr="00855C8C">
              <w:rPr>
                <w:sz w:val="24"/>
                <w:szCs w:val="24"/>
              </w:rPr>
              <w:t>Cita informācija</w:t>
            </w:r>
          </w:p>
        </w:tc>
        <w:tc>
          <w:tcPr>
            <w:tcW w:w="3250" w:type="pct"/>
            <w:hideMark/>
          </w:tcPr>
          <w:p w14:paraId="10667223" w14:textId="4AD77CF5" w:rsidR="009D7B95" w:rsidRPr="00855C8C" w:rsidRDefault="009D7B95" w:rsidP="00F771F5">
            <w:pPr>
              <w:ind w:firstLine="0"/>
              <w:rPr>
                <w:sz w:val="24"/>
                <w:szCs w:val="24"/>
              </w:rPr>
            </w:pPr>
            <w:r w:rsidRPr="00855C8C">
              <w:rPr>
                <w:sz w:val="24"/>
                <w:szCs w:val="24"/>
              </w:rPr>
              <w:t>Nav</w:t>
            </w:r>
            <w:r w:rsidR="00171DC5">
              <w:rPr>
                <w:sz w:val="24"/>
                <w:szCs w:val="24"/>
              </w:rPr>
              <w:t>.</w:t>
            </w:r>
          </w:p>
        </w:tc>
      </w:tr>
    </w:tbl>
    <w:p w14:paraId="2C0A4ADF" w14:textId="47E19F51" w:rsidR="009D7B95" w:rsidRDefault="009D7B95" w:rsidP="009D7B95">
      <w:pPr>
        <w:ind w:firstLine="0"/>
        <w:rPr>
          <w:sz w:val="24"/>
          <w:szCs w:val="24"/>
        </w:rPr>
      </w:pPr>
    </w:p>
    <w:p w14:paraId="52FC6282" w14:textId="77777777" w:rsidR="00171DC5" w:rsidRPr="00855C8C" w:rsidRDefault="00171DC5" w:rsidP="009D7B95">
      <w:pPr>
        <w:ind w:firstLine="0"/>
        <w:rPr>
          <w:sz w:val="24"/>
          <w:szCs w:val="24"/>
        </w:rPr>
      </w:pPr>
    </w:p>
    <w:tbl>
      <w:tblPr>
        <w:tblStyle w:val="TableGrid"/>
        <w:tblW w:w="5000" w:type="pct"/>
        <w:tblLook w:val="04A0" w:firstRow="1" w:lastRow="0" w:firstColumn="1" w:lastColumn="0" w:noHBand="0" w:noVBand="1"/>
      </w:tblPr>
      <w:tblGrid>
        <w:gridCol w:w="453"/>
        <w:gridCol w:w="3443"/>
        <w:gridCol w:w="5165"/>
      </w:tblGrid>
      <w:tr w:rsidR="009D7B95" w:rsidRPr="00855C8C" w14:paraId="3713012F" w14:textId="77777777" w:rsidTr="00F771F5">
        <w:trPr>
          <w:trHeight w:val="375"/>
        </w:trPr>
        <w:tc>
          <w:tcPr>
            <w:tcW w:w="0" w:type="auto"/>
            <w:gridSpan w:val="3"/>
            <w:hideMark/>
          </w:tcPr>
          <w:p w14:paraId="21E70762" w14:textId="77777777" w:rsidR="009D7B95" w:rsidRPr="00855C8C" w:rsidRDefault="009D7B95" w:rsidP="00171DC5">
            <w:pPr>
              <w:ind w:firstLine="0"/>
              <w:jc w:val="center"/>
              <w:rPr>
                <w:b/>
                <w:bCs/>
                <w:sz w:val="24"/>
                <w:szCs w:val="24"/>
              </w:rPr>
            </w:pPr>
            <w:r w:rsidRPr="00855C8C">
              <w:rPr>
                <w:b/>
                <w:bCs/>
                <w:sz w:val="24"/>
                <w:szCs w:val="24"/>
              </w:rPr>
              <w:t>VII. Tiesību akta projekta izpildes nodrošināšana un tās ietekme uz institūcijām</w:t>
            </w:r>
          </w:p>
        </w:tc>
      </w:tr>
      <w:tr w:rsidR="009D7B95" w:rsidRPr="00855C8C" w14:paraId="7B49401E" w14:textId="77777777" w:rsidTr="00F771F5">
        <w:trPr>
          <w:trHeight w:val="420"/>
        </w:trPr>
        <w:tc>
          <w:tcPr>
            <w:tcW w:w="250" w:type="pct"/>
            <w:hideMark/>
          </w:tcPr>
          <w:p w14:paraId="6F2145F5" w14:textId="77777777" w:rsidR="009D7B95" w:rsidRPr="00855C8C" w:rsidRDefault="009D7B95" w:rsidP="00F771F5">
            <w:pPr>
              <w:ind w:firstLine="0"/>
              <w:rPr>
                <w:sz w:val="24"/>
                <w:szCs w:val="24"/>
              </w:rPr>
            </w:pPr>
            <w:r w:rsidRPr="00855C8C">
              <w:rPr>
                <w:sz w:val="24"/>
                <w:szCs w:val="24"/>
              </w:rPr>
              <w:t>1.</w:t>
            </w:r>
          </w:p>
        </w:tc>
        <w:tc>
          <w:tcPr>
            <w:tcW w:w="1900" w:type="pct"/>
            <w:hideMark/>
          </w:tcPr>
          <w:p w14:paraId="6A85B8B2" w14:textId="77777777" w:rsidR="009D7B95" w:rsidRPr="00855C8C" w:rsidRDefault="009D7B95" w:rsidP="00F771F5">
            <w:pPr>
              <w:ind w:firstLine="0"/>
              <w:rPr>
                <w:sz w:val="24"/>
                <w:szCs w:val="24"/>
              </w:rPr>
            </w:pPr>
            <w:r w:rsidRPr="00855C8C">
              <w:rPr>
                <w:sz w:val="24"/>
                <w:szCs w:val="24"/>
              </w:rPr>
              <w:t>Projekta izpildē iesaistītās institūcijas</w:t>
            </w:r>
          </w:p>
        </w:tc>
        <w:tc>
          <w:tcPr>
            <w:tcW w:w="2850" w:type="pct"/>
            <w:hideMark/>
          </w:tcPr>
          <w:p w14:paraId="270B65B3" w14:textId="3C679DBA" w:rsidR="009D7B95" w:rsidRPr="00855C8C" w:rsidRDefault="009D7B95" w:rsidP="00BA2826">
            <w:pPr>
              <w:ind w:firstLine="0"/>
              <w:jc w:val="both"/>
              <w:rPr>
                <w:sz w:val="24"/>
                <w:szCs w:val="24"/>
              </w:rPr>
            </w:pPr>
            <w:r w:rsidRPr="00855C8C">
              <w:rPr>
                <w:rFonts w:eastAsia="Times New Roman"/>
                <w:sz w:val="24"/>
                <w:szCs w:val="24"/>
                <w:lang w:eastAsia="lv-LV"/>
              </w:rPr>
              <w:t xml:space="preserve">Autotransporta direkcija, </w:t>
            </w:r>
            <w:r w:rsidR="00F32DBE">
              <w:rPr>
                <w:rFonts w:eastAsia="Times New Roman"/>
                <w:sz w:val="24"/>
                <w:szCs w:val="24"/>
                <w:lang w:eastAsia="lv-LV"/>
              </w:rPr>
              <w:t>Patērētāju tiesību aizsardzības centrs, V</w:t>
            </w:r>
            <w:r w:rsidR="00B33655">
              <w:rPr>
                <w:rFonts w:eastAsia="Times New Roman"/>
                <w:sz w:val="24"/>
                <w:szCs w:val="24"/>
                <w:lang w:eastAsia="lv-LV"/>
              </w:rPr>
              <w:t>ID</w:t>
            </w:r>
            <w:r w:rsidR="00F32DBE">
              <w:rPr>
                <w:rFonts w:eastAsia="Times New Roman"/>
                <w:sz w:val="24"/>
                <w:szCs w:val="24"/>
                <w:lang w:eastAsia="lv-LV"/>
              </w:rPr>
              <w:t xml:space="preserve">, </w:t>
            </w:r>
            <w:r w:rsidRPr="00777CAF">
              <w:rPr>
                <w:rFonts w:eastAsia="Times New Roman"/>
                <w:sz w:val="24"/>
                <w:szCs w:val="24"/>
                <w:lang w:eastAsia="lv-LV"/>
              </w:rPr>
              <w:t>Valsts policija</w:t>
            </w:r>
            <w:r w:rsidR="00F32DBE">
              <w:rPr>
                <w:rFonts w:eastAsia="Times New Roman"/>
                <w:sz w:val="24"/>
                <w:szCs w:val="24"/>
                <w:lang w:eastAsia="lv-LV"/>
              </w:rPr>
              <w:t>, elektronisko sakaru komersanti</w:t>
            </w:r>
            <w:r w:rsidRPr="00777CAF">
              <w:rPr>
                <w:rFonts w:eastAsia="Times New Roman"/>
                <w:sz w:val="24"/>
                <w:szCs w:val="24"/>
                <w:lang w:eastAsia="lv-LV"/>
              </w:rPr>
              <w:t xml:space="preserve">. </w:t>
            </w:r>
          </w:p>
        </w:tc>
      </w:tr>
      <w:tr w:rsidR="009D7B95" w:rsidRPr="00855C8C" w14:paraId="260A6D20" w14:textId="77777777" w:rsidTr="00F771F5">
        <w:trPr>
          <w:trHeight w:val="1804"/>
        </w:trPr>
        <w:tc>
          <w:tcPr>
            <w:tcW w:w="250" w:type="pct"/>
            <w:hideMark/>
          </w:tcPr>
          <w:p w14:paraId="442DB2AA" w14:textId="77777777" w:rsidR="009D7B95" w:rsidRPr="00855C8C" w:rsidRDefault="009D7B95" w:rsidP="00F771F5">
            <w:pPr>
              <w:ind w:firstLine="0"/>
              <w:rPr>
                <w:sz w:val="24"/>
                <w:szCs w:val="24"/>
              </w:rPr>
            </w:pPr>
            <w:r w:rsidRPr="00855C8C">
              <w:rPr>
                <w:sz w:val="24"/>
                <w:szCs w:val="24"/>
              </w:rPr>
              <w:t>2.</w:t>
            </w:r>
          </w:p>
        </w:tc>
        <w:tc>
          <w:tcPr>
            <w:tcW w:w="1900" w:type="pct"/>
            <w:hideMark/>
          </w:tcPr>
          <w:p w14:paraId="282BEFA9" w14:textId="77777777" w:rsidR="009D7B95" w:rsidRPr="00855C8C" w:rsidRDefault="009D7B95" w:rsidP="00F771F5">
            <w:pPr>
              <w:ind w:firstLine="0"/>
              <w:rPr>
                <w:sz w:val="24"/>
                <w:szCs w:val="24"/>
              </w:rPr>
            </w:pPr>
            <w:r w:rsidRPr="00855C8C">
              <w:rPr>
                <w:sz w:val="24"/>
                <w:szCs w:val="24"/>
              </w:rPr>
              <w:t xml:space="preserve">Projekta izpildes ietekme uz pārvaldes funkcijām un institucionālo struktūru. </w:t>
            </w:r>
          </w:p>
          <w:p w14:paraId="3896004F" w14:textId="77777777" w:rsidR="009D7B95" w:rsidRPr="00855C8C" w:rsidRDefault="009D7B95" w:rsidP="00F771F5">
            <w:pPr>
              <w:ind w:firstLine="0"/>
              <w:rPr>
                <w:sz w:val="24"/>
                <w:szCs w:val="24"/>
              </w:rPr>
            </w:pPr>
            <w:r w:rsidRPr="00855C8C">
              <w:rPr>
                <w:sz w:val="24"/>
                <w:szCs w:val="24"/>
              </w:rPr>
              <w:t>Jaunu institūciju izveide, esošu institūciju likvidācija vai reorganizācija, to ietekme uz institūcijas cilvēkresursiem</w:t>
            </w:r>
          </w:p>
        </w:tc>
        <w:tc>
          <w:tcPr>
            <w:tcW w:w="2850" w:type="pct"/>
            <w:hideMark/>
          </w:tcPr>
          <w:p w14:paraId="6D96AF56" w14:textId="77777777" w:rsidR="009D7B95" w:rsidRPr="00855C8C" w:rsidRDefault="009D7B95" w:rsidP="00B33655">
            <w:pPr>
              <w:ind w:firstLine="0"/>
              <w:jc w:val="both"/>
              <w:rPr>
                <w:sz w:val="24"/>
                <w:szCs w:val="24"/>
              </w:rPr>
            </w:pPr>
            <w:r w:rsidRPr="00855C8C">
              <w:rPr>
                <w:sz w:val="24"/>
                <w:szCs w:val="24"/>
              </w:rPr>
              <w:t>Noteikumu projekts neparedz jaunu institūciju izveidi vai esošo institūciju likvidāciju vai reorganizāciju.</w:t>
            </w:r>
          </w:p>
          <w:p w14:paraId="48D171E0" w14:textId="77777777" w:rsidR="009D7B95" w:rsidRPr="00855C8C" w:rsidRDefault="009D7B95" w:rsidP="00B33655">
            <w:pPr>
              <w:ind w:firstLine="0"/>
              <w:jc w:val="both"/>
              <w:rPr>
                <w:sz w:val="24"/>
                <w:szCs w:val="24"/>
              </w:rPr>
            </w:pPr>
            <w:r w:rsidRPr="00855C8C">
              <w:rPr>
                <w:rFonts w:cs="Times New Roman"/>
                <w:sz w:val="24"/>
                <w:szCs w:val="24"/>
              </w:rPr>
              <w:t>Projekta izpilde tiks nodrošināta A</w:t>
            </w:r>
            <w:r w:rsidR="00F32DBE">
              <w:rPr>
                <w:rFonts w:cs="Times New Roman"/>
                <w:sz w:val="24"/>
                <w:szCs w:val="24"/>
              </w:rPr>
              <w:t>utotransporta direkcijas</w:t>
            </w:r>
            <w:r>
              <w:rPr>
                <w:rFonts w:cs="Times New Roman"/>
                <w:sz w:val="24"/>
                <w:szCs w:val="24"/>
              </w:rPr>
              <w:t xml:space="preserve"> un </w:t>
            </w:r>
            <w:r w:rsidR="00F32DBE">
              <w:rPr>
                <w:rFonts w:cs="Times New Roman"/>
                <w:sz w:val="24"/>
                <w:szCs w:val="24"/>
              </w:rPr>
              <w:t xml:space="preserve">citu iesaistīto </w:t>
            </w:r>
            <w:r>
              <w:rPr>
                <w:rFonts w:cs="Times New Roman"/>
                <w:sz w:val="24"/>
                <w:szCs w:val="24"/>
              </w:rPr>
              <w:t>institūciju</w:t>
            </w:r>
            <w:r w:rsidRPr="00855C8C">
              <w:rPr>
                <w:rFonts w:cs="Times New Roman"/>
                <w:sz w:val="24"/>
                <w:szCs w:val="24"/>
              </w:rPr>
              <w:t xml:space="preserve"> līdzšinējo funkciju ietvaros un cilvēkresursus neietekmēs.</w:t>
            </w:r>
          </w:p>
        </w:tc>
      </w:tr>
      <w:tr w:rsidR="009D7B95" w:rsidRPr="00855C8C" w14:paraId="5AA4F1EF" w14:textId="77777777" w:rsidTr="00F771F5">
        <w:trPr>
          <w:trHeight w:val="390"/>
        </w:trPr>
        <w:tc>
          <w:tcPr>
            <w:tcW w:w="250" w:type="pct"/>
            <w:hideMark/>
          </w:tcPr>
          <w:p w14:paraId="79093ACA" w14:textId="77777777" w:rsidR="009D7B95" w:rsidRPr="00855C8C" w:rsidRDefault="009D7B95" w:rsidP="00F771F5">
            <w:pPr>
              <w:ind w:firstLine="0"/>
              <w:rPr>
                <w:sz w:val="24"/>
                <w:szCs w:val="24"/>
              </w:rPr>
            </w:pPr>
            <w:r w:rsidRPr="00855C8C">
              <w:rPr>
                <w:sz w:val="24"/>
                <w:szCs w:val="24"/>
              </w:rPr>
              <w:t>3.</w:t>
            </w:r>
          </w:p>
        </w:tc>
        <w:tc>
          <w:tcPr>
            <w:tcW w:w="1900" w:type="pct"/>
            <w:hideMark/>
          </w:tcPr>
          <w:p w14:paraId="7221533D" w14:textId="77777777" w:rsidR="009D7B95" w:rsidRPr="00855C8C" w:rsidRDefault="009D7B95" w:rsidP="00F771F5">
            <w:pPr>
              <w:ind w:firstLine="0"/>
              <w:rPr>
                <w:sz w:val="24"/>
                <w:szCs w:val="24"/>
              </w:rPr>
            </w:pPr>
            <w:r w:rsidRPr="00855C8C">
              <w:rPr>
                <w:sz w:val="24"/>
                <w:szCs w:val="24"/>
              </w:rPr>
              <w:t>Cita informācija</w:t>
            </w:r>
          </w:p>
        </w:tc>
        <w:tc>
          <w:tcPr>
            <w:tcW w:w="2850" w:type="pct"/>
            <w:hideMark/>
          </w:tcPr>
          <w:p w14:paraId="03832EBE" w14:textId="7AD2C089" w:rsidR="009D7B95" w:rsidRPr="00855C8C" w:rsidRDefault="009D7B95" w:rsidP="00F771F5">
            <w:pPr>
              <w:ind w:firstLine="0"/>
              <w:rPr>
                <w:sz w:val="24"/>
                <w:szCs w:val="24"/>
              </w:rPr>
            </w:pPr>
            <w:r w:rsidRPr="00855C8C">
              <w:rPr>
                <w:sz w:val="24"/>
                <w:szCs w:val="24"/>
              </w:rPr>
              <w:t>Nav</w:t>
            </w:r>
            <w:r w:rsidR="006E56E9">
              <w:rPr>
                <w:sz w:val="24"/>
                <w:szCs w:val="24"/>
              </w:rPr>
              <w:t>.</w:t>
            </w:r>
          </w:p>
        </w:tc>
      </w:tr>
    </w:tbl>
    <w:p w14:paraId="04E23F89" w14:textId="77777777" w:rsidR="009D7B95" w:rsidRPr="00855C8C" w:rsidRDefault="009D7B95" w:rsidP="009D7B95">
      <w:pPr>
        <w:ind w:firstLine="0"/>
        <w:rPr>
          <w:sz w:val="24"/>
          <w:szCs w:val="24"/>
        </w:rPr>
      </w:pPr>
    </w:p>
    <w:p w14:paraId="76AC18D9" w14:textId="77777777" w:rsidR="009D7B95" w:rsidRPr="00855C8C" w:rsidRDefault="009D7B95" w:rsidP="009D7B95">
      <w:pPr>
        <w:ind w:firstLine="0"/>
        <w:rPr>
          <w:sz w:val="24"/>
          <w:szCs w:val="24"/>
        </w:rPr>
      </w:pPr>
    </w:p>
    <w:p w14:paraId="434231DF" w14:textId="77777777" w:rsidR="009D7B95" w:rsidRPr="00855C8C" w:rsidRDefault="009D7B95" w:rsidP="009D7B95">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Satiksmes ministrs</w:t>
      </w:r>
      <w:r w:rsidRPr="00855C8C">
        <w:rPr>
          <w:rFonts w:ascii="Times New Roman" w:hAnsi="Times New Roman"/>
          <w:b w:val="0"/>
          <w:sz w:val="24"/>
          <w:szCs w:val="24"/>
          <w:lang w:val="lv-LV"/>
        </w:rPr>
        <w:tab/>
      </w:r>
      <w:proofErr w:type="spellStart"/>
      <w:r w:rsidR="00F32DBE">
        <w:rPr>
          <w:rFonts w:ascii="Times New Roman" w:hAnsi="Times New Roman"/>
          <w:b w:val="0"/>
          <w:sz w:val="24"/>
          <w:szCs w:val="24"/>
          <w:lang w:val="lv-LV"/>
        </w:rPr>
        <w:t>T.Linkaits</w:t>
      </w:r>
      <w:proofErr w:type="spellEnd"/>
    </w:p>
    <w:p w14:paraId="5D80075C" w14:textId="77777777" w:rsidR="009D7B95" w:rsidRPr="00855C8C" w:rsidRDefault="009D7B95" w:rsidP="009D7B95">
      <w:pPr>
        <w:pStyle w:val="Header"/>
        <w:tabs>
          <w:tab w:val="clear" w:pos="4153"/>
          <w:tab w:val="center" w:pos="4536"/>
        </w:tabs>
      </w:pPr>
    </w:p>
    <w:p w14:paraId="13A73BFA" w14:textId="77777777" w:rsidR="009D7B95" w:rsidRPr="00855C8C" w:rsidRDefault="009D7B95" w:rsidP="009D7B95">
      <w:pPr>
        <w:pStyle w:val="Header"/>
        <w:tabs>
          <w:tab w:val="clear" w:pos="4153"/>
          <w:tab w:val="center" w:pos="4536"/>
        </w:tabs>
      </w:pPr>
    </w:p>
    <w:p w14:paraId="13F743F1" w14:textId="77777777" w:rsidR="00B33655" w:rsidRDefault="009D7B95" w:rsidP="009D7B95">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 xml:space="preserve">Vīza: </w:t>
      </w:r>
    </w:p>
    <w:p w14:paraId="11B49A59" w14:textId="6E1AC4A8" w:rsidR="009D7B95" w:rsidRDefault="009D7B95" w:rsidP="009D7B95">
      <w:pPr>
        <w:pStyle w:val="Heading3"/>
        <w:tabs>
          <w:tab w:val="left" w:pos="6840"/>
        </w:tabs>
        <w:spacing w:before="0" w:after="0"/>
        <w:rPr>
          <w:rFonts w:ascii="Times New Roman" w:hAnsi="Times New Roman"/>
          <w:b w:val="0"/>
          <w:sz w:val="24"/>
          <w:szCs w:val="24"/>
          <w:lang w:val="lv-LV"/>
        </w:rPr>
      </w:pPr>
      <w:r>
        <w:rPr>
          <w:rFonts w:ascii="Times New Roman" w:hAnsi="Times New Roman"/>
          <w:b w:val="0"/>
          <w:sz w:val="24"/>
          <w:szCs w:val="24"/>
          <w:lang w:val="lv-LV"/>
        </w:rPr>
        <w:t>v</w:t>
      </w:r>
      <w:r w:rsidRPr="00855C8C">
        <w:rPr>
          <w:rFonts w:ascii="Times New Roman" w:hAnsi="Times New Roman"/>
          <w:b w:val="0"/>
          <w:sz w:val="24"/>
          <w:szCs w:val="24"/>
          <w:lang w:val="lv-LV"/>
        </w:rPr>
        <w:t>alsts sekretār</w:t>
      </w:r>
      <w:r w:rsidR="00F32DBE">
        <w:rPr>
          <w:rFonts w:ascii="Times New Roman" w:hAnsi="Times New Roman"/>
          <w:b w:val="0"/>
          <w:sz w:val="24"/>
          <w:szCs w:val="24"/>
          <w:lang w:val="lv-LV"/>
        </w:rPr>
        <w:t xml:space="preserve">a </w:t>
      </w:r>
      <w:proofErr w:type="spellStart"/>
      <w:r w:rsidR="00F32DBE">
        <w:rPr>
          <w:rFonts w:ascii="Times New Roman" w:hAnsi="Times New Roman"/>
          <w:b w:val="0"/>
          <w:sz w:val="24"/>
          <w:szCs w:val="24"/>
          <w:lang w:val="lv-LV"/>
        </w:rPr>
        <w:t>p.i</w:t>
      </w:r>
      <w:proofErr w:type="spellEnd"/>
      <w:r w:rsidR="00F32DBE">
        <w:rPr>
          <w:rFonts w:ascii="Times New Roman" w:hAnsi="Times New Roman"/>
          <w:b w:val="0"/>
          <w:sz w:val="24"/>
          <w:szCs w:val="24"/>
          <w:lang w:val="lv-LV"/>
        </w:rPr>
        <w:t>.</w:t>
      </w:r>
      <w:r w:rsidRPr="00855C8C">
        <w:rPr>
          <w:rFonts w:ascii="Times New Roman" w:hAnsi="Times New Roman"/>
          <w:b w:val="0"/>
          <w:sz w:val="24"/>
          <w:szCs w:val="24"/>
          <w:lang w:val="lv-LV"/>
        </w:rPr>
        <w:tab/>
      </w:r>
      <w:proofErr w:type="spellStart"/>
      <w:r w:rsidR="00F32DBE">
        <w:rPr>
          <w:rFonts w:ascii="Times New Roman" w:hAnsi="Times New Roman"/>
          <w:b w:val="0"/>
          <w:sz w:val="24"/>
          <w:szCs w:val="24"/>
          <w:lang w:val="lv-LV"/>
        </w:rPr>
        <w:t>Dž.Innusa</w:t>
      </w:r>
      <w:proofErr w:type="spellEnd"/>
    </w:p>
    <w:sectPr w:rsidR="009D7B95" w:rsidSect="0048468C">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B5E4" w14:textId="77777777" w:rsidR="00F32DBE" w:rsidRDefault="00F32DBE" w:rsidP="00F32DBE">
      <w:r>
        <w:separator/>
      </w:r>
    </w:p>
  </w:endnote>
  <w:endnote w:type="continuationSeparator" w:id="0">
    <w:p w14:paraId="6CC25CEA" w14:textId="77777777" w:rsidR="00F32DBE" w:rsidRDefault="00F32DBE" w:rsidP="00F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9E5A" w14:textId="0DAF4A20" w:rsidR="003F4AD3" w:rsidRPr="00E80ED5" w:rsidRDefault="009127BD" w:rsidP="003F4AD3">
    <w:pPr>
      <w:pStyle w:val="Footer"/>
      <w:ind w:firstLine="0"/>
      <w:jc w:val="both"/>
      <w:rPr>
        <w:sz w:val="20"/>
        <w:szCs w:val="20"/>
      </w:rPr>
    </w:pPr>
    <w:r>
      <w:rPr>
        <w:sz w:val="20"/>
        <w:szCs w:val="20"/>
      </w:rPr>
      <w:t>SM</w:t>
    </w:r>
    <w:r w:rsidR="00666E6C">
      <w:rPr>
        <w:sz w:val="20"/>
        <w:szCs w:val="20"/>
      </w:rPr>
      <w:t>A</w:t>
    </w:r>
    <w:r>
      <w:rPr>
        <w:sz w:val="20"/>
        <w:szCs w:val="20"/>
      </w:rPr>
      <w:t>not_1</w:t>
    </w:r>
    <w:r w:rsidR="006065CB">
      <w:rPr>
        <w:sz w:val="20"/>
        <w:szCs w:val="20"/>
      </w:rPr>
      <w:t>7</w:t>
    </w:r>
    <w:r w:rsidR="00F32DBE">
      <w:rPr>
        <w:sz w:val="20"/>
        <w:szCs w:val="20"/>
      </w:rPr>
      <w:t>0619</w:t>
    </w:r>
    <w:r w:rsidR="00666E6C">
      <w:rPr>
        <w:sz w:val="20"/>
        <w:szCs w:val="20"/>
      </w:rPr>
      <w:t>_lietotnes</w:t>
    </w:r>
  </w:p>
  <w:p w14:paraId="7F82D7BB" w14:textId="77777777" w:rsidR="008B0DD4" w:rsidRPr="005425A6" w:rsidRDefault="008D42B8" w:rsidP="005425A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DFD4" w14:textId="2C8DB06C" w:rsidR="008B0DD4" w:rsidRPr="00E80ED5" w:rsidRDefault="009127BD" w:rsidP="005425A6">
    <w:pPr>
      <w:pStyle w:val="Footer"/>
      <w:ind w:firstLine="0"/>
      <w:jc w:val="both"/>
      <w:rPr>
        <w:sz w:val="20"/>
        <w:szCs w:val="20"/>
      </w:rPr>
    </w:pPr>
    <w:r>
      <w:rPr>
        <w:sz w:val="20"/>
        <w:szCs w:val="20"/>
      </w:rPr>
      <w:t>SM</w:t>
    </w:r>
    <w:r w:rsidR="006065CB">
      <w:rPr>
        <w:sz w:val="20"/>
        <w:szCs w:val="20"/>
      </w:rPr>
      <w:t>A</w:t>
    </w:r>
    <w:r>
      <w:rPr>
        <w:sz w:val="20"/>
        <w:szCs w:val="20"/>
      </w:rPr>
      <w:t>not_1</w:t>
    </w:r>
    <w:r w:rsidR="006065CB">
      <w:rPr>
        <w:sz w:val="20"/>
        <w:szCs w:val="20"/>
      </w:rPr>
      <w:t>7</w:t>
    </w:r>
    <w:r w:rsidR="00F32DBE">
      <w:rPr>
        <w:sz w:val="20"/>
        <w:szCs w:val="20"/>
      </w:rPr>
      <w:t>0619</w:t>
    </w:r>
    <w:r w:rsidR="006065CB">
      <w:rPr>
        <w:sz w:val="20"/>
        <w:szCs w:val="20"/>
      </w:rPr>
      <w:t>_lietotnes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2387" w14:textId="77777777" w:rsidR="00F32DBE" w:rsidRDefault="00F32DBE" w:rsidP="00F32DBE">
      <w:r>
        <w:separator/>
      </w:r>
    </w:p>
  </w:footnote>
  <w:footnote w:type="continuationSeparator" w:id="0">
    <w:p w14:paraId="56618CB8" w14:textId="77777777" w:rsidR="00F32DBE" w:rsidRDefault="00F32DBE" w:rsidP="00F3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14:paraId="22CB670F" w14:textId="32583AA1" w:rsidR="008B0DD4" w:rsidRDefault="009127BD">
        <w:pPr>
          <w:pStyle w:val="Header"/>
          <w:jc w:val="center"/>
        </w:pPr>
        <w:r>
          <w:fldChar w:fldCharType="begin"/>
        </w:r>
        <w:r>
          <w:instrText xml:space="preserve"> PAGE   \* MERGEFORMAT </w:instrText>
        </w:r>
        <w:r>
          <w:fldChar w:fldCharType="separate"/>
        </w:r>
        <w:r w:rsidR="00E56B28">
          <w:rPr>
            <w:noProof/>
          </w:rPr>
          <w:t>5</w:t>
        </w:r>
        <w:r>
          <w:rPr>
            <w:noProof/>
          </w:rPr>
          <w:fldChar w:fldCharType="end"/>
        </w:r>
      </w:p>
    </w:sdtContent>
  </w:sdt>
  <w:p w14:paraId="703D6BB6" w14:textId="77777777" w:rsidR="008B0DD4" w:rsidRDefault="008D42B8">
    <w:pPr>
      <w:pStyle w:val="Header"/>
    </w:pPr>
  </w:p>
  <w:p w14:paraId="7F5A06F8" w14:textId="77777777" w:rsidR="00A96FE5" w:rsidRDefault="008D42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3ED"/>
    <w:multiLevelType w:val="hybridMultilevel"/>
    <w:tmpl w:val="580E92C4"/>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1961445F"/>
    <w:multiLevelType w:val="multilevel"/>
    <w:tmpl w:val="60647202"/>
    <w:lvl w:ilvl="0">
      <w:start w:val="1"/>
      <w:numFmt w:val="decimal"/>
      <w:lvlText w:val="%1."/>
      <w:lvlJc w:val="left"/>
      <w:pPr>
        <w:ind w:left="360" w:hanging="360"/>
      </w:pPr>
      <w:rPr>
        <w:i w:val="0"/>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0B290F"/>
    <w:multiLevelType w:val="hybridMultilevel"/>
    <w:tmpl w:val="AA98313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15:restartNumberingAfterBreak="0">
    <w:nsid w:val="44AD6008"/>
    <w:multiLevelType w:val="hybridMultilevel"/>
    <w:tmpl w:val="ED9AD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8A29DB"/>
    <w:multiLevelType w:val="hybridMultilevel"/>
    <w:tmpl w:val="D38891A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95"/>
    <w:rsid w:val="00020F38"/>
    <w:rsid w:val="00171DC5"/>
    <w:rsid w:val="001B47EE"/>
    <w:rsid w:val="001D1FAE"/>
    <w:rsid w:val="00224F23"/>
    <w:rsid w:val="002B2777"/>
    <w:rsid w:val="00330FE0"/>
    <w:rsid w:val="003F2B76"/>
    <w:rsid w:val="003F5A2A"/>
    <w:rsid w:val="00473625"/>
    <w:rsid w:val="006065CB"/>
    <w:rsid w:val="00666E6C"/>
    <w:rsid w:val="00667A59"/>
    <w:rsid w:val="00683B37"/>
    <w:rsid w:val="006E56E9"/>
    <w:rsid w:val="00710D6D"/>
    <w:rsid w:val="007176A1"/>
    <w:rsid w:val="00785FC2"/>
    <w:rsid w:val="007873D5"/>
    <w:rsid w:val="00811808"/>
    <w:rsid w:val="00874060"/>
    <w:rsid w:val="008D42B8"/>
    <w:rsid w:val="009127BD"/>
    <w:rsid w:val="009A4DB2"/>
    <w:rsid w:val="009B63FC"/>
    <w:rsid w:val="009D7B95"/>
    <w:rsid w:val="00A057F0"/>
    <w:rsid w:val="00A5173C"/>
    <w:rsid w:val="00B31267"/>
    <w:rsid w:val="00B33655"/>
    <w:rsid w:val="00B54996"/>
    <w:rsid w:val="00B81541"/>
    <w:rsid w:val="00B94C1A"/>
    <w:rsid w:val="00BA2826"/>
    <w:rsid w:val="00BA4EC7"/>
    <w:rsid w:val="00BE58AB"/>
    <w:rsid w:val="00C6558A"/>
    <w:rsid w:val="00CA338C"/>
    <w:rsid w:val="00D45333"/>
    <w:rsid w:val="00DD3B40"/>
    <w:rsid w:val="00E56B28"/>
    <w:rsid w:val="00EA5B15"/>
    <w:rsid w:val="00EA7C82"/>
    <w:rsid w:val="00F32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F0F0"/>
  <w15:docId w15:val="{5FD88E60-6613-4A85-95FA-9EA8E41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95"/>
    <w:pPr>
      <w:spacing w:line="240" w:lineRule="auto"/>
      <w:ind w:firstLine="720"/>
      <w:jc w:val="left"/>
    </w:pPr>
    <w:rPr>
      <w:rFonts w:ascii="Times New Roman" w:hAnsi="Times New Roman"/>
      <w:sz w:val="28"/>
    </w:rPr>
  </w:style>
  <w:style w:type="paragraph" w:styleId="Heading3">
    <w:name w:val="heading 3"/>
    <w:basedOn w:val="Normal"/>
    <w:next w:val="Normal"/>
    <w:link w:val="Heading3Char"/>
    <w:uiPriority w:val="99"/>
    <w:qFormat/>
    <w:rsid w:val="009D7B95"/>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D7B95"/>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9D7B95"/>
    <w:rPr>
      <w:color w:val="0000FF" w:themeColor="hyperlink"/>
      <w:u w:val="single"/>
    </w:rPr>
  </w:style>
  <w:style w:type="paragraph" w:styleId="Header">
    <w:name w:val="header"/>
    <w:basedOn w:val="Normal"/>
    <w:link w:val="HeaderChar"/>
    <w:uiPriority w:val="99"/>
    <w:rsid w:val="009D7B95"/>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9D7B95"/>
    <w:rPr>
      <w:rFonts w:ascii="Times New Roman" w:eastAsia="Times New Roman" w:hAnsi="Times New Roman" w:cs="Times New Roman"/>
      <w:sz w:val="24"/>
      <w:szCs w:val="24"/>
      <w:lang w:eastAsia="lv-LV"/>
    </w:rPr>
  </w:style>
  <w:style w:type="table" w:styleId="TableGrid">
    <w:name w:val="Table Grid"/>
    <w:basedOn w:val="TableNormal"/>
    <w:uiPriority w:val="59"/>
    <w:rsid w:val="009D7B95"/>
    <w:pPr>
      <w:spacing w:line="240" w:lineRule="auto"/>
      <w:ind w:firstLine="72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7B95"/>
    <w:pPr>
      <w:tabs>
        <w:tab w:val="center" w:pos="4153"/>
        <w:tab w:val="right" w:pos="8306"/>
      </w:tabs>
    </w:pPr>
  </w:style>
  <w:style w:type="character" w:customStyle="1" w:styleId="FooterChar">
    <w:name w:val="Footer Char"/>
    <w:basedOn w:val="DefaultParagraphFont"/>
    <w:link w:val="Footer"/>
    <w:uiPriority w:val="99"/>
    <w:rsid w:val="009D7B95"/>
    <w:rPr>
      <w:rFonts w:ascii="Times New Roman" w:hAnsi="Times New Roman"/>
      <w:sz w:val="28"/>
    </w:rPr>
  </w:style>
  <w:style w:type="paragraph" w:styleId="ListParagraph">
    <w:name w:val="List Paragraph"/>
    <w:basedOn w:val="Normal"/>
    <w:uiPriority w:val="34"/>
    <w:qFormat/>
    <w:rsid w:val="009D7B95"/>
    <w:pPr>
      <w:ind w:left="720"/>
      <w:contextualSpacing/>
    </w:pPr>
  </w:style>
  <w:style w:type="character" w:customStyle="1" w:styleId="UnresolvedMention1">
    <w:name w:val="Unresolved Mention1"/>
    <w:basedOn w:val="DefaultParagraphFont"/>
    <w:uiPriority w:val="99"/>
    <w:semiHidden/>
    <w:unhideWhenUsed/>
    <w:rsid w:val="00666E6C"/>
    <w:rPr>
      <w:color w:val="605E5C"/>
      <w:shd w:val="clear" w:color="auto" w:fill="E1DFDD"/>
    </w:rPr>
  </w:style>
  <w:style w:type="paragraph" w:styleId="BalloonText">
    <w:name w:val="Balloon Text"/>
    <w:basedOn w:val="Normal"/>
    <w:link w:val="BalloonTextChar"/>
    <w:uiPriority w:val="99"/>
    <w:semiHidden/>
    <w:unhideWhenUsed/>
    <w:rsid w:val="00B5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96"/>
    <w:rPr>
      <w:rFonts w:ascii="Segoe UI" w:hAnsi="Segoe UI" w:cs="Segoe UI"/>
      <w:sz w:val="18"/>
      <w:szCs w:val="18"/>
    </w:rPr>
  </w:style>
  <w:style w:type="character" w:styleId="CommentReference">
    <w:name w:val="annotation reference"/>
    <w:basedOn w:val="DefaultParagraphFont"/>
    <w:uiPriority w:val="99"/>
    <w:semiHidden/>
    <w:unhideWhenUsed/>
    <w:rsid w:val="00785FC2"/>
    <w:rPr>
      <w:sz w:val="16"/>
      <w:szCs w:val="16"/>
    </w:rPr>
  </w:style>
  <w:style w:type="paragraph" w:styleId="CommentText">
    <w:name w:val="annotation text"/>
    <w:basedOn w:val="Normal"/>
    <w:link w:val="CommentTextChar"/>
    <w:uiPriority w:val="99"/>
    <w:semiHidden/>
    <w:unhideWhenUsed/>
    <w:rsid w:val="00785FC2"/>
    <w:rPr>
      <w:sz w:val="20"/>
      <w:szCs w:val="20"/>
    </w:rPr>
  </w:style>
  <w:style w:type="character" w:customStyle="1" w:styleId="CommentTextChar">
    <w:name w:val="Comment Text Char"/>
    <w:basedOn w:val="DefaultParagraphFont"/>
    <w:link w:val="CommentText"/>
    <w:uiPriority w:val="99"/>
    <w:semiHidden/>
    <w:rsid w:val="00785F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5FC2"/>
    <w:rPr>
      <w:b/>
      <w:bCs/>
    </w:rPr>
  </w:style>
  <w:style w:type="character" w:customStyle="1" w:styleId="CommentSubjectChar">
    <w:name w:val="Comment Subject Char"/>
    <w:basedOn w:val="CommentTextChar"/>
    <w:link w:val="CommentSubject"/>
    <w:uiPriority w:val="99"/>
    <w:semiHidden/>
    <w:rsid w:val="00785FC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4729-7483-4658-9060-22861028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6553</Words>
  <Characters>3736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“Pasažieru komercpārvadājumu ar taksometru un vieglo automobili tīmekļvietņu vai mobilo lietotņu pakalpojuma sniedzēju reģistrācijas noteikumi” sākotnējās ietekmes novērtējuma ziņojums (anotācija)</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“Pasažieru komercpārvadājumu ar taksometru un vieglo automobili tīmekļvietņu vai mobilo lietotņu pakalpojuma sniedzēju reģistrācijas noteikumi” sākotnējās ietekmes novērtējuma ziņojums (anotācija)</dc:title>
  <dc:creator>Dana.Ziemele-Adricka@sam.gov.lv</dc:creator>
  <dc:description>D.Ziemele-Adricka, 67028036, Dana.Ziemele-Adricka@sam.gov.lv</dc:description>
  <cp:lastModifiedBy>Astra Vilnīte</cp:lastModifiedBy>
  <cp:revision>2</cp:revision>
  <dcterms:created xsi:type="dcterms:W3CDTF">2019-07-02T08:16:00Z</dcterms:created>
  <dcterms:modified xsi:type="dcterms:W3CDTF">2019-07-02T08:16:00Z</dcterms:modified>
</cp:coreProperties>
</file>