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7479" w:rsidR="004F0DAB" w:rsidP="00B71DD6" w:rsidRDefault="004F0DAB" w14:paraId="7672F88F" w14:textId="547AEBDF">
      <w:pPr>
        <w:spacing w:after="0" w:line="240" w:lineRule="auto"/>
        <w:jc w:val="center"/>
        <w:rPr>
          <w:rFonts w:ascii="Times New Roman" w:hAnsi="Times New Roman" w:cs="Times New Roman"/>
          <w:b/>
          <w:sz w:val="24"/>
          <w:szCs w:val="24"/>
        </w:rPr>
      </w:pPr>
      <w:r w:rsidRPr="00330C9D">
        <w:rPr>
          <w:rFonts w:ascii="Times New Roman" w:hAnsi="Times New Roman" w:cs="Times New Roman"/>
          <w:b/>
          <w:sz w:val="24"/>
          <w:szCs w:val="24"/>
        </w:rPr>
        <w:t xml:space="preserve">Likumprojekta </w:t>
      </w:r>
      <w:r w:rsidR="00850274">
        <w:rPr>
          <w:rFonts w:ascii="Times New Roman" w:hAnsi="Times New Roman" w:eastAsia="Times New Roman" w:cs="Times New Roman"/>
          <w:b/>
          <w:sz w:val="24"/>
          <w:szCs w:val="24"/>
          <w:lang w:eastAsia="lv-LV"/>
        </w:rPr>
        <w:t>"</w:t>
      </w:r>
      <w:r w:rsidRPr="00330C9D">
        <w:rPr>
          <w:rFonts w:ascii="Times New Roman" w:hAnsi="Times New Roman" w:cs="Times New Roman"/>
          <w:b/>
          <w:sz w:val="24"/>
          <w:szCs w:val="24"/>
        </w:rPr>
        <w:t>Grozījumi Maksātnespējas likumā</w:t>
      </w:r>
      <w:r w:rsidR="00850274">
        <w:rPr>
          <w:rFonts w:ascii="Times New Roman" w:hAnsi="Times New Roman" w:eastAsia="Times New Roman" w:cs="Times New Roman"/>
          <w:b/>
          <w:sz w:val="24"/>
          <w:szCs w:val="24"/>
          <w:lang w:eastAsia="lv-LV"/>
        </w:rPr>
        <w:t>"</w:t>
      </w:r>
      <w:r w:rsidR="00301A62">
        <w:rPr>
          <w:rFonts w:ascii="Times New Roman" w:hAnsi="Times New Roman" w:eastAsia="Times New Roman" w:cs="Times New Roman"/>
          <w:b/>
          <w:sz w:val="24"/>
          <w:szCs w:val="24"/>
          <w:lang w:eastAsia="lv-LV"/>
        </w:rPr>
        <w:t xml:space="preserve"> </w:t>
      </w:r>
      <w:r w:rsidRPr="00330C9D">
        <w:rPr>
          <w:rFonts w:ascii="Times New Roman" w:hAnsi="Times New Roman" w:cs="Times New Roman"/>
          <w:b/>
          <w:sz w:val="24"/>
          <w:szCs w:val="24"/>
        </w:rPr>
        <w:t>sākotnējās ietekmes novērtējuma ziņojums (anotācija)</w:t>
      </w:r>
    </w:p>
    <w:p w:rsidR="004F0DAB" w:rsidP="00B71DD6" w:rsidRDefault="004F0DAB" w14:paraId="1BE2873C" w14:textId="5C6ABC1F">
      <w:pPr>
        <w:spacing w:after="0" w:line="240" w:lineRule="auto"/>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372"/>
      </w:tblGrid>
      <w:tr w:rsidRPr="002D7166" w:rsidR="00555101" w:rsidTr="004B5C98" w14:paraId="73DA7C52" w14:textId="77777777">
        <w:trPr>
          <w:cantSplit/>
        </w:trPr>
        <w:tc>
          <w:tcPr>
            <w:tcW w:w="9061" w:type="dxa"/>
            <w:gridSpan w:val="2"/>
            <w:shd w:val="clear" w:color="auto" w:fill="FFFFFF"/>
            <w:vAlign w:val="center"/>
            <w:hideMark/>
          </w:tcPr>
          <w:p w:rsidRPr="002D7166" w:rsidR="00555101" w:rsidP="00B71DD6" w:rsidRDefault="00555101" w14:paraId="60889C2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555101" w:rsidTr="003929C3" w14:paraId="40B3BEA6" w14:textId="77777777">
        <w:trPr>
          <w:cantSplit/>
        </w:trPr>
        <w:tc>
          <w:tcPr>
            <w:tcW w:w="2689" w:type="dxa"/>
            <w:shd w:val="clear" w:color="auto" w:fill="FFFFFF"/>
            <w:hideMark/>
          </w:tcPr>
          <w:p w:rsidRPr="00A1552F" w:rsidR="00555101" w:rsidP="00B71DD6" w:rsidRDefault="00555101" w14:paraId="1FE049E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372" w:type="dxa"/>
            <w:shd w:val="clear" w:color="auto" w:fill="FFFFFF"/>
            <w:hideMark/>
          </w:tcPr>
          <w:p w:rsidR="00541D8C" w:rsidP="00C369E9" w:rsidRDefault="00913C4C" w14:paraId="2872FE69" w14:textId="088AA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w:t>
            </w:r>
            <w:r w:rsidR="00C369E9">
              <w:rPr>
                <w:rFonts w:ascii="Times New Roman" w:hAnsi="Times New Roman" w:cs="Times New Roman"/>
                <w:sz w:val="24"/>
                <w:szCs w:val="24"/>
              </w:rPr>
              <w:t> </w:t>
            </w:r>
            <w:r w:rsidR="00850274">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Grozījumi Maksātnespējas likumā</w:t>
            </w:r>
            <w:r w:rsidR="00850274">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izstr</w:t>
            </w:r>
            <w:r w:rsidR="007D5820">
              <w:rPr>
                <w:rFonts w:ascii="Times New Roman" w:hAnsi="Times New Roman" w:eastAsia="Times New Roman" w:cs="Times New Roman"/>
                <w:sz w:val="24"/>
                <w:szCs w:val="24"/>
                <w:lang w:eastAsia="lv-LV"/>
              </w:rPr>
              <w:t xml:space="preserve">ādāts, lai </w:t>
            </w:r>
            <w:r w:rsidR="00C369E9">
              <w:rPr>
                <w:rFonts w:ascii="Times New Roman" w:hAnsi="Times New Roman" w:eastAsia="Times New Roman" w:cs="Times New Roman"/>
                <w:sz w:val="24"/>
                <w:szCs w:val="24"/>
                <w:lang w:eastAsia="lv-LV"/>
              </w:rPr>
              <w:t xml:space="preserve">nodrošinātu </w:t>
            </w:r>
            <w:r w:rsidR="009B6B48">
              <w:rPr>
                <w:rFonts w:ascii="Times New Roman" w:hAnsi="Times New Roman" w:eastAsia="Times New Roman" w:cs="Times New Roman"/>
                <w:sz w:val="24"/>
                <w:szCs w:val="24"/>
                <w:lang w:eastAsia="lv-LV"/>
              </w:rPr>
              <w:t>administratīvās atbildības piemērošanu</w:t>
            </w:r>
            <w:r w:rsidRPr="00281501" w:rsidR="00281501">
              <w:rPr>
                <w:rFonts w:ascii="Times New Roman" w:hAnsi="Times New Roman" w:eastAsia="Times New Roman" w:cs="Times New Roman"/>
                <w:sz w:val="24"/>
                <w:szCs w:val="24"/>
                <w:lang w:eastAsia="lv-LV"/>
              </w:rPr>
              <w:t xml:space="preserve"> par pārkāpumiem maksātnespējas jomā</w:t>
            </w:r>
            <w:r w:rsidR="00301A62">
              <w:rPr>
                <w:rFonts w:ascii="Times New Roman" w:hAnsi="Times New Roman" w:eastAsia="Times New Roman" w:cs="Times New Roman"/>
                <w:sz w:val="24"/>
                <w:szCs w:val="24"/>
                <w:lang w:eastAsia="lv-LV"/>
              </w:rPr>
              <w:t xml:space="preserve"> arī pēc 2020. gada 1. janvāra, kad stāsies spēkā Administratīvās atbildības likums</w:t>
            </w:r>
            <w:r w:rsidR="009B6B48">
              <w:rPr>
                <w:rFonts w:ascii="Times New Roman" w:hAnsi="Times New Roman" w:eastAsia="Times New Roman" w:cs="Times New Roman"/>
                <w:sz w:val="24"/>
                <w:szCs w:val="24"/>
                <w:lang w:eastAsia="lv-LV"/>
              </w:rPr>
              <w:t xml:space="preserve"> un spēku zaudēs Latvijas Administratīvo pārkāpumu </w:t>
            </w:r>
            <w:r w:rsidR="008A6477">
              <w:rPr>
                <w:rFonts w:ascii="Times New Roman" w:hAnsi="Times New Roman" w:eastAsia="Times New Roman" w:cs="Times New Roman"/>
                <w:sz w:val="24"/>
                <w:szCs w:val="24"/>
                <w:lang w:eastAsia="lv-LV"/>
              </w:rPr>
              <w:t>kodekss, kurā pašlaik paredzēta administratīvās atbildības piemērošan</w:t>
            </w:r>
            <w:r w:rsidR="00794FED">
              <w:rPr>
                <w:rFonts w:ascii="Times New Roman" w:hAnsi="Times New Roman" w:eastAsia="Times New Roman" w:cs="Times New Roman"/>
                <w:sz w:val="24"/>
                <w:szCs w:val="24"/>
                <w:lang w:eastAsia="lv-LV"/>
              </w:rPr>
              <w:t>a</w:t>
            </w:r>
            <w:r w:rsidRPr="00281501" w:rsidR="008A6477">
              <w:rPr>
                <w:rFonts w:ascii="Times New Roman" w:hAnsi="Times New Roman" w:eastAsia="Times New Roman" w:cs="Times New Roman"/>
                <w:sz w:val="24"/>
                <w:szCs w:val="24"/>
                <w:lang w:eastAsia="lv-LV"/>
              </w:rPr>
              <w:t xml:space="preserve"> par pārkāpumiem maksātnespējas jomā</w:t>
            </w:r>
            <w:r w:rsidR="00301A62">
              <w:rPr>
                <w:rFonts w:ascii="Times New Roman" w:hAnsi="Times New Roman" w:eastAsia="Times New Roman" w:cs="Times New Roman"/>
                <w:sz w:val="24"/>
                <w:szCs w:val="24"/>
                <w:lang w:eastAsia="lv-LV"/>
              </w:rPr>
              <w:t>.</w:t>
            </w:r>
          </w:p>
          <w:p w:rsidRPr="004F0DAB" w:rsidR="00555101" w:rsidP="00541D8C" w:rsidRDefault="004F0DAB" w14:paraId="7A80F7EA" w14:textId="44E6C739">
            <w:pPr>
              <w:spacing w:after="0" w:line="240" w:lineRule="auto"/>
              <w:jc w:val="both"/>
              <w:rPr>
                <w:rFonts w:ascii="Times New Roman" w:hAnsi="Times New Roman" w:cs="Times New Roman"/>
                <w:sz w:val="24"/>
                <w:szCs w:val="24"/>
              </w:rPr>
            </w:pPr>
            <w:r w:rsidRPr="007D78AD">
              <w:rPr>
                <w:rFonts w:ascii="Times New Roman" w:hAnsi="Times New Roman" w:cs="Times New Roman"/>
                <w:sz w:val="24"/>
                <w:szCs w:val="24"/>
              </w:rPr>
              <w:t>Likumprojekt</w:t>
            </w:r>
            <w:r w:rsidR="005D0E98">
              <w:rPr>
                <w:rFonts w:ascii="Times New Roman" w:hAnsi="Times New Roman" w:cs="Times New Roman"/>
                <w:sz w:val="24"/>
                <w:szCs w:val="24"/>
              </w:rPr>
              <w:t xml:space="preserve">s </w:t>
            </w:r>
            <w:r w:rsidR="008B7C2B">
              <w:rPr>
                <w:rFonts w:ascii="Times New Roman" w:hAnsi="Times New Roman" w:cs="Times New Roman"/>
                <w:sz w:val="24"/>
                <w:szCs w:val="24"/>
              </w:rPr>
              <w:t>stāsies</w:t>
            </w:r>
            <w:r w:rsidR="005D0E98">
              <w:rPr>
                <w:rFonts w:ascii="Times New Roman" w:hAnsi="Times New Roman" w:cs="Times New Roman"/>
                <w:sz w:val="24"/>
                <w:szCs w:val="24"/>
              </w:rPr>
              <w:t xml:space="preserve"> spēkā </w:t>
            </w:r>
            <w:r w:rsidR="00811575">
              <w:rPr>
                <w:rFonts w:ascii="Times New Roman" w:hAnsi="Times New Roman" w:cs="Times New Roman"/>
                <w:sz w:val="24"/>
                <w:szCs w:val="24"/>
              </w:rPr>
              <w:t>vienlaikus ar Administratīvās atbildības likumu.</w:t>
            </w:r>
          </w:p>
        </w:tc>
      </w:tr>
    </w:tbl>
    <w:p w:rsidR="00555101" w:rsidP="00B71DD6" w:rsidRDefault="00555101" w14:paraId="4AA5BCD9" w14:textId="77777777">
      <w:pPr>
        <w:spacing w:after="0" w:line="240" w:lineRule="auto"/>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19"/>
        <w:gridCol w:w="342"/>
        <w:gridCol w:w="1188"/>
        <w:gridCol w:w="898"/>
        <w:gridCol w:w="531"/>
        <w:gridCol w:w="459"/>
        <w:gridCol w:w="803"/>
        <w:gridCol w:w="1338"/>
        <w:gridCol w:w="803"/>
        <w:gridCol w:w="1340"/>
        <w:gridCol w:w="1334"/>
        <w:gridCol w:w="7"/>
      </w:tblGrid>
      <w:tr w:rsidR="00E20F89" w:rsidTr="003929C3" w14:paraId="52E81B66" w14:textId="77777777">
        <w:trPr>
          <w:gridAfter w:val="1"/>
          <w:wAfter w:w="4" w:type="pct"/>
          <w:trHeight w:val="405"/>
        </w:trPr>
        <w:tc>
          <w:tcPr>
            <w:tcW w:w="4996" w:type="pct"/>
            <w:gridSpan w:val="11"/>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E20F89" w14:paraId="715487BC" w14:textId="77777777">
            <w:pPr>
              <w:spacing w:after="0" w:line="240" w:lineRule="auto"/>
              <w:ind w:firstLine="300"/>
              <w:jc w:val="center"/>
              <w:rPr>
                <w:rFonts w:ascii="Times New Roman" w:hAnsi="Times New Roman" w:eastAsia="Times New Roman" w:cs="Times New Roman"/>
                <w:b/>
                <w:bCs/>
                <w:sz w:val="24"/>
                <w:szCs w:val="24"/>
                <w:lang w:eastAsia="lv-LV"/>
              </w:rPr>
            </w:pPr>
            <w:r w:rsidRPr="00E20F89">
              <w:rPr>
                <w:rFonts w:ascii="Times New Roman" w:hAnsi="Times New Roman" w:eastAsia="Times New Roman" w:cs="Times New Roman"/>
                <w:b/>
                <w:bCs/>
                <w:sz w:val="24"/>
                <w:szCs w:val="24"/>
                <w:lang w:eastAsia="lv-LV"/>
              </w:rPr>
              <w:t>I. Tiesību akta projekta izstrādes nepieciešamība</w:t>
            </w:r>
          </w:p>
        </w:tc>
      </w:tr>
      <w:tr w:rsidR="00E20F89" w:rsidTr="003929C3" w14:paraId="38A2A2D3" w14:textId="77777777">
        <w:trPr>
          <w:gridAfter w:val="1"/>
          <w:wAfter w:w="4" w:type="pct"/>
          <w:trHeight w:val="405"/>
        </w:trPr>
        <w:tc>
          <w:tcPr>
            <w:tcW w:w="200" w:type="pct"/>
            <w:gridSpan w:val="2"/>
            <w:tcBorders>
              <w:top w:val="outset" w:color="414142" w:sz="6" w:space="0"/>
              <w:left w:val="outset" w:color="414142" w:sz="6" w:space="0"/>
              <w:bottom w:val="outset" w:color="414142" w:sz="6" w:space="0"/>
              <w:right w:val="outset" w:color="414142" w:sz="6" w:space="0"/>
            </w:tcBorders>
            <w:hideMark/>
          </w:tcPr>
          <w:p w:rsidR="00E20F89" w:rsidP="00B71DD6" w:rsidRDefault="00E20F89" w14:paraId="2D700BA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1442" w:type="pct"/>
            <w:gridSpan w:val="3"/>
            <w:tcBorders>
              <w:top w:val="outset" w:color="414142" w:sz="6" w:space="0"/>
              <w:left w:val="outset" w:color="414142" w:sz="6" w:space="0"/>
              <w:bottom w:val="outset" w:color="414142" w:sz="6" w:space="0"/>
              <w:right w:val="outset" w:color="414142" w:sz="6" w:space="0"/>
            </w:tcBorders>
            <w:hideMark/>
          </w:tcPr>
          <w:p w:rsidR="00E20F89" w:rsidP="00B71DD6" w:rsidRDefault="00E20F89" w14:paraId="3E7C836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Pamatojums</w:t>
            </w:r>
          </w:p>
        </w:tc>
        <w:tc>
          <w:tcPr>
            <w:tcW w:w="3355" w:type="pct"/>
            <w:gridSpan w:val="6"/>
            <w:tcBorders>
              <w:top w:val="outset" w:color="414142" w:sz="6" w:space="0"/>
              <w:left w:val="outset" w:color="414142" w:sz="6" w:space="0"/>
              <w:bottom w:val="outset" w:color="414142" w:sz="6" w:space="0"/>
              <w:right w:val="outset" w:color="414142" w:sz="6" w:space="0"/>
            </w:tcBorders>
            <w:hideMark/>
          </w:tcPr>
          <w:p w:rsidRPr="004F0DAB" w:rsidR="00E20F89" w:rsidP="00B71DD6" w:rsidRDefault="007D677D" w14:paraId="49C8D510" w14:textId="1A2A74B9">
            <w:pPr>
              <w:pStyle w:val="FootnoteText"/>
              <w:jc w:val="both"/>
              <w:rPr>
                <w:rFonts w:ascii="Times New Roman" w:hAnsi="Times New Roman" w:cs="Times New Roman"/>
                <w:sz w:val="24"/>
                <w:szCs w:val="24"/>
              </w:rPr>
            </w:pPr>
            <w:r w:rsidRPr="007D677D">
              <w:rPr>
                <w:rFonts w:ascii="Times New Roman" w:hAnsi="Times New Roman" w:cs="Times New Roman"/>
                <w:sz w:val="24"/>
                <w:szCs w:val="24"/>
              </w:rPr>
              <w:t xml:space="preserve">Saskaņā ar Ministru kabineta 2013. gada 4. februāra rīkojumu Nr. 38 </w:t>
            </w:r>
            <w:r w:rsidR="00850274">
              <w:rPr>
                <w:rFonts w:ascii="Times New Roman" w:hAnsi="Times New Roman" w:cs="Times New Roman"/>
                <w:sz w:val="24"/>
                <w:szCs w:val="24"/>
              </w:rPr>
              <w:t>"</w:t>
            </w:r>
            <w:r w:rsidRPr="007D677D">
              <w:rPr>
                <w:rFonts w:ascii="Times New Roman" w:hAnsi="Times New Roman" w:cs="Times New Roman"/>
                <w:sz w:val="24"/>
                <w:szCs w:val="24"/>
              </w:rPr>
              <w:t>Par Administratīvo sodu sistēmas attīstības koncepciju</w:t>
            </w:r>
            <w:r w:rsidR="00850274">
              <w:rPr>
                <w:rFonts w:ascii="Times New Roman" w:hAnsi="Times New Roman" w:cs="Times New Roman"/>
                <w:sz w:val="24"/>
                <w:szCs w:val="24"/>
              </w:rPr>
              <w:t>"</w:t>
            </w:r>
            <w:r w:rsidRPr="007D677D">
              <w:rPr>
                <w:rFonts w:ascii="Times New Roman" w:hAnsi="Times New Roman" w:cs="Times New Roman"/>
                <w:sz w:val="24"/>
                <w:szCs w:val="24"/>
              </w:rPr>
              <w:t xml:space="preserve"> tika atbalstīti Administratīvo sodu sistēmas attīstības koncepcijas kopsavilkumā ietvertie risinājumi, tai skaitā, paredzot nozaru kodifikāciju. Likumprojekts </w:t>
            </w:r>
            <w:r w:rsidR="00850274">
              <w:rPr>
                <w:rFonts w:ascii="Times New Roman" w:hAnsi="Times New Roman" w:cs="Times New Roman"/>
                <w:sz w:val="24"/>
                <w:szCs w:val="24"/>
              </w:rPr>
              <w:t>"</w:t>
            </w:r>
            <w:r w:rsidRPr="007D677D">
              <w:rPr>
                <w:rFonts w:ascii="Times New Roman" w:hAnsi="Times New Roman" w:cs="Times New Roman"/>
                <w:sz w:val="24"/>
                <w:szCs w:val="24"/>
              </w:rPr>
              <w:t xml:space="preserve">Grozījumi </w:t>
            </w:r>
            <w:r>
              <w:rPr>
                <w:rFonts w:ascii="Times New Roman" w:hAnsi="Times New Roman" w:cs="Times New Roman"/>
                <w:sz w:val="24"/>
                <w:szCs w:val="24"/>
              </w:rPr>
              <w:t>Maksātnespējas likumā</w:t>
            </w:r>
            <w:r w:rsidR="00850274">
              <w:rPr>
                <w:rFonts w:ascii="Times New Roman" w:hAnsi="Times New Roman" w:cs="Times New Roman"/>
                <w:sz w:val="24"/>
                <w:szCs w:val="24"/>
              </w:rPr>
              <w:t>"</w:t>
            </w:r>
            <w:r w:rsidRPr="007D677D">
              <w:rPr>
                <w:rFonts w:ascii="Times New Roman" w:hAnsi="Times New Roman" w:cs="Times New Roman"/>
                <w:sz w:val="24"/>
                <w:szCs w:val="24"/>
              </w:rPr>
              <w:t xml:space="preserve"> (turpmāk</w:t>
            </w:r>
            <w:r>
              <w:rPr>
                <w:rFonts w:ascii="Times New Roman" w:hAnsi="Times New Roman" w:cs="Times New Roman"/>
                <w:sz w:val="24"/>
                <w:szCs w:val="24"/>
              </w:rPr>
              <w:t> –</w:t>
            </w:r>
            <w:r w:rsidRPr="007D677D">
              <w:rPr>
                <w:rFonts w:ascii="Times New Roman" w:hAnsi="Times New Roman" w:cs="Times New Roman"/>
                <w:sz w:val="24"/>
                <w:szCs w:val="24"/>
              </w:rPr>
              <w:t xml:space="preserve"> </w:t>
            </w:r>
            <w:r w:rsidR="005F51E6">
              <w:rPr>
                <w:rFonts w:ascii="Times New Roman" w:hAnsi="Times New Roman" w:cs="Times New Roman"/>
                <w:sz w:val="24"/>
                <w:szCs w:val="24"/>
              </w:rPr>
              <w:t>l</w:t>
            </w:r>
            <w:r w:rsidRPr="007D677D">
              <w:rPr>
                <w:rFonts w:ascii="Times New Roman" w:hAnsi="Times New Roman" w:cs="Times New Roman"/>
                <w:sz w:val="24"/>
                <w:szCs w:val="24"/>
              </w:rPr>
              <w:t xml:space="preserve">ikumprojekts) ir izstrādāts atbilstoši Ministru kabineta 2014. gada 22. aprīļa sēdes protokola Nr. 24 26. § </w:t>
            </w:r>
            <w:r w:rsidR="00850274">
              <w:rPr>
                <w:rFonts w:ascii="Times New Roman" w:hAnsi="Times New Roman" w:cs="Times New Roman"/>
                <w:sz w:val="24"/>
                <w:szCs w:val="24"/>
              </w:rPr>
              <w:t>"</w:t>
            </w:r>
            <w:r w:rsidRPr="007D677D">
              <w:rPr>
                <w:rFonts w:ascii="Times New Roman" w:hAnsi="Times New Roman" w:cs="Times New Roman"/>
                <w:sz w:val="24"/>
                <w:szCs w:val="24"/>
              </w:rPr>
              <w:t xml:space="preserve">Informatīvais ziņojums </w:t>
            </w:r>
            <w:r w:rsidR="00850274">
              <w:rPr>
                <w:rFonts w:ascii="Times New Roman" w:hAnsi="Times New Roman" w:cs="Times New Roman"/>
                <w:sz w:val="24"/>
                <w:szCs w:val="24"/>
              </w:rPr>
              <w:t>"</w:t>
            </w:r>
            <w:r w:rsidRPr="007D677D">
              <w:rPr>
                <w:rFonts w:ascii="Times New Roman" w:hAnsi="Times New Roman" w:cs="Times New Roman"/>
                <w:sz w:val="24"/>
                <w:szCs w:val="24"/>
              </w:rPr>
              <w:t>Nozaru administratīvo pārkāpumu kodifikācijas ieviešanas sistēma</w:t>
            </w:r>
            <w:r w:rsidR="00850274">
              <w:rPr>
                <w:rFonts w:ascii="Times New Roman" w:hAnsi="Times New Roman" w:cs="Times New Roman"/>
                <w:sz w:val="24"/>
                <w:szCs w:val="24"/>
              </w:rPr>
              <w:t>""</w:t>
            </w:r>
            <w:r w:rsidRPr="007D677D">
              <w:rPr>
                <w:rFonts w:ascii="Times New Roman" w:hAnsi="Times New Roman" w:cs="Times New Roman"/>
                <w:sz w:val="24"/>
                <w:szCs w:val="24"/>
              </w:rPr>
              <w:t xml:space="preserve"> 2.1. apakšpunktā noteiktajam uzdevumam izstrādāt attiecīgās nozares likumprojektus, kurā iekļaut visus šajā nozarē saglabājamos administratīvos pārkāpumus un noteikt kompetento iestādi, kurai piekritīga soda piemērošana.</w:t>
            </w:r>
          </w:p>
        </w:tc>
      </w:tr>
      <w:tr w:rsidR="004F0DAB" w:rsidTr="003929C3" w14:paraId="1C550DD1" w14:textId="77777777">
        <w:trPr>
          <w:gridAfter w:val="1"/>
          <w:wAfter w:w="4" w:type="pct"/>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004F0DAB" w:rsidP="00B71DD6" w:rsidRDefault="004F0DAB" w14:paraId="524D549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1442" w:type="pct"/>
            <w:gridSpan w:val="3"/>
            <w:tcBorders>
              <w:top w:val="outset" w:color="414142" w:sz="6" w:space="0"/>
              <w:left w:val="outset" w:color="414142" w:sz="6" w:space="0"/>
              <w:bottom w:val="outset" w:color="414142" w:sz="6" w:space="0"/>
              <w:right w:val="outset" w:color="414142" w:sz="6" w:space="0"/>
            </w:tcBorders>
            <w:hideMark/>
          </w:tcPr>
          <w:p w:rsidR="004F0DAB" w:rsidP="00B71DD6" w:rsidRDefault="004F0DAB" w14:paraId="42583B76"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B4B7A" w:rsidR="000B4B7A" w:rsidP="006D7E84" w:rsidRDefault="000B4B7A" w14:paraId="3EF6B8E6" w14:textId="77777777">
            <w:pPr>
              <w:rPr>
                <w:rFonts w:ascii="Times New Roman" w:hAnsi="Times New Roman" w:eastAsia="Times New Roman" w:cs="Times New Roman"/>
                <w:sz w:val="24"/>
                <w:szCs w:val="24"/>
                <w:lang w:eastAsia="lv-LV"/>
              </w:rPr>
            </w:pPr>
          </w:p>
          <w:p w:rsidRPr="000B4B7A" w:rsidR="000B4B7A" w:rsidP="006D7E84" w:rsidRDefault="000B4B7A" w14:paraId="5D8AC8C0" w14:textId="77777777">
            <w:pPr>
              <w:rPr>
                <w:rFonts w:ascii="Times New Roman" w:hAnsi="Times New Roman" w:eastAsia="Times New Roman" w:cs="Times New Roman"/>
                <w:sz w:val="24"/>
                <w:szCs w:val="24"/>
                <w:lang w:eastAsia="lv-LV"/>
              </w:rPr>
            </w:pPr>
          </w:p>
          <w:p w:rsidRPr="006D7E84" w:rsidR="000B4B7A" w:rsidP="006D7E84" w:rsidRDefault="000B4B7A" w14:paraId="4AEAAA71" w14:textId="77777777">
            <w:pPr>
              <w:rPr>
                <w:rFonts w:ascii="Times New Roman" w:hAnsi="Times New Roman" w:eastAsia="Times New Roman" w:cs="Times New Roman"/>
                <w:sz w:val="24"/>
                <w:szCs w:val="24"/>
                <w:lang w:eastAsia="lv-LV"/>
              </w:rPr>
            </w:pPr>
          </w:p>
          <w:p w:rsidRPr="006D7E84" w:rsidR="000B4B7A" w:rsidP="006D7E84" w:rsidRDefault="000B4B7A" w14:paraId="4BA559A4" w14:textId="77777777">
            <w:pPr>
              <w:rPr>
                <w:rFonts w:ascii="Times New Roman" w:hAnsi="Times New Roman" w:eastAsia="Times New Roman" w:cs="Times New Roman"/>
                <w:sz w:val="24"/>
                <w:szCs w:val="24"/>
                <w:lang w:eastAsia="lv-LV"/>
              </w:rPr>
            </w:pPr>
          </w:p>
          <w:p w:rsidRPr="006D7E84" w:rsidR="000B4B7A" w:rsidP="006D7E84" w:rsidRDefault="000B4B7A" w14:paraId="66905BD7" w14:textId="77777777">
            <w:pPr>
              <w:rPr>
                <w:rFonts w:ascii="Times New Roman" w:hAnsi="Times New Roman" w:eastAsia="Times New Roman" w:cs="Times New Roman"/>
                <w:sz w:val="24"/>
                <w:szCs w:val="24"/>
                <w:lang w:eastAsia="lv-LV"/>
              </w:rPr>
            </w:pPr>
          </w:p>
          <w:p w:rsidRPr="006D7E84" w:rsidR="000B4B7A" w:rsidP="006D7E84" w:rsidRDefault="000B4B7A" w14:paraId="2D51766B" w14:textId="77777777">
            <w:pPr>
              <w:rPr>
                <w:rFonts w:ascii="Times New Roman" w:hAnsi="Times New Roman" w:eastAsia="Times New Roman" w:cs="Times New Roman"/>
                <w:sz w:val="24"/>
                <w:szCs w:val="24"/>
                <w:lang w:eastAsia="lv-LV"/>
              </w:rPr>
            </w:pPr>
          </w:p>
          <w:p w:rsidR="000B4B7A" w:rsidP="000B4B7A" w:rsidRDefault="000B4B7A" w14:paraId="01D87133" w14:textId="1DFE4BA1">
            <w:pPr>
              <w:rPr>
                <w:rFonts w:ascii="Times New Roman" w:hAnsi="Times New Roman" w:eastAsia="Times New Roman" w:cs="Times New Roman"/>
                <w:sz w:val="24"/>
                <w:szCs w:val="24"/>
                <w:lang w:eastAsia="lv-LV"/>
              </w:rPr>
            </w:pPr>
          </w:p>
          <w:p w:rsidRPr="007F0ABC" w:rsidR="007F0ABC" w:rsidP="007F0ABC" w:rsidRDefault="007F0ABC" w14:paraId="3FA80FAB" w14:textId="77777777">
            <w:pPr>
              <w:rPr>
                <w:rFonts w:ascii="Times New Roman" w:hAnsi="Times New Roman" w:eastAsia="Times New Roman" w:cs="Times New Roman"/>
                <w:sz w:val="24"/>
                <w:szCs w:val="24"/>
                <w:lang w:eastAsia="lv-LV"/>
              </w:rPr>
            </w:pPr>
          </w:p>
          <w:p w:rsidRPr="007F0ABC" w:rsidR="007F0ABC" w:rsidRDefault="007F0ABC" w14:paraId="5A9B970A" w14:textId="77777777">
            <w:pPr>
              <w:rPr>
                <w:rFonts w:ascii="Times New Roman" w:hAnsi="Times New Roman" w:eastAsia="Times New Roman" w:cs="Times New Roman"/>
                <w:sz w:val="24"/>
                <w:szCs w:val="24"/>
                <w:lang w:eastAsia="lv-LV"/>
              </w:rPr>
            </w:pPr>
          </w:p>
          <w:p w:rsidRPr="007F0ABC" w:rsidR="007F0ABC" w:rsidRDefault="007F0ABC" w14:paraId="7EFCFB38" w14:textId="77777777">
            <w:pPr>
              <w:rPr>
                <w:rFonts w:ascii="Times New Roman" w:hAnsi="Times New Roman" w:eastAsia="Times New Roman" w:cs="Times New Roman"/>
                <w:sz w:val="24"/>
                <w:szCs w:val="24"/>
                <w:lang w:eastAsia="lv-LV"/>
              </w:rPr>
            </w:pPr>
          </w:p>
          <w:p w:rsidRPr="007F0ABC" w:rsidR="007F0ABC" w:rsidRDefault="007F0ABC" w14:paraId="4799721B" w14:textId="77777777">
            <w:pPr>
              <w:rPr>
                <w:rFonts w:ascii="Times New Roman" w:hAnsi="Times New Roman" w:eastAsia="Times New Roman" w:cs="Times New Roman"/>
                <w:sz w:val="24"/>
                <w:szCs w:val="24"/>
                <w:lang w:eastAsia="lv-LV"/>
              </w:rPr>
            </w:pPr>
          </w:p>
          <w:p w:rsidRPr="007F0ABC" w:rsidR="007F0ABC" w:rsidRDefault="007F0ABC" w14:paraId="1EFD3D1D" w14:textId="77777777">
            <w:pPr>
              <w:rPr>
                <w:rFonts w:ascii="Times New Roman" w:hAnsi="Times New Roman" w:eastAsia="Times New Roman" w:cs="Times New Roman"/>
                <w:sz w:val="24"/>
                <w:szCs w:val="24"/>
                <w:lang w:eastAsia="lv-LV"/>
              </w:rPr>
            </w:pPr>
          </w:p>
          <w:p w:rsidRPr="007F0ABC" w:rsidR="007F0ABC" w:rsidRDefault="007F0ABC" w14:paraId="2F66263A" w14:textId="77777777">
            <w:pPr>
              <w:rPr>
                <w:rFonts w:ascii="Times New Roman" w:hAnsi="Times New Roman" w:eastAsia="Times New Roman" w:cs="Times New Roman"/>
                <w:sz w:val="24"/>
                <w:szCs w:val="24"/>
                <w:lang w:eastAsia="lv-LV"/>
              </w:rPr>
            </w:pPr>
          </w:p>
          <w:p w:rsidRPr="007F0ABC" w:rsidR="007F0ABC" w:rsidRDefault="007F0ABC" w14:paraId="622986B8" w14:textId="77777777">
            <w:pPr>
              <w:rPr>
                <w:rFonts w:ascii="Times New Roman" w:hAnsi="Times New Roman" w:eastAsia="Times New Roman" w:cs="Times New Roman"/>
                <w:sz w:val="24"/>
                <w:szCs w:val="24"/>
                <w:lang w:eastAsia="lv-LV"/>
              </w:rPr>
            </w:pPr>
          </w:p>
          <w:p w:rsidRPr="007F0ABC" w:rsidR="007F0ABC" w:rsidRDefault="007F0ABC" w14:paraId="2BEC39E5" w14:textId="77777777">
            <w:pPr>
              <w:rPr>
                <w:rFonts w:ascii="Times New Roman" w:hAnsi="Times New Roman" w:eastAsia="Times New Roman" w:cs="Times New Roman"/>
                <w:sz w:val="24"/>
                <w:szCs w:val="24"/>
                <w:lang w:eastAsia="lv-LV"/>
              </w:rPr>
            </w:pPr>
          </w:p>
          <w:p w:rsidRPr="007F0ABC" w:rsidR="007F0ABC" w:rsidRDefault="007F0ABC" w14:paraId="17D02806" w14:textId="77777777">
            <w:pPr>
              <w:rPr>
                <w:rFonts w:ascii="Times New Roman" w:hAnsi="Times New Roman" w:eastAsia="Times New Roman" w:cs="Times New Roman"/>
                <w:sz w:val="24"/>
                <w:szCs w:val="24"/>
                <w:lang w:eastAsia="lv-LV"/>
              </w:rPr>
            </w:pPr>
          </w:p>
          <w:p w:rsidRPr="007F0ABC" w:rsidR="007F0ABC" w:rsidRDefault="007F0ABC" w14:paraId="416CD38B" w14:textId="77777777">
            <w:pPr>
              <w:rPr>
                <w:rFonts w:ascii="Times New Roman" w:hAnsi="Times New Roman" w:eastAsia="Times New Roman" w:cs="Times New Roman"/>
                <w:sz w:val="24"/>
                <w:szCs w:val="24"/>
                <w:lang w:eastAsia="lv-LV"/>
              </w:rPr>
            </w:pPr>
          </w:p>
          <w:p w:rsidRPr="007F0ABC" w:rsidR="007F0ABC" w:rsidRDefault="007F0ABC" w14:paraId="445254C0" w14:textId="77777777">
            <w:pPr>
              <w:rPr>
                <w:rFonts w:ascii="Times New Roman" w:hAnsi="Times New Roman" w:eastAsia="Times New Roman" w:cs="Times New Roman"/>
                <w:sz w:val="24"/>
                <w:szCs w:val="24"/>
                <w:lang w:eastAsia="lv-LV"/>
              </w:rPr>
            </w:pPr>
          </w:p>
          <w:p w:rsidRPr="007F0ABC" w:rsidR="007F0ABC" w:rsidRDefault="007F0ABC" w14:paraId="10D88FFB" w14:textId="77777777">
            <w:pPr>
              <w:rPr>
                <w:rFonts w:ascii="Times New Roman" w:hAnsi="Times New Roman" w:eastAsia="Times New Roman" w:cs="Times New Roman"/>
                <w:sz w:val="24"/>
                <w:szCs w:val="24"/>
                <w:lang w:eastAsia="lv-LV"/>
              </w:rPr>
            </w:pPr>
          </w:p>
          <w:p w:rsidRPr="00850274" w:rsidR="00850274" w:rsidP="00850274" w:rsidRDefault="00850274" w14:paraId="1F65F600" w14:textId="77777777">
            <w:pPr>
              <w:rPr>
                <w:rFonts w:ascii="Times New Roman" w:hAnsi="Times New Roman" w:eastAsia="Times New Roman" w:cs="Times New Roman"/>
                <w:sz w:val="24"/>
                <w:szCs w:val="24"/>
                <w:lang w:eastAsia="lv-LV"/>
              </w:rPr>
            </w:pPr>
          </w:p>
          <w:p w:rsidRPr="00850274" w:rsidR="00850274" w:rsidP="00850274" w:rsidRDefault="00850274" w14:paraId="0A47D8F6" w14:textId="77777777">
            <w:pPr>
              <w:rPr>
                <w:rFonts w:ascii="Times New Roman" w:hAnsi="Times New Roman" w:eastAsia="Times New Roman" w:cs="Times New Roman"/>
                <w:sz w:val="24"/>
                <w:szCs w:val="24"/>
                <w:lang w:eastAsia="lv-LV"/>
              </w:rPr>
            </w:pPr>
          </w:p>
          <w:p w:rsidRPr="00850274" w:rsidR="00850274" w:rsidP="00850274" w:rsidRDefault="00850274" w14:paraId="74514CFB" w14:textId="77777777">
            <w:pPr>
              <w:rPr>
                <w:rFonts w:ascii="Times New Roman" w:hAnsi="Times New Roman" w:eastAsia="Times New Roman" w:cs="Times New Roman"/>
                <w:sz w:val="24"/>
                <w:szCs w:val="24"/>
                <w:lang w:eastAsia="lv-LV"/>
              </w:rPr>
            </w:pPr>
          </w:p>
          <w:p w:rsidRPr="00850274" w:rsidR="00850274" w:rsidP="00850274" w:rsidRDefault="00850274" w14:paraId="18053FAD" w14:textId="77777777">
            <w:pPr>
              <w:rPr>
                <w:rFonts w:ascii="Times New Roman" w:hAnsi="Times New Roman" w:eastAsia="Times New Roman" w:cs="Times New Roman"/>
                <w:sz w:val="24"/>
                <w:szCs w:val="24"/>
                <w:lang w:eastAsia="lv-LV"/>
              </w:rPr>
            </w:pPr>
          </w:p>
          <w:p w:rsidRPr="00850274" w:rsidR="00850274" w:rsidP="00850274" w:rsidRDefault="00850274" w14:paraId="7AAB8C94" w14:textId="77777777">
            <w:pPr>
              <w:rPr>
                <w:rFonts w:ascii="Times New Roman" w:hAnsi="Times New Roman" w:eastAsia="Times New Roman" w:cs="Times New Roman"/>
                <w:sz w:val="24"/>
                <w:szCs w:val="24"/>
                <w:lang w:eastAsia="lv-LV"/>
              </w:rPr>
            </w:pPr>
          </w:p>
          <w:p w:rsidRPr="00850274" w:rsidR="00850274" w:rsidP="00850274" w:rsidRDefault="00850274" w14:paraId="48114DC1" w14:textId="77777777">
            <w:pPr>
              <w:rPr>
                <w:rFonts w:ascii="Times New Roman" w:hAnsi="Times New Roman" w:eastAsia="Times New Roman" w:cs="Times New Roman"/>
                <w:sz w:val="24"/>
                <w:szCs w:val="24"/>
                <w:lang w:eastAsia="lv-LV"/>
              </w:rPr>
            </w:pPr>
          </w:p>
          <w:p w:rsidRPr="00850274" w:rsidR="00850274" w:rsidP="00850274" w:rsidRDefault="00850274" w14:paraId="1DD200B2" w14:textId="77777777">
            <w:pPr>
              <w:rPr>
                <w:rFonts w:ascii="Times New Roman" w:hAnsi="Times New Roman" w:eastAsia="Times New Roman" w:cs="Times New Roman"/>
                <w:sz w:val="24"/>
                <w:szCs w:val="24"/>
                <w:lang w:eastAsia="lv-LV"/>
              </w:rPr>
            </w:pPr>
          </w:p>
          <w:p w:rsidRPr="00850274" w:rsidR="00850274" w:rsidP="00850274" w:rsidRDefault="00850274" w14:paraId="5F573BC8" w14:textId="77777777">
            <w:pPr>
              <w:rPr>
                <w:rFonts w:ascii="Times New Roman" w:hAnsi="Times New Roman" w:eastAsia="Times New Roman" w:cs="Times New Roman"/>
                <w:sz w:val="24"/>
                <w:szCs w:val="24"/>
                <w:lang w:eastAsia="lv-LV"/>
              </w:rPr>
            </w:pPr>
          </w:p>
          <w:p w:rsidRPr="00850274" w:rsidR="00850274" w:rsidP="00850274" w:rsidRDefault="00850274" w14:paraId="7F2EBF49" w14:textId="77777777">
            <w:pPr>
              <w:rPr>
                <w:rFonts w:ascii="Times New Roman" w:hAnsi="Times New Roman" w:eastAsia="Times New Roman" w:cs="Times New Roman"/>
                <w:sz w:val="24"/>
                <w:szCs w:val="24"/>
                <w:lang w:eastAsia="lv-LV"/>
              </w:rPr>
            </w:pPr>
          </w:p>
          <w:p w:rsidRPr="00850274" w:rsidR="00850274" w:rsidP="00850274" w:rsidRDefault="00850274" w14:paraId="3D983397" w14:textId="77777777">
            <w:pPr>
              <w:rPr>
                <w:rFonts w:ascii="Times New Roman" w:hAnsi="Times New Roman" w:eastAsia="Times New Roman" w:cs="Times New Roman"/>
                <w:sz w:val="24"/>
                <w:szCs w:val="24"/>
                <w:lang w:eastAsia="lv-LV"/>
              </w:rPr>
            </w:pPr>
          </w:p>
          <w:p w:rsidRPr="00850274" w:rsidR="00850274" w:rsidP="00850274" w:rsidRDefault="00850274" w14:paraId="60EB88AF" w14:textId="77777777">
            <w:pPr>
              <w:rPr>
                <w:rFonts w:ascii="Times New Roman" w:hAnsi="Times New Roman" w:eastAsia="Times New Roman" w:cs="Times New Roman"/>
                <w:sz w:val="24"/>
                <w:szCs w:val="24"/>
                <w:lang w:eastAsia="lv-LV"/>
              </w:rPr>
            </w:pPr>
          </w:p>
          <w:p w:rsidRPr="00850274" w:rsidR="00850274" w:rsidP="00850274" w:rsidRDefault="00850274" w14:paraId="3D67D965" w14:textId="77777777">
            <w:pPr>
              <w:rPr>
                <w:rFonts w:ascii="Times New Roman" w:hAnsi="Times New Roman" w:eastAsia="Times New Roman" w:cs="Times New Roman"/>
                <w:sz w:val="24"/>
                <w:szCs w:val="24"/>
                <w:lang w:eastAsia="lv-LV"/>
              </w:rPr>
            </w:pPr>
          </w:p>
          <w:p w:rsidRPr="00D955E6" w:rsidR="00D955E6" w:rsidP="00D955E6" w:rsidRDefault="00D955E6" w14:paraId="480B5A6E" w14:textId="77777777">
            <w:pPr>
              <w:rPr>
                <w:rFonts w:ascii="Times New Roman" w:hAnsi="Times New Roman" w:eastAsia="Times New Roman" w:cs="Times New Roman"/>
                <w:sz w:val="24"/>
                <w:szCs w:val="24"/>
                <w:lang w:eastAsia="lv-LV"/>
              </w:rPr>
            </w:pPr>
          </w:p>
          <w:p w:rsidRPr="00D955E6" w:rsidR="00D955E6" w:rsidP="00D955E6" w:rsidRDefault="00D955E6" w14:paraId="47262619" w14:textId="77777777">
            <w:pPr>
              <w:rPr>
                <w:rFonts w:ascii="Times New Roman" w:hAnsi="Times New Roman" w:eastAsia="Times New Roman" w:cs="Times New Roman"/>
                <w:sz w:val="24"/>
                <w:szCs w:val="24"/>
                <w:lang w:eastAsia="lv-LV"/>
              </w:rPr>
            </w:pPr>
          </w:p>
          <w:p w:rsidRPr="00D955E6" w:rsidR="00D955E6" w:rsidP="00D955E6" w:rsidRDefault="00D955E6" w14:paraId="79AA6337" w14:textId="77777777">
            <w:pPr>
              <w:rPr>
                <w:rFonts w:ascii="Times New Roman" w:hAnsi="Times New Roman" w:eastAsia="Times New Roman" w:cs="Times New Roman"/>
                <w:sz w:val="24"/>
                <w:szCs w:val="24"/>
                <w:lang w:eastAsia="lv-LV"/>
              </w:rPr>
            </w:pPr>
          </w:p>
          <w:p w:rsidRPr="00D955E6" w:rsidR="00D955E6" w:rsidP="00D955E6" w:rsidRDefault="00D955E6" w14:paraId="65EDB9CB" w14:textId="77777777">
            <w:pPr>
              <w:rPr>
                <w:rFonts w:ascii="Times New Roman" w:hAnsi="Times New Roman" w:eastAsia="Times New Roman" w:cs="Times New Roman"/>
                <w:sz w:val="24"/>
                <w:szCs w:val="24"/>
                <w:lang w:eastAsia="lv-LV"/>
              </w:rPr>
            </w:pPr>
          </w:p>
          <w:p w:rsidRPr="00D955E6" w:rsidR="00D955E6" w:rsidP="00D955E6" w:rsidRDefault="00D955E6" w14:paraId="7AC8B2E6" w14:textId="77777777">
            <w:pPr>
              <w:rPr>
                <w:rFonts w:ascii="Times New Roman" w:hAnsi="Times New Roman" w:eastAsia="Times New Roman" w:cs="Times New Roman"/>
                <w:sz w:val="24"/>
                <w:szCs w:val="24"/>
                <w:lang w:eastAsia="lv-LV"/>
              </w:rPr>
            </w:pPr>
          </w:p>
          <w:p w:rsidRPr="00D955E6" w:rsidR="00D955E6" w:rsidP="00D955E6" w:rsidRDefault="00D955E6" w14:paraId="6A2A88AE" w14:textId="77777777">
            <w:pPr>
              <w:rPr>
                <w:rFonts w:ascii="Times New Roman" w:hAnsi="Times New Roman" w:eastAsia="Times New Roman" w:cs="Times New Roman"/>
                <w:sz w:val="24"/>
                <w:szCs w:val="24"/>
                <w:lang w:eastAsia="lv-LV"/>
              </w:rPr>
            </w:pPr>
          </w:p>
          <w:p w:rsidRPr="00D955E6" w:rsidR="00D955E6" w:rsidP="00D955E6" w:rsidRDefault="00D955E6" w14:paraId="799497FF" w14:textId="77777777">
            <w:pPr>
              <w:rPr>
                <w:rFonts w:ascii="Times New Roman" w:hAnsi="Times New Roman" w:eastAsia="Times New Roman" w:cs="Times New Roman"/>
                <w:sz w:val="24"/>
                <w:szCs w:val="24"/>
                <w:lang w:eastAsia="lv-LV"/>
              </w:rPr>
            </w:pPr>
          </w:p>
          <w:p w:rsidRPr="00D955E6" w:rsidR="00D955E6" w:rsidP="00D955E6" w:rsidRDefault="00D955E6" w14:paraId="74C6B31E" w14:textId="77777777">
            <w:pPr>
              <w:rPr>
                <w:rFonts w:ascii="Times New Roman" w:hAnsi="Times New Roman" w:eastAsia="Times New Roman" w:cs="Times New Roman"/>
                <w:sz w:val="24"/>
                <w:szCs w:val="24"/>
                <w:lang w:eastAsia="lv-LV"/>
              </w:rPr>
            </w:pPr>
          </w:p>
          <w:p w:rsidRPr="00D955E6" w:rsidR="00D955E6" w:rsidP="00D955E6" w:rsidRDefault="00D955E6" w14:paraId="777FAD14" w14:textId="77777777">
            <w:pPr>
              <w:rPr>
                <w:rFonts w:ascii="Times New Roman" w:hAnsi="Times New Roman" w:eastAsia="Times New Roman" w:cs="Times New Roman"/>
                <w:sz w:val="24"/>
                <w:szCs w:val="24"/>
                <w:lang w:eastAsia="lv-LV"/>
              </w:rPr>
            </w:pPr>
          </w:p>
          <w:p w:rsidRPr="00D955E6" w:rsidR="00D955E6" w:rsidP="00D955E6" w:rsidRDefault="00D955E6" w14:paraId="2E921E24" w14:textId="77777777">
            <w:pPr>
              <w:rPr>
                <w:rFonts w:ascii="Times New Roman" w:hAnsi="Times New Roman" w:eastAsia="Times New Roman" w:cs="Times New Roman"/>
                <w:sz w:val="24"/>
                <w:szCs w:val="24"/>
                <w:lang w:eastAsia="lv-LV"/>
              </w:rPr>
            </w:pPr>
          </w:p>
          <w:p w:rsidRPr="00D955E6" w:rsidR="00D955E6" w:rsidP="00D955E6" w:rsidRDefault="00D955E6" w14:paraId="447A7A75" w14:textId="77777777">
            <w:pPr>
              <w:rPr>
                <w:rFonts w:ascii="Times New Roman" w:hAnsi="Times New Roman" w:eastAsia="Times New Roman" w:cs="Times New Roman"/>
                <w:sz w:val="24"/>
                <w:szCs w:val="24"/>
                <w:lang w:eastAsia="lv-LV"/>
              </w:rPr>
            </w:pPr>
          </w:p>
          <w:p w:rsidRPr="00D955E6" w:rsidR="00D955E6" w:rsidP="00D955E6" w:rsidRDefault="00D955E6" w14:paraId="6A05CD56" w14:textId="77777777">
            <w:pPr>
              <w:rPr>
                <w:rFonts w:ascii="Times New Roman" w:hAnsi="Times New Roman" w:eastAsia="Times New Roman" w:cs="Times New Roman"/>
                <w:sz w:val="24"/>
                <w:szCs w:val="24"/>
                <w:lang w:eastAsia="lv-LV"/>
              </w:rPr>
            </w:pPr>
          </w:p>
          <w:p w:rsidRPr="000B4B7A" w:rsidR="000B4B7A" w:rsidP="000B4B7A" w:rsidRDefault="000B4B7A" w14:paraId="7BB2F9D2" w14:textId="677B5232">
            <w:pPr>
              <w:rPr>
                <w:rFonts w:ascii="Times New Roman" w:hAnsi="Times New Roman" w:eastAsia="Times New Roman" w:cs="Times New Roman"/>
                <w:sz w:val="24"/>
                <w:szCs w:val="24"/>
                <w:lang w:eastAsia="lv-LV"/>
              </w:rPr>
            </w:pPr>
          </w:p>
        </w:tc>
        <w:tc>
          <w:tcPr>
            <w:tcW w:w="3355" w:type="pct"/>
            <w:gridSpan w:val="6"/>
            <w:tcBorders>
              <w:top w:val="outset" w:color="414142" w:sz="6" w:space="0"/>
              <w:left w:val="outset" w:color="414142" w:sz="6" w:space="0"/>
              <w:bottom w:val="outset" w:color="414142" w:sz="6" w:space="0"/>
              <w:right w:val="outset" w:color="414142" w:sz="6" w:space="0"/>
            </w:tcBorders>
          </w:tcPr>
          <w:p w:rsidRPr="007D78AD" w:rsidR="004F0DAB" w:rsidP="00B71DD6" w:rsidRDefault="004F0DAB" w14:paraId="61B2FAB5" w14:textId="4F162BD7">
            <w:pPr>
              <w:spacing w:after="0" w:line="240" w:lineRule="auto"/>
              <w:jc w:val="both"/>
              <w:rPr>
                <w:rFonts w:ascii="Times New Roman" w:hAnsi="Times New Roman" w:cs="Times New Roman"/>
                <w:sz w:val="24"/>
                <w:szCs w:val="24"/>
              </w:rPr>
            </w:pPr>
            <w:r w:rsidRPr="007D78AD">
              <w:rPr>
                <w:rFonts w:ascii="Times New Roman" w:hAnsi="Times New Roman" w:cs="Times New Roman"/>
                <w:sz w:val="24"/>
                <w:szCs w:val="24"/>
              </w:rPr>
              <w:lastRenderedPageBreak/>
              <w:t>Pašlaik Latvijas Administratīvo pārkāpumu kodeksā</w:t>
            </w:r>
            <w:r w:rsidR="0095061C">
              <w:rPr>
                <w:rFonts w:ascii="Times New Roman" w:hAnsi="Times New Roman" w:cs="Times New Roman"/>
                <w:sz w:val="24"/>
                <w:szCs w:val="24"/>
              </w:rPr>
              <w:t xml:space="preserve"> (turpmāk – Kodekss)</w:t>
            </w:r>
            <w:r w:rsidRPr="007D78AD">
              <w:rPr>
                <w:rFonts w:ascii="Times New Roman" w:hAnsi="Times New Roman" w:cs="Times New Roman"/>
                <w:sz w:val="24"/>
                <w:szCs w:val="24"/>
              </w:rPr>
              <w:t xml:space="preserve"> maksātnespējas jomā ir noteikti divi administratīvie pārkāpumi</w:t>
            </w:r>
            <w:r w:rsidR="00DC25B2">
              <w:rPr>
                <w:rFonts w:ascii="Times New Roman" w:hAnsi="Times New Roman" w:cs="Times New Roman"/>
                <w:sz w:val="24"/>
                <w:szCs w:val="24"/>
              </w:rPr>
              <w:t> </w:t>
            </w:r>
            <w:r w:rsidRPr="007D78AD">
              <w:rPr>
                <w:rFonts w:ascii="Times New Roman" w:hAnsi="Times New Roman" w:cs="Times New Roman"/>
                <w:sz w:val="24"/>
                <w:szCs w:val="24"/>
              </w:rPr>
              <w:t>– par maksātnespējas procesa pieteikuma neiesniegšanu (166.</w:t>
            </w:r>
            <w:r w:rsidRPr="007D78AD">
              <w:rPr>
                <w:rFonts w:ascii="Times New Roman" w:hAnsi="Times New Roman" w:cs="Times New Roman"/>
                <w:sz w:val="24"/>
                <w:szCs w:val="24"/>
                <w:vertAlign w:val="superscript"/>
              </w:rPr>
              <w:t>35</w:t>
            </w:r>
            <w:r w:rsidRPr="007D78AD">
              <w:rPr>
                <w:rFonts w:ascii="Times New Roman" w:hAnsi="Times New Roman" w:cs="Times New Roman"/>
                <w:sz w:val="24"/>
                <w:szCs w:val="24"/>
              </w:rPr>
              <w:t> pants) un par maksātnespējas procesa un tiesiskās aizsardzības procesa noteikumu pārkāpšanu (166.</w:t>
            </w:r>
            <w:r w:rsidRPr="007D78AD">
              <w:rPr>
                <w:rFonts w:ascii="Times New Roman" w:hAnsi="Times New Roman" w:cs="Times New Roman"/>
                <w:sz w:val="24"/>
                <w:szCs w:val="24"/>
                <w:vertAlign w:val="superscript"/>
              </w:rPr>
              <w:t>36</w:t>
            </w:r>
            <w:r w:rsidRPr="007D78AD">
              <w:rPr>
                <w:rFonts w:ascii="Times New Roman" w:hAnsi="Times New Roman" w:cs="Times New Roman"/>
                <w:sz w:val="24"/>
                <w:szCs w:val="24"/>
              </w:rPr>
              <w:t> pants).</w:t>
            </w:r>
          </w:p>
          <w:p w:rsidR="00E723B4" w:rsidP="00E723B4" w:rsidRDefault="004F0DAB" w14:paraId="791FEBCD" w14:textId="77777777">
            <w:pPr>
              <w:spacing w:after="0" w:line="240" w:lineRule="auto"/>
              <w:jc w:val="both"/>
              <w:rPr>
                <w:rFonts w:ascii="Times New Roman" w:hAnsi="Times New Roman" w:cs="Times New Roman"/>
                <w:color w:val="000000" w:themeColor="text1"/>
                <w:sz w:val="24"/>
                <w:szCs w:val="24"/>
              </w:rPr>
            </w:pPr>
            <w:r w:rsidRPr="007D78AD">
              <w:rPr>
                <w:rFonts w:ascii="Times New Roman" w:hAnsi="Times New Roman" w:cs="Times New Roman"/>
                <w:sz w:val="24"/>
                <w:szCs w:val="24"/>
              </w:rPr>
              <w:t>Administratīvā</w:t>
            </w:r>
            <w:r w:rsidR="00DC25B2">
              <w:rPr>
                <w:rFonts w:ascii="Times New Roman" w:hAnsi="Times New Roman" w:cs="Times New Roman"/>
                <w:sz w:val="24"/>
                <w:szCs w:val="24"/>
              </w:rPr>
              <w:t xml:space="preserve">s atbildības </w:t>
            </w:r>
            <w:r w:rsidRPr="007D78AD">
              <w:rPr>
                <w:rFonts w:ascii="Times New Roman" w:hAnsi="Times New Roman" w:cs="Times New Roman"/>
                <w:sz w:val="24"/>
                <w:szCs w:val="24"/>
              </w:rPr>
              <w:t xml:space="preserve">par maksātnespējas procesa pieteikuma neiesniegšanu </w:t>
            </w:r>
            <w:bookmarkStart w:name="OLE_LINK1" w:id="0"/>
            <w:bookmarkStart w:name="OLE_LINK2" w:id="1"/>
            <w:r w:rsidRPr="007D78AD">
              <w:rPr>
                <w:rFonts w:ascii="Times New Roman" w:hAnsi="Times New Roman" w:cs="Times New Roman"/>
                <w:sz w:val="24"/>
                <w:szCs w:val="24"/>
              </w:rPr>
              <w:t>(166.</w:t>
            </w:r>
            <w:r w:rsidRPr="007D78AD">
              <w:rPr>
                <w:rFonts w:ascii="Times New Roman" w:hAnsi="Times New Roman" w:cs="Times New Roman"/>
                <w:sz w:val="24"/>
                <w:szCs w:val="24"/>
                <w:vertAlign w:val="superscript"/>
              </w:rPr>
              <w:t>35</w:t>
            </w:r>
            <w:r w:rsidRPr="007D78AD">
              <w:rPr>
                <w:rFonts w:ascii="Times New Roman" w:hAnsi="Times New Roman" w:cs="Times New Roman"/>
                <w:sz w:val="24"/>
                <w:szCs w:val="24"/>
              </w:rPr>
              <w:t> pants)</w:t>
            </w:r>
            <w:bookmarkEnd w:id="0"/>
            <w:bookmarkEnd w:id="1"/>
            <w:r w:rsidRPr="007D78AD">
              <w:rPr>
                <w:rFonts w:ascii="Times New Roman" w:hAnsi="Times New Roman" w:cs="Times New Roman"/>
                <w:sz w:val="24"/>
                <w:szCs w:val="24"/>
              </w:rPr>
              <w:t xml:space="preserve"> saglabāšana ir būtiska, lai veicinātu, ka personas, kurām piekrīt šāds pienākums, savlaicīgi iesniegtu maksātnespējas procesa pieteikumu. </w:t>
            </w:r>
            <w:r w:rsidR="00E723B4">
              <w:rPr>
                <w:rFonts w:ascii="Times New Roman" w:hAnsi="Times New Roman" w:cs="Times New Roman"/>
                <w:sz w:val="24"/>
                <w:szCs w:val="24"/>
              </w:rPr>
              <w:t xml:space="preserve">Piemēram, Valsts ieņēmumu dienests arī pēdējos gados ir aktīvi piemērojis administratīvo atbildību par maksātnespējas procesa pieteikuma neiesniegšanu. </w:t>
            </w:r>
            <w:r w:rsidRPr="005076B6" w:rsidR="00E723B4">
              <w:rPr>
                <w:rFonts w:ascii="Times New Roman" w:hAnsi="Times New Roman" w:cs="Times New Roman"/>
                <w:color w:val="000000" w:themeColor="text1"/>
                <w:sz w:val="24"/>
                <w:szCs w:val="24"/>
              </w:rPr>
              <w:t>Ierosināto administratīvo pārkāpumu lietu skaits</w:t>
            </w:r>
            <w:r w:rsidR="00E723B4">
              <w:rPr>
                <w:rFonts w:ascii="Times New Roman" w:hAnsi="Times New Roman" w:cs="Times New Roman"/>
                <w:color w:val="000000" w:themeColor="text1"/>
                <w:sz w:val="24"/>
                <w:szCs w:val="24"/>
              </w:rPr>
              <w:t xml:space="preserve">: </w:t>
            </w:r>
            <w:r w:rsidRPr="007D78AD" w:rsidR="00E723B4">
              <w:rPr>
                <w:rFonts w:ascii="Times New Roman" w:hAnsi="Times New Roman" w:cs="Times New Roman"/>
                <w:color w:val="000000" w:themeColor="text1"/>
                <w:sz w:val="24"/>
                <w:szCs w:val="24"/>
              </w:rPr>
              <w:t xml:space="preserve">2015. gadā – </w:t>
            </w:r>
            <w:r w:rsidR="00E723B4">
              <w:rPr>
                <w:rFonts w:ascii="Times New Roman" w:hAnsi="Times New Roman" w:cs="Times New Roman"/>
                <w:color w:val="000000" w:themeColor="text1"/>
                <w:sz w:val="24"/>
                <w:szCs w:val="24"/>
              </w:rPr>
              <w:t>804</w:t>
            </w:r>
            <w:r w:rsidRPr="007D78AD" w:rsidR="00E723B4">
              <w:rPr>
                <w:rFonts w:ascii="Times New Roman" w:hAnsi="Times New Roman" w:cs="Times New Roman"/>
                <w:color w:val="000000" w:themeColor="text1"/>
                <w:sz w:val="24"/>
                <w:szCs w:val="24"/>
              </w:rPr>
              <w:t xml:space="preserve">, 2016. gadā – </w:t>
            </w:r>
            <w:r w:rsidR="00E723B4">
              <w:rPr>
                <w:rFonts w:ascii="Times New Roman" w:hAnsi="Times New Roman" w:cs="Times New Roman"/>
                <w:color w:val="000000" w:themeColor="text1"/>
                <w:sz w:val="24"/>
                <w:szCs w:val="24"/>
              </w:rPr>
              <w:t>625</w:t>
            </w:r>
            <w:r w:rsidRPr="007D78AD" w:rsidR="00E723B4">
              <w:rPr>
                <w:rFonts w:ascii="Times New Roman" w:hAnsi="Times New Roman" w:cs="Times New Roman"/>
                <w:color w:val="000000" w:themeColor="text1"/>
                <w:sz w:val="24"/>
                <w:szCs w:val="24"/>
              </w:rPr>
              <w:t xml:space="preserve">, 2017. gadā – </w:t>
            </w:r>
            <w:r w:rsidR="00E723B4">
              <w:rPr>
                <w:rFonts w:ascii="Times New Roman" w:hAnsi="Times New Roman" w:cs="Times New Roman"/>
                <w:color w:val="000000" w:themeColor="text1"/>
                <w:sz w:val="24"/>
                <w:szCs w:val="24"/>
              </w:rPr>
              <w:t>1094 un</w:t>
            </w:r>
            <w:r w:rsidRPr="007D78AD" w:rsidR="00E723B4">
              <w:rPr>
                <w:rFonts w:ascii="Times New Roman" w:hAnsi="Times New Roman" w:cs="Times New Roman"/>
                <w:color w:val="000000" w:themeColor="text1"/>
                <w:sz w:val="24"/>
                <w:szCs w:val="24"/>
              </w:rPr>
              <w:t xml:space="preserve"> 2018. gadā – </w:t>
            </w:r>
            <w:r w:rsidR="00E723B4">
              <w:rPr>
                <w:rFonts w:ascii="Times New Roman" w:hAnsi="Times New Roman" w:cs="Times New Roman"/>
                <w:color w:val="000000" w:themeColor="text1"/>
                <w:sz w:val="24"/>
                <w:szCs w:val="24"/>
              </w:rPr>
              <w:t>861. P</w:t>
            </w:r>
            <w:r w:rsidRPr="007D78AD" w:rsidR="00E723B4">
              <w:rPr>
                <w:rFonts w:ascii="Times New Roman" w:hAnsi="Times New Roman" w:cs="Times New Roman"/>
                <w:color w:val="000000" w:themeColor="text1"/>
                <w:sz w:val="24"/>
                <w:szCs w:val="24"/>
              </w:rPr>
              <w:t>ieņemto lēmumu par administratīvā soda uzlikšanu skaits</w:t>
            </w:r>
            <w:r w:rsidR="00E723B4">
              <w:rPr>
                <w:rFonts w:ascii="Times New Roman" w:hAnsi="Times New Roman" w:cs="Times New Roman"/>
                <w:color w:val="000000" w:themeColor="text1"/>
                <w:sz w:val="24"/>
                <w:szCs w:val="24"/>
              </w:rPr>
              <w:t>:</w:t>
            </w:r>
            <w:r w:rsidRPr="007D78AD" w:rsidR="00E723B4">
              <w:rPr>
                <w:rFonts w:ascii="Times New Roman" w:hAnsi="Times New Roman" w:cs="Times New Roman"/>
                <w:color w:val="000000" w:themeColor="text1"/>
                <w:sz w:val="24"/>
                <w:szCs w:val="24"/>
              </w:rPr>
              <w:t xml:space="preserve"> 2015. gadā – </w:t>
            </w:r>
            <w:r w:rsidR="00E723B4">
              <w:rPr>
                <w:rFonts w:ascii="Times New Roman" w:hAnsi="Times New Roman" w:cs="Times New Roman"/>
                <w:color w:val="000000" w:themeColor="text1"/>
                <w:sz w:val="24"/>
                <w:szCs w:val="24"/>
              </w:rPr>
              <w:t>709</w:t>
            </w:r>
            <w:r w:rsidRPr="007D78AD" w:rsidR="00E723B4">
              <w:rPr>
                <w:rFonts w:ascii="Times New Roman" w:hAnsi="Times New Roman" w:cs="Times New Roman"/>
                <w:color w:val="000000" w:themeColor="text1"/>
                <w:sz w:val="24"/>
                <w:szCs w:val="24"/>
              </w:rPr>
              <w:t xml:space="preserve">, 2016. gadā – </w:t>
            </w:r>
            <w:r w:rsidR="00E723B4">
              <w:rPr>
                <w:rFonts w:ascii="Times New Roman" w:hAnsi="Times New Roman" w:cs="Times New Roman"/>
                <w:color w:val="000000" w:themeColor="text1"/>
                <w:sz w:val="24"/>
                <w:szCs w:val="24"/>
              </w:rPr>
              <w:t>599</w:t>
            </w:r>
            <w:r w:rsidRPr="007D78AD" w:rsidR="00E723B4">
              <w:rPr>
                <w:rFonts w:ascii="Times New Roman" w:hAnsi="Times New Roman" w:cs="Times New Roman"/>
                <w:color w:val="000000" w:themeColor="text1"/>
                <w:sz w:val="24"/>
                <w:szCs w:val="24"/>
              </w:rPr>
              <w:t xml:space="preserve">, 2017. gadā – </w:t>
            </w:r>
            <w:r w:rsidR="00E723B4">
              <w:rPr>
                <w:rFonts w:ascii="Times New Roman" w:hAnsi="Times New Roman" w:cs="Times New Roman"/>
                <w:color w:val="000000" w:themeColor="text1"/>
                <w:sz w:val="24"/>
                <w:szCs w:val="24"/>
              </w:rPr>
              <w:t>684 un</w:t>
            </w:r>
            <w:r w:rsidRPr="007D78AD" w:rsidR="00E723B4">
              <w:rPr>
                <w:rFonts w:ascii="Times New Roman" w:hAnsi="Times New Roman" w:cs="Times New Roman"/>
                <w:color w:val="000000" w:themeColor="text1"/>
                <w:sz w:val="24"/>
                <w:szCs w:val="24"/>
              </w:rPr>
              <w:t xml:space="preserve"> 2018. gadā – </w:t>
            </w:r>
            <w:r w:rsidR="00E723B4">
              <w:rPr>
                <w:rFonts w:ascii="Times New Roman" w:hAnsi="Times New Roman" w:cs="Times New Roman"/>
                <w:color w:val="000000" w:themeColor="text1"/>
                <w:sz w:val="24"/>
                <w:szCs w:val="24"/>
              </w:rPr>
              <w:t>823.</w:t>
            </w:r>
          </w:p>
          <w:p w:rsidRPr="00F57378" w:rsidR="004F0DAB" w:rsidP="00E723B4" w:rsidRDefault="00E723B4" w14:paraId="2A48E346" w14:textId="6BAB8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Neskatoties uz to, ka, piemēram, Valsts ieņēmumu dienests regulāri realizē tā kompetenci </w:t>
            </w:r>
            <w:r w:rsidR="0095061C">
              <w:rPr>
                <w:rFonts w:ascii="Times New Roman" w:hAnsi="Times New Roman" w:cs="Times New Roman"/>
                <w:sz w:val="24"/>
                <w:szCs w:val="24"/>
              </w:rPr>
              <w:t>K</w:t>
            </w:r>
            <w:r>
              <w:rPr>
                <w:rFonts w:ascii="Times New Roman" w:hAnsi="Times New Roman" w:cs="Times New Roman"/>
                <w:sz w:val="24"/>
                <w:szCs w:val="24"/>
              </w:rPr>
              <w:t>odeksa 166.</w:t>
            </w:r>
            <w:r w:rsidRPr="004E6717">
              <w:rPr>
                <w:rFonts w:ascii="Times New Roman" w:hAnsi="Times New Roman" w:cs="Times New Roman"/>
                <w:sz w:val="24"/>
                <w:szCs w:val="24"/>
                <w:vertAlign w:val="superscript"/>
              </w:rPr>
              <w:t>3</w:t>
            </w:r>
            <w:r w:rsidRPr="00ED281B">
              <w:rPr>
                <w:rFonts w:ascii="Times New Roman" w:hAnsi="Times New Roman" w:cs="Times New Roman"/>
                <w:sz w:val="24"/>
                <w:szCs w:val="24"/>
                <w:vertAlign w:val="superscript"/>
              </w:rPr>
              <w:t>5</w:t>
            </w:r>
            <w:r>
              <w:rPr>
                <w:rFonts w:ascii="Times New Roman" w:hAnsi="Times New Roman" w:cs="Times New Roman"/>
                <w:sz w:val="24"/>
                <w:szCs w:val="24"/>
              </w:rPr>
              <w:t xml:space="preserve"> panta piemērošanā, vēl aizvien ir daudz tā saukto </w:t>
            </w:r>
            <w:r w:rsidR="00850274">
              <w:rPr>
                <w:rFonts w:ascii="Times New Roman" w:hAnsi="Times New Roman" w:cs="Times New Roman"/>
                <w:sz w:val="24"/>
                <w:szCs w:val="24"/>
              </w:rPr>
              <w:t>"</w:t>
            </w:r>
            <w:r>
              <w:rPr>
                <w:rFonts w:ascii="Times New Roman" w:hAnsi="Times New Roman" w:cs="Times New Roman"/>
                <w:sz w:val="24"/>
                <w:szCs w:val="24"/>
              </w:rPr>
              <w:t>tukšo procesu</w:t>
            </w:r>
            <w:r w:rsidR="00850274">
              <w:rPr>
                <w:rFonts w:ascii="Times New Roman" w:hAnsi="Times New Roman" w:cs="Times New Roman"/>
                <w:sz w:val="24"/>
                <w:szCs w:val="24"/>
              </w:rPr>
              <w:t>"</w:t>
            </w:r>
            <w:r>
              <w:rPr>
                <w:rFonts w:ascii="Times New Roman" w:hAnsi="Times New Roman" w:cs="Times New Roman"/>
                <w:sz w:val="24"/>
                <w:szCs w:val="24"/>
              </w:rPr>
              <w:t xml:space="preserve">. </w:t>
            </w:r>
            <w:r w:rsidRPr="004E6717" w:rsidR="006C01C4">
              <w:rPr>
                <w:rFonts w:ascii="Times New Roman" w:hAnsi="Times New Roman" w:cs="Times New Roman"/>
                <w:sz w:val="24"/>
                <w:szCs w:val="24"/>
              </w:rPr>
              <w:lastRenderedPageBreak/>
              <w:t>2016</w:t>
            </w:r>
            <w:r w:rsidR="006C01C4">
              <w:rPr>
                <w:rFonts w:ascii="Times New Roman" w:hAnsi="Times New Roman" w:cs="Times New Roman"/>
                <w:sz w:val="24"/>
                <w:szCs w:val="24"/>
              </w:rPr>
              <w:t>.</w:t>
            </w:r>
            <w:r w:rsidR="00CC1D13">
              <w:rPr>
                <w:rFonts w:ascii="Times New Roman" w:hAnsi="Times New Roman" w:cs="Times New Roman"/>
                <w:sz w:val="24"/>
                <w:szCs w:val="24"/>
              </w:rPr>
              <w:t> </w:t>
            </w:r>
            <w:r w:rsidR="006C01C4">
              <w:rPr>
                <w:rFonts w:ascii="Times New Roman" w:hAnsi="Times New Roman" w:cs="Times New Roman"/>
                <w:sz w:val="24"/>
                <w:szCs w:val="24"/>
              </w:rPr>
              <w:t>gadā 63</w:t>
            </w:r>
            <w:r w:rsidR="00CC1D13">
              <w:rPr>
                <w:rFonts w:ascii="Times New Roman" w:hAnsi="Times New Roman" w:cs="Times New Roman"/>
                <w:sz w:val="24"/>
                <w:szCs w:val="24"/>
              </w:rPr>
              <w:t> </w:t>
            </w:r>
            <w:r w:rsidR="006C01C4">
              <w:rPr>
                <w:rFonts w:ascii="Times New Roman" w:hAnsi="Times New Roman" w:cs="Times New Roman"/>
                <w:sz w:val="24"/>
                <w:szCs w:val="24"/>
              </w:rPr>
              <w:t>%</w:t>
            </w:r>
            <w:r w:rsidR="00AA0FAB">
              <w:rPr>
                <w:rStyle w:val="FootnoteReference"/>
                <w:rFonts w:ascii="Times New Roman" w:hAnsi="Times New Roman" w:cs="Times New Roman"/>
                <w:sz w:val="24"/>
                <w:szCs w:val="24"/>
              </w:rPr>
              <w:footnoteReference w:id="1"/>
            </w:r>
            <w:r w:rsidR="006C01C4">
              <w:rPr>
                <w:rFonts w:ascii="Times New Roman" w:hAnsi="Times New Roman" w:cs="Times New Roman"/>
                <w:sz w:val="24"/>
                <w:szCs w:val="24"/>
              </w:rPr>
              <w:t>, bet</w:t>
            </w:r>
            <w:r w:rsidRPr="007D78AD" w:rsidR="006C01C4">
              <w:rPr>
                <w:rFonts w:ascii="Times New Roman" w:hAnsi="Times New Roman" w:cs="Times New Roman"/>
                <w:sz w:val="24"/>
                <w:szCs w:val="24"/>
              </w:rPr>
              <w:t xml:space="preserve"> </w:t>
            </w:r>
            <w:r w:rsidRPr="007D78AD" w:rsidR="004F0DAB">
              <w:rPr>
                <w:rFonts w:ascii="Times New Roman" w:hAnsi="Times New Roman" w:cs="Times New Roman"/>
                <w:sz w:val="24"/>
                <w:szCs w:val="24"/>
              </w:rPr>
              <w:t>2017. gadā 61 %</w:t>
            </w:r>
            <w:r w:rsidRPr="007D78AD" w:rsidR="004F0DAB">
              <w:rPr>
                <w:rFonts w:ascii="Times New Roman" w:hAnsi="Times New Roman" w:cs="Times New Roman"/>
                <w:sz w:val="24"/>
                <w:szCs w:val="24"/>
                <w:vertAlign w:val="superscript"/>
              </w:rPr>
              <w:footnoteReference w:id="2"/>
            </w:r>
            <w:r w:rsidRPr="007D78AD" w:rsidR="004F0DAB">
              <w:rPr>
                <w:rFonts w:ascii="Times New Roman" w:hAnsi="Times New Roman" w:cs="Times New Roman"/>
                <w:sz w:val="24"/>
                <w:szCs w:val="24"/>
              </w:rPr>
              <w:t xml:space="preserve"> juridiskās personas maksātnespējas procesu tika izbeigts, jo ziņojumā par parādnieka mantas neesamību izteikts priekšlikums izbeigt maksātnespējas procesu un nav panākta vienošanās par maksātnespējas procesa finansēšanas avotu. </w:t>
            </w:r>
            <w:r w:rsidR="007F0CEF">
              <w:rPr>
                <w:rFonts w:ascii="Times New Roman" w:hAnsi="Times New Roman" w:cs="Times New Roman"/>
                <w:sz w:val="24"/>
                <w:szCs w:val="24"/>
              </w:rPr>
              <w:t>Pēc provizoriskiem datiem 2018. gadā šādu procesu skaits sastāda 61</w:t>
            </w:r>
            <w:r w:rsidR="00CC1D13">
              <w:rPr>
                <w:rFonts w:ascii="Times New Roman" w:hAnsi="Times New Roman" w:cs="Times New Roman"/>
                <w:sz w:val="24"/>
                <w:szCs w:val="24"/>
              </w:rPr>
              <w:t> </w:t>
            </w:r>
            <w:r w:rsidR="007F0CEF">
              <w:rPr>
                <w:rFonts w:ascii="Times New Roman" w:hAnsi="Times New Roman" w:cs="Times New Roman"/>
                <w:sz w:val="24"/>
                <w:szCs w:val="24"/>
              </w:rPr>
              <w:t xml:space="preserve">%. </w:t>
            </w:r>
            <w:r w:rsidRPr="007D78AD" w:rsidR="004F0DAB">
              <w:rPr>
                <w:rFonts w:ascii="Times New Roman" w:hAnsi="Times New Roman" w:cs="Times New Roman"/>
                <w:sz w:val="24"/>
                <w:szCs w:val="24"/>
              </w:rPr>
              <w:t>Minētais liecina par augstu iespējamību tam, ka juridiskās personas maksātnespējas procesa pieteikums tika iesniegts novēloti, kad parādniekam vairs nebija nekādu aktīvu, no kā segt vismaz daļu no kreditora prasījumiem. Kaut arī kreditoram ir tiesības iesniegt juridiskās personas maksātnespējas procesa pieteikumu, ne vienmēr kreditori to vēlas darīt vai spēj izdarīt ievērojamo izmaksu dēļ (kreditoram, iesniedzot juridiskās personas maksātnespējas procesa pieteikumu, ir jāmaksā valsts nodeva – 355 </w:t>
            </w:r>
            <w:r w:rsidRPr="007D78AD" w:rsidR="004F0DAB">
              <w:rPr>
                <w:rFonts w:ascii="Times New Roman" w:hAnsi="Times New Roman" w:cs="Times New Roman"/>
                <w:i/>
                <w:sz w:val="24"/>
                <w:szCs w:val="24"/>
              </w:rPr>
              <w:t>euro</w:t>
            </w:r>
            <w:r w:rsidRPr="007D78AD" w:rsidR="004F0DAB">
              <w:rPr>
                <w:rFonts w:ascii="Times New Roman" w:hAnsi="Times New Roman" w:cs="Times New Roman"/>
                <w:sz w:val="24"/>
                <w:szCs w:val="24"/>
              </w:rPr>
              <w:t>, ar lietas izskatīšanu saistītie izdevumi – 3,20 </w:t>
            </w:r>
            <w:r w:rsidRPr="007D78AD" w:rsidR="004F0DAB">
              <w:rPr>
                <w:rFonts w:ascii="Times New Roman" w:hAnsi="Times New Roman" w:cs="Times New Roman"/>
                <w:i/>
                <w:sz w:val="24"/>
                <w:szCs w:val="24"/>
              </w:rPr>
              <w:t>euro</w:t>
            </w:r>
            <w:r w:rsidRPr="007D78AD" w:rsidR="004F0DAB">
              <w:rPr>
                <w:rFonts w:ascii="Times New Roman" w:hAnsi="Times New Roman" w:cs="Times New Roman"/>
                <w:sz w:val="24"/>
                <w:szCs w:val="24"/>
              </w:rPr>
              <w:t xml:space="preserve"> un juridiskās personas maksātnespējas procesa depozīts – divas minimālās mēnešalgas (minimālā mēnešalga 2018. un 2019. gadā – 430 </w:t>
            </w:r>
            <w:r w:rsidRPr="007D78AD" w:rsidR="004F0DAB">
              <w:rPr>
                <w:rFonts w:ascii="Times New Roman" w:hAnsi="Times New Roman" w:cs="Times New Roman"/>
                <w:i/>
                <w:sz w:val="24"/>
                <w:szCs w:val="24"/>
              </w:rPr>
              <w:t>euro</w:t>
            </w:r>
            <w:r w:rsidRPr="007D78AD" w:rsidR="004F0DAB">
              <w:rPr>
                <w:rFonts w:ascii="Times New Roman" w:hAnsi="Times New Roman" w:cs="Times New Roman"/>
                <w:sz w:val="24"/>
                <w:szCs w:val="24"/>
              </w:rPr>
              <w:t>); tādējādi izmaksas, kas kreditoram pašlaik rodas tikai pieteikuma iesniegšanai tiesā, ir 1218,20 </w:t>
            </w:r>
            <w:r w:rsidRPr="007D78AD" w:rsidR="004F0DAB">
              <w:rPr>
                <w:rFonts w:ascii="Times New Roman" w:hAnsi="Times New Roman" w:cs="Times New Roman"/>
                <w:i/>
                <w:sz w:val="24"/>
                <w:szCs w:val="24"/>
              </w:rPr>
              <w:t>euro</w:t>
            </w:r>
            <w:r w:rsidRPr="007D78AD" w:rsidR="004F0DAB">
              <w:rPr>
                <w:rFonts w:ascii="Times New Roman" w:hAnsi="Times New Roman" w:cs="Times New Roman"/>
                <w:sz w:val="24"/>
                <w:szCs w:val="24"/>
              </w:rPr>
              <w:t>).</w:t>
            </w:r>
            <w:r w:rsidRPr="00F57378" w:rsidR="004F0DAB">
              <w:rPr>
                <w:rFonts w:ascii="Times New Roman" w:hAnsi="Times New Roman" w:cs="Times New Roman"/>
                <w:sz w:val="24"/>
                <w:szCs w:val="24"/>
              </w:rPr>
              <w:t xml:space="preserve"> </w:t>
            </w:r>
          </w:p>
          <w:p w:rsidRPr="00F57378" w:rsidR="004F0DAB" w:rsidP="00B71DD6" w:rsidRDefault="004F0DAB" w14:paraId="4943AF06" w14:textId="1C4819D9">
            <w:pPr>
              <w:spacing w:after="0" w:line="240" w:lineRule="auto"/>
              <w:jc w:val="both"/>
              <w:rPr>
                <w:rFonts w:ascii="Times New Roman" w:hAnsi="Times New Roman" w:cs="Times New Roman"/>
                <w:sz w:val="24"/>
                <w:szCs w:val="24"/>
              </w:rPr>
            </w:pPr>
            <w:r w:rsidRPr="007D78AD">
              <w:rPr>
                <w:rFonts w:ascii="Times New Roman" w:hAnsi="Times New Roman" w:cs="Times New Roman"/>
                <w:sz w:val="24"/>
                <w:szCs w:val="24"/>
              </w:rPr>
              <w:t>Vēl aizvien lielais juridisko personu maksātnespējas procesu skaits, kuros sastādīts ziņojums par mantas neesamību, liecina par to, ka pašreiz noteiktais soda apmērs nesasniedz administratīvā soda mērķa preventīvo daļu</w:t>
            </w:r>
            <w:r w:rsidRPr="00F57378">
              <w:rPr>
                <w:rFonts w:ascii="Times New Roman" w:hAnsi="Times New Roman" w:eastAsia="Times New Roman" w:cs="Times New Roman"/>
                <w:sz w:val="24"/>
                <w:szCs w:val="24"/>
                <w:lang w:eastAsia="lv-LV"/>
              </w:rPr>
              <w:t>. Tādējādi likumprojektā paredzēts papildināt Maksātnespējas likumu ar 178. pantu.</w:t>
            </w:r>
          </w:p>
          <w:p w:rsidRPr="007D78AD" w:rsidR="004F0DAB" w:rsidP="00B71DD6" w:rsidRDefault="004F0DAB" w14:paraId="449E54AB" w14:textId="3E271E76">
            <w:pPr>
              <w:spacing w:after="0" w:line="240" w:lineRule="auto"/>
              <w:jc w:val="both"/>
              <w:rPr>
                <w:rFonts w:ascii="Times New Roman" w:hAnsi="Times New Roman" w:cs="Times New Roman"/>
                <w:sz w:val="24"/>
                <w:szCs w:val="24"/>
              </w:rPr>
            </w:pPr>
            <w:r w:rsidRPr="00F57378">
              <w:rPr>
                <w:rFonts w:ascii="Times New Roman" w:hAnsi="Times New Roman" w:cs="Times New Roman"/>
                <w:sz w:val="24"/>
                <w:szCs w:val="24"/>
              </w:rPr>
              <w:t>Papildus s</w:t>
            </w:r>
            <w:r w:rsidRPr="007D78AD">
              <w:rPr>
                <w:rFonts w:ascii="Times New Roman" w:hAnsi="Times New Roman" w:cs="Times New Roman"/>
                <w:sz w:val="24"/>
                <w:szCs w:val="24"/>
              </w:rPr>
              <w:t xml:space="preserve">avlaicīga maksātnespējas procesa pieteikuma iesniegšanai, lai nodrošinātu pēc iespējas lielāku kreditoru prasījumu segšanu, būtiski ir arī tas, lai pēc maksātnespējas procesa pasludināšanas, tā norise būtu efektīva un likumīga. Maksātnespējas jomu regulējošie normatīvie akti paredz dažādas tiesības un pienākumus ne tikai maksātnespējas procesa administratoram (turpmāk – administrators), bet arī citām personām, piemēram, parādnieka pārstāvim. Parādnieka pārstāvja aktīva un pilnvērtīga savu pienākumu pildīšana ir būtiska maksātnespējas procesa norisē, jo visbiežāk tikai ar publiski, tai skaitā publiskajos reģistros, pieejamo informāciju nav pietiekami, lai administrators iegūtu pilnīgu priekšstatu par maksātnespējīgo personu, tās mantu, saistībām, kreditoriem un citiem apstākļiem, kas var ietekmēt maksātnespējas procesa norisi. Tomēr parādnieka pārstāvis nav subjekts, kura rīcību Maksātnespējas kontroles dienests ir tiesīgs uzraudzīt saskaņā ar Maksātnespējas likuma </w:t>
            </w:r>
            <w:r w:rsidRPr="007D78AD">
              <w:rPr>
                <w:rFonts w:ascii="Times New Roman" w:hAnsi="Times New Roman" w:cs="Times New Roman"/>
                <w:sz w:val="24"/>
                <w:szCs w:val="24"/>
              </w:rPr>
              <w:t>174.</w:t>
            </w:r>
            <w:r w:rsidRPr="003929C3" w:rsidR="00FB3AF0">
              <w:rPr>
                <w:rFonts w:ascii="Times New Roman" w:hAnsi="Times New Roman" w:cs="Times New Roman"/>
                <w:sz w:val="24"/>
                <w:szCs w:val="24"/>
                <w:vertAlign w:val="superscript"/>
              </w:rPr>
              <w:t>1</w:t>
            </w:r>
            <w:r w:rsidRPr="007D78AD">
              <w:rPr>
                <w:rFonts w:ascii="Times New Roman" w:hAnsi="Times New Roman" w:cs="Times New Roman"/>
                <w:sz w:val="24"/>
                <w:szCs w:val="24"/>
              </w:rPr>
              <w:t xml:space="preserve"> panta pirmajā daļā </w:t>
            </w:r>
            <w:r w:rsidRPr="007D78AD">
              <w:rPr>
                <w:rFonts w:ascii="Times New Roman" w:hAnsi="Times New Roman" w:cs="Times New Roman"/>
                <w:sz w:val="24"/>
                <w:szCs w:val="24"/>
              </w:rPr>
              <w:t>noteikto.</w:t>
            </w:r>
          </w:p>
          <w:p w:rsidR="00F4201F" w:rsidP="00B71DD6" w:rsidRDefault="004F0DAB" w14:paraId="216BE9CA" w14:textId="2F9F65FE">
            <w:pPr>
              <w:spacing w:after="0" w:line="240" w:lineRule="auto"/>
              <w:jc w:val="both"/>
              <w:rPr>
                <w:rFonts w:ascii="Times New Roman" w:hAnsi="Times New Roman" w:cs="Times New Roman"/>
                <w:color w:val="000000" w:themeColor="text1"/>
                <w:sz w:val="24"/>
                <w:szCs w:val="24"/>
              </w:rPr>
            </w:pPr>
            <w:bookmarkStart w:name="_Hlk513798233" w:id="2"/>
            <w:r w:rsidRPr="007D78AD">
              <w:rPr>
                <w:rFonts w:ascii="Times New Roman" w:hAnsi="Times New Roman" w:cs="Times New Roman"/>
                <w:color w:val="000000" w:themeColor="text1"/>
                <w:sz w:val="24"/>
                <w:szCs w:val="24"/>
              </w:rPr>
              <w:t>No 2015. gada 1. janvāra administratīvos sodus par maksātnespējas procesa un tiesiskās aizsardzības procesa noteikumu pārkāpšanu (166.</w:t>
            </w:r>
            <w:r w:rsidRPr="007D78AD">
              <w:rPr>
                <w:rFonts w:ascii="Times New Roman" w:hAnsi="Times New Roman" w:cs="Times New Roman"/>
                <w:color w:val="000000" w:themeColor="text1"/>
                <w:sz w:val="24"/>
                <w:szCs w:val="24"/>
                <w:vertAlign w:val="superscript"/>
              </w:rPr>
              <w:t>36</w:t>
            </w:r>
            <w:r w:rsidRPr="007D78AD">
              <w:rPr>
                <w:rFonts w:ascii="Times New Roman" w:hAnsi="Times New Roman" w:cs="Times New Roman"/>
                <w:color w:val="000000" w:themeColor="text1"/>
                <w:sz w:val="24"/>
                <w:szCs w:val="24"/>
              </w:rPr>
              <w:t xml:space="preserve"> pants) piemēro Maksātnespējas kontroles dienests. </w:t>
            </w:r>
            <w:bookmarkStart w:name="_Hlk2692493" w:id="3"/>
            <w:r w:rsidRPr="007D78AD">
              <w:rPr>
                <w:rFonts w:ascii="Times New Roman" w:hAnsi="Times New Roman" w:cs="Times New Roman"/>
                <w:color w:val="000000" w:themeColor="text1"/>
                <w:sz w:val="24"/>
                <w:szCs w:val="24"/>
              </w:rPr>
              <w:t xml:space="preserve">Ierosināto administratīvo pārkāpumu lietu skaits ir ievērojams (2015. gadā – 113, 2016. gadā – 142, 2017. gadā – 57, 2018. gadā – 139), turklāt pieņemto lēmumu </w:t>
            </w:r>
            <w:r w:rsidRPr="007D78AD">
              <w:rPr>
                <w:rFonts w:ascii="Times New Roman" w:hAnsi="Times New Roman" w:cs="Times New Roman"/>
                <w:color w:val="000000" w:themeColor="text1"/>
                <w:sz w:val="24"/>
                <w:szCs w:val="24"/>
              </w:rPr>
              <w:lastRenderedPageBreak/>
              <w:t xml:space="preserve">par administratīvā soda uzlikšanu skaits (2015. gadā – 52, 2016. gadā – 93, 2017. gadā – 88, 2018. gadā – 73) veido būtisku daļu no ierosinātajām lietām. </w:t>
            </w:r>
            <w:bookmarkEnd w:id="2"/>
            <w:bookmarkEnd w:id="3"/>
            <w:r w:rsidRPr="007D78AD">
              <w:rPr>
                <w:rFonts w:ascii="Times New Roman" w:hAnsi="Times New Roman" w:cs="Times New Roman"/>
                <w:color w:val="000000" w:themeColor="text1"/>
                <w:sz w:val="24"/>
                <w:szCs w:val="24"/>
              </w:rPr>
              <w:t xml:space="preserve">Tomēr praksē ir konstatēts, ka administratīvais sods pašreizējā maksimālajā apmērā ne vienmēr sasniedz soda mērķi, tādējādi neradot personai, kura saukta pie administratīvās atbildības, vēlmi laboties. Līdz ar to, likumprojektā </w:t>
            </w:r>
            <w:r w:rsidRPr="007D78AD" w:rsidR="007175A3">
              <w:rPr>
                <w:rFonts w:ascii="Times New Roman" w:hAnsi="Times New Roman" w:cs="Times New Roman"/>
                <w:color w:val="000000" w:themeColor="text1"/>
                <w:sz w:val="24"/>
                <w:szCs w:val="24"/>
              </w:rPr>
              <w:t>paredz</w:t>
            </w:r>
            <w:r w:rsidR="007175A3">
              <w:rPr>
                <w:rFonts w:ascii="Times New Roman" w:hAnsi="Times New Roman" w:cs="Times New Roman"/>
                <w:color w:val="000000" w:themeColor="text1"/>
                <w:sz w:val="24"/>
                <w:szCs w:val="24"/>
              </w:rPr>
              <w:t>ēts</w:t>
            </w:r>
            <w:r w:rsidRPr="007D78AD" w:rsidR="007175A3">
              <w:rPr>
                <w:rFonts w:ascii="Times New Roman" w:hAnsi="Times New Roman" w:cs="Times New Roman"/>
                <w:color w:val="000000" w:themeColor="text1"/>
                <w:sz w:val="24"/>
                <w:szCs w:val="24"/>
              </w:rPr>
              <w:t xml:space="preserve"> </w:t>
            </w:r>
            <w:r w:rsidRPr="007D78AD">
              <w:rPr>
                <w:rFonts w:ascii="Times New Roman" w:hAnsi="Times New Roman" w:cs="Times New Roman"/>
                <w:color w:val="000000" w:themeColor="text1"/>
                <w:sz w:val="24"/>
                <w:szCs w:val="24"/>
              </w:rPr>
              <w:t>papildināt Maksātnespējas likumu ar 179. pantu</w:t>
            </w:r>
            <w:r w:rsidRPr="00F57378">
              <w:rPr>
                <w:rFonts w:ascii="Times New Roman" w:hAnsi="Times New Roman" w:cs="Times New Roman"/>
                <w:color w:val="000000" w:themeColor="text1"/>
                <w:sz w:val="24"/>
                <w:szCs w:val="24"/>
              </w:rPr>
              <w:t>.</w:t>
            </w:r>
            <w:r w:rsidR="00F4201F">
              <w:rPr>
                <w:rFonts w:ascii="Times New Roman" w:hAnsi="Times New Roman" w:cs="Times New Roman"/>
                <w:color w:val="000000" w:themeColor="text1"/>
                <w:sz w:val="24"/>
                <w:szCs w:val="24"/>
              </w:rPr>
              <w:t xml:space="preserve"> </w:t>
            </w:r>
          </w:p>
          <w:p w:rsidR="004F0DAB" w:rsidP="00B71DD6" w:rsidRDefault="004F0DAB" w14:paraId="50A12754" w14:textId="77777777">
            <w:pPr>
              <w:spacing w:after="0" w:line="240" w:lineRule="auto"/>
              <w:jc w:val="both"/>
              <w:rPr>
                <w:rFonts w:ascii="Times New Roman" w:hAnsi="Times New Roman" w:cs="Times New Roman"/>
                <w:sz w:val="24"/>
                <w:szCs w:val="24"/>
              </w:rPr>
            </w:pPr>
            <w:r w:rsidRPr="007D78AD">
              <w:rPr>
                <w:rFonts w:ascii="Times New Roman" w:hAnsi="Times New Roman" w:cs="Times New Roman"/>
                <w:sz w:val="24"/>
                <w:szCs w:val="24"/>
              </w:rPr>
              <w:t>Likumprojektā naudas sodi izteikti atbilstoši Administratīvās atbildības likumā</w:t>
            </w:r>
            <w:r w:rsidR="00345763">
              <w:rPr>
                <w:rFonts w:ascii="Times New Roman" w:hAnsi="Times New Roman" w:cs="Times New Roman"/>
                <w:sz w:val="24"/>
                <w:szCs w:val="24"/>
              </w:rPr>
              <w:t>, kas stāsies spēkā 2020. gada 1. janvārī,</w:t>
            </w:r>
            <w:r w:rsidRPr="007D78AD">
              <w:rPr>
                <w:rFonts w:ascii="Times New Roman" w:hAnsi="Times New Roman" w:cs="Times New Roman"/>
                <w:sz w:val="24"/>
                <w:szCs w:val="24"/>
              </w:rPr>
              <w:t xml:space="preserve"> noteiktajai naudas soda izteiksmes formai – naudas soda vienības. Minētajā likumā paredzēts, ka vienas vienības vērtība ir 5 </w:t>
            </w:r>
            <w:r w:rsidRPr="007D78AD">
              <w:rPr>
                <w:rFonts w:ascii="Times New Roman" w:hAnsi="Times New Roman" w:cs="Times New Roman"/>
                <w:i/>
                <w:sz w:val="24"/>
                <w:szCs w:val="24"/>
              </w:rPr>
              <w:t>euro</w:t>
            </w:r>
            <w:r w:rsidRPr="007D78AD">
              <w:rPr>
                <w:rFonts w:ascii="Times New Roman" w:hAnsi="Times New Roman" w:cs="Times New Roman"/>
                <w:sz w:val="24"/>
                <w:szCs w:val="24"/>
              </w:rPr>
              <w:t>, ko nepieciešamības gadījumā būs iespējams mainīt, nemainot visus nozares likumus. Likumprojektā ietvertajos grozījumos 178. un 179. pantā norādītos papildsodus izpildīs Administratīvās atbildības likumā noteiktajā kārtībā. Tāpat likumprojektā ietvertas normas, kas precizē esošo Maksātnespējas likuma regulējumu, lai tas atbilstu Administratīvās atbildības likuma terminoloģijai.</w:t>
            </w:r>
          </w:p>
          <w:p w:rsidRPr="00F4201F" w:rsidR="00764517" w:rsidP="00B71DD6" w:rsidRDefault="00764517" w14:paraId="1C26ECBF" w14:textId="6294C59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stāsies spēkā vienlaikus ar Administratīvās atbildības likumu.</w:t>
            </w:r>
          </w:p>
        </w:tc>
      </w:tr>
      <w:tr w:rsidR="004F0DAB" w:rsidTr="003929C3" w14:paraId="201494F6" w14:textId="77777777">
        <w:trPr>
          <w:gridAfter w:val="1"/>
          <w:wAfter w:w="4" w:type="pct"/>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004F0DAB" w:rsidP="00B71DD6" w:rsidRDefault="004F0DAB" w14:paraId="05FFC7C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w:t>
            </w:r>
          </w:p>
        </w:tc>
        <w:tc>
          <w:tcPr>
            <w:tcW w:w="1442" w:type="pct"/>
            <w:gridSpan w:val="3"/>
            <w:tcBorders>
              <w:top w:val="outset" w:color="414142" w:sz="6" w:space="0"/>
              <w:left w:val="outset" w:color="414142" w:sz="6" w:space="0"/>
              <w:bottom w:val="outset" w:color="414142" w:sz="6" w:space="0"/>
              <w:right w:val="outset" w:color="414142" w:sz="6" w:space="0"/>
            </w:tcBorders>
            <w:hideMark/>
          </w:tcPr>
          <w:p w:rsidR="004F0DAB" w:rsidP="00B71DD6" w:rsidRDefault="004F0DAB" w14:paraId="409F96ED"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izstrādē iesaistītās institūcijas un publiskas personas kapitālsabiedrības</w:t>
            </w:r>
          </w:p>
        </w:tc>
        <w:tc>
          <w:tcPr>
            <w:tcW w:w="3355" w:type="pct"/>
            <w:gridSpan w:val="6"/>
            <w:tcBorders>
              <w:top w:val="outset" w:color="414142" w:sz="6" w:space="0"/>
              <w:left w:val="outset" w:color="414142" w:sz="6" w:space="0"/>
              <w:bottom w:val="outset" w:color="414142" w:sz="6" w:space="0"/>
              <w:right w:val="outset" w:color="414142" w:sz="6" w:space="0"/>
            </w:tcBorders>
            <w:hideMark/>
          </w:tcPr>
          <w:p w:rsidR="004F0DAB" w:rsidP="00764517" w:rsidRDefault="00764517" w14:paraId="456DCB14" w14:textId="24898E8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Tieslietu ministrija un </w:t>
            </w:r>
            <w:r w:rsidR="00F4201F">
              <w:rPr>
                <w:rFonts w:ascii="Times New Roman" w:hAnsi="Times New Roman" w:eastAsia="Times New Roman" w:cs="Times New Roman"/>
                <w:sz w:val="24"/>
                <w:szCs w:val="24"/>
                <w:lang w:eastAsia="lv-LV"/>
              </w:rPr>
              <w:t>Maksātnespējas kontroles dienests</w:t>
            </w:r>
            <w:r>
              <w:rPr>
                <w:rFonts w:ascii="Times New Roman" w:hAnsi="Times New Roman" w:eastAsia="Times New Roman" w:cs="Times New Roman"/>
                <w:sz w:val="24"/>
                <w:szCs w:val="24"/>
                <w:lang w:eastAsia="lv-LV"/>
              </w:rPr>
              <w:t>.</w:t>
            </w:r>
          </w:p>
        </w:tc>
      </w:tr>
      <w:tr w:rsidR="004F0DAB" w:rsidTr="003929C3" w14:paraId="1CD4043F" w14:textId="77777777">
        <w:trPr>
          <w:gridAfter w:val="1"/>
          <w:wAfter w:w="4" w:type="pct"/>
        </w:trPr>
        <w:tc>
          <w:tcPr>
            <w:tcW w:w="200" w:type="pct"/>
            <w:gridSpan w:val="2"/>
            <w:tcBorders>
              <w:top w:val="outset" w:color="414142" w:sz="6" w:space="0"/>
              <w:left w:val="outset" w:color="414142" w:sz="6" w:space="0"/>
              <w:bottom w:val="outset" w:color="414142" w:sz="6" w:space="0"/>
              <w:right w:val="outset" w:color="414142" w:sz="6" w:space="0"/>
            </w:tcBorders>
            <w:hideMark/>
          </w:tcPr>
          <w:p w:rsidR="004F0DAB" w:rsidP="00B71DD6" w:rsidRDefault="004F0DAB" w14:paraId="50A35AE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442" w:type="pct"/>
            <w:gridSpan w:val="3"/>
            <w:tcBorders>
              <w:top w:val="outset" w:color="414142" w:sz="6" w:space="0"/>
              <w:left w:val="outset" w:color="414142" w:sz="6" w:space="0"/>
              <w:bottom w:val="outset" w:color="414142" w:sz="6" w:space="0"/>
              <w:right w:val="outset" w:color="414142" w:sz="6" w:space="0"/>
            </w:tcBorders>
            <w:hideMark/>
          </w:tcPr>
          <w:p w:rsidR="004F0DAB" w:rsidP="00B71DD6" w:rsidRDefault="004F0DAB" w14:paraId="25E389A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3355" w:type="pct"/>
            <w:gridSpan w:val="6"/>
            <w:tcBorders>
              <w:top w:val="outset" w:color="414142" w:sz="6" w:space="0"/>
              <w:left w:val="outset" w:color="414142" w:sz="6" w:space="0"/>
              <w:bottom w:val="outset" w:color="414142" w:sz="6" w:space="0"/>
              <w:right w:val="outset" w:color="414142" w:sz="6" w:space="0"/>
            </w:tcBorders>
            <w:hideMark/>
          </w:tcPr>
          <w:p w:rsidR="004F0DAB" w:rsidP="00E040C8" w:rsidRDefault="00F4201F" w14:paraId="2525239D" w14:textId="42645AB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004F0DAB" w:rsidTr="003929C3" w14:paraId="620B4C65" w14:textId="77777777">
        <w:trPr>
          <w:gridAfter w:val="1"/>
          <w:wAfter w:w="4" w:type="pct"/>
          <w:trHeight w:val="259"/>
        </w:trPr>
        <w:tc>
          <w:tcPr>
            <w:tcW w:w="4996" w:type="pct"/>
            <w:gridSpan w:val="11"/>
            <w:tcBorders>
              <w:top w:val="single" w:color="auto" w:sz="4" w:space="0"/>
              <w:left w:val="nil"/>
              <w:bottom w:val="nil"/>
              <w:right w:val="nil"/>
            </w:tcBorders>
            <w:vAlign w:val="center"/>
          </w:tcPr>
          <w:p w:rsidR="004F0DAB" w:rsidP="00B71DD6" w:rsidRDefault="004F0DAB" w14:paraId="0CB39FEF" w14:textId="77777777">
            <w:pPr>
              <w:spacing w:after="0" w:line="240" w:lineRule="auto"/>
              <w:jc w:val="both"/>
              <w:rPr>
                <w:rFonts w:ascii="Times New Roman" w:hAnsi="Times New Roman" w:eastAsia="Times New Roman" w:cs="Times New Roman"/>
                <w:b/>
                <w:bCs/>
                <w:sz w:val="24"/>
                <w:szCs w:val="24"/>
                <w:lang w:eastAsia="lv-LV"/>
              </w:rPr>
            </w:pPr>
          </w:p>
        </w:tc>
      </w:tr>
      <w:tr w:rsidR="004F0DAB" w:rsidTr="003929C3" w14:paraId="227A81E6" w14:textId="77777777">
        <w:trPr>
          <w:gridAfter w:val="1"/>
          <w:wAfter w:w="4" w:type="pct"/>
          <w:trHeight w:val="360"/>
        </w:trPr>
        <w:tc>
          <w:tcPr>
            <w:tcW w:w="4996" w:type="pct"/>
            <w:gridSpan w:val="11"/>
            <w:tcBorders>
              <w:top w:val="single" w:color="auto" w:sz="4" w:space="0"/>
              <w:left w:val="outset" w:color="414142" w:sz="6" w:space="0"/>
              <w:bottom w:val="outset" w:color="414142" w:sz="6" w:space="0"/>
              <w:right w:val="outset" w:color="414142" w:sz="6" w:space="0"/>
            </w:tcBorders>
            <w:vAlign w:val="center"/>
            <w:hideMark/>
          </w:tcPr>
          <w:p w:rsidRPr="00E20F89" w:rsidR="004F0DAB" w:rsidP="00B71DD6" w:rsidRDefault="004F0DAB" w14:paraId="667E9DD9" w14:textId="10F90A2A">
            <w:pPr>
              <w:spacing w:after="0" w:line="240" w:lineRule="auto"/>
              <w:ind w:firstLine="300"/>
              <w:jc w:val="center"/>
              <w:rPr>
                <w:rFonts w:ascii="Times New Roman" w:hAnsi="Times New Roman" w:eastAsia="Times New Roman" w:cs="Times New Roman"/>
                <w:b/>
                <w:bCs/>
                <w:sz w:val="24"/>
                <w:szCs w:val="24"/>
                <w:highlight w:val="red"/>
                <w:lang w:eastAsia="lv-LV"/>
              </w:rPr>
            </w:pPr>
            <w:r w:rsidRPr="00E20F89">
              <w:rPr>
                <w:rFonts w:ascii="Times New Roman" w:hAnsi="Times New Roman" w:eastAsia="Times New Roman" w:cs="Times New Roman"/>
                <w:b/>
                <w:bCs/>
                <w:sz w:val="24"/>
                <w:szCs w:val="24"/>
                <w:lang w:eastAsia="lv-LV"/>
              </w:rPr>
              <w:t xml:space="preserve">II. Tiesību akta projekta ietekme uz </w:t>
            </w:r>
            <w:r>
              <w:rPr>
                <w:rFonts w:ascii="Times New Roman" w:hAnsi="Times New Roman" w:eastAsia="Times New Roman" w:cs="Times New Roman"/>
                <w:b/>
                <w:bCs/>
                <w:sz w:val="24"/>
                <w:szCs w:val="24"/>
                <w:lang w:eastAsia="lv-LV"/>
              </w:rPr>
              <w:t>sabiedrību, tautsaimniecības attīstību un administratīvo slogu</w:t>
            </w:r>
          </w:p>
        </w:tc>
      </w:tr>
      <w:tr w:rsidR="004F0DAB" w:rsidTr="003929C3" w14:paraId="00ED3977" w14:textId="77777777">
        <w:trPr>
          <w:gridAfter w:val="1"/>
          <w:wAfter w:w="4" w:type="pct"/>
          <w:trHeight w:val="405"/>
        </w:trPr>
        <w:tc>
          <w:tcPr>
            <w:tcW w:w="200" w:type="pct"/>
            <w:gridSpan w:val="2"/>
            <w:tcBorders>
              <w:top w:val="outset" w:color="414142" w:sz="6" w:space="0"/>
              <w:left w:val="outset" w:color="414142" w:sz="6" w:space="0"/>
              <w:bottom w:val="outset" w:color="414142" w:sz="6" w:space="0"/>
              <w:right w:val="outset" w:color="414142" w:sz="6" w:space="0"/>
            </w:tcBorders>
            <w:hideMark/>
          </w:tcPr>
          <w:p w:rsidR="004F0DAB" w:rsidP="00B71DD6" w:rsidRDefault="004F0DAB" w14:paraId="2A5DAA1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1442" w:type="pct"/>
            <w:gridSpan w:val="3"/>
            <w:tcBorders>
              <w:top w:val="outset" w:color="414142" w:sz="6" w:space="0"/>
              <w:left w:val="outset" w:color="414142" w:sz="6" w:space="0"/>
              <w:bottom w:val="outset" w:color="414142" w:sz="6" w:space="0"/>
              <w:right w:val="outset" w:color="414142" w:sz="6" w:space="0"/>
            </w:tcBorders>
            <w:hideMark/>
          </w:tcPr>
          <w:p w:rsidR="004F0DAB" w:rsidP="00B71DD6" w:rsidRDefault="004F0DAB" w14:paraId="665427A0" w14:textId="702C87FD">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Sabiedrības </w:t>
            </w:r>
            <w:bookmarkStart w:name="_Hlk533151504" w:id="4"/>
            <w:r>
              <w:rPr>
                <w:rFonts w:ascii="Times New Roman" w:hAnsi="Times New Roman" w:eastAsia="Times New Roman" w:cs="Times New Roman"/>
                <w:sz w:val="24"/>
                <w:szCs w:val="24"/>
                <w:lang w:eastAsia="lv-LV"/>
              </w:rPr>
              <w:t xml:space="preserve">mērķgrupas, </w:t>
            </w:r>
            <w:bookmarkEnd w:id="4"/>
            <w:r>
              <w:rPr>
                <w:rFonts w:ascii="Times New Roman" w:hAnsi="Times New Roman" w:eastAsia="Times New Roman" w:cs="Times New Roman"/>
                <w:sz w:val="24"/>
                <w:szCs w:val="24"/>
                <w:lang w:eastAsia="lv-LV"/>
              </w:rPr>
              <w:t>kuras tiesiskais regulējums ietekmē vai varētu ietekmēt</w:t>
            </w:r>
          </w:p>
        </w:tc>
        <w:tc>
          <w:tcPr>
            <w:tcW w:w="3355" w:type="pct"/>
            <w:gridSpan w:val="6"/>
            <w:tcBorders>
              <w:top w:val="outset" w:color="414142" w:sz="6" w:space="0"/>
              <w:left w:val="outset" w:color="414142" w:sz="6" w:space="0"/>
              <w:bottom w:val="outset" w:color="414142" w:sz="6" w:space="0"/>
              <w:right w:val="outset" w:color="414142" w:sz="6" w:space="0"/>
            </w:tcBorders>
            <w:hideMark/>
          </w:tcPr>
          <w:p w:rsidR="004F0DAB" w:rsidP="00E040C8" w:rsidRDefault="002C4DBA" w14:paraId="45810017" w14:textId="1CB9DB4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Personas, kuras iesaistītas tiesiskās aizsardzības, fiziskās personas un juridiskās personas maksātnespējas procesa norisē. </w:t>
            </w:r>
          </w:p>
        </w:tc>
      </w:tr>
      <w:tr w:rsidR="004F0DAB" w:rsidTr="003929C3" w14:paraId="339E8B62" w14:textId="77777777">
        <w:trPr>
          <w:gridAfter w:val="1"/>
          <w:wAfter w:w="4" w:type="pct"/>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004F0DAB" w:rsidP="00B71DD6" w:rsidRDefault="004F0DAB" w14:paraId="27C24C2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1442" w:type="pct"/>
            <w:gridSpan w:val="3"/>
            <w:tcBorders>
              <w:top w:val="outset" w:color="414142" w:sz="6" w:space="0"/>
              <w:left w:val="outset" w:color="414142" w:sz="6" w:space="0"/>
              <w:bottom w:val="outset" w:color="414142" w:sz="6" w:space="0"/>
              <w:right w:val="outset" w:color="414142" w:sz="6" w:space="0"/>
            </w:tcBorders>
            <w:hideMark/>
          </w:tcPr>
          <w:p w:rsidR="004F0DAB" w:rsidP="00B71DD6" w:rsidRDefault="004F0DAB" w14:paraId="63F0E177" w14:textId="75D3CCCD">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Tiesiskā regulējuma ietekme uz tautsaimniecību un administratīvo slogu</w:t>
            </w:r>
          </w:p>
        </w:tc>
        <w:tc>
          <w:tcPr>
            <w:tcW w:w="3355" w:type="pct"/>
            <w:gridSpan w:val="6"/>
            <w:tcBorders>
              <w:top w:val="outset" w:color="414142" w:sz="6" w:space="0"/>
              <w:left w:val="outset" w:color="414142" w:sz="6" w:space="0"/>
              <w:bottom w:val="outset" w:color="414142" w:sz="6" w:space="0"/>
              <w:right w:val="outset" w:color="414142" w:sz="6" w:space="0"/>
            </w:tcBorders>
          </w:tcPr>
          <w:p w:rsidR="004F0DAB" w:rsidP="00B71DD6" w:rsidRDefault="00D11E4B" w14:paraId="23236CF4" w14:textId="43292B7E">
            <w:pPr>
              <w:spacing w:after="0" w:line="240" w:lineRule="auto"/>
              <w:jc w:val="both"/>
              <w:rPr>
                <w:rFonts w:ascii="Times New Roman" w:hAnsi="Times New Roman" w:cs="Times New Roman"/>
                <w:sz w:val="24"/>
                <w:szCs w:val="24"/>
              </w:rPr>
            </w:pPr>
            <w:r w:rsidRPr="00F4201F">
              <w:rPr>
                <w:rFonts w:ascii="Times New Roman" w:hAnsi="Times New Roman" w:cs="Times New Roman"/>
                <w:sz w:val="24"/>
                <w:szCs w:val="24"/>
              </w:rPr>
              <w:t>Administratīvās atbildības likuma kontekstā</w:t>
            </w:r>
            <w:r w:rsidRPr="00F4201F" w:rsidR="00F4201F">
              <w:rPr>
                <w:rFonts w:ascii="Times New Roman" w:hAnsi="Times New Roman" w:cs="Times New Roman"/>
                <w:sz w:val="24"/>
                <w:szCs w:val="24"/>
              </w:rPr>
              <w:t xml:space="preserve"> ne tikai saglabājot maksātnespējas jomā paredzētos administratīvos pārkāpumus, bet arī palielinot to soda apmērus, likumprojektam būs pozitīva ietekme uz sabiedrības attīstību un tautsaimniecību.</w:t>
            </w:r>
          </w:p>
          <w:p w:rsidRPr="00330C9D" w:rsidR="00330C9D" w:rsidP="00B71DD6" w:rsidRDefault="00330C9D" w14:paraId="2B068163" w14:textId="2D6DFDED">
            <w:pPr>
              <w:spacing w:after="0" w:line="240" w:lineRule="auto"/>
              <w:jc w:val="both"/>
              <w:rPr>
                <w:rFonts w:ascii="Times New Roman" w:hAnsi="Times New Roman" w:cs="Times New Roman"/>
                <w:sz w:val="24"/>
                <w:szCs w:val="24"/>
              </w:rPr>
            </w:pPr>
            <w:r w:rsidRPr="007D78AD">
              <w:rPr>
                <w:rFonts w:ascii="Times New Roman" w:hAnsi="Times New Roman" w:cs="Times New Roman"/>
                <w:sz w:val="24"/>
                <w:szCs w:val="24"/>
              </w:rPr>
              <w:t>Sagaidāms, ka, palielinot gan minimālo, gan maksimālo naudas soda apmēru, tiks stiprināta administratīvās atbildības piemērošanas mērķa daļa, kas sabiedrības locekļus preventīvi mudina rīkoties tā, lai netiktu izdarīti administratīvie pārkāpumi.</w:t>
            </w:r>
          </w:p>
        </w:tc>
      </w:tr>
      <w:tr w:rsidR="004F0DAB" w:rsidTr="003929C3" w14:paraId="623C28DD" w14:textId="77777777">
        <w:trPr>
          <w:gridAfter w:val="1"/>
          <w:wAfter w:w="4" w:type="pct"/>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004F0DAB" w:rsidP="00B71DD6" w:rsidRDefault="004F0DAB" w14:paraId="6455EEF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1442" w:type="pct"/>
            <w:gridSpan w:val="3"/>
            <w:tcBorders>
              <w:top w:val="outset" w:color="414142" w:sz="6" w:space="0"/>
              <w:left w:val="outset" w:color="414142" w:sz="6" w:space="0"/>
              <w:bottom w:val="outset" w:color="414142" w:sz="6" w:space="0"/>
              <w:right w:val="outset" w:color="414142" w:sz="6" w:space="0"/>
            </w:tcBorders>
            <w:hideMark/>
          </w:tcPr>
          <w:p w:rsidR="004F0DAB" w:rsidP="00B71DD6" w:rsidRDefault="004F0DAB" w14:paraId="4FBD54B1" w14:textId="7BBE8DF1">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Administratīvo izmaksu monetārs novērtējums</w:t>
            </w:r>
          </w:p>
        </w:tc>
        <w:tc>
          <w:tcPr>
            <w:tcW w:w="3355" w:type="pct"/>
            <w:gridSpan w:val="6"/>
            <w:tcBorders>
              <w:top w:val="outset" w:color="414142" w:sz="6" w:space="0"/>
              <w:left w:val="outset" w:color="414142" w:sz="6" w:space="0"/>
              <w:bottom w:val="outset" w:color="414142" w:sz="6" w:space="0"/>
              <w:right w:val="outset" w:color="414142" w:sz="6" w:space="0"/>
            </w:tcBorders>
            <w:hideMark/>
          </w:tcPr>
          <w:p w:rsidR="004F0DAB" w:rsidP="00E040C8" w:rsidRDefault="00330C9D" w14:paraId="2D66F7C6" w14:textId="027EC0B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004F0DAB" w:rsidTr="003929C3" w14:paraId="424813D2" w14:textId="77777777">
        <w:trPr>
          <w:gridAfter w:val="1"/>
          <w:wAfter w:w="4" w:type="pct"/>
        </w:trPr>
        <w:tc>
          <w:tcPr>
            <w:tcW w:w="200" w:type="pct"/>
            <w:gridSpan w:val="2"/>
            <w:tcBorders>
              <w:top w:val="outset" w:color="414142" w:sz="6" w:space="0"/>
              <w:left w:val="outset" w:color="414142" w:sz="6" w:space="0"/>
              <w:bottom w:val="outset" w:color="414142" w:sz="6" w:space="0"/>
              <w:right w:val="outset" w:color="414142" w:sz="6" w:space="0"/>
            </w:tcBorders>
            <w:hideMark/>
          </w:tcPr>
          <w:p w:rsidR="004F0DAB" w:rsidP="00B71DD6" w:rsidRDefault="004F0DAB" w14:paraId="38F8A07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442" w:type="pct"/>
            <w:gridSpan w:val="3"/>
            <w:tcBorders>
              <w:top w:val="outset" w:color="414142" w:sz="6" w:space="0"/>
              <w:left w:val="outset" w:color="414142" w:sz="6" w:space="0"/>
              <w:bottom w:val="outset" w:color="414142" w:sz="6" w:space="0"/>
              <w:right w:val="outset" w:color="414142" w:sz="6" w:space="0"/>
            </w:tcBorders>
            <w:hideMark/>
          </w:tcPr>
          <w:p w:rsidR="004F0DAB" w:rsidP="00B71DD6" w:rsidRDefault="004F0DAB" w14:paraId="3531E56E" w14:textId="6B99D003">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Atbilstības izmaksu monetārs novērtējums</w:t>
            </w:r>
          </w:p>
        </w:tc>
        <w:tc>
          <w:tcPr>
            <w:tcW w:w="3355" w:type="pct"/>
            <w:gridSpan w:val="6"/>
            <w:tcBorders>
              <w:top w:val="outset" w:color="414142" w:sz="6" w:space="0"/>
              <w:left w:val="outset" w:color="414142" w:sz="6" w:space="0"/>
              <w:bottom w:val="outset" w:color="414142" w:sz="6" w:space="0"/>
              <w:right w:val="outset" w:color="414142" w:sz="6" w:space="0"/>
            </w:tcBorders>
            <w:hideMark/>
          </w:tcPr>
          <w:p w:rsidR="004F0DAB" w:rsidP="00E040C8" w:rsidRDefault="00330C9D" w14:paraId="563B76C4" w14:textId="57CF4EA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004F0DAB" w:rsidTr="003929C3" w14:paraId="1FEE95AA" w14:textId="77777777">
        <w:trPr>
          <w:gridAfter w:val="1"/>
          <w:wAfter w:w="4" w:type="pct"/>
        </w:trPr>
        <w:tc>
          <w:tcPr>
            <w:tcW w:w="200" w:type="pct"/>
            <w:gridSpan w:val="2"/>
            <w:tcBorders>
              <w:top w:val="outset" w:color="414142" w:sz="6" w:space="0"/>
              <w:left w:val="outset" w:color="414142" w:sz="6" w:space="0"/>
              <w:bottom w:val="outset" w:color="414142" w:sz="6" w:space="0"/>
              <w:right w:val="outset" w:color="414142" w:sz="6" w:space="0"/>
            </w:tcBorders>
            <w:hideMark/>
          </w:tcPr>
          <w:p w:rsidR="004F0DAB" w:rsidP="00B71DD6" w:rsidRDefault="004F0DAB" w14:paraId="3E78C8F0" w14:textId="08F26C0D">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p>
        </w:tc>
        <w:tc>
          <w:tcPr>
            <w:tcW w:w="1442" w:type="pct"/>
            <w:gridSpan w:val="3"/>
            <w:tcBorders>
              <w:top w:val="outset" w:color="414142" w:sz="6" w:space="0"/>
              <w:left w:val="outset" w:color="414142" w:sz="6" w:space="0"/>
              <w:bottom w:val="outset" w:color="414142" w:sz="6" w:space="0"/>
              <w:right w:val="outset" w:color="414142" w:sz="6" w:space="0"/>
            </w:tcBorders>
            <w:hideMark/>
          </w:tcPr>
          <w:p w:rsidR="004F0DAB" w:rsidP="00B71DD6" w:rsidRDefault="004F0DAB" w14:paraId="3AC172A9" w14:textId="5F2BFA7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3355" w:type="pct"/>
            <w:gridSpan w:val="6"/>
            <w:tcBorders>
              <w:top w:val="outset" w:color="414142" w:sz="6" w:space="0"/>
              <w:left w:val="outset" w:color="414142" w:sz="6" w:space="0"/>
              <w:bottom w:val="outset" w:color="414142" w:sz="6" w:space="0"/>
              <w:right w:val="outset" w:color="414142" w:sz="6" w:space="0"/>
            </w:tcBorders>
            <w:hideMark/>
          </w:tcPr>
          <w:p w:rsidR="004F0DAB" w:rsidP="00E040C8" w:rsidRDefault="00330C9D" w14:paraId="2A587E36" w14:textId="00356F6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006D7E84" w:rsidTr="003929C3" w14:paraId="10CC5A92" w14:textId="77777777">
        <w:trPr>
          <w:gridBefore w:val="1"/>
          <w:wBefore w:w="11" w:type="pct"/>
          <w:trHeight w:val="450"/>
        </w:trPr>
        <w:tc>
          <w:tcPr>
            <w:tcW w:w="0" w:type="auto"/>
            <w:gridSpan w:val="11"/>
            <w:tcBorders>
              <w:top w:val="outset" w:color="414142" w:sz="6" w:space="0"/>
              <w:left w:val="outset" w:color="414142" w:sz="6" w:space="0"/>
              <w:bottom w:val="outset" w:color="414142" w:sz="6" w:space="0"/>
              <w:right w:val="outset" w:color="414142" w:sz="6" w:space="0"/>
            </w:tcBorders>
            <w:vAlign w:val="center"/>
            <w:hideMark/>
          </w:tcPr>
          <w:p w:rsidR="006D7E84" w:rsidP="005D129D" w:rsidRDefault="006D7E84" w14:paraId="15524922"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III. Tiesību akta projekta ietekme uz valsts budžetu un pašvaldību budžetiem </w:t>
            </w:r>
          </w:p>
        </w:tc>
      </w:tr>
      <w:tr w:rsidRPr="00A1552F" w:rsidR="006D7E84" w:rsidTr="003929C3" w14:paraId="4DD4F5B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vMerge w:val="restart"/>
            <w:shd w:val="clear" w:color="auto" w:fill="FFFFFF"/>
            <w:vAlign w:val="center"/>
          </w:tcPr>
          <w:p w:rsidRPr="00A1552F" w:rsidR="006D7E84" w:rsidP="005D129D" w:rsidRDefault="006D7E84" w14:paraId="0ABB55E1"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Rādītāji</w:t>
            </w:r>
          </w:p>
        </w:tc>
        <w:tc>
          <w:tcPr>
            <w:tcW w:w="1041" w:type="pct"/>
            <w:gridSpan w:val="3"/>
            <w:vMerge w:val="restart"/>
            <w:shd w:val="clear" w:color="auto" w:fill="FFFFFF"/>
            <w:vAlign w:val="center"/>
            <w:hideMark/>
          </w:tcPr>
          <w:p w:rsidRPr="00A1552F" w:rsidR="006D7E84" w:rsidP="005D129D" w:rsidRDefault="006D7E84" w14:paraId="4FDA4D1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2019. </w:t>
            </w:r>
            <w:r w:rsidRPr="00A1552F">
              <w:rPr>
                <w:rFonts w:ascii="Times New Roman" w:hAnsi="Times New Roman" w:eastAsia="Times New Roman" w:cs="Times New Roman"/>
                <w:sz w:val="24"/>
                <w:szCs w:val="24"/>
                <w:lang w:eastAsia="lv-LV"/>
              </w:rPr>
              <w:t>gads</w:t>
            </w:r>
          </w:p>
        </w:tc>
        <w:tc>
          <w:tcPr>
            <w:tcW w:w="3104" w:type="pct"/>
            <w:gridSpan w:val="6"/>
            <w:shd w:val="clear" w:color="auto" w:fill="FFFFFF"/>
            <w:vAlign w:val="center"/>
            <w:hideMark/>
          </w:tcPr>
          <w:p w:rsidRPr="00A1552F" w:rsidR="006D7E84" w:rsidP="005D129D" w:rsidRDefault="006D7E84" w14:paraId="04CD2A1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Turpmākie trīs gadi (</w:t>
            </w:r>
            <w:r w:rsidRPr="001F68D7">
              <w:rPr>
                <w:rFonts w:ascii="Times New Roman" w:hAnsi="Times New Roman" w:eastAsia="Times New Roman" w:cs="Times New Roman"/>
                <w:i/>
                <w:sz w:val="24"/>
                <w:szCs w:val="24"/>
                <w:lang w:eastAsia="lv-LV"/>
              </w:rPr>
              <w:t>euro</w:t>
            </w:r>
            <w:r w:rsidRPr="00A1552F">
              <w:rPr>
                <w:rFonts w:ascii="Times New Roman" w:hAnsi="Times New Roman" w:eastAsia="Times New Roman" w:cs="Times New Roman"/>
                <w:sz w:val="24"/>
                <w:szCs w:val="24"/>
                <w:lang w:eastAsia="lv-LV"/>
              </w:rPr>
              <w:t>)</w:t>
            </w:r>
          </w:p>
        </w:tc>
      </w:tr>
      <w:tr w:rsidRPr="00A1552F" w:rsidR="006D7E84" w:rsidTr="003929C3" w14:paraId="266930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vMerge/>
            <w:shd w:val="clear" w:color="auto" w:fill="auto"/>
            <w:vAlign w:val="center"/>
            <w:hideMark/>
          </w:tcPr>
          <w:p w:rsidRPr="00A1552F" w:rsidR="006D7E84" w:rsidP="005D129D" w:rsidRDefault="006D7E84" w14:paraId="7DE4731B" w14:textId="77777777">
            <w:pPr>
              <w:spacing w:after="0" w:line="240" w:lineRule="auto"/>
              <w:jc w:val="both"/>
              <w:rPr>
                <w:rFonts w:ascii="Times New Roman" w:hAnsi="Times New Roman" w:eastAsia="Times New Roman" w:cs="Times New Roman"/>
                <w:sz w:val="24"/>
                <w:szCs w:val="24"/>
                <w:lang w:eastAsia="lv-LV"/>
              </w:rPr>
            </w:pPr>
          </w:p>
        </w:tc>
        <w:tc>
          <w:tcPr>
            <w:tcW w:w="1041" w:type="pct"/>
            <w:gridSpan w:val="3"/>
            <w:vMerge/>
            <w:shd w:val="clear" w:color="auto" w:fill="auto"/>
            <w:vAlign w:val="center"/>
            <w:hideMark/>
          </w:tcPr>
          <w:p w:rsidRPr="00A1552F" w:rsidR="006D7E84" w:rsidP="005D129D" w:rsidRDefault="006D7E84" w14:paraId="4020C107" w14:textId="77777777">
            <w:pPr>
              <w:spacing w:after="0" w:line="240" w:lineRule="auto"/>
              <w:jc w:val="both"/>
              <w:rPr>
                <w:rFonts w:ascii="Times New Roman" w:hAnsi="Times New Roman" w:eastAsia="Times New Roman" w:cs="Times New Roman"/>
                <w:sz w:val="24"/>
                <w:szCs w:val="24"/>
                <w:lang w:eastAsia="lv-LV"/>
              </w:rPr>
            </w:pPr>
          </w:p>
        </w:tc>
        <w:tc>
          <w:tcPr>
            <w:tcW w:w="1182" w:type="pct"/>
            <w:gridSpan w:val="2"/>
            <w:shd w:val="clear" w:color="auto" w:fill="FFFFFF"/>
            <w:vAlign w:val="center"/>
            <w:hideMark/>
          </w:tcPr>
          <w:p w:rsidRPr="00A1552F" w:rsidR="006D7E84" w:rsidP="005D129D" w:rsidRDefault="006D7E84" w14:paraId="439A0AE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w:t>
            </w:r>
          </w:p>
        </w:tc>
        <w:tc>
          <w:tcPr>
            <w:tcW w:w="1183" w:type="pct"/>
            <w:gridSpan w:val="2"/>
            <w:shd w:val="clear" w:color="auto" w:fill="FFFFFF"/>
            <w:vAlign w:val="center"/>
            <w:hideMark/>
          </w:tcPr>
          <w:p w:rsidRPr="00A1552F" w:rsidR="006D7E84" w:rsidP="005D129D" w:rsidRDefault="006D7E84" w14:paraId="07A00B5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p>
        </w:tc>
        <w:tc>
          <w:tcPr>
            <w:tcW w:w="739" w:type="pct"/>
            <w:gridSpan w:val="2"/>
            <w:shd w:val="clear" w:color="auto" w:fill="FFFFFF"/>
            <w:vAlign w:val="center"/>
            <w:hideMark/>
          </w:tcPr>
          <w:p w:rsidRPr="00A1552F" w:rsidR="006D7E84" w:rsidP="005D129D" w:rsidRDefault="006D7E84" w14:paraId="21DFEBE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w:t>
            </w:r>
          </w:p>
        </w:tc>
      </w:tr>
      <w:tr w:rsidRPr="00A1552F" w:rsidR="006D7E84" w:rsidTr="003929C3" w14:paraId="5EEC04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vMerge/>
            <w:shd w:val="clear" w:color="auto" w:fill="auto"/>
            <w:vAlign w:val="center"/>
            <w:hideMark/>
          </w:tcPr>
          <w:p w:rsidRPr="00A1552F" w:rsidR="006D7E84" w:rsidP="005D129D" w:rsidRDefault="006D7E84" w14:paraId="2C81A09B" w14:textId="77777777">
            <w:pPr>
              <w:spacing w:after="0" w:line="240" w:lineRule="auto"/>
              <w:jc w:val="both"/>
              <w:rPr>
                <w:rFonts w:ascii="Times New Roman" w:hAnsi="Times New Roman" w:eastAsia="Times New Roman" w:cs="Times New Roman"/>
                <w:sz w:val="24"/>
                <w:szCs w:val="24"/>
                <w:lang w:eastAsia="lv-LV"/>
              </w:rPr>
            </w:pPr>
          </w:p>
        </w:tc>
        <w:tc>
          <w:tcPr>
            <w:tcW w:w="494" w:type="pct"/>
            <w:shd w:val="clear" w:color="auto" w:fill="FFFFFF"/>
            <w:vAlign w:val="center"/>
            <w:hideMark/>
          </w:tcPr>
          <w:p w:rsidRPr="00A1552F" w:rsidR="006D7E84" w:rsidP="005D129D" w:rsidRDefault="006D7E84" w14:paraId="03FB3161"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valsts budžetu kārtējam gadam</w:t>
            </w:r>
          </w:p>
        </w:tc>
        <w:tc>
          <w:tcPr>
            <w:tcW w:w="546" w:type="pct"/>
            <w:gridSpan w:val="2"/>
            <w:shd w:val="clear" w:color="auto" w:fill="FFFFFF"/>
            <w:vAlign w:val="center"/>
            <w:hideMark/>
          </w:tcPr>
          <w:p w:rsidRPr="00A1552F" w:rsidR="006D7E84" w:rsidP="005D129D" w:rsidRDefault="006D7E84" w14:paraId="56A20C43"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kārtējā gadā, salīdzinot ar valsts budžetu kārtējam gadam</w:t>
            </w:r>
          </w:p>
        </w:tc>
        <w:tc>
          <w:tcPr>
            <w:tcW w:w="443" w:type="pct"/>
            <w:shd w:val="clear" w:color="auto" w:fill="FFFFFF"/>
            <w:vAlign w:val="center"/>
            <w:hideMark/>
          </w:tcPr>
          <w:p w:rsidRPr="00A1552F" w:rsidR="006D7E84" w:rsidP="005D129D" w:rsidRDefault="006D7E84" w14:paraId="21BD3EC2"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739" w:type="pct"/>
            <w:shd w:val="clear" w:color="auto" w:fill="FFFFFF"/>
            <w:vAlign w:val="center"/>
            <w:hideMark/>
          </w:tcPr>
          <w:p w:rsidRPr="00A1552F" w:rsidR="006D7E84" w:rsidP="005D129D" w:rsidRDefault="006D7E84" w14:paraId="741D58D6" w14:textId="31F6957F">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Pr>
                <w:rFonts w:ascii="Times New Roman" w:hAnsi="Times New Roman" w:eastAsia="Times New Roman" w:cs="Times New Roman"/>
                <w:sz w:val="24"/>
                <w:szCs w:val="24"/>
                <w:lang w:eastAsia="lv-LV"/>
              </w:rPr>
              <w:t>20</w:t>
            </w:r>
            <w:r w:rsidR="00F35FF4">
              <w:rPr>
                <w:rFonts w:ascii="Times New Roman" w:hAnsi="Times New Roman" w:eastAsia="Times New Roman" w:cs="Times New Roman"/>
                <w:sz w:val="24"/>
                <w:szCs w:val="24"/>
                <w:lang w:eastAsia="lv-LV"/>
              </w:rPr>
              <w:t>20</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gadam</w:t>
            </w:r>
          </w:p>
        </w:tc>
        <w:tc>
          <w:tcPr>
            <w:tcW w:w="443" w:type="pct"/>
            <w:shd w:val="clear" w:color="auto" w:fill="FFFFFF"/>
            <w:vAlign w:val="center"/>
            <w:hideMark/>
          </w:tcPr>
          <w:p w:rsidRPr="00A1552F" w:rsidR="006D7E84" w:rsidP="005D129D" w:rsidRDefault="006D7E84" w14:paraId="24E60B12"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740" w:type="pct"/>
            <w:shd w:val="clear" w:color="auto" w:fill="FFFFFF"/>
            <w:vAlign w:val="center"/>
            <w:hideMark/>
          </w:tcPr>
          <w:p w:rsidRPr="00A1552F" w:rsidR="006D7E84" w:rsidP="005D129D" w:rsidRDefault="006D7E84" w14:paraId="284378CC" w14:textId="5BD1F078">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Pr>
                <w:rFonts w:ascii="Times New Roman" w:hAnsi="Times New Roman" w:eastAsia="Times New Roman" w:cs="Times New Roman"/>
                <w:sz w:val="24"/>
                <w:szCs w:val="24"/>
                <w:lang w:eastAsia="lv-LV"/>
              </w:rPr>
              <w:t>20</w:t>
            </w:r>
            <w:r w:rsidR="00F35FF4">
              <w:rPr>
                <w:rFonts w:ascii="Times New Roman" w:hAnsi="Times New Roman" w:eastAsia="Times New Roman" w:cs="Times New Roman"/>
                <w:sz w:val="24"/>
                <w:szCs w:val="24"/>
                <w:lang w:eastAsia="lv-LV"/>
              </w:rPr>
              <w:t>21</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gadam</w:t>
            </w:r>
          </w:p>
        </w:tc>
        <w:tc>
          <w:tcPr>
            <w:tcW w:w="739" w:type="pct"/>
            <w:gridSpan w:val="2"/>
            <w:shd w:val="clear" w:color="auto" w:fill="FFFFFF"/>
            <w:vAlign w:val="center"/>
            <w:hideMark/>
          </w:tcPr>
          <w:p w:rsidRPr="00A1552F" w:rsidR="006D7E84" w:rsidP="005D129D" w:rsidRDefault="006D7E84" w14:paraId="3F7DF9FC" w14:textId="20030270">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Pr="00A1552F">
              <w:rPr>
                <w:rFonts w:ascii="Times New Roman" w:hAnsi="Times New Roman" w:eastAsia="Times New Roman" w:cs="Times New Roman"/>
                <w:sz w:val="24"/>
                <w:szCs w:val="24"/>
                <w:lang w:eastAsia="lv-LV"/>
              </w:rPr>
              <w:br/>
            </w:r>
            <w:r>
              <w:rPr>
                <w:rFonts w:ascii="Times New Roman" w:hAnsi="Times New Roman" w:eastAsia="Times New Roman" w:cs="Times New Roman"/>
                <w:sz w:val="24"/>
                <w:szCs w:val="24"/>
                <w:lang w:eastAsia="lv-LV"/>
              </w:rPr>
              <w:t>20</w:t>
            </w:r>
            <w:r w:rsidR="00F35FF4">
              <w:rPr>
                <w:rFonts w:ascii="Times New Roman" w:hAnsi="Times New Roman" w:eastAsia="Times New Roman" w:cs="Times New Roman"/>
                <w:sz w:val="24"/>
                <w:szCs w:val="24"/>
                <w:lang w:eastAsia="lv-LV"/>
              </w:rPr>
              <w:t>21</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gadam</w:t>
            </w:r>
          </w:p>
        </w:tc>
      </w:tr>
      <w:tr w:rsidRPr="00A1552F" w:rsidR="006D7E84" w:rsidTr="003929C3" w14:paraId="52D97A5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FFFFFF"/>
            <w:vAlign w:val="center"/>
            <w:hideMark/>
          </w:tcPr>
          <w:p w:rsidRPr="00A1552F" w:rsidR="006D7E84" w:rsidP="005D129D" w:rsidRDefault="006D7E84" w14:paraId="1F680A36"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p>
        </w:tc>
        <w:tc>
          <w:tcPr>
            <w:tcW w:w="494" w:type="pct"/>
            <w:shd w:val="clear" w:color="auto" w:fill="FFFFFF"/>
            <w:vAlign w:val="center"/>
            <w:hideMark/>
          </w:tcPr>
          <w:p w:rsidRPr="00A1552F" w:rsidR="006D7E84" w:rsidP="005D129D" w:rsidRDefault="006D7E84" w14:paraId="755C7C60"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p>
        </w:tc>
        <w:tc>
          <w:tcPr>
            <w:tcW w:w="546" w:type="pct"/>
            <w:gridSpan w:val="2"/>
            <w:shd w:val="clear" w:color="auto" w:fill="FFFFFF"/>
            <w:vAlign w:val="center"/>
            <w:hideMark/>
          </w:tcPr>
          <w:p w:rsidRPr="00A1552F" w:rsidR="006D7E84" w:rsidP="005D129D" w:rsidRDefault="006D7E84" w14:paraId="781C6901"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p>
        </w:tc>
        <w:tc>
          <w:tcPr>
            <w:tcW w:w="443" w:type="pct"/>
            <w:shd w:val="clear" w:color="auto" w:fill="FFFFFF"/>
            <w:vAlign w:val="center"/>
            <w:hideMark/>
          </w:tcPr>
          <w:p w:rsidRPr="00A1552F" w:rsidR="006D7E84" w:rsidP="005D129D" w:rsidRDefault="006D7E84" w14:paraId="74F54E8F"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w:t>
            </w:r>
          </w:p>
        </w:tc>
        <w:tc>
          <w:tcPr>
            <w:tcW w:w="739" w:type="pct"/>
            <w:shd w:val="clear" w:color="auto" w:fill="FFFFFF"/>
            <w:vAlign w:val="center"/>
            <w:hideMark/>
          </w:tcPr>
          <w:p w:rsidRPr="00A1552F" w:rsidR="006D7E84" w:rsidP="005D129D" w:rsidRDefault="006D7E84" w14:paraId="01D3C641"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p>
        </w:tc>
        <w:tc>
          <w:tcPr>
            <w:tcW w:w="443" w:type="pct"/>
            <w:shd w:val="clear" w:color="auto" w:fill="FFFFFF"/>
            <w:vAlign w:val="center"/>
            <w:hideMark/>
          </w:tcPr>
          <w:p w:rsidRPr="00A1552F" w:rsidR="006D7E84" w:rsidP="005D129D" w:rsidRDefault="006D7E84" w14:paraId="34695A4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p>
        </w:tc>
        <w:tc>
          <w:tcPr>
            <w:tcW w:w="740" w:type="pct"/>
            <w:shd w:val="clear" w:color="auto" w:fill="FFFFFF"/>
            <w:vAlign w:val="center"/>
            <w:hideMark/>
          </w:tcPr>
          <w:p w:rsidRPr="00A1552F" w:rsidR="006D7E84" w:rsidP="005D129D" w:rsidRDefault="006D7E84" w14:paraId="48B9CF4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p>
        </w:tc>
        <w:tc>
          <w:tcPr>
            <w:tcW w:w="739" w:type="pct"/>
            <w:gridSpan w:val="2"/>
            <w:shd w:val="clear" w:color="auto" w:fill="FFFFFF"/>
            <w:vAlign w:val="center"/>
            <w:hideMark/>
          </w:tcPr>
          <w:p w:rsidRPr="00A1552F" w:rsidR="006D7E84" w:rsidP="005D129D" w:rsidRDefault="006D7E84" w14:paraId="1B52CEEF"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p>
        </w:tc>
      </w:tr>
      <w:tr w:rsidRPr="00A1552F" w:rsidR="006D7E84" w:rsidTr="003929C3" w14:paraId="61CCCF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FFFFFF"/>
            <w:hideMark/>
          </w:tcPr>
          <w:p w:rsidRPr="00A1552F" w:rsidR="006D7E84" w:rsidP="005D129D" w:rsidRDefault="006D7E84" w14:paraId="7C38564A" w14:textId="00F56B38">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Budžeta ieņēmumi</w:t>
            </w:r>
          </w:p>
        </w:tc>
        <w:tc>
          <w:tcPr>
            <w:tcW w:w="494" w:type="pct"/>
            <w:shd w:val="clear" w:color="auto" w:fill="FFFFFF"/>
            <w:vAlign w:val="center"/>
            <w:hideMark/>
          </w:tcPr>
          <w:p w:rsidRPr="00A1552F" w:rsidR="006D7E84" w:rsidP="005D129D" w:rsidRDefault="006D7E84" w14:paraId="1853558A" w14:textId="366C473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77 430</w:t>
            </w:r>
          </w:p>
        </w:tc>
        <w:tc>
          <w:tcPr>
            <w:tcW w:w="546" w:type="pct"/>
            <w:gridSpan w:val="2"/>
            <w:shd w:val="clear" w:color="auto" w:fill="FFFFFF"/>
            <w:vAlign w:val="center"/>
            <w:hideMark/>
          </w:tcPr>
          <w:p w:rsidRPr="00A1552F" w:rsidR="006D7E84" w:rsidP="005D129D" w:rsidRDefault="006D7E84" w14:paraId="50053DF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FFFFFF"/>
            <w:vAlign w:val="center"/>
            <w:hideMark/>
          </w:tcPr>
          <w:p w:rsidRPr="00A1552F" w:rsidR="006D7E84" w:rsidP="005D129D" w:rsidRDefault="006D7E84" w14:paraId="7426F45C" w14:textId="4C8853C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77 430</w:t>
            </w:r>
          </w:p>
        </w:tc>
        <w:tc>
          <w:tcPr>
            <w:tcW w:w="739" w:type="pct"/>
            <w:shd w:val="clear" w:color="auto" w:fill="FFFFFF"/>
            <w:vAlign w:val="center"/>
            <w:hideMark/>
          </w:tcPr>
          <w:p w:rsidRPr="00A1552F" w:rsidR="006D7E84" w:rsidP="005D129D" w:rsidRDefault="00256AFB" w14:paraId="15796024" w14:textId="78095E5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443" w:type="pct"/>
            <w:shd w:val="clear" w:color="auto" w:fill="FFFFFF"/>
            <w:vAlign w:val="center"/>
            <w:hideMark/>
          </w:tcPr>
          <w:p w:rsidRPr="00A1552F" w:rsidR="006D7E84" w:rsidP="005D129D" w:rsidRDefault="006D7E84" w14:paraId="6C69FC26" w14:textId="4E77CEE2">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77 430</w:t>
            </w:r>
          </w:p>
        </w:tc>
        <w:tc>
          <w:tcPr>
            <w:tcW w:w="740" w:type="pct"/>
            <w:shd w:val="clear" w:color="auto" w:fill="FFFFFF"/>
            <w:vAlign w:val="center"/>
            <w:hideMark/>
          </w:tcPr>
          <w:p w:rsidRPr="00A1552F" w:rsidR="006D7E84" w:rsidP="005D129D" w:rsidRDefault="00256AFB" w14:paraId="38FB2B0D" w14:textId="7B219AA6">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739" w:type="pct"/>
            <w:gridSpan w:val="2"/>
            <w:shd w:val="clear" w:color="auto" w:fill="FFFFFF"/>
            <w:vAlign w:val="center"/>
            <w:hideMark/>
          </w:tcPr>
          <w:p w:rsidRPr="00A1552F" w:rsidR="006D7E84" w:rsidP="005D129D" w:rsidRDefault="00256AFB" w14:paraId="16AF6545" w14:textId="7919D843">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r>
      <w:tr w:rsidRPr="00A1552F" w:rsidR="006D7E84" w:rsidTr="003929C3" w14:paraId="1E56E4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6D7E84" w:rsidP="005D129D" w:rsidRDefault="006D7E84" w14:paraId="094E9220" w14:textId="59FDDBCE">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1.1.</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valsts pamatbudžets, tai skaitā ieņēmumi no maksas pakalpojumiem un citi pašu ieņēmumi</w:t>
            </w:r>
          </w:p>
        </w:tc>
        <w:tc>
          <w:tcPr>
            <w:tcW w:w="494" w:type="pct"/>
            <w:shd w:val="clear" w:color="auto" w:fill="auto"/>
            <w:vAlign w:val="center"/>
            <w:hideMark/>
          </w:tcPr>
          <w:p w:rsidRPr="00A1552F" w:rsidR="006D7E84" w:rsidP="005D129D" w:rsidRDefault="006D7E84" w14:paraId="26488462" w14:textId="24A2FC5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77 430</w:t>
            </w:r>
          </w:p>
        </w:tc>
        <w:tc>
          <w:tcPr>
            <w:tcW w:w="546" w:type="pct"/>
            <w:gridSpan w:val="2"/>
            <w:shd w:val="clear" w:color="auto" w:fill="auto"/>
            <w:vAlign w:val="center"/>
            <w:hideMark/>
          </w:tcPr>
          <w:p w:rsidRPr="00A1552F" w:rsidR="006D7E84" w:rsidP="005D129D" w:rsidRDefault="006D7E84" w14:paraId="470B6444"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1B12552E" w14:textId="6ED8226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77 430</w:t>
            </w:r>
          </w:p>
        </w:tc>
        <w:tc>
          <w:tcPr>
            <w:tcW w:w="739" w:type="pct"/>
            <w:shd w:val="clear" w:color="auto" w:fill="auto"/>
            <w:vAlign w:val="center"/>
            <w:hideMark/>
          </w:tcPr>
          <w:p w:rsidRPr="00A1552F" w:rsidR="006D7E84" w:rsidP="005D129D" w:rsidRDefault="00256AFB" w14:paraId="295A7C56" w14:textId="695AA9C4">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443" w:type="pct"/>
            <w:shd w:val="clear" w:color="auto" w:fill="auto"/>
            <w:vAlign w:val="center"/>
            <w:hideMark/>
          </w:tcPr>
          <w:p w:rsidRPr="00A1552F" w:rsidR="006D7E84" w:rsidP="005D129D" w:rsidRDefault="006D7E84" w14:paraId="0F60B2AE" w14:textId="1AA055E0">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77 430</w:t>
            </w:r>
          </w:p>
        </w:tc>
        <w:tc>
          <w:tcPr>
            <w:tcW w:w="740" w:type="pct"/>
            <w:shd w:val="clear" w:color="auto" w:fill="auto"/>
            <w:vAlign w:val="center"/>
            <w:hideMark/>
          </w:tcPr>
          <w:p w:rsidRPr="00A1552F" w:rsidR="006D7E84" w:rsidP="005D129D" w:rsidRDefault="00256AFB" w14:paraId="0BB382F9" w14:textId="5A085FF4">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739" w:type="pct"/>
            <w:gridSpan w:val="2"/>
            <w:shd w:val="clear" w:color="auto" w:fill="auto"/>
            <w:vAlign w:val="center"/>
            <w:hideMark/>
          </w:tcPr>
          <w:p w:rsidRPr="00A1552F" w:rsidR="006D7E84" w:rsidP="005D129D" w:rsidRDefault="00256AFB" w14:paraId="00B4420F" w14:textId="11B81708">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r>
      <w:tr w:rsidRPr="00A1552F" w:rsidR="006D7E84" w:rsidTr="003929C3" w14:paraId="7BC7B3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6D7E84" w:rsidP="005D129D" w:rsidRDefault="006D7E84" w14:paraId="06846085" w14:textId="706F5CF9">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1.2.</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valsts speciālais budžets</w:t>
            </w:r>
          </w:p>
        </w:tc>
        <w:tc>
          <w:tcPr>
            <w:tcW w:w="494" w:type="pct"/>
            <w:shd w:val="clear" w:color="auto" w:fill="auto"/>
            <w:vAlign w:val="center"/>
            <w:hideMark/>
          </w:tcPr>
          <w:p w:rsidRPr="00A1552F" w:rsidR="006D7E84" w:rsidP="005D129D" w:rsidRDefault="006D7E84" w14:paraId="1F776FED"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6D7E84" w:rsidP="005D129D" w:rsidRDefault="006D7E84" w14:paraId="440D8943"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5657AD5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6D7E84" w:rsidP="005D129D" w:rsidRDefault="006D7E84" w14:paraId="7CA1A43D"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6026BCDB"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6D7E84" w:rsidP="005D129D" w:rsidRDefault="006D7E84" w14:paraId="492811C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6D7E84" w:rsidP="005D129D" w:rsidRDefault="006D7E84" w14:paraId="213EA835"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6D7E84" w:rsidTr="003929C3" w14:paraId="520200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6D7E84" w:rsidP="005D129D" w:rsidRDefault="006D7E84" w14:paraId="373D07F8" w14:textId="14300D99">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1.3.</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pašvaldību budžets</w:t>
            </w:r>
          </w:p>
        </w:tc>
        <w:tc>
          <w:tcPr>
            <w:tcW w:w="494" w:type="pct"/>
            <w:shd w:val="clear" w:color="auto" w:fill="auto"/>
            <w:vAlign w:val="center"/>
            <w:hideMark/>
          </w:tcPr>
          <w:p w:rsidRPr="00A1552F" w:rsidR="006D7E84" w:rsidP="005D129D" w:rsidRDefault="006D7E84" w14:paraId="3B6774DC"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6D7E84" w:rsidP="005D129D" w:rsidRDefault="006D7E84" w14:paraId="0AFAE581"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56434793"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6D7E84" w:rsidP="005D129D" w:rsidRDefault="006D7E84" w14:paraId="6E1DB7B4"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051D646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6D7E84" w:rsidP="005D129D" w:rsidRDefault="006D7E84" w14:paraId="53A1D8E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6D7E84" w:rsidP="005D129D" w:rsidRDefault="006D7E84" w14:paraId="030AD7B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6D7E84" w:rsidTr="003929C3" w14:paraId="5630D2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6D7E84" w:rsidP="005D129D" w:rsidRDefault="006D7E84" w14:paraId="31E03F4B" w14:textId="461A500E">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Budžeta izdevumi</w:t>
            </w:r>
          </w:p>
        </w:tc>
        <w:tc>
          <w:tcPr>
            <w:tcW w:w="494" w:type="pct"/>
            <w:shd w:val="clear" w:color="auto" w:fill="auto"/>
            <w:vAlign w:val="center"/>
            <w:hideMark/>
          </w:tcPr>
          <w:p w:rsidRPr="00A1552F" w:rsidR="006D7E84" w:rsidP="005D129D" w:rsidRDefault="006D7E84" w14:paraId="02E9004F"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6D7E84" w:rsidP="005D129D" w:rsidRDefault="006D7E84" w14:paraId="3FBD84EE"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64A17B13"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6D7E84" w:rsidP="005D129D" w:rsidRDefault="006D7E84" w14:paraId="21FB65DD"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447FA095"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6D7E84" w:rsidP="005D129D" w:rsidRDefault="006D7E84" w14:paraId="6F40510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6D7E84" w:rsidP="005D129D" w:rsidRDefault="006D7E84" w14:paraId="1171CF77"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6D7E84" w:rsidTr="003929C3" w14:paraId="5E7812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6D7E84" w:rsidP="005D129D" w:rsidRDefault="006D7E84" w14:paraId="29FC39A1" w14:textId="4DB6619E">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2.1.</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valsts pamatbudžets</w:t>
            </w:r>
          </w:p>
        </w:tc>
        <w:tc>
          <w:tcPr>
            <w:tcW w:w="494" w:type="pct"/>
            <w:shd w:val="clear" w:color="auto" w:fill="auto"/>
            <w:vAlign w:val="center"/>
            <w:hideMark/>
          </w:tcPr>
          <w:p w:rsidRPr="00A1552F" w:rsidR="006D7E84" w:rsidP="005D129D" w:rsidRDefault="006D7E84" w14:paraId="4C3BA630"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6D7E84" w:rsidP="005D129D" w:rsidRDefault="006D7E84" w14:paraId="27634AF8"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273FC32B"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6D7E84" w:rsidP="005D129D" w:rsidRDefault="006D7E84" w14:paraId="542F0F81"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2C729B43"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6D7E84" w:rsidP="005D129D" w:rsidRDefault="006D7E84" w14:paraId="43BB132F"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6D7E84" w:rsidP="005D129D" w:rsidRDefault="006D7E84" w14:paraId="7ADBD49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6D7E84" w:rsidTr="003929C3" w14:paraId="66F3D8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6D7E84" w:rsidP="005D129D" w:rsidRDefault="006D7E84" w14:paraId="3F716511" w14:textId="6B20363F">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2.2.</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valsts speciālais budžets</w:t>
            </w:r>
          </w:p>
        </w:tc>
        <w:tc>
          <w:tcPr>
            <w:tcW w:w="494" w:type="pct"/>
            <w:shd w:val="clear" w:color="auto" w:fill="auto"/>
            <w:vAlign w:val="center"/>
            <w:hideMark/>
          </w:tcPr>
          <w:p w:rsidRPr="00A1552F" w:rsidR="006D7E84" w:rsidP="005D129D" w:rsidRDefault="006D7E84" w14:paraId="7C3F1E6E"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6D7E84" w:rsidP="005D129D" w:rsidRDefault="006D7E84" w14:paraId="1C7F5953"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5C928643"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6D7E84" w:rsidP="005D129D" w:rsidRDefault="006D7E84" w14:paraId="7C35B29F"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33126863"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6D7E84" w:rsidP="005D129D" w:rsidRDefault="006D7E84" w14:paraId="643B63B9"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6D7E84" w:rsidP="005D129D" w:rsidRDefault="006D7E84" w14:paraId="556D8E2B"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6D7E84" w:rsidTr="003929C3" w14:paraId="57C26D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6D7E84" w:rsidP="005D129D" w:rsidRDefault="006D7E84" w14:paraId="33D58C49" w14:textId="7120A566">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2.3.</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pašvaldību budžets</w:t>
            </w:r>
          </w:p>
        </w:tc>
        <w:tc>
          <w:tcPr>
            <w:tcW w:w="494" w:type="pct"/>
            <w:shd w:val="clear" w:color="auto" w:fill="auto"/>
            <w:vAlign w:val="center"/>
            <w:hideMark/>
          </w:tcPr>
          <w:p w:rsidRPr="00A1552F" w:rsidR="006D7E84" w:rsidP="005D129D" w:rsidRDefault="006D7E84" w14:paraId="227388FD"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6D7E84" w:rsidP="005D129D" w:rsidRDefault="006D7E84" w14:paraId="455B1BC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5345F1F8"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6D7E84" w:rsidP="005D129D" w:rsidRDefault="006D7E84" w14:paraId="3D608BE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6D7E84" w:rsidP="005D129D" w:rsidRDefault="006D7E84" w14:paraId="3BE45B29"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6D7E84" w:rsidP="005D129D" w:rsidRDefault="006D7E84" w14:paraId="428A14D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6D7E84" w:rsidP="005D129D" w:rsidRDefault="006D7E84" w14:paraId="464ECAAF"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EA24CF" w:rsidTr="003929C3" w14:paraId="29D540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58E02389" w14:textId="2C80C05A">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Finansiālā ietekme</w:t>
            </w:r>
          </w:p>
        </w:tc>
        <w:tc>
          <w:tcPr>
            <w:tcW w:w="494" w:type="pct"/>
            <w:shd w:val="clear" w:color="auto" w:fill="auto"/>
            <w:vAlign w:val="center"/>
            <w:hideMark/>
          </w:tcPr>
          <w:p w:rsidRPr="00A1552F" w:rsidR="009E5A81" w:rsidP="009E5A81" w:rsidRDefault="009E5A81" w14:paraId="29C0153D"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9E5A81" w:rsidP="009E5A81" w:rsidRDefault="009E5A81" w14:paraId="48FB902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9E5A81" w:rsidP="009E5A81" w:rsidRDefault="009E5A81" w14:paraId="75D66E47"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FFFFFF"/>
            <w:vAlign w:val="center"/>
            <w:hideMark/>
          </w:tcPr>
          <w:p w:rsidRPr="00A1552F" w:rsidR="009E5A81" w:rsidP="009E5A81" w:rsidRDefault="00256AFB" w14:paraId="3E517D86" w14:textId="25209D96">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443" w:type="pct"/>
            <w:shd w:val="clear" w:color="auto" w:fill="auto"/>
            <w:vAlign w:val="center"/>
            <w:hideMark/>
          </w:tcPr>
          <w:p w:rsidRPr="00A1552F" w:rsidR="009E5A81" w:rsidP="009E5A81" w:rsidRDefault="009E5A81" w14:paraId="57494E87"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FFFFFF"/>
            <w:vAlign w:val="center"/>
            <w:hideMark/>
          </w:tcPr>
          <w:p w:rsidRPr="00A1552F" w:rsidR="009E5A81" w:rsidP="009E5A81" w:rsidRDefault="00256AFB" w14:paraId="32566A82" w14:textId="0396AF23">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739" w:type="pct"/>
            <w:gridSpan w:val="2"/>
            <w:shd w:val="clear" w:color="auto" w:fill="FFFFFF"/>
            <w:vAlign w:val="center"/>
            <w:hideMark/>
          </w:tcPr>
          <w:p w:rsidRPr="00A1552F" w:rsidR="009E5A81" w:rsidP="009E5A81" w:rsidRDefault="00256AFB" w14:paraId="3840D26C" w14:textId="3A63CD5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r>
      <w:tr w:rsidRPr="00A1552F" w:rsidR="009E5A81" w:rsidTr="003929C3" w14:paraId="4C3295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752650FF" w14:textId="1876182A">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3.1.</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valsts pamatbudžets</w:t>
            </w:r>
          </w:p>
        </w:tc>
        <w:tc>
          <w:tcPr>
            <w:tcW w:w="494" w:type="pct"/>
            <w:shd w:val="clear" w:color="auto" w:fill="auto"/>
            <w:vAlign w:val="center"/>
            <w:hideMark/>
          </w:tcPr>
          <w:p w:rsidRPr="00A1552F" w:rsidR="009E5A81" w:rsidP="009E5A81" w:rsidRDefault="009E5A81" w14:paraId="59FE4A5C"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9E5A81" w:rsidP="009E5A81" w:rsidRDefault="009E5A81" w14:paraId="0B7791D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9E5A81" w:rsidP="009E5A81" w:rsidRDefault="009E5A81" w14:paraId="0523174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9E5A81" w:rsidP="009E5A81" w:rsidRDefault="00256AFB" w14:paraId="2E41231D" w14:textId="01B2D79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443" w:type="pct"/>
            <w:shd w:val="clear" w:color="auto" w:fill="auto"/>
            <w:vAlign w:val="center"/>
            <w:hideMark/>
          </w:tcPr>
          <w:p w:rsidRPr="00A1552F" w:rsidR="009E5A81" w:rsidP="009E5A81" w:rsidRDefault="009E5A81" w14:paraId="13ECCFF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9E5A81" w:rsidP="009E5A81" w:rsidRDefault="00256AFB" w14:paraId="7EF36563" w14:textId="181854EF">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739" w:type="pct"/>
            <w:gridSpan w:val="2"/>
            <w:shd w:val="clear" w:color="auto" w:fill="auto"/>
            <w:vAlign w:val="center"/>
            <w:hideMark/>
          </w:tcPr>
          <w:p w:rsidRPr="00A1552F" w:rsidR="009E5A81" w:rsidP="009E5A81" w:rsidRDefault="00256AFB" w14:paraId="5A857050" w14:textId="3C8B025A">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r>
      <w:tr w:rsidRPr="00A1552F" w:rsidR="009E5A81" w:rsidTr="003929C3" w14:paraId="3D1164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4BAD03B9" w14:textId="102870FB">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3.2.</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speciālais budžets</w:t>
            </w:r>
          </w:p>
        </w:tc>
        <w:tc>
          <w:tcPr>
            <w:tcW w:w="494" w:type="pct"/>
            <w:shd w:val="clear" w:color="auto" w:fill="auto"/>
            <w:vAlign w:val="center"/>
            <w:hideMark/>
          </w:tcPr>
          <w:p w:rsidRPr="00A1552F" w:rsidR="009E5A81" w:rsidP="009E5A81" w:rsidRDefault="009E5A81" w14:paraId="4774BD61"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9E5A81" w:rsidP="009E5A81" w:rsidRDefault="009E5A81" w14:paraId="6491FEAA"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9E5A81" w:rsidP="009E5A81" w:rsidRDefault="009E5A81" w14:paraId="4FE3A41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9E5A81" w:rsidP="009E5A81" w:rsidRDefault="009E5A81" w14:paraId="6B1AC225"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9E5A81" w:rsidP="009E5A81" w:rsidRDefault="009E5A81" w14:paraId="7C9703B1"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9E5A81" w:rsidP="009E5A81" w:rsidRDefault="009E5A81" w14:paraId="4875A00D"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9E5A81" w:rsidP="009E5A81" w:rsidRDefault="009E5A81" w14:paraId="6389EB3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9E5A81" w:rsidTr="003929C3" w14:paraId="1C3293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5F4227E7" w14:textId="0DEB4E83">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3.3.</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pašvaldību budžets</w:t>
            </w:r>
          </w:p>
        </w:tc>
        <w:tc>
          <w:tcPr>
            <w:tcW w:w="494" w:type="pct"/>
            <w:shd w:val="clear" w:color="auto" w:fill="auto"/>
            <w:vAlign w:val="center"/>
            <w:hideMark/>
          </w:tcPr>
          <w:p w:rsidRPr="00A1552F" w:rsidR="009E5A81" w:rsidP="009E5A81" w:rsidRDefault="009E5A81" w14:paraId="0801B6C4"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9E5A81" w:rsidP="009E5A81" w:rsidRDefault="009E5A81" w14:paraId="44CD3B9E"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9E5A81" w:rsidP="009E5A81" w:rsidRDefault="009E5A81" w14:paraId="10750201"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9E5A81" w:rsidP="009E5A81" w:rsidRDefault="009E5A81" w14:paraId="73DA9F8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9E5A81" w:rsidP="009E5A81" w:rsidRDefault="009E5A81" w14:paraId="2526DC9B"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9E5A81" w:rsidP="009E5A81" w:rsidRDefault="009E5A81" w14:paraId="5EE9E2C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9E5A81" w:rsidP="009E5A81" w:rsidRDefault="009E5A81" w14:paraId="4DADB62C"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9E5A81" w:rsidTr="003929C3" w14:paraId="0A5FEE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5B541CDB" w14:textId="19CB47F9">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4.</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Finanšu līdzekļi papildu izdevumu finansēšanai (kompensējošu izdevumu samazinājumu norāda ar "+" zīmi)</w:t>
            </w:r>
          </w:p>
        </w:tc>
        <w:tc>
          <w:tcPr>
            <w:tcW w:w="494" w:type="pct"/>
            <w:shd w:val="clear" w:color="auto" w:fill="auto"/>
            <w:vAlign w:val="center"/>
            <w:hideMark/>
          </w:tcPr>
          <w:p w:rsidRPr="00A1552F" w:rsidR="009E5A81" w:rsidP="009E5A81" w:rsidRDefault="009E5A81" w14:paraId="44E3EF13"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6" w:type="pct"/>
            <w:gridSpan w:val="2"/>
            <w:shd w:val="clear" w:color="auto" w:fill="auto"/>
            <w:vAlign w:val="center"/>
            <w:hideMark/>
          </w:tcPr>
          <w:p w:rsidRPr="00A1552F" w:rsidR="009E5A81" w:rsidP="009E5A81" w:rsidRDefault="009E5A81" w14:paraId="77578CDB"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9E5A81" w:rsidP="009E5A81" w:rsidRDefault="009E5A81" w14:paraId="74C3AF68"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shd w:val="clear" w:color="auto" w:fill="auto"/>
            <w:vAlign w:val="center"/>
            <w:hideMark/>
          </w:tcPr>
          <w:p w:rsidRPr="00A1552F" w:rsidR="009E5A81" w:rsidP="009E5A81" w:rsidRDefault="009E5A81" w14:paraId="122D20BF"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shd w:val="clear" w:color="auto" w:fill="auto"/>
            <w:vAlign w:val="center"/>
            <w:hideMark/>
          </w:tcPr>
          <w:p w:rsidRPr="00A1552F" w:rsidR="009E5A81" w:rsidP="009E5A81" w:rsidRDefault="009E5A81" w14:paraId="684DEB84"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40" w:type="pct"/>
            <w:shd w:val="clear" w:color="auto" w:fill="auto"/>
            <w:vAlign w:val="center"/>
            <w:hideMark/>
          </w:tcPr>
          <w:p w:rsidRPr="00A1552F" w:rsidR="009E5A81" w:rsidP="009E5A81" w:rsidRDefault="009E5A81" w14:paraId="105126A2"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9E5A81" w:rsidP="009E5A81" w:rsidRDefault="009E5A81" w14:paraId="1443DC1D"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9E5A81" w:rsidTr="003929C3" w14:paraId="6E6EDA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1D3C0DF7" w14:textId="3720E97F">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Precizēta finansiālā ietekme</w:t>
            </w:r>
          </w:p>
        </w:tc>
        <w:tc>
          <w:tcPr>
            <w:tcW w:w="494" w:type="pct"/>
            <w:vMerge w:val="restart"/>
            <w:shd w:val="clear" w:color="auto" w:fill="auto"/>
            <w:vAlign w:val="center"/>
            <w:hideMark/>
          </w:tcPr>
          <w:p w:rsidRPr="00A1552F" w:rsidR="009E5A81" w:rsidP="009E5A81" w:rsidRDefault="009E5A81" w14:paraId="23F07AC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6" w:type="pct"/>
            <w:gridSpan w:val="2"/>
            <w:shd w:val="clear" w:color="auto" w:fill="auto"/>
            <w:vAlign w:val="center"/>
            <w:hideMark/>
          </w:tcPr>
          <w:p w:rsidRPr="00A1552F" w:rsidR="009E5A81" w:rsidP="009E5A81" w:rsidRDefault="009E5A81" w14:paraId="5BA2C0B0"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vMerge w:val="restart"/>
            <w:shd w:val="clear" w:color="auto" w:fill="auto"/>
            <w:vAlign w:val="center"/>
            <w:hideMark/>
          </w:tcPr>
          <w:p w:rsidRPr="00A1552F" w:rsidR="009E5A81" w:rsidP="009E5A81" w:rsidRDefault="009E5A81" w14:paraId="0DC71A1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739" w:type="pct"/>
            <w:shd w:val="clear" w:color="auto" w:fill="auto"/>
            <w:vAlign w:val="center"/>
            <w:hideMark/>
          </w:tcPr>
          <w:p w:rsidRPr="00A1552F" w:rsidR="009E5A81" w:rsidP="009E5A81" w:rsidRDefault="00256AFB" w14:paraId="2A40013A" w14:textId="0CD6F7E9">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443" w:type="pct"/>
            <w:vMerge w:val="restart"/>
            <w:shd w:val="clear" w:color="auto" w:fill="auto"/>
            <w:vAlign w:val="center"/>
            <w:hideMark/>
          </w:tcPr>
          <w:p w:rsidRPr="00A1552F" w:rsidR="009E5A81" w:rsidP="009E5A81" w:rsidRDefault="009E5A81" w14:paraId="747BDBF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740" w:type="pct"/>
            <w:shd w:val="clear" w:color="auto" w:fill="auto"/>
            <w:vAlign w:val="center"/>
            <w:hideMark/>
          </w:tcPr>
          <w:p w:rsidRPr="00A1552F" w:rsidR="009E5A81" w:rsidP="009E5A81" w:rsidRDefault="00256AFB" w14:paraId="4EB39BE1" w14:textId="38BB426C">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739" w:type="pct"/>
            <w:gridSpan w:val="2"/>
            <w:shd w:val="clear" w:color="auto" w:fill="auto"/>
            <w:vAlign w:val="center"/>
            <w:hideMark/>
          </w:tcPr>
          <w:p w:rsidRPr="00A1552F" w:rsidR="009E5A81" w:rsidP="009E5A81" w:rsidRDefault="00256AFB" w14:paraId="5B6FE346" w14:textId="4E452F78">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r>
      <w:tr w:rsidRPr="00A1552F" w:rsidR="009E5A81" w:rsidTr="003929C3" w14:paraId="353632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2DCC0924" w14:textId="1A5155CB">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5.1.</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valsts pamatbudžets</w:t>
            </w:r>
          </w:p>
        </w:tc>
        <w:tc>
          <w:tcPr>
            <w:tcW w:w="494" w:type="pct"/>
            <w:vMerge/>
            <w:shd w:val="clear" w:color="auto" w:fill="auto"/>
            <w:vAlign w:val="center"/>
            <w:hideMark/>
          </w:tcPr>
          <w:p w:rsidRPr="00A1552F" w:rsidR="009E5A81" w:rsidP="009E5A81" w:rsidRDefault="009E5A81" w14:paraId="078785DE" w14:textId="77777777">
            <w:pPr>
              <w:spacing w:after="0" w:line="240" w:lineRule="auto"/>
              <w:jc w:val="both"/>
              <w:rPr>
                <w:rFonts w:ascii="Times New Roman" w:hAnsi="Times New Roman" w:eastAsia="Times New Roman" w:cs="Times New Roman"/>
                <w:sz w:val="24"/>
                <w:szCs w:val="24"/>
                <w:lang w:eastAsia="lv-LV"/>
              </w:rPr>
            </w:pPr>
          </w:p>
        </w:tc>
        <w:tc>
          <w:tcPr>
            <w:tcW w:w="546" w:type="pct"/>
            <w:gridSpan w:val="2"/>
            <w:shd w:val="clear" w:color="auto" w:fill="auto"/>
            <w:vAlign w:val="center"/>
            <w:hideMark/>
          </w:tcPr>
          <w:p w:rsidRPr="00A1552F" w:rsidR="009E5A81" w:rsidP="009E5A81" w:rsidRDefault="009E5A81" w14:paraId="75275CAD"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vMerge/>
            <w:shd w:val="clear" w:color="auto" w:fill="auto"/>
            <w:vAlign w:val="center"/>
            <w:hideMark/>
          </w:tcPr>
          <w:p w:rsidRPr="00A1552F" w:rsidR="009E5A81" w:rsidP="009E5A81" w:rsidRDefault="009E5A81" w14:paraId="021B608C" w14:textId="77777777">
            <w:pPr>
              <w:spacing w:after="0" w:line="240" w:lineRule="auto"/>
              <w:jc w:val="both"/>
              <w:rPr>
                <w:rFonts w:ascii="Times New Roman" w:hAnsi="Times New Roman" w:eastAsia="Times New Roman" w:cs="Times New Roman"/>
                <w:sz w:val="24"/>
                <w:szCs w:val="24"/>
                <w:lang w:eastAsia="lv-LV"/>
              </w:rPr>
            </w:pPr>
          </w:p>
        </w:tc>
        <w:tc>
          <w:tcPr>
            <w:tcW w:w="739" w:type="pct"/>
            <w:shd w:val="clear" w:color="auto" w:fill="auto"/>
            <w:vAlign w:val="center"/>
            <w:hideMark/>
          </w:tcPr>
          <w:p w:rsidRPr="00A1552F" w:rsidR="009E5A81" w:rsidP="009E5A81" w:rsidRDefault="00256AFB" w14:paraId="6F538C89" w14:textId="0619585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443" w:type="pct"/>
            <w:vMerge/>
            <w:shd w:val="clear" w:color="auto" w:fill="auto"/>
            <w:vAlign w:val="center"/>
            <w:hideMark/>
          </w:tcPr>
          <w:p w:rsidRPr="00A1552F" w:rsidR="009E5A81" w:rsidP="009E5A81" w:rsidRDefault="009E5A81" w14:paraId="73434E04" w14:textId="77777777">
            <w:pPr>
              <w:spacing w:after="0" w:line="240" w:lineRule="auto"/>
              <w:jc w:val="both"/>
              <w:rPr>
                <w:rFonts w:ascii="Times New Roman" w:hAnsi="Times New Roman" w:eastAsia="Times New Roman" w:cs="Times New Roman"/>
                <w:sz w:val="24"/>
                <w:szCs w:val="24"/>
                <w:lang w:eastAsia="lv-LV"/>
              </w:rPr>
            </w:pPr>
          </w:p>
        </w:tc>
        <w:tc>
          <w:tcPr>
            <w:tcW w:w="740" w:type="pct"/>
            <w:shd w:val="clear" w:color="auto" w:fill="auto"/>
            <w:vAlign w:val="center"/>
            <w:hideMark/>
          </w:tcPr>
          <w:p w:rsidRPr="00A1552F" w:rsidR="009E5A81" w:rsidP="009E5A81" w:rsidRDefault="00256AFB" w14:paraId="7814F619" w14:textId="4D58E26B">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c>
          <w:tcPr>
            <w:tcW w:w="739" w:type="pct"/>
            <w:gridSpan w:val="2"/>
            <w:shd w:val="clear" w:color="auto" w:fill="auto"/>
            <w:vAlign w:val="center"/>
            <w:hideMark/>
          </w:tcPr>
          <w:p w:rsidRPr="00A1552F" w:rsidR="009E5A81" w:rsidP="009E5A81" w:rsidRDefault="00256AFB" w14:paraId="573206A8" w14:textId="21A9165D">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128 432</w:t>
            </w:r>
          </w:p>
        </w:tc>
      </w:tr>
      <w:tr w:rsidRPr="00A1552F" w:rsidR="009E5A81" w:rsidTr="003929C3" w14:paraId="27FF75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7B356514" w14:textId="00DF5D6B">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5.2.</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speciālais budžets</w:t>
            </w:r>
          </w:p>
        </w:tc>
        <w:tc>
          <w:tcPr>
            <w:tcW w:w="494" w:type="pct"/>
            <w:vMerge/>
            <w:shd w:val="clear" w:color="auto" w:fill="auto"/>
            <w:vAlign w:val="center"/>
            <w:hideMark/>
          </w:tcPr>
          <w:p w:rsidRPr="00A1552F" w:rsidR="009E5A81" w:rsidP="009E5A81" w:rsidRDefault="009E5A81" w14:paraId="4A73A2AE" w14:textId="77777777">
            <w:pPr>
              <w:spacing w:after="0" w:line="240" w:lineRule="auto"/>
              <w:jc w:val="both"/>
              <w:rPr>
                <w:rFonts w:ascii="Times New Roman" w:hAnsi="Times New Roman" w:eastAsia="Times New Roman" w:cs="Times New Roman"/>
                <w:sz w:val="24"/>
                <w:szCs w:val="24"/>
                <w:lang w:eastAsia="lv-LV"/>
              </w:rPr>
            </w:pPr>
          </w:p>
        </w:tc>
        <w:tc>
          <w:tcPr>
            <w:tcW w:w="546" w:type="pct"/>
            <w:gridSpan w:val="2"/>
            <w:shd w:val="clear" w:color="auto" w:fill="auto"/>
            <w:vAlign w:val="center"/>
            <w:hideMark/>
          </w:tcPr>
          <w:p w:rsidRPr="00A1552F" w:rsidR="009E5A81" w:rsidP="009E5A81" w:rsidRDefault="009E5A81" w14:paraId="5134D523"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vMerge/>
            <w:shd w:val="clear" w:color="auto" w:fill="auto"/>
            <w:vAlign w:val="center"/>
            <w:hideMark/>
          </w:tcPr>
          <w:p w:rsidRPr="00A1552F" w:rsidR="009E5A81" w:rsidP="009E5A81" w:rsidRDefault="009E5A81" w14:paraId="72E17714" w14:textId="77777777">
            <w:pPr>
              <w:spacing w:after="0" w:line="240" w:lineRule="auto"/>
              <w:jc w:val="both"/>
              <w:rPr>
                <w:rFonts w:ascii="Times New Roman" w:hAnsi="Times New Roman" w:eastAsia="Times New Roman" w:cs="Times New Roman"/>
                <w:sz w:val="24"/>
                <w:szCs w:val="24"/>
                <w:lang w:eastAsia="lv-LV"/>
              </w:rPr>
            </w:pPr>
          </w:p>
        </w:tc>
        <w:tc>
          <w:tcPr>
            <w:tcW w:w="739" w:type="pct"/>
            <w:shd w:val="clear" w:color="auto" w:fill="auto"/>
            <w:vAlign w:val="center"/>
            <w:hideMark/>
          </w:tcPr>
          <w:p w:rsidRPr="00A1552F" w:rsidR="009E5A81" w:rsidP="009E5A81" w:rsidRDefault="009E5A81" w14:paraId="4EA2328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vMerge/>
            <w:shd w:val="clear" w:color="auto" w:fill="auto"/>
            <w:vAlign w:val="center"/>
            <w:hideMark/>
          </w:tcPr>
          <w:p w:rsidRPr="00A1552F" w:rsidR="009E5A81" w:rsidP="009E5A81" w:rsidRDefault="009E5A81" w14:paraId="3F792D0D" w14:textId="77777777">
            <w:pPr>
              <w:spacing w:after="0" w:line="240" w:lineRule="auto"/>
              <w:jc w:val="both"/>
              <w:rPr>
                <w:rFonts w:ascii="Times New Roman" w:hAnsi="Times New Roman" w:eastAsia="Times New Roman" w:cs="Times New Roman"/>
                <w:sz w:val="24"/>
                <w:szCs w:val="24"/>
                <w:lang w:eastAsia="lv-LV"/>
              </w:rPr>
            </w:pPr>
          </w:p>
        </w:tc>
        <w:tc>
          <w:tcPr>
            <w:tcW w:w="740" w:type="pct"/>
            <w:shd w:val="clear" w:color="auto" w:fill="auto"/>
            <w:vAlign w:val="center"/>
            <w:hideMark/>
          </w:tcPr>
          <w:p w:rsidRPr="00A1552F" w:rsidR="009E5A81" w:rsidP="009E5A81" w:rsidRDefault="009E5A81" w14:paraId="26C2148E"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9E5A81" w:rsidP="009E5A81" w:rsidRDefault="009E5A81" w14:paraId="7E9B5456"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9E5A81" w:rsidTr="003929C3" w14:paraId="7EC330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0E55598A" w14:textId="319B4318">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5.3.</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pašvaldību budžets</w:t>
            </w:r>
          </w:p>
        </w:tc>
        <w:tc>
          <w:tcPr>
            <w:tcW w:w="494" w:type="pct"/>
            <w:vMerge/>
            <w:shd w:val="clear" w:color="auto" w:fill="auto"/>
            <w:vAlign w:val="center"/>
            <w:hideMark/>
          </w:tcPr>
          <w:p w:rsidRPr="00A1552F" w:rsidR="009E5A81" w:rsidP="009E5A81" w:rsidRDefault="009E5A81" w14:paraId="7B58B03D" w14:textId="77777777">
            <w:pPr>
              <w:spacing w:after="0" w:line="240" w:lineRule="auto"/>
              <w:jc w:val="both"/>
              <w:rPr>
                <w:rFonts w:ascii="Times New Roman" w:hAnsi="Times New Roman" w:eastAsia="Times New Roman" w:cs="Times New Roman"/>
                <w:sz w:val="24"/>
                <w:szCs w:val="24"/>
                <w:lang w:eastAsia="lv-LV"/>
              </w:rPr>
            </w:pPr>
          </w:p>
        </w:tc>
        <w:tc>
          <w:tcPr>
            <w:tcW w:w="546" w:type="pct"/>
            <w:gridSpan w:val="2"/>
            <w:shd w:val="clear" w:color="auto" w:fill="auto"/>
            <w:vAlign w:val="center"/>
            <w:hideMark/>
          </w:tcPr>
          <w:p w:rsidRPr="00A1552F" w:rsidR="009E5A81" w:rsidP="009E5A81" w:rsidRDefault="009E5A81" w14:paraId="146DFB57"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vMerge/>
            <w:shd w:val="clear" w:color="auto" w:fill="auto"/>
            <w:vAlign w:val="center"/>
            <w:hideMark/>
          </w:tcPr>
          <w:p w:rsidRPr="00A1552F" w:rsidR="009E5A81" w:rsidP="009E5A81" w:rsidRDefault="009E5A81" w14:paraId="5A4FF0BA" w14:textId="77777777">
            <w:pPr>
              <w:spacing w:after="0" w:line="240" w:lineRule="auto"/>
              <w:jc w:val="both"/>
              <w:rPr>
                <w:rFonts w:ascii="Times New Roman" w:hAnsi="Times New Roman" w:eastAsia="Times New Roman" w:cs="Times New Roman"/>
                <w:sz w:val="24"/>
                <w:szCs w:val="24"/>
                <w:lang w:eastAsia="lv-LV"/>
              </w:rPr>
            </w:pPr>
          </w:p>
        </w:tc>
        <w:tc>
          <w:tcPr>
            <w:tcW w:w="739" w:type="pct"/>
            <w:shd w:val="clear" w:color="auto" w:fill="auto"/>
            <w:vAlign w:val="center"/>
            <w:hideMark/>
          </w:tcPr>
          <w:p w:rsidRPr="00A1552F" w:rsidR="009E5A81" w:rsidP="009E5A81" w:rsidRDefault="009E5A81" w14:paraId="47D2EB48"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43" w:type="pct"/>
            <w:vMerge/>
            <w:shd w:val="clear" w:color="auto" w:fill="auto"/>
            <w:vAlign w:val="center"/>
            <w:hideMark/>
          </w:tcPr>
          <w:p w:rsidRPr="00A1552F" w:rsidR="009E5A81" w:rsidP="009E5A81" w:rsidRDefault="009E5A81" w14:paraId="01990F96" w14:textId="77777777">
            <w:pPr>
              <w:spacing w:after="0" w:line="240" w:lineRule="auto"/>
              <w:jc w:val="both"/>
              <w:rPr>
                <w:rFonts w:ascii="Times New Roman" w:hAnsi="Times New Roman" w:eastAsia="Times New Roman" w:cs="Times New Roman"/>
                <w:sz w:val="24"/>
                <w:szCs w:val="24"/>
                <w:lang w:eastAsia="lv-LV"/>
              </w:rPr>
            </w:pPr>
          </w:p>
        </w:tc>
        <w:tc>
          <w:tcPr>
            <w:tcW w:w="740" w:type="pct"/>
            <w:shd w:val="clear" w:color="auto" w:fill="auto"/>
            <w:vAlign w:val="center"/>
            <w:hideMark/>
          </w:tcPr>
          <w:p w:rsidRPr="00A1552F" w:rsidR="009E5A81" w:rsidP="009E5A81" w:rsidRDefault="009E5A81" w14:paraId="67F7AC94"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739" w:type="pct"/>
            <w:gridSpan w:val="2"/>
            <w:shd w:val="clear" w:color="auto" w:fill="auto"/>
            <w:vAlign w:val="center"/>
            <w:hideMark/>
          </w:tcPr>
          <w:p w:rsidRPr="00A1552F" w:rsidR="009E5A81" w:rsidP="009E5A81" w:rsidRDefault="009E5A81" w14:paraId="23A4A7B9"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9E5A81" w:rsidTr="003929C3" w14:paraId="515CA4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855" w:type="pct"/>
            <w:gridSpan w:val="3"/>
            <w:shd w:val="clear" w:color="auto" w:fill="auto"/>
            <w:hideMark/>
          </w:tcPr>
          <w:p w:rsidRPr="00A1552F" w:rsidR="009E5A81" w:rsidP="009E5A81" w:rsidRDefault="009E5A81" w14:paraId="21197C17" w14:textId="6F7C2AAB">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Detalizēts ieņēmumu un izdevumu aprēķins (ja nepieciešams, detalizētu ieņēmumu un izdevumu aprēķinu var pievienot anotācijas pielikumā)</w:t>
            </w:r>
          </w:p>
        </w:tc>
        <w:tc>
          <w:tcPr>
            <w:tcW w:w="4145" w:type="pct"/>
            <w:gridSpan w:val="9"/>
            <w:vMerge w:val="restart"/>
            <w:shd w:val="clear" w:color="auto" w:fill="auto"/>
            <w:vAlign w:val="center"/>
            <w:hideMark/>
          </w:tcPr>
          <w:p w:rsidRPr="00E95AEA" w:rsidR="009E5A81" w:rsidP="009E5A81" w:rsidRDefault="009E5A81" w14:paraId="69BA30A1"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 paredz izmaiņas normatīvajos aktos, kas varētu palielināt valsts budžeta ieņēmumus salīdzinājumā ar pašreizējo situāciju.</w:t>
            </w:r>
          </w:p>
          <w:p w:rsidR="009E5A81" w:rsidP="009E5A81" w:rsidRDefault="009E5A81" w14:paraId="26E88C1F" w14:textId="77777777">
            <w:pPr>
              <w:spacing w:after="0" w:line="240" w:lineRule="auto"/>
              <w:jc w:val="both"/>
              <w:rPr>
                <w:rFonts w:ascii="Times New Roman" w:hAnsi="Times New Roman" w:eastAsia="Times New Roman" w:cs="Times New Roman"/>
                <w:sz w:val="24"/>
                <w:szCs w:val="24"/>
                <w:lang w:eastAsia="lv-LV"/>
              </w:rPr>
            </w:pPr>
          </w:p>
          <w:p w:rsidR="009E5A81" w:rsidP="009E5A81" w:rsidRDefault="009E5A81" w14:paraId="42544FD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Lēmumu skaits prognozēts, ņemot vērā Valsts ieņēmumu dienesta un Maksātnespējas kontroles dienesta 2016.–2018. gadā pieņemto lēmumu par administratīvā soda uzlikšanu vidējo skaitu, tā kā šobrīd nepastāv ārēji faktori, kas varētu būtiski ietekmēt novirzes no vidējā rādītāja.</w:t>
            </w:r>
          </w:p>
          <w:p w:rsidR="009E5A81" w:rsidP="009E5A81" w:rsidRDefault="009E5A81" w14:paraId="3788998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Valsts ieņēmumu dienests vidēji pieņēmis </w:t>
            </w:r>
            <w:r w:rsidRPr="005A1EDE">
              <w:rPr>
                <w:rFonts w:ascii="Times New Roman" w:hAnsi="Times New Roman" w:eastAsia="Times New Roman" w:cs="Times New Roman"/>
                <w:b/>
                <w:sz w:val="24"/>
                <w:szCs w:val="24"/>
                <w:lang w:eastAsia="lv-LV"/>
              </w:rPr>
              <w:t>70</w:t>
            </w:r>
            <w:r>
              <w:rPr>
                <w:rFonts w:ascii="Times New Roman" w:hAnsi="Times New Roman" w:eastAsia="Times New Roman" w:cs="Times New Roman"/>
                <w:b/>
                <w:sz w:val="24"/>
                <w:szCs w:val="24"/>
                <w:lang w:eastAsia="lv-LV"/>
              </w:rPr>
              <w:t>2</w:t>
            </w:r>
            <w:r w:rsidRPr="005A1EDE">
              <w:rPr>
                <w:rFonts w:ascii="Times New Roman" w:hAnsi="Times New Roman" w:eastAsia="Times New Roman" w:cs="Times New Roman"/>
                <w:b/>
                <w:sz w:val="24"/>
                <w:szCs w:val="24"/>
                <w:lang w:eastAsia="lv-LV"/>
              </w:rPr>
              <w:t> lēmumus</w:t>
            </w:r>
            <w:r>
              <w:rPr>
                <w:rFonts w:ascii="Times New Roman" w:hAnsi="Times New Roman" w:eastAsia="Times New Roman" w:cs="Times New Roman"/>
                <w:sz w:val="24"/>
                <w:szCs w:val="24"/>
                <w:lang w:eastAsia="lv-LV"/>
              </w:rPr>
              <w:t xml:space="preserve"> par administratīvā soda uzlikšanu (</w:t>
            </w:r>
            <w:r w:rsidRPr="007D78AD">
              <w:rPr>
                <w:rFonts w:ascii="Times New Roman" w:hAnsi="Times New Roman" w:cs="Times New Roman"/>
                <w:color w:val="000000" w:themeColor="text1"/>
                <w:sz w:val="24"/>
                <w:szCs w:val="24"/>
              </w:rPr>
              <w:t xml:space="preserve">2016. gadā – </w:t>
            </w:r>
            <w:r>
              <w:rPr>
                <w:rFonts w:ascii="Times New Roman" w:hAnsi="Times New Roman" w:cs="Times New Roman"/>
                <w:color w:val="000000" w:themeColor="text1"/>
                <w:sz w:val="24"/>
                <w:szCs w:val="24"/>
              </w:rPr>
              <w:t>599</w:t>
            </w:r>
            <w:r w:rsidRPr="007D78AD">
              <w:rPr>
                <w:rFonts w:ascii="Times New Roman" w:hAnsi="Times New Roman" w:cs="Times New Roman"/>
                <w:color w:val="000000" w:themeColor="text1"/>
                <w:sz w:val="24"/>
                <w:szCs w:val="24"/>
              </w:rPr>
              <w:t xml:space="preserve">, 2017. gadā – </w:t>
            </w:r>
            <w:r>
              <w:rPr>
                <w:rFonts w:ascii="Times New Roman" w:hAnsi="Times New Roman" w:cs="Times New Roman"/>
                <w:color w:val="000000" w:themeColor="text1"/>
                <w:sz w:val="24"/>
                <w:szCs w:val="24"/>
              </w:rPr>
              <w:t>684 un</w:t>
            </w:r>
            <w:r w:rsidRPr="007D78AD">
              <w:rPr>
                <w:rFonts w:ascii="Times New Roman" w:hAnsi="Times New Roman" w:cs="Times New Roman"/>
                <w:color w:val="000000" w:themeColor="text1"/>
                <w:sz w:val="24"/>
                <w:szCs w:val="24"/>
              </w:rPr>
              <w:t xml:space="preserve"> 2018. gadā – </w:t>
            </w:r>
            <w:r>
              <w:rPr>
                <w:rFonts w:ascii="Times New Roman" w:hAnsi="Times New Roman" w:cs="Times New Roman"/>
                <w:color w:val="000000" w:themeColor="text1"/>
                <w:sz w:val="24"/>
                <w:szCs w:val="24"/>
              </w:rPr>
              <w:t>823).</w:t>
            </w:r>
          </w:p>
          <w:p w:rsidR="009E5A81" w:rsidP="009E5A81" w:rsidRDefault="009E5A81" w14:paraId="0E763AB1"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Maksātnespējas kontroles dienests vidēji pieņēmis </w:t>
            </w:r>
            <w:r>
              <w:rPr>
                <w:rFonts w:ascii="Times New Roman" w:hAnsi="Times New Roman" w:eastAsia="Times New Roman" w:cs="Times New Roman"/>
                <w:b/>
                <w:sz w:val="24"/>
                <w:szCs w:val="24"/>
                <w:lang w:eastAsia="lv-LV"/>
              </w:rPr>
              <w:t>85</w:t>
            </w:r>
            <w:r w:rsidRPr="005A1EDE">
              <w:rPr>
                <w:rFonts w:ascii="Times New Roman" w:hAnsi="Times New Roman" w:eastAsia="Times New Roman" w:cs="Times New Roman"/>
                <w:b/>
                <w:sz w:val="24"/>
                <w:szCs w:val="24"/>
                <w:lang w:eastAsia="lv-LV"/>
              </w:rPr>
              <w:t> lēmumus</w:t>
            </w:r>
            <w:r>
              <w:rPr>
                <w:rFonts w:ascii="Times New Roman" w:hAnsi="Times New Roman" w:eastAsia="Times New Roman" w:cs="Times New Roman"/>
                <w:sz w:val="24"/>
                <w:szCs w:val="24"/>
                <w:lang w:eastAsia="lv-LV"/>
              </w:rPr>
              <w:t xml:space="preserve"> par administratīvā soda uzlikšanu (</w:t>
            </w:r>
            <w:r w:rsidRPr="007D78AD">
              <w:rPr>
                <w:rFonts w:ascii="Times New Roman" w:hAnsi="Times New Roman" w:cs="Times New Roman"/>
                <w:color w:val="000000" w:themeColor="text1"/>
                <w:sz w:val="24"/>
                <w:szCs w:val="24"/>
              </w:rPr>
              <w:t>2016. gadā – 93, 2017. gadā – 88, 2018. gadā – 73</w:t>
            </w:r>
            <w:r>
              <w:rPr>
                <w:rFonts w:ascii="Times New Roman" w:hAnsi="Times New Roman" w:cs="Times New Roman"/>
                <w:color w:val="000000" w:themeColor="text1"/>
                <w:sz w:val="24"/>
                <w:szCs w:val="24"/>
              </w:rPr>
              <w:t>).</w:t>
            </w:r>
          </w:p>
          <w:p w:rsidR="009E5A81" w:rsidP="009E5A81" w:rsidRDefault="009E5A81" w14:paraId="68B654B1" w14:textId="77777777">
            <w:pPr>
              <w:spacing w:after="0" w:line="240" w:lineRule="auto"/>
              <w:jc w:val="both"/>
              <w:rPr>
                <w:rFonts w:ascii="Times New Roman" w:hAnsi="Times New Roman" w:eastAsia="Times New Roman" w:cs="Times New Roman"/>
                <w:sz w:val="24"/>
                <w:szCs w:val="24"/>
                <w:lang w:eastAsia="lv-LV"/>
              </w:rPr>
            </w:pPr>
          </w:p>
          <w:p w:rsidR="009E5A81" w:rsidP="009E5A81" w:rsidRDefault="009E5A81" w14:paraId="35DBF393"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Ieņēmumu palielināšanas prognozēšanai salīdzinājumā ar pašreizējo situāciju par pamatu ņemti 2016.–2018. gadā vidēji piemērotie naudas sodi, tos salīdzinot ar plānotajiem naudas soda apmēriem.</w:t>
            </w:r>
          </w:p>
          <w:p w:rsidRPr="00C02502" w:rsidR="009E5A81" w:rsidP="009E5A81" w:rsidRDefault="009E5A81" w14:paraId="521C301C" w14:textId="57E91F05">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sz w:val="24"/>
                <w:szCs w:val="24"/>
                <w:lang w:eastAsia="lv-LV"/>
              </w:rPr>
              <w:t>Pašlaik par Kodeksa 166.</w:t>
            </w:r>
            <w:r>
              <w:rPr>
                <w:rFonts w:ascii="Times New Roman" w:hAnsi="Times New Roman" w:eastAsia="Times New Roman" w:cs="Times New Roman"/>
                <w:sz w:val="24"/>
                <w:szCs w:val="24"/>
                <w:vertAlign w:val="superscript"/>
                <w:lang w:eastAsia="lv-LV"/>
              </w:rPr>
              <w:t>35</w:t>
            </w:r>
            <w:r>
              <w:rPr>
                <w:rFonts w:ascii="Times New Roman" w:hAnsi="Times New Roman" w:eastAsia="Times New Roman" w:cs="Times New Roman"/>
                <w:sz w:val="24"/>
                <w:szCs w:val="24"/>
                <w:lang w:eastAsia="lv-LV"/>
              </w:rPr>
              <w:t xml:space="preserve"> pantā noteikto pārkāpumu </w:t>
            </w:r>
            <w:r w:rsidRPr="004426A8">
              <w:rPr>
                <w:rFonts w:ascii="Times New Roman" w:hAnsi="Times New Roman" w:eastAsia="Times New Roman" w:cs="Times New Roman"/>
                <w:sz w:val="24"/>
                <w:szCs w:val="24"/>
                <w:lang w:eastAsia="lv-LV"/>
              </w:rPr>
              <w:t xml:space="preserve">uzliek naudas sodu no </w:t>
            </w:r>
            <w:r>
              <w:rPr>
                <w:rFonts w:ascii="Times New Roman" w:hAnsi="Times New Roman" w:eastAsia="Times New Roman" w:cs="Times New Roman"/>
                <w:sz w:val="24"/>
                <w:szCs w:val="24"/>
                <w:lang w:eastAsia="lv-LV"/>
              </w:rPr>
              <w:t>280</w:t>
            </w:r>
            <w:r w:rsidRPr="004426A8">
              <w:rPr>
                <w:rFonts w:ascii="Times New Roman" w:hAnsi="Times New Roman" w:eastAsia="Times New Roman" w:cs="Times New Roman"/>
                <w:sz w:val="24"/>
                <w:szCs w:val="24"/>
                <w:lang w:eastAsia="lv-LV"/>
              </w:rPr>
              <w:t xml:space="preserve"> līdz </w:t>
            </w:r>
            <w:r>
              <w:rPr>
                <w:rFonts w:ascii="Times New Roman" w:hAnsi="Times New Roman" w:eastAsia="Times New Roman" w:cs="Times New Roman"/>
                <w:sz w:val="24"/>
                <w:szCs w:val="24"/>
                <w:lang w:eastAsia="lv-LV"/>
              </w:rPr>
              <w:t>700 </w:t>
            </w:r>
            <w:r w:rsidRPr="004426A8">
              <w:rPr>
                <w:rFonts w:ascii="Times New Roman" w:hAnsi="Times New Roman" w:eastAsia="Times New Roman" w:cs="Times New Roman"/>
                <w:i/>
                <w:iCs/>
                <w:sz w:val="24"/>
                <w:szCs w:val="24"/>
                <w:lang w:eastAsia="lv-LV"/>
              </w:rPr>
              <w:t>euro</w:t>
            </w:r>
            <w:r>
              <w:rPr>
                <w:rFonts w:ascii="Times New Roman" w:hAnsi="Times New Roman" w:eastAsia="Times New Roman" w:cs="Times New Roman"/>
                <w:iCs/>
                <w:sz w:val="24"/>
                <w:szCs w:val="24"/>
                <w:lang w:eastAsia="lv-LV"/>
              </w:rPr>
              <w:t xml:space="preserve">. Tātad vidējais naudas soda apmērs par šādu pārkāpumu pašlaik ir </w:t>
            </w:r>
            <w:r w:rsidRPr="004D7F9B">
              <w:rPr>
                <w:rFonts w:ascii="Times New Roman" w:hAnsi="Times New Roman" w:eastAsia="Times New Roman" w:cs="Times New Roman"/>
                <w:iCs/>
                <w:sz w:val="24"/>
                <w:szCs w:val="24"/>
                <w:lang w:eastAsia="lv-LV"/>
              </w:rPr>
              <w:t>490 </w:t>
            </w:r>
            <w:r w:rsidRPr="004D7F9B">
              <w:rPr>
                <w:rFonts w:ascii="Times New Roman" w:hAnsi="Times New Roman" w:eastAsia="Times New Roman" w:cs="Times New Roman"/>
                <w:i/>
                <w:iCs/>
                <w:sz w:val="24"/>
                <w:szCs w:val="24"/>
                <w:lang w:eastAsia="lv-LV"/>
              </w:rPr>
              <w:t>euro</w:t>
            </w:r>
            <w:r>
              <w:rPr>
                <w:rFonts w:ascii="Times New Roman" w:hAnsi="Times New Roman" w:eastAsia="Times New Roman" w:cs="Times New Roman"/>
                <w:iCs/>
                <w:sz w:val="24"/>
                <w:szCs w:val="24"/>
                <w:lang w:eastAsia="lv-LV"/>
              </w:rPr>
              <w:t>. Laika posmā no 2016. gada līdz 2018. gadam vidējais uzlikto naudas sodu apmērs ir 88</w:t>
            </w:r>
            <w:r w:rsidR="00850274">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 no 490</w:t>
            </w:r>
            <w:r w:rsidR="00850274">
              <w:rPr>
                <w:rFonts w:ascii="Times New Roman" w:hAnsi="Times New Roman" w:eastAsia="Times New Roman" w:cs="Times New Roman"/>
                <w:iCs/>
                <w:sz w:val="24"/>
                <w:szCs w:val="24"/>
                <w:lang w:eastAsia="lv-LV"/>
              </w:rPr>
              <w:t> </w:t>
            </w:r>
            <w:proofErr w:type="spellStart"/>
            <w:r w:rsidRPr="001A6F12">
              <w:rPr>
                <w:rFonts w:ascii="Times New Roman" w:hAnsi="Times New Roman" w:eastAsia="Times New Roman" w:cs="Times New Roman"/>
                <w:i/>
                <w:iCs/>
                <w:sz w:val="24"/>
                <w:szCs w:val="24"/>
                <w:lang w:eastAsia="lv-LV"/>
              </w:rPr>
              <w:t>euro</w:t>
            </w:r>
            <w:proofErr w:type="spellEnd"/>
            <w:r>
              <w:rPr>
                <w:rFonts w:ascii="Times New Roman" w:hAnsi="Times New Roman" w:eastAsia="Times New Roman" w:cs="Times New Roman"/>
                <w:iCs/>
                <w:sz w:val="24"/>
                <w:szCs w:val="24"/>
                <w:lang w:eastAsia="lv-LV"/>
              </w:rPr>
              <w:t xml:space="preserve">. Likumprojekta </w:t>
            </w:r>
            <w:r w:rsidR="00FB3AF0">
              <w:rPr>
                <w:rFonts w:ascii="Times New Roman" w:hAnsi="Times New Roman" w:eastAsia="Times New Roman" w:cs="Times New Roman"/>
                <w:iCs/>
                <w:sz w:val="24"/>
                <w:szCs w:val="24"/>
                <w:lang w:eastAsia="lv-LV"/>
              </w:rPr>
              <w:t>4</w:t>
            </w:r>
            <w:r>
              <w:rPr>
                <w:rFonts w:ascii="Times New Roman" w:hAnsi="Times New Roman" w:eastAsia="Times New Roman" w:cs="Times New Roman"/>
                <w:iCs/>
                <w:sz w:val="24"/>
                <w:szCs w:val="24"/>
                <w:lang w:eastAsia="lv-LV"/>
              </w:rPr>
              <w:t>. pantā paredzēts, ka par šādiem pārkāpumiem varēs uzlikt naudas sodu no 60 līdz 200 naudas soda vienībām jeb 300 līdz 1000 </w:t>
            </w:r>
            <w:r>
              <w:rPr>
                <w:rFonts w:ascii="Times New Roman" w:hAnsi="Times New Roman" w:eastAsia="Times New Roman" w:cs="Times New Roman"/>
                <w:i/>
                <w:iCs/>
                <w:sz w:val="24"/>
                <w:szCs w:val="24"/>
                <w:lang w:eastAsia="lv-LV"/>
              </w:rPr>
              <w:t>euro</w:t>
            </w:r>
            <w:r>
              <w:rPr>
                <w:rFonts w:ascii="Times New Roman" w:hAnsi="Times New Roman" w:eastAsia="Times New Roman" w:cs="Times New Roman"/>
                <w:iCs/>
                <w:sz w:val="24"/>
                <w:szCs w:val="24"/>
                <w:lang w:eastAsia="lv-LV"/>
              </w:rPr>
              <w:t xml:space="preserve">. Tātad vidējais naudas soda apmērs būs 130 naudas soda vienības jeb </w:t>
            </w:r>
            <w:r w:rsidRPr="005A1EDE">
              <w:rPr>
                <w:rFonts w:ascii="Times New Roman" w:hAnsi="Times New Roman" w:eastAsia="Times New Roman" w:cs="Times New Roman"/>
                <w:b/>
                <w:iCs/>
                <w:sz w:val="24"/>
                <w:szCs w:val="24"/>
                <w:lang w:eastAsia="lv-LV"/>
              </w:rPr>
              <w:t>650 </w:t>
            </w:r>
            <w:r w:rsidRPr="005A1EDE">
              <w:rPr>
                <w:rFonts w:ascii="Times New Roman" w:hAnsi="Times New Roman" w:eastAsia="Times New Roman" w:cs="Times New Roman"/>
                <w:b/>
                <w:i/>
                <w:iCs/>
                <w:sz w:val="24"/>
                <w:szCs w:val="24"/>
                <w:lang w:eastAsia="lv-LV"/>
              </w:rPr>
              <w:t>euro</w:t>
            </w:r>
            <w:r>
              <w:rPr>
                <w:rFonts w:ascii="Times New Roman" w:hAnsi="Times New Roman" w:eastAsia="Times New Roman" w:cs="Times New Roman"/>
                <w:iCs/>
                <w:sz w:val="24"/>
                <w:szCs w:val="24"/>
                <w:lang w:eastAsia="lv-LV"/>
              </w:rPr>
              <w:t>.</w:t>
            </w:r>
          </w:p>
          <w:p w:rsidRPr="001A6F12" w:rsidR="009E5A81" w:rsidP="009E5A81" w:rsidRDefault="009E5A81" w14:paraId="1E6E769E" w14:textId="3A34029D">
            <w:pPr>
              <w:spacing w:after="0" w:line="240" w:lineRule="auto"/>
              <w:jc w:val="both"/>
              <w:rPr>
                <w:rFonts w:ascii="Times New Roman" w:hAnsi="Times New Roman" w:eastAsia="Times New Roman" w:cs="Times New Roman"/>
                <w:iCs/>
                <w:sz w:val="24"/>
                <w:szCs w:val="24"/>
                <w:lang w:eastAsia="lv-LV"/>
              </w:rPr>
            </w:pPr>
            <w:r w:rsidRPr="001A6F12">
              <w:rPr>
                <w:rFonts w:ascii="Times New Roman" w:hAnsi="Times New Roman" w:eastAsia="Times New Roman" w:cs="Times New Roman"/>
                <w:sz w:val="24"/>
                <w:szCs w:val="24"/>
                <w:lang w:eastAsia="lv-LV"/>
              </w:rPr>
              <w:t>Pašlaik par Kodeksa 166.</w:t>
            </w:r>
            <w:r w:rsidRPr="001A6F12">
              <w:rPr>
                <w:rFonts w:ascii="Times New Roman" w:hAnsi="Times New Roman" w:eastAsia="Times New Roman" w:cs="Times New Roman"/>
                <w:sz w:val="24"/>
                <w:szCs w:val="24"/>
                <w:vertAlign w:val="superscript"/>
                <w:lang w:eastAsia="lv-LV"/>
              </w:rPr>
              <w:t>36</w:t>
            </w:r>
            <w:r w:rsidRPr="001A6F12">
              <w:rPr>
                <w:rFonts w:ascii="Times New Roman" w:hAnsi="Times New Roman" w:eastAsia="Times New Roman" w:cs="Times New Roman"/>
                <w:sz w:val="24"/>
                <w:szCs w:val="24"/>
                <w:lang w:eastAsia="lv-LV"/>
              </w:rPr>
              <w:t> pantā noteikto pārkāpumu uzliek naudas sodu no 70 līdz 700 </w:t>
            </w:r>
            <w:r w:rsidRPr="001A6F12">
              <w:rPr>
                <w:rFonts w:ascii="Times New Roman" w:hAnsi="Times New Roman" w:eastAsia="Times New Roman" w:cs="Times New Roman"/>
                <w:i/>
                <w:iCs/>
                <w:sz w:val="24"/>
                <w:szCs w:val="24"/>
                <w:lang w:eastAsia="lv-LV"/>
              </w:rPr>
              <w:t>euro</w:t>
            </w:r>
            <w:r w:rsidRPr="001A6F12">
              <w:rPr>
                <w:rFonts w:ascii="Times New Roman" w:hAnsi="Times New Roman" w:eastAsia="Times New Roman" w:cs="Times New Roman"/>
                <w:iCs/>
                <w:sz w:val="24"/>
                <w:szCs w:val="24"/>
                <w:lang w:eastAsia="lv-LV"/>
              </w:rPr>
              <w:t>. Tātad vidējais naudas soda apmērs par šādu pārkāpumu pašlaik ir 385 </w:t>
            </w:r>
            <w:r w:rsidRPr="001A6F12">
              <w:rPr>
                <w:rFonts w:ascii="Times New Roman" w:hAnsi="Times New Roman" w:eastAsia="Times New Roman" w:cs="Times New Roman"/>
                <w:i/>
                <w:iCs/>
                <w:sz w:val="24"/>
                <w:szCs w:val="24"/>
                <w:lang w:eastAsia="lv-LV"/>
              </w:rPr>
              <w:t>euro</w:t>
            </w:r>
            <w:r w:rsidRPr="001A6F12">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Laika posmā no 2016. gada līdz 2018. gadam vidējais uzlikto naudas sodu apmērs ir 84</w:t>
            </w:r>
            <w:r w:rsidR="00850274">
              <w:rPr>
                <w:rFonts w:ascii="Times New Roman" w:hAnsi="Times New Roman" w:eastAsia="Times New Roman" w:cs="Times New Roman"/>
                <w:iCs/>
                <w:sz w:val="24"/>
                <w:szCs w:val="24"/>
                <w:lang w:eastAsia="lv-LV"/>
              </w:rPr>
              <w:t> </w:t>
            </w:r>
            <w:r>
              <w:rPr>
                <w:rFonts w:ascii="Times New Roman" w:hAnsi="Times New Roman" w:eastAsia="Times New Roman" w:cs="Times New Roman"/>
                <w:iCs/>
                <w:sz w:val="24"/>
                <w:szCs w:val="24"/>
                <w:lang w:eastAsia="lv-LV"/>
              </w:rPr>
              <w:t>% no 385</w:t>
            </w:r>
            <w:r w:rsidR="00850274">
              <w:rPr>
                <w:rFonts w:ascii="Times New Roman" w:hAnsi="Times New Roman" w:eastAsia="Times New Roman" w:cs="Times New Roman"/>
                <w:iCs/>
                <w:sz w:val="24"/>
                <w:szCs w:val="24"/>
                <w:lang w:eastAsia="lv-LV"/>
              </w:rPr>
              <w:t> </w:t>
            </w:r>
            <w:proofErr w:type="spellStart"/>
            <w:r w:rsidRPr="001A6F12">
              <w:rPr>
                <w:rFonts w:ascii="Times New Roman" w:hAnsi="Times New Roman" w:eastAsia="Times New Roman" w:cs="Times New Roman"/>
                <w:i/>
                <w:iCs/>
                <w:sz w:val="24"/>
                <w:szCs w:val="24"/>
                <w:lang w:eastAsia="lv-LV"/>
              </w:rPr>
              <w:t>euro</w:t>
            </w:r>
            <w:proofErr w:type="spellEnd"/>
            <w:r>
              <w:rPr>
                <w:rFonts w:ascii="Times New Roman" w:hAnsi="Times New Roman" w:eastAsia="Times New Roman" w:cs="Times New Roman"/>
                <w:iCs/>
                <w:sz w:val="24"/>
                <w:szCs w:val="24"/>
                <w:lang w:eastAsia="lv-LV"/>
              </w:rPr>
              <w:t xml:space="preserve">. </w:t>
            </w:r>
            <w:r w:rsidRPr="001A6F12">
              <w:rPr>
                <w:rFonts w:ascii="Times New Roman" w:hAnsi="Times New Roman" w:eastAsia="Times New Roman" w:cs="Times New Roman"/>
                <w:iCs/>
                <w:sz w:val="24"/>
                <w:szCs w:val="24"/>
                <w:lang w:eastAsia="lv-LV"/>
              </w:rPr>
              <w:t xml:space="preserve">Likumprojekta </w:t>
            </w:r>
            <w:r w:rsidR="00FB3AF0">
              <w:rPr>
                <w:rFonts w:ascii="Times New Roman" w:hAnsi="Times New Roman" w:eastAsia="Times New Roman" w:cs="Times New Roman"/>
                <w:iCs/>
                <w:sz w:val="24"/>
                <w:szCs w:val="24"/>
                <w:lang w:eastAsia="lv-LV"/>
              </w:rPr>
              <w:t>4</w:t>
            </w:r>
            <w:r w:rsidRPr="001A6F12">
              <w:rPr>
                <w:rFonts w:ascii="Times New Roman" w:hAnsi="Times New Roman" w:eastAsia="Times New Roman" w:cs="Times New Roman"/>
                <w:iCs/>
                <w:sz w:val="24"/>
                <w:szCs w:val="24"/>
                <w:lang w:eastAsia="lv-LV"/>
              </w:rPr>
              <w:t>. pantā paredzēts, ka par šādiem pārkāpumiem varēs uzlikt naudas sodu no 20 līdz 300 naudas soda vienībām jeb 100 līdz 1500 </w:t>
            </w:r>
            <w:r w:rsidRPr="001A6F12">
              <w:rPr>
                <w:rFonts w:ascii="Times New Roman" w:hAnsi="Times New Roman" w:eastAsia="Times New Roman" w:cs="Times New Roman"/>
                <w:i/>
                <w:iCs/>
                <w:sz w:val="24"/>
                <w:szCs w:val="24"/>
                <w:lang w:eastAsia="lv-LV"/>
              </w:rPr>
              <w:t>euro</w:t>
            </w:r>
            <w:r w:rsidRPr="001A6F12">
              <w:rPr>
                <w:rFonts w:ascii="Times New Roman" w:hAnsi="Times New Roman" w:eastAsia="Times New Roman" w:cs="Times New Roman"/>
                <w:iCs/>
                <w:sz w:val="24"/>
                <w:szCs w:val="24"/>
                <w:lang w:eastAsia="lv-LV"/>
              </w:rPr>
              <w:t xml:space="preserve">. Tātad vidējais naudas soda apmērs būs 160 naudas soda vienības jeb </w:t>
            </w:r>
            <w:r w:rsidRPr="001A6F12">
              <w:rPr>
                <w:rFonts w:ascii="Times New Roman" w:hAnsi="Times New Roman" w:eastAsia="Times New Roman" w:cs="Times New Roman"/>
                <w:b/>
                <w:iCs/>
                <w:sz w:val="24"/>
                <w:szCs w:val="24"/>
                <w:lang w:eastAsia="lv-LV"/>
              </w:rPr>
              <w:t>800 </w:t>
            </w:r>
            <w:r w:rsidRPr="001A6F12">
              <w:rPr>
                <w:rFonts w:ascii="Times New Roman" w:hAnsi="Times New Roman" w:eastAsia="Times New Roman" w:cs="Times New Roman"/>
                <w:b/>
                <w:i/>
                <w:iCs/>
                <w:sz w:val="24"/>
                <w:szCs w:val="24"/>
                <w:lang w:eastAsia="lv-LV"/>
              </w:rPr>
              <w:t>euro</w:t>
            </w:r>
            <w:r w:rsidRPr="001A6F12">
              <w:rPr>
                <w:rFonts w:ascii="Times New Roman" w:hAnsi="Times New Roman" w:eastAsia="Times New Roman" w:cs="Times New Roman"/>
                <w:iCs/>
                <w:sz w:val="24"/>
                <w:szCs w:val="24"/>
                <w:lang w:eastAsia="lv-LV"/>
              </w:rPr>
              <w:t>.</w:t>
            </w:r>
          </w:p>
          <w:p w:rsidRPr="001A6F12" w:rsidR="009E5A81" w:rsidP="009E5A81" w:rsidRDefault="009E5A81" w14:paraId="0EC95A14" w14:textId="77777777">
            <w:pPr>
              <w:spacing w:after="0" w:line="240" w:lineRule="auto"/>
              <w:jc w:val="both"/>
              <w:rPr>
                <w:rFonts w:ascii="Times New Roman" w:hAnsi="Times New Roman" w:eastAsia="Times New Roman" w:cs="Times New Roman"/>
                <w:iCs/>
                <w:sz w:val="24"/>
                <w:szCs w:val="24"/>
                <w:lang w:eastAsia="lv-LV"/>
              </w:rPr>
            </w:pPr>
          </w:p>
          <w:p w:rsidR="009E5A81" w:rsidP="009E5A81" w:rsidRDefault="009E5A81" w14:paraId="5D915A1A" w14:textId="7228E9BC">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Līdz ar to Valsts ieņēmumu dienesta uzliktie naudas sodi 2016.–2018. gadā sastāda 303 177 </w:t>
            </w:r>
            <w:r>
              <w:rPr>
                <w:rFonts w:ascii="Times New Roman" w:hAnsi="Times New Roman" w:eastAsia="Times New Roman" w:cs="Times New Roman"/>
                <w:i/>
                <w:sz w:val="24"/>
                <w:szCs w:val="24"/>
                <w:lang w:eastAsia="lv-LV"/>
              </w:rPr>
              <w:t xml:space="preserve">euro </w:t>
            </w:r>
            <w:r w:rsidRPr="005A1EDE">
              <w:rPr>
                <w:rFonts w:ascii="Times New Roman" w:hAnsi="Times New Roman" w:eastAsia="Times New Roman" w:cs="Times New Roman"/>
                <w:sz w:val="24"/>
                <w:szCs w:val="24"/>
                <w:lang w:eastAsia="lv-LV"/>
              </w:rPr>
              <w:t>vidēji gadā</w:t>
            </w:r>
            <w:r>
              <w:rPr>
                <w:rFonts w:ascii="Times New Roman" w:hAnsi="Times New Roman" w:eastAsia="Times New Roman" w:cs="Times New Roman"/>
                <w:sz w:val="24"/>
                <w:szCs w:val="24"/>
                <w:lang w:eastAsia="lv-LV"/>
              </w:rPr>
              <w:t>, tas ir 88% no vidējā naudas soda apmēr</w:t>
            </w:r>
            <w:r w:rsidR="007466CF">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lastRenderedPageBreak/>
              <w:t xml:space="preserve">Ņemot vērā likumprojekta </w:t>
            </w:r>
            <w:r w:rsidR="00FB3AF0">
              <w:rPr>
                <w:rFonts w:ascii="Times New Roman" w:hAnsi="Times New Roman" w:eastAsia="Times New Roman" w:cs="Times New Roman"/>
                <w:sz w:val="24"/>
                <w:szCs w:val="24"/>
                <w:lang w:eastAsia="lv-LV"/>
              </w:rPr>
              <w:t>4</w:t>
            </w:r>
            <w:r>
              <w:rPr>
                <w:rFonts w:ascii="Times New Roman" w:hAnsi="Times New Roman" w:eastAsia="Times New Roman" w:cs="Times New Roman"/>
                <w:sz w:val="24"/>
                <w:szCs w:val="24"/>
                <w:lang w:eastAsia="lv-LV"/>
              </w:rPr>
              <w:t>. pantā noteikto, sagaidāms, ka turpmāk Valsts ieņēmumu dienesta uzlikto naudas sodu kopsumma būs 402 173 </w:t>
            </w:r>
            <w:r>
              <w:rPr>
                <w:rFonts w:ascii="Times New Roman" w:hAnsi="Times New Roman" w:eastAsia="Times New Roman" w:cs="Times New Roman"/>
                <w:i/>
                <w:sz w:val="24"/>
                <w:szCs w:val="24"/>
                <w:lang w:eastAsia="lv-LV"/>
              </w:rPr>
              <w:t>euro</w:t>
            </w:r>
            <w:r>
              <w:rPr>
                <w:rFonts w:ascii="Times New Roman" w:hAnsi="Times New Roman" w:eastAsia="Times New Roman" w:cs="Times New Roman"/>
                <w:sz w:val="24"/>
                <w:szCs w:val="24"/>
                <w:lang w:eastAsia="lv-LV"/>
              </w:rPr>
              <w:t xml:space="preserve"> vidēji gadā. Tādējādi turpmākajos gados sagaidāmi papildu ieņēmumi                 </w:t>
            </w:r>
            <w:r>
              <w:rPr>
                <w:rFonts w:ascii="Times New Roman" w:hAnsi="Times New Roman" w:eastAsia="Times New Roman" w:cs="Times New Roman"/>
                <w:b/>
                <w:sz w:val="24"/>
                <w:szCs w:val="24"/>
                <w:lang w:eastAsia="lv-LV"/>
              </w:rPr>
              <w:t>98 996</w:t>
            </w:r>
            <w:r w:rsidRPr="005A1EDE">
              <w:rPr>
                <w:rFonts w:ascii="Times New Roman" w:hAnsi="Times New Roman" w:eastAsia="Times New Roman" w:cs="Times New Roman"/>
                <w:b/>
                <w:sz w:val="24"/>
                <w:szCs w:val="24"/>
                <w:lang w:eastAsia="lv-LV"/>
              </w:rPr>
              <w:t> </w:t>
            </w:r>
            <w:r w:rsidRPr="005A1EDE">
              <w:rPr>
                <w:rFonts w:ascii="Times New Roman" w:hAnsi="Times New Roman" w:eastAsia="Times New Roman" w:cs="Times New Roman"/>
                <w:b/>
                <w:i/>
                <w:sz w:val="24"/>
                <w:szCs w:val="24"/>
                <w:lang w:eastAsia="lv-LV"/>
              </w:rPr>
              <w:t>euro</w:t>
            </w:r>
            <w:r>
              <w:rPr>
                <w:rFonts w:ascii="Times New Roman" w:hAnsi="Times New Roman" w:eastAsia="Times New Roman" w:cs="Times New Roman"/>
                <w:sz w:val="24"/>
                <w:szCs w:val="24"/>
                <w:lang w:eastAsia="lv-LV"/>
              </w:rPr>
              <w:t xml:space="preserve"> apmērā vidēji gadā.</w:t>
            </w:r>
          </w:p>
          <w:p w:rsidR="009E5A81" w:rsidP="009E5A81" w:rsidRDefault="009E5A81" w14:paraId="2C3A7110" w14:textId="424FD5C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Savukārt Maksātnespējas kontroles dienesta uzliktie naudas sodi 2016.–2018. gadā sastāda 27 309 </w:t>
            </w:r>
            <w:r>
              <w:rPr>
                <w:rFonts w:ascii="Times New Roman" w:hAnsi="Times New Roman" w:eastAsia="Times New Roman" w:cs="Times New Roman"/>
                <w:i/>
                <w:sz w:val="24"/>
                <w:szCs w:val="24"/>
                <w:lang w:eastAsia="lv-LV"/>
              </w:rPr>
              <w:t xml:space="preserve">euro </w:t>
            </w:r>
            <w:r w:rsidRPr="0094785F">
              <w:rPr>
                <w:rFonts w:ascii="Times New Roman" w:hAnsi="Times New Roman" w:eastAsia="Times New Roman" w:cs="Times New Roman"/>
                <w:sz w:val="24"/>
                <w:szCs w:val="24"/>
                <w:lang w:eastAsia="lv-LV"/>
              </w:rPr>
              <w:t>vidēji gadā</w:t>
            </w:r>
            <w:r>
              <w:rPr>
                <w:rFonts w:ascii="Times New Roman" w:hAnsi="Times New Roman" w:eastAsia="Times New Roman" w:cs="Times New Roman"/>
                <w:sz w:val="24"/>
                <w:szCs w:val="24"/>
                <w:lang w:eastAsia="lv-LV"/>
              </w:rPr>
              <w:t xml:space="preserve">. Ņemot vērā likumprojekta </w:t>
            </w:r>
            <w:r w:rsidR="00FB3AF0">
              <w:rPr>
                <w:rFonts w:ascii="Times New Roman" w:hAnsi="Times New Roman" w:eastAsia="Times New Roman" w:cs="Times New Roman"/>
                <w:sz w:val="24"/>
                <w:szCs w:val="24"/>
                <w:lang w:eastAsia="lv-LV"/>
              </w:rPr>
              <w:t>4</w:t>
            </w:r>
            <w:r>
              <w:rPr>
                <w:rFonts w:ascii="Times New Roman" w:hAnsi="Times New Roman" w:eastAsia="Times New Roman" w:cs="Times New Roman"/>
                <w:sz w:val="24"/>
                <w:szCs w:val="24"/>
                <w:lang w:eastAsia="lv-LV"/>
              </w:rPr>
              <w:t xml:space="preserve">. pantā noteikto, sagaidāms, ka turpmāk </w:t>
            </w:r>
            <w:r w:rsidR="00934455">
              <w:rPr>
                <w:rFonts w:ascii="Times New Roman" w:hAnsi="Times New Roman" w:eastAsia="Times New Roman" w:cs="Times New Roman"/>
                <w:sz w:val="24"/>
                <w:szCs w:val="24"/>
                <w:lang w:eastAsia="lv-LV"/>
              </w:rPr>
              <w:t>Maksātnespējas kontroles</w:t>
            </w:r>
            <w:r>
              <w:rPr>
                <w:rFonts w:ascii="Times New Roman" w:hAnsi="Times New Roman" w:eastAsia="Times New Roman" w:cs="Times New Roman"/>
                <w:sz w:val="24"/>
                <w:szCs w:val="24"/>
                <w:lang w:eastAsia="lv-LV"/>
              </w:rPr>
              <w:t xml:space="preserve"> dienesta uzlikto naudas sodu kopsumma būs 56 745 </w:t>
            </w:r>
            <w:proofErr w:type="spellStart"/>
            <w:r>
              <w:rPr>
                <w:rFonts w:ascii="Times New Roman" w:hAnsi="Times New Roman" w:eastAsia="Times New Roman" w:cs="Times New Roman"/>
                <w:i/>
                <w:sz w:val="24"/>
                <w:szCs w:val="24"/>
                <w:lang w:eastAsia="lv-LV"/>
              </w:rPr>
              <w:t>euro</w:t>
            </w:r>
            <w:proofErr w:type="spellEnd"/>
            <w:r>
              <w:rPr>
                <w:rFonts w:ascii="Times New Roman" w:hAnsi="Times New Roman" w:eastAsia="Times New Roman" w:cs="Times New Roman"/>
                <w:sz w:val="24"/>
                <w:szCs w:val="24"/>
                <w:lang w:eastAsia="lv-LV"/>
              </w:rPr>
              <w:t xml:space="preserve"> vidēji gadā. Tādējādi turpmākajos gados sagaidāmi papildu ieņēmumi </w:t>
            </w:r>
            <w:r>
              <w:rPr>
                <w:rFonts w:ascii="Times New Roman" w:hAnsi="Times New Roman" w:eastAsia="Times New Roman" w:cs="Times New Roman"/>
                <w:b/>
                <w:sz w:val="24"/>
                <w:szCs w:val="24"/>
                <w:lang w:eastAsia="lv-LV"/>
              </w:rPr>
              <w:t>29 436</w:t>
            </w:r>
            <w:r w:rsidRPr="005A1EDE">
              <w:rPr>
                <w:rFonts w:ascii="Times New Roman" w:hAnsi="Times New Roman" w:eastAsia="Times New Roman" w:cs="Times New Roman"/>
                <w:b/>
                <w:sz w:val="24"/>
                <w:szCs w:val="24"/>
                <w:lang w:eastAsia="lv-LV"/>
              </w:rPr>
              <w:t> </w:t>
            </w:r>
            <w:r w:rsidRPr="005A1EDE">
              <w:rPr>
                <w:rFonts w:ascii="Times New Roman" w:hAnsi="Times New Roman" w:eastAsia="Times New Roman" w:cs="Times New Roman"/>
                <w:b/>
                <w:i/>
                <w:sz w:val="24"/>
                <w:szCs w:val="24"/>
                <w:lang w:eastAsia="lv-LV"/>
              </w:rPr>
              <w:t>euro</w:t>
            </w:r>
            <w:r>
              <w:rPr>
                <w:rFonts w:ascii="Times New Roman" w:hAnsi="Times New Roman" w:eastAsia="Times New Roman" w:cs="Times New Roman"/>
                <w:sz w:val="24"/>
                <w:szCs w:val="24"/>
                <w:lang w:eastAsia="lv-LV"/>
              </w:rPr>
              <w:t xml:space="preserve"> apmērā vidēji gadā.</w:t>
            </w:r>
          </w:p>
          <w:p w:rsidRPr="004D7F9B" w:rsidR="009E5A81" w:rsidP="009E5A81" w:rsidRDefault="009E5A81" w14:paraId="59102F94" w14:textId="1748AAC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Ievērojot </w:t>
            </w:r>
            <w:r>
              <w:rPr>
                <w:rFonts w:ascii="Times New Roman" w:hAnsi="Times New Roman" w:eastAsia="Times New Roman" w:cs="Times New Roman"/>
                <w:sz w:val="24"/>
                <w:szCs w:val="24"/>
                <w:lang w:eastAsia="lv-LV"/>
              </w:rPr>
              <w:t>minēto</w:t>
            </w:r>
            <w:r w:rsidR="00934455">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salīdzinājumā </w:t>
            </w:r>
            <w:r>
              <w:rPr>
                <w:rFonts w:ascii="Times New Roman" w:hAnsi="Times New Roman" w:eastAsia="Times New Roman" w:cs="Times New Roman"/>
                <w:sz w:val="24"/>
                <w:szCs w:val="24"/>
                <w:lang w:eastAsia="lv-LV"/>
              </w:rPr>
              <w:t>ar pašreizējo situāciju</w:t>
            </w:r>
            <w:r w:rsidR="007F0ABC">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valsts budžetā būs papildu ieņēmumi</w:t>
            </w:r>
            <w:r w:rsidR="00256AFB">
              <w:rPr>
                <w:rFonts w:ascii="Times New Roman" w:hAnsi="Times New Roman" w:eastAsia="Times New Roman" w:cs="Times New Roman"/>
                <w:sz w:val="24"/>
                <w:szCs w:val="24"/>
                <w:lang w:eastAsia="lv-LV"/>
              </w:rPr>
              <w:t xml:space="preserve"> kopā</w:t>
            </w:r>
            <w:r>
              <w:rPr>
                <w:rFonts w:ascii="Times New Roman" w:hAnsi="Times New Roman" w:eastAsia="Times New Roman" w:cs="Times New Roman"/>
                <w:sz w:val="24"/>
                <w:szCs w:val="24"/>
                <w:lang w:eastAsia="lv-LV"/>
              </w:rPr>
              <w:t xml:space="preserve"> </w:t>
            </w:r>
            <w:r w:rsidR="00256AFB">
              <w:rPr>
                <w:rFonts w:ascii="Times New Roman" w:hAnsi="Times New Roman" w:eastAsia="Times New Roman" w:cs="Times New Roman"/>
                <w:b/>
                <w:sz w:val="24"/>
                <w:szCs w:val="24"/>
                <w:lang w:eastAsia="lv-LV"/>
              </w:rPr>
              <w:t>128</w:t>
            </w:r>
            <w:r w:rsidR="00850274">
              <w:rPr>
                <w:rFonts w:ascii="Times New Roman" w:hAnsi="Times New Roman" w:eastAsia="Times New Roman" w:cs="Times New Roman"/>
                <w:b/>
                <w:sz w:val="24"/>
                <w:szCs w:val="24"/>
                <w:lang w:eastAsia="lv-LV"/>
              </w:rPr>
              <w:t> </w:t>
            </w:r>
            <w:r w:rsidR="00256AFB">
              <w:rPr>
                <w:rFonts w:ascii="Times New Roman" w:hAnsi="Times New Roman" w:eastAsia="Times New Roman" w:cs="Times New Roman"/>
                <w:b/>
                <w:sz w:val="24"/>
                <w:szCs w:val="24"/>
                <w:lang w:eastAsia="lv-LV"/>
              </w:rPr>
              <w:t>432</w:t>
            </w:r>
            <w:r w:rsidRPr="0094785F">
              <w:rPr>
                <w:rFonts w:ascii="Times New Roman" w:hAnsi="Times New Roman" w:eastAsia="Times New Roman" w:cs="Times New Roman"/>
                <w:b/>
                <w:sz w:val="24"/>
                <w:szCs w:val="24"/>
                <w:lang w:eastAsia="lv-LV"/>
              </w:rPr>
              <w:t> </w:t>
            </w:r>
            <w:proofErr w:type="spellStart"/>
            <w:r w:rsidRPr="0094785F">
              <w:rPr>
                <w:rFonts w:ascii="Times New Roman" w:hAnsi="Times New Roman" w:eastAsia="Times New Roman" w:cs="Times New Roman"/>
                <w:b/>
                <w:i/>
                <w:sz w:val="24"/>
                <w:szCs w:val="24"/>
                <w:lang w:eastAsia="lv-LV"/>
              </w:rPr>
              <w:t>euro</w:t>
            </w:r>
            <w:proofErr w:type="spellEnd"/>
            <w:r>
              <w:rPr>
                <w:rFonts w:ascii="Times New Roman" w:hAnsi="Times New Roman" w:eastAsia="Times New Roman" w:cs="Times New Roman"/>
                <w:sz w:val="24"/>
                <w:szCs w:val="24"/>
                <w:lang w:eastAsia="lv-LV"/>
              </w:rPr>
              <w:t xml:space="preserve"> apmērā.</w:t>
            </w:r>
          </w:p>
          <w:p w:rsidR="009E5A81" w:rsidP="009E5A81" w:rsidRDefault="009E5A81" w14:paraId="5CFE2684" w14:textId="77777777">
            <w:pPr>
              <w:spacing w:after="0" w:line="240" w:lineRule="auto"/>
              <w:jc w:val="both"/>
              <w:rPr>
                <w:rFonts w:ascii="Times New Roman" w:hAnsi="Times New Roman" w:eastAsia="Times New Roman" w:cs="Times New Roman"/>
                <w:sz w:val="24"/>
                <w:szCs w:val="24"/>
                <w:lang w:eastAsia="lv-LV"/>
              </w:rPr>
            </w:pPr>
          </w:p>
          <w:p w:rsidRPr="00A1552F" w:rsidR="009E5A81" w:rsidP="009E5A81" w:rsidRDefault="009E5A81" w14:paraId="1D18896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Likumprojekts neparedz tādas izmaiņas, kas palielinātu valsts budžeta izdevumus salīdzinājumā ar pašreizējo situāciju.</w:t>
            </w:r>
          </w:p>
        </w:tc>
      </w:tr>
      <w:tr w:rsidRPr="00A1552F" w:rsidR="009E5A81" w:rsidTr="003929C3" w14:paraId="7801F8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855" w:type="pct"/>
            <w:gridSpan w:val="3"/>
            <w:shd w:val="clear" w:color="auto" w:fill="auto"/>
            <w:hideMark/>
          </w:tcPr>
          <w:p w:rsidRPr="00A1552F" w:rsidR="009E5A81" w:rsidP="009E5A81" w:rsidRDefault="009E5A81" w14:paraId="6A13A8DD" w14:textId="3C3F78EF">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6.1.</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detalizēts ieņēmumu aprēķins</w:t>
            </w:r>
          </w:p>
        </w:tc>
        <w:tc>
          <w:tcPr>
            <w:tcW w:w="4145" w:type="pct"/>
            <w:gridSpan w:val="9"/>
            <w:vMerge/>
            <w:shd w:val="clear" w:color="auto" w:fill="auto"/>
            <w:vAlign w:val="center"/>
            <w:hideMark/>
          </w:tcPr>
          <w:p w:rsidRPr="00A1552F" w:rsidR="009E5A81" w:rsidP="009E5A81" w:rsidRDefault="009E5A81" w14:paraId="0F4227EA" w14:textId="77777777">
            <w:pPr>
              <w:spacing w:after="0" w:line="240" w:lineRule="auto"/>
              <w:jc w:val="both"/>
              <w:rPr>
                <w:rFonts w:ascii="Times New Roman" w:hAnsi="Times New Roman" w:eastAsia="Times New Roman" w:cs="Times New Roman"/>
                <w:sz w:val="24"/>
                <w:szCs w:val="24"/>
                <w:lang w:eastAsia="lv-LV"/>
              </w:rPr>
            </w:pPr>
          </w:p>
        </w:tc>
      </w:tr>
      <w:tr w:rsidRPr="00A1552F" w:rsidR="009E5A81" w:rsidTr="003929C3" w14:paraId="76E201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855" w:type="pct"/>
            <w:gridSpan w:val="3"/>
            <w:shd w:val="clear" w:color="auto" w:fill="auto"/>
            <w:hideMark/>
          </w:tcPr>
          <w:p w:rsidRPr="00A1552F" w:rsidR="009E5A81" w:rsidP="009E5A81" w:rsidRDefault="009E5A81" w14:paraId="7EABE9F0" w14:textId="66D0A1AD">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6.2.</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detalizēts izdevumu aprēķins</w:t>
            </w:r>
          </w:p>
        </w:tc>
        <w:tc>
          <w:tcPr>
            <w:tcW w:w="4145" w:type="pct"/>
            <w:gridSpan w:val="9"/>
            <w:vMerge/>
            <w:shd w:val="clear" w:color="auto" w:fill="auto"/>
            <w:vAlign w:val="center"/>
            <w:hideMark/>
          </w:tcPr>
          <w:p w:rsidRPr="00A1552F" w:rsidR="009E5A81" w:rsidP="009E5A81" w:rsidRDefault="009E5A81" w14:paraId="243A97E5" w14:textId="77777777">
            <w:pPr>
              <w:spacing w:after="0" w:line="240" w:lineRule="auto"/>
              <w:jc w:val="both"/>
              <w:rPr>
                <w:rFonts w:ascii="Times New Roman" w:hAnsi="Times New Roman" w:eastAsia="Times New Roman" w:cs="Times New Roman"/>
                <w:sz w:val="24"/>
                <w:szCs w:val="24"/>
                <w:lang w:eastAsia="lv-LV"/>
              </w:rPr>
            </w:pPr>
          </w:p>
        </w:tc>
      </w:tr>
      <w:tr w:rsidRPr="00A1552F" w:rsidR="009E5A81" w:rsidTr="003929C3" w14:paraId="5D39CE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576D39D2" w14:textId="1E516ECE">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Amata vietu skaita izmaiņas</w:t>
            </w:r>
          </w:p>
        </w:tc>
        <w:tc>
          <w:tcPr>
            <w:tcW w:w="4145" w:type="pct"/>
            <w:gridSpan w:val="9"/>
            <w:shd w:val="clear" w:color="auto" w:fill="auto"/>
            <w:hideMark/>
          </w:tcPr>
          <w:p w:rsidRPr="00A1552F" w:rsidR="009E5A81" w:rsidP="009E5A81" w:rsidRDefault="009E5A81" w14:paraId="1450076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A1552F" w:rsidR="009E5A81" w:rsidTr="003929C3" w14:paraId="0FABC5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55" w:type="pct"/>
            <w:gridSpan w:val="3"/>
            <w:shd w:val="clear" w:color="auto" w:fill="auto"/>
            <w:hideMark/>
          </w:tcPr>
          <w:p w:rsidRPr="00A1552F" w:rsidR="009E5A81" w:rsidP="009E5A81" w:rsidRDefault="009E5A81" w14:paraId="0DA62A5A" w14:textId="6F95F88B">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r>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Cita informācija</w:t>
            </w:r>
          </w:p>
        </w:tc>
        <w:tc>
          <w:tcPr>
            <w:tcW w:w="4145" w:type="pct"/>
            <w:gridSpan w:val="9"/>
            <w:shd w:val="clear" w:color="auto" w:fill="auto"/>
            <w:hideMark/>
          </w:tcPr>
          <w:p w:rsidRPr="00A1552F" w:rsidR="009E5A81" w:rsidP="009E5A81" w:rsidRDefault="009E5A81" w14:paraId="3AB3680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Kodeksa 166.</w:t>
            </w:r>
            <w:r>
              <w:rPr>
                <w:rFonts w:ascii="Times New Roman" w:hAnsi="Times New Roman" w:eastAsia="Times New Roman" w:cs="Times New Roman"/>
                <w:sz w:val="24"/>
                <w:szCs w:val="24"/>
                <w:vertAlign w:val="superscript"/>
                <w:lang w:eastAsia="lv-LV"/>
              </w:rPr>
              <w:t>35</w:t>
            </w:r>
            <w:r>
              <w:rPr>
                <w:rFonts w:ascii="Times New Roman" w:hAnsi="Times New Roman" w:eastAsia="Times New Roman" w:cs="Times New Roman"/>
                <w:sz w:val="24"/>
                <w:szCs w:val="24"/>
                <w:lang w:eastAsia="lv-LV"/>
              </w:rPr>
              <w:t> un 166.</w:t>
            </w:r>
            <w:r>
              <w:rPr>
                <w:rFonts w:ascii="Times New Roman" w:hAnsi="Times New Roman" w:eastAsia="Times New Roman" w:cs="Times New Roman"/>
                <w:sz w:val="24"/>
                <w:szCs w:val="24"/>
                <w:vertAlign w:val="superscript"/>
                <w:lang w:eastAsia="lv-LV"/>
              </w:rPr>
              <w:t>36</w:t>
            </w:r>
            <w:r>
              <w:rPr>
                <w:rFonts w:ascii="Times New Roman" w:hAnsi="Times New Roman" w:eastAsia="Times New Roman" w:cs="Times New Roman"/>
                <w:sz w:val="24"/>
                <w:szCs w:val="24"/>
                <w:lang w:eastAsia="lv-LV"/>
              </w:rPr>
              <w:t> pantā iekļauto administratīvo pārkāpumu izskatīšanas kompetence ir noteikta trim institūcijām – Valsts ieņēmumu dienestam, Valsts policijai un Maksātnespējas kontroles dienestam. Norādāms, ka Valsts policijas veiktie pasākumi netiek iekļauti šī likumprojekta ieņēmumu un izdevumu aprēķinā, tā kā Valsts policijas uzsākto administratīvo pārkāpumu lietu skaits par administratīvajiem pārkāpumiem maksātnespējas jomā ir salīdzinoši neliels un tādējādi ietekme uz valsts budžetu (tā ieņēmumiem) ir nebūtiska.</w:t>
            </w:r>
          </w:p>
        </w:tc>
      </w:tr>
    </w:tbl>
    <w:p w:rsidRPr="003929C3" w:rsidR="006D7E84" w:rsidP="00B71DD6" w:rsidRDefault="006D7E84" w14:paraId="748E61FE" w14:textId="77777777">
      <w:pPr>
        <w:spacing w:after="0" w:line="240" w:lineRule="auto"/>
        <w:rPr>
          <w:rFonts w:ascii="Times New Roman" w:hAnsi="Times New Roman" w:eastAsia="Times New Roman" w:cs="Times New Roman"/>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00E20F89" w:rsidTr="003929C3" w14:paraId="4435734C" w14:textId="77777777">
        <w:trPr>
          <w:trHeight w:val="301"/>
        </w:trPr>
        <w:tc>
          <w:tcPr>
            <w:tcW w:w="0" w:type="auto"/>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E20F89" w14:paraId="216BEB7A"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IV. Tiesību akta projekta ietekme uz spēkā esošo tiesību normu sistēmu</w:t>
            </w:r>
          </w:p>
        </w:tc>
      </w:tr>
      <w:tr w:rsidR="00E20F89" w:rsidTr="003929C3" w14:paraId="5DE6B54B"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7466CF" w14:paraId="51950B7E" w14:textId="20D02CB9">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Likumprojekts</w:t>
            </w:r>
            <w:r w:rsidR="00E20F89">
              <w:rPr>
                <w:rFonts w:ascii="Times New Roman" w:hAnsi="Times New Roman" w:eastAsia="Times New Roman" w:cs="Times New Roman"/>
                <w:sz w:val="24"/>
                <w:szCs w:val="24"/>
                <w:lang w:eastAsia="lv-LV"/>
              </w:rPr>
              <w:t xml:space="preserve"> šo jomu neskar.</w:t>
            </w:r>
          </w:p>
        </w:tc>
      </w:tr>
    </w:tbl>
    <w:p w:rsidR="00E20F89" w:rsidP="00B71DD6" w:rsidRDefault="00E20F89" w14:paraId="76C5D3E3" w14:textId="77777777">
      <w:pPr>
        <w:spacing w:after="0" w:line="240" w:lineRule="auto"/>
        <w:rPr>
          <w:rFonts w:ascii="Times New Roman" w:hAnsi="Times New Roman" w:eastAsia="Times New Roman" w:cs="Times New Roman"/>
          <w:sz w:val="24"/>
          <w:szCs w:val="24"/>
          <w:lang w:eastAsia="lv-LV"/>
        </w:rPr>
      </w:pPr>
    </w:p>
    <w:tbl>
      <w:tblPr>
        <w:tblW w:w="4999"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3"/>
      </w:tblGrid>
      <w:tr w:rsidR="00E20F89" w:rsidTr="004426A8" w14:paraId="2EB64A6C"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E20F89" w14:paraId="1E5E9CE9" w14:textId="77777777">
            <w:pPr>
              <w:spacing w:after="0" w:line="240" w:lineRule="auto"/>
              <w:ind w:firstLine="300"/>
              <w:jc w:val="center"/>
              <w:rPr>
                <w:rFonts w:ascii="Times New Roman" w:hAnsi="Times New Roman" w:eastAsia="Times New Roman" w:cs="Times New Roman"/>
                <w:b/>
                <w:bCs/>
                <w:sz w:val="24"/>
                <w:szCs w:val="24"/>
                <w:lang w:eastAsia="lv-LV"/>
              </w:rPr>
            </w:pPr>
            <w:r w:rsidRPr="00E20F89">
              <w:rPr>
                <w:rFonts w:ascii="Times New Roman" w:hAnsi="Times New Roman" w:eastAsia="Times New Roman" w:cs="Times New Roman"/>
                <w:b/>
                <w:bCs/>
                <w:sz w:val="24"/>
                <w:szCs w:val="24"/>
                <w:lang w:eastAsia="lv-LV"/>
              </w:rPr>
              <w:t>V. Tiesību akta projekta atbilstība Latvijas Republikas starptautiskajām saistībām</w:t>
            </w:r>
          </w:p>
        </w:tc>
      </w:tr>
      <w:tr w:rsidR="00E20F89" w:rsidTr="003929C3" w14:paraId="38E849C7" w14:textId="79267C7A">
        <w:trPr>
          <w:trHeight w:val="242"/>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E20F89" w:rsidP="00B71DD6" w:rsidRDefault="007466CF" w14:paraId="2251D86B" w14:textId="15A48C9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Likumprojekts </w:t>
            </w:r>
            <w:r w:rsidR="00E20F89">
              <w:rPr>
                <w:rFonts w:ascii="Times New Roman" w:hAnsi="Times New Roman" w:eastAsia="Times New Roman" w:cs="Times New Roman"/>
                <w:sz w:val="24"/>
                <w:szCs w:val="24"/>
                <w:lang w:eastAsia="lv-LV"/>
              </w:rPr>
              <w:t>šo jomu neskar.</w:t>
            </w:r>
          </w:p>
        </w:tc>
      </w:tr>
    </w:tbl>
    <w:p w:rsidR="00330C9D" w:rsidP="00B71DD6" w:rsidRDefault="00330C9D" w14:paraId="26BDC2CE" w14:textId="58E723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233"/>
        <w:gridCol w:w="6369"/>
      </w:tblGrid>
      <w:tr w:rsidRPr="00BC2633" w:rsidR="00330C9D" w:rsidTr="004B5C98" w14:paraId="039C9936"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330C9D" w:rsidP="00B71DD6" w:rsidRDefault="00330C9D" w14:paraId="4A002BC9" w14:textId="77777777">
            <w:pPr>
              <w:spacing w:after="0" w:line="240" w:lineRule="auto"/>
              <w:ind w:firstLine="300"/>
              <w:jc w:val="center"/>
              <w:rPr>
                <w:rFonts w:ascii="Times New Roman" w:hAnsi="Times New Roman" w:eastAsia="Times New Roman" w:cs="Times New Roman"/>
                <w:b/>
                <w:bCs/>
                <w:sz w:val="24"/>
                <w:szCs w:val="24"/>
                <w:lang w:eastAsia="lv-LV"/>
              </w:rPr>
            </w:pPr>
            <w:r w:rsidRPr="000B70E1">
              <w:rPr>
                <w:rFonts w:ascii="Times New Roman" w:hAnsi="Times New Roman" w:eastAsia="Times New Roman" w:cs="Times New Roman"/>
                <w:b/>
                <w:bCs/>
                <w:sz w:val="24"/>
                <w:szCs w:val="24"/>
                <w:lang w:eastAsia="lv-LV"/>
              </w:rPr>
              <w:t>VI. Sabiedrības līdzdalība un komunikācijas aktivitātes</w:t>
            </w:r>
          </w:p>
        </w:tc>
      </w:tr>
      <w:tr w:rsidRPr="001C5969" w:rsidR="00330C9D" w:rsidTr="003929C3" w14:paraId="1514F1F4"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29AE624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233"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21FCA6A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517" w:type="pct"/>
            <w:tcBorders>
              <w:top w:val="outset" w:color="414142" w:sz="6" w:space="0"/>
              <w:left w:val="outset" w:color="414142" w:sz="6" w:space="0"/>
              <w:bottom w:val="outset" w:color="414142" w:sz="6" w:space="0"/>
              <w:right w:val="outset" w:color="414142" w:sz="6" w:space="0"/>
            </w:tcBorders>
            <w:hideMark/>
          </w:tcPr>
          <w:p w:rsidR="00257C12" w:rsidP="00C8332A" w:rsidRDefault="00FB3AF0" w14:paraId="010260A4" w14:textId="000E0D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w:t>
            </w:r>
            <w:r w:rsidR="00C8332A">
              <w:rPr>
                <w:rFonts w:ascii="Times New Roman" w:hAnsi="Times New Roman" w:cs="Times New Roman"/>
                <w:sz w:val="24"/>
                <w:szCs w:val="24"/>
              </w:rPr>
              <w:t xml:space="preserve">kumprojektā iekļautie grozījumi pēc būtības diskutēti jau </w:t>
            </w:r>
            <w:r w:rsidR="009835CD">
              <w:rPr>
                <w:rFonts w:ascii="Times New Roman" w:hAnsi="Times New Roman" w:cs="Times New Roman"/>
                <w:sz w:val="24"/>
                <w:szCs w:val="24"/>
              </w:rPr>
              <w:t xml:space="preserve">iepriekš </w:t>
            </w:r>
            <w:r w:rsidRPr="009835CD" w:rsidR="009835CD">
              <w:rPr>
                <w:rFonts w:ascii="Times New Roman" w:hAnsi="Times New Roman" w:cs="Times New Roman"/>
                <w:sz w:val="24"/>
                <w:szCs w:val="24"/>
              </w:rPr>
              <w:t>Valsts sekretāru sanāksmē</w:t>
            </w:r>
            <w:r w:rsidRPr="009835CD" w:rsidR="009835CD">
              <w:rPr>
                <w:rFonts w:ascii="Times New Roman" w:hAnsi="Times New Roman" w:cs="Times New Roman"/>
                <w:sz w:val="24"/>
                <w:szCs w:val="24"/>
                <w:vertAlign w:val="superscript"/>
              </w:rPr>
              <w:footnoteReference w:id="3"/>
            </w:r>
            <w:r w:rsidRPr="009835CD" w:rsidR="009835CD">
              <w:rPr>
                <w:rFonts w:ascii="Times New Roman" w:hAnsi="Times New Roman" w:cs="Times New Roman"/>
                <w:sz w:val="24"/>
                <w:szCs w:val="24"/>
              </w:rPr>
              <w:t xml:space="preserve"> 2017. gada 1. jū</w:t>
            </w:r>
            <w:bookmarkStart w:name="_GoBack" w:id="5"/>
            <w:r w:rsidR="00957B42">
              <w:rPr>
                <w:rFonts w:ascii="Times New Roman" w:hAnsi="Times New Roman" w:cs="Times New Roman"/>
                <w:sz w:val="24"/>
                <w:szCs w:val="24"/>
              </w:rPr>
              <w:t>n</w:t>
            </w:r>
            <w:bookmarkEnd w:id="5"/>
            <w:r w:rsidRPr="009835CD" w:rsidR="009835CD">
              <w:rPr>
                <w:rFonts w:ascii="Times New Roman" w:hAnsi="Times New Roman" w:cs="Times New Roman"/>
                <w:sz w:val="24"/>
                <w:szCs w:val="24"/>
              </w:rPr>
              <w:t>ijā izsludināt</w:t>
            </w:r>
            <w:r w:rsidR="0019712F">
              <w:rPr>
                <w:rFonts w:ascii="Times New Roman" w:hAnsi="Times New Roman" w:cs="Times New Roman"/>
                <w:sz w:val="24"/>
                <w:szCs w:val="24"/>
              </w:rPr>
              <w:t>ā</w:t>
            </w:r>
            <w:r w:rsidRPr="009835CD" w:rsidR="009835CD">
              <w:rPr>
                <w:rFonts w:ascii="Times New Roman" w:hAnsi="Times New Roman" w:cs="Times New Roman"/>
                <w:sz w:val="24"/>
                <w:szCs w:val="24"/>
              </w:rPr>
              <w:t xml:space="preserve"> likumprojekt</w:t>
            </w:r>
            <w:r w:rsidR="0019712F">
              <w:rPr>
                <w:rFonts w:ascii="Times New Roman" w:hAnsi="Times New Roman" w:cs="Times New Roman"/>
                <w:sz w:val="24"/>
                <w:szCs w:val="24"/>
              </w:rPr>
              <w:t>a</w:t>
            </w:r>
            <w:r w:rsidRPr="009835CD" w:rsidR="009835CD">
              <w:rPr>
                <w:rFonts w:ascii="Times New Roman" w:hAnsi="Times New Roman" w:cs="Times New Roman"/>
                <w:sz w:val="24"/>
                <w:szCs w:val="24"/>
              </w:rPr>
              <w:t> </w:t>
            </w:r>
            <w:r w:rsidR="00850274">
              <w:rPr>
                <w:rFonts w:ascii="Times New Roman" w:hAnsi="Times New Roman" w:cs="Times New Roman"/>
                <w:sz w:val="24"/>
                <w:szCs w:val="24"/>
              </w:rPr>
              <w:t>"</w:t>
            </w:r>
            <w:r w:rsidRPr="009835CD" w:rsidR="009835CD">
              <w:rPr>
                <w:rFonts w:ascii="Times New Roman" w:hAnsi="Times New Roman" w:cs="Times New Roman"/>
                <w:sz w:val="24"/>
                <w:szCs w:val="24"/>
              </w:rPr>
              <w:t>Grozījumi Maksātnespējas likumā</w:t>
            </w:r>
            <w:r w:rsidR="00850274">
              <w:rPr>
                <w:rFonts w:ascii="Times New Roman" w:hAnsi="Times New Roman" w:cs="Times New Roman"/>
                <w:sz w:val="24"/>
                <w:szCs w:val="24"/>
              </w:rPr>
              <w:t>"</w:t>
            </w:r>
            <w:r w:rsidRPr="009835CD" w:rsidR="009835CD">
              <w:rPr>
                <w:rFonts w:ascii="Times New Roman" w:hAnsi="Times New Roman" w:cs="Times New Roman"/>
                <w:sz w:val="24"/>
                <w:szCs w:val="24"/>
              </w:rPr>
              <w:t xml:space="preserve"> </w:t>
            </w:r>
            <w:r w:rsidR="0019712F">
              <w:rPr>
                <w:rFonts w:ascii="Times New Roman" w:hAnsi="Times New Roman" w:cs="Times New Roman"/>
                <w:sz w:val="24"/>
                <w:szCs w:val="24"/>
              </w:rPr>
              <w:t>ietvaros</w:t>
            </w:r>
            <w:r w:rsidR="009A6D6D">
              <w:rPr>
                <w:rFonts w:ascii="Times New Roman" w:hAnsi="Times New Roman" w:cs="Times New Roman"/>
                <w:sz w:val="24"/>
                <w:szCs w:val="24"/>
              </w:rPr>
              <w:t>, kas vēlāk skatīts arī Latvijas Republikas Saeimā</w:t>
            </w:r>
            <w:r w:rsidR="009A6D6D">
              <w:rPr>
                <w:rStyle w:val="FootnoteReference"/>
                <w:rFonts w:ascii="Times New Roman" w:hAnsi="Times New Roman" w:cs="Times New Roman"/>
                <w:sz w:val="24"/>
                <w:szCs w:val="24"/>
              </w:rPr>
              <w:footnoteReference w:id="4"/>
            </w:r>
            <w:r w:rsidR="00257C12">
              <w:rPr>
                <w:rFonts w:ascii="Times New Roman" w:hAnsi="Times New Roman" w:cs="Times New Roman"/>
                <w:sz w:val="24"/>
                <w:szCs w:val="24"/>
              </w:rPr>
              <w:t xml:space="preserve">. Minēto </w:t>
            </w:r>
            <w:r w:rsidR="008147F2">
              <w:rPr>
                <w:rFonts w:ascii="Times New Roman" w:hAnsi="Times New Roman" w:cs="Times New Roman"/>
                <w:sz w:val="24"/>
                <w:szCs w:val="24"/>
              </w:rPr>
              <w:t xml:space="preserve">grozījumu kontekstā notika </w:t>
            </w:r>
            <w:r w:rsidRPr="00257C12" w:rsidR="00257C12">
              <w:rPr>
                <w:rFonts w:ascii="Times New Roman" w:hAnsi="Times New Roman" w:cs="Times New Roman"/>
                <w:sz w:val="24"/>
                <w:szCs w:val="24"/>
              </w:rPr>
              <w:t>konsultācijas</w:t>
            </w:r>
            <w:r w:rsidR="008147F2">
              <w:rPr>
                <w:rFonts w:ascii="Times New Roman" w:hAnsi="Times New Roman" w:cs="Times New Roman"/>
                <w:sz w:val="24"/>
                <w:szCs w:val="24"/>
              </w:rPr>
              <w:t xml:space="preserve"> tai skaitā</w:t>
            </w:r>
            <w:r w:rsidRPr="00257C12" w:rsidR="00257C12">
              <w:rPr>
                <w:rFonts w:ascii="Times New Roman" w:hAnsi="Times New Roman" w:cs="Times New Roman"/>
                <w:sz w:val="24"/>
                <w:szCs w:val="24"/>
              </w:rPr>
              <w:t xml:space="preserve"> ar Tieslietu ministrijas pastāvīgo darba grupu </w:t>
            </w:r>
            <w:r w:rsidR="00850274">
              <w:rPr>
                <w:rFonts w:ascii="Times New Roman" w:hAnsi="Times New Roman" w:cs="Times New Roman"/>
                <w:sz w:val="24"/>
                <w:szCs w:val="24"/>
              </w:rPr>
              <w:t>"</w:t>
            </w:r>
            <w:r w:rsidRPr="00257C12" w:rsidR="00257C12">
              <w:rPr>
                <w:rFonts w:ascii="Times New Roman" w:hAnsi="Times New Roman" w:cs="Times New Roman"/>
                <w:sz w:val="24"/>
                <w:szCs w:val="24"/>
              </w:rPr>
              <w:t>Maksātnespējas regulējuma pilnveidošanas darba grupa</w:t>
            </w:r>
            <w:r w:rsidR="00850274">
              <w:rPr>
                <w:rFonts w:ascii="Times New Roman" w:hAnsi="Times New Roman" w:cs="Times New Roman"/>
                <w:sz w:val="24"/>
                <w:szCs w:val="24"/>
              </w:rPr>
              <w:t>"</w:t>
            </w:r>
            <w:r w:rsidRPr="00257C12" w:rsidR="00257C12">
              <w:rPr>
                <w:rFonts w:ascii="Times New Roman" w:hAnsi="Times New Roman" w:cs="Times New Roman"/>
                <w:sz w:val="24"/>
                <w:szCs w:val="24"/>
              </w:rPr>
              <w:t>, kurā pārstāvēta Latvijas Kredītņēmēju asociācija, biedrība </w:t>
            </w:r>
            <w:r w:rsidR="00850274">
              <w:rPr>
                <w:rFonts w:ascii="Times New Roman" w:hAnsi="Times New Roman" w:cs="Times New Roman"/>
                <w:sz w:val="24"/>
                <w:szCs w:val="24"/>
              </w:rPr>
              <w:t>"</w:t>
            </w:r>
            <w:r w:rsidRPr="00257C12" w:rsidR="00257C12">
              <w:rPr>
                <w:rFonts w:ascii="Times New Roman" w:hAnsi="Times New Roman" w:cs="Times New Roman"/>
                <w:sz w:val="24"/>
                <w:szCs w:val="24"/>
              </w:rPr>
              <w:t>Latvijas Sertificēto maksātnespējas procesa administratoru asociācija</w:t>
            </w:r>
            <w:r w:rsidR="00850274">
              <w:rPr>
                <w:rFonts w:ascii="Times New Roman" w:hAnsi="Times New Roman" w:cs="Times New Roman"/>
                <w:sz w:val="24"/>
                <w:szCs w:val="24"/>
              </w:rPr>
              <w:t>"</w:t>
            </w:r>
            <w:r w:rsidRPr="00257C12" w:rsidR="00257C12">
              <w:rPr>
                <w:rFonts w:ascii="Times New Roman" w:hAnsi="Times New Roman" w:cs="Times New Roman"/>
                <w:sz w:val="24"/>
                <w:szCs w:val="24"/>
              </w:rPr>
              <w:t xml:space="preserve">, Latvijas </w:t>
            </w:r>
            <w:r w:rsidRPr="00257C12" w:rsidR="00257C12">
              <w:rPr>
                <w:rFonts w:ascii="Times New Roman" w:hAnsi="Times New Roman" w:cs="Times New Roman"/>
                <w:sz w:val="24"/>
                <w:szCs w:val="24"/>
              </w:rPr>
              <w:lastRenderedPageBreak/>
              <w:t>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 piedaloties arī Maksātnespējas kontroles dienestam.</w:t>
            </w:r>
          </w:p>
          <w:p w:rsidR="00FB3AF0" w:rsidP="00257C12" w:rsidRDefault="00FB3AF0" w14:paraId="5C8C1CE1" w14:textId="7CDAC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likumprojektā ietverto grozījumu būtība izskatīta Tieslietu ministrijas patstāvīgajā darba grupas </w:t>
            </w:r>
            <w:r w:rsidR="007F0ABC">
              <w:rPr>
                <w:rFonts w:ascii="Times New Roman" w:hAnsi="Times New Roman" w:cs="Times New Roman"/>
                <w:sz w:val="24"/>
                <w:szCs w:val="24"/>
              </w:rPr>
              <w:t>"</w:t>
            </w:r>
            <w:r>
              <w:rPr>
                <w:rFonts w:ascii="Times New Roman" w:hAnsi="Times New Roman" w:cs="Times New Roman"/>
                <w:sz w:val="24"/>
                <w:szCs w:val="24"/>
              </w:rPr>
              <w:t>Lat</w:t>
            </w:r>
            <w:r w:rsidRPr="00FB3AF0">
              <w:rPr>
                <w:rFonts w:ascii="Times New Roman" w:hAnsi="Times New Roman" w:cs="Times New Roman"/>
                <w:sz w:val="24"/>
                <w:szCs w:val="24"/>
              </w:rPr>
              <w:t>vijas Administratīvo pārkāpumu kodeksa darba grupa</w:t>
            </w:r>
            <w:r w:rsidR="007F0ABC">
              <w:rPr>
                <w:rFonts w:ascii="Times New Roman" w:hAnsi="Times New Roman" w:cs="Times New Roman"/>
                <w:sz w:val="24"/>
                <w:szCs w:val="24"/>
              </w:rPr>
              <w:t>"</w:t>
            </w:r>
            <w:r>
              <w:rPr>
                <w:rFonts w:ascii="Times New Roman" w:hAnsi="Times New Roman" w:cs="Times New Roman"/>
                <w:sz w:val="24"/>
                <w:szCs w:val="24"/>
              </w:rPr>
              <w:t xml:space="preserve"> 2016. gada 15. decembra sanāksmē.</w:t>
            </w:r>
          </w:p>
          <w:p w:rsidRPr="001C5969" w:rsidR="00554955" w:rsidP="00257C12" w:rsidRDefault="00257C12" w14:paraId="7491B68B" w14:textId="1063B7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minēto, </w:t>
            </w:r>
            <w:r w:rsidR="000E1166">
              <w:rPr>
                <w:rFonts w:ascii="Times New Roman" w:hAnsi="Times New Roman" w:cs="Times New Roman"/>
                <w:sz w:val="24"/>
                <w:szCs w:val="24"/>
              </w:rPr>
              <w:t xml:space="preserve">atkārtota sabiedrības līdzdalība </w:t>
            </w:r>
            <w:r w:rsidR="009A6D6D">
              <w:rPr>
                <w:rFonts w:ascii="Times New Roman" w:hAnsi="Times New Roman" w:cs="Times New Roman"/>
                <w:sz w:val="24"/>
                <w:szCs w:val="24"/>
              </w:rPr>
              <w:t>un komunikācijas aktivitātes nav veiktas.</w:t>
            </w:r>
          </w:p>
        </w:tc>
      </w:tr>
      <w:tr w:rsidRPr="00BC2633" w:rsidR="00330C9D" w:rsidTr="003929C3" w14:paraId="7CF85E58"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5F92D01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233"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1E44FF6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517" w:type="pct"/>
            <w:tcBorders>
              <w:top w:val="outset" w:color="414142" w:sz="6" w:space="0"/>
              <w:left w:val="outset" w:color="414142" w:sz="6" w:space="0"/>
              <w:bottom w:val="outset" w:color="414142" w:sz="6" w:space="0"/>
              <w:right w:val="outset" w:color="414142" w:sz="6" w:space="0"/>
            </w:tcBorders>
            <w:hideMark/>
          </w:tcPr>
          <w:p w:rsidRPr="00BC2633" w:rsidR="00330C9D" w:rsidP="00415F44" w:rsidRDefault="00DE01BE" w14:paraId="580618F5" w14:textId="1C8F5C3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bCs/>
                <w:sz w:val="24"/>
                <w:szCs w:val="20"/>
              </w:rPr>
              <w:t xml:space="preserve">Likumprojekta izstrādes gaitā nav notikušas atkārtotas konsultācijas ar </w:t>
            </w:r>
            <w:r w:rsidR="00415F44">
              <w:rPr>
                <w:rFonts w:ascii="Times New Roman" w:hAnsi="Times New Roman" w:cs="Times New Roman"/>
                <w:bCs/>
                <w:sz w:val="24"/>
                <w:szCs w:val="20"/>
              </w:rPr>
              <w:t xml:space="preserve">iesaistītajām institūcijām (skat. informāciju </w:t>
            </w:r>
            <w:r w:rsidR="00850274">
              <w:rPr>
                <w:rFonts w:ascii="Times New Roman" w:hAnsi="Times New Roman" w:cs="Times New Roman"/>
                <w:bCs/>
                <w:sz w:val="24"/>
                <w:szCs w:val="20"/>
              </w:rPr>
              <w:t xml:space="preserve">anotācijas </w:t>
            </w:r>
            <w:r w:rsidR="00415F44">
              <w:rPr>
                <w:rFonts w:ascii="Times New Roman" w:hAnsi="Times New Roman" w:cs="Times New Roman"/>
                <w:bCs/>
                <w:sz w:val="24"/>
                <w:szCs w:val="20"/>
              </w:rPr>
              <w:t>šīs sadaļas 1. punktā).</w:t>
            </w:r>
          </w:p>
        </w:tc>
      </w:tr>
      <w:tr w:rsidRPr="00BC2633" w:rsidR="00330C9D" w:rsidTr="003929C3" w14:paraId="2FEE8BD6"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5F48530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233"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74A5E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517" w:type="pct"/>
            <w:tcBorders>
              <w:top w:val="outset" w:color="414142" w:sz="6" w:space="0"/>
              <w:left w:val="outset" w:color="414142" w:sz="6" w:space="0"/>
              <w:bottom w:val="outset" w:color="414142" w:sz="6" w:space="0"/>
              <w:right w:val="outset" w:color="414142" w:sz="6" w:space="0"/>
            </w:tcBorders>
            <w:hideMark/>
          </w:tcPr>
          <w:p w:rsidRPr="00BC2633" w:rsidR="00330C9D" w:rsidP="008147F2" w:rsidRDefault="008147F2" w14:paraId="1C8831E3" w14:textId="6F3711B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330C9D" w:rsidTr="003929C3" w14:paraId="49FC1445"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6D77575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233" w:type="pct"/>
            <w:tcBorders>
              <w:top w:val="outset" w:color="414142" w:sz="6" w:space="0"/>
              <w:left w:val="outset" w:color="414142" w:sz="6" w:space="0"/>
              <w:bottom w:val="outset" w:color="414142" w:sz="6" w:space="0"/>
              <w:right w:val="outset" w:color="414142" w:sz="6" w:space="0"/>
            </w:tcBorders>
            <w:hideMark/>
          </w:tcPr>
          <w:p w:rsidRPr="00BC2633" w:rsidR="00330C9D" w:rsidP="00B71DD6" w:rsidRDefault="00330C9D" w14:paraId="165DE90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17" w:type="pct"/>
            <w:tcBorders>
              <w:top w:val="outset" w:color="414142" w:sz="6" w:space="0"/>
              <w:left w:val="outset" w:color="414142" w:sz="6" w:space="0"/>
              <w:bottom w:val="outset" w:color="414142" w:sz="6" w:space="0"/>
              <w:right w:val="outset" w:color="414142" w:sz="6" w:space="0"/>
            </w:tcBorders>
            <w:hideMark/>
          </w:tcPr>
          <w:p w:rsidRPr="00BC2633" w:rsidR="00330C9D" w:rsidP="008147F2" w:rsidRDefault="00330C9D" w14:paraId="2BC1EF0A"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BC71DD" w:rsidP="00B71DD6" w:rsidRDefault="00BC71DD" w14:paraId="7CC57FDC" w14:textId="77777777">
      <w:pPr>
        <w:spacing w:after="0" w:line="240" w:lineRule="auto"/>
        <w:rPr>
          <w:rFonts w:ascii="Times New Roman" w:hAnsi="Times New Roman" w:eastAsia="Times New Roman" w:cs="Times New Roman"/>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
        <w:gridCol w:w="355"/>
        <w:gridCol w:w="3324"/>
        <w:gridCol w:w="5376"/>
      </w:tblGrid>
      <w:tr w:rsidR="00E040EB" w:rsidTr="00742845" w14:paraId="511B5265" w14:textId="77777777">
        <w:trPr>
          <w:gridBefore w:val="1"/>
          <w:wBefore w:w="4" w:type="pct"/>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00E040EB" w:rsidP="00B71DD6" w:rsidRDefault="00E040EB" w14:paraId="3FC70518" w14:textId="77777777">
            <w:pPr>
              <w:spacing w:after="0" w:line="240" w:lineRule="auto"/>
              <w:ind w:firstLine="300"/>
              <w:jc w:val="center"/>
              <w:rPr>
                <w:rFonts w:ascii="Times New Roman" w:hAnsi="Times New Roman" w:eastAsia="Times New Roman" w:cs="Times New Roman"/>
                <w:b/>
                <w:bCs/>
                <w:sz w:val="24"/>
                <w:szCs w:val="24"/>
                <w:lang w:eastAsia="lv-LV"/>
              </w:rPr>
            </w:pPr>
            <w:r w:rsidRPr="000B70E1">
              <w:rPr>
                <w:rFonts w:ascii="Times New Roman" w:hAnsi="Times New Roman" w:eastAsia="Times New Roman" w:cs="Times New Roman"/>
                <w:b/>
                <w:bCs/>
                <w:sz w:val="24"/>
                <w:szCs w:val="24"/>
                <w:lang w:eastAsia="lv-LV"/>
              </w:rPr>
              <w:t>VII. Tiesību akta projekta izpildes nodrošināšana un tās ietekme uz institūcijām</w:t>
            </w:r>
          </w:p>
        </w:tc>
      </w:tr>
      <w:tr w:rsidR="00742845" w:rsidTr="003929C3" w14:paraId="6C62E4B3" w14:textId="77777777">
        <w:trPr>
          <w:trHeight w:val="405"/>
        </w:trPr>
        <w:tc>
          <w:tcPr>
            <w:tcW w:w="200" w:type="pct"/>
            <w:gridSpan w:val="2"/>
            <w:tcBorders>
              <w:top w:val="outset" w:color="414142" w:sz="6" w:space="0"/>
              <w:left w:val="outset" w:color="414142" w:sz="6" w:space="0"/>
              <w:bottom w:val="outset" w:color="414142" w:sz="6" w:space="0"/>
              <w:right w:val="outset" w:color="414142" w:sz="6" w:space="0"/>
            </w:tcBorders>
            <w:hideMark/>
          </w:tcPr>
          <w:p w:rsidR="00742845" w:rsidP="00B71DD6" w:rsidRDefault="00742845" w14:paraId="5CF0BE6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1834" w:type="pct"/>
            <w:tcBorders>
              <w:top w:val="outset" w:color="414142" w:sz="6" w:space="0"/>
              <w:left w:val="outset" w:color="414142" w:sz="6" w:space="0"/>
              <w:bottom w:val="outset" w:color="414142" w:sz="6" w:space="0"/>
              <w:right w:val="outset" w:color="414142" w:sz="6" w:space="0"/>
            </w:tcBorders>
            <w:hideMark/>
          </w:tcPr>
          <w:p w:rsidR="00742845" w:rsidP="00B71DD6" w:rsidRDefault="00742845" w14:paraId="1AC69366" w14:textId="715558FC">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Projekta </w:t>
            </w:r>
            <w:r w:rsidR="00B62C65">
              <w:rPr>
                <w:rFonts w:ascii="Times New Roman" w:hAnsi="Times New Roman" w:eastAsia="Times New Roman" w:cs="Times New Roman"/>
                <w:sz w:val="24"/>
                <w:szCs w:val="24"/>
                <w:lang w:eastAsia="lv-LV"/>
              </w:rPr>
              <w:t>izpildē</w:t>
            </w:r>
            <w:r>
              <w:rPr>
                <w:rFonts w:ascii="Times New Roman" w:hAnsi="Times New Roman" w:eastAsia="Times New Roman" w:cs="Times New Roman"/>
                <w:sz w:val="24"/>
                <w:szCs w:val="24"/>
                <w:lang w:eastAsia="lv-LV"/>
              </w:rPr>
              <w:t xml:space="preserve"> iesaistītās institūcijas</w:t>
            </w:r>
          </w:p>
        </w:tc>
        <w:tc>
          <w:tcPr>
            <w:tcW w:w="2966" w:type="pct"/>
            <w:tcBorders>
              <w:top w:val="outset" w:color="414142" w:sz="6" w:space="0"/>
              <w:left w:val="outset" w:color="414142" w:sz="6" w:space="0"/>
              <w:bottom w:val="outset" w:color="414142" w:sz="6" w:space="0"/>
              <w:right w:val="outset" w:color="414142" w:sz="6" w:space="0"/>
            </w:tcBorders>
            <w:hideMark/>
          </w:tcPr>
          <w:p w:rsidR="00742845" w:rsidP="00B62C65" w:rsidRDefault="005B3906" w14:paraId="4F11792F" w14:textId="3A1489D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Valsts ieņēmumu dienests, Valsts policija un Maksātnespējas kontroles dienests.</w:t>
            </w:r>
          </w:p>
        </w:tc>
      </w:tr>
      <w:tr w:rsidR="00742845" w:rsidTr="003929C3" w14:paraId="1BFB55A8" w14:textId="77777777">
        <w:trPr>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00742845" w:rsidP="00B71DD6" w:rsidRDefault="00742845" w14:paraId="28ECA50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1834" w:type="pct"/>
            <w:tcBorders>
              <w:top w:val="outset" w:color="414142" w:sz="6" w:space="0"/>
              <w:left w:val="outset" w:color="414142" w:sz="6" w:space="0"/>
              <w:bottom w:val="outset" w:color="414142" w:sz="6" w:space="0"/>
              <w:right w:val="outset" w:color="414142" w:sz="6" w:space="0"/>
            </w:tcBorders>
            <w:hideMark/>
          </w:tcPr>
          <w:p w:rsidR="009702CC" w:rsidP="00B71DD6" w:rsidRDefault="009702CC" w14:paraId="42B3C4E4" w14:textId="77777777">
            <w:pPr>
              <w:spacing w:after="0" w:line="240" w:lineRule="auto"/>
              <w:rPr>
                <w:rFonts w:ascii="Times New Roman" w:hAnsi="Times New Roman" w:eastAsia="Times New Roman" w:cs="Times New Roman"/>
                <w:sz w:val="24"/>
                <w:szCs w:val="24"/>
                <w:lang w:eastAsia="lv-LV"/>
              </w:rPr>
            </w:pPr>
            <w:r w:rsidRPr="009702CC">
              <w:rPr>
                <w:rFonts w:ascii="Times New Roman" w:hAnsi="Times New Roman" w:eastAsia="Times New Roman" w:cs="Times New Roman"/>
                <w:sz w:val="24"/>
                <w:szCs w:val="24"/>
                <w:lang w:eastAsia="lv-LV"/>
              </w:rPr>
              <w:t>Projekta izpildes ietekme uz pārvaldes funkcijām un institucionālo struktūru.</w:t>
            </w:r>
          </w:p>
          <w:p w:rsidR="00742845" w:rsidP="00B71DD6" w:rsidRDefault="009702CC" w14:paraId="1984F802" w14:textId="0595262A">
            <w:pPr>
              <w:spacing w:after="0" w:line="240" w:lineRule="auto"/>
              <w:rPr>
                <w:rFonts w:ascii="Times New Roman" w:hAnsi="Times New Roman" w:eastAsia="Times New Roman" w:cs="Times New Roman"/>
                <w:sz w:val="24"/>
                <w:szCs w:val="24"/>
                <w:lang w:eastAsia="lv-LV"/>
              </w:rPr>
            </w:pPr>
            <w:r w:rsidRPr="009702CC">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966" w:type="pct"/>
            <w:tcBorders>
              <w:top w:val="outset" w:color="414142" w:sz="6" w:space="0"/>
              <w:left w:val="outset" w:color="414142" w:sz="6" w:space="0"/>
              <w:bottom w:val="outset" w:color="414142" w:sz="6" w:space="0"/>
              <w:right w:val="outset" w:color="414142" w:sz="6" w:space="0"/>
            </w:tcBorders>
          </w:tcPr>
          <w:p w:rsidR="009B54E7" w:rsidP="00F824C0" w:rsidRDefault="009B54E7" w14:paraId="393CC717" w14:textId="5E85CAF6">
            <w:pPr>
              <w:spacing w:after="0" w:line="240" w:lineRule="auto"/>
              <w:jc w:val="both"/>
              <w:rPr>
                <w:rFonts w:ascii="Times New Roman" w:hAnsi="Times New Roman" w:eastAsia="Times New Roman" w:cs="Times New Roman"/>
                <w:color w:val="000000" w:themeColor="text1"/>
                <w:sz w:val="24"/>
                <w:szCs w:val="24"/>
                <w:lang w:eastAsia="lv-LV"/>
              </w:rPr>
            </w:pPr>
            <w:r>
              <w:rPr>
                <w:rFonts w:ascii="Times New Roman" w:hAnsi="Times New Roman" w:eastAsia="Times New Roman" w:cs="Times New Roman"/>
                <w:color w:val="000000" w:themeColor="text1"/>
                <w:sz w:val="24"/>
                <w:szCs w:val="24"/>
                <w:lang w:eastAsia="lv-LV"/>
              </w:rPr>
              <w:t>Likumprojekta izpilde nerada ietekmi uz pārvaldes funkcijām un institucionālo struktūru</w:t>
            </w:r>
            <w:r w:rsidR="002D012A">
              <w:rPr>
                <w:rFonts w:ascii="Times New Roman" w:hAnsi="Times New Roman" w:eastAsia="Times New Roman" w:cs="Times New Roman"/>
                <w:color w:val="000000" w:themeColor="text1"/>
                <w:sz w:val="24"/>
                <w:szCs w:val="24"/>
                <w:lang w:eastAsia="lv-LV"/>
              </w:rPr>
              <w:t>.</w:t>
            </w:r>
          </w:p>
          <w:p w:rsidR="00742845" w:rsidP="00F824C0" w:rsidRDefault="00F824C0" w14:paraId="1D2B2A1D" w14:textId="602925E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color w:val="000000" w:themeColor="text1"/>
                <w:sz w:val="24"/>
                <w:szCs w:val="24"/>
                <w:lang w:eastAsia="lv-LV"/>
              </w:rPr>
              <w:t>Jaunas institūcijas netiek veidotas, esošās institūcijas netiek likvidētas vai reorganizētas</w:t>
            </w:r>
            <w:r w:rsidR="00192898">
              <w:rPr>
                <w:rFonts w:ascii="Times New Roman" w:hAnsi="Times New Roman" w:eastAsia="Times New Roman" w:cs="Times New Roman"/>
                <w:color w:val="000000" w:themeColor="text1"/>
                <w:sz w:val="24"/>
                <w:szCs w:val="24"/>
                <w:lang w:eastAsia="lv-LV"/>
              </w:rPr>
              <w:t xml:space="preserve">. Likumprojekts </w:t>
            </w:r>
            <w:r w:rsidR="002D012A">
              <w:rPr>
                <w:rFonts w:ascii="Times New Roman" w:hAnsi="Times New Roman" w:eastAsia="Times New Roman" w:cs="Times New Roman"/>
                <w:color w:val="000000" w:themeColor="text1"/>
                <w:sz w:val="24"/>
                <w:szCs w:val="24"/>
                <w:lang w:eastAsia="lv-LV"/>
              </w:rPr>
              <w:t xml:space="preserve">nerada ietekmi uz </w:t>
            </w:r>
            <w:r w:rsidR="00C96D8E">
              <w:rPr>
                <w:rFonts w:ascii="Times New Roman" w:hAnsi="Times New Roman" w:eastAsia="Times New Roman" w:cs="Times New Roman"/>
                <w:color w:val="000000" w:themeColor="text1"/>
                <w:sz w:val="24"/>
                <w:szCs w:val="24"/>
                <w:lang w:eastAsia="lv-LV"/>
              </w:rPr>
              <w:t>institūciju cilvēkresursiem.</w:t>
            </w:r>
          </w:p>
        </w:tc>
      </w:tr>
      <w:tr w:rsidR="00742845" w:rsidTr="003929C3" w14:paraId="42D803C9" w14:textId="77777777">
        <w:trPr>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00742845" w:rsidP="00B71DD6" w:rsidRDefault="00742845" w14:paraId="1411CD9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1834" w:type="pct"/>
            <w:tcBorders>
              <w:top w:val="outset" w:color="414142" w:sz="6" w:space="0"/>
              <w:left w:val="outset" w:color="414142" w:sz="6" w:space="0"/>
              <w:bottom w:val="outset" w:color="414142" w:sz="6" w:space="0"/>
              <w:right w:val="outset" w:color="414142" w:sz="6" w:space="0"/>
            </w:tcBorders>
            <w:hideMark/>
          </w:tcPr>
          <w:p w:rsidR="00742845" w:rsidP="00B71DD6" w:rsidRDefault="00742845" w14:paraId="0A083515" w14:textId="3FDB7C5F">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2966" w:type="pct"/>
            <w:tcBorders>
              <w:top w:val="outset" w:color="414142" w:sz="6" w:space="0"/>
              <w:left w:val="outset" w:color="414142" w:sz="6" w:space="0"/>
              <w:bottom w:val="outset" w:color="414142" w:sz="6" w:space="0"/>
              <w:right w:val="outset" w:color="414142" w:sz="6" w:space="0"/>
            </w:tcBorders>
            <w:hideMark/>
          </w:tcPr>
          <w:p w:rsidR="00742845" w:rsidP="00C96D8E" w:rsidRDefault="00742845" w14:paraId="77E90E56" w14:textId="052B9B6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BC71DD" w:rsidP="00B71DD6" w:rsidRDefault="00BC71DD" w14:paraId="28604D8B" w14:textId="77777777">
      <w:pPr>
        <w:spacing w:after="0" w:line="240" w:lineRule="auto"/>
        <w:rPr>
          <w:rFonts w:ascii="Times New Roman" w:hAnsi="Times New Roman" w:eastAsia="Times New Roman" w:cs="Times New Roman"/>
          <w:sz w:val="24"/>
          <w:szCs w:val="24"/>
          <w:lang w:eastAsia="lv-LV"/>
        </w:rPr>
      </w:pPr>
    </w:p>
    <w:p w:rsidR="00BC71DD" w:rsidP="00B71DD6" w:rsidRDefault="00BC71DD" w14:paraId="118B9282" w14:textId="77777777">
      <w:pPr>
        <w:spacing w:after="0" w:line="240" w:lineRule="auto"/>
        <w:rPr>
          <w:rFonts w:ascii="Times New Roman" w:hAnsi="Times New Roman" w:eastAsia="Times New Roman" w:cs="Times New Roman"/>
          <w:sz w:val="24"/>
          <w:szCs w:val="24"/>
          <w:lang w:eastAsia="lv-LV"/>
        </w:rPr>
      </w:pPr>
    </w:p>
    <w:p w:rsidRPr="00E159FF" w:rsidR="00A80D37" w:rsidP="00B71DD6" w:rsidRDefault="00A80D37" w14:paraId="63E1ED65" w14:textId="77777777">
      <w:pPr>
        <w:pStyle w:val="NoSpacing"/>
        <w:jc w:val="both"/>
        <w:rPr>
          <w:rFonts w:ascii="Times New Roman" w:hAnsi="Times New Roman" w:cs="Times New Roman"/>
          <w:sz w:val="24"/>
          <w:szCs w:val="24"/>
        </w:rPr>
      </w:pPr>
      <w:r w:rsidRPr="00E159FF">
        <w:rPr>
          <w:rFonts w:ascii="Times New Roman" w:hAnsi="Times New Roman" w:cs="Times New Roman"/>
          <w:sz w:val="24"/>
          <w:szCs w:val="24"/>
        </w:rPr>
        <w:t>Iesniedzējs:</w:t>
      </w:r>
    </w:p>
    <w:p w:rsidRPr="00E159FF" w:rsidR="00A80D37" w:rsidP="00B71DD6" w:rsidRDefault="00A80D37" w14:paraId="6D5D20B1" w14:textId="77777777">
      <w:pPr>
        <w:pStyle w:val="NoSpacing"/>
        <w:jc w:val="both"/>
        <w:rPr>
          <w:rFonts w:ascii="Times New Roman" w:hAnsi="Times New Roman" w:cs="Times New Roman"/>
          <w:sz w:val="24"/>
          <w:szCs w:val="24"/>
        </w:rPr>
      </w:pPr>
      <w:r w:rsidRPr="00E159FF">
        <w:rPr>
          <w:rFonts w:ascii="Times New Roman" w:hAnsi="Times New Roman" w:cs="Times New Roman"/>
          <w:sz w:val="24"/>
          <w:szCs w:val="24"/>
        </w:rPr>
        <w:t>Ministru prezidenta biedrs,</w:t>
      </w:r>
    </w:p>
    <w:p w:rsidRPr="00E159FF" w:rsidR="00A80D37" w:rsidP="00B8620B" w:rsidRDefault="00A80D37" w14:paraId="28BC20CF" w14:textId="784B5493">
      <w:pPr>
        <w:pStyle w:val="NoSpacing"/>
        <w:tabs>
          <w:tab w:val="right" w:pos="9071"/>
        </w:tabs>
        <w:jc w:val="both"/>
        <w:rPr>
          <w:rFonts w:ascii="Times New Roman" w:hAnsi="Times New Roman" w:cs="Times New Roman"/>
          <w:sz w:val="24"/>
          <w:szCs w:val="24"/>
        </w:rPr>
      </w:pPr>
      <w:r w:rsidRPr="00E159FF">
        <w:rPr>
          <w:rFonts w:ascii="Times New Roman" w:hAnsi="Times New Roman" w:cs="Times New Roman"/>
          <w:sz w:val="24"/>
          <w:szCs w:val="24"/>
        </w:rPr>
        <w:t>tieslietu ministrs</w:t>
      </w:r>
      <w:r w:rsidR="00B8620B">
        <w:rPr>
          <w:rFonts w:ascii="Times New Roman" w:hAnsi="Times New Roman" w:cs="Times New Roman"/>
          <w:sz w:val="24"/>
          <w:szCs w:val="24"/>
        </w:rPr>
        <w:tab/>
      </w:r>
      <w:r w:rsidRPr="00E159FF">
        <w:rPr>
          <w:rFonts w:ascii="Times New Roman" w:hAnsi="Times New Roman" w:cs="Times New Roman"/>
          <w:sz w:val="24"/>
          <w:szCs w:val="24"/>
        </w:rPr>
        <w:t>Jānis Bordāns</w:t>
      </w:r>
    </w:p>
    <w:p w:rsidR="00A80D37" w:rsidP="00B71DD6" w:rsidRDefault="00A80D37" w14:paraId="54437E70" w14:textId="77777777">
      <w:pPr>
        <w:pStyle w:val="StyleRight"/>
        <w:spacing w:after="0"/>
        <w:ind w:firstLine="0"/>
        <w:jc w:val="both"/>
        <w:rPr>
          <w:sz w:val="24"/>
          <w:szCs w:val="24"/>
        </w:rPr>
      </w:pPr>
    </w:p>
    <w:p w:rsidR="00A80D37" w:rsidP="00B71DD6" w:rsidRDefault="00A80D37" w14:paraId="3C567557" w14:textId="77777777">
      <w:pPr>
        <w:pStyle w:val="StyleRight"/>
        <w:spacing w:after="0"/>
        <w:ind w:firstLine="0"/>
        <w:jc w:val="both"/>
        <w:rPr>
          <w:sz w:val="24"/>
          <w:szCs w:val="24"/>
        </w:rPr>
      </w:pPr>
    </w:p>
    <w:p w:rsidRPr="00465419" w:rsidR="00E20F89" w:rsidP="00B71DD6" w:rsidRDefault="00B8620B" w14:paraId="061E687D" w14:textId="11C0415A">
      <w:pPr>
        <w:pStyle w:val="StyleRight"/>
        <w:spacing w:after="0"/>
        <w:ind w:firstLine="0"/>
        <w:jc w:val="both"/>
        <w:rPr>
          <w:i/>
          <w:sz w:val="20"/>
          <w:szCs w:val="22"/>
        </w:rPr>
      </w:pPr>
      <w:r w:rsidRPr="00465419">
        <w:rPr>
          <w:i/>
          <w:sz w:val="20"/>
          <w:szCs w:val="22"/>
        </w:rPr>
        <w:t>Ozola 67046147</w:t>
      </w:r>
    </w:p>
    <w:p w:rsidRPr="00465419" w:rsidR="00465419" w:rsidP="00B71DD6" w:rsidRDefault="001E776B" w14:paraId="680EA0BB" w14:textId="4D1D32E3">
      <w:pPr>
        <w:pStyle w:val="StyleRight"/>
        <w:spacing w:after="0"/>
        <w:ind w:firstLine="0"/>
        <w:jc w:val="both"/>
        <w:rPr>
          <w:i/>
          <w:sz w:val="20"/>
          <w:szCs w:val="22"/>
        </w:rPr>
      </w:pPr>
      <w:hyperlink w:history="1" r:id="rId8">
        <w:r w:rsidRPr="00465419" w:rsidR="00465419">
          <w:rPr>
            <w:rStyle w:val="Hyperlink"/>
            <w:i/>
            <w:sz w:val="20"/>
            <w:szCs w:val="22"/>
          </w:rPr>
          <w:t>Liene.Ozola@tm.gov.lv</w:t>
        </w:r>
      </w:hyperlink>
      <w:r w:rsidRPr="00465419" w:rsidR="00465419">
        <w:rPr>
          <w:i/>
          <w:sz w:val="20"/>
          <w:szCs w:val="22"/>
        </w:rPr>
        <w:t xml:space="preserve"> </w:t>
      </w:r>
    </w:p>
    <w:p w:rsidRPr="00460D21" w:rsidR="00B8620B" w:rsidP="00B71DD6" w:rsidRDefault="00B8620B" w14:paraId="2CB7CB95" w14:textId="77777777">
      <w:pPr>
        <w:pStyle w:val="StyleRight"/>
        <w:spacing w:after="0"/>
        <w:ind w:firstLine="0"/>
        <w:jc w:val="both"/>
        <w:rPr>
          <w:sz w:val="20"/>
          <w:szCs w:val="22"/>
        </w:rPr>
      </w:pPr>
    </w:p>
    <w:p w:rsidRPr="00465419" w:rsidR="00887463" w:rsidP="00B71DD6" w:rsidRDefault="00887463" w14:paraId="579B493E" w14:textId="0D6CDF3D">
      <w:pPr>
        <w:spacing w:after="0" w:line="240" w:lineRule="auto"/>
        <w:rPr>
          <w:rFonts w:ascii="Times New Roman" w:hAnsi="Times New Roman" w:cs="Times New Roman"/>
          <w:i/>
          <w:sz w:val="20"/>
          <w:szCs w:val="20"/>
        </w:rPr>
      </w:pPr>
      <w:r w:rsidRPr="00465419">
        <w:rPr>
          <w:rFonts w:ascii="Times New Roman" w:hAnsi="Times New Roman" w:cs="Times New Roman"/>
          <w:i/>
          <w:sz w:val="20"/>
          <w:szCs w:val="20"/>
        </w:rPr>
        <w:t>Lange</w:t>
      </w:r>
      <w:r w:rsidR="00465419">
        <w:rPr>
          <w:rFonts w:ascii="Times New Roman" w:hAnsi="Times New Roman" w:cs="Times New Roman"/>
          <w:i/>
          <w:sz w:val="20"/>
          <w:szCs w:val="20"/>
        </w:rPr>
        <w:t> </w:t>
      </w:r>
      <w:r w:rsidRPr="00465419" w:rsidR="00E20F89">
        <w:rPr>
          <w:rFonts w:ascii="Times New Roman" w:hAnsi="Times New Roman" w:cs="Times New Roman"/>
          <w:i/>
          <w:sz w:val="20"/>
          <w:szCs w:val="20"/>
        </w:rPr>
        <w:t>670991</w:t>
      </w:r>
      <w:r w:rsidRPr="00465419">
        <w:rPr>
          <w:rFonts w:ascii="Times New Roman" w:hAnsi="Times New Roman" w:cs="Times New Roman"/>
          <w:i/>
          <w:sz w:val="20"/>
          <w:szCs w:val="20"/>
        </w:rPr>
        <w:t>56</w:t>
      </w:r>
    </w:p>
    <w:p w:rsidRPr="00465419" w:rsidR="00465419" w:rsidP="00B71DD6" w:rsidRDefault="001E776B" w14:paraId="3E17ACFA" w14:textId="40BC96D2">
      <w:pPr>
        <w:spacing w:after="0" w:line="240" w:lineRule="auto"/>
        <w:rPr>
          <w:rFonts w:ascii="Times New Roman" w:hAnsi="Times New Roman" w:cs="Times New Roman"/>
          <w:i/>
          <w:sz w:val="20"/>
          <w:szCs w:val="20"/>
        </w:rPr>
      </w:pPr>
      <w:hyperlink w:history="1" r:id="rId9">
        <w:r w:rsidRPr="00465419" w:rsidR="00465419">
          <w:rPr>
            <w:rStyle w:val="Hyperlink"/>
            <w:rFonts w:ascii="Times New Roman" w:hAnsi="Times New Roman" w:cs="Times New Roman"/>
            <w:i/>
            <w:sz w:val="20"/>
            <w:szCs w:val="20"/>
          </w:rPr>
          <w:t>Lelde.Lange@mkd.gov.lv</w:t>
        </w:r>
      </w:hyperlink>
    </w:p>
    <w:sectPr w:rsidRPr="00465419" w:rsidR="00465419" w:rsidSect="003929C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6195" w14:textId="77777777" w:rsidR="00B10676" w:rsidRDefault="00B10676" w:rsidP="00E20F89">
      <w:pPr>
        <w:spacing w:after="0" w:line="240" w:lineRule="auto"/>
      </w:pPr>
      <w:r>
        <w:separator/>
      </w:r>
    </w:p>
  </w:endnote>
  <w:endnote w:type="continuationSeparator" w:id="0">
    <w:p w14:paraId="486B1843" w14:textId="77777777" w:rsidR="00B10676" w:rsidRDefault="00B10676" w:rsidP="00E2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0843" w14:textId="30141F90" w:rsidR="00885C30" w:rsidRPr="00B8620B" w:rsidRDefault="004F0DAB">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50274">
      <w:rPr>
        <w:rFonts w:ascii="Times New Roman" w:hAnsi="Times New Roman" w:cs="Times New Roman"/>
        <w:noProof/>
        <w:sz w:val="20"/>
        <w:szCs w:val="20"/>
      </w:rPr>
      <w:t>TMAnot_1</w:t>
    </w:r>
    <w:r w:rsidR="007F0ABC">
      <w:rPr>
        <w:rFonts w:ascii="Times New Roman" w:hAnsi="Times New Roman" w:cs="Times New Roman"/>
        <w:noProof/>
        <w:sz w:val="20"/>
        <w:szCs w:val="20"/>
      </w:rPr>
      <w:t>8</w:t>
    </w:r>
    <w:r w:rsidR="00850274">
      <w:rPr>
        <w:rFonts w:ascii="Times New Roman" w:hAnsi="Times New Roman" w:cs="Times New Roman"/>
        <w:noProof/>
        <w:sz w:val="20"/>
        <w:szCs w:val="20"/>
      </w:rPr>
      <w:t>0619_G_MNL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7B5C" w14:textId="64BD1097" w:rsidR="00885C30" w:rsidRPr="00885C30" w:rsidRDefault="004F0DAB">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50274">
      <w:rPr>
        <w:rFonts w:ascii="Times New Roman" w:hAnsi="Times New Roman" w:cs="Times New Roman"/>
        <w:noProof/>
        <w:sz w:val="20"/>
        <w:szCs w:val="20"/>
      </w:rPr>
      <w:t>TMAnot_1</w:t>
    </w:r>
    <w:r w:rsidR="007F0ABC">
      <w:rPr>
        <w:rFonts w:ascii="Times New Roman" w:hAnsi="Times New Roman" w:cs="Times New Roman"/>
        <w:noProof/>
        <w:sz w:val="20"/>
        <w:szCs w:val="20"/>
      </w:rPr>
      <w:t>8</w:t>
    </w:r>
    <w:r w:rsidR="00850274">
      <w:rPr>
        <w:rFonts w:ascii="Times New Roman" w:hAnsi="Times New Roman" w:cs="Times New Roman"/>
        <w:noProof/>
        <w:sz w:val="20"/>
        <w:szCs w:val="20"/>
      </w:rPr>
      <w:t>0619_G_MNL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B316" w14:textId="77777777" w:rsidR="00B10676" w:rsidRDefault="00B10676" w:rsidP="00E20F89">
      <w:pPr>
        <w:spacing w:after="0" w:line="240" w:lineRule="auto"/>
      </w:pPr>
      <w:r>
        <w:separator/>
      </w:r>
    </w:p>
  </w:footnote>
  <w:footnote w:type="continuationSeparator" w:id="0">
    <w:p w14:paraId="1D864C15" w14:textId="77777777" w:rsidR="00B10676" w:rsidRDefault="00B10676" w:rsidP="00E20F89">
      <w:pPr>
        <w:spacing w:after="0" w:line="240" w:lineRule="auto"/>
      </w:pPr>
      <w:r>
        <w:continuationSeparator/>
      </w:r>
    </w:p>
  </w:footnote>
  <w:footnote w:id="1">
    <w:p w14:paraId="39BB16C8" w14:textId="63DF8572" w:rsidR="00AA0FAB" w:rsidRPr="00AA0FAB" w:rsidRDefault="00AA0FAB" w:rsidP="00AA0FAB">
      <w:pPr>
        <w:pStyle w:val="FootnoteText"/>
        <w:jc w:val="both"/>
        <w:rPr>
          <w:rFonts w:ascii="Times New Roman" w:hAnsi="Times New Roman" w:cs="Times New Roman"/>
        </w:rPr>
      </w:pPr>
      <w:r>
        <w:rPr>
          <w:rStyle w:val="FootnoteReference"/>
        </w:rPr>
        <w:footnoteRef/>
      </w:r>
      <w:r>
        <w:t> </w:t>
      </w:r>
      <w:r w:rsidRPr="002B3349">
        <w:rPr>
          <w:rFonts w:ascii="Times New Roman" w:hAnsi="Times New Roman" w:cs="Times New Roman"/>
        </w:rPr>
        <w:t xml:space="preserve">Datu avots: Maksātnespējas administrācijas 2017. gada ziņojums, 23. lpp. Pieejams: </w:t>
      </w:r>
      <w:hyperlink r:id="rId1" w:history="1">
        <w:r w:rsidRPr="002B3349">
          <w:rPr>
            <w:rStyle w:val="Hyperlink"/>
            <w:rFonts w:ascii="Times New Roman" w:hAnsi="Times New Roman" w:cs="Times New Roman"/>
          </w:rPr>
          <w:t>http://www.mna.gov.lv/lv/parmums/link_part_201/</w:t>
        </w:r>
      </w:hyperlink>
      <w:r>
        <w:rPr>
          <w:rFonts w:ascii="Times New Roman" w:hAnsi="Times New Roman" w:cs="Times New Roman"/>
        </w:rPr>
        <w:t>.</w:t>
      </w:r>
    </w:p>
  </w:footnote>
  <w:footnote w:id="2">
    <w:p w14:paraId="4FCEA728" w14:textId="110F6293" w:rsidR="004F0DAB" w:rsidRPr="002B3349" w:rsidRDefault="004F0DAB" w:rsidP="004B5C98">
      <w:pPr>
        <w:pStyle w:val="FootnoteText"/>
        <w:jc w:val="both"/>
        <w:rPr>
          <w:rFonts w:ascii="Times New Roman" w:hAnsi="Times New Roman" w:cs="Times New Roman"/>
        </w:rPr>
      </w:pPr>
      <w:r>
        <w:rPr>
          <w:rStyle w:val="FootnoteReference"/>
        </w:rPr>
        <w:footnoteRef/>
      </w:r>
      <w:r w:rsidR="00AA0FAB">
        <w:rPr>
          <w:rFonts w:ascii="Times New Roman" w:hAnsi="Times New Roman" w:cs="Times New Roman"/>
        </w:rPr>
        <w:t> </w:t>
      </w:r>
      <w:r w:rsidR="00AA0FAB" w:rsidRPr="00AA0FAB">
        <w:rPr>
          <w:rFonts w:ascii="Times New Roman" w:hAnsi="Times New Roman" w:cs="Times New Roman"/>
        </w:rPr>
        <w:t>Turpat.</w:t>
      </w:r>
      <w:r w:rsidR="00AA0FAB">
        <w:t xml:space="preserve"> </w:t>
      </w:r>
    </w:p>
  </w:footnote>
  <w:footnote w:id="3">
    <w:p w14:paraId="0617D1E3" w14:textId="4644E504" w:rsidR="009835CD" w:rsidRPr="00790EE0" w:rsidRDefault="009835CD" w:rsidP="00790EE0">
      <w:pPr>
        <w:pStyle w:val="FootnoteText"/>
        <w:jc w:val="both"/>
        <w:rPr>
          <w:rFonts w:ascii="Times New Roman" w:hAnsi="Times New Roman" w:cs="Times New Roman"/>
        </w:rPr>
      </w:pPr>
      <w:r w:rsidRPr="00790EE0">
        <w:rPr>
          <w:rStyle w:val="FootnoteReference"/>
          <w:rFonts w:ascii="Times New Roman" w:hAnsi="Times New Roman" w:cs="Times New Roman"/>
        </w:rPr>
        <w:footnoteRef/>
      </w:r>
      <w:r w:rsidRPr="00790EE0">
        <w:rPr>
          <w:rFonts w:ascii="Times New Roman" w:hAnsi="Times New Roman" w:cs="Times New Roman"/>
        </w:rPr>
        <w:t xml:space="preserve"> Skat. likumprojekt</w:t>
      </w:r>
      <w:r w:rsidR="00850274">
        <w:rPr>
          <w:rFonts w:ascii="Times New Roman" w:hAnsi="Times New Roman" w:cs="Times New Roman"/>
        </w:rPr>
        <w:t>u</w:t>
      </w:r>
      <w:r w:rsidRPr="00790EE0">
        <w:rPr>
          <w:rFonts w:ascii="Times New Roman" w:hAnsi="Times New Roman" w:cs="Times New Roman"/>
        </w:rPr>
        <w:t> </w:t>
      </w:r>
      <w:r w:rsidR="00850274">
        <w:rPr>
          <w:rFonts w:ascii="Times New Roman" w:hAnsi="Times New Roman" w:cs="Times New Roman"/>
        </w:rPr>
        <w:t>"</w:t>
      </w:r>
      <w:r w:rsidRPr="00790EE0">
        <w:rPr>
          <w:rFonts w:ascii="Times New Roman" w:hAnsi="Times New Roman" w:cs="Times New Roman"/>
        </w:rPr>
        <w:t>Grozījumi Maksātnespējas likumā</w:t>
      </w:r>
      <w:r w:rsidR="00850274">
        <w:rPr>
          <w:rFonts w:ascii="Times New Roman" w:hAnsi="Times New Roman" w:cs="Times New Roman"/>
        </w:rPr>
        <w:t>"</w:t>
      </w:r>
      <w:r w:rsidRPr="00790EE0">
        <w:rPr>
          <w:rFonts w:ascii="Times New Roman" w:hAnsi="Times New Roman" w:cs="Times New Roman"/>
        </w:rPr>
        <w:t>; Valsts sekretāru 2017. gada 1. jū</w:t>
      </w:r>
      <w:r w:rsidR="00957B42">
        <w:rPr>
          <w:rFonts w:ascii="Times New Roman" w:hAnsi="Times New Roman" w:cs="Times New Roman"/>
        </w:rPr>
        <w:t>n</w:t>
      </w:r>
      <w:r w:rsidRPr="00790EE0">
        <w:rPr>
          <w:rFonts w:ascii="Times New Roman" w:hAnsi="Times New Roman" w:cs="Times New Roman"/>
        </w:rPr>
        <w:t xml:space="preserve">ija sanāksmes protokols Nr. 21, 24. §; VSS–574 (TA–2490); pieejams: </w:t>
      </w:r>
      <w:hyperlink r:id="rId2" w:history="1">
        <w:r w:rsidRPr="00790EE0">
          <w:rPr>
            <w:rStyle w:val="Hyperlink"/>
            <w:rFonts w:ascii="Times New Roman" w:hAnsi="Times New Roman" w:cs="Times New Roman"/>
          </w:rPr>
          <w:t>http://tap.mk.gov.lv/lv/mk/tap/?pid=40426988</w:t>
        </w:r>
      </w:hyperlink>
      <w:r w:rsidRPr="00790EE0">
        <w:rPr>
          <w:rFonts w:ascii="Times New Roman" w:hAnsi="Times New Roman" w:cs="Times New Roman"/>
        </w:rPr>
        <w:t>.</w:t>
      </w:r>
    </w:p>
  </w:footnote>
  <w:footnote w:id="4">
    <w:p w14:paraId="189B3B28" w14:textId="26452488" w:rsidR="009A6D6D" w:rsidRPr="00790EE0" w:rsidRDefault="009A6D6D" w:rsidP="003929C3">
      <w:pPr>
        <w:pStyle w:val="FootnoteText"/>
        <w:rPr>
          <w:rFonts w:ascii="Times New Roman" w:hAnsi="Times New Roman" w:cs="Times New Roman"/>
        </w:rPr>
      </w:pPr>
      <w:r w:rsidRPr="00790EE0">
        <w:rPr>
          <w:rStyle w:val="FootnoteReference"/>
          <w:rFonts w:ascii="Times New Roman" w:hAnsi="Times New Roman" w:cs="Times New Roman"/>
        </w:rPr>
        <w:footnoteRef/>
      </w:r>
      <w:r w:rsidRPr="00790EE0">
        <w:rPr>
          <w:rFonts w:ascii="Times New Roman" w:hAnsi="Times New Roman" w:cs="Times New Roman"/>
        </w:rPr>
        <w:t xml:space="preserve"> </w:t>
      </w:r>
      <w:r w:rsidR="00FC7517" w:rsidRPr="00790EE0">
        <w:rPr>
          <w:rFonts w:ascii="Times New Roman" w:hAnsi="Times New Roman" w:cs="Times New Roman"/>
        </w:rPr>
        <w:t>Skat. likumprojekt</w:t>
      </w:r>
      <w:r w:rsidR="00790EE0">
        <w:rPr>
          <w:rFonts w:ascii="Times New Roman" w:hAnsi="Times New Roman" w:cs="Times New Roman"/>
        </w:rPr>
        <w:t>u </w:t>
      </w:r>
      <w:r w:rsidR="00850274">
        <w:rPr>
          <w:rFonts w:ascii="Times New Roman" w:hAnsi="Times New Roman" w:cs="Times New Roman"/>
        </w:rPr>
        <w:t>"</w:t>
      </w:r>
      <w:r w:rsidR="00FC7517" w:rsidRPr="00790EE0">
        <w:rPr>
          <w:rFonts w:ascii="Times New Roman" w:hAnsi="Times New Roman" w:cs="Times New Roman"/>
        </w:rPr>
        <w:t>Grozījumi Maksātnespējas likumā</w:t>
      </w:r>
      <w:r w:rsidR="00850274">
        <w:rPr>
          <w:rFonts w:ascii="Times New Roman" w:hAnsi="Times New Roman" w:cs="Times New Roman"/>
        </w:rPr>
        <w:t>"</w:t>
      </w:r>
      <w:r w:rsidR="00FC7517" w:rsidRPr="00790EE0">
        <w:rPr>
          <w:rFonts w:ascii="Times New Roman" w:hAnsi="Times New Roman" w:cs="Times New Roman"/>
        </w:rPr>
        <w:t>; Saeimas reģ. Nr.</w:t>
      </w:r>
      <w:r w:rsidR="00850274">
        <w:rPr>
          <w:rFonts w:ascii="Times New Roman" w:hAnsi="Times New Roman" w:cs="Times New Roman"/>
        </w:rPr>
        <w:t> </w:t>
      </w:r>
      <w:r w:rsidR="00FC7517" w:rsidRPr="00790EE0">
        <w:rPr>
          <w:rFonts w:ascii="Times New Roman" w:hAnsi="Times New Roman" w:cs="Times New Roman"/>
        </w:rPr>
        <w:t xml:space="preserve">1093/Lp12; pieejams: </w:t>
      </w:r>
      <w:hyperlink r:id="rId3" w:history="1">
        <w:r w:rsidR="00790EE0" w:rsidRPr="0036166F">
          <w:rPr>
            <w:rStyle w:val="Hyperlink"/>
            <w:rFonts w:ascii="Times New Roman" w:hAnsi="Times New Roman" w:cs="Times New Roman"/>
          </w:rPr>
          <w:t>https://titania.saeima.lv/LIVS12/SaeimaLIVS12.nsf/webAll?SearchView&amp;Query=([NumberTxt]=1093)&amp;SearchMax=0&amp;SearchOrder=4</w:t>
        </w:r>
      </w:hyperlink>
      <w:r w:rsidR="00790EE0">
        <w:rPr>
          <w:rFonts w:ascii="Times New Roman" w:hAnsi="Times New Roman" w:cs="Times New Roman"/>
        </w:rPr>
        <w:t xml:space="preserve"> kopsakarā ar no tā izdalīto </w:t>
      </w:r>
      <w:r w:rsidR="00FC7517" w:rsidRPr="00790EE0">
        <w:rPr>
          <w:rFonts w:ascii="Times New Roman" w:hAnsi="Times New Roman" w:cs="Times New Roman"/>
        </w:rPr>
        <w:t>likumprojektu</w:t>
      </w:r>
      <w:r w:rsidR="00790EE0">
        <w:rPr>
          <w:rFonts w:ascii="Times New Roman" w:hAnsi="Times New Roman" w:cs="Times New Roman"/>
        </w:rPr>
        <w:t> </w:t>
      </w:r>
      <w:r w:rsidR="00850274">
        <w:rPr>
          <w:rFonts w:ascii="Times New Roman" w:hAnsi="Times New Roman" w:cs="Times New Roman"/>
        </w:rPr>
        <w:t>"</w:t>
      </w:r>
      <w:r w:rsidR="00FC7517" w:rsidRPr="00790EE0">
        <w:rPr>
          <w:rFonts w:ascii="Times New Roman" w:hAnsi="Times New Roman" w:cs="Times New Roman"/>
        </w:rPr>
        <w:t>Grozījumi Maksātnespējas likumā</w:t>
      </w:r>
      <w:r w:rsidR="00850274">
        <w:rPr>
          <w:rFonts w:ascii="Times New Roman" w:hAnsi="Times New Roman" w:cs="Times New Roman"/>
        </w:rPr>
        <w:t>"</w:t>
      </w:r>
      <w:r w:rsidR="00FC7517" w:rsidRPr="00790EE0">
        <w:rPr>
          <w:rFonts w:ascii="Times New Roman" w:hAnsi="Times New Roman" w:cs="Times New Roman"/>
        </w:rPr>
        <w:t>; Saeimas reģ. Nr.</w:t>
      </w:r>
      <w:r w:rsidR="00850274">
        <w:rPr>
          <w:rFonts w:ascii="Times New Roman" w:hAnsi="Times New Roman" w:cs="Times New Roman"/>
        </w:rPr>
        <w:t> </w:t>
      </w:r>
      <w:r w:rsidR="00FC7517" w:rsidRPr="00790EE0">
        <w:rPr>
          <w:rFonts w:ascii="Times New Roman" w:hAnsi="Times New Roman" w:cs="Times New Roman"/>
        </w:rPr>
        <w:t xml:space="preserve">1274/Lp12); pieejams: </w:t>
      </w:r>
      <w:hyperlink r:id="rId4" w:history="1">
        <w:r w:rsidR="00790EE0" w:rsidRPr="0036166F">
          <w:rPr>
            <w:rStyle w:val="Hyperlink"/>
            <w:rFonts w:ascii="Times New Roman" w:hAnsi="Times New Roman" w:cs="Times New Roman"/>
          </w:rPr>
          <w:t>http://titania.saeima.lv/LIVS12/saeimalivs12.nsf/webAll?SearchView&amp;Query=([NumberTxt]=1274)&amp;SearchMax=0&amp;SearchOrder=4</w:t>
        </w:r>
      </w:hyperlink>
      <w:r w:rsidR="00FC7517" w:rsidRPr="00790EE0">
        <w:rPr>
          <w:rFonts w:ascii="Times New Roman" w:hAnsi="Times New Roman" w:cs="Times New Roman"/>
        </w:rPr>
        <w:t>.</w:t>
      </w:r>
      <w:r w:rsidR="00790EE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644067"/>
      <w:docPartObj>
        <w:docPartGallery w:val="Page Numbers (Top of Page)"/>
        <w:docPartUnique/>
      </w:docPartObj>
    </w:sdtPr>
    <w:sdtEndPr>
      <w:rPr>
        <w:rFonts w:ascii="Times New Roman" w:hAnsi="Times New Roman" w:cs="Times New Roman"/>
        <w:sz w:val="24"/>
        <w:szCs w:val="24"/>
      </w:rPr>
    </w:sdtEndPr>
    <w:sdtContent>
      <w:p w:rsidRPr="00E040EB" w:rsidR="00E040EB" w:rsidRDefault="00E040EB" w14:paraId="69B85C6C" w14:textId="77777777">
        <w:pPr>
          <w:pStyle w:val="Header"/>
          <w:jc w:val="center"/>
          <w:rPr>
            <w:rFonts w:ascii="Times New Roman" w:hAnsi="Times New Roman" w:cs="Times New Roman"/>
            <w:sz w:val="24"/>
            <w:szCs w:val="24"/>
          </w:rPr>
        </w:pPr>
        <w:r w:rsidRPr="00E040EB">
          <w:rPr>
            <w:rFonts w:ascii="Times New Roman" w:hAnsi="Times New Roman" w:cs="Times New Roman"/>
            <w:sz w:val="24"/>
            <w:szCs w:val="24"/>
          </w:rPr>
          <w:fldChar w:fldCharType="begin"/>
        </w:r>
        <w:r w:rsidRPr="00E040EB">
          <w:rPr>
            <w:rFonts w:ascii="Times New Roman" w:hAnsi="Times New Roman" w:cs="Times New Roman"/>
            <w:sz w:val="24"/>
            <w:szCs w:val="24"/>
          </w:rPr>
          <w:instrText>PAGE   \* MERGEFORMAT</w:instrText>
        </w:r>
        <w:r w:rsidRPr="00E040EB">
          <w:rPr>
            <w:rFonts w:ascii="Times New Roman" w:hAnsi="Times New Roman" w:cs="Times New Roman"/>
            <w:sz w:val="24"/>
            <w:szCs w:val="24"/>
          </w:rPr>
          <w:fldChar w:fldCharType="separate"/>
        </w:r>
        <w:r w:rsidRPr="00E040EB">
          <w:rPr>
            <w:rFonts w:ascii="Times New Roman" w:hAnsi="Times New Roman" w:cs="Times New Roman"/>
            <w:sz w:val="24"/>
            <w:szCs w:val="24"/>
          </w:rPr>
          <w:t>2</w:t>
        </w:r>
        <w:r w:rsidRPr="00E040EB">
          <w:rPr>
            <w:rFonts w:ascii="Times New Roman" w:hAnsi="Times New Roman" w:cs="Times New Roman"/>
            <w:sz w:val="24"/>
            <w:szCs w:val="24"/>
          </w:rPr>
          <w:fldChar w:fldCharType="end"/>
        </w:r>
      </w:p>
    </w:sdtContent>
  </w:sdt>
  <w:p w:rsidR="00E040EB" w:rsidRDefault="00E040EB" w14:paraId="60BE98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752E"/>
    <w:multiLevelType w:val="hybridMultilevel"/>
    <w:tmpl w:val="66288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9"/>
    <w:rsid w:val="0002192C"/>
    <w:rsid w:val="000255F1"/>
    <w:rsid w:val="00042F5E"/>
    <w:rsid w:val="00082A60"/>
    <w:rsid w:val="0009233F"/>
    <w:rsid w:val="000A34E4"/>
    <w:rsid w:val="000B4B7A"/>
    <w:rsid w:val="000B4DE1"/>
    <w:rsid w:val="000B70E1"/>
    <w:rsid w:val="000E1166"/>
    <w:rsid w:val="000F34E0"/>
    <w:rsid w:val="00117A8D"/>
    <w:rsid w:val="001525B2"/>
    <w:rsid w:val="00167CEF"/>
    <w:rsid w:val="00192898"/>
    <w:rsid w:val="0019712F"/>
    <w:rsid w:val="001A43A3"/>
    <w:rsid w:val="001B78A1"/>
    <w:rsid w:val="001E0480"/>
    <w:rsid w:val="001E776B"/>
    <w:rsid w:val="00233966"/>
    <w:rsid w:val="00256AFB"/>
    <w:rsid w:val="00257C12"/>
    <w:rsid w:val="00276B49"/>
    <w:rsid w:val="0028068A"/>
    <w:rsid w:val="00281501"/>
    <w:rsid w:val="0028666C"/>
    <w:rsid w:val="00292B41"/>
    <w:rsid w:val="002C4DBA"/>
    <w:rsid w:val="002D012A"/>
    <w:rsid w:val="002E4333"/>
    <w:rsid w:val="002F4679"/>
    <w:rsid w:val="00301A62"/>
    <w:rsid w:val="00320877"/>
    <w:rsid w:val="003230E8"/>
    <w:rsid w:val="00330C9D"/>
    <w:rsid w:val="00345763"/>
    <w:rsid w:val="003512A6"/>
    <w:rsid w:val="00351A8A"/>
    <w:rsid w:val="00375F57"/>
    <w:rsid w:val="003929C3"/>
    <w:rsid w:val="003F3E90"/>
    <w:rsid w:val="00415F44"/>
    <w:rsid w:val="004426A8"/>
    <w:rsid w:val="004446BB"/>
    <w:rsid w:val="004573BA"/>
    <w:rsid w:val="00460D21"/>
    <w:rsid w:val="00465264"/>
    <w:rsid w:val="00465419"/>
    <w:rsid w:val="00473FA4"/>
    <w:rsid w:val="00495B6C"/>
    <w:rsid w:val="004A0183"/>
    <w:rsid w:val="004B5C98"/>
    <w:rsid w:val="004B7E0E"/>
    <w:rsid w:val="004C01C0"/>
    <w:rsid w:val="004D1D76"/>
    <w:rsid w:val="004D7F9B"/>
    <w:rsid w:val="004F0DAB"/>
    <w:rsid w:val="00512D6B"/>
    <w:rsid w:val="00527D2F"/>
    <w:rsid w:val="00541D8C"/>
    <w:rsid w:val="00542F12"/>
    <w:rsid w:val="00554955"/>
    <w:rsid w:val="00555101"/>
    <w:rsid w:val="00560FED"/>
    <w:rsid w:val="00563D3E"/>
    <w:rsid w:val="00597B34"/>
    <w:rsid w:val="005B3906"/>
    <w:rsid w:val="005C7C5C"/>
    <w:rsid w:val="005D0E98"/>
    <w:rsid w:val="005F51E6"/>
    <w:rsid w:val="00641416"/>
    <w:rsid w:val="0065211D"/>
    <w:rsid w:val="006612E2"/>
    <w:rsid w:val="00676618"/>
    <w:rsid w:val="006A3B58"/>
    <w:rsid w:val="006B1B84"/>
    <w:rsid w:val="006B328A"/>
    <w:rsid w:val="006C01C4"/>
    <w:rsid w:val="006C6DCF"/>
    <w:rsid w:val="006D2F00"/>
    <w:rsid w:val="006D3359"/>
    <w:rsid w:val="006D7E84"/>
    <w:rsid w:val="006E7436"/>
    <w:rsid w:val="006F6BF4"/>
    <w:rsid w:val="007141D9"/>
    <w:rsid w:val="007175A3"/>
    <w:rsid w:val="00727750"/>
    <w:rsid w:val="00736012"/>
    <w:rsid w:val="00742845"/>
    <w:rsid w:val="007466CF"/>
    <w:rsid w:val="007531A3"/>
    <w:rsid w:val="00755480"/>
    <w:rsid w:val="00764517"/>
    <w:rsid w:val="00790EE0"/>
    <w:rsid w:val="00792B64"/>
    <w:rsid w:val="00794FED"/>
    <w:rsid w:val="007B75EB"/>
    <w:rsid w:val="007B7BC9"/>
    <w:rsid w:val="007C0685"/>
    <w:rsid w:val="007D5820"/>
    <w:rsid w:val="007D677D"/>
    <w:rsid w:val="007E206E"/>
    <w:rsid w:val="007F0ABC"/>
    <w:rsid w:val="007F0CEF"/>
    <w:rsid w:val="00811575"/>
    <w:rsid w:val="008147F2"/>
    <w:rsid w:val="00846085"/>
    <w:rsid w:val="00850274"/>
    <w:rsid w:val="00853C35"/>
    <w:rsid w:val="00857DC2"/>
    <w:rsid w:val="00867EE8"/>
    <w:rsid w:val="0087426D"/>
    <w:rsid w:val="00885C30"/>
    <w:rsid w:val="00887463"/>
    <w:rsid w:val="008A1630"/>
    <w:rsid w:val="008A2730"/>
    <w:rsid w:val="008A5EE4"/>
    <w:rsid w:val="008A6477"/>
    <w:rsid w:val="008A7193"/>
    <w:rsid w:val="008B33A8"/>
    <w:rsid w:val="008B7C2B"/>
    <w:rsid w:val="008C4469"/>
    <w:rsid w:val="008C5184"/>
    <w:rsid w:val="008D432F"/>
    <w:rsid w:val="008F2D19"/>
    <w:rsid w:val="00902D7E"/>
    <w:rsid w:val="009101EE"/>
    <w:rsid w:val="00913C4C"/>
    <w:rsid w:val="00934455"/>
    <w:rsid w:val="0095061C"/>
    <w:rsid w:val="00957B42"/>
    <w:rsid w:val="009702CC"/>
    <w:rsid w:val="009707CA"/>
    <w:rsid w:val="00973362"/>
    <w:rsid w:val="009835CD"/>
    <w:rsid w:val="00986451"/>
    <w:rsid w:val="009A462F"/>
    <w:rsid w:val="009A6D6D"/>
    <w:rsid w:val="009B54E7"/>
    <w:rsid w:val="009B6B48"/>
    <w:rsid w:val="009E0EC5"/>
    <w:rsid w:val="009E5A81"/>
    <w:rsid w:val="009F7174"/>
    <w:rsid w:val="00A007A9"/>
    <w:rsid w:val="00A22A64"/>
    <w:rsid w:val="00A238A9"/>
    <w:rsid w:val="00A352A8"/>
    <w:rsid w:val="00A4268B"/>
    <w:rsid w:val="00A5417D"/>
    <w:rsid w:val="00A66C6C"/>
    <w:rsid w:val="00A80D37"/>
    <w:rsid w:val="00A91BA7"/>
    <w:rsid w:val="00AA0FAB"/>
    <w:rsid w:val="00AA136C"/>
    <w:rsid w:val="00AA2978"/>
    <w:rsid w:val="00B10676"/>
    <w:rsid w:val="00B109AF"/>
    <w:rsid w:val="00B23233"/>
    <w:rsid w:val="00B23396"/>
    <w:rsid w:val="00B2594D"/>
    <w:rsid w:val="00B319EC"/>
    <w:rsid w:val="00B61D04"/>
    <w:rsid w:val="00B62C65"/>
    <w:rsid w:val="00B71DD6"/>
    <w:rsid w:val="00B7394A"/>
    <w:rsid w:val="00B77CC1"/>
    <w:rsid w:val="00B8620B"/>
    <w:rsid w:val="00B93012"/>
    <w:rsid w:val="00BA5FBC"/>
    <w:rsid w:val="00BC6B70"/>
    <w:rsid w:val="00BC71DD"/>
    <w:rsid w:val="00BC79C4"/>
    <w:rsid w:val="00BD7E50"/>
    <w:rsid w:val="00BE15BA"/>
    <w:rsid w:val="00BE7FEB"/>
    <w:rsid w:val="00C003FA"/>
    <w:rsid w:val="00C02502"/>
    <w:rsid w:val="00C315B9"/>
    <w:rsid w:val="00C369E9"/>
    <w:rsid w:val="00C52559"/>
    <w:rsid w:val="00C807C3"/>
    <w:rsid w:val="00C8332A"/>
    <w:rsid w:val="00C8358B"/>
    <w:rsid w:val="00C937B4"/>
    <w:rsid w:val="00C96D8E"/>
    <w:rsid w:val="00CA50A6"/>
    <w:rsid w:val="00CC1D13"/>
    <w:rsid w:val="00CC7DD3"/>
    <w:rsid w:val="00CE251C"/>
    <w:rsid w:val="00D0283A"/>
    <w:rsid w:val="00D03CA0"/>
    <w:rsid w:val="00D11E4B"/>
    <w:rsid w:val="00D13DD9"/>
    <w:rsid w:val="00D217D0"/>
    <w:rsid w:val="00D3444F"/>
    <w:rsid w:val="00D402FB"/>
    <w:rsid w:val="00D64679"/>
    <w:rsid w:val="00D755DF"/>
    <w:rsid w:val="00D955E6"/>
    <w:rsid w:val="00D957F1"/>
    <w:rsid w:val="00D95973"/>
    <w:rsid w:val="00DB572B"/>
    <w:rsid w:val="00DB5AA6"/>
    <w:rsid w:val="00DC25B2"/>
    <w:rsid w:val="00DC716B"/>
    <w:rsid w:val="00DD64C2"/>
    <w:rsid w:val="00DE01BE"/>
    <w:rsid w:val="00DE54C1"/>
    <w:rsid w:val="00DF2010"/>
    <w:rsid w:val="00E040C8"/>
    <w:rsid w:val="00E040EB"/>
    <w:rsid w:val="00E11A9E"/>
    <w:rsid w:val="00E16348"/>
    <w:rsid w:val="00E20F89"/>
    <w:rsid w:val="00E7101D"/>
    <w:rsid w:val="00E723B4"/>
    <w:rsid w:val="00E758BE"/>
    <w:rsid w:val="00E77712"/>
    <w:rsid w:val="00E82394"/>
    <w:rsid w:val="00E83389"/>
    <w:rsid w:val="00E95AEA"/>
    <w:rsid w:val="00E96C87"/>
    <w:rsid w:val="00EA24CF"/>
    <w:rsid w:val="00EA6B1E"/>
    <w:rsid w:val="00EB308B"/>
    <w:rsid w:val="00EB4F30"/>
    <w:rsid w:val="00EB6A98"/>
    <w:rsid w:val="00EE229A"/>
    <w:rsid w:val="00EE2515"/>
    <w:rsid w:val="00EF544D"/>
    <w:rsid w:val="00F14A70"/>
    <w:rsid w:val="00F35FF4"/>
    <w:rsid w:val="00F4201F"/>
    <w:rsid w:val="00F434AF"/>
    <w:rsid w:val="00F75FBC"/>
    <w:rsid w:val="00F814F5"/>
    <w:rsid w:val="00F824C0"/>
    <w:rsid w:val="00F8267A"/>
    <w:rsid w:val="00F92993"/>
    <w:rsid w:val="00FB3AF0"/>
    <w:rsid w:val="00FC1B8A"/>
    <w:rsid w:val="00FC7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321C"/>
  <w15:chartTrackingRefBased/>
  <w15:docId w15:val="{19EF1835-2A63-44AE-A93D-C76F5552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F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F89"/>
    <w:rPr>
      <w:color w:val="0563C1" w:themeColor="hyperlink"/>
      <w:u w:val="single"/>
    </w:rPr>
  </w:style>
  <w:style w:type="paragraph" w:styleId="FootnoteText">
    <w:name w:val="footnote text"/>
    <w:basedOn w:val="Normal"/>
    <w:link w:val="FootnoteTextChar"/>
    <w:uiPriority w:val="99"/>
    <w:unhideWhenUsed/>
    <w:rsid w:val="00E20F89"/>
    <w:pPr>
      <w:spacing w:after="0" w:line="240" w:lineRule="auto"/>
    </w:pPr>
    <w:rPr>
      <w:sz w:val="20"/>
      <w:szCs w:val="20"/>
    </w:rPr>
  </w:style>
  <w:style w:type="character" w:customStyle="1" w:styleId="FootnoteTextChar">
    <w:name w:val="Footnote Text Char"/>
    <w:basedOn w:val="DefaultParagraphFont"/>
    <w:link w:val="FootnoteText"/>
    <w:uiPriority w:val="99"/>
    <w:rsid w:val="00E20F89"/>
    <w:rPr>
      <w:sz w:val="20"/>
      <w:szCs w:val="20"/>
    </w:rPr>
  </w:style>
  <w:style w:type="paragraph" w:customStyle="1" w:styleId="StyleRight">
    <w:name w:val="Style Right"/>
    <w:basedOn w:val="Normal"/>
    <w:qFormat/>
    <w:rsid w:val="00E20F89"/>
    <w:pPr>
      <w:spacing w:after="120" w:line="240" w:lineRule="auto"/>
      <w:ind w:firstLine="720"/>
      <w:jc w:val="right"/>
    </w:pPr>
    <w:rPr>
      <w:rFonts w:ascii="Times New Roman" w:eastAsia="Times New Roman" w:hAnsi="Times New Roman" w:cs="Times New Roman"/>
      <w:sz w:val="28"/>
      <w:szCs w:val="28"/>
    </w:rPr>
  </w:style>
  <w:style w:type="character" w:styleId="FootnoteReference">
    <w:name w:val="footnote reference"/>
    <w:basedOn w:val="DefaultParagraphFont"/>
    <w:uiPriority w:val="99"/>
    <w:unhideWhenUsed/>
    <w:rsid w:val="00E20F89"/>
    <w:rPr>
      <w:vertAlign w:val="superscript"/>
    </w:rPr>
  </w:style>
  <w:style w:type="paragraph" w:styleId="Header">
    <w:name w:val="header"/>
    <w:basedOn w:val="Normal"/>
    <w:link w:val="HeaderChar"/>
    <w:uiPriority w:val="99"/>
    <w:unhideWhenUsed/>
    <w:rsid w:val="00E04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40EB"/>
  </w:style>
  <w:style w:type="paragraph" w:styleId="Footer">
    <w:name w:val="footer"/>
    <w:basedOn w:val="Normal"/>
    <w:link w:val="FooterChar"/>
    <w:uiPriority w:val="99"/>
    <w:unhideWhenUsed/>
    <w:rsid w:val="00E04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40EB"/>
  </w:style>
  <w:style w:type="character" w:styleId="UnresolvedMention">
    <w:name w:val="Unresolved Mention"/>
    <w:basedOn w:val="DefaultParagraphFont"/>
    <w:uiPriority w:val="99"/>
    <w:semiHidden/>
    <w:unhideWhenUsed/>
    <w:rsid w:val="00887463"/>
    <w:rPr>
      <w:color w:val="605E5C"/>
      <w:shd w:val="clear" w:color="auto" w:fill="E1DFDD"/>
    </w:rPr>
  </w:style>
  <w:style w:type="paragraph" w:styleId="BalloonText">
    <w:name w:val="Balloon Text"/>
    <w:basedOn w:val="Normal"/>
    <w:link w:val="BalloonTextChar"/>
    <w:uiPriority w:val="99"/>
    <w:semiHidden/>
    <w:unhideWhenUsed/>
    <w:rsid w:val="00375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57"/>
    <w:rPr>
      <w:rFonts w:ascii="Segoe UI" w:hAnsi="Segoe UI" w:cs="Segoe UI"/>
      <w:sz w:val="18"/>
      <w:szCs w:val="18"/>
    </w:rPr>
  </w:style>
  <w:style w:type="character" w:styleId="CommentReference">
    <w:name w:val="annotation reference"/>
    <w:basedOn w:val="DefaultParagraphFont"/>
    <w:uiPriority w:val="99"/>
    <w:semiHidden/>
    <w:unhideWhenUsed/>
    <w:rsid w:val="00D64679"/>
    <w:rPr>
      <w:sz w:val="16"/>
      <w:szCs w:val="16"/>
    </w:rPr>
  </w:style>
  <w:style w:type="paragraph" w:styleId="CommentText">
    <w:name w:val="annotation text"/>
    <w:basedOn w:val="Normal"/>
    <w:link w:val="CommentTextChar"/>
    <w:uiPriority w:val="99"/>
    <w:semiHidden/>
    <w:unhideWhenUsed/>
    <w:rsid w:val="00D64679"/>
    <w:pPr>
      <w:spacing w:line="240" w:lineRule="auto"/>
    </w:pPr>
    <w:rPr>
      <w:sz w:val="20"/>
      <w:szCs w:val="20"/>
    </w:rPr>
  </w:style>
  <w:style w:type="character" w:customStyle="1" w:styleId="CommentTextChar">
    <w:name w:val="Comment Text Char"/>
    <w:basedOn w:val="DefaultParagraphFont"/>
    <w:link w:val="CommentText"/>
    <w:uiPriority w:val="99"/>
    <w:semiHidden/>
    <w:rsid w:val="00D64679"/>
    <w:rPr>
      <w:sz w:val="20"/>
      <w:szCs w:val="20"/>
    </w:rPr>
  </w:style>
  <w:style w:type="paragraph" w:styleId="CommentSubject">
    <w:name w:val="annotation subject"/>
    <w:basedOn w:val="CommentText"/>
    <w:next w:val="CommentText"/>
    <w:link w:val="CommentSubjectChar"/>
    <w:uiPriority w:val="99"/>
    <w:semiHidden/>
    <w:unhideWhenUsed/>
    <w:rsid w:val="00D64679"/>
    <w:rPr>
      <w:b/>
      <w:bCs/>
    </w:rPr>
  </w:style>
  <w:style w:type="character" w:customStyle="1" w:styleId="CommentSubjectChar">
    <w:name w:val="Comment Subject Char"/>
    <w:basedOn w:val="CommentTextChar"/>
    <w:link w:val="CommentSubject"/>
    <w:uiPriority w:val="99"/>
    <w:semiHidden/>
    <w:rsid w:val="00D64679"/>
    <w:rPr>
      <w:b/>
      <w:bCs/>
      <w:sz w:val="20"/>
      <w:szCs w:val="20"/>
    </w:rPr>
  </w:style>
  <w:style w:type="character" w:styleId="FollowedHyperlink">
    <w:name w:val="FollowedHyperlink"/>
    <w:basedOn w:val="DefaultParagraphFont"/>
    <w:uiPriority w:val="99"/>
    <w:semiHidden/>
    <w:unhideWhenUsed/>
    <w:rsid w:val="004F0DAB"/>
    <w:rPr>
      <w:color w:val="954F72" w:themeColor="followedHyperlink"/>
      <w:u w:val="single"/>
    </w:rPr>
  </w:style>
  <w:style w:type="paragraph" w:styleId="NoSpacing">
    <w:name w:val="No Spacing"/>
    <w:uiPriority w:val="1"/>
    <w:qFormat/>
    <w:rsid w:val="00A80D37"/>
    <w:pPr>
      <w:spacing w:after="0" w:line="240" w:lineRule="auto"/>
    </w:pPr>
  </w:style>
  <w:style w:type="paragraph" w:styleId="Revision">
    <w:name w:val="Revision"/>
    <w:hidden/>
    <w:uiPriority w:val="99"/>
    <w:semiHidden/>
    <w:rsid w:val="00392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3126">
      <w:bodyDiv w:val="1"/>
      <w:marLeft w:val="0"/>
      <w:marRight w:val="0"/>
      <w:marTop w:val="0"/>
      <w:marBottom w:val="0"/>
      <w:divBdr>
        <w:top w:val="none" w:sz="0" w:space="0" w:color="auto"/>
        <w:left w:val="none" w:sz="0" w:space="0" w:color="auto"/>
        <w:bottom w:val="none" w:sz="0" w:space="0" w:color="auto"/>
        <w:right w:val="none" w:sz="0" w:space="0" w:color="auto"/>
      </w:divBdr>
    </w:div>
    <w:div w:id="862593776">
      <w:bodyDiv w:val="1"/>
      <w:marLeft w:val="0"/>
      <w:marRight w:val="0"/>
      <w:marTop w:val="0"/>
      <w:marBottom w:val="0"/>
      <w:divBdr>
        <w:top w:val="none" w:sz="0" w:space="0" w:color="auto"/>
        <w:left w:val="none" w:sz="0" w:space="0" w:color="auto"/>
        <w:bottom w:val="none" w:sz="0" w:space="0" w:color="auto"/>
        <w:right w:val="none" w:sz="0" w:space="0" w:color="auto"/>
      </w:divBdr>
    </w:div>
    <w:div w:id="13321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Ozol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lde.Lange@mkd.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2/SaeimaLIVS12.nsf/webAll?SearchView&amp;Query=(%5bNumberTxt%5d=1093)&amp;SearchMax=0&amp;SearchOrder=4" TargetMode="External"/><Relationship Id="rId2" Type="http://schemas.openxmlformats.org/officeDocument/2006/relationships/hyperlink" Target="http://tap.mk.gov.lv/lv/mk/tap/?pid=40426988" TargetMode="External"/><Relationship Id="rId1" Type="http://schemas.openxmlformats.org/officeDocument/2006/relationships/hyperlink" Target="http://www.mna.gov.lv/lv/parmums/link_part_201/" TargetMode="External"/><Relationship Id="rId4" Type="http://schemas.openxmlformats.org/officeDocument/2006/relationships/hyperlink" Target="http://titania.saeima.lv/LIVS12/saeimalivs12.nsf/webAll?SearchView&amp;Query=(%5bNumberTxt%5d=1274)&amp;SearchMax=0&amp;SearchOrder=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C1A36-2CCA-4641-88AE-949DA1B6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2379</Words>
  <Characters>13562</Characters>
  <Application>Microsoft Office Word</Application>
  <DocSecurity>0</DocSecurity>
  <Lines>113</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Maksātnespējas 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Anotācija</dc:subject>
  <dc:creator>Liene Ozola; Lelde Lange</dc:creator>
  <cp:keywords/>
  <dc:description>67046147, Liene.Ozola@tm.gov.lv _x000d_
67099156, Lelde.Lange@mkd.gov.lv_x000d_
</dc:description>
  <cp:lastModifiedBy>Liene Ozola</cp:lastModifiedBy>
  <cp:revision>7</cp:revision>
  <cp:lastPrinted>2019-05-10T07:08:00Z</cp:lastPrinted>
  <dcterms:created xsi:type="dcterms:W3CDTF">2019-06-12T11:54:00Z</dcterms:created>
  <dcterms:modified xsi:type="dcterms:W3CDTF">2019-06-18T13:41:00Z</dcterms:modified>
</cp:coreProperties>
</file>