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FE139" w14:textId="1A27259D" w:rsidR="00E5247C" w:rsidRPr="00195D8A" w:rsidRDefault="00084F17" w:rsidP="008914D9">
      <w:pPr>
        <w:ind w:firstLine="0"/>
        <w:jc w:val="right"/>
        <w:rPr>
          <w:i/>
          <w:sz w:val="28"/>
          <w:szCs w:val="28"/>
        </w:rPr>
      </w:pPr>
      <w:r>
        <w:rPr>
          <w:i/>
          <w:sz w:val="28"/>
          <w:szCs w:val="28"/>
        </w:rPr>
        <w:t>Projekts</w:t>
      </w:r>
    </w:p>
    <w:p w14:paraId="72803E04" w14:textId="77777777" w:rsidR="00E5247C" w:rsidRPr="00620A0B" w:rsidRDefault="00E5247C" w:rsidP="008914D9">
      <w:pPr>
        <w:ind w:firstLine="0"/>
        <w:jc w:val="center"/>
        <w:rPr>
          <w:b/>
          <w:sz w:val="28"/>
          <w:szCs w:val="28"/>
        </w:rPr>
      </w:pPr>
    </w:p>
    <w:p w14:paraId="3CD81876" w14:textId="5B0FCE27" w:rsidR="00E5247C" w:rsidRPr="00620A0B" w:rsidRDefault="00E5247C" w:rsidP="008914D9">
      <w:pPr>
        <w:ind w:firstLine="0"/>
        <w:jc w:val="center"/>
        <w:rPr>
          <w:b/>
          <w:sz w:val="28"/>
          <w:szCs w:val="28"/>
        </w:rPr>
      </w:pPr>
    </w:p>
    <w:p w14:paraId="08649BCB" w14:textId="16B96442" w:rsidR="009D2BBC" w:rsidRPr="00620A0B" w:rsidRDefault="009D2BBC" w:rsidP="008914D9">
      <w:pPr>
        <w:ind w:firstLine="0"/>
        <w:jc w:val="center"/>
        <w:rPr>
          <w:b/>
          <w:sz w:val="28"/>
          <w:szCs w:val="28"/>
        </w:rPr>
      </w:pPr>
    </w:p>
    <w:p w14:paraId="61480394" w14:textId="3A1A5920" w:rsidR="009D2BBC" w:rsidRPr="00620A0B" w:rsidRDefault="009D2BBC" w:rsidP="008914D9">
      <w:pPr>
        <w:ind w:firstLine="0"/>
        <w:jc w:val="center"/>
        <w:rPr>
          <w:b/>
          <w:sz w:val="28"/>
          <w:szCs w:val="28"/>
        </w:rPr>
      </w:pPr>
    </w:p>
    <w:p w14:paraId="1FD9E616" w14:textId="77777777" w:rsidR="009D2BBC" w:rsidRPr="00620A0B" w:rsidRDefault="009D2BBC" w:rsidP="008914D9">
      <w:pPr>
        <w:ind w:firstLine="0"/>
        <w:jc w:val="center"/>
        <w:rPr>
          <w:b/>
          <w:sz w:val="28"/>
          <w:szCs w:val="28"/>
        </w:rPr>
      </w:pPr>
    </w:p>
    <w:p w14:paraId="743E3FBE" w14:textId="77777777" w:rsidR="009D2BBC" w:rsidRPr="00620A0B" w:rsidRDefault="009D2BBC" w:rsidP="008914D9">
      <w:pPr>
        <w:ind w:firstLine="0"/>
        <w:jc w:val="center"/>
        <w:rPr>
          <w:b/>
          <w:sz w:val="28"/>
          <w:szCs w:val="28"/>
        </w:rPr>
      </w:pPr>
    </w:p>
    <w:p w14:paraId="492F4E31" w14:textId="77777777" w:rsidR="00E5247C" w:rsidRPr="00620A0B" w:rsidRDefault="00E5247C" w:rsidP="008914D9">
      <w:pPr>
        <w:ind w:firstLine="0"/>
        <w:jc w:val="center"/>
        <w:rPr>
          <w:b/>
          <w:sz w:val="28"/>
          <w:szCs w:val="28"/>
        </w:rPr>
      </w:pPr>
    </w:p>
    <w:p w14:paraId="36D79A26" w14:textId="77777777" w:rsidR="00E5247C" w:rsidRPr="00620A0B" w:rsidRDefault="00E5247C" w:rsidP="008914D9">
      <w:pPr>
        <w:ind w:firstLine="0"/>
        <w:jc w:val="center"/>
        <w:rPr>
          <w:b/>
          <w:sz w:val="28"/>
          <w:szCs w:val="28"/>
        </w:rPr>
      </w:pPr>
    </w:p>
    <w:p w14:paraId="0841704F" w14:textId="77777777" w:rsidR="00E5247C" w:rsidRPr="00620A0B" w:rsidRDefault="00E5247C" w:rsidP="008914D9">
      <w:pPr>
        <w:ind w:firstLine="0"/>
        <w:jc w:val="center"/>
        <w:rPr>
          <w:b/>
          <w:sz w:val="28"/>
          <w:szCs w:val="28"/>
        </w:rPr>
      </w:pPr>
    </w:p>
    <w:p w14:paraId="517E4BA2" w14:textId="77777777" w:rsidR="00E5247C" w:rsidRPr="00620A0B" w:rsidRDefault="00E5247C" w:rsidP="008914D9">
      <w:pPr>
        <w:ind w:firstLine="0"/>
        <w:jc w:val="center"/>
        <w:rPr>
          <w:b/>
          <w:sz w:val="28"/>
          <w:szCs w:val="28"/>
        </w:rPr>
      </w:pPr>
    </w:p>
    <w:p w14:paraId="752863E2" w14:textId="77777777" w:rsidR="00B56B5C" w:rsidRPr="00620A0B" w:rsidRDefault="007B52E0" w:rsidP="008914D9">
      <w:pPr>
        <w:ind w:firstLine="0"/>
        <w:jc w:val="center"/>
        <w:rPr>
          <w:b/>
          <w:sz w:val="28"/>
          <w:szCs w:val="28"/>
        </w:rPr>
      </w:pPr>
      <w:r w:rsidRPr="00620A0B">
        <w:rPr>
          <w:b/>
          <w:sz w:val="28"/>
          <w:szCs w:val="28"/>
        </w:rPr>
        <w:t>Informatīvais ziņojums</w:t>
      </w:r>
    </w:p>
    <w:p w14:paraId="298CD3BB" w14:textId="77777777" w:rsidR="00E5247C" w:rsidRPr="00620A0B" w:rsidRDefault="00E5247C" w:rsidP="008914D9">
      <w:pPr>
        <w:ind w:firstLine="0"/>
        <w:jc w:val="center"/>
        <w:rPr>
          <w:b/>
          <w:sz w:val="28"/>
          <w:szCs w:val="28"/>
        </w:rPr>
      </w:pPr>
    </w:p>
    <w:p w14:paraId="1AA385E0" w14:textId="77777777" w:rsidR="007B52E0" w:rsidRPr="00620A0B" w:rsidRDefault="00E5247C" w:rsidP="008914D9">
      <w:pPr>
        <w:ind w:firstLine="0"/>
        <w:jc w:val="center"/>
        <w:rPr>
          <w:b/>
          <w:sz w:val="28"/>
          <w:szCs w:val="28"/>
        </w:rPr>
      </w:pPr>
      <w:r w:rsidRPr="00620A0B">
        <w:rPr>
          <w:b/>
          <w:sz w:val="28"/>
          <w:szCs w:val="28"/>
        </w:rPr>
        <w:t>par Maksātnespējas politikas attīstības pamatnostādņu 2016.–2020. gadam un to īstenošanas plāna īstenošanas starpposma novērtējumu par laikposmu no 2016. gada līdz 2017. gadam</w:t>
      </w:r>
    </w:p>
    <w:p w14:paraId="0E53AD28" w14:textId="77777777" w:rsidR="00E5247C" w:rsidRPr="00620A0B" w:rsidRDefault="00E5247C" w:rsidP="008914D9">
      <w:pPr>
        <w:ind w:firstLine="0"/>
        <w:jc w:val="center"/>
        <w:rPr>
          <w:b/>
          <w:sz w:val="28"/>
          <w:szCs w:val="28"/>
        </w:rPr>
      </w:pPr>
    </w:p>
    <w:p w14:paraId="3B2695A6" w14:textId="77777777" w:rsidR="00E5247C" w:rsidRPr="00620A0B" w:rsidRDefault="00E5247C" w:rsidP="008914D9">
      <w:pPr>
        <w:ind w:firstLine="0"/>
        <w:jc w:val="center"/>
        <w:rPr>
          <w:b/>
          <w:sz w:val="28"/>
          <w:szCs w:val="28"/>
        </w:rPr>
      </w:pPr>
    </w:p>
    <w:p w14:paraId="5247CB09" w14:textId="13205629" w:rsidR="00E5247C" w:rsidRPr="00620A0B" w:rsidRDefault="00E5247C" w:rsidP="008914D9">
      <w:pPr>
        <w:ind w:firstLine="0"/>
        <w:jc w:val="center"/>
        <w:rPr>
          <w:b/>
          <w:sz w:val="28"/>
          <w:szCs w:val="28"/>
        </w:rPr>
      </w:pPr>
    </w:p>
    <w:p w14:paraId="5A96195E" w14:textId="4B580703" w:rsidR="009D2BBC" w:rsidRPr="00620A0B" w:rsidRDefault="009D2BBC" w:rsidP="008914D9">
      <w:pPr>
        <w:ind w:firstLine="0"/>
        <w:jc w:val="center"/>
        <w:rPr>
          <w:b/>
          <w:sz w:val="28"/>
          <w:szCs w:val="28"/>
        </w:rPr>
      </w:pPr>
    </w:p>
    <w:p w14:paraId="0B11CC18" w14:textId="055C9C15" w:rsidR="009D2BBC" w:rsidRPr="00620A0B" w:rsidRDefault="009D2BBC" w:rsidP="008914D9">
      <w:pPr>
        <w:ind w:firstLine="0"/>
        <w:jc w:val="center"/>
        <w:rPr>
          <w:b/>
          <w:sz w:val="28"/>
          <w:szCs w:val="28"/>
        </w:rPr>
      </w:pPr>
    </w:p>
    <w:p w14:paraId="4CDC8D0C" w14:textId="441BE0C6" w:rsidR="009D2BBC" w:rsidRPr="00620A0B" w:rsidRDefault="009D2BBC" w:rsidP="008914D9">
      <w:pPr>
        <w:ind w:firstLine="0"/>
        <w:jc w:val="center"/>
        <w:rPr>
          <w:b/>
          <w:sz w:val="28"/>
          <w:szCs w:val="28"/>
        </w:rPr>
      </w:pPr>
    </w:p>
    <w:p w14:paraId="7C8AD67B" w14:textId="7553229E" w:rsidR="009D2BBC" w:rsidRPr="00620A0B" w:rsidRDefault="009D2BBC" w:rsidP="008914D9">
      <w:pPr>
        <w:ind w:firstLine="0"/>
        <w:jc w:val="center"/>
        <w:rPr>
          <w:b/>
          <w:sz w:val="28"/>
          <w:szCs w:val="28"/>
        </w:rPr>
      </w:pPr>
    </w:p>
    <w:p w14:paraId="11640402" w14:textId="44FA76E6" w:rsidR="009D2BBC" w:rsidRPr="00620A0B" w:rsidRDefault="009D2BBC" w:rsidP="008914D9">
      <w:pPr>
        <w:ind w:firstLine="0"/>
        <w:jc w:val="center"/>
        <w:rPr>
          <w:b/>
          <w:sz w:val="28"/>
          <w:szCs w:val="28"/>
        </w:rPr>
      </w:pPr>
    </w:p>
    <w:p w14:paraId="077167EB" w14:textId="77777777" w:rsidR="009D2BBC" w:rsidRPr="00620A0B" w:rsidRDefault="009D2BBC" w:rsidP="008914D9">
      <w:pPr>
        <w:ind w:firstLine="0"/>
        <w:jc w:val="center"/>
        <w:rPr>
          <w:b/>
          <w:sz w:val="28"/>
          <w:szCs w:val="28"/>
        </w:rPr>
      </w:pPr>
    </w:p>
    <w:p w14:paraId="645E7204" w14:textId="1648E337" w:rsidR="009D2BBC" w:rsidRPr="00620A0B" w:rsidRDefault="009D2BBC" w:rsidP="008914D9">
      <w:pPr>
        <w:ind w:firstLine="0"/>
        <w:jc w:val="center"/>
        <w:rPr>
          <w:b/>
          <w:sz w:val="28"/>
          <w:szCs w:val="28"/>
        </w:rPr>
      </w:pPr>
    </w:p>
    <w:p w14:paraId="05416DB5" w14:textId="77777777" w:rsidR="009D2BBC" w:rsidRPr="00620A0B" w:rsidRDefault="009D2BBC" w:rsidP="008914D9">
      <w:pPr>
        <w:ind w:firstLine="0"/>
        <w:jc w:val="center"/>
        <w:rPr>
          <w:b/>
          <w:sz w:val="28"/>
          <w:szCs w:val="28"/>
        </w:rPr>
      </w:pPr>
    </w:p>
    <w:p w14:paraId="2744E7EC" w14:textId="77777777" w:rsidR="00E5247C" w:rsidRPr="00620A0B" w:rsidRDefault="00E5247C" w:rsidP="008914D9">
      <w:pPr>
        <w:ind w:firstLine="0"/>
        <w:jc w:val="center"/>
        <w:rPr>
          <w:b/>
          <w:sz w:val="28"/>
          <w:szCs w:val="28"/>
        </w:rPr>
      </w:pPr>
    </w:p>
    <w:p w14:paraId="1981FF6F" w14:textId="77777777" w:rsidR="00E5247C" w:rsidRPr="00620A0B" w:rsidRDefault="00E5247C" w:rsidP="008914D9">
      <w:pPr>
        <w:ind w:firstLine="0"/>
        <w:jc w:val="center"/>
        <w:rPr>
          <w:b/>
          <w:sz w:val="28"/>
          <w:szCs w:val="28"/>
        </w:rPr>
      </w:pPr>
    </w:p>
    <w:p w14:paraId="2B310FBB" w14:textId="77777777" w:rsidR="00E5247C" w:rsidRPr="00620A0B" w:rsidRDefault="00E5247C" w:rsidP="008914D9">
      <w:pPr>
        <w:ind w:firstLine="0"/>
        <w:jc w:val="center"/>
        <w:rPr>
          <w:b/>
          <w:sz w:val="28"/>
          <w:szCs w:val="28"/>
        </w:rPr>
      </w:pPr>
    </w:p>
    <w:p w14:paraId="14353A93" w14:textId="77777777" w:rsidR="00E5247C" w:rsidRPr="00620A0B" w:rsidRDefault="00E5247C" w:rsidP="008914D9">
      <w:pPr>
        <w:ind w:firstLine="0"/>
        <w:jc w:val="center"/>
        <w:rPr>
          <w:b/>
          <w:sz w:val="28"/>
          <w:szCs w:val="28"/>
        </w:rPr>
      </w:pPr>
    </w:p>
    <w:p w14:paraId="5914D15F" w14:textId="77777777" w:rsidR="00E5247C" w:rsidRPr="00620A0B" w:rsidRDefault="00E5247C" w:rsidP="008914D9">
      <w:pPr>
        <w:ind w:firstLine="0"/>
        <w:jc w:val="center"/>
        <w:rPr>
          <w:b/>
          <w:sz w:val="28"/>
          <w:szCs w:val="28"/>
        </w:rPr>
      </w:pPr>
    </w:p>
    <w:p w14:paraId="3BCB57F9" w14:textId="77777777" w:rsidR="00E5247C" w:rsidRPr="00620A0B" w:rsidRDefault="00E5247C" w:rsidP="008914D9">
      <w:pPr>
        <w:ind w:firstLine="0"/>
        <w:jc w:val="center"/>
        <w:rPr>
          <w:b/>
          <w:sz w:val="28"/>
          <w:szCs w:val="28"/>
        </w:rPr>
      </w:pPr>
    </w:p>
    <w:p w14:paraId="02FAD02A" w14:textId="1BFAB08A" w:rsidR="00E5247C" w:rsidRPr="00620A0B" w:rsidRDefault="00E5247C" w:rsidP="008914D9">
      <w:pPr>
        <w:ind w:firstLine="0"/>
        <w:jc w:val="center"/>
        <w:rPr>
          <w:b/>
          <w:sz w:val="28"/>
          <w:szCs w:val="28"/>
        </w:rPr>
      </w:pPr>
      <w:r w:rsidRPr="00620A0B">
        <w:rPr>
          <w:b/>
          <w:sz w:val="28"/>
          <w:szCs w:val="28"/>
        </w:rPr>
        <w:t>Rīga, 2019</w:t>
      </w:r>
    </w:p>
    <w:p w14:paraId="6B109387" w14:textId="77777777" w:rsidR="00E5247C" w:rsidRPr="00620A0B" w:rsidRDefault="00E5247C" w:rsidP="008914D9">
      <w:r w:rsidRPr="00620A0B">
        <w:br w:type="page"/>
      </w:r>
    </w:p>
    <w:sdt>
      <w:sdtPr>
        <w:rPr>
          <w:rFonts w:eastAsiaTheme="minorHAnsi" w:cs="Times New Roman"/>
          <w:b w:val="0"/>
          <w:color w:val="auto"/>
          <w:sz w:val="24"/>
          <w:szCs w:val="20"/>
          <w:lang w:eastAsia="en-US"/>
        </w:rPr>
        <w:id w:val="-1656057654"/>
        <w:docPartObj>
          <w:docPartGallery w:val="Table of Contents"/>
          <w:docPartUnique/>
        </w:docPartObj>
      </w:sdtPr>
      <w:sdtEndPr>
        <w:rPr>
          <w:bCs/>
        </w:rPr>
      </w:sdtEndPr>
      <w:sdtContent>
        <w:p w14:paraId="6C08AAAA" w14:textId="6A7FEEB7" w:rsidR="00F4607B" w:rsidRPr="00620A0B" w:rsidRDefault="00F4607B" w:rsidP="008914D9">
          <w:pPr>
            <w:pStyle w:val="Saturardtjavirsraksts"/>
            <w:spacing w:line="240" w:lineRule="auto"/>
            <w:ind w:right="-143" w:firstLine="0"/>
            <w:jc w:val="center"/>
          </w:pPr>
          <w:r w:rsidRPr="00620A0B">
            <w:t>Saturs</w:t>
          </w:r>
        </w:p>
        <w:p w14:paraId="48F5C456" w14:textId="77777777" w:rsidR="00EB066B" w:rsidRPr="00620A0B" w:rsidRDefault="00EB066B" w:rsidP="008914D9">
          <w:pPr>
            <w:ind w:right="-143"/>
            <w:rPr>
              <w:lang w:eastAsia="lv-LV"/>
            </w:rPr>
          </w:pPr>
        </w:p>
        <w:p w14:paraId="6F100B92" w14:textId="4D36276C" w:rsidR="005C7E73" w:rsidRDefault="00A5618A">
          <w:pPr>
            <w:pStyle w:val="Saturs1"/>
            <w:rPr>
              <w:rFonts w:asciiTheme="minorHAnsi" w:eastAsiaTheme="minorEastAsia" w:hAnsiTheme="minorHAnsi" w:cstheme="minorBidi"/>
              <w:noProof/>
              <w:sz w:val="22"/>
              <w:szCs w:val="22"/>
              <w:lang w:eastAsia="lv-LV"/>
            </w:rPr>
          </w:pPr>
          <w:r w:rsidRPr="00620A0B">
            <w:rPr>
              <w:b/>
              <w:bCs/>
            </w:rPr>
            <w:fldChar w:fldCharType="begin"/>
          </w:r>
          <w:r w:rsidRPr="00620A0B">
            <w:rPr>
              <w:b/>
              <w:bCs/>
            </w:rPr>
            <w:instrText xml:space="preserve"> TOC \o "1-3" \h \z </w:instrText>
          </w:r>
          <w:r w:rsidRPr="00620A0B">
            <w:rPr>
              <w:b/>
              <w:bCs/>
            </w:rPr>
            <w:fldChar w:fldCharType="separate"/>
          </w:r>
          <w:hyperlink w:anchor="_Toc13817862" w:history="1">
            <w:r w:rsidR="005C7E73" w:rsidRPr="001D0B74">
              <w:rPr>
                <w:rStyle w:val="Hipersaite"/>
                <w:noProof/>
              </w:rPr>
              <w:t>Lietotie saīsinājumi</w:t>
            </w:r>
            <w:r w:rsidR="005C7E73">
              <w:rPr>
                <w:noProof/>
                <w:webHidden/>
              </w:rPr>
              <w:tab/>
            </w:r>
            <w:r w:rsidR="005C7E73">
              <w:rPr>
                <w:noProof/>
                <w:webHidden/>
              </w:rPr>
              <w:fldChar w:fldCharType="begin"/>
            </w:r>
            <w:r w:rsidR="005C7E73">
              <w:rPr>
                <w:noProof/>
                <w:webHidden/>
              </w:rPr>
              <w:instrText xml:space="preserve"> PAGEREF _Toc13817862 \h </w:instrText>
            </w:r>
            <w:r w:rsidR="005C7E73">
              <w:rPr>
                <w:noProof/>
                <w:webHidden/>
              </w:rPr>
            </w:r>
            <w:r w:rsidR="005C7E73">
              <w:rPr>
                <w:noProof/>
                <w:webHidden/>
              </w:rPr>
              <w:fldChar w:fldCharType="separate"/>
            </w:r>
            <w:r w:rsidR="005C7E73">
              <w:rPr>
                <w:noProof/>
                <w:webHidden/>
              </w:rPr>
              <w:t>3</w:t>
            </w:r>
            <w:r w:rsidR="005C7E73">
              <w:rPr>
                <w:noProof/>
                <w:webHidden/>
              </w:rPr>
              <w:fldChar w:fldCharType="end"/>
            </w:r>
          </w:hyperlink>
        </w:p>
        <w:p w14:paraId="5598C1BF" w14:textId="2256B84D" w:rsidR="005C7E73" w:rsidRDefault="005C7E73">
          <w:pPr>
            <w:pStyle w:val="Saturs1"/>
            <w:rPr>
              <w:rFonts w:asciiTheme="minorHAnsi" w:eastAsiaTheme="minorEastAsia" w:hAnsiTheme="minorHAnsi" w:cstheme="minorBidi"/>
              <w:noProof/>
              <w:sz w:val="22"/>
              <w:szCs w:val="22"/>
              <w:lang w:eastAsia="lv-LV"/>
            </w:rPr>
          </w:pPr>
          <w:hyperlink w:anchor="_Toc13817863" w:history="1">
            <w:r w:rsidRPr="001D0B74">
              <w:rPr>
                <w:rStyle w:val="Hipersaite"/>
                <w:noProof/>
              </w:rPr>
              <w:t>1. Ievads</w:t>
            </w:r>
            <w:r>
              <w:rPr>
                <w:noProof/>
                <w:webHidden/>
              </w:rPr>
              <w:tab/>
            </w:r>
            <w:r>
              <w:rPr>
                <w:noProof/>
                <w:webHidden/>
              </w:rPr>
              <w:fldChar w:fldCharType="begin"/>
            </w:r>
            <w:r>
              <w:rPr>
                <w:noProof/>
                <w:webHidden/>
              </w:rPr>
              <w:instrText xml:space="preserve"> PAGEREF _Toc13817863 \h </w:instrText>
            </w:r>
            <w:r>
              <w:rPr>
                <w:noProof/>
                <w:webHidden/>
              </w:rPr>
            </w:r>
            <w:r>
              <w:rPr>
                <w:noProof/>
                <w:webHidden/>
              </w:rPr>
              <w:fldChar w:fldCharType="separate"/>
            </w:r>
            <w:r>
              <w:rPr>
                <w:noProof/>
                <w:webHidden/>
              </w:rPr>
              <w:t>4</w:t>
            </w:r>
            <w:r>
              <w:rPr>
                <w:noProof/>
                <w:webHidden/>
              </w:rPr>
              <w:fldChar w:fldCharType="end"/>
            </w:r>
          </w:hyperlink>
        </w:p>
        <w:p w14:paraId="604D90D4" w14:textId="5E177D06" w:rsidR="005C7E73" w:rsidRDefault="005C7E73">
          <w:pPr>
            <w:pStyle w:val="Saturs1"/>
            <w:rPr>
              <w:rFonts w:asciiTheme="minorHAnsi" w:eastAsiaTheme="minorEastAsia" w:hAnsiTheme="minorHAnsi" w:cstheme="minorBidi"/>
              <w:noProof/>
              <w:sz w:val="22"/>
              <w:szCs w:val="22"/>
              <w:lang w:eastAsia="lv-LV"/>
            </w:rPr>
          </w:pPr>
          <w:hyperlink w:anchor="_Toc13817864" w:history="1">
            <w:r w:rsidRPr="001D0B74">
              <w:rPr>
                <w:rStyle w:val="Hipersaite"/>
                <w:noProof/>
              </w:rPr>
              <w:t>2. Vispārīga informācija par pamatnostādņu un plāna ietekmi</w:t>
            </w:r>
            <w:r>
              <w:rPr>
                <w:noProof/>
                <w:webHidden/>
              </w:rPr>
              <w:tab/>
            </w:r>
            <w:r>
              <w:rPr>
                <w:noProof/>
                <w:webHidden/>
              </w:rPr>
              <w:fldChar w:fldCharType="begin"/>
            </w:r>
            <w:r>
              <w:rPr>
                <w:noProof/>
                <w:webHidden/>
              </w:rPr>
              <w:instrText xml:space="preserve"> PAGEREF _Toc13817864 \h </w:instrText>
            </w:r>
            <w:r>
              <w:rPr>
                <w:noProof/>
                <w:webHidden/>
              </w:rPr>
            </w:r>
            <w:r>
              <w:rPr>
                <w:noProof/>
                <w:webHidden/>
              </w:rPr>
              <w:fldChar w:fldCharType="separate"/>
            </w:r>
            <w:r>
              <w:rPr>
                <w:noProof/>
                <w:webHidden/>
              </w:rPr>
              <w:t>6</w:t>
            </w:r>
            <w:r>
              <w:rPr>
                <w:noProof/>
                <w:webHidden/>
              </w:rPr>
              <w:fldChar w:fldCharType="end"/>
            </w:r>
          </w:hyperlink>
        </w:p>
        <w:p w14:paraId="1ABA0A0E" w14:textId="520CF535" w:rsidR="005C7E73" w:rsidRDefault="005C7E73">
          <w:pPr>
            <w:pStyle w:val="Saturs1"/>
            <w:rPr>
              <w:rFonts w:asciiTheme="minorHAnsi" w:eastAsiaTheme="minorEastAsia" w:hAnsiTheme="minorHAnsi" w:cstheme="minorBidi"/>
              <w:noProof/>
              <w:sz w:val="22"/>
              <w:szCs w:val="22"/>
              <w:lang w:eastAsia="lv-LV"/>
            </w:rPr>
          </w:pPr>
          <w:hyperlink w:anchor="_Toc13817865" w:history="1">
            <w:r w:rsidRPr="001D0B74">
              <w:rPr>
                <w:rStyle w:val="Hipersaite"/>
                <w:noProof/>
              </w:rPr>
              <w:t>3. Pamatnostādņu uzdevumu un plāna pasākumu izpilde</w:t>
            </w:r>
            <w:r>
              <w:rPr>
                <w:noProof/>
                <w:webHidden/>
              </w:rPr>
              <w:tab/>
            </w:r>
            <w:r>
              <w:rPr>
                <w:noProof/>
                <w:webHidden/>
              </w:rPr>
              <w:fldChar w:fldCharType="begin"/>
            </w:r>
            <w:r>
              <w:rPr>
                <w:noProof/>
                <w:webHidden/>
              </w:rPr>
              <w:instrText xml:space="preserve"> PAGEREF _Toc13817865 \h </w:instrText>
            </w:r>
            <w:r>
              <w:rPr>
                <w:noProof/>
                <w:webHidden/>
              </w:rPr>
            </w:r>
            <w:r>
              <w:rPr>
                <w:noProof/>
                <w:webHidden/>
              </w:rPr>
              <w:fldChar w:fldCharType="separate"/>
            </w:r>
            <w:r>
              <w:rPr>
                <w:noProof/>
                <w:webHidden/>
              </w:rPr>
              <w:t>9</w:t>
            </w:r>
            <w:r>
              <w:rPr>
                <w:noProof/>
                <w:webHidden/>
              </w:rPr>
              <w:fldChar w:fldCharType="end"/>
            </w:r>
          </w:hyperlink>
        </w:p>
        <w:p w14:paraId="6E208A48" w14:textId="5C854604" w:rsidR="005C7E73" w:rsidRDefault="005C7E73">
          <w:pPr>
            <w:pStyle w:val="Saturs1"/>
            <w:rPr>
              <w:rFonts w:asciiTheme="minorHAnsi" w:eastAsiaTheme="minorEastAsia" w:hAnsiTheme="minorHAnsi" w:cstheme="minorBidi"/>
              <w:noProof/>
              <w:sz w:val="22"/>
              <w:szCs w:val="22"/>
              <w:lang w:eastAsia="lv-LV"/>
            </w:rPr>
          </w:pPr>
          <w:hyperlink w:anchor="_Toc13817866" w:history="1">
            <w:r w:rsidRPr="001D0B74">
              <w:rPr>
                <w:rStyle w:val="Hipersaite"/>
                <w:noProof/>
              </w:rPr>
              <w:t>4. Rezultatīvo rādītāju sasniegšana</w:t>
            </w:r>
            <w:r>
              <w:rPr>
                <w:noProof/>
                <w:webHidden/>
              </w:rPr>
              <w:tab/>
            </w:r>
            <w:r>
              <w:rPr>
                <w:noProof/>
                <w:webHidden/>
              </w:rPr>
              <w:fldChar w:fldCharType="begin"/>
            </w:r>
            <w:r>
              <w:rPr>
                <w:noProof/>
                <w:webHidden/>
              </w:rPr>
              <w:instrText xml:space="preserve"> PAGEREF _Toc13817866 \h </w:instrText>
            </w:r>
            <w:r>
              <w:rPr>
                <w:noProof/>
                <w:webHidden/>
              </w:rPr>
            </w:r>
            <w:r>
              <w:rPr>
                <w:noProof/>
                <w:webHidden/>
              </w:rPr>
              <w:fldChar w:fldCharType="separate"/>
            </w:r>
            <w:r>
              <w:rPr>
                <w:noProof/>
                <w:webHidden/>
              </w:rPr>
              <w:t>16</w:t>
            </w:r>
            <w:r>
              <w:rPr>
                <w:noProof/>
                <w:webHidden/>
              </w:rPr>
              <w:fldChar w:fldCharType="end"/>
            </w:r>
          </w:hyperlink>
        </w:p>
        <w:p w14:paraId="7165EC22" w14:textId="121E870B" w:rsidR="005C7E73" w:rsidRDefault="005C7E73">
          <w:pPr>
            <w:pStyle w:val="Saturs1"/>
            <w:rPr>
              <w:rFonts w:asciiTheme="minorHAnsi" w:eastAsiaTheme="minorEastAsia" w:hAnsiTheme="minorHAnsi" w:cstheme="minorBidi"/>
              <w:noProof/>
              <w:sz w:val="22"/>
              <w:szCs w:val="22"/>
              <w:lang w:eastAsia="lv-LV"/>
            </w:rPr>
          </w:pPr>
          <w:hyperlink w:anchor="_Toc13817867" w:history="1">
            <w:r w:rsidRPr="001D0B74">
              <w:rPr>
                <w:rStyle w:val="Hipersaite"/>
                <w:noProof/>
              </w:rPr>
              <w:t>5. Turpmākā rīcība</w:t>
            </w:r>
            <w:r>
              <w:rPr>
                <w:noProof/>
                <w:webHidden/>
              </w:rPr>
              <w:tab/>
            </w:r>
            <w:r>
              <w:rPr>
                <w:noProof/>
                <w:webHidden/>
              </w:rPr>
              <w:fldChar w:fldCharType="begin"/>
            </w:r>
            <w:r>
              <w:rPr>
                <w:noProof/>
                <w:webHidden/>
              </w:rPr>
              <w:instrText xml:space="preserve"> PAGEREF _Toc13817867 \h </w:instrText>
            </w:r>
            <w:r>
              <w:rPr>
                <w:noProof/>
                <w:webHidden/>
              </w:rPr>
            </w:r>
            <w:r>
              <w:rPr>
                <w:noProof/>
                <w:webHidden/>
              </w:rPr>
              <w:fldChar w:fldCharType="separate"/>
            </w:r>
            <w:r>
              <w:rPr>
                <w:noProof/>
                <w:webHidden/>
              </w:rPr>
              <w:t>19</w:t>
            </w:r>
            <w:r>
              <w:rPr>
                <w:noProof/>
                <w:webHidden/>
              </w:rPr>
              <w:fldChar w:fldCharType="end"/>
            </w:r>
          </w:hyperlink>
        </w:p>
        <w:p w14:paraId="238837B1" w14:textId="018F11DA" w:rsidR="00F4607B" w:rsidRPr="00620A0B" w:rsidRDefault="00A5618A" w:rsidP="008914D9">
          <w:pPr>
            <w:ind w:right="-143" w:firstLine="0"/>
          </w:pPr>
          <w:r w:rsidRPr="00620A0B">
            <w:rPr>
              <w:b/>
              <w:bCs/>
            </w:rPr>
            <w:fldChar w:fldCharType="end"/>
          </w:r>
        </w:p>
      </w:sdtContent>
    </w:sdt>
    <w:p w14:paraId="6CC63DF1" w14:textId="7EBEBE3A" w:rsidR="001D73DD" w:rsidRPr="00620A0B" w:rsidRDefault="001D73DD" w:rsidP="00A518C8">
      <w:pPr>
        <w:ind w:firstLine="0"/>
      </w:pPr>
    </w:p>
    <w:p w14:paraId="4291990A" w14:textId="66A8EDB8" w:rsidR="00EB5F37" w:rsidRPr="00620A0B" w:rsidRDefault="00EB5F37" w:rsidP="00A518C8"/>
    <w:p w14:paraId="22C2838C" w14:textId="34204130" w:rsidR="008B7CD5" w:rsidRPr="00620A0B" w:rsidRDefault="008B7CD5" w:rsidP="00A518C8">
      <w:pPr>
        <w:ind w:firstLine="0"/>
      </w:pPr>
      <w:r w:rsidRPr="00620A0B">
        <w:br w:type="page"/>
      </w:r>
    </w:p>
    <w:p w14:paraId="3F20EF9A" w14:textId="77777777" w:rsidR="00662FD0" w:rsidRPr="00620A0B" w:rsidRDefault="00662FD0" w:rsidP="00A518C8">
      <w:pPr>
        <w:pStyle w:val="Virsraksts1"/>
        <w:ind w:firstLine="0"/>
      </w:pPr>
      <w:bookmarkStart w:id="0" w:name="_Toc13817862"/>
      <w:r w:rsidRPr="00620A0B">
        <w:lastRenderedPageBreak/>
        <w:t>Lietotie saīsinājumi</w:t>
      </w:r>
      <w:bookmarkEnd w:id="0"/>
    </w:p>
    <w:p w14:paraId="7F97C679" w14:textId="77777777" w:rsidR="00662FD0" w:rsidRPr="00620A0B" w:rsidRDefault="00662FD0" w:rsidP="00A518C8">
      <w:pPr>
        <w:ind w:firstLine="0"/>
      </w:pPr>
    </w:p>
    <w:tbl>
      <w:tblPr>
        <w:tblW w:w="9180" w:type="dxa"/>
        <w:tblInd w:w="-108" w:type="dxa"/>
        <w:tblLook w:val="04A0" w:firstRow="1" w:lastRow="0" w:firstColumn="1" w:lastColumn="0" w:noHBand="0" w:noVBand="1"/>
      </w:tblPr>
      <w:tblGrid>
        <w:gridCol w:w="2371"/>
        <w:gridCol w:w="6809"/>
      </w:tblGrid>
      <w:tr w:rsidR="00F90928" w:rsidRPr="00620A0B" w14:paraId="05BBA6D7" w14:textId="77777777" w:rsidTr="00A01C86">
        <w:tc>
          <w:tcPr>
            <w:tcW w:w="2371" w:type="dxa"/>
            <w:shd w:val="clear" w:color="auto" w:fill="auto"/>
          </w:tcPr>
          <w:p w14:paraId="1B41C70C" w14:textId="0965158E" w:rsidR="00F90928" w:rsidRPr="00620A0B" w:rsidRDefault="004B6F57" w:rsidP="00A518C8">
            <w:pPr>
              <w:ind w:firstLine="0"/>
              <w:rPr>
                <w:b/>
                <w:szCs w:val="24"/>
                <w:lang w:eastAsia="x-none"/>
              </w:rPr>
            </w:pPr>
            <w:r>
              <w:rPr>
                <w:b/>
                <w:szCs w:val="24"/>
                <w:lang w:eastAsia="x-none"/>
              </w:rPr>
              <w:t>a</w:t>
            </w:r>
            <w:r w:rsidR="00F90928" w:rsidRPr="00620A0B">
              <w:rPr>
                <w:b/>
                <w:szCs w:val="24"/>
                <w:lang w:eastAsia="x-none"/>
              </w:rPr>
              <w:t>dministrators</w:t>
            </w:r>
          </w:p>
        </w:tc>
        <w:tc>
          <w:tcPr>
            <w:tcW w:w="6809" w:type="dxa"/>
            <w:shd w:val="clear" w:color="auto" w:fill="auto"/>
          </w:tcPr>
          <w:p w14:paraId="457DCA03" w14:textId="403E41E5" w:rsidR="00F90928" w:rsidRPr="00620A0B" w:rsidRDefault="00F90928" w:rsidP="00A518C8">
            <w:pPr>
              <w:ind w:firstLine="0"/>
              <w:rPr>
                <w:szCs w:val="24"/>
                <w:lang w:eastAsia="x-none"/>
              </w:rPr>
            </w:pPr>
            <w:r w:rsidRPr="00620A0B">
              <w:rPr>
                <w:szCs w:val="24"/>
                <w:lang w:eastAsia="x-none"/>
              </w:rPr>
              <w:t>Maksātnespējas procesa administrators</w:t>
            </w:r>
          </w:p>
        </w:tc>
      </w:tr>
      <w:tr w:rsidR="008A4E1A" w:rsidRPr="00620A0B" w14:paraId="0ABAF795" w14:textId="77777777" w:rsidTr="00A01C86">
        <w:tc>
          <w:tcPr>
            <w:tcW w:w="2371" w:type="dxa"/>
            <w:shd w:val="clear" w:color="auto" w:fill="auto"/>
          </w:tcPr>
          <w:p w14:paraId="52E47539" w14:textId="682BF404" w:rsidR="008A4E1A" w:rsidRPr="00620A0B" w:rsidRDefault="008A4E1A" w:rsidP="00A518C8">
            <w:pPr>
              <w:ind w:firstLine="0"/>
              <w:rPr>
                <w:b/>
                <w:szCs w:val="24"/>
                <w:lang w:eastAsia="x-none"/>
              </w:rPr>
            </w:pPr>
            <w:r w:rsidRPr="00620A0B">
              <w:rPr>
                <w:b/>
                <w:szCs w:val="24"/>
                <w:lang w:eastAsia="x-none"/>
              </w:rPr>
              <w:t>ĀTAP</w:t>
            </w:r>
          </w:p>
        </w:tc>
        <w:tc>
          <w:tcPr>
            <w:tcW w:w="6809" w:type="dxa"/>
            <w:shd w:val="clear" w:color="auto" w:fill="auto"/>
          </w:tcPr>
          <w:p w14:paraId="2985BD46" w14:textId="2459EF7D" w:rsidR="008A4E1A" w:rsidRPr="00620A0B" w:rsidRDefault="008A4E1A" w:rsidP="00A518C8">
            <w:pPr>
              <w:ind w:firstLine="0"/>
              <w:rPr>
                <w:szCs w:val="24"/>
                <w:lang w:eastAsia="x-none"/>
              </w:rPr>
            </w:pPr>
            <w:r w:rsidRPr="00620A0B">
              <w:rPr>
                <w:szCs w:val="24"/>
                <w:lang w:eastAsia="x-none"/>
              </w:rPr>
              <w:t>Ārpustiesas tiesiskās aizsardzības process</w:t>
            </w:r>
          </w:p>
        </w:tc>
      </w:tr>
      <w:tr w:rsidR="008A4E1A" w:rsidRPr="00620A0B" w14:paraId="3DCC7082" w14:textId="77777777" w:rsidTr="00A01C86">
        <w:tc>
          <w:tcPr>
            <w:tcW w:w="2371" w:type="dxa"/>
            <w:shd w:val="clear" w:color="auto" w:fill="auto"/>
          </w:tcPr>
          <w:p w14:paraId="30007533" w14:textId="0A6CCF3C" w:rsidR="008A4E1A" w:rsidRPr="00620A0B" w:rsidRDefault="008E286F" w:rsidP="00A518C8">
            <w:pPr>
              <w:ind w:firstLine="0"/>
              <w:rPr>
                <w:b/>
                <w:szCs w:val="24"/>
                <w:lang w:eastAsia="x-none"/>
              </w:rPr>
            </w:pPr>
            <w:r>
              <w:rPr>
                <w:b/>
                <w:szCs w:val="24"/>
                <w:lang w:eastAsia="x-none"/>
              </w:rPr>
              <w:t>d</w:t>
            </w:r>
            <w:r w:rsidR="00A003E9">
              <w:rPr>
                <w:b/>
                <w:szCs w:val="24"/>
                <w:lang w:eastAsia="x-none"/>
              </w:rPr>
              <w:t>irektīva</w:t>
            </w:r>
          </w:p>
        </w:tc>
        <w:tc>
          <w:tcPr>
            <w:tcW w:w="6809" w:type="dxa"/>
            <w:shd w:val="clear" w:color="auto" w:fill="auto"/>
          </w:tcPr>
          <w:p w14:paraId="79975608" w14:textId="5E899792" w:rsidR="00025257" w:rsidRPr="00620A0B" w:rsidRDefault="00A003E9" w:rsidP="00A518C8">
            <w:pPr>
              <w:ind w:firstLine="0"/>
              <w:rPr>
                <w:szCs w:val="24"/>
                <w:lang w:eastAsia="x-none"/>
              </w:rPr>
            </w:pPr>
            <w:r w:rsidRPr="001A1089">
              <w:t xml:space="preserve">Eiropas Parlamenta un Padomes </w:t>
            </w:r>
            <w:r w:rsidR="007927EC">
              <w:t>2019. gada 20. jūnija d</w:t>
            </w:r>
            <w:r w:rsidRPr="001A1089">
              <w:t>irektīv</w:t>
            </w:r>
            <w:r>
              <w:t>a</w:t>
            </w:r>
            <w:r w:rsidRPr="001A1089">
              <w:t xml:space="preserve"> (ES) </w:t>
            </w:r>
            <w:r w:rsidR="00025257">
              <w:t>2019/</w:t>
            </w:r>
            <w:r w:rsidR="007927EC">
              <w:t xml:space="preserve">1023 </w:t>
            </w:r>
            <w:r w:rsidRPr="001A1089">
              <w:t>par preventīvās pārstrukturēšanas regulējumu, parādsaistību dzēšanu un diskvalifikāciju un ar pārstrukturēšanu, maksātnespēju un parādsaistību dzēšanu saistīto procedūru efektivitātes palielināšanas pasākumiem un ar ko groza Direktīvu (ES) 2017/1132 (Direktīva par pārstrukturēšanu un maksātnespēju)</w:t>
            </w:r>
          </w:p>
        </w:tc>
      </w:tr>
      <w:tr w:rsidR="00F2537F" w:rsidRPr="00620A0B" w14:paraId="43B87196" w14:textId="77777777" w:rsidTr="00A01C86">
        <w:tc>
          <w:tcPr>
            <w:tcW w:w="2371" w:type="dxa"/>
            <w:shd w:val="clear" w:color="auto" w:fill="auto"/>
          </w:tcPr>
          <w:p w14:paraId="5C7BEC90" w14:textId="61D6F6FD" w:rsidR="00F2537F" w:rsidRPr="00620A0B" w:rsidRDefault="00F2537F" w:rsidP="00A518C8">
            <w:pPr>
              <w:ind w:firstLine="0"/>
              <w:rPr>
                <w:b/>
                <w:szCs w:val="24"/>
                <w:lang w:eastAsia="x-none"/>
              </w:rPr>
            </w:pPr>
            <w:r w:rsidRPr="00620A0B">
              <w:rPr>
                <w:b/>
                <w:szCs w:val="24"/>
                <w:lang w:eastAsia="x-none"/>
              </w:rPr>
              <w:t>DVI</w:t>
            </w:r>
          </w:p>
        </w:tc>
        <w:tc>
          <w:tcPr>
            <w:tcW w:w="6809" w:type="dxa"/>
            <w:shd w:val="clear" w:color="auto" w:fill="auto"/>
          </w:tcPr>
          <w:p w14:paraId="192F395D" w14:textId="48EA2B10" w:rsidR="00F2537F" w:rsidRPr="00620A0B" w:rsidRDefault="00F2537F" w:rsidP="00A518C8">
            <w:pPr>
              <w:ind w:firstLine="0"/>
              <w:rPr>
                <w:szCs w:val="24"/>
                <w:lang w:eastAsia="x-none"/>
              </w:rPr>
            </w:pPr>
            <w:r w:rsidRPr="00620A0B">
              <w:rPr>
                <w:szCs w:val="24"/>
                <w:lang w:eastAsia="x-none"/>
              </w:rPr>
              <w:t>Datu valsts inspekcija</w:t>
            </w:r>
          </w:p>
        </w:tc>
      </w:tr>
      <w:tr w:rsidR="00F2537F" w:rsidRPr="00620A0B" w14:paraId="7600DE4C" w14:textId="77777777" w:rsidTr="00A01C86">
        <w:tc>
          <w:tcPr>
            <w:tcW w:w="2371" w:type="dxa"/>
            <w:shd w:val="clear" w:color="auto" w:fill="auto"/>
          </w:tcPr>
          <w:p w14:paraId="09B1866F" w14:textId="3283D683" w:rsidR="00F2537F" w:rsidRPr="00620A0B" w:rsidRDefault="00F2537F" w:rsidP="00A518C8">
            <w:pPr>
              <w:ind w:firstLine="0"/>
              <w:rPr>
                <w:b/>
                <w:szCs w:val="24"/>
                <w:lang w:eastAsia="x-none"/>
              </w:rPr>
            </w:pPr>
            <w:r w:rsidRPr="00620A0B">
              <w:rPr>
                <w:b/>
                <w:szCs w:val="24"/>
                <w:lang w:eastAsia="x-none"/>
              </w:rPr>
              <w:t>EM</w:t>
            </w:r>
          </w:p>
        </w:tc>
        <w:tc>
          <w:tcPr>
            <w:tcW w:w="6809" w:type="dxa"/>
            <w:shd w:val="clear" w:color="auto" w:fill="auto"/>
          </w:tcPr>
          <w:p w14:paraId="7A7F0572" w14:textId="0B075453" w:rsidR="00F2537F" w:rsidRPr="00620A0B" w:rsidRDefault="00F2537F" w:rsidP="00A518C8">
            <w:pPr>
              <w:ind w:firstLine="0"/>
              <w:rPr>
                <w:szCs w:val="24"/>
                <w:lang w:eastAsia="x-none"/>
              </w:rPr>
            </w:pPr>
            <w:r w:rsidRPr="00620A0B">
              <w:rPr>
                <w:szCs w:val="24"/>
                <w:lang w:eastAsia="x-none"/>
              </w:rPr>
              <w:t>Ekonomikas ministrija</w:t>
            </w:r>
          </w:p>
        </w:tc>
      </w:tr>
      <w:tr w:rsidR="00F2537F" w:rsidRPr="00620A0B" w14:paraId="41EC8A9C" w14:textId="77777777" w:rsidTr="00A01C86">
        <w:tc>
          <w:tcPr>
            <w:tcW w:w="2371" w:type="dxa"/>
            <w:shd w:val="clear" w:color="auto" w:fill="auto"/>
          </w:tcPr>
          <w:p w14:paraId="6683460C" w14:textId="63DD784C" w:rsidR="00F2537F" w:rsidRPr="00620A0B" w:rsidRDefault="00F2537F" w:rsidP="00A518C8">
            <w:pPr>
              <w:ind w:firstLine="0"/>
              <w:rPr>
                <w:b/>
                <w:szCs w:val="24"/>
                <w:lang w:eastAsia="x-none"/>
              </w:rPr>
            </w:pPr>
            <w:r w:rsidRPr="00620A0B">
              <w:rPr>
                <w:b/>
                <w:szCs w:val="24"/>
                <w:lang w:eastAsia="x-none"/>
              </w:rPr>
              <w:t>FKTK</w:t>
            </w:r>
          </w:p>
        </w:tc>
        <w:tc>
          <w:tcPr>
            <w:tcW w:w="6809" w:type="dxa"/>
            <w:shd w:val="clear" w:color="auto" w:fill="auto"/>
          </w:tcPr>
          <w:p w14:paraId="55232FC5" w14:textId="054996DE" w:rsidR="00F2537F" w:rsidRPr="00620A0B" w:rsidRDefault="00F2537F" w:rsidP="00A518C8">
            <w:pPr>
              <w:ind w:firstLine="0"/>
              <w:rPr>
                <w:szCs w:val="24"/>
                <w:lang w:eastAsia="x-none"/>
              </w:rPr>
            </w:pPr>
            <w:r w:rsidRPr="00620A0B">
              <w:rPr>
                <w:szCs w:val="24"/>
                <w:lang w:eastAsia="x-none"/>
              </w:rPr>
              <w:t>Finanšu kapitāla un tirgus komisija</w:t>
            </w:r>
          </w:p>
        </w:tc>
      </w:tr>
      <w:tr w:rsidR="00F2537F" w:rsidRPr="00620A0B" w14:paraId="12C03C8E" w14:textId="77777777" w:rsidTr="00A01C86">
        <w:tc>
          <w:tcPr>
            <w:tcW w:w="2371" w:type="dxa"/>
            <w:shd w:val="clear" w:color="auto" w:fill="auto"/>
          </w:tcPr>
          <w:p w14:paraId="7FA46887" w14:textId="31E978C8" w:rsidR="00F2537F" w:rsidRPr="00620A0B" w:rsidRDefault="00F2537F" w:rsidP="00A518C8">
            <w:pPr>
              <w:ind w:firstLine="0"/>
              <w:rPr>
                <w:b/>
                <w:szCs w:val="24"/>
                <w:lang w:eastAsia="x-none"/>
              </w:rPr>
            </w:pPr>
            <w:r w:rsidRPr="00620A0B">
              <w:rPr>
                <w:b/>
                <w:szCs w:val="24"/>
                <w:lang w:eastAsia="x-none"/>
              </w:rPr>
              <w:t>IeM</w:t>
            </w:r>
          </w:p>
        </w:tc>
        <w:tc>
          <w:tcPr>
            <w:tcW w:w="6809" w:type="dxa"/>
            <w:shd w:val="clear" w:color="auto" w:fill="auto"/>
          </w:tcPr>
          <w:p w14:paraId="614AEF03" w14:textId="212A2BF6" w:rsidR="00F2537F" w:rsidRPr="00620A0B" w:rsidRDefault="00F2537F" w:rsidP="00A518C8">
            <w:pPr>
              <w:ind w:firstLine="0"/>
              <w:rPr>
                <w:szCs w:val="24"/>
                <w:lang w:eastAsia="x-none"/>
              </w:rPr>
            </w:pPr>
            <w:r w:rsidRPr="00620A0B">
              <w:rPr>
                <w:szCs w:val="24"/>
                <w:lang w:eastAsia="x-none"/>
              </w:rPr>
              <w:t>Iekšlietu ministrija</w:t>
            </w:r>
          </w:p>
        </w:tc>
      </w:tr>
      <w:tr w:rsidR="00AD3B57" w:rsidRPr="00620A0B" w14:paraId="328920CE" w14:textId="77777777" w:rsidTr="00A01C86">
        <w:tc>
          <w:tcPr>
            <w:tcW w:w="2371" w:type="dxa"/>
            <w:shd w:val="clear" w:color="auto" w:fill="auto"/>
          </w:tcPr>
          <w:p w14:paraId="2C10770F" w14:textId="3F01088B" w:rsidR="00AD3B57" w:rsidRPr="00620A0B" w:rsidRDefault="00AD3B57" w:rsidP="00A518C8">
            <w:pPr>
              <w:ind w:firstLine="0"/>
              <w:rPr>
                <w:b/>
                <w:szCs w:val="24"/>
                <w:lang w:eastAsia="x-none"/>
              </w:rPr>
            </w:pPr>
            <w:r w:rsidRPr="00620A0B">
              <w:rPr>
                <w:b/>
                <w:szCs w:val="24"/>
                <w:lang w:eastAsia="x-none"/>
              </w:rPr>
              <w:t>KNAB</w:t>
            </w:r>
          </w:p>
        </w:tc>
        <w:tc>
          <w:tcPr>
            <w:tcW w:w="6809" w:type="dxa"/>
            <w:shd w:val="clear" w:color="auto" w:fill="auto"/>
          </w:tcPr>
          <w:p w14:paraId="0EB43605" w14:textId="35B5A31B" w:rsidR="00AD3B57" w:rsidRPr="00620A0B" w:rsidRDefault="00AD3B57" w:rsidP="00A518C8">
            <w:pPr>
              <w:ind w:firstLine="0"/>
              <w:rPr>
                <w:szCs w:val="24"/>
                <w:lang w:eastAsia="x-none"/>
              </w:rPr>
            </w:pPr>
            <w:r w:rsidRPr="00620A0B">
              <w:rPr>
                <w:szCs w:val="24"/>
                <w:lang w:eastAsia="x-none"/>
              </w:rPr>
              <w:t>Korupcijas novēršanas un apkarošanas birojs</w:t>
            </w:r>
          </w:p>
        </w:tc>
      </w:tr>
      <w:tr w:rsidR="00AD3B57" w:rsidRPr="00620A0B" w14:paraId="2436EF9C" w14:textId="77777777" w:rsidTr="00A01C86">
        <w:tc>
          <w:tcPr>
            <w:tcW w:w="2371" w:type="dxa"/>
            <w:shd w:val="clear" w:color="auto" w:fill="auto"/>
          </w:tcPr>
          <w:p w14:paraId="64652378" w14:textId="516A4C62" w:rsidR="00AD3B57" w:rsidRPr="00620A0B" w:rsidRDefault="00AD3B57" w:rsidP="00A518C8">
            <w:pPr>
              <w:ind w:firstLine="0"/>
              <w:rPr>
                <w:b/>
                <w:szCs w:val="24"/>
                <w:lang w:eastAsia="x-none"/>
              </w:rPr>
            </w:pPr>
            <w:r w:rsidRPr="00620A0B">
              <w:rPr>
                <w:b/>
                <w:szCs w:val="24"/>
                <w:lang w:eastAsia="x-none"/>
              </w:rPr>
              <w:t>LAPK</w:t>
            </w:r>
          </w:p>
        </w:tc>
        <w:tc>
          <w:tcPr>
            <w:tcW w:w="6809" w:type="dxa"/>
            <w:shd w:val="clear" w:color="auto" w:fill="auto"/>
          </w:tcPr>
          <w:p w14:paraId="170E8CA9" w14:textId="0E7E8744" w:rsidR="00AD3B57" w:rsidRPr="00620A0B" w:rsidRDefault="00AD3B57" w:rsidP="00A518C8">
            <w:pPr>
              <w:ind w:firstLine="0"/>
              <w:rPr>
                <w:szCs w:val="24"/>
                <w:lang w:eastAsia="x-none"/>
              </w:rPr>
            </w:pPr>
            <w:r w:rsidRPr="00620A0B">
              <w:rPr>
                <w:szCs w:val="24"/>
                <w:lang w:eastAsia="x-none"/>
              </w:rPr>
              <w:t>Latvijas Administratīvo pārkāpumu kodekss</w:t>
            </w:r>
          </w:p>
        </w:tc>
      </w:tr>
      <w:tr w:rsidR="00AD3B57" w:rsidRPr="00620A0B" w14:paraId="19422F8D" w14:textId="77777777" w:rsidTr="00A01C86">
        <w:tc>
          <w:tcPr>
            <w:tcW w:w="2371" w:type="dxa"/>
            <w:shd w:val="clear" w:color="auto" w:fill="auto"/>
          </w:tcPr>
          <w:p w14:paraId="0EF8246E" w14:textId="5156B0C2" w:rsidR="00AD3B57" w:rsidRPr="00620A0B" w:rsidRDefault="00AD3B57" w:rsidP="00A518C8">
            <w:pPr>
              <w:ind w:firstLine="0"/>
              <w:rPr>
                <w:b/>
                <w:szCs w:val="24"/>
                <w:lang w:eastAsia="x-none"/>
              </w:rPr>
            </w:pPr>
            <w:r w:rsidRPr="00620A0B">
              <w:rPr>
                <w:b/>
                <w:szCs w:val="24"/>
                <w:lang w:eastAsia="x-none"/>
              </w:rPr>
              <w:t>LIAA</w:t>
            </w:r>
          </w:p>
        </w:tc>
        <w:tc>
          <w:tcPr>
            <w:tcW w:w="6809" w:type="dxa"/>
            <w:shd w:val="clear" w:color="auto" w:fill="auto"/>
          </w:tcPr>
          <w:p w14:paraId="609A447C" w14:textId="167D627B" w:rsidR="00AD3B57" w:rsidRPr="00620A0B" w:rsidRDefault="00AD3B57" w:rsidP="00A518C8">
            <w:pPr>
              <w:ind w:firstLine="0"/>
              <w:rPr>
                <w:szCs w:val="24"/>
                <w:lang w:eastAsia="x-none"/>
              </w:rPr>
            </w:pPr>
            <w:r w:rsidRPr="00620A0B">
              <w:rPr>
                <w:szCs w:val="24"/>
                <w:lang w:eastAsia="x-none"/>
              </w:rPr>
              <w:t>Latvijas Investīciju un attīstības aģentūra</w:t>
            </w:r>
          </w:p>
        </w:tc>
      </w:tr>
      <w:tr w:rsidR="008A4E1A" w:rsidRPr="00620A0B" w14:paraId="7BE9E7DA" w14:textId="77777777" w:rsidTr="00A01C86">
        <w:tc>
          <w:tcPr>
            <w:tcW w:w="2371" w:type="dxa"/>
            <w:shd w:val="clear" w:color="auto" w:fill="auto"/>
          </w:tcPr>
          <w:p w14:paraId="3EB0C7FA" w14:textId="444B3062" w:rsidR="008A4E1A" w:rsidRPr="00620A0B" w:rsidRDefault="008A4E1A" w:rsidP="00A518C8">
            <w:pPr>
              <w:ind w:firstLine="0"/>
              <w:rPr>
                <w:b/>
                <w:szCs w:val="24"/>
                <w:lang w:eastAsia="x-none"/>
              </w:rPr>
            </w:pPr>
            <w:r w:rsidRPr="00620A0B">
              <w:rPr>
                <w:b/>
                <w:szCs w:val="24"/>
                <w:lang w:eastAsia="x-none"/>
              </w:rPr>
              <w:t>M</w:t>
            </w:r>
            <w:r w:rsidR="00E932AD" w:rsidRPr="00620A0B">
              <w:rPr>
                <w:b/>
                <w:szCs w:val="24"/>
                <w:lang w:eastAsia="x-none"/>
              </w:rPr>
              <w:t>KD</w:t>
            </w:r>
          </w:p>
        </w:tc>
        <w:tc>
          <w:tcPr>
            <w:tcW w:w="6809" w:type="dxa"/>
            <w:shd w:val="clear" w:color="auto" w:fill="auto"/>
          </w:tcPr>
          <w:p w14:paraId="27582756" w14:textId="73D4C731" w:rsidR="008A4E1A" w:rsidRPr="00620A0B" w:rsidRDefault="008A4E1A" w:rsidP="00A518C8">
            <w:pPr>
              <w:ind w:firstLine="0"/>
              <w:rPr>
                <w:szCs w:val="24"/>
                <w:lang w:eastAsia="x-none"/>
              </w:rPr>
            </w:pPr>
            <w:r w:rsidRPr="00620A0B">
              <w:rPr>
                <w:szCs w:val="24"/>
                <w:lang w:eastAsia="x-none"/>
              </w:rPr>
              <w:t xml:space="preserve">Maksātnespējas </w:t>
            </w:r>
            <w:r w:rsidR="00E932AD" w:rsidRPr="00620A0B">
              <w:rPr>
                <w:szCs w:val="24"/>
                <w:lang w:eastAsia="x-none"/>
              </w:rPr>
              <w:t>kontroles dienests</w:t>
            </w:r>
          </w:p>
        </w:tc>
      </w:tr>
      <w:tr w:rsidR="008A4E1A" w:rsidRPr="00620A0B" w14:paraId="450A1865" w14:textId="77777777" w:rsidTr="00A01C86">
        <w:tc>
          <w:tcPr>
            <w:tcW w:w="2371" w:type="dxa"/>
            <w:shd w:val="clear" w:color="auto" w:fill="auto"/>
          </w:tcPr>
          <w:p w14:paraId="478ECA8C" w14:textId="25BCC050" w:rsidR="008A4E1A" w:rsidRPr="00620A0B" w:rsidRDefault="004836C9" w:rsidP="00A518C8">
            <w:pPr>
              <w:ind w:firstLine="0"/>
              <w:rPr>
                <w:b/>
                <w:szCs w:val="24"/>
                <w:lang w:eastAsia="x-none"/>
              </w:rPr>
            </w:pPr>
            <w:r>
              <w:rPr>
                <w:b/>
                <w:szCs w:val="24"/>
                <w:lang w:eastAsia="x-none"/>
              </w:rPr>
              <w:t>p</w:t>
            </w:r>
            <w:r w:rsidR="008A4E1A" w:rsidRPr="00620A0B">
              <w:rPr>
                <w:b/>
                <w:szCs w:val="24"/>
                <w:lang w:eastAsia="x-none"/>
              </w:rPr>
              <w:t>amatnostādnes</w:t>
            </w:r>
          </w:p>
        </w:tc>
        <w:tc>
          <w:tcPr>
            <w:tcW w:w="6809" w:type="dxa"/>
            <w:shd w:val="clear" w:color="auto" w:fill="auto"/>
          </w:tcPr>
          <w:p w14:paraId="4ED463EB" w14:textId="4C768576" w:rsidR="008A4E1A" w:rsidRPr="00620A0B" w:rsidRDefault="008A4E1A" w:rsidP="00A518C8">
            <w:pPr>
              <w:ind w:firstLine="0"/>
              <w:rPr>
                <w:szCs w:val="24"/>
                <w:lang w:eastAsia="x-none"/>
              </w:rPr>
            </w:pPr>
            <w:r w:rsidRPr="00620A0B">
              <w:rPr>
                <w:szCs w:val="24"/>
                <w:lang w:eastAsia="x-none"/>
              </w:rPr>
              <w:t>Maksātnespējas politikas attīstības pamatnostādnes 2016.-2020. gadam</w:t>
            </w:r>
          </w:p>
        </w:tc>
      </w:tr>
      <w:tr w:rsidR="008A4E1A" w:rsidRPr="00620A0B" w14:paraId="3609D6E2" w14:textId="77777777" w:rsidTr="00A01C86">
        <w:tc>
          <w:tcPr>
            <w:tcW w:w="2371" w:type="dxa"/>
            <w:shd w:val="clear" w:color="auto" w:fill="auto"/>
          </w:tcPr>
          <w:p w14:paraId="5048747C" w14:textId="552A87C4" w:rsidR="008A4E1A" w:rsidRPr="00620A0B" w:rsidRDefault="004836C9" w:rsidP="00A518C8">
            <w:pPr>
              <w:ind w:firstLine="0"/>
              <w:rPr>
                <w:b/>
                <w:szCs w:val="24"/>
                <w:lang w:eastAsia="x-none"/>
              </w:rPr>
            </w:pPr>
            <w:r>
              <w:rPr>
                <w:b/>
                <w:szCs w:val="24"/>
                <w:lang w:eastAsia="x-none"/>
              </w:rPr>
              <w:t>p</w:t>
            </w:r>
            <w:r w:rsidR="00CE388E" w:rsidRPr="00620A0B">
              <w:rPr>
                <w:b/>
                <w:szCs w:val="24"/>
                <w:lang w:eastAsia="x-none"/>
              </w:rPr>
              <w:t>lāns</w:t>
            </w:r>
          </w:p>
        </w:tc>
        <w:tc>
          <w:tcPr>
            <w:tcW w:w="6809" w:type="dxa"/>
            <w:shd w:val="clear" w:color="auto" w:fill="auto"/>
          </w:tcPr>
          <w:p w14:paraId="06A9AACB" w14:textId="0EFAF273" w:rsidR="008A4E1A" w:rsidRPr="00620A0B" w:rsidRDefault="00CE388E" w:rsidP="00A518C8">
            <w:pPr>
              <w:ind w:firstLine="0"/>
              <w:rPr>
                <w:szCs w:val="24"/>
                <w:lang w:eastAsia="x-none"/>
              </w:rPr>
            </w:pPr>
            <w:r w:rsidRPr="00620A0B">
              <w:rPr>
                <w:szCs w:val="24"/>
                <w:lang w:eastAsia="x-none"/>
              </w:rPr>
              <w:t>Pamatnostādņu īstenošanas plāns</w:t>
            </w:r>
          </w:p>
        </w:tc>
      </w:tr>
      <w:tr w:rsidR="008A4E1A" w:rsidRPr="00620A0B" w14:paraId="7EC889B6" w14:textId="77777777" w:rsidTr="00A01C86">
        <w:tc>
          <w:tcPr>
            <w:tcW w:w="2371" w:type="dxa"/>
            <w:shd w:val="clear" w:color="auto" w:fill="auto"/>
          </w:tcPr>
          <w:p w14:paraId="5206A12C" w14:textId="12725AE5" w:rsidR="008A4E1A" w:rsidRPr="00620A0B" w:rsidRDefault="008A4E1A" w:rsidP="00A518C8">
            <w:pPr>
              <w:ind w:firstLine="0"/>
              <w:rPr>
                <w:b/>
                <w:szCs w:val="24"/>
                <w:lang w:eastAsia="x-none"/>
              </w:rPr>
            </w:pPr>
            <w:r w:rsidRPr="00620A0B">
              <w:rPr>
                <w:b/>
                <w:szCs w:val="24"/>
                <w:lang w:eastAsia="x-none"/>
              </w:rPr>
              <w:t>SVF</w:t>
            </w:r>
          </w:p>
        </w:tc>
        <w:tc>
          <w:tcPr>
            <w:tcW w:w="6809" w:type="dxa"/>
            <w:shd w:val="clear" w:color="auto" w:fill="auto"/>
          </w:tcPr>
          <w:p w14:paraId="69E484D3" w14:textId="6AC69265" w:rsidR="008A4E1A" w:rsidRPr="00620A0B" w:rsidRDefault="008A4E1A" w:rsidP="00A518C8">
            <w:pPr>
              <w:ind w:firstLine="0"/>
              <w:rPr>
                <w:szCs w:val="24"/>
                <w:lang w:eastAsia="x-none"/>
              </w:rPr>
            </w:pPr>
            <w:r w:rsidRPr="00620A0B">
              <w:rPr>
                <w:szCs w:val="24"/>
                <w:lang w:eastAsia="x-none"/>
              </w:rPr>
              <w:t>Starptautiskais Valūtas fonds</w:t>
            </w:r>
          </w:p>
        </w:tc>
      </w:tr>
      <w:tr w:rsidR="00266787" w:rsidRPr="00620A0B" w14:paraId="5FE57996" w14:textId="77777777" w:rsidTr="00A01C86">
        <w:tc>
          <w:tcPr>
            <w:tcW w:w="2371" w:type="dxa"/>
            <w:shd w:val="clear" w:color="auto" w:fill="auto"/>
          </w:tcPr>
          <w:p w14:paraId="090796F3" w14:textId="0C4D6455" w:rsidR="00266787" w:rsidRPr="00620A0B" w:rsidRDefault="00266787" w:rsidP="00A518C8">
            <w:pPr>
              <w:ind w:firstLine="0"/>
              <w:rPr>
                <w:b/>
                <w:szCs w:val="24"/>
                <w:lang w:eastAsia="x-none"/>
              </w:rPr>
            </w:pPr>
            <w:r>
              <w:rPr>
                <w:b/>
                <w:szCs w:val="24"/>
                <w:lang w:eastAsia="x-none"/>
              </w:rPr>
              <w:t>SVF novērtējums</w:t>
            </w:r>
          </w:p>
        </w:tc>
        <w:tc>
          <w:tcPr>
            <w:tcW w:w="6809" w:type="dxa"/>
            <w:shd w:val="clear" w:color="auto" w:fill="auto"/>
          </w:tcPr>
          <w:p w14:paraId="03369457" w14:textId="13EC81C3" w:rsidR="00387628" w:rsidRPr="00620A0B" w:rsidRDefault="008C3A7E" w:rsidP="00A518C8">
            <w:pPr>
              <w:ind w:firstLine="0"/>
              <w:rPr>
                <w:szCs w:val="24"/>
                <w:lang w:eastAsia="x-none"/>
              </w:rPr>
            </w:pPr>
            <w:r>
              <w:rPr>
                <w:szCs w:val="24"/>
                <w:lang w:eastAsia="x-none"/>
              </w:rPr>
              <w:t xml:space="preserve">Maksātnespējas regulējuma novērtējums (veikto reformu </w:t>
            </w:r>
            <w:r w:rsidR="00BE4D80">
              <w:rPr>
                <w:szCs w:val="24"/>
                <w:lang w:eastAsia="x-none"/>
              </w:rPr>
              <w:t>no</w:t>
            </w:r>
            <w:r>
              <w:rPr>
                <w:szCs w:val="24"/>
                <w:lang w:eastAsia="x-none"/>
              </w:rPr>
              <w:t xml:space="preserve">vērtējums), ko veica SVF </w:t>
            </w:r>
            <w:r w:rsidR="00EB01EB" w:rsidRPr="00EB01EB">
              <w:rPr>
                <w:szCs w:val="24"/>
                <w:lang w:eastAsia="x-none"/>
              </w:rPr>
              <w:t xml:space="preserve">Eiropas Sociālā fonda līdzfinansētā projekta </w:t>
            </w:r>
            <w:r w:rsidR="00605ECD">
              <w:rPr>
                <w:szCs w:val="24"/>
                <w:lang w:eastAsia="x-none"/>
              </w:rPr>
              <w:t>"</w:t>
            </w:r>
            <w:r w:rsidR="00EB01EB" w:rsidRPr="00EB01EB">
              <w:rPr>
                <w:i/>
                <w:iCs/>
                <w:szCs w:val="24"/>
                <w:lang w:eastAsia="x-none"/>
              </w:rPr>
              <w:t>Justīcija attīstībai</w:t>
            </w:r>
            <w:r w:rsidR="00605ECD">
              <w:rPr>
                <w:szCs w:val="24"/>
                <w:lang w:eastAsia="x-none"/>
              </w:rPr>
              <w:t>"</w:t>
            </w:r>
            <w:r w:rsidR="00EB01EB" w:rsidRPr="00EB01EB">
              <w:rPr>
                <w:szCs w:val="24"/>
                <w:lang w:eastAsia="x-none"/>
              </w:rPr>
              <w:t xml:space="preserve"> 3.4.1. specifiskā atbalsta mērķa </w:t>
            </w:r>
            <w:r w:rsidR="00605ECD">
              <w:rPr>
                <w:szCs w:val="24"/>
                <w:lang w:eastAsia="x-none"/>
              </w:rPr>
              <w:t>"</w:t>
            </w:r>
            <w:r w:rsidR="00EB01EB" w:rsidRPr="00EB01EB">
              <w:rPr>
                <w:szCs w:val="24"/>
                <w:lang w:eastAsia="x-none"/>
              </w:rPr>
              <w:t>Paaugstināt tiesu un tiesībsargājošo institūciju personāla kompetenci komercdarbības vides uzlabošanas sekmēšanai</w:t>
            </w:r>
            <w:r w:rsidR="00605ECD">
              <w:rPr>
                <w:szCs w:val="24"/>
                <w:lang w:eastAsia="x-none"/>
              </w:rPr>
              <w:t>"</w:t>
            </w:r>
            <w:r w:rsidR="00EB01EB">
              <w:rPr>
                <w:szCs w:val="24"/>
                <w:lang w:eastAsia="x-none"/>
              </w:rPr>
              <w:t xml:space="preserve"> ietvaros</w:t>
            </w:r>
            <w:r w:rsidR="00BE4D80">
              <w:rPr>
                <w:szCs w:val="24"/>
                <w:lang w:eastAsia="x-none"/>
              </w:rPr>
              <w:t>, novērtējot Latvijas tieslietu sistēmu</w:t>
            </w:r>
          </w:p>
        </w:tc>
      </w:tr>
      <w:tr w:rsidR="00CE388E" w:rsidRPr="00620A0B" w14:paraId="771E724C" w14:textId="77777777" w:rsidTr="00A01C86">
        <w:tc>
          <w:tcPr>
            <w:tcW w:w="2371" w:type="dxa"/>
            <w:shd w:val="clear" w:color="auto" w:fill="auto"/>
          </w:tcPr>
          <w:p w14:paraId="448E5245" w14:textId="7C5CECFC" w:rsidR="00CE388E" w:rsidRPr="00620A0B" w:rsidRDefault="00CE388E" w:rsidP="00A518C8">
            <w:pPr>
              <w:ind w:firstLine="0"/>
              <w:rPr>
                <w:b/>
                <w:szCs w:val="24"/>
                <w:lang w:eastAsia="x-none"/>
              </w:rPr>
            </w:pPr>
            <w:r w:rsidRPr="00620A0B">
              <w:rPr>
                <w:b/>
                <w:szCs w:val="24"/>
                <w:lang w:eastAsia="x-none"/>
              </w:rPr>
              <w:t>TA</w:t>
            </w:r>
          </w:p>
        </w:tc>
        <w:tc>
          <w:tcPr>
            <w:tcW w:w="6809" w:type="dxa"/>
            <w:shd w:val="clear" w:color="auto" w:fill="auto"/>
          </w:tcPr>
          <w:p w14:paraId="22F6F4EA" w14:textId="2716517F" w:rsidR="00CE388E" w:rsidRPr="00620A0B" w:rsidRDefault="00CE388E" w:rsidP="00A518C8">
            <w:pPr>
              <w:ind w:firstLine="0"/>
              <w:rPr>
                <w:szCs w:val="24"/>
                <w:lang w:eastAsia="x-none"/>
              </w:rPr>
            </w:pPr>
            <w:r w:rsidRPr="00620A0B">
              <w:rPr>
                <w:szCs w:val="24"/>
                <w:lang w:eastAsia="x-none"/>
              </w:rPr>
              <w:t>Tiesu administrācija</w:t>
            </w:r>
          </w:p>
        </w:tc>
      </w:tr>
      <w:tr w:rsidR="00CE388E" w:rsidRPr="00620A0B" w14:paraId="09264CC0" w14:textId="77777777" w:rsidTr="00A01C86">
        <w:tc>
          <w:tcPr>
            <w:tcW w:w="2371" w:type="dxa"/>
            <w:shd w:val="clear" w:color="auto" w:fill="auto"/>
          </w:tcPr>
          <w:p w14:paraId="09AA1075" w14:textId="00A37B6D" w:rsidR="00CE388E" w:rsidRPr="00620A0B" w:rsidRDefault="00CE388E" w:rsidP="00A518C8">
            <w:pPr>
              <w:ind w:firstLine="0"/>
              <w:rPr>
                <w:b/>
                <w:szCs w:val="24"/>
                <w:lang w:eastAsia="x-none"/>
              </w:rPr>
            </w:pPr>
            <w:r w:rsidRPr="00620A0B">
              <w:rPr>
                <w:b/>
                <w:szCs w:val="24"/>
                <w:lang w:eastAsia="x-none"/>
              </w:rPr>
              <w:t>TAP</w:t>
            </w:r>
          </w:p>
        </w:tc>
        <w:tc>
          <w:tcPr>
            <w:tcW w:w="6809" w:type="dxa"/>
            <w:shd w:val="clear" w:color="auto" w:fill="auto"/>
          </w:tcPr>
          <w:p w14:paraId="5C461F29" w14:textId="6C1782F0" w:rsidR="00CE388E" w:rsidRPr="00620A0B" w:rsidRDefault="00CE388E" w:rsidP="00A518C8">
            <w:pPr>
              <w:ind w:firstLine="0"/>
              <w:rPr>
                <w:szCs w:val="24"/>
                <w:lang w:eastAsia="x-none"/>
              </w:rPr>
            </w:pPr>
            <w:r w:rsidRPr="00620A0B">
              <w:rPr>
                <w:szCs w:val="24"/>
                <w:lang w:eastAsia="x-none"/>
              </w:rPr>
              <w:t>Tiesiskās aizsardzības process</w:t>
            </w:r>
          </w:p>
        </w:tc>
      </w:tr>
      <w:tr w:rsidR="00CE388E" w:rsidRPr="00620A0B" w14:paraId="6A8D4B4C" w14:textId="77777777" w:rsidTr="00A01C86">
        <w:tc>
          <w:tcPr>
            <w:tcW w:w="2371" w:type="dxa"/>
            <w:shd w:val="clear" w:color="auto" w:fill="auto"/>
          </w:tcPr>
          <w:p w14:paraId="4A0D7214" w14:textId="68E1255B" w:rsidR="00CE388E" w:rsidRPr="00620A0B" w:rsidRDefault="00CE388E" w:rsidP="00A518C8">
            <w:pPr>
              <w:ind w:firstLine="0"/>
              <w:rPr>
                <w:b/>
                <w:szCs w:val="24"/>
                <w:lang w:eastAsia="x-none"/>
              </w:rPr>
            </w:pPr>
            <w:r w:rsidRPr="00620A0B">
              <w:rPr>
                <w:b/>
                <w:szCs w:val="24"/>
                <w:lang w:eastAsia="x-none"/>
              </w:rPr>
              <w:t>TAP plāns</w:t>
            </w:r>
          </w:p>
        </w:tc>
        <w:tc>
          <w:tcPr>
            <w:tcW w:w="6809" w:type="dxa"/>
            <w:shd w:val="clear" w:color="auto" w:fill="auto"/>
          </w:tcPr>
          <w:p w14:paraId="00DE486E" w14:textId="5075BBB5" w:rsidR="00CE388E" w:rsidRPr="00620A0B" w:rsidRDefault="00CE388E" w:rsidP="00A518C8">
            <w:pPr>
              <w:ind w:firstLine="0"/>
              <w:rPr>
                <w:szCs w:val="24"/>
                <w:lang w:eastAsia="x-none"/>
              </w:rPr>
            </w:pPr>
            <w:r w:rsidRPr="00620A0B">
              <w:rPr>
                <w:szCs w:val="24"/>
                <w:lang w:eastAsia="x-none"/>
              </w:rPr>
              <w:t>TAP pasākumu plāns</w:t>
            </w:r>
          </w:p>
        </w:tc>
      </w:tr>
      <w:tr w:rsidR="00CE388E" w:rsidRPr="00620A0B" w14:paraId="534BBCF6" w14:textId="77777777" w:rsidTr="00A01C86">
        <w:tc>
          <w:tcPr>
            <w:tcW w:w="2371" w:type="dxa"/>
            <w:shd w:val="clear" w:color="auto" w:fill="auto"/>
          </w:tcPr>
          <w:p w14:paraId="69F311FC" w14:textId="35C8A390" w:rsidR="00CE388E" w:rsidRPr="00620A0B" w:rsidRDefault="00CE388E" w:rsidP="00A518C8">
            <w:pPr>
              <w:ind w:firstLine="0"/>
              <w:rPr>
                <w:b/>
                <w:szCs w:val="24"/>
                <w:lang w:eastAsia="x-none"/>
              </w:rPr>
            </w:pPr>
            <w:r w:rsidRPr="00620A0B">
              <w:rPr>
                <w:b/>
                <w:szCs w:val="24"/>
                <w:lang w:eastAsia="x-none"/>
              </w:rPr>
              <w:t>TM</w:t>
            </w:r>
          </w:p>
        </w:tc>
        <w:tc>
          <w:tcPr>
            <w:tcW w:w="6809" w:type="dxa"/>
            <w:shd w:val="clear" w:color="auto" w:fill="auto"/>
          </w:tcPr>
          <w:p w14:paraId="2D05D1BB" w14:textId="09659676" w:rsidR="00CE388E" w:rsidRPr="00620A0B" w:rsidRDefault="00CE388E" w:rsidP="00A518C8">
            <w:pPr>
              <w:ind w:firstLine="0"/>
              <w:rPr>
                <w:szCs w:val="24"/>
                <w:lang w:eastAsia="x-none"/>
              </w:rPr>
            </w:pPr>
            <w:r w:rsidRPr="00620A0B">
              <w:rPr>
                <w:szCs w:val="24"/>
                <w:lang w:eastAsia="x-none"/>
              </w:rPr>
              <w:t>Tieslietu ministrija</w:t>
            </w:r>
          </w:p>
        </w:tc>
      </w:tr>
      <w:tr w:rsidR="00F90928" w:rsidRPr="00620A0B" w14:paraId="3F2625FF" w14:textId="77777777" w:rsidTr="00A01C86">
        <w:tc>
          <w:tcPr>
            <w:tcW w:w="2371" w:type="dxa"/>
            <w:shd w:val="clear" w:color="auto" w:fill="auto"/>
          </w:tcPr>
          <w:p w14:paraId="2735290D" w14:textId="39C4493A" w:rsidR="00F90928" w:rsidRPr="00620A0B" w:rsidRDefault="004836C9" w:rsidP="00A518C8">
            <w:pPr>
              <w:ind w:firstLine="0"/>
              <w:rPr>
                <w:b/>
                <w:szCs w:val="24"/>
                <w:lang w:eastAsia="x-none"/>
              </w:rPr>
            </w:pPr>
            <w:r>
              <w:rPr>
                <w:b/>
                <w:szCs w:val="24"/>
                <w:lang w:eastAsia="x-none"/>
              </w:rPr>
              <w:t>u</w:t>
            </w:r>
            <w:r w:rsidR="00F90928" w:rsidRPr="00620A0B">
              <w:rPr>
                <w:b/>
                <w:szCs w:val="24"/>
                <w:lang w:eastAsia="x-none"/>
              </w:rPr>
              <w:t>zraugošā persona</w:t>
            </w:r>
          </w:p>
        </w:tc>
        <w:tc>
          <w:tcPr>
            <w:tcW w:w="6809" w:type="dxa"/>
            <w:shd w:val="clear" w:color="auto" w:fill="auto"/>
          </w:tcPr>
          <w:p w14:paraId="3D74A68C" w14:textId="311B12CA" w:rsidR="00F90928" w:rsidRPr="00620A0B" w:rsidRDefault="00F90928" w:rsidP="00A518C8">
            <w:pPr>
              <w:ind w:firstLine="0"/>
              <w:rPr>
                <w:szCs w:val="24"/>
                <w:lang w:eastAsia="x-none"/>
              </w:rPr>
            </w:pPr>
            <w:r w:rsidRPr="00620A0B">
              <w:rPr>
                <w:szCs w:val="24"/>
                <w:lang w:eastAsia="x-none"/>
              </w:rPr>
              <w:t>TAP uzraugošā persona</w:t>
            </w:r>
          </w:p>
        </w:tc>
      </w:tr>
      <w:tr w:rsidR="008A4E1A" w:rsidRPr="00620A0B" w14:paraId="16E2697A" w14:textId="77777777" w:rsidTr="00A01C86">
        <w:tc>
          <w:tcPr>
            <w:tcW w:w="2371" w:type="dxa"/>
            <w:shd w:val="clear" w:color="auto" w:fill="auto"/>
          </w:tcPr>
          <w:p w14:paraId="7F660B76" w14:textId="77777777" w:rsidR="008A4E1A" w:rsidRPr="00620A0B" w:rsidRDefault="008A4E1A" w:rsidP="00A518C8">
            <w:pPr>
              <w:ind w:firstLine="0"/>
              <w:rPr>
                <w:b/>
                <w:szCs w:val="24"/>
                <w:lang w:eastAsia="x-none"/>
              </w:rPr>
            </w:pPr>
            <w:r w:rsidRPr="00620A0B">
              <w:rPr>
                <w:b/>
                <w:szCs w:val="24"/>
                <w:lang w:eastAsia="x-none"/>
              </w:rPr>
              <w:t>VID</w:t>
            </w:r>
          </w:p>
        </w:tc>
        <w:tc>
          <w:tcPr>
            <w:tcW w:w="6809" w:type="dxa"/>
            <w:shd w:val="clear" w:color="auto" w:fill="auto"/>
          </w:tcPr>
          <w:p w14:paraId="08D2B7D0" w14:textId="77777777" w:rsidR="008A4E1A" w:rsidRPr="00620A0B" w:rsidRDefault="008A4E1A" w:rsidP="00A518C8">
            <w:pPr>
              <w:ind w:firstLine="0"/>
              <w:rPr>
                <w:szCs w:val="24"/>
                <w:lang w:eastAsia="x-none"/>
              </w:rPr>
            </w:pPr>
            <w:r w:rsidRPr="00620A0B">
              <w:rPr>
                <w:szCs w:val="24"/>
                <w:lang w:eastAsia="x-none"/>
              </w:rPr>
              <w:t>Valsts ieņēmumu dienests</w:t>
            </w:r>
          </w:p>
        </w:tc>
      </w:tr>
    </w:tbl>
    <w:p w14:paraId="79B4AAEB" w14:textId="6D94C6B4" w:rsidR="00EB5F37" w:rsidRPr="00620A0B" w:rsidRDefault="00EB5F37" w:rsidP="00A518C8">
      <w:pPr>
        <w:ind w:firstLine="0"/>
      </w:pPr>
      <w:r w:rsidRPr="00620A0B">
        <w:br w:type="page"/>
      </w:r>
    </w:p>
    <w:p w14:paraId="6A884A02" w14:textId="37FBE696" w:rsidR="00EB5F37" w:rsidRPr="00620A0B" w:rsidRDefault="00F21992" w:rsidP="00A518C8">
      <w:pPr>
        <w:pStyle w:val="Virsraksts1"/>
        <w:ind w:firstLine="0"/>
      </w:pPr>
      <w:bookmarkStart w:id="1" w:name="_Toc13817863"/>
      <w:r w:rsidRPr="00620A0B">
        <w:lastRenderedPageBreak/>
        <w:t>1. Ievads</w:t>
      </w:r>
      <w:bookmarkEnd w:id="1"/>
    </w:p>
    <w:p w14:paraId="55C9DBBD" w14:textId="077DF3BA" w:rsidR="00F21992" w:rsidRPr="00620A0B" w:rsidRDefault="00F21992" w:rsidP="00A518C8"/>
    <w:p w14:paraId="45636728" w14:textId="5A0B18D8" w:rsidR="00C569D7" w:rsidRPr="00620A0B" w:rsidRDefault="00252B80" w:rsidP="00A518C8">
      <w:r w:rsidRPr="00620A0B">
        <w:t xml:space="preserve">Ar </w:t>
      </w:r>
      <w:r w:rsidR="00566D3E" w:rsidRPr="00620A0B">
        <w:t xml:space="preserve">Ministru kabineta 2016. gada 21. septembra </w:t>
      </w:r>
      <w:r w:rsidR="00D0308A" w:rsidRPr="00620A0B">
        <w:t xml:space="preserve">rīkojuma Nr. 527 </w:t>
      </w:r>
      <w:r w:rsidR="00605ECD">
        <w:t>"</w:t>
      </w:r>
      <w:r w:rsidR="00CF5409" w:rsidRPr="00620A0B">
        <w:t>Par Maksātnespējas politikas attīstības pamatnostādnēm 2016.–2020. gadam un to īstenošanas plānu</w:t>
      </w:r>
      <w:r w:rsidR="00605ECD">
        <w:t>"</w:t>
      </w:r>
      <w:r w:rsidR="00CF5409" w:rsidRPr="00620A0B">
        <w:t xml:space="preserve"> </w:t>
      </w:r>
      <w:r w:rsidR="00566D3E" w:rsidRPr="00620A0B">
        <w:t>(prot. Nr.</w:t>
      </w:r>
      <w:r w:rsidR="00D0308A" w:rsidRPr="00620A0B">
        <w:t> </w:t>
      </w:r>
      <w:r w:rsidR="00566D3E" w:rsidRPr="00620A0B">
        <w:t>44 30.</w:t>
      </w:r>
      <w:r w:rsidR="00D0308A" w:rsidRPr="00620A0B">
        <w:t> </w:t>
      </w:r>
      <w:r w:rsidR="00566D3E" w:rsidRPr="00620A0B">
        <w:t>§)</w:t>
      </w:r>
      <w:r w:rsidR="00AA0744" w:rsidRPr="00620A0B">
        <w:rPr>
          <w:rStyle w:val="Vresatsauce"/>
        </w:rPr>
        <w:footnoteReference w:id="1"/>
      </w:r>
      <w:r w:rsidR="00CF5409" w:rsidRPr="00620A0B">
        <w:t xml:space="preserve"> 1. punktu atbalstītas </w:t>
      </w:r>
      <w:r w:rsidR="00157EB4">
        <w:t>p</w:t>
      </w:r>
      <w:r w:rsidR="00CF5409" w:rsidRPr="00620A0B">
        <w:t xml:space="preserve">amatnostādnes un </w:t>
      </w:r>
      <w:r w:rsidR="00157EB4">
        <w:t>p</w:t>
      </w:r>
      <w:r w:rsidR="00CF5409" w:rsidRPr="00620A0B">
        <w:t xml:space="preserve">lāns. </w:t>
      </w:r>
      <w:r w:rsidR="00C569D7" w:rsidRPr="00620A0B">
        <w:t xml:space="preserve">Savukārt ar Ministru kabineta 2017. gada 13. decembra </w:t>
      </w:r>
      <w:r w:rsidR="00C27FF0" w:rsidRPr="00620A0B">
        <w:t xml:space="preserve">rīkojumu Nr. 750 </w:t>
      </w:r>
      <w:r w:rsidR="00605ECD">
        <w:t>"</w:t>
      </w:r>
      <w:r w:rsidR="00C27FF0" w:rsidRPr="00620A0B">
        <w:t>Grozījumi Maksātnespējas politikas attīstības pamatnostādnēs 2016.-2020.</w:t>
      </w:r>
      <w:r w:rsidR="00605ECD">
        <w:t> </w:t>
      </w:r>
      <w:r w:rsidR="00C27FF0" w:rsidRPr="00620A0B">
        <w:t>gadam un to īstenošanas plānā</w:t>
      </w:r>
      <w:r w:rsidR="00605ECD">
        <w:t>"</w:t>
      </w:r>
      <w:r w:rsidR="00C27FF0" w:rsidRPr="00620A0B">
        <w:t xml:space="preserve"> </w:t>
      </w:r>
      <w:r w:rsidR="00C569D7" w:rsidRPr="00620A0B">
        <w:t>(prot. Nr.</w:t>
      </w:r>
      <w:r w:rsidR="00C7274E" w:rsidRPr="00620A0B">
        <w:t> </w:t>
      </w:r>
      <w:r w:rsidR="00C569D7" w:rsidRPr="00620A0B">
        <w:t>61 33.</w:t>
      </w:r>
      <w:r w:rsidR="00C7274E" w:rsidRPr="00620A0B">
        <w:t> </w:t>
      </w:r>
      <w:r w:rsidR="00C569D7" w:rsidRPr="00620A0B">
        <w:t>§)</w:t>
      </w:r>
      <w:r w:rsidR="00C7274E" w:rsidRPr="00620A0B">
        <w:rPr>
          <w:rStyle w:val="Vresatsauce"/>
        </w:rPr>
        <w:footnoteReference w:id="2"/>
      </w:r>
      <w:r w:rsidR="00C27FF0" w:rsidRPr="00620A0B">
        <w:t xml:space="preserve"> </w:t>
      </w:r>
      <w:r w:rsidR="00157EB4">
        <w:t>p</w:t>
      </w:r>
      <w:r w:rsidR="00C27FF0" w:rsidRPr="00620A0B">
        <w:t xml:space="preserve">amatnostādnēs un </w:t>
      </w:r>
      <w:r w:rsidR="00157EB4">
        <w:t>p</w:t>
      </w:r>
      <w:r w:rsidR="00C27FF0" w:rsidRPr="00620A0B">
        <w:t>lān</w:t>
      </w:r>
      <w:r w:rsidR="001A369B">
        <w:t>ā</w:t>
      </w:r>
      <w:r w:rsidR="00C27FF0" w:rsidRPr="00620A0B">
        <w:t xml:space="preserve"> izdarīti grozījumi</w:t>
      </w:r>
      <w:r w:rsidR="00022DE4" w:rsidRPr="00620A0B">
        <w:t xml:space="preserve">, precizējot </w:t>
      </w:r>
      <w:r w:rsidR="00C27FF0" w:rsidRPr="00620A0B">
        <w:t>vairāku</w:t>
      </w:r>
      <w:r w:rsidR="00022DE4" w:rsidRPr="00620A0B">
        <w:t xml:space="preserve">s </w:t>
      </w:r>
      <w:r w:rsidR="00157EB4">
        <w:t>p</w:t>
      </w:r>
      <w:r w:rsidR="00022DE4" w:rsidRPr="00620A0B">
        <w:t xml:space="preserve">amatnostādņu uzdevumu un </w:t>
      </w:r>
      <w:r w:rsidR="00157EB4">
        <w:t>p</w:t>
      </w:r>
      <w:r w:rsidR="00022DE4" w:rsidRPr="00620A0B">
        <w:t>lāna pasākumu izpildes termiņus.</w:t>
      </w:r>
    </w:p>
    <w:p w14:paraId="285A5160" w14:textId="7C5237B9" w:rsidR="00C569D7" w:rsidRPr="00620A0B" w:rsidRDefault="00A7030A" w:rsidP="00A518C8">
      <w:r w:rsidRPr="00620A0B">
        <w:t xml:space="preserve">Pamatnostādnes </w:t>
      </w:r>
      <w:r w:rsidR="00566C27" w:rsidRPr="00620A0B">
        <w:t xml:space="preserve">un </w:t>
      </w:r>
      <w:r w:rsidR="00157EB4">
        <w:t>p</w:t>
      </w:r>
      <w:r w:rsidR="00566C27" w:rsidRPr="00620A0B">
        <w:t xml:space="preserve">lāns </w:t>
      </w:r>
      <w:r w:rsidRPr="00620A0B">
        <w:t xml:space="preserve">tika </w:t>
      </w:r>
      <w:r w:rsidRPr="003575E2">
        <w:t>izstrādāt</w:t>
      </w:r>
      <w:r w:rsidR="003575E2" w:rsidRPr="00523FE6">
        <w:t>i</w:t>
      </w:r>
      <w:r w:rsidRPr="00620A0B">
        <w:t>, lai noteiktu maksātnespējas politikas vidējā termiņa attīstības virzienus, sniedzot sistēmisku maksātnespējas jomā pastāvošo problēmu izvērtējumu un nosakot sasniedzamās prioritātes un rezultātus.</w:t>
      </w:r>
    </w:p>
    <w:p w14:paraId="06A5EB1E" w14:textId="5AF44C4E" w:rsidR="008A5134" w:rsidRPr="00620A0B" w:rsidRDefault="008A5134" w:rsidP="00A518C8">
      <w:r w:rsidRPr="00620A0B">
        <w:t xml:space="preserve">Maksātnespējas politikas </w:t>
      </w:r>
      <w:r w:rsidRPr="00620A0B">
        <w:rPr>
          <w:b/>
        </w:rPr>
        <w:t>virsmērķis</w:t>
      </w:r>
      <w:r w:rsidRPr="00620A0B">
        <w:t xml:space="preserve"> ir sekmēt komercdarbības un iedzīvotāju ekonomisko aktivitāti, veicināt pievilcīgas uzņēmējdarbības vides veidošanu un investīciju piesaisti.</w:t>
      </w:r>
      <w:r w:rsidR="00EA409B">
        <w:t xml:space="preserve"> </w:t>
      </w:r>
    </w:p>
    <w:p w14:paraId="09F25CE5" w14:textId="586B85C5" w:rsidR="008A5134" w:rsidRPr="00620A0B" w:rsidRDefault="008A5134" w:rsidP="00A518C8">
      <w:r w:rsidRPr="00620A0B">
        <w:t xml:space="preserve">Maksātnespējas politikas </w:t>
      </w:r>
      <w:r w:rsidRPr="00620A0B">
        <w:rPr>
          <w:b/>
        </w:rPr>
        <w:t>mērķis</w:t>
      </w:r>
      <w:r w:rsidRPr="00620A0B">
        <w:t xml:space="preserve"> ir veicināt finansiālās grūtībās nonākuša parādnieka saistību izpildi un, ja iespējams, maksātspējas atjaunošanu. Minētais maksātnespējas politikas mērķis aptver gan TAP, gan juridiskas personas maksātnespējas procesu, gan arī fiziskās personas maksātnespējas procesu, nosakot katram no šiem procesiem savus </w:t>
      </w:r>
      <w:r w:rsidRPr="00620A0B">
        <w:rPr>
          <w:b/>
        </w:rPr>
        <w:t>apakšmērķus</w:t>
      </w:r>
      <w:r w:rsidRPr="00620A0B">
        <w:t>:</w:t>
      </w:r>
    </w:p>
    <w:p w14:paraId="31E27550" w14:textId="79309F6D" w:rsidR="008A5134" w:rsidRPr="00620A0B" w:rsidRDefault="008A5134" w:rsidP="00A518C8">
      <w:r w:rsidRPr="00620A0B">
        <w:t>1)</w:t>
      </w:r>
      <w:r w:rsidR="00605ECD">
        <w:t> </w:t>
      </w:r>
      <w:r w:rsidRPr="00620A0B">
        <w:t>TAP politikas apakšmērķis ir veicināt dzīvotspējīgu uzņēmumu atgriešanos ekonomiskajā apritē, tādējādi nodrošinot kreditoru aizsardzību, ilgtermiņā iegūstot vairāk nekā maksātnespējas gadījumā;</w:t>
      </w:r>
    </w:p>
    <w:p w14:paraId="57BB59C6" w14:textId="5961161A" w:rsidR="008A5134" w:rsidRPr="00620A0B" w:rsidRDefault="008A5134" w:rsidP="00A518C8">
      <w:r w:rsidRPr="00620A0B">
        <w:t>2)</w:t>
      </w:r>
      <w:r w:rsidR="00605ECD">
        <w:t> </w:t>
      </w:r>
      <w:r w:rsidRPr="00620A0B">
        <w:t>juridiskās personas maksātnespējas procesa politikas apakšmērķis ir nodrošināt saistību maksimālu izpildi, kā arī ekonomiski vērtīgo aktīvu ātru atgriešanos ekonomikā, pēc iespējas pārdodot uzņēmumu kā kopumu gadījumos, kad TAP nav iespējams;</w:t>
      </w:r>
    </w:p>
    <w:p w14:paraId="5B14E396" w14:textId="74F50258" w:rsidR="00566D3E" w:rsidRPr="00620A0B" w:rsidRDefault="008A5134" w:rsidP="00A518C8">
      <w:r w:rsidRPr="00620A0B">
        <w:t>3)</w:t>
      </w:r>
      <w:r w:rsidR="00605ECD">
        <w:t> </w:t>
      </w:r>
      <w:r w:rsidRPr="00620A0B">
        <w:t xml:space="preserve">fiziskās personas maksātnespējas procesa politikas apakšmērķis ir dot labticīgai fiziskai personai jaunu iespēju/sākumu </w:t>
      </w:r>
      <w:r w:rsidR="00605ECD">
        <w:t>"</w:t>
      </w:r>
      <w:r w:rsidRPr="00523FE6">
        <w:rPr>
          <w:i/>
        </w:rPr>
        <w:t>fresh start</w:t>
      </w:r>
      <w:r w:rsidR="00605ECD">
        <w:t>"</w:t>
      </w:r>
      <w:r w:rsidRPr="00620A0B">
        <w:t xml:space="preserve"> un atbalstu, nonākot finansiālās grūtībās.</w:t>
      </w:r>
    </w:p>
    <w:p w14:paraId="56830C68" w14:textId="0798B976" w:rsidR="001A18FA" w:rsidRPr="00620A0B" w:rsidRDefault="001A18FA" w:rsidP="00A518C8">
      <w:r w:rsidRPr="00620A0B">
        <w:t xml:space="preserve">Lai sasniegtu </w:t>
      </w:r>
      <w:r w:rsidR="00157EB4">
        <w:t>p</w:t>
      </w:r>
      <w:r w:rsidRPr="00620A0B">
        <w:t xml:space="preserve">amatnostādnēs definēto maksātnespējas politikas mērķi, </w:t>
      </w:r>
      <w:r w:rsidR="00157EB4">
        <w:t>p</w:t>
      </w:r>
      <w:r w:rsidRPr="00620A0B">
        <w:t xml:space="preserve">amatnostādnēs ietverti konkrēti rādītāji un uzdevumi, kas strukturēti 4 savstarpēji saskaņotos un saistītos </w:t>
      </w:r>
      <w:r w:rsidRPr="00620A0B">
        <w:rPr>
          <w:b/>
        </w:rPr>
        <w:t>rīcības virzienos</w:t>
      </w:r>
      <w:r w:rsidRPr="00620A0B">
        <w:t>:</w:t>
      </w:r>
    </w:p>
    <w:p w14:paraId="7C7FC925" w14:textId="090FA1D6" w:rsidR="001A18FA" w:rsidRPr="00620A0B" w:rsidRDefault="001A18FA" w:rsidP="00A518C8">
      <w:r w:rsidRPr="00620A0B">
        <w:t>1)</w:t>
      </w:r>
      <w:r w:rsidR="00605ECD">
        <w:t> </w:t>
      </w:r>
      <w:r w:rsidRPr="00620A0B">
        <w:t>veicināt, ka uzņēmumi, izmantojot TAP mehānismus, atgūst maksātspēju;</w:t>
      </w:r>
    </w:p>
    <w:p w14:paraId="4D5488B3" w14:textId="37C04A89" w:rsidR="001A18FA" w:rsidRPr="00620A0B" w:rsidRDefault="001A18FA" w:rsidP="00A518C8">
      <w:r w:rsidRPr="00620A0B">
        <w:t>2)</w:t>
      </w:r>
      <w:r w:rsidR="00605ECD">
        <w:t> </w:t>
      </w:r>
      <w:r w:rsidRPr="00620A0B">
        <w:t>veicināt maksimālu kreditoru saistību apmierināšanu, kā arī ekonomiski vērtīgo aktīvu atgriešanos ekonomiskajā apritē;</w:t>
      </w:r>
    </w:p>
    <w:p w14:paraId="3F0D2966" w14:textId="66F841A9" w:rsidR="001A18FA" w:rsidRPr="00620A0B" w:rsidRDefault="001A18FA" w:rsidP="00A518C8">
      <w:r w:rsidRPr="00620A0B">
        <w:t>3)</w:t>
      </w:r>
      <w:r w:rsidR="00605ECD">
        <w:t> </w:t>
      </w:r>
      <w:r w:rsidRPr="00620A0B">
        <w:t>veicināt, ka fiziskās personas maksātnespējas process godprātīgam parādniekam nodrošina otro iespēju;</w:t>
      </w:r>
    </w:p>
    <w:p w14:paraId="593C1AF4" w14:textId="5CFBCCB4" w:rsidR="003A7157" w:rsidRPr="00620A0B" w:rsidRDefault="001A18FA" w:rsidP="00A518C8">
      <w:r w:rsidRPr="00620A0B">
        <w:t>4)</w:t>
      </w:r>
      <w:r w:rsidR="00605ECD">
        <w:t> </w:t>
      </w:r>
      <w:r w:rsidRPr="00620A0B">
        <w:t>veicināt, ka administratori ir kvalificēti un profesionāli speciālisti, kas efektīvi pilda savus pienākumus un rūpējas par profesijas prestižu.</w:t>
      </w:r>
    </w:p>
    <w:p w14:paraId="128D3536" w14:textId="77777777" w:rsidR="00AA0744" w:rsidRPr="00620A0B" w:rsidRDefault="00AA0744" w:rsidP="00A518C8"/>
    <w:p w14:paraId="5E2B3074" w14:textId="49616577" w:rsidR="00B7196F" w:rsidRPr="00620A0B" w:rsidRDefault="00AA0744" w:rsidP="00A518C8">
      <w:pPr>
        <w:pStyle w:val="Sarakstarindkopa"/>
        <w:ind w:left="0" w:firstLine="709"/>
        <w:rPr>
          <w:rFonts w:eastAsia="Times New Roman"/>
          <w:snapToGrid w:val="0"/>
          <w:szCs w:val="24"/>
        </w:rPr>
      </w:pPr>
      <w:r w:rsidRPr="00620A0B">
        <w:t xml:space="preserve">Saskaņā ar Ministru kabineta 2016. gada 21. septembra rīkojuma Nr. 527 </w:t>
      </w:r>
      <w:r w:rsidR="00605ECD">
        <w:t>"</w:t>
      </w:r>
      <w:r w:rsidRPr="00620A0B">
        <w:t>Par Maksātnespējas politikas attīstības pamatnostādnēm 2016.–2020. gadam un to īstenošanas plānu</w:t>
      </w:r>
      <w:r w:rsidR="00605ECD">
        <w:t>"</w:t>
      </w:r>
      <w:r w:rsidRPr="00620A0B">
        <w:t xml:space="preserve"> (prot. Nr. 44 30. §) </w:t>
      </w:r>
      <w:r w:rsidR="00F65A6F" w:rsidRPr="00620A0B">
        <w:t>5</w:t>
      </w:r>
      <w:r w:rsidRPr="00620A0B">
        <w:t>. punktu</w:t>
      </w:r>
      <w:r w:rsidR="007865D8" w:rsidRPr="00620A0B">
        <w:t xml:space="preserve"> </w:t>
      </w:r>
      <w:r w:rsidR="00157EB4">
        <w:t>TM</w:t>
      </w:r>
      <w:r w:rsidR="00F65A6F" w:rsidRPr="00620A0B">
        <w:t xml:space="preserve"> </w:t>
      </w:r>
      <w:r w:rsidR="007865D8" w:rsidRPr="00620A0B">
        <w:t xml:space="preserve">uzdots </w:t>
      </w:r>
      <w:r w:rsidR="00F65A6F" w:rsidRPr="00620A0B">
        <w:t>sagatavot un tieslietu ministram līdz 2018.</w:t>
      </w:r>
      <w:r w:rsidR="007865D8" w:rsidRPr="00620A0B">
        <w:t> </w:t>
      </w:r>
      <w:r w:rsidR="00F65A6F" w:rsidRPr="00620A0B">
        <w:t>gada 1.</w:t>
      </w:r>
      <w:r w:rsidR="007865D8" w:rsidRPr="00620A0B">
        <w:t> </w:t>
      </w:r>
      <w:r w:rsidR="00F65A6F" w:rsidRPr="00620A0B">
        <w:t>decembrim</w:t>
      </w:r>
      <w:r w:rsidR="00016E49" w:rsidRPr="00620A0B">
        <w:rPr>
          <w:rStyle w:val="Vresatsauce"/>
        </w:rPr>
        <w:footnoteReference w:id="3"/>
      </w:r>
      <w:r w:rsidR="00F65A6F" w:rsidRPr="00620A0B">
        <w:t xml:space="preserve"> iesniegt noteiktā kārtībā Ministru kabinetā pamatnostādņu un plāna īstenošanas starpposma novērtējumu par laikposmu no 2016.</w:t>
      </w:r>
      <w:r w:rsidR="007865D8" w:rsidRPr="00620A0B">
        <w:t> </w:t>
      </w:r>
      <w:r w:rsidR="00F65A6F" w:rsidRPr="00620A0B">
        <w:t>gada līdz 2017.</w:t>
      </w:r>
      <w:r w:rsidR="007865D8" w:rsidRPr="00620A0B">
        <w:t> </w:t>
      </w:r>
      <w:r w:rsidR="00F65A6F" w:rsidRPr="00620A0B">
        <w:t>gadam</w:t>
      </w:r>
      <w:r w:rsidR="007865D8" w:rsidRPr="00620A0B">
        <w:t xml:space="preserve"> (turpmāk – novērtējuma periods)</w:t>
      </w:r>
      <w:r w:rsidR="00F65A6F" w:rsidRPr="00620A0B">
        <w:t>.</w:t>
      </w:r>
    </w:p>
    <w:p w14:paraId="5EBBE878" w14:textId="77777777" w:rsidR="00383E54" w:rsidRPr="00620A0B" w:rsidRDefault="00383E54" w:rsidP="00A518C8"/>
    <w:p w14:paraId="30CEC23A" w14:textId="69B542C3" w:rsidR="00D15F10" w:rsidRPr="00620A0B" w:rsidRDefault="00D15F10" w:rsidP="00A518C8">
      <w:r w:rsidRPr="00620A0B">
        <w:t xml:space="preserve">Norādāms, ka </w:t>
      </w:r>
      <w:r w:rsidR="00F253E6">
        <w:t>p</w:t>
      </w:r>
      <w:r w:rsidRPr="00620A0B">
        <w:t xml:space="preserve">lāna pasākumi izriet no </w:t>
      </w:r>
      <w:r w:rsidR="00F253E6">
        <w:t>p</w:t>
      </w:r>
      <w:r w:rsidRPr="00620A0B">
        <w:t xml:space="preserve">amatnostādņu uzdevumiem. Līdz ar to informācija sniegta savstarpēji saistot </w:t>
      </w:r>
      <w:r w:rsidR="00F253E6">
        <w:t>p</w:t>
      </w:r>
      <w:r w:rsidRPr="00620A0B">
        <w:t xml:space="preserve">amatnostādņu uzdevumus ar attiecīgajiem </w:t>
      </w:r>
      <w:r w:rsidR="00F253E6">
        <w:t>p</w:t>
      </w:r>
      <w:r w:rsidRPr="00620A0B">
        <w:t xml:space="preserve">lāna pasākumiem. Uztveramības labad šajā </w:t>
      </w:r>
      <w:r w:rsidR="00B6059C">
        <w:t xml:space="preserve">informatīvajā </w:t>
      </w:r>
      <w:r w:rsidRPr="00620A0B">
        <w:t xml:space="preserve">ziņojumā iekļautas atsauces uz attiecīgajiem </w:t>
      </w:r>
      <w:r w:rsidR="00F253E6">
        <w:t>p</w:t>
      </w:r>
      <w:r w:rsidRPr="00620A0B">
        <w:t xml:space="preserve">amatnostādņu uzdevumiem, tomēr izvērsts izklāsts sniegts </w:t>
      </w:r>
      <w:r w:rsidR="00B6412D" w:rsidRPr="00620A0B">
        <w:t xml:space="preserve">tikai </w:t>
      </w:r>
      <w:r w:rsidRPr="00620A0B">
        <w:t xml:space="preserve">par </w:t>
      </w:r>
      <w:r w:rsidR="00F253E6">
        <w:t>p</w:t>
      </w:r>
      <w:r w:rsidRPr="00620A0B">
        <w:t>lāna pasākumiem.</w:t>
      </w:r>
    </w:p>
    <w:p w14:paraId="663A1A10" w14:textId="2BFF053A" w:rsidR="007F7493" w:rsidRPr="00620A0B" w:rsidRDefault="00D15F10" w:rsidP="00A518C8">
      <w:r w:rsidRPr="00620A0B">
        <w:t>No</w:t>
      </w:r>
      <w:r w:rsidR="00A05A55" w:rsidRPr="00620A0B">
        <w:t xml:space="preserve">vērtējuma periodā </w:t>
      </w:r>
      <w:r w:rsidR="00756E3D" w:rsidRPr="00620A0B">
        <w:t xml:space="preserve">izpildes termiņš iestājās </w:t>
      </w:r>
      <w:r w:rsidR="00713F82" w:rsidRPr="00620A0B">
        <w:t>24</w:t>
      </w:r>
      <w:r w:rsidR="00FB202C" w:rsidRPr="00620A0B">
        <w:t> </w:t>
      </w:r>
      <w:r w:rsidR="00F253E6">
        <w:t>p</w:t>
      </w:r>
      <w:r w:rsidR="00756E3D" w:rsidRPr="00620A0B">
        <w:t>lāna pasākumiem</w:t>
      </w:r>
      <w:r w:rsidRPr="00620A0B">
        <w:t xml:space="preserve">, savukārt regulāra izpilde noteikta </w:t>
      </w:r>
      <w:r w:rsidR="00713F82" w:rsidRPr="00620A0B">
        <w:t>7</w:t>
      </w:r>
      <w:r w:rsidRPr="00620A0B">
        <w:t> </w:t>
      </w:r>
      <w:r w:rsidR="00F253E6">
        <w:t>p</w:t>
      </w:r>
      <w:r w:rsidRPr="00620A0B">
        <w:t>lāna pasākumiem</w:t>
      </w:r>
      <w:r w:rsidR="00756E3D" w:rsidRPr="00620A0B">
        <w:t xml:space="preserve">. </w:t>
      </w:r>
      <w:r w:rsidR="00B6412D" w:rsidRPr="00620A0B">
        <w:t>Pilnībā izpildīts 21</w:t>
      </w:r>
      <w:r w:rsidR="00FB202C" w:rsidRPr="00620A0B">
        <w:t> </w:t>
      </w:r>
      <w:r w:rsidR="00C746AA">
        <w:t>p</w:t>
      </w:r>
      <w:r w:rsidR="002A01A1" w:rsidRPr="00620A0B">
        <w:t>lāna pasākum</w:t>
      </w:r>
      <w:r w:rsidR="00B6412D" w:rsidRPr="00620A0B">
        <w:t>s</w:t>
      </w:r>
      <w:r w:rsidR="002A01A1" w:rsidRPr="00620A0B">
        <w:t xml:space="preserve">, bet </w:t>
      </w:r>
      <w:r w:rsidR="00B6412D" w:rsidRPr="00620A0B">
        <w:t>3</w:t>
      </w:r>
      <w:r w:rsidR="00766185" w:rsidRPr="00620A0B">
        <w:t> </w:t>
      </w:r>
      <w:r w:rsidR="00C746AA">
        <w:t>p</w:t>
      </w:r>
      <w:r w:rsidR="00766185" w:rsidRPr="00620A0B">
        <w:t xml:space="preserve">lāna </w:t>
      </w:r>
      <w:r w:rsidR="00974C5C" w:rsidRPr="00620A0B">
        <w:t>pasākum</w:t>
      </w:r>
      <w:r w:rsidR="00B6412D" w:rsidRPr="00620A0B">
        <w:t>u</w:t>
      </w:r>
      <w:r w:rsidR="00974C5C" w:rsidRPr="00620A0B">
        <w:t xml:space="preserve"> </w:t>
      </w:r>
      <w:r w:rsidR="002A01A1" w:rsidRPr="00620A0B">
        <w:t>izpilde</w:t>
      </w:r>
      <w:r w:rsidR="00B6412D" w:rsidRPr="00620A0B">
        <w:t>i atbildīgā un līdzatbildīgā institūcija ir veikusi nepieciešamās</w:t>
      </w:r>
      <w:r w:rsidR="003B32B8" w:rsidRPr="00620A0B">
        <w:t xml:space="preserve"> darbības, tomēr no tām neatkarīgu apstākļu dēļ </w:t>
      </w:r>
      <w:r w:rsidR="005522AB" w:rsidRPr="00620A0B">
        <w:t>galarezultāts</w:t>
      </w:r>
      <w:r w:rsidR="003B32B8" w:rsidRPr="00620A0B">
        <w:t xml:space="preserve"> nav </w:t>
      </w:r>
      <w:r w:rsidR="005522AB" w:rsidRPr="00620A0B">
        <w:t>sasniegts</w:t>
      </w:r>
      <w:r w:rsidR="002A01A1" w:rsidRPr="00620A0B">
        <w:t>.</w:t>
      </w:r>
      <w:r w:rsidR="005522AB" w:rsidRPr="00620A0B">
        <w:t xml:space="preserve"> </w:t>
      </w:r>
      <w:r w:rsidR="004A7A11" w:rsidRPr="00620A0B">
        <w:t xml:space="preserve">Tāpat novērtējuma periodā veiktas aktivitātes </w:t>
      </w:r>
      <w:r w:rsidR="007F7493" w:rsidRPr="00620A0B">
        <w:t xml:space="preserve">regulāri pildāmo </w:t>
      </w:r>
      <w:r w:rsidR="00C746AA">
        <w:t>p</w:t>
      </w:r>
      <w:r w:rsidR="004A7A11" w:rsidRPr="00620A0B">
        <w:t>lāna pasākumu kontekstā.</w:t>
      </w:r>
      <w:r w:rsidR="00474C43" w:rsidRPr="00620A0B">
        <w:t xml:space="preserve"> </w:t>
      </w:r>
    </w:p>
    <w:p w14:paraId="117876C1" w14:textId="31090FB7" w:rsidR="00A05A55" w:rsidRPr="00620A0B" w:rsidRDefault="00A11E1F" w:rsidP="00A518C8">
      <w:r w:rsidRPr="00620A0B">
        <w:t xml:space="preserve">Papildus norādāms, ka </w:t>
      </w:r>
      <w:r w:rsidR="001E4BBE" w:rsidRPr="00620A0B">
        <w:t>novērtējuma periodā</w:t>
      </w:r>
      <w:r w:rsidR="00647345" w:rsidRPr="00620A0B">
        <w:t xml:space="preserve"> </w:t>
      </w:r>
      <w:r w:rsidR="00A00312" w:rsidRPr="00620A0B">
        <w:t xml:space="preserve">veiktas aktivitātes, lai nodrošinātu </w:t>
      </w:r>
      <w:r w:rsidR="00482222" w:rsidRPr="00620A0B">
        <w:t xml:space="preserve">vēl </w:t>
      </w:r>
      <w:r w:rsidR="003B556C" w:rsidRPr="00620A0B">
        <w:t>5</w:t>
      </w:r>
      <w:r w:rsidR="00FB202C" w:rsidRPr="00620A0B">
        <w:t> </w:t>
      </w:r>
      <w:r w:rsidR="00C746AA">
        <w:t>p</w:t>
      </w:r>
      <w:r w:rsidR="00A00312" w:rsidRPr="00620A0B">
        <w:t>lāna pasākumu</w:t>
      </w:r>
      <w:r w:rsidR="001624BA" w:rsidRPr="00620A0B">
        <w:t xml:space="preserve">, kuru izpildes termiņš neietilpst novērtējuma periodā, </w:t>
      </w:r>
      <w:r w:rsidR="00482222" w:rsidRPr="00620A0B">
        <w:t>izpildi</w:t>
      </w:r>
      <w:r w:rsidR="001624BA" w:rsidRPr="00620A0B">
        <w:t>.</w:t>
      </w:r>
      <w:r w:rsidR="00482222" w:rsidRPr="00620A0B">
        <w:t xml:space="preserve"> T</w:t>
      </w:r>
      <w:r w:rsidR="00330076" w:rsidRPr="00620A0B">
        <w:t xml:space="preserve">urklāt </w:t>
      </w:r>
      <w:r w:rsidR="003B556C" w:rsidRPr="00620A0B">
        <w:t>2</w:t>
      </w:r>
      <w:r w:rsidR="005369FC" w:rsidRPr="00620A0B">
        <w:t> </w:t>
      </w:r>
      <w:r w:rsidR="00C746AA">
        <w:t>p</w:t>
      </w:r>
      <w:r w:rsidR="00482222" w:rsidRPr="00620A0B">
        <w:t>lāna pasākum</w:t>
      </w:r>
      <w:r w:rsidR="003B556C" w:rsidRPr="00620A0B">
        <w:t>i</w:t>
      </w:r>
      <w:r w:rsidR="00330076" w:rsidRPr="00620A0B">
        <w:t>, kur</w:t>
      </w:r>
      <w:r w:rsidR="009A285C" w:rsidRPr="00620A0B">
        <w:t>u</w:t>
      </w:r>
      <w:r w:rsidR="00330076" w:rsidRPr="00620A0B">
        <w:t xml:space="preserve"> izpildes termiņš neietilpst novērtējuma periodā, jau ir izpildīt</w:t>
      </w:r>
      <w:r w:rsidR="009A285C" w:rsidRPr="00620A0B">
        <w:t>i</w:t>
      </w:r>
      <w:r w:rsidR="00330076" w:rsidRPr="00620A0B">
        <w:t>.</w:t>
      </w:r>
    </w:p>
    <w:p w14:paraId="3DA032E9" w14:textId="56999C42" w:rsidR="00383E54" w:rsidRPr="00620A0B" w:rsidRDefault="00383E54" w:rsidP="00A518C8"/>
    <w:p w14:paraId="57B8BA8E" w14:textId="43ACAB88" w:rsidR="00045509" w:rsidRPr="00620A0B" w:rsidRDefault="00045509" w:rsidP="00A518C8">
      <w:r w:rsidRPr="00620A0B">
        <w:t xml:space="preserve">Kopumā </w:t>
      </w:r>
      <w:r w:rsidR="00C746AA">
        <w:t>p</w:t>
      </w:r>
      <w:r w:rsidRPr="00620A0B">
        <w:t>amatnostādnēs starp 4 politikas rezultātiem sadalīti 12 rezultatīvie rādītāji, no kuriem 3 rezultatīvie rādītāji vērtējami vairāku gadu griezumā.</w:t>
      </w:r>
    </w:p>
    <w:p w14:paraId="64D9BA2B" w14:textId="0BEFE105" w:rsidR="00045509" w:rsidRPr="00620A0B" w:rsidRDefault="00045509" w:rsidP="00A518C8">
      <w:r w:rsidRPr="00620A0B">
        <w:t xml:space="preserve">2016. gadā 1 rezultatīvais rādītājs sasniegts atbilstoši plānotajam, 3 rezultatīvie rādītāji netika sasniegti, bet 5 rezultatīvie rādītāji pārsniegti. Savukārt 2017. gadā </w:t>
      </w:r>
      <w:r w:rsidRPr="00EA409B">
        <w:rPr>
          <w:color w:val="000000" w:themeColor="text1"/>
        </w:rPr>
        <w:t xml:space="preserve">1 rezultatīvais rādītājs sasniegts </w:t>
      </w:r>
      <w:r w:rsidRPr="00620A0B">
        <w:t>atbilstoši plānotajam, 3 rezultatīvie rādītāji netika sasniegti, bet</w:t>
      </w:r>
      <w:r w:rsidR="00EA409B">
        <w:t xml:space="preserve"> 5</w:t>
      </w:r>
      <w:r w:rsidRPr="00620A0B">
        <w:t> rezultatīvie rādītāji pārsniegti. No vairāku gadu griezumā vērtējamiem rezultatīvajiem rādītājiem 1 rezultatīvais rādītājs ir pārsniegts, bet 2 rezultatīvie rādītāji – nav sasniegti.</w:t>
      </w:r>
    </w:p>
    <w:p w14:paraId="74CBF5E3" w14:textId="77777777" w:rsidR="00FD1507" w:rsidRPr="00620A0B" w:rsidRDefault="00FD1507" w:rsidP="00A518C8"/>
    <w:p w14:paraId="3E3A1F7A" w14:textId="7D9C503B" w:rsidR="00D15F10" w:rsidRPr="00620A0B" w:rsidRDefault="007F7493" w:rsidP="00A518C8">
      <w:r w:rsidRPr="00620A0B">
        <w:t>Ņemot vērā šajā informatīvajā ziņojumā iekļaut</w:t>
      </w:r>
      <w:r w:rsidR="00252B80" w:rsidRPr="00620A0B">
        <w:t xml:space="preserve">o informāciju, secināms, ka </w:t>
      </w:r>
      <w:r w:rsidR="00CD08C6">
        <w:t>p</w:t>
      </w:r>
      <w:r w:rsidR="0014700B" w:rsidRPr="00620A0B">
        <w:t xml:space="preserve">amatnostādnes un </w:t>
      </w:r>
      <w:r w:rsidR="00CD08C6">
        <w:t>p</w:t>
      </w:r>
      <w:r w:rsidR="0014700B" w:rsidRPr="00620A0B">
        <w:t>lānu jāturpina īstenot</w:t>
      </w:r>
      <w:r w:rsidR="00287E82" w:rsidRPr="00620A0B">
        <w:t xml:space="preserve"> jau iecerētajā virzienā, turpmāk </w:t>
      </w:r>
      <w:r w:rsidR="006B0619" w:rsidRPr="00620A0B">
        <w:t xml:space="preserve">galvenokārt </w:t>
      </w:r>
      <w:r w:rsidR="00287E82" w:rsidRPr="00620A0B">
        <w:t xml:space="preserve">fokusējoties uz </w:t>
      </w:r>
      <w:r w:rsidR="006B0619" w:rsidRPr="00620A0B">
        <w:t>otro iespēju fiziskām un juridiskām personām</w:t>
      </w:r>
      <w:r w:rsidR="0014700B" w:rsidRPr="00620A0B">
        <w:t>. Vienlaikus, ņemot vērā ārējos faktorus</w:t>
      </w:r>
      <w:r w:rsidR="00893F6A" w:rsidRPr="00620A0B">
        <w:t xml:space="preserve">,– </w:t>
      </w:r>
      <w:r w:rsidR="00CD08C6">
        <w:t>p</w:t>
      </w:r>
      <w:r w:rsidR="00893F6A" w:rsidRPr="00620A0B">
        <w:t>lān</w:t>
      </w:r>
      <w:r w:rsidR="006B0619" w:rsidRPr="00620A0B">
        <w:t>a</w:t>
      </w:r>
      <w:r w:rsidR="00893F6A" w:rsidRPr="00620A0B">
        <w:t xml:space="preserve"> darbības termiņ</w:t>
      </w:r>
      <w:r w:rsidR="00BB1F83">
        <w:t>š un tajā ietvert</w:t>
      </w:r>
      <w:r w:rsidR="00865B0E">
        <w:t>ie pasākumi un to izpildes termiņi</w:t>
      </w:r>
      <w:r w:rsidR="00893F6A" w:rsidRPr="00620A0B">
        <w:t xml:space="preserve"> </w:t>
      </w:r>
      <w:r w:rsidR="00252B80" w:rsidRPr="00620A0B">
        <w:t xml:space="preserve">būtu </w:t>
      </w:r>
      <w:r w:rsidR="00893F6A" w:rsidRPr="00620A0B">
        <w:t>jāpārskata</w:t>
      </w:r>
      <w:r w:rsidR="00BA72C5" w:rsidRPr="00620A0B">
        <w:t xml:space="preserve">, papildus pārskatot arī </w:t>
      </w:r>
      <w:r w:rsidR="00CD08C6">
        <w:t>p</w:t>
      </w:r>
      <w:r w:rsidR="00BA72C5" w:rsidRPr="00620A0B">
        <w:t>amatnostādņu rezultatīvos rādītājus un to iegūšanas metodoloģiju.</w:t>
      </w:r>
    </w:p>
    <w:p w14:paraId="7955FEFD" w14:textId="545B0378" w:rsidR="00F21992" w:rsidRPr="00620A0B" w:rsidRDefault="00F21992" w:rsidP="00A518C8">
      <w:r w:rsidRPr="00620A0B">
        <w:br w:type="page"/>
      </w:r>
    </w:p>
    <w:p w14:paraId="247D2B47" w14:textId="6786E16D" w:rsidR="000F678F" w:rsidRPr="00620A0B" w:rsidRDefault="000F678F" w:rsidP="00A518C8">
      <w:pPr>
        <w:pStyle w:val="Virsraksts1"/>
        <w:ind w:firstLine="0"/>
      </w:pPr>
      <w:bookmarkStart w:id="2" w:name="_Toc13817864"/>
      <w:r w:rsidRPr="00620A0B">
        <w:lastRenderedPageBreak/>
        <w:t>2. </w:t>
      </w:r>
      <w:r w:rsidR="00A517DC" w:rsidRPr="00620A0B">
        <w:t xml:space="preserve">Vispārīga informācija par </w:t>
      </w:r>
      <w:r w:rsidR="000B0C9A">
        <w:t>p</w:t>
      </w:r>
      <w:r w:rsidR="00A517DC" w:rsidRPr="00620A0B">
        <w:t xml:space="preserve">amatnostādņu un </w:t>
      </w:r>
      <w:r w:rsidR="000B0C9A">
        <w:t>p</w:t>
      </w:r>
      <w:r w:rsidR="00A517DC" w:rsidRPr="00620A0B">
        <w:t xml:space="preserve">lāna </w:t>
      </w:r>
      <w:r w:rsidR="002213D0" w:rsidRPr="00620A0B">
        <w:t>ietekmi</w:t>
      </w:r>
      <w:bookmarkEnd w:id="2"/>
    </w:p>
    <w:p w14:paraId="70F2033B" w14:textId="77777777" w:rsidR="000F678F" w:rsidRPr="00620A0B" w:rsidRDefault="000F678F" w:rsidP="00A518C8"/>
    <w:p w14:paraId="64F8996B" w14:textId="304C4038" w:rsidR="008029EE" w:rsidRDefault="00685910" w:rsidP="00A518C8">
      <w:r w:rsidRPr="0021295A">
        <w:t xml:space="preserve">Pamatnostādnes un </w:t>
      </w:r>
      <w:r w:rsidR="000B0C9A">
        <w:t>p</w:t>
      </w:r>
      <w:r w:rsidRPr="0021295A">
        <w:t xml:space="preserve">lāns </w:t>
      </w:r>
      <w:r w:rsidR="00040D6F" w:rsidRPr="0021295A">
        <w:t xml:space="preserve">ir </w:t>
      </w:r>
      <w:r w:rsidR="00040D6F" w:rsidRPr="00231CC2">
        <w:t>vērst</w:t>
      </w:r>
      <w:r w:rsidR="00B6059C" w:rsidRPr="00CC03F2">
        <w:t>i</w:t>
      </w:r>
      <w:r w:rsidR="00040D6F" w:rsidRPr="0021295A">
        <w:t xml:space="preserve"> arī uz </w:t>
      </w:r>
      <w:r w:rsidR="00040D6F" w:rsidRPr="0021295A">
        <w:rPr>
          <w:b/>
        </w:rPr>
        <w:t>makroekonomiskās vides</w:t>
      </w:r>
      <w:r w:rsidR="00040D6F" w:rsidRPr="0021295A">
        <w:t xml:space="preserve"> uzlabošanu. </w:t>
      </w:r>
      <w:r w:rsidR="008029EE">
        <w:t>Būtiski uzsvērt, ka maksātnespējas process ir virknes neveiksmīgu vai neprasmīgu rīcību sekas, kā rezultātā tas nevar radīt tiešu un būtisku ietekmi uz galvenajiem makroekonomiskajiem rādītājiem.</w:t>
      </w:r>
      <w:r w:rsidR="00A71231">
        <w:t xml:space="preserve"> Tomēr nav šaubu, ka maksātnespējas procesa norise var radīt un rada netiešu ietekmi, jo tieši no tā, cik savlaicīgs un efektīvs ir bijis maksātnespējas process, ir atkarīgs to aktīvu apmērs, k</w:t>
      </w:r>
      <w:r w:rsidR="00267877">
        <w:t xml:space="preserve">o atgriež ekonomiskajā apritē. </w:t>
      </w:r>
      <w:r w:rsidR="00224EDB">
        <w:t xml:space="preserve">Līdzīgi arī </w:t>
      </w:r>
      <w:r w:rsidR="00F30ADD">
        <w:t>TAP</w:t>
      </w:r>
      <w:r w:rsidR="00224EDB">
        <w:t xml:space="preserve"> gadījumā, ar kura starpniecību vēl vairāk kā maksātnespējas procesa ietvaros iespējams nodrošināt aktīvu apriti, turklāt </w:t>
      </w:r>
      <w:r w:rsidR="00E11FEC">
        <w:t>atšķirībā no maksātnespējas procesa – lielāka iespējamība, ka aktīvu apgrozība notiek ilgtermiņā.</w:t>
      </w:r>
    </w:p>
    <w:p w14:paraId="4BD0928D" w14:textId="1120D745" w:rsidR="00C25397" w:rsidRDefault="00040D6F" w:rsidP="00A518C8">
      <w:r w:rsidRPr="0021295A">
        <w:t>Novērtējuma periodā īstenotie uzdevumi un pasākumi rada netiešu, bet pozitīvu ietekmi</w:t>
      </w:r>
      <w:r w:rsidR="00103898" w:rsidRPr="0021295A">
        <w:t xml:space="preserve"> līdz ar administratoru profesijas reformas īstenošanu. Ar to nodrošināt</w:t>
      </w:r>
      <w:r w:rsidR="0021295A">
        <w:t xml:space="preserve">i pirmie pasākumi ceļā uz </w:t>
      </w:r>
      <w:r w:rsidR="00C25397">
        <w:t xml:space="preserve">maksimāli </w:t>
      </w:r>
      <w:r w:rsidR="00103898" w:rsidRPr="0021295A">
        <w:t>profesionāl</w:t>
      </w:r>
      <w:r w:rsidR="00C25397">
        <w:t>u</w:t>
      </w:r>
      <w:r w:rsidR="00B325EE" w:rsidRPr="0021295A">
        <w:t>, godprātīg</w:t>
      </w:r>
      <w:r w:rsidR="00C25397">
        <w:t>u</w:t>
      </w:r>
      <w:r w:rsidR="00B325EE" w:rsidRPr="0021295A">
        <w:t xml:space="preserve"> un caurskatām</w:t>
      </w:r>
      <w:r w:rsidR="00C25397">
        <w:t>u</w:t>
      </w:r>
      <w:r w:rsidR="00B325EE" w:rsidRPr="0021295A">
        <w:t xml:space="preserve"> maksātnespējas procesu administrēšan</w:t>
      </w:r>
      <w:r w:rsidR="00C25397">
        <w:t>u</w:t>
      </w:r>
      <w:r w:rsidR="0011471E">
        <w:t>, lai pastarpināti nodrošinātu pēc iespējas vairāk aktīvu atgriešanos ekonomiskajā apritē</w:t>
      </w:r>
      <w:r w:rsidR="00FA7907" w:rsidRPr="0021295A">
        <w:t xml:space="preserve">. </w:t>
      </w:r>
    </w:p>
    <w:p w14:paraId="6C4EC852" w14:textId="7848824D" w:rsidR="00C7695B" w:rsidRPr="00ED0851" w:rsidRDefault="00267877" w:rsidP="00A518C8">
      <w:r>
        <w:t>P</w:t>
      </w:r>
      <w:r w:rsidR="00ED0851" w:rsidRPr="00ED0851">
        <w:t>am</w:t>
      </w:r>
      <w:r w:rsidR="00ED0851">
        <w:t xml:space="preserve">atnostādņu un </w:t>
      </w:r>
      <w:r w:rsidR="000B0C9A">
        <w:t>p</w:t>
      </w:r>
      <w:r w:rsidR="00ED0851">
        <w:t xml:space="preserve">lāna īstenošanai ir pozitīva ietekme uz </w:t>
      </w:r>
      <w:r w:rsidR="00ED0851" w:rsidRPr="00ED0851">
        <w:rPr>
          <w:b/>
        </w:rPr>
        <w:t>uzņēmējdarbības vidi</w:t>
      </w:r>
      <w:r w:rsidR="00ED0851">
        <w:t>.</w:t>
      </w:r>
    </w:p>
    <w:p w14:paraId="1D79A918" w14:textId="1E7CEB42" w:rsidR="00C7695B" w:rsidRDefault="0019179A" w:rsidP="00A518C8">
      <w:r>
        <w:t>Pēdējos gados maksātnespējas jomā v</w:t>
      </w:r>
      <w:r w:rsidRPr="0019179A">
        <w:t xml:space="preserve">eiktās </w:t>
      </w:r>
      <w:r>
        <w:t xml:space="preserve">reformas, tai skaitā īstenojot </w:t>
      </w:r>
      <w:r w:rsidR="000B0C9A">
        <w:t>p</w:t>
      </w:r>
      <w:r>
        <w:t xml:space="preserve">amatnostādnes un </w:t>
      </w:r>
      <w:r w:rsidR="000B0C9A">
        <w:t>p</w:t>
      </w:r>
      <w:r>
        <w:t xml:space="preserve">lānu, </w:t>
      </w:r>
      <w:r w:rsidR="007552B1">
        <w:t>tiek pozitīvi novērtētas arī uzņēmēju vidū. Ārvalstu investoru padome Latvijā 201</w:t>
      </w:r>
      <w:r w:rsidR="007A0C57">
        <w:t>9</w:t>
      </w:r>
      <w:r w:rsidR="007552B1">
        <w:t xml:space="preserve">. gada </w:t>
      </w:r>
      <w:r w:rsidR="007A0C57">
        <w:t xml:space="preserve">sākumā publicēja </w:t>
      </w:r>
      <w:r w:rsidR="001A369B">
        <w:t>"</w:t>
      </w:r>
      <w:r w:rsidR="007A0C57">
        <w:t>FICIL Ārvalstu investīciju vides indekss 2015. – 2018. gadā</w:t>
      </w:r>
      <w:r w:rsidR="001A369B">
        <w:t>"</w:t>
      </w:r>
      <w:r w:rsidR="00DC4DE3">
        <w:rPr>
          <w:rStyle w:val="Vresatsauce"/>
        </w:rPr>
        <w:footnoteReference w:id="4"/>
      </w:r>
      <w:r w:rsidR="007A0C57">
        <w:t xml:space="preserve">, kas ir ārvalstu investoru vērtējums par investīciju </w:t>
      </w:r>
      <w:r w:rsidR="003C0F81">
        <w:t xml:space="preserve">klimata attīstību Latvijā. Vērtējuma ietvaros </w:t>
      </w:r>
      <w:r w:rsidR="00F42DD4">
        <w:t xml:space="preserve">ārvalstu investori </w:t>
      </w:r>
      <w:r w:rsidR="00130C82">
        <w:t xml:space="preserve">progresu maksātnespējas administrācijas jomās novērtēja kā vienu no labākajiem lēmumiem vai politikas iniciatīvām, ko Latvijas valdība ieviesusi pēdējo piecu gadu laikā. </w:t>
      </w:r>
    </w:p>
    <w:p w14:paraId="39CB059F" w14:textId="1E1771F1" w:rsidR="002C2410" w:rsidRDefault="002C2410" w:rsidP="00A518C8">
      <w:r>
        <w:t xml:space="preserve">Atsevišķi </w:t>
      </w:r>
      <w:r w:rsidR="00FE53EA">
        <w:t>p</w:t>
      </w:r>
      <w:r>
        <w:t xml:space="preserve">amatnostādņu uzdevumi un </w:t>
      </w:r>
      <w:r w:rsidR="00FE53EA">
        <w:t>p</w:t>
      </w:r>
      <w:r>
        <w:t>lāna pasākumi</w:t>
      </w:r>
      <w:r w:rsidR="00407C93">
        <w:t xml:space="preserve"> ir radījuši papildu </w:t>
      </w:r>
      <w:r w:rsidR="00407C93" w:rsidRPr="007346C4">
        <w:rPr>
          <w:b/>
        </w:rPr>
        <w:t>administratīvo slogu</w:t>
      </w:r>
      <w:r w:rsidR="00407C93">
        <w:t xml:space="preserve">. </w:t>
      </w:r>
      <w:r w:rsidR="0008308D">
        <w:t>Piemēram,</w:t>
      </w:r>
      <w:r w:rsidR="00407C93">
        <w:t xml:space="preserve"> </w:t>
      </w:r>
      <w:r w:rsidR="00FE53EA">
        <w:t>p</w:t>
      </w:r>
      <w:r w:rsidR="00407C93">
        <w:t>lāna pasākumi, kas vērsti uz administratoru profesijas reformas pabeigšanu</w:t>
      </w:r>
      <w:r w:rsidR="00BF5B32">
        <w:t>,</w:t>
      </w:r>
      <w:r w:rsidR="00407C93">
        <w:t xml:space="preserve"> ir palielinājuši </w:t>
      </w:r>
      <w:r w:rsidR="000521DE">
        <w:t xml:space="preserve">administratīvo </w:t>
      </w:r>
      <w:r w:rsidR="00407C93">
        <w:t>slogu administratoriem</w:t>
      </w:r>
      <w:r w:rsidR="0008308D">
        <w:t xml:space="preserve">. </w:t>
      </w:r>
      <w:r w:rsidR="007D24DF">
        <w:t>A</w:t>
      </w:r>
      <w:r w:rsidR="00BF5B32">
        <w:t>dministratoriem</w:t>
      </w:r>
      <w:r w:rsidR="007D24DF">
        <w:t>, tāpat kā iepriekš, regulāri</w:t>
      </w:r>
      <w:r w:rsidR="00BF5B32">
        <w:t xml:space="preserve"> ir jāapliecina sav</w:t>
      </w:r>
      <w:r w:rsidR="007D24DF">
        <w:t>a kvalifikācija, tomēr kopš 2017. gada sākuma</w:t>
      </w:r>
      <w:r w:rsidR="00E221B8">
        <w:t xml:space="preserve"> tā ir kļuvusi komplicētāka – </w:t>
      </w:r>
      <w:r w:rsidR="00A95A51">
        <w:t>reizi divos gados administratoram</w:t>
      </w:r>
      <w:r w:rsidR="00E221B8">
        <w:t xml:space="preserve"> ir jākārto kvalifikācijas eksāmens</w:t>
      </w:r>
      <w:r w:rsidR="002607D9">
        <w:t>, kas uzliek papildu slogu administratoram, piesakoties un piedaloties kvalifikācijas eksāmenā</w:t>
      </w:r>
      <w:r w:rsidR="007B1EC4">
        <w:t xml:space="preserve">. Minētais jauninājums rada tiešu (MKD nodrošina </w:t>
      </w:r>
      <w:r w:rsidR="001C450A">
        <w:t>eksaminācijas komisijas darbu)</w:t>
      </w:r>
      <w:r w:rsidR="007B1EC4">
        <w:t xml:space="preserve"> un netiešu </w:t>
      </w:r>
      <w:r w:rsidR="001C450A">
        <w:t>(</w:t>
      </w:r>
      <w:r w:rsidR="00F84C3A">
        <w:t xml:space="preserve">kvalifikācijas eksāmenu pieņem eksaminācijas komisija, kas ir </w:t>
      </w:r>
      <w:r w:rsidR="0007073F">
        <w:t xml:space="preserve">neatkarīga </w:t>
      </w:r>
      <w:r w:rsidR="007346C4">
        <w:t xml:space="preserve">institūcija) </w:t>
      </w:r>
      <w:r w:rsidR="007B1EC4">
        <w:t>slogu arī valstij.</w:t>
      </w:r>
      <w:r w:rsidR="007346C4">
        <w:t xml:space="preserve"> Tomēr papildu administratīvais slogs ir attaisnojams, tā kā </w:t>
      </w:r>
      <w:r w:rsidR="00A95A51">
        <w:t xml:space="preserve">pastiprināta kvalifikācijas pārbaude ļauj pārliecināties par </w:t>
      </w:r>
      <w:r w:rsidR="003B579D">
        <w:t>administratora spējām kvalitatīvi un efektīvi administrēt maksātnespējas procesus.</w:t>
      </w:r>
      <w:r w:rsidR="00465931">
        <w:t xml:space="preserve"> </w:t>
      </w:r>
      <w:r w:rsidR="004278D9">
        <w:t xml:space="preserve">Administratīvais slogs nerada </w:t>
      </w:r>
      <w:r w:rsidR="004278D9" w:rsidRPr="009F3D61">
        <w:rPr>
          <w:b/>
        </w:rPr>
        <w:t>izmaksas</w:t>
      </w:r>
      <w:r w:rsidR="004278D9">
        <w:t xml:space="preserve"> valstij, bet rada</w:t>
      </w:r>
      <w:r w:rsidR="007E032E">
        <w:t xml:space="preserve"> tās</w:t>
      </w:r>
      <w:r w:rsidR="004278D9">
        <w:t xml:space="preserve"> </w:t>
      </w:r>
      <w:r w:rsidR="009769F9">
        <w:t xml:space="preserve">administratoram, tā kā </w:t>
      </w:r>
      <w:r w:rsidR="005516F0">
        <w:t>dalība</w:t>
      </w:r>
      <w:r w:rsidR="009769F9">
        <w:t xml:space="preserve"> kvalifikācija eksāmen</w:t>
      </w:r>
      <w:r w:rsidR="005516F0">
        <w:t>ā</w:t>
      </w:r>
      <w:r w:rsidR="00F510D0">
        <w:t xml:space="preserve"> </w:t>
      </w:r>
      <w:r w:rsidR="005516F0">
        <w:t>ir maksas pakalpojums, par ko jāveic samaksa 150 </w:t>
      </w:r>
      <w:r w:rsidR="005516F0">
        <w:rPr>
          <w:i/>
        </w:rPr>
        <w:t>euro</w:t>
      </w:r>
      <w:r w:rsidR="005516F0">
        <w:rPr>
          <w:rStyle w:val="Vresatsauce"/>
          <w:i/>
        </w:rPr>
        <w:footnoteReference w:id="5"/>
      </w:r>
      <w:r w:rsidR="005516F0">
        <w:t xml:space="preserve"> apmērā.</w:t>
      </w:r>
    </w:p>
    <w:p w14:paraId="146FDF3A" w14:textId="3F364AC1" w:rsidR="00C31DDD" w:rsidRDefault="00916570" w:rsidP="00A518C8">
      <w:r>
        <w:t xml:space="preserve">Papildus norādāms, ka novērtējuma periodā, stājoties spēkā grozījumiem Maksātnespējas likumā, uzraugošajām personām un administratoriem </w:t>
      </w:r>
      <w:r w:rsidR="00AE4836">
        <w:t xml:space="preserve">skaidri definēts pienākums vest savu un parādnieka </w:t>
      </w:r>
      <w:r w:rsidR="00DB1134">
        <w:t xml:space="preserve">lietvedību savā prakses vietā. Šāds pienākums radīja administratīvo slogu tām uzraugošajām personām un administratoriem, kuri jau iepriekš </w:t>
      </w:r>
      <w:r w:rsidR="006846F0">
        <w:t xml:space="preserve">neveda lietvedību. Tomēr lietvedības vešanas pienākums neradīja </w:t>
      </w:r>
      <w:r w:rsidR="0005158F">
        <w:t xml:space="preserve">izmaksas imperatīvi, tā kā Maksātnespējas likums nenoteic </w:t>
      </w:r>
      <w:r w:rsidR="00CB7BBA">
        <w:t>specifiskas prasības, piemēram, konkrētas programmatūras izmantošanu. Attiecīgi katra uzraugošā persona un administrators varēja brīvi izvēlēties, kādā veidā un ar kādiem tehniskiem līdzekļiem nodrošināt lietvedības vešanu.</w:t>
      </w:r>
    </w:p>
    <w:p w14:paraId="63509925" w14:textId="79FD74B1" w:rsidR="007E439C" w:rsidRPr="005516F0" w:rsidRDefault="007E439C" w:rsidP="00A518C8">
      <w:r>
        <w:t xml:space="preserve">Citi novērtējuma periodā īstenotie </w:t>
      </w:r>
      <w:r w:rsidR="003F5E7F">
        <w:t>p</w:t>
      </w:r>
      <w:r>
        <w:t xml:space="preserve">amatnostādņu uzdevumi un </w:t>
      </w:r>
      <w:r w:rsidR="003F5E7F">
        <w:t>p</w:t>
      </w:r>
      <w:r>
        <w:t xml:space="preserve">lāna pasākumi rada </w:t>
      </w:r>
      <w:r w:rsidR="007E032E">
        <w:t>nebūtisku administratīvo slogu par to īstenošanu atbildīgajām un līdzatbildīgajām institūcijām, ko tās īsteno tām</w:t>
      </w:r>
      <w:r w:rsidR="00643A25">
        <w:t xml:space="preserve"> pieejamo</w:t>
      </w:r>
      <w:r w:rsidR="007E032E">
        <w:t xml:space="preserve"> resursu, tai skaitā finanšu līdzekļu, </w:t>
      </w:r>
      <w:r w:rsidR="00643A25">
        <w:t>ietvaros.</w:t>
      </w:r>
    </w:p>
    <w:p w14:paraId="7C6EBC9B" w14:textId="3F4693B3" w:rsidR="007552B1" w:rsidRDefault="007552B1" w:rsidP="00A518C8"/>
    <w:p w14:paraId="7A6059C3" w14:textId="0B72AE41" w:rsidR="00907326" w:rsidRPr="00620A0B" w:rsidRDefault="007E6EA8" w:rsidP="00A518C8">
      <w:r>
        <w:t>Pama</w:t>
      </w:r>
      <w:r w:rsidR="00846B34">
        <w:t xml:space="preserve">tnostādnes un </w:t>
      </w:r>
      <w:r w:rsidR="003F5E7F">
        <w:t>p</w:t>
      </w:r>
      <w:r w:rsidR="00846B34">
        <w:t xml:space="preserve">lāns rada pozitīvu </w:t>
      </w:r>
      <w:r w:rsidR="00846B34" w:rsidRPr="00846B34">
        <w:rPr>
          <w:b/>
        </w:rPr>
        <w:t>sociālo ietekmi</w:t>
      </w:r>
      <w:r w:rsidR="00846B34">
        <w:t xml:space="preserve">. Plāna pasākumu, kas attiecas uz dažādu informatīvo pasākumu norisi un informatīvo materiālu izstrādi, rezultātā nodrošināta </w:t>
      </w:r>
      <w:r w:rsidR="00846B34">
        <w:lastRenderedPageBreak/>
        <w:t>sabiedrības informētība par nozares sniegtajām iespējām, kā arī indivīdu tiesībām un pienākumiem noteiktās situācijās.</w:t>
      </w:r>
    </w:p>
    <w:p w14:paraId="1B596077" w14:textId="4ED66928" w:rsidR="00984100" w:rsidRPr="00620A0B" w:rsidRDefault="00984100" w:rsidP="00A518C8"/>
    <w:p w14:paraId="4B1B9571" w14:textId="4993A225" w:rsidR="00B0414A" w:rsidRPr="00620A0B" w:rsidRDefault="0074216B" w:rsidP="00A518C8">
      <w:r w:rsidRPr="00620A0B">
        <w:t xml:space="preserve">Pamatnostādnes un </w:t>
      </w:r>
      <w:r w:rsidR="003F5E7F">
        <w:t>p</w:t>
      </w:r>
      <w:r w:rsidRPr="00620A0B">
        <w:t xml:space="preserve">lāns nerada ietekmi </w:t>
      </w:r>
      <w:r w:rsidR="00F239F9" w:rsidRPr="00620A0B">
        <w:t xml:space="preserve">uz </w:t>
      </w:r>
      <w:r w:rsidR="00F239F9" w:rsidRPr="00620A0B">
        <w:rPr>
          <w:b/>
        </w:rPr>
        <w:t>vidi</w:t>
      </w:r>
      <w:r w:rsidR="00F239F9" w:rsidRPr="00620A0B">
        <w:t xml:space="preserve">, kā arī </w:t>
      </w:r>
      <w:r w:rsidR="00F239F9" w:rsidRPr="00620A0B">
        <w:rPr>
          <w:b/>
        </w:rPr>
        <w:t>teritoriju attīstību</w:t>
      </w:r>
      <w:r w:rsidR="00F239F9" w:rsidRPr="00620A0B">
        <w:t>.</w:t>
      </w:r>
    </w:p>
    <w:p w14:paraId="67EDD9B1" w14:textId="77777777" w:rsidR="00BF53B3" w:rsidRPr="00620A0B" w:rsidRDefault="00BF53B3" w:rsidP="00A518C8"/>
    <w:p w14:paraId="750F4A21" w14:textId="4C206C26" w:rsidR="00B0414A" w:rsidRPr="00620A0B" w:rsidRDefault="0803A821" w:rsidP="00A518C8">
      <w:r>
        <w:t xml:space="preserve">Pamatnostādnes un </w:t>
      </w:r>
      <w:r w:rsidR="003F5E7F">
        <w:t>p</w:t>
      </w:r>
      <w:r>
        <w:t xml:space="preserve">lāns pats par sevi nerada ietekmi uz </w:t>
      </w:r>
      <w:r w:rsidRPr="0803A821">
        <w:rPr>
          <w:b/>
          <w:bCs/>
        </w:rPr>
        <w:t>valsts un pašvaldību budžetiem</w:t>
      </w:r>
      <w:r>
        <w:t xml:space="preserve">. Atsevišķu </w:t>
      </w:r>
      <w:r w:rsidR="003F5E7F">
        <w:t>p</w:t>
      </w:r>
      <w:r>
        <w:t>lāna pasākumu</w:t>
      </w:r>
      <w:r w:rsidR="00F13758">
        <w:rPr>
          <w:rStyle w:val="Vresatsauce"/>
        </w:rPr>
        <w:footnoteReference w:id="6"/>
      </w:r>
      <w:r>
        <w:t xml:space="preserve"> īstenošanas rezultāts pastarpināti rada </w:t>
      </w:r>
      <w:r w:rsidR="00F13758">
        <w:t xml:space="preserve">negatīvu </w:t>
      </w:r>
      <w:r>
        <w:t>ietekmi uz valsts budžetu.</w:t>
      </w:r>
    </w:p>
    <w:p w14:paraId="44D70FA4" w14:textId="77777777" w:rsidR="00B0414A" w:rsidRPr="00620A0B" w:rsidRDefault="00B0414A" w:rsidP="00A518C8"/>
    <w:p w14:paraId="65A8FC57" w14:textId="7B02731E" w:rsidR="00197D98" w:rsidRPr="00620A0B" w:rsidRDefault="0803A821" w:rsidP="00A518C8">
      <w:r>
        <w:t xml:space="preserve">Pamatnostādnes un </w:t>
      </w:r>
      <w:r w:rsidR="003F5E7F">
        <w:t>p</w:t>
      </w:r>
      <w:r>
        <w:t xml:space="preserve">lāns pats par sevi nerada ietekmi uz </w:t>
      </w:r>
      <w:r w:rsidRPr="0803A821">
        <w:rPr>
          <w:b/>
          <w:bCs/>
        </w:rPr>
        <w:t>pārvaldes iestāžu funkcijām un cilvēkresursiem</w:t>
      </w:r>
      <w:r>
        <w:t xml:space="preserve">. Atsevišķu </w:t>
      </w:r>
      <w:r w:rsidR="003F5E7F">
        <w:t>p</w:t>
      </w:r>
      <w:r>
        <w:t>lāna pasākumu</w:t>
      </w:r>
      <w:r w:rsidR="002518A9">
        <w:rPr>
          <w:rStyle w:val="Vresatsauce"/>
        </w:rPr>
        <w:footnoteReference w:id="7"/>
      </w:r>
      <w:r>
        <w:t xml:space="preserve"> īstenošanas rezultāts pastarpināti rada šādu ietekmi.</w:t>
      </w:r>
    </w:p>
    <w:p w14:paraId="0239BEAA" w14:textId="77777777" w:rsidR="009A0C7E" w:rsidRPr="00620A0B" w:rsidRDefault="009A0C7E" w:rsidP="00A518C8"/>
    <w:p w14:paraId="1680CA40" w14:textId="25FEDB88" w:rsidR="009A0C7E" w:rsidRDefault="00E96FE5" w:rsidP="00A518C8">
      <w:r w:rsidRPr="00620A0B">
        <w:t xml:space="preserve">Pamatnostādnes un </w:t>
      </w:r>
      <w:r w:rsidR="003F5E7F">
        <w:t>p</w:t>
      </w:r>
      <w:r w:rsidRPr="00620A0B">
        <w:t xml:space="preserve">lāns pats par sevi nerada ietekmi uz </w:t>
      </w:r>
      <w:r w:rsidR="009B3B17" w:rsidRPr="00620A0B">
        <w:rPr>
          <w:b/>
        </w:rPr>
        <w:t>tiesību normu sistēmu</w:t>
      </w:r>
      <w:r w:rsidR="009B3B17" w:rsidRPr="00620A0B">
        <w:t xml:space="preserve">, savukārt attiecībā uz </w:t>
      </w:r>
      <w:r w:rsidR="009B3B17" w:rsidRPr="00620A0B">
        <w:rPr>
          <w:b/>
        </w:rPr>
        <w:t>Latvijas starptautiskajām saistībām</w:t>
      </w:r>
      <w:r w:rsidR="009B3B17" w:rsidRPr="00620A0B">
        <w:t xml:space="preserve"> </w:t>
      </w:r>
      <w:r w:rsidR="003F5E7F">
        <w:t>p</w:t>
      </w:r>
      <w:r w:rsidR="009B3B17" w:rsidRPr="00620A0B">
        <w:t xml:space="preserve">amatnostādnes un </w:t>
      </w:r>
      <w:r w:rsidR="003F5E7F">
        <w:t>p</w:t>
      </w:r>
      <w:r w:rsidR="009B3B17" w:rsidRPr="00620A0B">
        <w:t xml:space="preserve">lāns nerada nekādu ietekmi. Atsevišķu </w:t>
      </w:r>
      <w:r w:rsidR="003F5E7F">
        <w:t>p</w:t>
      </w:r>
      <w:r w:rsidR="009B3B17" w:rsidRPr="00620A0B">
        <w:t xml:space="preserve">lāna pasākumu īstenošanas rezultāts pastarpināti rada ietekmi uz </w:t>
      </w:r>
      <w:r w:rsidR="00DA244E" w:rsidRPr="00620A0B">
        <w:t>tiesību normu sistēmu</w:t>
      </w:r>
      <w:r w:rsidR="00EC7B61">
        <w:t xml:space="preserve">, tā kā novērtēšanas periodā vairāki </w:t>
      </w:r>
      <w:r w:rsidR="003F5E7F">
        <w:t>p</w:t>
      </w:r>
      <w:r w:rsidR="00EC7B61">
        <w:t>lāna pasākumi</w:t>
      </w:r>
      <w:r w:rsidR="00FA36EA">
        <w:rPr>
          <w:rStyle w:val="Vresatsauce"/>
        </w:rPr>
        <w:footnoteReference w:id="8"/>
      </w:r>
      <w:r w:rsidR="00EC7B61">
        <w:t xml:space="preserve"> īstenoti</w:t>
      </w:r>
      <w:r w:rsidR="00EE710F">
        <w:t xml:space="preserve">, izstrādājot </w:t>
      </w:r>
      <w:r w:rsidR="00FA36EA">
        <w:t>normatīvo</w:t>
      </w:r>
      <w:r w:rsidR="00EE710F">
        <w:t>s</w:t>
      </w:r>
      <w:r w:rsidR="00FA36EA">
        <w:t xml:space="preserve"> aktu</w:t>
      </w:r>
      <w:r w:rsidR="00EE710F">
        <w:t>s</w:t>
      </w:r>
      <w:r w:rsidR="00DA244E" w:rsidRPr="00620A0B">
        <w:t>.</w:t>
      </w:r>
    </w:p>
    <w:p w14:paraId="51B707A1" w14:textId="05F648DE" w:rsidR="00BD1A40" w:rsidRDefault="00BD1A40" w:rsidP="00A518C8"/>
    <w:p w14:paraId="128CF8A7" w14:textId="49EC5914" w:rsidR="00984100" w:rsidRPr="00B237A6" w:rsidRDefault="00C60587" w:rsidP="00A518C8">
      <w:pPr>
        <w:rPr>
          <w:i/>
        </w:rPr>
      </w:pPr>
      <w:r>
        <w:t>Pamatnostād</w:t>
      </w:r>
      <w:r w:rsidR="00B237A6">
        <w:t>nes</w:t>
      </w:r>
      <w:r>
        <w:t xml:space="preserve"> un </w:t>
      </w:r>
      <w:r w:rsidR="003F5E7F">
        <w:t>p</w:t>
      </w:r>
      <w:r>
        <w:t>lān</w:t>
      </w:r>
      <w:r w:rsidR="00B237A6">
        <w:t>s</w:t>
      </w:r>
      <w:r>
        <w:t xml:space="preserve"> </w:t>
      </w:r>
      <w:r w:rsidR="00B237A6">
        <w:t xml:space="preserve">nerada ietekmi uz </w:t>
      </w:r>
      <w:r w:rsidR="007B519C" w:rsidRPr="002E7A4E">
        <w:rPr>
          <w:b/>
        </w:rPr>
        <w:t>cilvēktiesībām, jo īpaši fizisku personu tiesībām uz privātās dzīves neaizskaramību attiecībā uz personas datu apstrādi</w:t>
      </w:r>
      <w:r w:rsidR="00B237A6">
        <w:t>.</w:t>
      </w:r>
      <w:r w:rsidR="002E7A4E">
        <w:t xml:space="preserve"> </w:t>
      </w:r>
      <w:r w:rsidR="00AC2F1C">
        <w:t>Apsvērums jo īpaši vērtēts</w:t>
      </w:r>
      <w:r w:rsidR="00E20776">
        <w:t xml:space="preserve">, īstenojot </w:t>
      </w:r>
      <w:r w:rsidR="003F5E7F">
        <w:t>p</w:t>
      </w:r>
      <w:r w:rsidR="00E20776">
        <w:t>lāna 4.9.1. un 4.10.1. pasākumu, kā rezultātā pasākumu faktiskā izpilde atšķiras no plānotās.</w:t>
      </w:r>
    </w:p>
    <w:p w14:paraId="42B06936" w14:textId="77777777" w:rsidR="000F678F" w:rsidRPr="00620A0B" w:rsidRDefault="000F678F" w:rsidP="00A518C8">
      <w:pPr>
        <w:rPr>
          <w:highlight w:val="yellow"/>
        </w:rPr>
      </w:pPr>
    </w:p>
    <w:p w14:paraId="66E9BA70" w14:textId="6799F509" w:rsidR="005A2AF7" w:rsidRDefault="005A2AF7" w:rsidP="00DB6133">
      <w:r>
        <w:t xml:space="preserve">Pamatnostādņu un </w:t>
      </w:r>
      <w:r w:rsidR="003F5E7F">
        <w:t>p</w:t>
      </w:r>
      <w:r>
        <w:t xml:space="preserve">lāna īstenošanu ietekmēja </w:t>
      </w:r>
      <w:r w:rsidR="00EE5505">
        <w:t xml:space="preserve">divi </w:t>
      </w:r>
      <w:r w:rsidR="008A551C" w:rsidRPr="008A551C">
        <w:rPr>
          <w:b/>
        </w:rPr>
        <w:t xml:space="preserve">ārējie </w:t>
      </w:r>
      <w:r w:rsidR="00EE5505" w:rsidRPr="008A551C">
        <w:rPr>
          <w:b/>
        </w:rPr>
        <w:t>faktori</w:t>
      </w:r>
      <w:r w:rsidR="00EE5505">
        <w:t xml:space="preserve">, ko nebija iespējams skaidri identificēt </w:t>
      </w:r>
      <w:r w:rsidR="003F5E7F">
        <w:t>p</w:t>
      </w:r>
      <w:r w:rsidR="00EE5505">
        <w:t xml:space="preserve">amatnostādņu un </w:t>
      </w:r>
      <w:r w:rsidR="003F5E7F">
        <w:t>p</w:t>
      </w:r>
      <w:r w:rsidR="00EE5505">
        <w:t xml:space="preserve">lāna izstrādes procesā – </w:t>
      </w:r>
      <w:r w:rsidR="008E286F">
        <w:t>d</w:t>
      </w:r>
      <w:r w:rsidR="00EE5505">
        <w:t>irektīva un SVF novērtējums.</w:t>
      </w:r>
    </w:p>
    <w:p w14:paraId="510B4F5F" w14:textId="58C17A01" w:rsidR="008121D2" w:rsidRDefault="00EE5505" w:rsidP="00605ECD">
      <w:r>
        <w:t xml:space="preserve">Direktīvas priekšlikums publicēts </w:t>
      </w:r>
      <w:r w:rsidR="00AB2D41">
        <w:t>2016. gada 22. novembrī</w:t>
      </w:r>
      <w:r w:rsidR="008121D2">
        <w:rPr>
          <w:rStyle w:val="Vresatsauce"/>
        </w:rPr>
        <w:footnoteReference w:id="9"/>
      </w:r>
      <w:r w:rsidR="008121D2">
        <w:t xml:space="preserve">. </w:t>
      </w:r>
      <w:r w:rsidR="00FD6139">
        <w:t xml:space="preserve">Jau 2017. gada sākumā uzsāktas intensīvas Eiropas Savienības dalībvalstu un institūciju debates par </w:t>
      </w:r>
      <w:r w:rsidR="00AA59E9">
        <w:t xml:space="preserve">priekšlikuma saturu. </w:t>
      </w:r>
      <w:r w:rsidR="00591925">
        <w:t xml:space="preserve">2019. gada 20. jūnijā </w:t>
      </w:r>
      <w:r w:rsidR="008E286F">
        <w:t>d</w:t>
      </w:r>
      <w:r w:rsidR="00F1233F">
        <w:t>irektīva pieņemta</w:t>
      </w:r>
      <w:r w:rsidR="00F1233F">
        <w:rPr>
          <w:rStyle w:val="Vresatsauce"/>
        </w:rPr>
        <w:footnoteReference w:id="10"/>
      </w:r>
      <w:r w:rsidR="00F1233F">
        <w:t>.</w:t>
      </w:r>
    </w:p>
    <w:p w14:paraId="390569DF" w14:textId="0883F540" w:rsidR="00AA59E9" w:rsidRDefault="00BD7A0A" w:rsidP="00F814DE">
      <w:r>
        <w:t xml:space="preserve">Ministru kabinets 2017. gada 14. februārī </w:t>
      </w:r>
      <w:r w:rsidR="004C3549">
        <w:t>atbalstīja</w:t>
      </w:r>
      <w:r w:rsidR="00302BAF">
        <w:t xml:space="preserve"> citastarp</w:t>
      </w:r>
      <w:r w:rsidR="004C3549">
        <w:t xml:space="preserve"> SVF novērtējuma </w:t>
      </w:r>
      <w:r w:rsidR="00C51511">
        <w:t>veikšanu</w:t>
      </w:r>
      <w:r w:rsidR="00302BAF">
        <w:rPr>
          <w:rStyle w:val="Vresatsauce"/>
        </w:rPr>
        <w:footnoteReference w:id="11"/>
      </w:r>
      <w:r w:rsidR="00C51511">
        <w:t>. Drīz pēc tam uzsākta pieprasītās informācijas un dokumentu iesniegšana SVF, kā arī aktīvi nodrošināta dalība SVF misijās. 2019. gada sākumā SVF novērtējums noslēdzies</w:t>
      </w:r>
      <w:r w:rsidR="00BC16F0">
        <w:t xml:space="preserve"> ar ziņojumu</w:t>
      </w:r>
      <w:r w:rsidR="007D7497" w:rsidRPr="000A7006">
        <w:rPr>
          <w:rStyle w:val="Vresatsauce"/>
        </w:rPr>
        <w:footnoteReference w:id="12"/>
      </w:r>
      <w:r w:rsidR="00BC16F0">
        <w:t>.</w:t>
      </w:r>
    </w:p>
    <w:p w14:paraId="13F4181E" w14:textId="164DF88A" w:rsidR="009C6C4B" w:rsidRDefault="009C6C4B" w:rsidP="0018715E"/>
    <w:p w14:paraId="48447E1B" w14:textId="2B36EF40" w:rsidR="009C6C4B" w:rsidRDefault="009C6C4B">
      <w:r w:rsidRPr="007126D0">
        <w:t xml:space="preserve">Pamatnostādņu un </w:t>
      </w:r>
      <w:r w:rsidR="006E78FC">
        <w:t>p</w:t>
      </w:r>
      <w:r w:rsidRPr="007126D0">
        <w:t>lāna</w:t>
      </w:r>
      <w:r>
        <w:t xml:space="preserve"> izpild</w:t>
      </w:r>
      <w:r w:rsidR="008434E5">
        <w:t xml:space="preserve">es ietvaros </w:t>
      </w:r>
      <w:r w:rsidR="001A7A9C">
        <w:t xml:space="preserve">tika </w:t>
      </w:r>
      <w:r w:rsidR="001A7A9C" w:rsidRPr="0031434B">
        <w:rPr>
          <w:b/>
        </w:rPr>
        <w:t xml:space="preserve">iesaistītas </w:t>
      </w:r>
      <w:r w:rsidR="008434E5" w:rsidRPr="0031434B">
        <w:rPr>
          <w:b/>
        </w:rPr>
        <w:t>institūcijas</w:t>
      </w:r>
      <w:r w:rsidR="001A7A9C">
        <w:t xml:space="preserve"> kā atbildīgās vai līdzatbildīgās</w:t>
      </w:r>
      <w:r w:rsidR="0031434B">
        <w:t xml:space="preserve"> institūcijas. N</w:t>
      </w:r>
      <w:r w:rsidR="006C321C">
        <w:t xml:space="preserve">ovērtējuma periodā </w:t>
      </w:r>
      <w:r w:rsidR="008434E5">
        <w:t xml:space="preserve">ir darbojušās </w:t>
      </w:r>
      <w:r w:rsidR="0031434B">
        <w:t>9</w:t>
      </w:r>
      <w:r w:rsidR="008434E5">
        <w:t xml:space="preserve"> institūcijas no </w:t>
      </w:r>
      <w:r w:rsidR="006E78FC">
        <w:t>p</w:t>
      </w:r>
      <w:r w:rsidR="006C321C">
        <w:t xml:space="preserve">amatnostādņu un </w:t>
      </w:r>
      <w:r w:rsidR="006E78FC">
        <w:t>p</w:t>
      </w:r>
      <w:r w:rsidR="006C321C">
        <w:t xml:space="preserve">lāna izpildē kopumā noteiktajām </w:t>
      </w:r>
      <w:r w:rsidR="0031434B">
        <w:t>11</w:t>
      </w:r>
      <w:r w:rsidR="006C321C">
        <w:t> institūcijām.</w:t>
      </w:r>
      <w:r w:rsidR="0037470A">
        <w:t xml:space="preserve"> Novērtējuma periodā </w:t>
      </w:r>
      <w:r w:rsidR="006E78FC">
        <w:t>p</w:t>
      </w:r>
      <w:r w:rsidR="0037470A">
        <w:t xml:space="preserve">amatnostādņu un </w:t>
      </w:r>
      <w:r w:rsidR="006E78FC">
        <w:t>p</w:t>
      </w:r>
      <w:r w:rsidR="0037470A">
        <w:t xml:space="preserve">lāna īstenošanā darbojās TM, EM, MKD, LIAA, FKTK, </w:t>
      </w:r>
      <w:r w:rsidR="00D4218E">
        <w:t xml:space="preserve">IeM, </w:t>
      </w:r>
      <w:r w:rsidR="002E068B">
        <w:t xml:space="preserve">TA, </w:t>
      </w:r>
      <w:r w:rsidR="009C4B24">
        <w:t>KNAB</w:t>
      </w:r>
      <w:r w:rsidR="0031434B">
        <w:t xml:space="preserve"> un</w:t>
      </w:r>
      <w:r w:rsidR="009C4B24">
        <w:t xml:space="preserve"> DVI</w:t>
      </w:r>
      <w:r w:rsidR="0031434B">
        <w:t>.</w:t>
      </w:r>
    </w:p>
    <w:p w14:paraId="5597DB38" w14:textId="3DC1E28A" w:rsidR="00FE46FE" w:rsidRDefault="00FE46FE"/>
    <w:p w14:paraId="007F4D2B" w14:textId="42361E37" w:rsidR="00340A14" w:rsidRDefault="00683208">
      <w:r>
        <w:t xml:space="preserve">Pamatnostādņu </w:t>
      </w:r>
      <w:r w:rsidR="00370520">
        <w:t xml:space="preserve">uzdevumi </w:t>
      </w:r>
      <w:r>
        <w:t xml:space="preserve">un </w:t>
      </w:r>
      <w:r w:rsidR="006E78FC">
        <w:t>p</w:t>
      </w:r>
      <w:r>
        <w:t xml:space="preserve">lāna </w:t>
      </w:r>
      <w:r w:rsidR="00370520">
        <w:t xml:space="preserve">pasākumi </w:t>
      </w:r>
      <w:r w:rsidR="002B0ECF">
        <w:t>īsteno</w:t>
      </w:r>
      <w:r w:rsidR="00370520">
        <w:t>ti atbildīg</w:t>
      </w:r>
      <w:r w:rsidR="004E72A5">
        <w:t>ajām</w:t>
      </w:r>
      <w:r w:rsidR="00370520">
        <w:t xml:space="preserve"> un līdzatbildīg</w:t>
      </w:r>
      <w:r w:rsidR="004E72A5">
        <w:t>ajām</w:t>
      </w:r>
      <w:r w:rsidR="00370520">
        <w:t xml:space="preserve"> institūcij</w:t>
      </w:r>
      <w:r w:rsidR="004E72A5">
        <w:t xml:space="preserve">ām pieejamo </w:t>
      </w:r>
      <w:r w:rsidR="004E72A5" w:rsidRPr="00B3300D">
        <w:rPr>
          <w:b/>
        </w:rPr>
        <w:t>resursu</w:t>
      </w:r>
      <w:r w:rsidR="004E72A5">
        <w:t xml:space="preserve"> ietvaros.</w:t>
      </w:r>
    </w:p>
    <w:p w14:paraId="4DFE0CCB" w14:textId="263DA722" w:rsidR="00001C96" w:rsidRDefault="00001C96"/>
    <w:p w14:paraId="403CC1CC" w14:textId="313202EA" w:rsidR="00E20776" w:rsidRDefault="00591ACB" w:rsidP="000A7006">
      <w:r>
        <w:t xml:space="preserve">Pamatnostādņu un </w:t>
      </w:r>
      <w:r w:rsidR="006E78FC">
        <w:t>p</w:t>
      </w:r>
      <w:r>
        <w:t xml:space="preserve">lāna </w:t>
      </w:r>
      <w:r w:rsidR="00B3300D" w:rsidRPr="00B3300D">
        <w:rPr>
          <w:b/>
        </w:rPr>
        <w:t xml:space="preserve">mērķa grupu viedoklis un </w:t>
      </w:r>
      <w:r w:rsidRPr="00B3300D">
        <w:rPr>
          <w:b/>
        </w:rPr>
        <w:t>ietekm</w:t>
      </w:r>
      <w:r w:rsidR="00C15F6A" w:rsidRPr="00B3300D">
        <w:rPr>
          <w:b/>
        </w:rPr>
        <w:t>e</w:t>
      </w:r>
      <w:r w:rsidRPr="00B3300D">
        <w:rPr>
          <w:b/>
        </w:rPr>
        <w:t xml:space="preserve"> uz tajos noteikto mērķu un rezultātu sasniegšanu </w:t>
      </w:r>
      <w:r>
        <w:t xml:space="preserve">ir </w:t>
      </w:r>
      <w:r w:rsidR="00C15F6A">
        <w:t>izvērtēta Maksātnespējas jautājumu konsultatīvās padomes</w:t>
      </w:r>
      <w:r w:rsidR="003C298C">
        <w:rPr>
          <w:rStyle w:val="Vresatsauce"/>
        </w:rPr>
        <w:footnoteReference w:id="13"/>
      </w:r>
      <w:r w:rsidR="00C15F6A">
        <w:t xml:space="preserve"> 2019. gada 7. maija sēdē</w:t>
      </w:r>
      <w:r w:rsidR="00344716">
        <w:t xml:space="preserve">, piedaloties arī </w:t>
      </w:r>
      <w:r w:rsidR="00534B4D">
        <w:t xml:space="preserve">Latvijas Republikas </w:t>
      </w:r>
      <w:r w:rsidR="00344716">
        <w:t xml:space="preserve">Valsts kontroles </w:t>
      </w:r>
      <w:r w:rsidR="00534B4D">
        <w:t xml:space="preserve">un </w:t>
      </w:r>
      <w:r w:rsidR="00F82A71">
        <w:t>VID</w:t>
      </w:r>
      <w:r w:rsidR="00534B4D">
        <w:t xml:space="preserve"> pārstāvjiem.</w:t>
      </w:r>
    </w:p>
    <w:p w14:paraId="7360101A" w14:textId="69C9E553" w:rsidR="00CB677D" w:rsidRDefault="005019AB" w:rsidP="000A7006">
      <w:r>
        <w:t>Sēdes dalībnieki kopumā pozitīvi novērtēja jau paveikto darbu maksātnespējas jomas</w:t>
      </w:r>
      <w:r w:rsidR="002D4725">
        <w:t xml:space="preserve"> uzlabošanai</w:t>
      </w:r>
      <w:r w:rsidR="00A06067">
        <w:t>.</w:t>
      </w:r>
      <w:r w:rsidR="00141A3F">
        <w:t xml:space="preserve"> </w:t>
      </w:r>
      <w:r w:rsidR="00B625AB">
        <w:t>Vienlaikus sēdes dalībnieki uzsvēra</w:t>
      </w:r>
      <w:r w:rsidR="00141A3F">
        <w:t xml:space="preserve">, ka arī turpmāk ir nepieciešams </w:t>
      </w:r>
      <w:r w:rsidR="00AC7A49">
        <w:t xml:space="preserve">aktīvs darbs pie maksātnespējas jomas pilnveidošanas, tai skaitā būtisku vērību pievēršot </w:t>
      </w:r>
      <w:r w:rsidR="00B625AB">
        <w:t>restrukturizācijas pasākumu uzlabošanai.</w:t>
      </w:r>
    </w:p>
    <w:p w14:paraId="016FA04F" w14:textId="77777777" w:rsidR="00030B9C" w:rsidRDefault="00030B9C" w:rsidP="000A7006"/>
    <w:p w14:paraId="768525E6" w14:textId="0A9ECB35" w:rsidR="000F678F" w:rsidRPr="00620A0B" w:rsidRDefault="000F678F" w:rsidP="000A7006">
      <w:pPr>
        <w:pStyle w:val="Virsraksts1"/>
        <w:ind w:firstLine="0"/>
      </w:pPr>
      <w:r w:rsidRPr="00620A0B">
        <w:br w:type="page"/>
      </w:r>
      <w:bookmarkStart w:id="3" w:name="_Toc13817865"/>
      <w:r w:rsidRPr="00620A0B">
        <w:lastRenderedPageBreak/>
        <w:t>3. </w:t>
      </w:r>
      <w:r w:rsidR="001D6AC6" w:rsidRPr="00620A0B">
        <w:t>P</w:t>
      </w:r>
      <w:r w:rsidRPr="00620A0B">
        <w:t xml:space="preserve">amatnostādņu uzdevumu un </w:t>
      </w:r>
      <w:r w:rsidR="00AA1574">
        <w:t>p</w:t>
      </w:r>
      <w:r w:rsidRPr="00620A0B">
        <w:t>lāna pasākumu izpild</w:t>
      </w:r>
      <w:r w:rsidR="00FA0B60" w:rsidRPr="00620A0B">
        <w:t>e</w:t>
      </w:r>
      <w:bookmarkEnd w:id="3"/>
    </w:p>
    <w:p w14:paraId="6D0BD712" w14:textId="50FAB322" w:rsidR="000F678F" w:rsidRPr="00620A0B" w:rsidRDefault="000F678F" w:rsidP="000A7006"/>
    <w:p w14:paraId="3CB6FB97" w14:textId="24A43947" w:rsidR="00557810" w:rsidRPr="00620A0B" w:rsidRDefault="00557810" w:rsidP="000A7006">
      <w:r w:rsidRPr="00620A0B">
        <w:t xml:space="preserve">Šajā sadaļā ietverts </w:t>
      </w:r>
      <w:r w:rsidR="00F03194" w:rsidRPr="00620A0B">
        <w:t xml:space="preserve">šī informatīvā ziņojuma </w:t>
      </w:r>
      <w:r w:rsidR="00990104" w:rsidRPr="00620A0B">
        <w:t xml:space="preserve">1. pielikuma </w:t>
      </w:r>
      <w:r w:rsidR="00E83C84">
        <w:t>"</w:t>
      </w:r>
      <w:r w:rsidR="00990104" w:rsidRPr="00620A0B">
        <w:t>Maksātnespējas politikas attīstības pamatnostādņu 2016.–2020. gadam uzdevumu un to īstenošanas plāna pasākumu izpilde par laikposmu no 2016. gada līdz 2017. gadam</w:t>
      </w:r>
      <w:r w:rsidR="00E83C84">
        <w:t>"</w:t>
      </w:r>
      <w:r w:rsidR="00990104" w:rsidRPr="00620A0B">
        <w:t xml:space="preserve"> kopsavilkums.</w:t>
      </w:r>
    </w:p>
    <w:p w14:paraId="40D39DD9" w14:textId="77777777" w:rsidR="00557810" w:rsidRPr="00620A0B" w:rsidRDefault="00557810" w:rsidP="000A7006"/>
    <w:p w14:paraId="2EE59F25" w14:textId="4B361FC0" w:rsidR="0040536A" w:rsidRPr="00620A0B" w:rsidRDefault="0040536A" w:rsidP="00E608D4">
      <w:pPr>
        <w:pStyle w:val="Apakvirsraksts"/>
        <w:ind w:firstLine="0"/>
      </w:pPr>
      <w:r w:rsidRPr="00620A0B">
        <w:t xml:space="preserve">Informācija par </w:t>
      </w:r>
      <w:r w:rsidR="00AA1574">
        <w:t>p</w:t>
      </w:r>
      <w:r w:rsidRPr="00620A0B">
        <w:t xml:space="preserve">lāna pasākumiem, kuru </w:t>
      </w:r>
      <w:r w:rsidR="00C42E07" w:rsidRPr="00620A0B">
        <w:t>izpildes termiņš iestājās novērtējuma periodā</w:t>
      </w:r>
    </w:p>
    <w:p w14:paraId="22FE8006" w14:textId="77777777" w:rsidR="0040536A" w:rsidRPr="00620A0B" w:rsidRDefault="0040536A" w:rsidP="00E608D4"/>
    <w:p w14:paraId="10438AAA" w14:textId="766CE31C" w:rsidR="00766185" w:rsidRPr="00620A0B" w:rsidRDefault="00766185" w:rsidP="00E608D4">
      <w:r w:rsidRPr="00620A0B">
        <w:t xml:space="preserve">Novērtējuma periodā izpildes termiņš iestājās </w:t>
      </w:r>
      <w:r w:rsidR="00D27067" w:rsidRPr="00620A0B">
        <w:t>24</w:t>
      </w:r>
      <w:r w:rsidRPr="00620A0B">
        <w:t> </w:t>
      </w:r>
      <w:r w:rsidR="009863FE">
        <w:t>p</w:t>
      </w:r>
      <w:r w:rsidRPr="00620A0B">
        <w:t>lāna pasākumiem</w:t>
      </w:r>
      <w:r w:rsidR="00DB6FA8" w:rsidRPr="00620A0B">
        <w:t xml:space="preserve"> (</w:t>
      </w:r>
      <w:r w:rsidR="00964895" w:rsidRPr="00620A0B">
        <w:t xml:space="preserve">skatīt tālāk </w:t>
      </w:r>
      <w:r w:rsidR="00DB6FA8" w:rsidRPr="00620A0B">
        <w:t>1. tabul</w:t>
      </w:r>
      <w:r w:rsidR="00964895" w:rsidRPr="00620A0B">
        <w:t>u</w:t>
      </w:r>
      <w:r w:rsidR="00DB6FA8" w:rsidRPr="00620A0B">
        <w:t>)</w:t>
      </w:r>
      <w:r w:rsidRPr="00620A0B">
        <w:t>.</w:t>
      </w:r>
      <w:r w:rsidR="00670B21" w:rsidRPr="00620A0B">
        <w:t xml:space="preserve"> </w:t>
      </w:r>
    </w:p>
    <w:p w14:paraId="0349FFF5" w14:textId="0919E930" w:rsidR="00384D5A" w:rsidRPr="00620A0B" w:rsidRDefault="00384D5A" w:rsidP="00E608D4"/>
    <w:tbl>
      <w:tblPr>
        <w:tblStyle w:val="Reatabula"/>
        <w:tblW w:w="9067" w:type="dxa"/>
        <w:tblLook w:val="04A0" w:firstRow="1" w:lastRow="0" w:firstColumn="1" w:lastColumn="0" w:noHBand="0" w:noVBand="1"/>
      </w:tblPr>
      <w:tblGrid>
        <w:gridCol w:w="1883"/>
        <w:gridCol w:w="5625"/>
        <w:gridCol w:w="1559"/>
      </w:tblGrid>
      <w:tr w:rsidR="00670B21" w:rsidRPr="00620A0B" w14:paraId="4E7110C0" w14:textId="77777777" w:rsidTr="00670B21">
        <w:tc>
          <w:tcPr>
            <w:tcW w:w="9067" w:type="dxa"/>
            <w:gridSpan w:val="3"/>
            <w:shd w:val="clear" w:color="auto" w:fill="BFBFBF" w:themeFill="background1" w:themeFillShade="BF"/>
            <w:vAlign w:val="center"/>
          </w:tcPr>
          <w:p w14:paraId="4359286F" w14:textId="4A51AB9F" w:rsidR="00670B21" w:rsidRPr="00620A0B" w:rsidRDefault="00670B21" w:rsidP="00E608D4">
            <w:pPr>
              <w:ind w:firstLine="0"/>
              <w:jc w:val="center"/>
              <w:rPr>
                <w:b/>
              </w:rPr>
            </w:pPr>
            <w:r w:rsidRPr="00620A0B">
              <w:rPr>
                <w:b/>
              </w:rPr>
              <w:t xml:space="preserve">1. tabula: Pamatnostādņu uzdevumi un </w:t>
            </w:r>
            <w:r w:rsidR="009863FE">
              <w:rPr>
                <w:b/>
              </w:rPr>
              <w:t>p</w:t>
            </w:r>
            <w:r w:rsidRPr="00620A0B">
              <w:rPr>
                <w:b/>
              </w:rPr>
              <w:t>lāna pasākumi, kuru izpildes termiņš iestājās novērtējuma periodā</w:t>
            </w:r>
          </w:p>
        </w:tc>
      </w:tr>
      <w:tr w:rsidR="00513B51" w:rsidRPr="00620A0B" w14:paraId="4DB186E0" w14:textId="32A78BF3" w:rsidTr="0019545C">
        <w:tc>
          <w:tcPr>
            <w:tcW w:w="1883" w:type="dxa"/>
            <w:shd w:val="clear" w:color="auto" w:fill="F2F2F2" w:themeFill="background1" w:themeFillShade="F2"/>
            <w:vAlign w:val="center"/>
          </w:tcPr>
          <w:p w14:paraId="666A30D7" w14:textId="102E72A6" w:rsidR="00513B51" w:rsidRPr="00620A0B" w:rsidRDefault="00513B51" w:rsidP="00E608D4">
            <w:pPr>
              <w:ind w:firstLine="0"/>
              <w:jc w:val="left"/>
              <w:rPr>
                <w:b/>
              </w:rPr>
            </w:pPr>
            <w:r w:rsidRPr="00620A0B">
              <w:rPr>
                <w:b/>
              </w:rPr>
              <w:t>Pamatnostādņu 1.1. uzdevums</w:t>
            </w:r>
          </w:p>
        </w:tc>
        <w:tc>
          <w:tcPr>
            <w:tcW w:w="7184" w:type="dxa"/>
            <w:gridSpan w:val="2"/>
            <w:shd w:val="clear" w:color="auto" w:fill="F2F2F2" w:themeFill="background1" w:themeFillShade="F2"/>
            <w:vAlign w:val="center"/>
          </w:tcPr>
          <w:p w14:paraId="60B0B6D4" w14:textId="24E1B1D7" w:rsidR="00513B51" w:rsidRPr="0031447D" w:rsidRDefault="0047212C" w:rsidP="00E608D4">
            <w:pPr>
              <w:ind w:firstLine="0"/>
              <w:jc w:val="left"/>
              <w:rPr>
                <w:b/>
              </w:rPr>
            </w:pPr>
            <w:r w:rsidRPr="0031447D">
              <w:rPr>
                <w:b/>
                <w:bCs/>
              </w:rPr>
              <w:t>Īstenot sabiedrības informēšanas pasākumus par nepieciešamību savlaicīgi iesniegt TAP pieteikumu</w:t>
            </w:r>
          </w:p>
        </w:tc>
      </w:tr>
      <w:tr w:rsidR="00AA319D" w:rsidRPr="00620A0B" w14:paraId="0426D445" w14:textId="6EE71A01" w:rsidTr="007A225B">
        <w:tc>
          <w:tcPr>
            <w:tcW w:w="1883" w:type="dxa"/>
            <w:vAlign w:val="center"/>
          </w:tcPr>
          <w:p w14:paraId="1222506C" w14:textId="1EEBC8DD" w:rsidR="00E7748E" w:rsidRPr="00620A0B" w:rsidRDefault="00E7748E" w:rsidP="00FE4C90">
            <w:pPr>
              <w:ind w:firstLine="0"/>
              <w:jc w:val="left"/>
            </w:pPr>
            <w:r w:rsidRPr="00620A0B">
              <w:t>Plāna 1.1.1. pasākums</w:t>
            </w:r>
          </w:p>
        </w:tc>
        <w:tc>
          <w:tcPr>
            <w:tcW w:w="5625" w:type="dxa"/>
            <w:vAlign w:val="center"/>
          </w:tcPr>
          <w:p w14:paraId="49740D16" w14:textId="6152E2AF" w:rsidR="00E7748E" w:rsidRPr="00620A0B" w:rsidRDefault="00E7748E" w:rsidP="00FE4C90">
            <w:pPr>
              <w:ind w:firstLine="0"/>
              <w:jc w:val="left"/>
            </w:pPr>
            <w:r w:rsidRPr="00620A0B">
              <w:t xml:space="preserve">Sagatavot un publicēt iestāžu, piemēram, MKD un EM, tīmekļa vietnēs, kā arī vienotajā valsts un pašvaldību pakalpojumu portālā </w:t>
            </w:r>
            <w:r w:rsidRPr="00620A0B">
              <w:rPr>
                <w:i/>
              </w:rPr>
              <w:t>www.latvija.lv</w:t>
            </w:r>
            <w:r w:rsidRPr="00620A0B">
              <w:t xml:space="preserve"> viegli uztveramu informāciju par likuma prasībām – TAP plāna izstrādi, saskaņošanu, apstiprināšanu un termiņiem.</w:t>
            </w:r>
          </w:p>
        </w:tc>
        <w:tc>
          <w:tcPr>
            <w:tcW w:w="1559" w:type="dxa"/>
            <w:vAlign w:val="center"/>
          </w:tcPr>
          <w:p w14:paraId="32DD938C" w14:textId="5AA9668B" w:rsidR="00E7748E" w:rsidRPr="00620A0B" w:rsidRDefault="00062799" w:rsidP="00FE4C90">
            <w:pPr>
              <w:ind w:firstLine="0"/>
              <w:jc w:val="left"/>
            </w:pPr>
            <w:r w:rsidRPr="00620A0B">
              <w:t>Izpildīts</w:t>
            </w:r>
          </w:p>
        </w:tc>
      </w:tr>
      <w:tr w:rsidR="00513B51" w:rsidRPr="00620A0B" w14:paraId="1D8CD12C" w14:textId="223C8100" w:rsidTr="0019545C">
        <w:tc>
          <w:tcPr>
            <w:tcW w:w="1883" w:type="dxa"/>
            <w:shd w:val="clear" w:color="auto" w:fill="F2F2F2" w:themeFill="background1" w:themeFillShade="F2"/>
            <w:vAlign w:val="center"/>
          </w:tcPr>
          <w:p w14:paraId="60AA1549" w14:textId="5F8D098C" w:rsidR="00513B51" w:rsidRPr="00620A0B" w:rsidRDefault="00513B51" w:rsidP="00FE4C90">
            <w:pPr>
              <w:ind w:firstLine="0"/>
              <w:jc w:val="left"/>
              <w:rPr>
                <w:b/>
              </w:rPr>
            </w:pPr>
            <w:r w:rsidRPr="00620A0B">
              <w:rPr>
                <w:b/>
              </w:rPr>
              <w:t>Pamatnostādņu 1.2. uzdevums</w:t>
            </w:r>
          </w:p>
        </w:tc>
        <w:tc>
          <w:tcPr>
            <w:tcW w:w="7184" w:type="dxa"/>
            <w:gridSpan w:val="2"/>
            <w:shd w:val="clear" w:color="auto" w:fill="F2F2F2" w:themeFill="background1" w:themeFillShade="F2"/>
            <w:vAlign w:val="center"/>
          </w:tcPr>
          <w:p w14:paraId="062D9619" w14:textId="6E35E506" w:rsidR="00513B51" w:rsidRPr="00620A0B" w:rsidRDefault="00513B51" w:rsidP="00FE4C90">
            <w:pPr>
              <w:ind w:firstLine="0"/>
              <w:jc w:val="left"/>
              <w:rPr>
                <w:b/>
              </w:rPr>
            </w:pPr>
            <w:r w:rsidRPr="00620A0B">
              <w:rPr>
                <w:b/>
              </w:rPr>
              <w:t>Veidot efektīvāku TAP plāna apstiprināšanas un uzraudzības procedūru</w:t>
            </w:r>
          </w:p>
        </w:tc>
      </w:tr>
      <w:tr w:rsidR="00AA319D" w:rsidRPr="00620A0B" w14:paraId="4D2D6F28" w14:textId="51D9DD31" w:rsidTr="007A225B">
        <w:tc>
          <w:tcPr>
            <w:tcW w:w="1883" w:type="dxa"/>
            <w:vAlign w:val="center"/>
          </w:tcPr>
          <w:p w14:paraId="3E414EA4" w14:textId="06D1689E" w:rsidR="00E7748E" w:rsidRPr="00620A0B" w:rsidRDefault="00E7748E" w:rsidP="00C076E6">
            <w:pPr>
              <w:ind w:firstLine="0"/>
              <w:jc w:val="left"/>
            </w:pPr>
            <w:r w:rsidRPr="00620A0B">
              <w:rPr>
                <w:rFonts w:eastAsia="Times New Roman"/>
                <w:szCs w:val="24"/>
                <w:lang w:eastAsia="lv-LV"/>
              </w:rPr>
              <w:t>Plāna 1.2.3. pasākums</w:t>
            </w:r>
          </w:p>
        </w:tc>
        <w:tc>
          <w:tcPr>
            <w:tcW w:w="5625" w:type="dxa"/>
            <w:vAlign w:val="center"/>
          </w:tcPr>
          <w:p w14:paraId="6A72B242" w14:textId="0D78B5E4" w:rsidR="00E7748E" w:rsidRPr="00620A0B" w:rsidRDefault="00E7748E" w:rsidP="00C076E6">
            <w:pPr>
              <w:ind w:firstLine="0"/>
              <w:jc w:val="left"/>
            </w:pPr>
            <w:r w:rsidRPr="00620A0B">
              <w:rPr>
                <w:rFonts w:eastAsia="Times New Roman"/>
                <w:iCs/>
                <w:szCs w:val="24"/>
                <w:lang w:eastAsia="lv-LV"/>
              </w:rPr>
              <w:t>Precizēt administratora lomu, novēršot interešu konfliktu TAP plāna apstiprināšanas procesā.</w:t>
            </w:r>
          </w:p>
        </w:tc>
        <w:tc>
          <w:tcPr>
            <w:tcW w:w="1559" w:type="dxa"/>
            <w:vAlign w:val="center"/>
          </w:tcPr>
          <w:p w14:paraId="2E0770FA" w14:textId="63E364DA" w:rsidR="00E7748E" w:rsidRPr="00620A0B" w:rsidRDefault="00013664" w:rsidP="00C076E6">
            <w:pPr>
              <w:ind w:firstLine="0"/>
              <w:jc w:val="left"/>
              <w:rPr>
                <w:rFonts w:eastAsia="Times New Roman"/>
                <w:iCs/>
                <w:szCs w:val="24"/>
                <w:lang w:eastAsia="lv-LV"/>
              </w:rPr>
            </w:pPr>
            <w:r w:rsidRPr="00620A0B">
              <w:t>Izpildīts</w:t>
            </w:r>
          </w:p>
        </w:tc>
      </w:tr>
      <w:tr w:rsidR="00AA319D" w:rsidRPr="00620A0B" w14:paraId="71A53E8D" w14:textId="2FDA56A6" w:rsidTr="007A225B">
        <w:tc>
          <w:tcPr>
            <w:tcW w:w="1883" w:type="dxa"/>
            <w:vAlign w:val="center"/>
          </w:tcPr>
          <w:p w14:paraId="630E41EC" w14:textId="766B3D79" w:rsidR="00E7748E" w:rsidRPr="00620A0B" w:rsidRDefault="00E7748E" w:rsidP="003C7E09">
            <w:pPr>
              <w:ind w:firstLine="0"/>
              <w:jc w:val="left"/>
            </w:pPr>
            <w:r w:rsidRPr="00620A0B">
              <w:rPr>
                <w:rFonts w:eastAsia="Times New Roman"/>
                <w:szCs w:val="24"/>
                <w:lang w:eastAsia="lv-LV"/>
              </w:rPr>
              <w:t>Plāna 1.2.6. pasākums</w:t>
            </w:r>
          </w:p>
        </w:tc>
        <w:tc>
          <w:tcPr>
            <w:tcW w:w="5625" w:type="dxa"/>
            <w:vAlign w:val="center"/>
          </w:tcPr>
          <w:p w14:paraId="3503E642" w14:textId="675C55FE" w:rsidR="00E7748E" w:rsidRPr="00620A0B" w:rsidRDefault="00E7748E" w:rsidP="003C7E09">
            <w:pPr>
              <w:ind w:firstLine="0"/>
              <w:jc w:val="left"/>
            </w:pPr>
            <w:r w:rsidRPr="00620A0B">
              <w:rPr>
                <w:rFonts w:eastAsia="Times New Roman"/>
                <w:iCs/>
                <w:szCs w:val="24"/>
                <w:lang w:eastAsia="lv-LV"/>
              </w:rPr>
              <w:t>Palielināt kreditoru lomu TAP, pārskatot administratora (uzrauga) lomu, tajā skaitā paplašinot personu loku, kas ir tiesīgas uzraudzīt TAP plāna izpildi.</w:t>
            </w:r>
          </w:p>
        </w:tc>
        <w:tc>
          <w:tcPr>
            <w:tcW w:w="1559" w:type="dxa"/>
            <w:vAlign w:val="center"/>
          </w:tcPr>
          <w:p w14:paraId="663AE3FC" w14:textId="2714BB8C" w:rsidR="00E7748E" w:rsidRPr="00620A0B" w:rsidRDefault="00013664" w:rsidP="003C7E09">
            <w:pPr>
              <w:ind w:firstLine="0"/>
              <w:jc w:val="left"/>
              <w:rPr>
                <w:rFonts w:eastAsia="Times New Roman"/>
                <w:iCs/>
                <w:szCs w:val="24"/>
                <w:lang w:eastAsia="lv-LV"/>
              </w:rPr>
            </w:pPr>
            <w:r w:rsidRPr="00620A0B">
              <w:t>Izpildīts</w:t>
            </w:r>
          </w:p>
        </w:tc>
      </w:tr>
      <w:tr w:rsidR="00513B51" w:rsidRPr="00620A0B" w14:paraId="61D6C26C" w14:textId="327FB5C8" w:rsidTr="0019545C">
        <w:tc>
          <w:tcPr>
            <w:tcW w:w="1883" w:type="dxa"/>
            <w:shd w:val="clear" w:color="auto" w:fill="F2F2F2" w:themeFill="background1" w:themeFillShade="F2"/>
            <w:vAlign w:val="center"/>
          </w:tcPr>
          <w:p w14:paraId="76D1EB13" w14:textId="58E4C97A" w:rsidR="00513B51" w:rsidRPr="00620A0B" w:rsidRDefault="00513B51" w:rsidP="003C7E09">
            <w:pPr>
              <w:ind w:firstLine="0"/>
              <w:jc w:val="left"/>
              <w:rPr>
                <w:b/>
              </w:rPr>
            </w:pPr>
            <w:r w:rsidRPr="00620A0B">
              <w:rPr>
                <w:b/>
                <w:szCs w:val="24"/>
              </w:rPr>
              <w:t>Pamatnostādņu 2.2. uzdevums</w:t>
            </w:r>
          </w:p>
        </w:tc>
        <w:tc>
          <w:tcPr>
            <w:tcW w:w="7184" w:type="dxa"/>
            <w:gridSpan w:val="2"/>
            <w:shd w:val="clear" w:color="auto" w:fill="F2F2F2" w:themeFill="background1" w:themeFillShade="F2"/>
            <w:vAlign w:val="center"/>
          </w:tcPr>
          <w:p w14:paraId="686D79A5" w14:textId="3D7D6F8B" w:rsidR="00513B51" w:rsidRPr="00620A0B" w:rsidRDefault="00513B51" w:rsidP="003C7E09">
            <w:pPr>
              <w:ind w:firstLine="0"/>
              <w:jc w:val="left"/>
              <w:rPr>
                <w:b/>
              </w:rPr>
            </w:pPr>
            <w:r w:rsidRPr="00620A0B">
              <w:rPr>
                <w:b/>
              </w:rPr>
              <w:t>Veicināt savlaicīgu maksātnespējas procesa pieteikuma iesniegšanu</w:t>
            </w:r>
          </w:p>
        </w:tc>
      </w:tr>
      <w:tr w:rsidR="00AA319D" w:rsidRPr="00620A0B" w14:paraId="1AE984C4" w14:textId="0F613F21" w:rsidTr="007A225B">
        <w:tc>
          <w:tcPr>
            <w:tcW w:w="1883" w:type="dxa"/>
            <w:vAlign w:val="center"/>
          </w:tcPr>
          <w:p w14:paraId="06ED8686" w14:textId="678963BF" w:rsidR="00E7748E" w:rsidRPr="00620A0B" w:rsidRDefault="00E7748E" w:rsidP="003C7E09">
            <w:pPr>
              <w:ind w:firstLine="0"/>
              <w:jc w:val="left"/>
            </w:pPr>
            <w:r w:rsidRPr="00620A0B">
              <w:rPr>
                <w:rFonts w:eastAsia="Times New Roman"/>
                <w:szCs w:val="28"/>
                <w:lang w:eastAsia="lv-LV"/>
              </w:rPr>
              <w:t>Plāna 2.2.1. pasākums</w:t>
            </w:r>
          </w:p>
        </w:tc>
        <w:tc>
          <w:tcPr>
            <w:tcW w:w="5625" w:type="dxa"/>
            <w:vAlign w:val="center"/>
          </w:tcPr>
          <w:p w14:paraId="614E7BA0" w14:textId="4FB44DEC" w:rsidR="00E7748E" w:rsidRPr="00620A0B" w:rsidRDefault="00E7748E" w:rsidP="003C7E09">
            <w:pPr>
              <w:ind w:firstLine="0"/>
              <w:jc w:val="left"/>
            </w:pPr>
            <w:r w:rsidRPr="00620A0B">
              <w:rPr>
                <w:rFonts w:eastAsia="Times New Roman"/>
                <w:szCs w:val="28"/>
                <w:lang w:eastAsia="lv-LV"/>
              </w:rPr>
              <w:t>Veikt grozījumus LAPK, nododot administratīvās sodīšanas funkciju par maksātnespējas procesa pieteikuma neiesniegšanu MKD.</w:t>
            </w:r>
          </w:p>
        </w:tc>
        <w:tc>
          <w:tcPr>
            <w:tcW w:w="1559" w:type="dxa"/>
            <w:vAlign w:val="center"/>
          </w:tcPr>
          <w:p w14:paraId="20BF9415" w14:textId="23B79FDA" w:rsidR="00E7748E" w:rsidRPr="00620A0B" w:rsidRDefault="004F26E3" w:rsidP="003C7E09">
            <w:pPr>
              <w:ind w:firstLine="0"/>
              <w:jc w:val="left"/>
              <w:rPr>
                <w:rFonts w:eastAsia="Times New Roman"/>
                <w:szCs w:val="28"/>
                <w:lang w:eastAsia="lv-LV"/>
              </w:rPr>
            </w:pPr>
            <w:r w:rsidRPr="00620A0B">
              <w:t>Izpildīts</w:t>
            </w:r>
            <w:r w:rsidRPr="00620A0B">
              <w:rPr>
                <w:rFonts w:eastAsia="Times New Roman"/>
                <w:szCs w:val="28"/>
                <w:lang w:eastAsia="lv-LV"/>
              </w:rPr>
              <w:t xml:space="preserve"> / </w:t>
            </w:r>
            <w:r w:rsidR="00013664" w:rsidRPr="00620A0B">
              <w:rPr>
                <w:rFonts w:eastAsia="Times New Roman"/>
                <w:szCs w:val="28"/>
                <w:lang w:eastAsia="lv-LV"/>
              </w:rPr>
              <w:t>Uzsā</w:t>
            </w:r>
            <w:r w:rsidR="00E311E0" w:rsidRPr="00620A0B">
              <w:rPr>
                <w:rFonts w:eastAsia="Times New Roman"/>
                <w:szCs w:val="28"/>
                <w:lang w:eastAsia="lv-LV"/>
              </w:rPr>
              <w:t>kta izpilde</w:t>
            </w:r>
          </w:p>
        </w:tc>
      </w:tr>
      <w:tr w:rsidR="00513B51" w:rsidRPr="00620A0B" w14:paraId="1FCA474B" w14:textId="29D16D5B" w:rsidTr="0019545C">
        <w:tc>
          <w:tcPr>
            <w:tcW w:w="1883" w:type="dxa"/>
            <w:shd w:val="clear" w:color="auto" w:fill="F2F2F2" w:themeFill="background1" w:themeFillShade="F2"/>
            <w:vAlign w:val="center"/>
          </w:tcPr>
          <w:p w14:paraId="0B970C4D" w14:textId="7B68AC29" w:rsidR="00513B51" w:rsidRPr="00620A0B" w:rsidRDefault="00513B51" w:rsidP="003C7E09">
            <w:pPr>
              <w:ind w:firstLine="0"/>
              <w:jc w:val="left"/>
              <w:rPr>
                <w:b/>
              </w:rPr>
            </w:pPr>
            <w:r w:rsidRPr="00620A0B">
              <w:rPr>
                <w:b/>
                <w:szCs w:val="24"/>
              </w:rPr>
              <w:t>Pamatnostādņu 2.3. uzdevums</w:t>
            </w:r>
          </w:p>
        </w:tc>
        <w:tc>
          <w:tcPr>
            <w:tcW w:w="7184" w:type="dxa"/>
            <w:gridSpan w:val="2"/>
            <w:shd w:val="clear" w:color="auto" w:fill="F2F2F2" w:themeFill="background1" w:themeFillShade="F2"/>
            <w:vAlign w:val="center"/>
          </w:tcPr>
          <w:p w14:paraId="625CFF0B" w14:textId="73818884" w:rsidR="00513B51" w:rsidRPr="00620A0B" w:rsidRDefault="00513B51" w:rsidP="003C7E09">
            <w:pPr>
              <w:ind w:firstLine="0"/>
              <w:jc w:val="left"/>
              <w:rPr>
                <w:b/>
              </w:rPr>
            </w:pPr>
            <w:r w:rsidRPr="00620A0B">
              <w:rPr>
                <w:b/>
              </w:rPr>
              <w:t>MKD un Valsts policijas kompetences pārdale</w:t>
            </w:r>
          </w:p>
        </w:tc>
      </w:tr>
      <w:tr w:rsidR="00AA319D" w:rsidRPr="00620A0B" w14:paraId="6F4E8612" w14:textId="61C0CB3F" w:rsidTr="007A225B">
        <w:tc>
          <w:tcPr>
            <w:tcW w:w="1883" w:type="dxa"/>
            <w:vAlign w:val="center"/>
          </w:tcPr>
          <w:p w14:paraId="2E1DCC35" w14:textId="7D14D500" w:rsidR="00E7748E" w:rsidRPr="00620A0B" w:rsidRDefault="00E7748E" w:rsidP="003C7E09">
            <w:pPr>
              <w:ind w:firstLine="0"/>
              <w:jc w:val="left"/>
            </w:pPr>
            <w:r w:rsidRPr="00620A0B">
              <w:t>Plāna 2.3.1. pasākums</w:t>
            </w:r>
          </w:p>
        </w:tc>
        <w:tc>
          <w:tcPr>
            <w:tcW w:w="5625" w:type="dxa"/>
            <w:vAlign w:val="center"/>
          </w:tcPr>
          <w:p w14:paraId="482FDD6D" w14:textId="5C5BEEC7" w:rsidR="00E7748E" w:rsidRPr="00620A0B" w:rsidRDefault="00E7748E" w:rsidP="003C7E09">
            <w:pPr>
              <w:ind w:firstLine="0"/>
              <w:jc w:val="left"/>
            </w:pPr>
            <w:r w:rsidRPr="00620A0B">
              <w:rPr>
                <w:rFonts w:eastAsia="Times New Roman"/>
                <w:szCs w:val="28"/>
                <w:lang w:eastAsia="lv-LV"/>
              </w:rPr>
              <w:t>Pilnveidot Krimināllikuma 215. un 215.</w:t>
            </w:r>
            <w:r w:rsidRPr="00620A0B">
              <w:rPr>
                <w:rFonts w:eastAsia="Times New Roman"/>
                <w:szCs w:val="28"/>
                <w:vertAlign w:val="superscript"/>
                <w:lang w:eastAsia="lv-LV"/>
              </w:rPr>
              <w:t>1</w:t>
            </w:r>
            <w:r w:rsidRPr="00620A0B">
              <w:rPr>
                <w:rFonts w:eastAsia="Times New Roman"/>
                <w:szCs w:val="28"/>
                <w:lang w:eastAsia="lv-LV"/>
              </w:rPr>
              <w:t> panta regulējum</w:t>
            </w:r>
            <w:r w:rsidR="00AB12EC">
              <w:rPr>
                <w:rFonts w:eastAsia="Times New Roman"/>
                <w:szCs w:val="28"/>
                <w:lang w:eastAsia="lv-LV"/>
              </w:rPr>
              <w:t>u</w:t>
            </w:r>
            <w:r w:rsidRPr="00620A0B">
              <w:rPr>
                <w:rFonts w:eastAsia="Times New Roman"/>
                <w:szCs w:val="28"/>
                <w:lang w:eastAsia="lv-LV"/>
              </w:rPr>
              <w:t xml:space="preserve"> par maksātnespējas procesa kavēšanu, kā arī TAP noteikumu pārkāpšanu, sabiedrībai mazāk bīstamus pārkāpumus ietverot LAPK. Pārskatīt LAPK un Krimināllikumā paredzētos pārkāpumus maksātnespējas jomā, Valsts policijas kompetencē atstājot tikai pārkāpumus, kas ir ar augstu kaitīguma pakāpi sabiedrībai.</w:t>
            </w:r>
          </w:p>
        </w:tc>
        <w:tc>
          <w:tcPr>
            <w:tcW w:w="1559" w:type="dxa"/>
            <w:vAlign w:val="center"/>
          </w:tcPr>
          <w:p w14:paraId="3C4221EE" w14:textId="608E09F6" w:rsidR="00E7748E" w:rsidRPr="00620A0B" w:rsidRDefault="00E311E0" w:rsidP="003C7E09">
            <w:pPr>
              <w:ind w:firstLine="0"/>
              <w:jc w:val="left"/>
              <w:rPr>
                <w:rFonts w:eastAsia="Times New Roman"/>
                <w:szCs w:val="28"/>
                <w:lang w:eastAsia="lv-LV"/>
              </w:rPr>
            </w:pPr>
            <w:r w:rsidRPr="00620A0B">
              <w:t>Izpildīts</w:t>
            </w:r>
          </w:p>
        </w:tc>
      </w:tr>
      <w:tr w:rsidR="00513B51" w:rsidRPr="00620A0B" w14:paraId="2D5E1AB1" w14:textId="00A7EDBB" w:rsidTr="0019545C">
        <w:tc>
          <w:tcPr>
            <w:tcW w:w="1883" w:type="dxa"/>
            <w:shd w:val="clear" w:color="auto" w:fill="F2F2F2" w:themeFill="background1" w:themeFillShade="F2"/>
            <w:vAlign w:val="center"/>
          </w:tcPr>
          <w:p w14:paraId="327A5AD3" w14:textId="0CF5D650" w:rsidR="00513B51" w:rsidRPr="00620A0B" w:rsidRDefault="00513B51" w:rsidP="003C7E09">
            <w:pPr>
              <w:ind w:firstLine="0"/>
              <w:jc w:val="left"/>
              <w:rPr>
                <w:b/>
              </w:rPr>
            </w:pPr>
            <w:r w:rsidRPr="00620A0B">
              <w:rPr>
                <w:b/>
                <w:szCs w:val="24"/>
              </w:rPr>
              <w:t>Pamatnostādņu 2.4. uzdevums</w:t>
            </w:r>
          </w:p>
        </w:tc>
        <w:tc>
          <w:tcPr>
            <w:tcW w:w="7184" w:type="dxa"/>
            <w:gridSpan w:val="2"/>
            <w:shd w:val="clear" w:color="auto" w:fill="F2F2F2" w:themeFill="background1" w:themeFillShade="F2"/>
            <w:vAlign w:val="center"/>
          </w:tcPr>
          <w:p w14:paraId="4557D1CF" w14:textId="19D61F51" w:rsidR="00513B51" w:rsidRPr="00620A0B" w:rsidRDefault="00513B51" w:rsidP="003C7E09">
            <w:pPr>
              <w:ind w:firstLine="0"/>
              <w:jc w:val="left"/>
              <w:rPr>
                <w:b/>
              </w:rPr>
            </w:pPr>
            <w:r w:rsidRPr="00620A0B">
              <w:rPr>
                <w:b/>
              </w:rPr>
              <w:t>Stiprināt MKD un Valsts policijas kompetenci</w:t>
            </w:r>
          </w:p>
        </w:tc>
      </w:tr>
      <w:tr w:rsidR="00AA319D" w:rsidRPr="00620A0B" w14:paraId="1F48674C" w14:textId="0D26AA3F" w:rsidTr="007A225B">
        <w:tc>
          <w:tcPr>
            <w:tcW w:w="1883" w:type="dxa"/>
            <w:vAlign w:val="center"/>
          </w:tcPr>
          <w:p w14:paraId="0E32CF4C" w14:textId="6BD94706" w:rsidR="00E7748E" w:rsidRPr="00620A0B" w:rsidRDefault="00E7748E" w:rsidP="003C7E09">
            <w:pPr>
              <w:ind w:firstLine="0"/>
              <w:jc w:val="left"/>
            </w:pPr>
            <w:r w:rsidRPr="00620A0B">
              <w:rPr>
                <w:rFonts w:eastAsia="Times New Roman"/>
                <w:szCs w:val="28"/>
                <w:lang w:eastAsia="lv-LV"/>
              </w:rPr>
              <w:t>Plāna 2.4.2. pasākums</w:t>
            </w:r>
          </w:p>
        </w:tc>
        <w:tc>
          <w:tcPr>
            <w:tcW w:w="5625" w:type="dxa"/>
            <w:vAlign w:val="center"/>
          </w:tcPr>
          <w:p w14:paraId="4E4745AA" w14:textId="6ED5A0CD" w:rsidR="00E7748E" w:rsidRPr="00620A0B" w:rsidRDefault="00E7748E" w:rsidP="003C7E09">
            <w:pPr>
              <w:ind w:firstLine="0"/>
              <w:jc w:val="left"/>
            </w:pPr>
            <w:r w:rsidRPr="00620A0B">
              <w:rPr>
                <w:rFonts w:eastAsia="Times New Roman"/>
                <w:szCs w:val="28"/>
                <w:lang w:eastAsia="lv-LV"/>
              </w:rPr>
              <w:t>Noteikt, ka MKD likumā noteiktā kārtībā ir tiesības ierasties jebkura administratora prakses vietā un pieprasīt uzrādīt lietvedībā esošos dokumentus, iepriekš nebrīdinot.</w:t>
            </w:r>
          </w:p>
        </w:tc>
        <w:tc>
          <w:tcPr>
            <w:tcW w:w="1559" w:type="dxa"/>
            <w:vAlign w:val="center"/>
          </w:tcPr>
          <w:p w14:paraId="1F5DE3BE" w14:textId="44210B1E" w:rsidR="00E7748E" w:rsidRPr="00620A0B" w:rsidRDefault="00E311E0" w:rsidP="003C7E09">
            <w:pPr>
              <w:ind w:firstLine="0"/>
              <w:jc w:val="left"/>
              <w:rPr>
                <w:rFonts w:eastAsia="Times New Roman"/>
                <w:szCs w:val="28"/>
                <w:lang w:eastAsia="lv-LV"/>
              </w:rPr>
            </w:pPr>
            <w:r w:rsidRPr="00620A0B">
              <w:t>Izpildīts</w:t>
            </w:r>
          </w:p>
        </w:tc>
      </w:tr>
      <w:tr w:rsidR="00AA319D" w:rsidRPr="00620A0B" w14:paraId="63C54F02" w14:textId="16336C79" w:rsidTr="007A225B">
        <w:tc>
          <w:tcPr>
            <w:tcW w:w="1883" w:type="dxa"/>
            <w:vAlign w:val="center"/>
          </w:tcPr>
          <w:p w14:paraId="550BF681" w14:textId="323ACA7D" w:rsidR="00E7748E" w:rsidRPr="00620A0B" w:rsidRDefault="00E7748E" w:rsidP="003C7E09">
            <w:pPr>
              <w:ind w:firstLine="0"/>
              <w:jc w:val="left"/>
              <w:rPr>
                <w:rFonts w:eastAsia="Times New Roman"/>
                <w:szCs w:val="28"/>
                <w:lang w:eastAsia="lv-LV"/>
              </w:rPr>
            </w:pPr>
            <w:r w:rsidRPr="00620A0B">
              <w:rPr>
                <w:rFonts w:eastAsia="Times New Roman"/>
                <w:szCs w:val="28"/>
                <w:lang w:eastAsia="lv-LV"/>
              </w:rPr>
              <w:t>Plāna 2.4.3. pasākums</w:t>
            </w:r>
          </w:p>
        </w:tc>
        <w:tc>
          <w:tcPr>
            <w:tcW w:w="5625" w:type="dxa"/>
            <w:vAlign w:val="center"/>
          </w:tcPr>
          <w:p w14:paraId="46FC9AA4" w14:textId="54D6E0D4" w:rsidR="00E7748E" w:rsidRPr="00620A0B" w:rsidRDefault="00E7748E" w:rsidP="003C7E09">
            <w:pPr>
              <w:ind w:firstLine="0"/>
              <w:jc w:val="left"/>
              <w:rPr>
                <w:rFonts w:eastAsia="Times New Roman"/>
                <w:szCs w:val="28"/>
                <w:lang w:eastAsia="lv-LV"/>
              </w:rPr>
            </w:pPr>
            <w:r w:rsidRPr="00620A0B">
              <w:rPr>
                <w:szCs w:val="28"/>
              </w:rPr>
              <w:t>Izvērtēt MKD finansēšanas modeļus, izvērtējot iespēju atskaitīt finanšu līdzekļus no uzņēmumu riska valsts nodevas, kā arī citus alternatīvas finansēšanas avotus.</w:t>
            </w:r>
          </w:p>
        </w:tc>
        <w:tc>
          <w:tcPr>
            <w:tcW w:w="1559" w:type="dxa"/>
            <w:vAlign w:val="center"/>
          </w:tcPr>
          <w:p w14:paraId="4DD51973" w14:textId="57144A79" w:rsidR="00E7748E" w:rsidRPr="00620A0B" w:rsidRDefault="00BA63A4" w:rsidP="003C7E09">
            <w:pPr>
              <w:ind w:firstLine="0"/>
              <w:jc w:val="left"/>
              <w:rPr>
                <w:szCs w:val="28"/>
              </w:rPr>
            </w:pPr>
            <w:r w:rsidRPr="00620A0B">
              <w:t>Izpildīts</w:t>
            </w:r>
          </w:p>
        </w:tc>
      </w:tr>
      <w:tr w:rsidR="00513B51" w:rsidRPr="00620A0B" w14:paraId="13ACF7E6" w14:textId="4457D077" w:rsidTr="0019545C">
        <w:tc>
          <w:tcPr>
            <w:tcW w:w="1883" w:type="dxa"/>
            <w:shd w:val="clear" w:color="auto" w:fill="F2F2F2" w:themeFill="background1" w:themeFillShade="F2"/>
            <w:vAlign w:val="center"/>
          </w:tcPr>
          <w:p w14:paraId="4366A28E" w14:textId="171B33D9" w:rsidR="00513B51" w:rsidRPr="00620A0B" w:rsidRDefault="00513B51" w:rsidP="003C7E09">
            <w:pPr>
              <w:ind w:firstLine="0"/>
              <w:jc w:val="left"/>
              <w:rPr>
                <w:rFonts w:eastAsia="Times New Roman"/>
                <w:b/>
                <w:szCs w:val="28"/>
                <w:lang w:eastAsia="lv-LV"/>
              </w:rPr>
            </w:pPr>
            <w:r w:rsidRPr="00620A0B">
              <w:rPr>
                <w:b/>
                <w:szCs w:val="24"/>
              </w:rPr>
              <w:lastRenderedPageBreak/>
              <w:t>Pamatnostādņu 2.5. uzdevums</w:t>
            </w:r>
          </w:p>
        </w:tc>
        <w:tc>
          <w:tcPr>
            <w:tcW w:w="7184" w:type="dxa"/>
            <w:gridSpan w:val="2"/>
            <w:shd w:val="clear" w:color="auto" w:fill="F2F2F2" w:themeFill="background1" w:themeFillShade="F2"/>
            <w:vAlign w:val="center"/>
          </w:tcPr>
          <w:p w14:paraId="77E54ECB" w14:textId="6A80B212" w:rsidR="00513B51" w:rsidRPr="00620A0B" w:rsidRDefault="00513B51" w:rsidP="003C7E09">
            <w:pPr>
              <w:ind w:firstLine="0"/>
              <w:jc w:val="left"/>
              <w:rPr>
                <w:b/>
                <w:szCs w:val="28"/>
              </w:rPr>
            </w:pPr>
            <w:r w:rsidRPr="00620A0B">
              <w:rPr>
                <w:b/>
                <w:szCs w:val="28"/>
              </w:rPr>
              <w:t>Pārskatīt kārtību par dokumentu viltošanas konstatēšanu</w:t>
            </w:r>
          </w:p>
        </w:tc>
      </w:tr>
      <w:tr w:rsidR="00AA319D" w:rsidRPr="00620A0B" w14:paraId="59DDD057" w14:textId="55995FCC" w:rsidTr="007A225B">
        <w:tc>
          <w:tcPr>
            <w:tcW w:w="1883" w:type="dxa"/>
            <w:vAlign w:val="center"/>
          </w:tcPr>
          <w:p w14:paraId="0C60D13E" w14:textId="3AEBDC3F" w:rsidR="00E7748E" w:rsidRPr="00620A0B" w:rsidRDefault="00E7748E" w:rsidP="003C7E09">
            <w:pPr>
              <w:ind w:firstLine="0"/>
              <w:jc w:val="left"/>
              <w:rPr>
                <w:b/>
                <w:szCs w:val="24"/>
              </w:rPr>
            </w:pPr>
            <w:r w:rsidRPr="00620A0B">
              <w:t>Plāna 2.5.1. pasākums</w:t>
            </w:r>
          </w:p>
        </w:tc>
        <w:tc>
          <w:tcPr>
            <w:tcW w:w="5625" w:type="dxa"/>
            <w:vAlign w:val="center"/>
          </w:tcPr>
          <w:p w14:paraId="7947FDBA" w14:textId="4DB3254B" w:rsidR="00E7748E" w:rsidRPr="00620A0B" w:rsidRDefault="00E7748E" w:rsidP="003C7E09">
            <w:pPr>
              <w:ind w:firstLine="0"/>
              <w:jc w:val="left"/>
              <w:rPr>
                <w:szCs w:val="28"/>
              </w:rPr>
            </w:pPr>
            <w:r w:rsidRPr="00620A0B">
              <w:t>Normatīvajos aktos noteikt dokumentu viltošanas konstatēšanas kārtību un sekas.</w:t>
            </w:r>
          </w:p>
        </w:tc>
        <w:tc>
          <w:tcPr>
            <w:tcW w:w="1559" w:type="dxa"/>
            <w:vAlign w:val="center"/>
          </w:tcPr>
          <w:p w14:paraId="77FCFCE2" w14:textId="4079DC73" w:rsidR="00E7748E" w:rsidRPr="00620A0B" w:rsidRDefault="00BA63A4" w:rsidP="003C7E09">
            <w:pPr>
              <w:ind w:firstLine="0"/>
              <w:jc w:val="left"/>
            </w:pPr>
            <w:r w:rsidRPr="00620A0B">
              <w:t>Izpildīts</w:t>
            </w:r>
          </w:p>
        </w:tc>
      </w:tr>
      <w:tr w:rsidR="00513B51" w:rsidRPr="00620A0B" w14:paraId="6045F8E1" w14:textId="04870411" w:rsidTr="0019545C">
        <w:tc>
          <w:tcPr>
            <w:tcW w:w="1883" w:type="dxa"/>
            <w:shd w:val="clear" w:color="auto" w:fill="F2F2F2" w:themeFill="background1" w:themeFillShade="F2"/>
            <w:vAlign w:val="center"/>
          </w:tcPr>
          <w:p w14:paraId="3C0CA1DC" w14:textId="0B55E4A8" w:rsidR="00513B51" w:rsidRPr="00620A0B" w:rsidRDefault="00513B51" w:rsidP="003C7E09">
            <w:pPr>
              <w:ind w:firstLine="0"/>
              <w:jc w:val="left"/>
              <w:rPr>
                <w:b/>
              </w:rPr>
            </w:pPr>
            <w:r w:rsidRPr="00620A0B">
              <w:rPr>
                <w:b/>
                <w:szCs w:val="24"/>
              </w:rPr>
              <w:t>Pamatnostādņu 2.8. uzdevums</w:t>
            </w:r>
          </w:p>
        </w:tc>
        <w:tc>
          <w:tcPr>
            <w:tcW w:w="7184" w:type="dxa"/>
            <w:gridSpan w:val="2"/>
            <w:shd w:val="clear" w:color="auto" w:fill="F2F2F2" w:themeFill="background1" w:themeFillShade="F2"/>
            <w:vAlign w:val="center"/>
          </w:tcPr>
          <w:p w14:paraId="4AB3A2DE" w14:textId="149D8DE8" w:rsidR="00513B51" w:rsidRPr="00620A0B" w:rsidRDefault="00513B51" w:rsidP="003C7E09">
            <w:pPr>
              <w:ind w:firstLine="0"/>
              <w:jc w:val="left"/>
              <w:rPr>
                <w:b/>
              </w:rPr>
            </w:pPr>
            <w:r w:rsidRPr="00620A0B">
              <w:rPr>
                <w:b/>
              </w:rPr>
              <w:t>Stiprināt kreditoru lomu</w:t>
            </w:r>
          </w:p>
        </w:tc>
      </w:tr>
      <w:tr w:rsidR="00AA319D" w:rsidRPr="00620A0B" w14:paraId="3BD40401" w14:textId="33E90871" w:rsidTr="007A225B">
        <w:tc>
          <w:tcPr>
            <w:tcW w:w="1883" w:type="dxa"/>
            <w:vAlign w:val="center"/>
          </w:tcPr>
          <w:p w14:paraId="18875FD7" w14:textId="7E0C5064" w:rsidR="00E7748E" w:rsidRPr="00620A0B" w:rsidRDefault="00E7748E" w:rsidP="003C7E09">
            <w:pPr>
              <w:ind w:firstLine="0"/>
              <w:jc w:val="left"/>
              <w:rPr>
                <w:b/>
                <w:szCs w:val="24"/>
              </w:rPr>
            </w:pPr>
            <w:r w:rsidRPr="00620A0B">
              <w:rPr>
                <w:rFonts w:eastAsia="Times New Roman"/>
                <w:szCs w:val="28"/>
                <w:lang w:eastAsia="lv-LV"/>
              </w:rPr>
              <w:t>Plāna 2.8.2. pasākums</w:t>
            </w:r>
          </w:p>
        </w:tc>
        <w:tc>
          <w:tcPr>
            <w:tcW w:w="5625" w:type="dxa"/>
            <w:vAlign w:val="center"/>
          </w:tcPr>
          <w:p w14:paraId="1C747C5F" w14:textId="5A8071D1" w:rsidR="00E7748E" w:rsidRPr="00620A0B" w:rsidRDefault="00E7748E" w:rsidP="003C7E09">
            <w:pPr>
              <w:ind w:firstLine="0"/>
              <w:jc w:val="left"/>
            </w:pPr>
            <w:r w:rsidRPr="00620A0B">
              <w:rPr>
                <w:rFonts w:eastAsia="Times New Roman"/>
                <w:szCs w:val="28"/>
                <w:lang w:eastAsia="lv-LV"/>
              </w:rPr>
              <w:t>Izvērtēt iespēju noteikt kreditoriem tiesības pieprasīt zvērinātam revidentam veikt administratora darbības revīziju.</w:t>
            </w:r>
          </w:p>
        </w:tc>
        <w:tc>
          <w:tcPr>
            <w:tcW w:w="1559" w:type="dxa"/>
            <w:vAlign w:val="center"/>
          </w:tcPr>
          <w:p w14:paraId="0DF5B863" w14:textId="7C145560" w:rsidR="00E7748E" w:rsidRPr="00620A0B" w:rsidRDefault="0070283E" w:rsidP="003C7E09">
            <w:pPr>
              <w:ind w:firstLine="0"/>
              <w:jc w:val="left"/>
              <w:rPr>
                <w:rFonts w:eastAsia="Times New Roman"/>
                <w:szCs w:val="28"/>
                <w:lang w:eastAsia="lv-LV"/>
              </w:rPr>
            </w:pPr>
            <w:r w:rsidRPr="00620A0B">
              <w:t>Izpildīts</w:t>
            </w:r>
          </w:p>
        </w:tc>
      </w:tr>
      <w:tr w:rsidR="00513B51" w:rsidRPr="00620A0B" w14:paraId="5FCA9D81" w14:textId="53E72454" w:rsidTr="0019545C">
        <w:tc>
          <w:tcPr>
            <w:tcW w:w="1883" w:type="dxa"/>
            <w:shd w:val="clear" w:color="auto" w:fill="F2F2F2" w:themeFill="background1" w:themeFillShade="F2"/>
            <w:vAlign w:val="center"/>
          </w:tcPr>
          <w:p w14:paraId="7597F2DD" w14:textId="76807283" w:rsidR="00513B51" w:rsidRPr="00620A0B" w:rsidRDefault="00513B51" w:rsidP="003C7E09">
            <w:pPr>
              <w:ind w:firstLine="0"/>
              <w:jc w:val="left"/>
              <w:rPr>
                <w:b/>
                <w:szCs w:val="24"/>
              </w:rPr>
            </w:pPr>
            <w:r w:rsidRPr="00620A0B">
              <w:rPr>
                <w:b/>
                <w:szCs w:val="24"/>
              </w:rPr>
              <w:t>Pamatnostādņu 2.10. uzdevums</w:t>
            </w:r>
          </w:p>
        </w:tc>
        <w:tc>
          <w:tcPr>
            <w:tcW w:w="7184" w:type="dxa"/>
            <w:gridSpan w:val="2"/>
            <w:shd w:val="clear" w:color="auto" w:fill="F2F2F2" w:themeFill="background1" w:themeFillShade="F2"/>
            <w:vAlign w:val="center"/>
          </w:tcPr>
          <w:p w14:paraId="656995BC" w14:textId="57A1FB0D" w:rsidR="00513B51" w:rsidRPr="00620A0B" w:rsidRDefault="00513B51" w:rsidP="003C7E09">
            <w:pPr>
              <w:ind w:firstLine="0"/>
              <w:jc w:val="left"/>
              <w:rPr>
                <w:rFonts w:eastAsia="Times New Roman"/>
                <w:b/>
                <w:szCs w:val="28"/>
                <w:lang w:eastAsia="lv-LV"/>
              </w:rPr>
            </w:pPr>
            <w:r w:rsidRPr="00620A0B">
              <w:rPr>
                <w:rFonts w:eastAsia="Times New Roman"/>
                <w:b/>
                <w:szCs w:val="28"/>
                <w:lang w:eastAsia="lv-LV"/>
              </w:rPr>
              <w:t>Stiprināt tiesas kompetenci</w:t>
            </w:r>
          </w:p>
        </w:tc>
      </w:tr>
      <w:tr w:rsidR="00AA319D" w:rsidRPr="00620A0B" w14:paraId="61A6C302" w14:textId="18CD986C" w:rsidTr="007A225B">
        <w:tc>
          <w:tcPr>
            <w:tcW w:w="1883" w:type="dxa"/>
            <w:vAlign w:val="center"/>
          </w:tcPr>
          <w:p w14:paraId="4FE0C928" w14:textId="612368F8" w:rsidR="00E7748E" w:rsidRPr="00620A0B" w:rsidRDefault="00E7748E" w:rsidP="003C7E09">
            <w:pPr>
              <w:ind w:firstLine="0"/>
              <w:jc w:val="left"/>
              <w:rPr>
                <w:b/>
                <w:szCs w:val="24"/>
              </w:rPr>
            </w:pPr>
            <w:r w:rsidRPr="00620A0B">
              <w:t>Plāna 2.10.1. pasākums</w:t>
            </w:r>
          </w:p>
        </w:tc>
        <w:tc>
          <w:tcPr>
            <w:tcW w:w="5625" w:type="dxa"/>
            <w:vAlign w:val="center"/>
          </w:tcPr>
          <w:p w14:paraId="7D91E90E" w14:textId="2ACC65D5" w:rsidR="00E7748E" w:rsidRPr="00620A0B" w:rsidRDefault="00E7748E" w:rsidP="003C7E09">
            <w:pPr>
              <w:ind w:firstLine="0"/>
              <w:jc w:val="left"/>
              <w:rPr>
                <w:rFonts w:eastAsia="Times New Roman"/>
                <w:szCs w:val="28"/>
                <w:lang w:eastAsia="lv-LV"/>
              </w:rPr>
            </w:pPr>
            <w:r w:rsidRPr="00620A0B">
              <w:t>Pārskatīt kārtību, kādā izskata strīdus par tiesībām kreditoru prasījumu atzīšanas procesā.</w:t>
            </w:r>
          </w:p>
        </w:tc>
        <w:tc>
          <w:tcPr>
            <w:tcW w:w="1559" w:type="dxa"/>
            <w:vAlign w:val="center"/>
          </w:tcPr>
          <w:p w14:paraId="225D279A" w14:textId="331C4EAE" w:rsidR="00E7748E" w:rsidRPr="00620A0B" w:rsidRDefault="0070283E" w:rsidP="003C7E09">
            <w:pPr>
              <w:ind w:firstLine="0"/>
              <w:jc w:val="left"/>
            </w:pPr>
            <w:r w:rsidRPr="00620A0B">
              <w:t>Izpildīts</w:t>
            </w:r>
          </w:p>
        </w:tc>
      </w:tr>
      <w:tr w:rsidR="00513B51" w:rsidRPr="00620A0B" w14:paraId="7D92FBE3" w14:textId="0224D41C" w:rsidTr="0019545C">
        <w:tc>
          <w:tcPr>
            <w:tcW w:w="1883" w:type="dxa"/>
            <w:shd w:val="clear" w:color="auto" w:fill="F2F2F2" w:themeFill="background1" w:themeFillShade="F2"/>
            <w:vAlign w:val="center"/>
          </w:tcPr>
          <w:p w14:paraId="4D96E9F4" w14:textId="2B37780A" w:rsidR="00513B51" w:rsidRPr="00620A0B" w:rsidRDefault="00513B51" w:rsidP="003C7E09">
            <w:pPr>
              <w:ind w:firstLine="0"/>
              <w:jc w:val="left"/>
              <w:rPr>
                <w:b/>
                <w:szCs w:val="24"/>
              </w:rPr>
            </w:pPr>
            <w:r w:rsidRPr="00620A0B">
              <w:rPr>
                <w:b/>
                <w:szCs w:val="24"/>
              </w:rPr>
              <w:t>Pamatnostādņu 2.12. uzdevums</w:t>
            </w:r>
          </w:p>
        </w:tc>
        <w:tc>
          <w:tcPr>
            <w:tcW w:w="7184" w:type="dxa"/>
            <w:gridSpan w:val="2"/>
            <w:shd w:val="clear" w:color="auto" w:fill="F2F2F2" w:themeFill="background1" w:themeFillShade="F2"/>
            <w:vAlign w:val="center"/>
          </w:tcPr>
          <w:p w14:paraId="59E9EA9F" w14:textId="60B560E7" w:rsidR="00513B51" w:rsidRPr="00620A0B" w:rsidRDefault="00513B51" w:rsidP="003C7E09">
            <w:pPr>
              <w:ind w:firstLine="0"/>
              <w:jc w:val="left"/>
              <w:rPr>
                <w:b/>
              </w:rPr>
            </w:pPr>
            <w:r w:rsidRPr="00620A0B">
              <w:rPr>
                <w:b/>
              </w:rPr>
              <w:t>Pilnveidot regulējumu par administratīvajiem pārkāpumiem maksātnespējas jomā</w:t>
            </w:r>
          </w:p>
        </w:tc>
      </w:tr>
      <w:tr w:rsidR="00AA319D" w:rsidRPr="00620A0B" w14:paraId="1370A9F1" w14:textId="606D06D9" w:rsidTr="007A225B">
        <w:tc>
          <w:tcPr>
            <w:tcW w:w="1883" w:type="dxa"/>
            <w:vAlign w:val="center"/>
          </w:tcPr>
          <w:p w14:paraId="70DDC7F0" w14:textId="08C70CB9" w:rsidR="00E7748E" w:rsidRPr="00620A0B" w:rsidRDefault="00E7748E" w:rsidP="003C7E09">
            <w:pPr>
              <w:ind w:firstLine="0"/>
              <w:jc w:val="left"/>
              <w:rPr>
                <w:b/>
                <w:szCs w:val="24"/>
              </w:rPr>
            </w:pPr>
            <w:r w:rsidRPr="00620A0B">
              <w:rPr>
                <w:rFonts w:eastAsia="Times New Roman"/>
                <w:szCs w:val="28"/>
                <w:lang w:eastAsia="lv-LV"/>
              </w:rPr>
              <w:t>Plāna 2.12.1. pasākums</w:t>
            </w:r>
          </w:p>
        </w:tc>
        <w:tc>
          <w:tcPr>
            <w:tcW w:w="5625" w:type="dxa"/>
            <w:vAlign w:val="center"/>
          </w:tcPr>
          <w:p w14:paraId="074C4145" w14:textId="457BF483" w:rsidR="00E7748E" w:rsidRPr="00620A0B" w:rsidRDefault="00E7748E" w:rsidP="003C7E09">
            <w:pPr>
              <w:ind w:firstLine="0"/>
              <w:jc w:val="left"/>
            </w:pPr>
            <w:r w:rsidRPr="00620A0B">
              <w:rPr>
                <w:szCs w:val="28"/>
              </w:rPr>
              <w:t>Izvērtēt iespēju palielināt LAPK par administratīvajiem pārkāpumiem maksātnespējas jomā noteikto sodu apmēru.</w:t>
            </w:r>
          </w:p>
        </w:tc>
        <w:tc>
          <w:tcPr>
            <w:tcW w:w="1559" w:type="dxa"/>
            <w:vAlign w:val="center"/>
          </w:tcPr>
          <w:p w14:paraId="51ACA552" w14:textId="2D515BBB" w:rsidR="00E7748E" w:rsidRPr="00620A0B" w:rsidRDefault="004F26E3" w:rsidP="003C7E09">
            <w:pPr>
              <w:ind w:firstLine="0"/>
              <w:jc w:val="left"/>
              <w:rPr>
                <w:szCs w:val="28"/>
              </w:rPr>
            </w:pPr>
            <w:r w:rsidRPr="00620A0B">
              <w:t>Izpildīts</w:t>
            </w:r>
            <w:r w:rsidRPr="00620A0B">
              <w:rPr>
                <w:szCs w:val="28"/>
              </w:rPr>
              <w:t xml:space="preserve"> / </w:t>
            </w:r>
            <w:r w:rsidR="0070283E" w:rsidRPr="00620A0B">
              <w:rPr>
                <w:szCs w:val="28"/>
              </w:rPr>
              <w:t>Uzsākta izpilde</w:t>
            </w:r>
          </w:p>
        </w:tc>
      </w:tr>
      <w:tr w:rsidR="00AA319D" w:rsidRPr="00620A0B" w14:paraId="20576E5A" w14:textId="7B496DAB" w:rsidTr="007A225B">
        <w:tc>
          <w:tcPr>
            <w:tcW w:w="1883" w:type="dxa"/>
            <w:vAlign w:val="center"/>
          </w:tcPr>
          <w:p w14:paraId="4FF381B2" w14:textId="09307627" w:rsidR="00E7748E" w:rsidRPr="00620A0B" w:rsidRDefault="00E7748E" w:rsidP="003C7E09">
            <w:pPr>
              <w:ind w:firstLine="0"/>
              <w:jc w:val="left"/>
              <w:rPr>
                <w:rFonts w:eastAsia="Times New Roman"/>
                <w:szCs w:val="28"/>
                <w:lang w:eastAsia="lv-LV"/>
              </w:rPr>
            </w:pPr>
            <w:r w:rsidRPr="00620A0B">
              <w:rPr>
                <w:rFonts w:eastAsia="Times New Roman"/>
                <w:szCs w:val="28"/>
                <w:lang w:eastAsia="lv-LV"/>
              </w:rPr>
              <w:t>Plāna 2.12.2. pasākums</w:t>
            </w:r>
          </w:p>
        </w:tc>
        <w:tc>
          <w:tcPr>
            <w:tcW w:w="5625" w:type="dxa"/>
            <w:vAlign w:val="center"/>
          </w:tcPr>
          <w:p w14:paraId="4BC359C3" w14:textId="594D3AC2" w:rsidR="00E7748E" w:rsidRPr="00620A0B" w:rsidRDefault="00E7748E" w:rsidP="003C7E09">
            <w:pPr>
              <w:ind w:firstLine="0"/>
              <w:jc w:val="left"/>
              <w:rPr>
                <w:szCs w:val="28"/>
              </w:rPr>
            </w:pPr>
            <w:r w:rsidRPr="00620A0B">
              <w:rPr>
                <w:szCs w:val="28"/>
              </w:rPr>
              <w:t>Izvērtēt alternatīvu sankciju ieviešanu par administratīvajiem pārkāpumiem maksātnespējas jomā un izstrādāt atbilstošus grozījumus normatīvajos aktos.</w:t>
            </w:r>
          </w:p>
        </w:tc>
        <w:tc>
          <w:tcPr>
            <w:tcW w:w="1559" w:type="dxa"/>
            <w:vAlign w:val="center"/>
          </w:tcPr>
          <w:p w14:paraId="4B012385" w14:textId="5EDBC1FB" w:rsidR="00E7748E" w:rsidRPr="00620A0B" w:rsidRDefault="004F26E3" w:rsidP="003C7E09">
            <w:pPr>
              <w:ind w:firstLine="0"/>
              <w:jc w:val="left"/>
              <w:rPr>
                <w:szCs w:val="28"/>
              </w:rPr>
            </w:pPr>
            <w:r w:rsidRPr="00620A0B">
              <w:t>Izpildīts</w:t>
            </w:r>
            <w:r w:rsidRPr="00620A0B">
              <w:rPr>
                <w:szCs w:val="28"/>
              </w:rPr>
              <w:t xml:space="preserve"> / </w:t>
            </w:r>
            <w:r w:rsidR="00E3105D" w:rsidRPr="00620A0B">
              <w:rPr>
                <w:szCs w:val="28"/>
              </w:rPr>
              <w:t>Uzsākta izpilde</w:t>
            </w:r>
          </w:p>
        </w:tc>
      </w:tr>
      <w:tr w:rsidR="00513B51" w:rsidRPr="00620A0B" w14:paraId="5D8CE792" w14:textId="25A60738" w:rsidTr="0019545C">
        <w:tc>
          <w:tcPr>
            <w:tcW w:w="1883" w:type="dxa"/>
            <w:shd w:val="clear" w:color="auto" w:fill="F2F2F2" w:themeFill="background1" w:themeFillShade="F2"/>
            <w:vAlign w:val="center"/>
          </w:tcPr>
          <w:p w14:paraId="0618F87C" w14:textId="4B091B6B" w:rsidR="00513B51" w:rsidRPr="00620A0B" w:rsidRDefault="00513B51" w:rsidP="003C7E09">
            <w:pPr>
              <w:ind w:firstLine="0"/>
              <w:jc w:val="left"/>
              <w:rPr>
                <w:b/>
                <w:szCs w:val="24"/>
              </w:rPr>
            </w:pPr>
            <w:r w:rsidRPr="00620A0B">
              <w:rPr>
                <w:b/>
                <w:szCs w:val="24"/>
              </w:rPr>
              <w:t>Pamatnostādņu 4.1. uzdevums</w:t>
            </w:r>
          </w:p>
        </w:tc>
        <w:tc>
          <w:tcPr>
            <w:tcW w:w="7184" w:type="dxa"/>
            <w:gridSpan w:val="2"/>
            <w:shd w:val="clear" w:color="auto" w:fill="F2F2F2" w:themeFill="background1" w:themeFillShade="F2"/>
            <w:vAlign w:val="center"/>
          </w:tcPr>
          <w:p w14:paraId="6D6FB014" w14:textId="4DE42BA6" w:rsidR="00513B51" w:rsidRPr="00620A0B" w:rsidRDefault="00513B51" w:rsidP="003C7E09">
            <w:pPr>
              <w:ind w:firstLine="0"/>
              <w:jc w:val="left"/>
              <w:rPr>
                <w:b/>
                <w:szCs w:val="28"/>
              </w:rPr>
            </w:pPr>
            <w:r w:rsidRPr="00620A0B">
              <w:rPr>
                <w:b/>
                <w:szCs w:val="28"/>
              </w:rPr>
              <w:t xml:space="preserve">Turpināt </w:t>
            </w:r>
            <w:r w:rsidRPr="004A151B">
              <w:rPr>
                <w:b/>
                <w:szCs w:val="28"/>
              </w:rPr>
              <w:t>administratoru</w:t>
            </w:r>
            <w:r w:rsidRPr="00620A0B">
              <w:rPr>
                <w:b/>
                <w:szCs w:val="28"/>
              </w:rPr>
              <w:t xml:space="preserve"> profesijas reformu</w:t>
            </w:r>
          </w:p>
        </w:tc>
      </w:tr>
      <w:tr w:rsidR="00AA319D" w:rsidRPr="00620A0B" w14:paraId="200E3306" w14:textId="036BCD8A" w:rsidTr="007A225B">
        <w:tc>
          <w:tcPr>
            <w:tcW w:w="1883" w:type="dxa"/>
            <w:vAlign w:val="center"/>
          </w:tcPr>
          <w:p w14:paraId="4CAAF868" w14:textId="7140FB33" w:rsidR="00E7748E" w:rsidRPr="00620A0B" w:rsidRDefault="00E7748E" w:rsidP="00C20137">
            <w:pPr>
              <w:ind w:firstLine="0"/>
              <w:jc w:val="left"/>
              <w:rPr>
                <w:b/>
                <w:szCs w:val="24"/>
              </w:rPr>
            </w:pPr>
            <w:r w:rsidRPr="00620A0B">
              <w:rPr>
                <w:rFonts w:eastAsia="Times New Roman"/>
                <w:szCs w:val="28"/>
                <w:lang w:eastAsia="lv-LV"/>
              </w:rPr>
              <w:t>Plāna 4.1.1. pasākums</w:t>
            </w:r>
          </w:p>
        </w:tc>
        <w:tc>
          <w:tcPr>
            <w:tcW w:w="5625" w:type="dxa"/>
            <w:vAlign w:val="center"/>
          </w:tcPr>
          <w:p w14:paraId="5608861F" w14:textId="7271AB84" w:rsidR="00E7748E" w:rsidRPr="00620A0B" w:rsidRDefault="00E7748E" w:rsidP="00C20137">
            <w:pPr>
              <w:ind w:firstLine="0"/>
              <w:jc w:val="left"/>
              <w:rPr>
                <w:szCs w:val="28"/>
              </w:rPr>
            </w:pPr>
            <w:r w:rsidRPr="00620A0B">
              <w:rPr>
                <w:rFonts w:eastAsia="Times New Roman"/>
                <w:szCs w:val="28"/>
                <w:lang w:eastAsia="lv-LV"/>
              </w:rPr>
              <w:t xml:space="preserve">Izstrādāt priekšlikumus likumprojektam </w:t>
            </w:r>
            <w:r w:rsidR="00DA3805">
              <w:rPr>
                <w:rFonts w:eastAsia="Times New Roman"/>
                <w:szCs w:val="28"/>
                <w:lang w:eastAsia="lv-LV"/>
              </w:rPr>
              <w:t>"</w:t>
            </w:r>
            <w:r w:rsidRPr="00620A0B">
              <w:rPr>
                <w:rFonts w:eastAsia="Times New Roman"/>
                <w:szCs w:val="28"/>
                <w:lang w:eastAsia="lv-LV"/>
              </w:rPr>
              <w:t>Grozījumi Maksātnespējas likumā</w:t>
            </w:r>
            <w:r w:rsidR="00DA3805">
              <w:rPr>
                <w:rFonts w:eastAsia="Times New Roman"/>
                <w:szCs w:val="28"/>
                <w:lang w:eastAsia="lv-LV"/>
              </w:rPr>
              <w:t>"</w:t>
            </w:r>
            <w:r w:rsidRPr="00620A0B">
              <w:rPr>
                <w:rFonts w:eastAsia="Times New Roman"/>
                <w:szCs w:val="28"/>
                <w:lang w:eastAsia="lv-LV"/>
              </w:rPr>
              <w:t xml:space="preserve"> (Lp12/Nr.</w:t>
            </w:r>
            <w:r w:rsidR="00EF706B">
              <w:rPr>
                <w:rFonts w:eastAsia="Times New Roman"/>
                <w:szCs w:val="28"/>
                <w:lang w:eastAsia="lv-LV"/>
              </w:rPr>
              <w:t> </w:t>
            </w:r>
            <w:r w:rsidRPr="00620A0B">
              <w:rPr>
                <w:rFonts w:eastAsia="Times New Roman"/>
                <w:szCs w:val="28"/>
                <w:lang w:eastAsia="lv-LV"/>
              </w:rPr>
              <w:t>106).</w:t>
            </w:r>
          </w:p>
        </w:tc>
        <w:tc>
          <w:tcPr>
            <w:tcW w:w="1559" w:type="dxa"/>
            <w:vAlign w:val="center"/>
          </w:tcPr>
          <w:p w14:paraId="59B8EC37" w14:textId="2EFE7AF3" w:rsidR="00E7748E" w:rsidRPr="00620A0B" w:rsidRDefault="006C502F" w:rsidP="00C20137">
            <w:pPr>
              <w:ind w:firstLine="0"/>
              <w:jc w:val="left"/>
              <w:rPr>
                <w:rFonts w:eastAsia="Times New Roman"/>
                <w:szCs w:val="28"/>
                <w:lang w:eastAsia="lv-LV"/>
              </w:rPr>
            </w:pPr>
            <w:r w:rsidRPr="00620A0B">
              <w:t>Izpildīts</w:t>
            </w:r>
          </w:p>
        </w:tc>
      </w:tr>
      <w:tr w:rsidR="00AA319D" w:rsidRPr="00620A0B" w14:paraId="1868173F" w14:textId="1F89FDDC" w:rsidTr="007A225B">
        <w:tc>
          <w:tcPr>
            <w:tcW w:w="1883" w:type="dxa"/>
            <w:vAlign w:val="center"/>
          </w:tcPr>
          <w:p w14:paraId="0CD573D6" w14:textId="167E5775" w:rsidR="00E7748E" w:rsidRPr="00620A0B" w:rsidRDefault="00E7748E" w:rsidP="00C20137">
            <w:pPr>
              <w:ind w:firstLine="0"/>
              <w:jc w:val="left"/>
              <w:rPr>
                <w:rFonts w:eastAsia="Times New Roman"/>
                <w:szCs w:val="28"/>
                <w:lang w:eastAsia="lv-LV"/>
              </w:rPr>
            </w:pPr>
            <w:r w:rsidRPr="00620A0B">
              <w:rPr>
                <w:rFonts w:eastAsia="Times New Roman"/>
                <w:szCs w:val="28"/>
                <w:lang w:eastAsia="lv-LV"/>
              </w:rPr>
              <w:t>Plāna 4.1.2. pasākums</w:t>
            </w:r>
          </w:p>
        </w:tc>
        <w:tc>
          <w:tcPr>
            <w:tcW w:w="5625" w:type="dxa"/>
            <w:vAlign w:val="center"/>
          </w:tcPr>
          <w:p w14:paraId="6B887289" w14:textId="77777777" w:rsidR="00E7748E" w:rsidRPr="00620A0B" w:rsidRDefault="00E7748E" w:rsidP="00C20137">
            <w:pPr>
              <w:ind w:firstLine="0"/>
              <w:jc w:val="left"/>
              <w:rPr>
                <w:rFonts w:eastAsia="Times New Roman"/>
                <w:szCs w:val="28"/>
                <w:lang w:eastAsia="lv-LV"/>
              </w:rPr>
            </w:pPr>
            <w:r w:rsidRPr="00620A0B">
              <w:rPr>
                <w:rFonts w:eastAsia="Times New Roman"/>
                <w:szCs w:val="28"/>
                <w:lang w:eastAsia="lv-LV"/>
              </w:rPr>
              <w:t>Pilnveidot uzraudzības un izglītības sistēmu, nosakot, ka:</w:t>
            </w:r>
          </w:p>
          <w:p w14:paraId="6C9EDFB0" w14:textId="0DCDE609" w:rsidR="00E7748E" w:rsidRPr="00620A0B" w:rsidRDefault="00E7748E" w:rsidP="00C20137">
            <w:pPr>
              <w:ind w:firstLine="0"/>
              <w:jc w:val="left"/>
              <w:rPr>
                <w:rFonts w:eastAsia="Times New Roman"/>
                <w:szCs w:val="28"/>
                <w:lang w:eastAsia="lv-LV"/>
              </w:rPr>
            </w:pPr>
            <w:r w:rsidRPr="00620A0B">
              <w:rPr>
                <w:rFonts w:eastAsia="Times New Roman"/>
                <w:szCs w:val="28"/>
                <w:lang w:eastAsia="lv-LV"/>
              </w:rPr>
              <w:t>1.</w:t>
            </w:r>
            <w:r w:rsidR="00DA3805">
              <w:rPr>
                <w:rFonts w:eastAsia="Times New Roman"/>
                <w:szCs w:val="28"/>
                <w:lang w:eastAsia="lv-LV"/>
              </w:rPr>
              <w:t> </w:t>
            </w:r>
            <w:r w:rsidRPr="00620A0B">
              <w:rPr>
                <w:rFonts w:eastAsia="Times New Roman"/>
                <w:szCs w:val="28"/>
                <w:lang w:eastAsia="lv-LV"/>
              </w:rPr>
              <w:t>Administratoru amatā ieceļ M</w:t>
            </w:r>
            <w:r w:rsidR="006A0021" w:rsidRPr="00620A0B">
              <w:rPr>
                <w:rFonts w:eastAsia="Times New Roman"/>
                <w:szCs w:val="28"/>
                <w:lang w:eastAsia="lv-LV"/>
              </w:rPr>
              <w:t>KD</w:t>
            </w:r>
            <w:r w:rsidRPr="00620A0B">
              <w:rPr>
                <w:rFonts w:eastAsia="Times New Roman"/>
                <w:szCs w:val="28"/>
                <w:lang w:eastAsia="lv-LV"/>
              </w:rPr>
              <w:t xml:space="preserve"> direktors;</w:t>
            </w:r>
          </w:p>
          <w:p w14:paraId="25F84EC3" w14:textId="2EFE9D25" w:rsidR="00E7748E" w:rsidRPr="00620A0B" w:rsidRDefault="00E7748E" w:rsidP="00C20137">
            <w:pPr>
              <w:ind w:firstLine="0"/>
              <w:jc w:val="left"/>
              <w:rPr>
                <w:rFonts w:eastAsia="Times New Roman"/>
                <w:szCs w:val="28"/>
                <w:lang w:eastAsia="lv-LV"/>
              </w:rPr>
            </w:pPr>
            <w:r w:rsidRPr="00620A0B">
              <w:rPr>
                <w:rFonts w:eastAsia="Times New Roman"/>
                <w:szCs w:val="28"/>
                <w:lang w:eastAsia="lv-LV"/>
              </w:rPr>
              <w:t>2.</w:t>
            </w:r>
            <w:r w:rsidR="00DA3805">
              <w:rPr>
                <w:rFonts w:eastAsia="Times New Roman"/>
                <w:szCs w:val="28"/>
                <w:lang w:eastAsia="lv-LV"/>
              </w:rPr>
              <w:t> </w:t>
            </w:r>
            <w:r w:rsidRPr="00620A0B">
              <w:rPr>
                <w:rFonts w:eastAsia="Times New Roman"/>
                <w:szCs w:val="28"/>
                <w:lang w:eastAsia="lv-LV"/>
              </w:rPr>
              <w:t>Administratori ne retāk kā reizi divos gados kārto kvalifikācijas eksāmenu;</w:t>
            </w:r>
          </w:p>
          <w:p w14:paraId="41F25100" w14:textId="78DF5EEB" w:rsidR="00E7748E" w:rsidRPr="00620A0B" w:rsidRDefault="00E7748E" w:rsidP="00C20137">
            <w:pPr>
              <w:ind w:firstLine="0"/>
              <w:jc w:val="left"/>
              <w:rPr>
                <w:rFonts w:eastAsia="Times New Roman"/>
                <w:szCs w:val="28"/>
                <w:lang w:eastAsia="lv-LV"/>
              </w:rPr>
            </w:pPr>
            <w:r w:rsidRPr="00620A0B">
              <w:rPr>
                <w:rFonts w:eastAsia="Times New Roman"/>
                <w:szCs w:val="28"/>
                <w:lang w:eastAsia="lv-LV"/>
              </w:rPr>
              <w:t>3.</w:t>
            </w:r>
            <w:r w:rsidR="00DA3805">
              <w:rPr>
                <w:rFonts w:eastAsia="Times New Roman"/>
                <w:szCs w:val="28"/>
                <w:lang w:eastAsia="lv-LV"/>
              </w:rPr>
              <w:t> </w:t>
            </w:r>
            <w:r w:rsidRPr="00620A0B">
              <w:rPr>
                <w:rFonts w:eastAsia="Times New Roman"/>
                <w:szCs w:val="28"/>
                <w:lang w:eastAsia="lv-LV"/>
              </w:rPr>
              <w:t>Administratoram ir piemērojama disciplināratbildība</w:t>
            </w:r>
          </w:p>
          <w:p w14:paraId="081A55C1" w14:textId="2C494C57" w:rsidR="00E7748E" w:rsidRPr="00620A0B" w:rsidRDefault="00E7748E" w:rsidP="00C20137">
            <w:pPr>
              <w:ind w:firstLine="0"/>
              <w:jc w:val="left"/>
              <w:rPr>
                <w:rFonts w:eastAsia="Times New Roman"/>
                <w:szCs w:val="28"/>
                <w:lang w:eastAsia="lv-LV"/>
              </w:rPr>
            </w:pPr>
            <w:r w:rsidRPr="00620A0B">
              <w:rPr>
                <w:rFonts w:eastAsia="Times New Roman"/>
                <w:szCs w:val="28"/>
                <w:lang w:eastAsia="lv-LV"/>
              </w:rPr>
              <w:t>4.</w:t>
            </w:r>
            <w:r w:rsidR="00DA3805">
              <w:rPr>
                <w:rFonts w:eastAsia="Times New Roman"/>
                <w:szCs w:val="28"/>
                <w:lang w:eastAsia="lv-LV"/>
              </w:rPr>
              <w:t> </w:t>
            </w:r>
            <w:r w:rsidRPr="00620A0B">
              <w:rPr>
                <w:rFonts w:eastAsia="Times New Roman"/>
                <w:szCs w:val="28"/>
                <w:lang w:eastAsia="lv-LV"/>
              </w:rPr>
              <w:t xml:space="preserve">Administratoram jābūt nevainojamai reputācijai; </w:t>
            </w:r>
          </w:p>
          <w:p w14:paraId="75587E0A" w14:textId="61F1494F" w:rsidR="00E7748E" w:rsidRPr="00620A0B" w:rsidRDefault="00E7748E" w:rsidP="00C20137">
            <w:pPr>
              <w:ind w:firstLine="0"/>
              <w:jc w:val="left"/>
              <w:rPr>
                <w:rFonts w:eastAsia="Times New Roman"/>
                <w:szCs w:val="28"/>
                <w:lang w:eastAsia="lv-LV"/>
              </w:rPr>
            </w:pPr>
            <w:r w:rsidRPr="00620A0B">
              <w:rPr>
                <w:rFonts w:eastAsia="Times New Roman"/>
                <w:szCs w:val="28"/>
                <w:lang w:eastAsia="lv-LV"/>
              </w:rPr>
              <w:t>5.</w:t>
            </w:r>
            <w:r w:rsidR="00DA3805">
              <w:rPr>
                <w:rFonts w:eastAsia="Times New Roman"/>
                <w:szCs w:val="28"/>
                <w:lang w:eastAsia="lv-LV"/>
              </w:rPr>
              <w:t> </w:t>
            </w:r>
            <w:r w:rsidR="00AB12EC">
              <w:rPr>
                <w:rFonts w:eastAsia="Times New Roman"/>
                <w:szCs w:val="28"/>
                <w:lang w:eastAsia="lv-LV"/>
              </w:rPr>
              <w:t>J</w:t>
            </w:r>
            <w:r w:rsidRPr="00620A0B">
              <w:rPr>
                <w:rFonts w:eastAsia="Times New Roman"/>
                <w:szCs w:val="28"/>
                <w:lang w:eastAsia="lv-LV"/>
              </w:rPr>
              <w:t>āpārskata gadījumi, kad administrators ir atbrīvojams no amata;</w:t>
            </w:r>
          </w:p>
          <w:p w14:paraId="73C99BBA" w14:textId="009642BB" w:rsidR="00E7748E" w:rsidRPr="00620A0B" w:rsidRDefault="00E7748E" w:rsidP="00C20137">
            <w:pPr>
              <w:ind w:firstLine="0"/>
              <w:jc w:val="left"/>
              <w:rPr>
                <w:rFonts w:eastAsia="Times New Roman"/>
                <w:szCs w:val="28"/>
                <w:lang w:eastAsia="lv-LV"/>
              </w:rPr>
            </w:pPr>
            <w:r w:rsidRPr="00620A0B">
              <w:rPr>
                <w:rFonts w:eastAsia="Times New Roman"/>
                <w:szCs w:val="28"/>
                <w:lang w:eastAsia="lv-LV"/>
              </w:rPr>
              <w:t>6.</w:t>
            </w:r>
            <w:r w:rsidR="00DA3805">
              <w:rPr>
                <w:rFonts w:eastAsia="Times New Roman"/>
                <w:szCs w:val="28"/>
                <w:lang w:eastAsia="lv-LV"/>
              </w:rPr>
              <w:t> </w:t>
            </w:r>
            <w:r w:rsidRPr="00620A0B">
              <w:rPr>
                <w:szCs w:val="28"/>
              </w:rPr>
              <w:t>Izvērtējama iespēja ieviest administratoru specializāciju.</w:t>
            </w:r>
          </w:p>
        </w:tc>
        <w:tc>
          <w:tcPr>
            <w:tcW w:w="1559" w:type="dxa"/>
            <w:vAlign w:val="center"/>
          </w:tcPr>
          <w:p w14:paraId="0BDC92FA" w14:textId="73BF899A" w:rsidR="00E7748E" w:rsidRPr="00620A0B" w:rsidRDefault="006C502F" w:rsidP="00C20137">
            <w:pPr>
              <w:ind w:firstLine="0"/>
              <w:jc w:val="left"/>
              <w:rPr>
                <w:rFonts w:eastAsia="Times New Roman"/>
                <w:szCs w:val="28"/>
                <w:lang w:eastAsia="lv-LV"/>
              </w:rPr>
            </w:pPr>
            <w:r w:rsidRPr="00620A0B">
              <w:t>Izpildīts</w:t>
            </w:r>
          </w:p>
        </w:tc>
      </w:tr>
      <w:tr w:rsidR="00513B51" w:rsidRPr="00620A0B" w14:paraId="53A3C1BD" w14:textId="3ED3DDBD" w:rsidTr="0019545C">
        <w:tc>
          <w:tcPr>
            <w:tcW w:w="1883" w:type="dxa"/>
            <w:shd w:val="clear" w:color="auto" w:fill="F2F2F2" w:themeFill="background1" w:themeFillShade="F2"/>
            <w:vAlign w:val="center"/>
          </w:tcPr>
          <w:p w14:paraId="2E55706E" w14:textId="72A5D2BF" w:rsidR="00513B51" w:rsidRPr="00620A0B" w:rsidRDefault="00513B51" w:rsidP="00C20137">
            <w:pPr>
              <w:ind w:firstLine="0"/>
              <w:jc w:val="left"/>
              <w:rPr>
                <w:rFonts w:eastAsia="Times New Roman"/>
                <w:b/>
                <w:szCs w:val="28"/>
                <w:lang w:eastAsia="lv-LV"/>
              </w:rPr>
            </w:pPr>
            <w:r w:rsidRPr="00620A0B">
              <w:rPr>
                <w:b/>
                <w:szCs w:val="24"/>
              </w:rPr>
              <w:t>Pamatnostādņu 4.2. uzdevums</w:t>
            </w:r>
          </w:p>
        </w:tc>
        <w:tc>
          <w:tcPr>
            <w:tcW w:w="7184" w:type="dxa"/>
            <w:gridSpan w:val="2"/>
            <w:shd w:val="clear" w:color="auto" w:fill="F2F2F2" w:themeFill="background1" w:themeFillShade="F2"/>
            <w:vAlign w:val="center"/>
          </w:tcPr>
          <w:p w14:paraId="60EE83F5" w14:textId="55245DD1" w:rsidR="00513B51" w:rsidRPr="00620A0B" w:rsidRDefault="00513B51" w:rsidP="00C20137">
            <w:pPr>
              <w:ind w:firstLine="0"/>
              <w:jc w:val="left"/>
              <w:rPr>
                <w:rFonts w:eastAsia="Times New Roman"/>
                <w:b/>
                <w:szCs w:val="28"/>
                <w:lang w:eastAsia="lv-LV"/>
              </w:rPr>
            </w:pPr>
            <w:r w:rsidRPr="00620A0B">
              <w:rPr>
                <w:rFonts w:eastAsia="Times New Roman"/>
                <w:b/>
                <w:szCs w:val="28"/>
                <w:lang w:eastAsia="lv-LV"/>
              </w:rPr>
              <w:t>Stiprināt MKD kapacitāti</w:t>
            </w:r>
          </w:p>
        </w:tc>
      </w:tr>
      <w:tr w:rsidR="00AA319D" w:rsidRPr="00620A0B" w14:paraId="126E7726" w14:textId="5BA9FE3C" w:rsidTr="007A225B">
        <w:tc>
          <w:tcPr>
            <w:tcW w:w="1883" w:type="dxa"/>
            <w:vAlign w:val="center"/>
          </w:tcPr>
          <w:p w14:paraId="15D58B90" w14:textId="7E8D2BE7" w:rsidR="00E7748E" w:rsidRPr="00620A0B" w:rsidRDefault="00E7748E" w:rsidP="00C20137">
            <w:pPr>
              <w:ind w:firstLine="0"/>
              <w:jc w:val="left"/>
              <w:rPr>
                <w:b/>
                <w:szCs w:val="24"/>
              </w:rPr>
            </w:pPr>
            <w:r w:rsidRPr="00620A0B">
              <w:rPr>
                <w:rFonts w:eastAsia="Times New Roman"/>
                <w:szCs w:val="28"/>
                <w:lang w:eastAsia="lv-LV"/>
              </w:rPr>
              <w:t>Plāna 4.2.1. pasākums</w:t>
            </w:r>
          </w:p>
        </w:tc>
        <w:tc>
          <w:tcPr>
            <w:tcW w:w="5625" w:type="dxa"/>
            <w:vAlign w:val="center"/>
          </w:tcPr>
          <w:p w14:paraId="3C57E163" w14:textId="7A832586" w:rsidR="00E7748E" w:rsidRPr="00620A0B" w:rsidRDefault="00E7748E" w:rsidP="00C20137">
            <w:pPr>
              <w:ind w:firstLine="0"/>
              <w:jc w:val="left"/>
              <w:rPr>
                <w:rFonts w:eastAsia="Times New Roman"/>
                <w:szCs w:val="28"/>
                <w:lang w:eastAsia="lv-LV"/>
              </w:rPr>
            </w:pPr>
            <w:r w:rsidRPr="00620A0B">
              <w:rPr>
                <w:rFonts w:eastAsia="Times New Roman"/>
                <w:szCs w:val="28"/>
                <w:lang w:eastAsia="lv-LV"/>
              </w:rPr>
              <w:t>TM gatavot ziņojumu Ministru kabinetam par līdzekļu pārdali un rīcības plānu funkciju optimizēšanai.</w:t>
            </w:r>
          </w:p>
        </w:tc>
        <w:tc>
          <w:tcPr>
            <w:tcW w:w="1559" w:type="dxa"/>
            <w:vAlign w:val="center"/>
          </w:tcPr>
          <w:p w14:paraId="238B1A6B" w14:textId="62A8C539" w:rsidR="00E7748E" w:rsidRPr="00620A0B" w:rsidRDefault="00642FB1" w:rsidP="00C20137">
            <w:pPr>
              <w:ind w:firstLine="0"/>
              <w:jc w:val="left"/>
              <w:rPr>
                <w:rFonts w:eastAsia="Times New Roman"/>
                <w:szCs w:val="28"/>
                <w:lang w:eastAsia="lv-LV"/>
              </w:rPr>
            </w:pPr>
            <w:r w:rsidRPr="00620A0B">
              <w:t>Izpildīts</w:t>
            </w:r>
          </w:p>
        </w:tc>
      </w:tr>
      <w:tr w:rsidR="00AA319D" w:rsidRPr="00620A0B" w14:paraId="52A443D7" w14:textId="3A93AF11" w:rsidTr="007A225B">
        <w:tc>
          <w:tcPr>
            <w:tcW w:w="1883" w:type="dxa"/>
            <w:vAlign w:val="center"/>
          </w:tcPr>
          <w:p w14:paraId="4EA7C88C" w14:textId="4CA857CC" w:rsidR="00E7748E" w:rsidRPr="00620A0B" w:rsidRDefault="00E7748E" w:rsidP="00C20137">
            <w:pPr>
              <w:ind w:firstLine="0"/>
              <w:jc w:val="left"/>
              <w:rPr>
                <w:rFonts w:eastAsia="Times New Roman"/>
                <w:szCs w:val="28"/>
                <w:lang w:eastAsia="lv-LV"/>
              </w:rPr>
            </w:pPr>
            <w:r w:rsidRPr="00620A0B">
              <w:rPr>
                <w:rFonts w:eastAsia="Times New Roman"/>
                <w:szCs w:val="28"/>
                <w:lang w:eastAsia="lv-LV"/>
              </w:rPr>
              <w:t>Plāna 4.2.2. pasākums</w:t>
            </w:r>
          </w:p>
        </w:tc>
        <w:tc>
          <w:tcPr>
            <w:tcW w:w="5625" w:type="dxa"/>
            <w:vAlign w:val="center"/>
          </w:tcPr>
          <w:p w14:paraId="15C5719D" w14:textId="1F8AAA0C" w:rsidR="00E7748E" w:rsidRPr="00620A0B" w:rsidRDefault="00E7748E" w:rsidP="00C20137">
            <w:pPr>
              <w:ind w:firstLine="0"/>
              <w:jc w:val="left"/>
              <w:rPr>
                <w:rFonts w:eastAsia="Times New Roman"/>
                <w:szCs w:val="28"/>
                <w:lang w:eastAsia="lv-LV"/>
              </w:rPr>
            </w:pPr>
            <w:r w:rsidRPr="00620A0B">
              <w:rPr>
                <w:rFonts w:eastAsia="Times New Roman"/>
                <w:szCs w:val="28"/>
                <w:lang w:eastAsia="lv-LV"/>
              </w:rPr>
              <w:t>Pilnveidot Krimināllikuma 215. un 215.</w:t>
            </w:r>
            <w:r w:rsidRPr="00620A0B">
              <w:rPr>
                <w:rFonts w:eastAsia="Times New Roman"/>
                <w:szCs w:val="28"/>
                <w:vertAlign w:val="superscript"/>
                <w:lang w:eastAsia="lv-LV"/>
              </w:rPr>
              <w:t>1</w:t>
            </w:r>
            <w:r w:rsidRPr="00620A0B">
              <w:rPr>
                <w:rFonts w:eastAsia="Times New Roman"/>
                <w:szCs w:val="28"/>
                <w:lang w:eastAsia="lv-LV"/>
              </w:rPr>
              <w:t> panta regulējum</w:t>
            </w:r>
            <w:r w:rsidR="00AB12EC">
              <w:rPr>
                <w:rFonts w:eastAsia="Times New Roman"/>
                <w:szCs w:val="28"/>
                <w:lang w:eastAsia="lv-LV"/>
              </w:rPr>
              <w:t>u</w:t>
            </w:r>
            <w:r w:rsidRPr="00620A0B">
              <w:rPr>
                <w:rFonts w:eastAsia="Times New Roman"/>
                <w:szCs w:val="28"/>
                <w:lang w:eastAsia="lv-LV"/>
              </w:rPr>
              <w:t xml:space="preserve"> par maksātnespējas procesa kavēšanu, kā arī TAP noteikumu pārkāpšanu, sabiedrībai mazāk bīstamus pārkāpumus ietverot LAPK. </w:t>
            </w:r>
            <w:r w:rsidRPr="00620A0B">
              <w:rPr>
                <w:szCs w:val="28"/>
              </w:rPr>
              <w:t>Pārskatīt LAPK un Krimināllikumā paredzētos pārkāpumus maksātnespējas jomā, Valsts policijas kompetencē atstājot tikai pārkāpumus, kas ir ar augstu kaitīguma pakāpi sabiedrībai.</w:t>
            </w:r>
          </w:p>
        </w:tc>
        <w:tc>
          <w:tcPr>
            <w:tcW w:w="1559" w:type="dxa"/>
            <w:vAlign w:val="center"/>
          </w:tcPr>
          <w:p w14:paraId="4EAFE8E8" w14:textId="7FA315B0" w:rsidR="00E7748E" w:rsidRPr="00620A0B" w:rsidRDefault="00642FB1" w:rsidP="00C20137">
            <w:pPr>
              <w:ind w:firstLine="0"/>
              <w:jc w:val="left"/>
              <w:rPr>
                <w:rFonts w:eastAsia="Times New Roman"/>
                <w:szCs w:val="28"/>
                <w:lang w:eastAsia="lv-LV"/>
              </w:rPr>
            </w:pPr>
            <w:r w:rsidRPr="00620A0B">
              <w:t>Izpildīts</w:t>
            </w:r>
          </w:p>
        </w:tc>
      </w:tr>
      <w:tr w:rsidR="00AA319D" w:rsidRPr="00620A0B" w14:paraId="267F8D2C" w14:textId="035CDD16" w:rsidTr="007A225B">
        <w:tc>
          <w:tcPr>
            <w:tcW w:w="1883" w:type="dxa"/>
            <w:vAlign w:val="center"/>
          </w:tcPr>
          <w:p w14:paraId="09E0072B" w14:textId="51703756" w:rsidR="00E7748E" w:rsidRPr="00620A0B" w:rsidRDefault="00E7748E" w:rsidP="00C20137">
            <w:pPr>
              <w:ind w:firstLine="0"/>
              <w:jc w:val="left"/>
              <w:rPr>
                <w:rFonts w:eastAsia="Times New Roman"/>
                <w:szCs w:val="28"/>
                <w:lang w:eastAsia="lv-LV"/>
              </w:rPr>
            </w:pPr>
            <w:r w:rsidRPr="00620A0B">
              <w:rPr>
                <w:rFonts w:eastAsia="Times New Roman"/>
                <w:szCs w:val="28"/>
                <w:lang w:eastAsia="lv-LV"/>
              </w:rPr>
              <w:t>Plāna 4.2.3. pasākums</w:t>
            </w:r>
          </w:p>
        </w:tc>
        <w:tc>
          <w:tcPr>
            <w:tcW w:w="5625" w:type="dxa"/>
            <w:vAlign w:val="center"/>
          </w:tcPr>
          <w:p w14:paraId="727FA8E7" w14:textId="6841E05D" w:rsidR="00E7748E" w:rsidRPr="00620A0B" w:rsidRDefault="00E7748E" w:rsidP="00C20137">
            <w:pPr>
              <w:ind w:firstLine="0"/>
              <w:jc w:val="left"/>
              <w:rPr>
                <w:rFonts w:eastAsia="Times New Roman"/>
                <w:szCs w:val="28"/>
                <w:lang w:eastAsia="lv-LV"/>
              </w:rPr>
            </w:pPr>
            <w:r w:rsidRPr="00620A0B">
              <w:rPr>
                <w:rFonts w:eastAsia="Times New Roman"/>
                <w:szCs w:val="28"/>
                <w:lang w:eastAsia="lv-LV"/>
              </w:rPr>
              <w:t>Izstrādāt MKD risku vadības mehānismu, lai savlaicīgi un precīzi identificētu procesus un administratorus, kur ir saskatāms prettiesiskas rīcības risks.</w:t>
            </w:r>
          </w:p>
        </w:tc>
        <w:tc>
          <w:tcPr>
            <w:tcW w:w="1559" w:type="dxa"/>
            <w:vAlign w:val="center"/>
          </w:tcPr>
          <w:p w14:paraId="1C9A56A2" w14:textId="2E83F60D" w:rsidR="00E7748E" w:rsidRPr="00620A0B" w:rsidRDefault="00642FB1" w:rsidP="00C20137">
            <w:pPr>
              <w:ind w:firstLine="0"/>
              <w:jc w:val="left"/>
              <w:rPr>
                <w:rFonts w:eastAsia="Times New Roman"/>
                <w:szCs w:val="28"/>
                <w:lang w:eastAsia="lv-LV"/>
              </w:rPr>
            </w:pPr>
            <w:r w:rsidRPr="00620A0B">
              <w:t>Izpildīts</w:t>
            </w:r>
          </w:p>
        </w:tc>
      </w:tr>
      <w:tr w:rsidR="00513B51" w:rsidRPr="00620A0B" w14:paraId="0460181F" w14:textId="380D9C44" w:rsidTr="0019545C">
        <w:tc>
          <w:tcPr>
            <w:tcW w:w="1883" w:type="dxa"/>
            <w:shd w:val="clear" w:color="auto" w:fill="F2F2F2" w:themeFill="background1" w:themeFillShade="F2"/>
            <w:vAlign w:val="center"/>
          </w:tcPr>
          <w:p w14:paraId="6C9EDE57" w14:textId="05664E2B" w:rsidR="00513B51" w:rsidRPr="00620A0B" w:rsidRDefault="00513B51" w:rsidP="00C20137">
            <w:pPr>
              <w:ind w:firstLine="0"/>
              <w:jc w:val="left"/>
              <w:rPr>
                <w:b/>
                <w:szCs w:val="24"/>
              </w:rPr>
            </w:pPr>
            <w:r w:rsidRPr="00620A0B">
              <w:rPr>
                <w:b/>
                <w:szCs w:val="24"/>
              </w:rPr>
              <w:lastRenderedPageBreak/>
              <w:t>Pamatnostādņu 4.4. uzdevums</w:t>
            </w:r>
          </w:p>
        </w:tc>
        <w:tc>
          <w:tcPr>
            <w:tcW w:w="7184" w:type="dxa"/>
            <w:gridSpan w:val="2"/>
            <w:shd w:val="clear" w:color="auto" w:fill="F2F2F2" w:themeFill="background1" w:themeFillShade="F2"/>
            <w:vAlign w:val="center"/>
          </w:tcPr>
          <w:p w14:paraId="7D30C167" w14:textId="25AA44FC" w:rsidR="00513B51" w:rsidRPr="00620A0B" w:rsidRDefault="00371196" w:rsidP="00C20137">
            <w:pPr>
              <w:ind w:firstLine="0"/>
              <w:jc w:val="left"/>
              <w:rPr>
                <w:rFonts w:eastAsia="Times New Roman"/>
                <w:b/>
                <w:szCs w:val="28"/>
                <w:lang w:eastAsia="lv-LV"/>
              </w:rPr>
            </w:pPr>
            <w:r>
              <w:rPr>
                <w:rFonts w:eastAsia="Times New Roman"/>
                <w:b/>
                <w:szCs w:val="28"/>
                <w:lang w:eastAsia="lv-LV"/>
              </w:rPr>
              <w:t>A</w:t>
            </w:r>
            <w:r w:rsidR="00513B51" w:rsidRPr="004A151B">
              <w:rPr>
                <w:rFonts w:eastAsia="Times New Roman"/>
                <w:b/>
                <w:szCs w:val="28"/>
                <w:lang w:eastAsia="lv-LV"/>
              </w:rPr>
              <w:t>dministratoru</w:t>
            </w:r>
            <w:r w:rsidR="00513B51" w:rsidRPr="00620A0B">
              <w:rPr>
                <w:rFonts w:eastAsia="Times New Roman"/>
                <w:b/>
                <w:szCs w:val="28"/>
                <w:lang w:eastAsia="lv-LV"/>
              </w:rPr>
              <w:t xml:space="preserve"> rindas darbības uzlabošana</w:t>
            </w:r>
          </w:p>
        </w:tc>
      </w:tr>
      <w:tr w:rsidR="00AA319D" w:rsidRPr="00620A0B" w14:paraId="379CAA48" w14:textId="2D8AB197" w:rsidTr="007A225B">
        <w:tc>
          <w:tcPr>
            <w:tcW w:w="1883" w:type="dxa"/>
            <w:vAlign w:val="center"/>
          </w:tcPr>
          <w:p w14:paraId="0CFACD74" w14:textId="07BFBE97" w:rsidR="00E7748E" w:rsidRPr="00620A0B" w:rsidRDefault="00E7748E" w:rsidP="00C20137">
            <w:pPr>
              <w:ind w:firstLine="0"/>
              <w:jc w:val="left"/>
              <w:rPr>
                <w:b/>
                <w:szCs w:val="24"/>
              </w:rPr>
            </w:pPr>
            <w:r w:rsidRPr="00620A0B">
              <w:rPr>
                <w:rFonts w:eastAsia="Times New Roman"/>
                <w:szCs w:val="28"/>
                <w:lang w:eastAsia="lv-LV"/>
              </w:rPr>
              <w:t>Plāna 4.4.1. pasākums</w:t>
            </w:r>
          </w:p>
        </w:tc>
        <w:tc>
          <w:tcPr>
            <w:tcW w:w="5625" w:type="dxa"/>
            <w:vAlign w:val="center"/>
          </w:tcPr>
          <w:p w14:paraId="0CA88255" w14:textId="1C3A136F" w:rsidR="00E7748E" w:rsidRPr="00620A0B" w:rsidRDefault="00E7748E" w:rsidP="00C20137">
            <w:pPr>
              <w:ind w:firstLine="0"/>
              <w:jc w:val="left"/>
              <w:rPr>
                <w:rFonts w:eastAsia="Times New Roman"/>
                <w:szCs w:val="28"/>
                <w:lang w:eastAsia="lv-LV"/>
              </w:rPr>
            </w:pPr>
            <w:r w:rsidRPr="00620A0B">
              <w:rPr>
                <w:rFonts w:eastAsia="Times New Roman"/>
                <w:szCs w:val="28"/>
                <w:lang w:eastAsia="lv-LV"/>
              </w:rPr>
              <w:t>Stiprināt nejaušības principa – rindas darbības algoritmu.</w:t>
            </w:r>
          </w:p>
        </w:tc>
        <w:tc>
          <w:tcPr>
            <w:tcW w:w="1559" w:type="dxa"/>
            <w:vAlign w:val="center"/>
          </w:tcPr>
          <w:p w14:paraId="3CCBA9B9" w14:textId="178326F8" w:rsidR="00E7748E" w:rsidRPr="00620A0B" w:rsidRDefault="00642FB1" w:rsidP="00C20137">
            <w:pPr>
              <w:ind w:firstLine="0"/>
              <w:jc w:val="left"/>
              <w:rPr>
                <w:rFonts w:eastAsia="Times New Roman"/>
                <w:szCs w:val="28"/>
                <w:lang w:eastAsia="lv-LV"/>
              </w:rPr>
            </w:pPr>
            <w:r w:rsidRPr="00620A0B">
              <w:t>Izpildīts</w:t>
            </w:r>
          </w:p>
        </w:tc>
      </w:tr>
      <w:tr w:rsidR="00AA319D" w:rsidRPr="00620A0B" w14:paraId="145962BC" w14:textId="02A3E10D" w:rsidTr="007A225B">
        <w:tc>
          <w:tcPr>
            <w:tcW w:w="1883" w:type="dxa"/>
            <w:vAlign w:val="center"/>
          </w:tcPr>
          <w:p w14:paraId="02F43C80" w14:textId="0FA2A4E1" w:rsidR="00E7748E" w:rsidRPr="00620A0B" w:rsidRDefault="00E7748E" w:rsidP="00C20137">
            <w:pPr>
              <w:ind w:firstLine="0"/>
              <w:jc w:val="left"/>
              <w:rPr>
                <w:rFonts w:eastAsia="Times New Roman"/>
                <w:szCs w:val="28"/>
                <w:lang w:eastAsia="lv-LV"/>
              </w:rPr>
            </w:pPr>
            <w:r w:rsidRPr="00620A0B">
              <w:rPr>
                <w:rFonts w:eastAsia="Times New Roman"/>
                <w:szCs w:val="28"/>
                <w:lang w:eastAsia="lv-LV"/>
              </w:rPr>
              <w:t>Plāna 4.4.2. pasākums</w:t>
            </w:r>
          </w:p>
        </w:tc>
        <w:tc>
          <w:tcPr>
            <w:tcW w:w="5625" w:type="dxa"/>
            <w:vAlign w:val="center"/>
          </w:tcPr>
          <w:p w14:paraId="6EC19AB7" w14:textId="20C4E5AC" w:rsidR="00E7748E" w:rsidRPr="00620A0B" w:rsidRDefault="00E7748E" w:rsidP="00C20137">
            <w:pPr>
              <w:ind w:firstLine="0"/>
              <w:jc w:val="left"/>
              <w:rPr>
                <w:rFonts w:eastAsia="Times New Roman"/>
                <w:szCs w:val="28"/>
                <w:lang w:eastAsia="lv-LV"/>
              </w:rPr>
            </w:pPr>
            <w:r w:rsidRPr="00620A0B">
              <w:rPr>
                <w:rFonts w:eastAsia="Times New Roman"/>
                <w:szCs w:val="28"/>
                <w:lang w:eastAsia="lv-LV"/>
              </w:rPr>
              <w:t>Novērst ar rindas darbības nodrošināšanu saistīto nodarbināto ieinteresētību.</w:t>
            </w:r>
          </w:p>
        </w:tc>
        <w:tc>
          <w:tcPr>
            <w:tcW w:w="1559" w:type="dxa"/>
            <w:vAlign w:val="center"/>
          </w:tcPr>
          <w:p w14:paraId="63FD514A" w14:textId="1D7AAE32" w:rsidR="00E7748E" w:rsidRPr="00620A0B" w:rsidRDefault="00642FB1" w:rsidP="00C20137">
            <w:pPr>
              <w:ind w:firstLine="0"/>
              <w:jc w:val="left"/>
              <w:rPr>
                <w:rFonts w:eastAsia="Times New Roman"/>
                <w:szCs w:val="28"/>
                <w:lang w:eastAsia="lv-LV"/>
              </w:rPr>
            </w:pPr>
            <w:r w:rsidRPr="00620A0B">
              <w:t>Izpildīts</w:t>
            </w:r>
          </w:p>
        </w:tc>
      </w:tr>
      <w:tr w:rsidR="00AA319D" w:rsidRPr="00620A0B" w14:paraId="672DDC06" w14:textId="55DC9B6E" w:rsidTr="007A225B">
        <w:tc>
          <w:tcPr>
            <w:tcW w:w="1883" w:type="dxa"/>
            <w:vAlign w:val="center"/>
          </w:tcPr>
          <w:p w14:paraId="5807843F" w14:textId="0664869B" w:rsidR="00E7748E" w:rsidRPr="00620A0B" w:rsidRDefault="00E7748E" w:rsidP="00C20137">
            <w:pPr>
              <w:ind w:firstLine="0"/>
              <w:jc w:val="left"/>
              <w:rPr>
                <w:rFonts w:eastAsia="Times New Roman"/>
                <w:szCs w:val="28"/>
                <w:lang w:eastAsia="lv-LV"/>
              </w:rPr>
            </w:pPr>
            <w:r w:rsidRPr="00620A0B">
              <w:rPr>
                <w:rFonts w:eastAsia="Times New Roman"/>
                <w:szCs w:val="28"/>
                <w:lang w:eastAsia="lv-LV"/>
              </w:rPr>
              <w:t>Plāna 4.4.4. pasākums</w:t>
            </w:r>
          </w:p>
        </w:tc>
        <w:tc>
          <w:tcPr>
            <w:tcW w:w="5625" w:type="dxa"/>
            <w:vAlign w:val="center"/>
          </w:tcPr>
          <w:p w14:paraId="33693BF4" w14:textId="01832DBC" w:rsidR="00E7748E" w:rsidRPr="00620A0B" w:rsidRDefault="00E7748E" w:rsidP="00C20137">
            <w:pPr>
              <w:ind w:firstLine="0"/>
              <w:jc w:val="left"/>
              <w:rPr>
                <w:rFonts w:eastAsia="Times New Roman"/>
                <w:szCs w:val="28"/>
                <w:lang w:eastAsia="lv-LV"/>
              </w:rPr>
            </w:pPr>
            <w:r w:rsidRPr="00620A0B">
              <w:rPr>
                <w:rFonts w:eastAsia="Times New Roman"/>
                <w:szCs w:val="28"/>
                <w:lang w:eastAsia="lv-LV"/>
              </w:rPr>
              <w:t>Ieviest risinājumus, lai nodrošinātu, ka administrators atsakās no administrēšanas tikai likumā paredzētajos gadījumos, kā arī paredzēt sekas nepamatota atteikuma gadījumā.</w:t>
            </w:r>
          </w:p>
        </w:tc>
        <w:tc>
          <w:tcPr>
            <w:tcW w:w="1559" w:type="dxa"/>
            <w:vAlign w:val="center"/>
          </w:tcPr>
          <w:p w14:paraId="0B43BB95" w14:textId="3F732EB6" w:rsidR="00E7748E" w:rsidRPr="00620A0B" w:rsidRDefault="004A2B6A" w:rsidP="00C20137">
            <w:pPr>
              <w:ind w:firstLine="0"/>
              <w:jc w:val="left"/>
              <w:rPr>
                <w:rFonts w:eastAsia="Times New Roman"/>
                <w:szCs w:val="28"/>
                <w:lang w:eastAsia="lv-LV"/>
              </w:rPr>
            </w:pPr>
            <w:r w:rsidRPr="00620A0B">
              <w:t>Izpildīts</w:t>
            </w:r>
          </w:p>
        </w:tc>
      </w:tr>
      <w:tr w:rsidR="00513B51" w:rsidRPr="00620A0B" w14:paraId="6F0A0EC1" w14:textId="42D5D93F" w:rsidTr="0019545C">
        <w:tc>
          <w:tcPr>
            <w:tcW w:w="1883" w:type="dxa"/>
            <w:shd w:val="clear" w:color="auto" w:fill="F2F2F2" w:themeFill="background1" w:themeFillShade="F2"/>
            <w:vAlign w:val="center"/>
          </w:tcPr>
          <w:p w14:paraId="4025ED12" w14:textId="2105389D" w:rsidR="00513B51" w:rsidRPr="00620A0B" w:rsidRDefault="00513B51" w:rsidP="00C20137">
            <w:pPr>
              <w:ind w:firstLine="0"/>
              <w:jc w:val="left"/>
              <w:rPr>
                <w:b/>
                <w:szCs w:val="24"/>
              </w:rPr>
            </w:pPr>
            <w:r w:rsidRPr="00620A0B">
              <w:rPr>
                <w:b/>
                <w:szCs w:val="24"/>
              </w:rPr>
              <w:t>Pamatnostādņu 4.6. uzdevums</w:t>
            </w:r>
          </w:p>
        </w:tc>
        <w:tc>
          <w:tcPr>
            <w:tcW w:w="7184" w:type="dxa"/>
            <w:gridSpan w:val="2"/>
            <w:shd w:val="clear" w:color="auto" w:fill="F2F2F2" w:themeFill="background1" w:themeFillShade="F2"/>
            <w:vAlign w:val="center"/>
          </w:tcPr>
          <w:p w14:paraId="20FC153D" w14:textId="6D49D1CA" w:rsidR="00513B51" w:rsidRPr="00620A0B" w:rsidRDefault="00513B51" w:rsidP="00C20137">
            <w:pPr>
              <w:ind w:firstLine="0"/>
              <w:jc w:val="left"/>
              <w:rPr>
                <w:rFonts w:eastAsia="Times New Roman"/>
                <w:b/>
                <w:szCs w:val="28"/>
                <w:lang w:eastAsia="lv-LV"/>
              </w:rPr>
            </w:pPr>
            <w:r w:rsidRPr="00620A0B">
              <w:rPr>
                <w:rFonts w:eastAsia="Times New Roman"/>
                <w:b/>
                <w:szCs w:val="28"/>
                <w:lang w:eastAsia="lv-LV"/>
              </w:rPr>
              <w:t>Izveidojama stingrāka administratoru kvalifikācijas sistēma</w:t>
            </w:r>
          </w:p>
        </w:tc>
      </w:tr>
      <w:tr w:rsidR="00AA319D" w:rsidRPr="00620A0B" w14:paraId="6B6EF8A0" w14:textId="04754DDA" w:rsidTr="007A225B">
        <w:tc>
          <w:tcPr>
            <w:tcW w:w="1883" w:type="dxa"/>
            <w:vAlign w:val="center"/>
          </w:tcPr>
          <w:p w14:paraId="4B89D5A0" w14:textId="2EBC226C" w:rsidR="00E7748E" w:rsidRPr="00620A0B" w:rsidRDefault="00E7748E" w:rsidP="00C20137">
            <w:pPr>
              <w:ind w:firstLine="0"/>
              <w:jc w:val="left"/>
              <w:rPr>
                <w:b/>
                <w:szCs w:val="24"/>
              </w:rPr>
            </w:pPr>
            <w:r w:rsidRPr="00620A0B">
              <w:t>Plāna 4.6.1. pasākums</w:t>
            </w:r>
          </w:p>
        </w:tc>
        <w:tc>
          <w:tcPr>
            <w:tcW w:w="5625" w:type="dxa"/>
            <w:vAlign w:val="center"/>
          </w:tcPr>
          <w:p w14:paraId="01D5356B" w14:textId="010DD775" w:rsidR="00E7748E" w:rsidRPr="00620A0B" w:rsidRDefault="00E7748E" w:rsidP="00C20137">
            <w:pPr>
              <w:ind w:firstLine="0"/>
              <w:jc w:val="left"/>
              <w:rPr>
                <w:rFonts w:eastAsia="Times New Roman"/>
                <w:szCs w:val="28"/>
                <w:lang w:eastAsia="lv-LV"/>
              </w:rPr>
            </w:pPr>
            <w:r w:rsidRPr="00620A0B">
              <w:rPr>
                <w:rFonts w:eastAsia="Times New Roman"/>
                <w:szCs w:val="28"/>
                <w:lang w:eastAsia="lv-LV"/>
              </w:rPr>
              <w:t xml:space="preserve">Izstrādāt likumprojektā </w:t>
            </w:r>
            <w:r w:rsidR="00E83C84">
              <w:rPr>
                <w:rFonts w:eastAsia="Times New Roman"/>
                <w:szCs w:val="28"/>
                <w:lang w:eastAsia="lv-LV"/>
              </w:rPr>
              <w:t>"</w:t>
            </w:r>
            <w:r w:rsidRPr="00620A0B">
              <w:rPr>
                <w:rFonts w:eastAsia="Times New Roman"/>
                <w:szCs w:val="28"/>
                <w:lang w:eastAsia="lv-LV"/>
              </w:rPr>
              <w:t>Grozījumi Maksātnespējas likumā</w:t>
            </w:r>
            <w:r w:rsidR="00E83C84">
              <w:rPr>
                <w:rFonts w:eastAsia="Times New Roman"/>
                <w:szCs w:val="28"/>
                <w:lang w:eastAsia="lv-LV"/>
              </w:rPr>
              <w:t>"</w:t>
            </w:r>
            <w:r w:rsidRPr="00620A0B">
              <w:rPr>
                <w:rFonts w:eastAsia="Times New Roman"/>
                <w:szCs w:val="28"/>
                <w:lang w:eastAsia="lv-LV"/>
              </w:rPr>
              <w:t xml:space="preserve"> (Lp12/Nr.</w:t>
            </w:r>
            <w:r w:rsidR="00EF706B">
              <w:rPr>
                <w:rFonts w:eastAsia="Times New Roman"/>
                <w:szCs w:val="28"/>
                <w:lang w:eastAsia="lv-LV"/>
              </w:rPr>
              <w:t> </w:t>
            </w:r>
            <w:r w:rsidRPr="00620A0B">
              <w:rPr>
                <w:rFonts w:eastAsia="Times New Roman"/>
                <w:szCs w:val="28"/>
                <w:lang w:eastAsia="lv-LV"/>
              </w:rPr>
              <w:t>106) ietvertos mehānismus, kas attiecas uz kvalifikācijas sistēmas pilnveidošanu.</w:t>
            </w:r>
          </w:p>
        </w:tc>
        <w:tc>
          <w:tcPr>
            <w:tcW w:w="1559" w:type="dxa"/>
            <w:vAlign w:val="center"/>
          </w:tcPr>
          <w:p w14:paraId="23385AE5" w14:textId="40D3D535" w:rsidR="00E7748E" w:rsidRPr="00620A0B" w:rsidRDefault="004A2B6A" w:rsidP="00C20137">
            <w:pPr>
              <w:ind w:firstLine="0"/>
              <w:jc w:val="left"/>
              <w:rPr>
                <w:rFonts w:eastAsia="Times New Roman"/>
                <w:szCs w:val="28"/>
                <w:lang w:eastAsia="lv-LV"/>
              </w:rPr>
            </w:pPr>
            <w:r w:rsidRPr="00620A0B">
              <w:t>Izpildīts</w:t>
            </w:r>
          </w:p>
        </w:tc>
      </w:tr>
      <w:tr w:rsidR="00513B51" w:rsidRPr="00620A0B" w14:paraId="31801AD4" w14:textId="6B5ACAAD" w:rsidTr="0019545C">
        <w:tc>
          <w:tcPr>
            <w:tcW w:w="1883" w:type="dxa"/>
            <w:shd w:val="clear" w:color="auto" w:fill="F2F2F2" w:themeFill="background1" w:themeFillShade="F2"/>
            <w:vAlign w:val="center"/>
          </w:tcPr>
          <w:p w14:paraId="4401938B" w14:textId="418486BD" w:rsidR="00513B51" w:rsidRPr="00620A0B" w:rsidRDefault="00513B51" w:rsidP="00C20137">
            <w:pPr>
              <w:ind w:firstLine="0"/>
              <w:jc w:val="left"/>
              <w:rPr>
                <w:b/>
              </w:rPr>
            </w:pPr>
            <w:r w:rsidRPr="00620A0B">
              <w:rPr>
                <w:b/>
                <w:szCs w:val="24"/>
              </w:rPr>
              <w:t>Pamatnostādņu 4.7. uzdevums</w:t>
            </w:r>
          </w:p>
        </w:tc>
        <w:tc>
          <w:tcPr>
            <w:tcW w:w="7184" w:type="dxa"/>
            <w:gridSpan w:val="2"/>
            <w:shd w:val="clear" w:color="auto" w:fill="F2F2F2" w:themeFill="background1" w:themeFillShade="F2"/>
            <w:vAlign w:val="center"/>
          </w:tcPr>
          <w:p w14:paraId="151E42FD" w14:textId="60A00BDB" w:rsidR="00513B51" w:rsidRPr="00620A0B" w:rsidRDefault="00513B51" w:rsidP="00C20137">
            <w:pPr>
              <w:ind w:firstLine="0"/>
              <w:jc w:val="left"/>
              <w:rPr>
                <w:rFonts w:eastAsia="Times New Roman"/>
                <w:b/>
                <w:szCs w:val="28"/>
                <w:lang w:eastAsia="lv-LV"/>
              </w:rPr>
            </w:pPr>
            <w:r w:rsidRPr="00620A0B">
              <w:rPr>
                <w:rFonts w:eastAsia="Times New Roman"/>
                <w:b/>
                <w:szCs w:val="28"/>
                <w:lang w:eastAsia="lv-LV"/>
              </w:rPr>
              <w:t>Administratoram nosakāmas stingras prasības lietvedības kārtošanai prakses vietā</w:t>
            </w:r>
          </w:p>
        </w:tc>
      </w:tr>
      <w:tr w:rsidR="00AA319D" w:rsidRPr="00620A0B" w14:paraId="67783645" w14:textId="7ACC51FD" w:rsidTr="007A225B">
        <w:tc>
          <w:tcPr>
            <w:tcW w:w="1883" w:type="dxa"/>
            <w:vAlign w:val="center"/>
          </w:tcPr>
          <w:p w14:paraId="176EEF41" w14:textId="6725A574" w:rsidR="00E7748E" w:rsidRPr="00620A0B" w:rsidRDefault="00E7748E" w:rsidP="00C20137">
            <w:pPr>
              <w:ind w:firstLine="0"/>
              <w:jc w:val="left"/>
              <w:rPr>
                <w:b/>
                <w:szCs w:val="24"/>
              </w:rPr>
            </w:pPr>
            <w:r w:rsidRPr="00620A0B">
              <w:rPr>
                <w:rFonts w:eastAsia="Times New Roman"/>
                <w:szCs w:val="28"/>
                <w:lang w:eastAsia="lv-LV"/>
              </w:rPr>
              <w:t>Plāna 4.7.1. pasākums</w:t>
            </w:r>
          </w:p>
        </w:tc>
        <w:tc>
          <w:tcPr>
            <w:tcW w:w="5625" w:type="dxa"/>
            <w:vAlign w:val="center"/>
          </w:tcPr>
          <w:p w14:paraId="15DD57A6" w14:textId="30744CF9" w:rsidR="00E7748E" w:rsidRPr="00620A0B" w:rsidRDefault="00E7748E" w:rsidP="00C20137">
            <w:pPr>
              <w:ind w:firstLine="0"/>
              <w:jc w:val="left"/>
              <w:rPr>
                <w:rFonts w:eastAsia="Times New Roman"/>
                <w:szCs w:val="28"/>
                <w:lang w:eastAsia="lv-LV"/>
              </w:rPr>
            </w:pPr>
            <w:r w:rsidRPr="00620A0B">
              <w:rPr>
                <w:rFonts w:eastAsia="Times New Roman"/>
                <w:szCs w:val="28"/>
                <w:lang w:eastAsia="lv-LV"/>
              </w:rPr>
              <w:t>Normatīvajos aktos ietvert regulējumu, kas administratoram uzliek pienākumu vest savu un parādnieka lietvedību savā prakses vietā.</w:t>
            </w:r>
          </w:p>
        </w:tc>
        <w:tc>
          <w:tcPr>
            <w:tcW w:w="1559" w:type="dxa"/>
            <w:vAlign w:val="center"/>
          </w:tcPr>
          <w:p w14:paraId="0B724150" w14:textId="19A72AF9" w:rsidR="00E7748E" w:rsidRPr="00620A0B" w:rsidRDefault="004A2B6A" w:rsidP="00C20137">
            <w:pPr>
              <w:ind w:firstLine="0"/>
              <w:jc w:val="left"/>
              <w:rPr>
                <w:rFonts w:eastAsia="Times New Roman"/>
                <w:szCs w:val="28"/>
                <w:lang w:eastAsia="lv-LV"/>
              </w:rPr>
            </w:pPr>
            <w:r w:rsidRPr="00620A0B">
              <w:t>Izpildīts</w:t>
            </w:r>
          </w:p>
        </w:tc>
      </w:tr>
      <w:tr w:rsidR="00513B51" w:rsidRPr="00620A0B" w14:paraId="5259E9FC" w14:textId="4C9F6C29" w:rsidTr="0019545C">
        <w:tc>
          <w:tcPr>
            <w:tcW w:w="1883" w:type="dxa"/>
            <w:shd w:val="clear" w:color="auto" w:fill="F2F2F2" w:themeFill="background1" w:themeFillShade="F2"/>
            <w:vAlign w:val="center"/>
          </w:tcPr>
          <w:p w14:paraId="551A5202" w14:textId="3319DBF9" w:rsidR="00513B51" w:rsidRPr="00620A0B" w:rsidRDefault="00513B51" w:rsidP="00C20137">
            <w:pPr>
              <w:ind w:firstLine="0"/>
              <w:jc w:val="left"/>
              <w:rPr>
                <w:b/>
                <w:szCs w:val="24"/>
              </w:rPr>
            </w:pPr>
            <w:r w:rsidRPr="00620A0B">
              <w:rPr>
                <w:b/>
                <w:szCs w:val="24"/>
              </w:rPr>
              <w:t>Pamatnostādņu 4.9. uzdevums</w:t>
            </w:r>
          </w:p>
        </w:tc>
        <w:tc>
          <w:tcPr>
            <w:tcW w:w="7184" w:type="dxa"/>
            <w:gridSpan w:val="2"/>
            <w:shd w:val="clear" w:color="auto" w:fill="F2F2F2" w:themeFill="background1" w:themeFillShade="F2"/>
            <w:vAlign w:val="center"/>
          </w:tcPr>
          <w:p w14:paraId="1B054813" w14:textId="0B0F5B84" w:rsidR="00513B51" w:rsidRPr="00620A0B" w:rsidRDefault="00513B51" w:rsidP="00C20137">
            <w:pPr>
              <w:ind w:firstLine="0"/>
              <w:jc w:val="left"/>
              <w:rPr>
                <w:rFonts w:eastAsia="Times New Roman"/>
                <w:b/>
                <w:szCs w:val="28"/>
                <w:lang w:eastAsia="lv-LV"/>
              </w:rPr>
            </w:pPr>
            <w:r w:rsidRPr="00620A0B">
              <w:rPr>
                <w:rFonts w:eastAsia="Times New Roman"/>
                <w:b/>
                <w:szCs w:val="28"/>
                <w:lang w:eastAsia="lv-LV"/>
              </w:rPr>
              <w:t xml:space="preserve">Izveidojams </w:t>
            </w:r>
            <w:r w:rsidRPr="004A151B">
              <w:rPr>
                <w:rFonts w:eastAsia="Times New Roman"/>
                <w:b/>
                <w:szCs w:val="28"/>
                <w:lang w:eastAsia="lv-LV"/>
              </w:rPr>
              <w:t>administrator</w:t>
            </w:r>
            <w:r w:rsidR="006D180C" w:rsidRPr="004A151B">
              <w:rPr>
                <w:rFonts w:eastAsia="Times New Roman"/>
                <w:b/>
                <w:szCs w:val="28"/>
                <w:lang w:eastAsia="lv-LV"/>
              </w:rPr>
              <w:t>u</w:t>
            </w:r>
            <w:r w:rsidR="006D180C" w:rsidRPr="00620A0B">
              <w:rPr>
                <w:rFonts w:eastAsia="Times New Roman"/>
                <w:b/>
                <w:szCs w:val="28"/>
                <w:lang w:eastAsia="lv-LV"/>
              </w:rPr>
              <w:t xml:space="preserve"> </w:t>
            </w:r>
            <w:r w:rsidR="00CE54DC" w:rsidRPr="00620A0B">
              <w:rPr>
                <w:rFonts w:eastAsia="Times New Roman"/>
                <w:b/>
                <w:szCs w:val="28"/>
                <w:lang w:eastAsia="lv-LV"/>
              </w:rPr>
              <w:t>reitings</w:t>
            </w:r>
          </w:p>
        </w:tc>
      </w:tr>
      <w:tr w:rsidR="00AA319D" w:rsidRPr="00620A0B" w14:paraId="01DA9363" w14:textId="772E055D" w:rsidTr="007A225B">
        <w:tc>
          <w:tcPr>
            <w:tcW w:w="1883" w:type="dxa"/>
            <w:vAlign w:val="center"/>
          </w:tcPr>
          <w:p w14:paraId="0D5443F6" w14:textId="02713D3B" w:rsidR="00E7748E" w:rsidRPr="00620A0B" w:rsidRDefault="00E7748E" w:rsidP="00C20137">
            <w:pPr>
              <w:ind w:firstLine="0"/>
              <w:jc w:val="left"/>
              <w:rPr>
                <w:b/>
                <w:szCs w:val="24"/>
              </w:rPr>
            </w:pPr>
            <w:r w:rsidRPr="00620A0B">
              <w:rPr>
                <w:rFonts w:eastAsia="Times New Roman"/>
                <w:szCs w:val="28"/>
                <w:lang w:eastAsia="lv-LV"/>
              </w:rPr>
              <w:t>Plāna 4.9.1. pasākums</w:t>
            </w:r>
          </w:p>
        </w:tc>
        <w:tc>
          <w:tcPr>
            <w:tcW w:w="5625" w:type="dxa"/>
            <w:vAlign w:val="center"/>
          </w:tcPr>
          <w:p w14:paraId="74BFEC56" w14:textId="67369508" w:rsidR="00E7748E" w:rsidRPr="00620A0B" w:rsidRDefault="00E7748E" w:rsidP="00C20137">
            <w:pPr>
              <w:ind w:firstLine="0"/>
              <w:jc w:val="left"/>
              <w:rPr>
                <w:rFonts w:eastAsia="Times New Roman"/>
                <w:szCs w:val="28"/>
                <w:lang w:eastAsia="lv-LV"/>
              </w:rPr>
            </w:pPr>
            <w:r w:rsidRPr="00620A0B">
              <w:rPr>
                <w:rFonts w:eastAsia="Times New Roman"/>
                <w:szCs w:val="28"/>
                <w:lang w:eastAsia="lv-LV"/>
              </w:rPr>
              <w:t xml:space="preserve">Regulāri sastādīt un publicēt MKD tīmekļa vietnē </w:t>
            </w:r>
            <w:r w:rsidRPr="004A151B">
              <w:rPr>
                <w:rFonts w:eastAsia="Times New Roman"/>
                <w:szCs w:val="28"/>
                <w:lang w:eastAsia="lv-LV"/>
              </w:rPr>
              <w:t>administratoru</w:t>
            </w:r>
            <w:r w:rsidRPr="00620A0B">
              <w:rPr>
                <w:rFonts w:eastAsia="Times New Roman"/>
                <w:szCs w:val="28"/>
                <w:lang w:eastAsia="lv-LV"/>
              </w:rPr>
              <w:t xml:space="preserve"> reitingu. Kritēriji – no administratora tieši atkarīgas darbības.</w:t>
            </w:r>
          </w:p>
        </w:tc>
        <w:tc>
          <w:tcPr>
            <w:tcW w:w="1559" w:type="dxa"/>
            <w:vAlign w:val="center"/>
          </w:tcPr>
          <w:p w14:paraId="3B90A5DD" w14:textId="3D284855" w:rsidR="00E7748E" w:rsidRPr="00620A0B" w:rsidRDefault="004A2B6A" w:rsidP="00C20137">
            <w:pPr>
              <w:ind w:firstLine="0"/>
              <w:jc w:val="left"/>
              <w:rPr>
                <w:rFonts w:eastAsia="Times New Roman"/>
                <w:szCs w:val="28"/>
                <w:lang w:eastAsia="lv-LV"/>
              </w:rPr>
            </w:pPr>
            <w:r w:rsidRPr="00620A0B">
              <w:t>Izpildīts</w:t>
            </w:r>
          </w:p>
        </w:tc>
      </w:tr>
      <w:tr w:rsidR="00513B51" w:rsidRPr="00620A0B" w14:paraId="274375BB" w14:textId="47AAA908" w:rsidTr="0019545C">
        <w:tc>
          <w:tcPr>
            <w:tcW w:w="1883" w:type="dxa"/>
            <w:shd w:val="clear" w:color="auto" w:fill="F2F2F2" w:themeFill="background1" w:themeFillShade="F2"/>
            <w:vAlign w:val="center"/>
          </w:tcPr>
          <w:p w14:paraId="36B7E0C7" w14:textId="7E85A589" w:rsidR="00513B51" w:rsidRPr="00620A0B" w:rsidRDefault="00513B51" w:rsidP="00C20137">
            <w:pPr>
              <w:ind w:firstLine="0"/>
              <w:jc w:val="left"/>
              <w:rPr>
                <w:rFonts w:eastAsia="Times New Roman"/>
                <w:b/>
                <w:szCs w:val="28"/>
                <w:lang w:eastAsia="lv-LV"/>
              </w:rPr>
            </w:pPr>
            <w:r w:rsidRPr="00620A0B">
              <w:rPr>
                <w:b/>
                <w:szCs w:val="24"/>
              </w:rPr>
              <w:t>Pamatnostādņu 4.10. uzdevums</w:t>
            </w:r>
          </w:p>
        </w:tc>
        <w:tc>
          <w:tcPr>
            <w:tcW w:w="7184" w:type="dxa"/>
            <w:gridSpan w:val="2"/>
            <w:shd w:val="clear" w:color="auto" w:fill="F2F2F2" w:themeFill="background1" w:themeFillShade="F2"/>
            <w:vAlign w:val="center"/>
          </w:tcPr>
          <w:p w14:paraId="79236CF2" w14:textId="670D1076" w:rsidR="00513B51" w:rsidRPr="00620A0B" w:rsidRDefault="00513B51" w:rsidP="00C20137">
            <w:pPr>
              <w:ind w:firstLine="0"/>
              <w:jc w:val="left"/>
              <w:rPr>
                <w:rFonts w:eastAsia="Times New Roman"/>
                <w:b/>
                <w:szCs w:val="28"/>
                <w:lang w:eastAsia="lv-LV"/>
              </w:rPr>
            </w:pPr>
            <w:r w:rsidRPr="00620A0B">
              <w:rPr>
                <w:rFonts w:eastAsia="Times New Roman"/>
                <w:b/>
                <w:szCs w:val="28"/>
                <w:lang w:eastAsia="lv-LV"/>
              </w:rPr>
              <w:t>Nodrošināt sabiedrības kontroli publicējot informāciju par maksātnespējas procesa norisi</w:t>
            </w:r>
          </w:p>
        </w:tc>
      </w:tr>
      <w:tr w:rsidR="00AA319D" w:rsidRPr="00620A0B" w14:paraId="11331045" w14:textId="461A5F18" w:rsidTr="007A225B">
        <w:tc>
          <w:tcPr>
            <w:tcW w:w="1883" w:type="dxa"/>
            <w:vAlign w:val="center"/>
          </w:tcPr>
          <w:p w14:paraId="3BAC16C5" w14:textId="3D615250" w:rsidR="00E7748E" w:rsidRPr="00620A0B" w:rsidRDefault="00E7748E" w:rsidP="00C20137">
            <w:pPr>
              <w:ind w:firstLine="0"/>
              <w:jc w:val="left"/>
              <w:rPr>
                <w:b/>
                <w:szCs w:val="24"/>
              </w:rPr>
            </w:pPr>
            <w:r w:rsidRPr="00620A0B">
              <w:rPr>
                <w:rFonts w:eastAsia="Times New Roman"/>
                <w:szCs w:val="28"/>
                <w:lang w:eastAsia="lv-LV"/>
              </w:rPr>
              <w:t>Plāna 4.10.1. pasākums</w:t>
            </w:r>
          </w:p>
        </w:tc>
        <w:tc>
          <w:tcPr>
            <w:tcW w:w="5625" w:type="dxa"/>
            <w:vAlign w:val="center"/>
          </w:tcPr>
          <w:p w14:paraId="53F24AF9" w14:textId="079136EC" w:rsidR="00E7748E" w:rsidRPr="00620A0B" w:rsidRDefault="00E7748E" w:rsidP="00C20137">
            <w:pPr>
              <w:ind w:firstLine="0"/>
              <w:jc w:val="left"/>
              <w:rPr>
                <w:rFonts w:eastAsia="Times New Roman"/>
                <w:szCs w:val="28"/>
                <w:lang w:eastAsia="lv-LV"/>
              </w:rPr>
            </w:pPr>
            <w:r w:rsidRPr="00620A0B">
              <w:rPr>
                <w:rFonts w:eastAsia="Times New Roman"/>
                <w:szCs w:val="28"/>
                <w:lang w:eastAsia="lv-LV"/>
              </w:rPr>
              <w:t xml:space="preserve">Padarīt publisku administratora darbības pārskatos pieejamo informāciju, izvērtējot fizisko personu datu aizsardzības un komercnoslēpuma aizsardzības prasības, </w:t>
            </w:r>
            <w:r w:rsidRPr="00620A0B">
              <w:rPr>
                <w:szCs w:val="28"/>
              </w:rPr>
              <w:t xml:space="preserve">kā arī ievērojot Eiropas Parlamenta un Padomes regulā Nr. 2016/679 </w:t>
            </w:r>
            <w:r w:rsidR="00E83C84">
              <w:rPr>
                <w:szCs w:val="28"/>
              </w:rPr>
              <w:t>"</w:t>
            </w:r>
            <w:r w:rsidRPr="00620A0B">
              <w:rPr>
                <w:szCs w:val="28"/>
              </w:rPr>
              <w:t>Par fizisku personu aizsardzību attiecībā uz personas datu apstrādi un šādu datu brīvu apriti un ar ko atceļ Direktīvu 95/46/EK (Vispārīgā datu aizsardzības regula)</w:t>
            </w:r>
            <w:r w:rsidR="00E83C84">
              <w:rPr>
                <w:szCs w:val="28"/>
              </w:rPr>
              <w:t>"</w:t>
            </w:r>
            <w:r w:rsidRPr="00620A0B">
              <w:rPr>
                <w:szCs w:val="28"/>
              </w:rPr>
              <w:t xml:space="preserve"> noteikto.</w:t>
            </w:r>
          </w:p>
        </w:tc>
        <w:tc>
          <w:tcPr>
            <w:tcW w:w="1559" w:type="dxa"/>
            <w:vAlign w:val="center"/>
          </w:tcPr>
          <w:p w14:paraId="7CBF00CB" w14:textId="4DD54AC8" w:rsidR="00E7748E" w:rsidRPr="00620A0B" w:rsidRDefault="00513B51" w:rsidP="00C20137">
            <w:pPr>
              <w:ind w:firstLine="0"/>
              <w:jc w:val="left"/>
              <w:rPr>
                <w:rFonts w:eastAsia="Times New Roman"/>
                <w:szCs w:val="28"/>
                <w:lang w:eastAsia="lv-LV"/>
              </w:rPr>
            </w:pPr>
            <w:r w:rsidRPr="00620A0B">
              <w:t>Izpildīts</w:t>
            </w:r>
          </w:p>
        </w:tc>
      </w:tr>
    </w:tbl>
    <w:p w14:paraId="039522B2" w14:textId="77777777" w:rsidR="00384D5A" w:rsidRPr="00620A0B" w:rsidRDefault="00384D5A" w:rsidP="00147C23"/>
    <w:p w14:paraId="10D45232" w14:textId="2D01659E" w:rsidR="00D2510D" w:rsidRPr="00620A0B" w:rsidRDefault="00D2510D" w:rsidP="00147C23">
      <w:r w:rsidRPr="00620A0B">
        <w:t>Novērtējuma periodā</w:t>
      </w:r>
      <w:r w:rsidR="00001B02" w:rsidRPr="00620A0B">
        <w:t xml:space="preserve"> pilnībā</w:t>
      </w:r>
      <w:r w:rsidRPr="00620A0B">
        <w:t xml:space="preserve"> izpildīt</w:t>
      </w:r>
      <w:r w:rsidR="00001B02" w:rsidRPr="00620A0B">
        <w:t>s 21</w:t>
      </w:r>
      <w:r w:rsidRPr="00620A0B">
        <w:t> </w:t>
      </w:r>
      <w:r w:rsidR="000D6EE2">
        <w:t>p</w:t>
      </w:r>
      <w:r w:rsidRPr="00620A0B">
        <w:t>lāna pasākum</w:t>
      </w:r>
      <w:r w:rsidR="00001B02" w:rsidRPr="00620A0B">
        <w:t>s</w:t>
      </w:r>
      <w:r w:rsidRPr="00620A0B">
        <w:t>.</w:t>
      </w:r>
    </w:p>
    <w:p w14:paraId="04347CC0" w14:textId="5C1D9038" w:rsidR="00410EFB" w:rsidRPr="00620A0B" w:rsidRDefault="00E31069" w:rsidP="00147C23">
      <w:r w:rsidRPr="00620A0B">
        <w:t xml:space="preserve">Lai veicinātu, ka </w:t>
      </w:r>
      <w:r w:rsidRPr="00620A0B">
        <w:rPr>
          <w:b/>
        </w:rPr>
        <w:t>uzņēmumi, izmantojot TAP me</w:t>
      </w:r>
      <w:r w:rsidR="00C93A01" w:rsidRPr="00620A0B">
        <w:rPr>
          <w:b/>
        </w:rPr>
        <w:t>hānismus, atgūst maksātspēju</w:t>
      </w:r>
      <w:r w:rsidR="00C93A01" w:rsidRPr="00620A0B">
        <w:t xml:space="preserve">, novērtējuma periodā izstrādāta </w:t>
      </w:r>
      <w:r w:rsidR="005E78AA" w:rsidRPr="00620A0B">
        <w:t xml:space="preserve">Dzīves situācija </w:t>
      </w:r>
      <w:r w:rsidR="00E83C84">
        <w:t>"</w:t>
      </w:r>
      <w:r w:rsidR="005E78AA" w:rsidRPr="00620A0B">
        <w:t>Uzņēmējdarbības izbeigšana</w:t>
      </w:r>
      <w:r w:rsidR="00E83C84">
        <w:t>"</w:t>
      </w:r>
      <w:r w:rsidR="005E78AA" w:rsidRPr="00620A0B">
        <w:t xml:space="preserve">, kas pieejama vietnē </w:t>
      </w:r>
      <w:hyperlink r:id="rId8" w:history="1">
        <w:r w:rsidR="005E78AA" w:rsidRPr="00620A0B">
          <w:rPr>
            <w:rStyle w:val="Hipersaite"/>
            <w:i/>
          </w:rPr>
          <w:t>www.Latvija.lv</w:t>
        </w:r>
      </w:hyperlink>
      <w:r w:rsidR="005E78AA" w:rsidRPr="00620A0B">
        <w:t xml:space="preserve">, MKD </w:t>
      </w:r>
      <w:r w:rsidR="008C06ED" w:rsidRPr="00620A0B">
        <w:t xml:space="preserve">ir publicējis informāciju par TAP regulējumu un piedalījies </w:t>
      </w:r>
      <w:r w:rsidR="00BC7A71" w:rsidRPr="00620A0B">
        <w:t>EM, LIAA un ALTUM</w:t>
      </w:r>
      <w:r w:rsidR="00DD0761" w:rsidRPr="00620A0B">
        <w:t xml:space="preserve"> forumā </w:t>
      </w:r>
      <w:r w:rsidR="00E83C84">
        <w:t>"</w:t>
      </w:r>
      <w:r w:rsidR="00DD0761" w:rsidRPr="00620A0B">
        <w:t>Valsts atbalsta biznesu</w:t>
      </w:r>
      <w:r w:rsidR="00E83C84">
        <w:t>"</w:t>
      </w:r>
      <w:r w:rsidR="00DD0761" w:rsidRPr="00620A0B">
        <w:t>.</w:t>
      </w:r>
    </w:p>
    <w:p w14:paraId="37F38F95" w14:textId="5F7AC716" w:rsidR="00010917" w:rsidRPr="00620A0B" w:rsidRDefault="006F341E" w:rsidP="00147C23">
      <w:r w:rsidRPr="00620A0B">
        <w:t>Tāpat pilnveidots TAP regulējums, ar grozījumiem Maksātnespējas likumā ieviešot</w:t>
      </w:r>
      <w:r w:rsidR="00F92EF0" w:rsidRPr="00620A0B">
        <w:t xml:space="preserve"> uzraugošās personas institūtu</w:t>
      </w:r>
      <w:r w:rsidR="00AE43B6" w:rsidRPr="00620A0B">
        <w:t xml:space="preserve">, </w:t>
      </w:r>
      <w:r w:rsidR="001E49A8" w:rsidRPr="00620A0B">
        <w:t xml:space="preserve">kā arī paredzot kreditora tiesības </w:t>
      </w:r>
      <w:r w:rsidR="00DD0DA2" w:rsidRPr="00620A0B">
        <w:t xml:space="preserve">lūgt zvērināta revidenta atzinumu par vērtā neņemtajiem iebildumiem un </w:t>
      </w:r>
      <w:r w:rsidR="00ED19E6" w:rsidRPr="00620A0B">
        <w:t>nosakot, ka par uzraugošās personas atlīdzību ir jāvienojas ar kreditoriem.</w:t>
      </w:r>
    </w:p>
    <w:p w14:paraId="735C9C36" w14:textId="75329A9E" w:rsidR="00023D96" w:rsidRPr="00620A0B" w:rsidRDefault="00C264CA" w:rsidP="00147C23">
      <w:r w:rsidRPr="00620A0B">
        <w:rPr>
          <w:b/>
        </w:rPr>
        <w:t>Kreditoru maksimālas saistību a</w:t>
      </w:r>
      <w:r w:rsidR="00221FC1" w:rsidRPr="00620A0B">
        <w:rPr>
          <w:b/>
        </w:rPr>
        <w:t xml:space="preserve">pmierināšanas un ekonomiski vērtīgo aktīvu atgriešanas ekonomiskajā apritē </w:t>
      </w:r>
      <w:r w:rsidR="00221FC1" w:rsidRPr="00620A0B">
        <w:t xml:space="preserve">nolūkos </w:t>
      </w:r>
      <w:r w:rsidR="005F12D3" w:rsidRPr="00620A0B">
        <w:t xml:space="preserve">novērtējuma periodā </w:t>
      </w:r>
      <w:r w:rsidR="00841711" w:rsidRPr="00620A0B">
        <w:t>veikti grozījumi Krimināllikum</w:t>
      </w:r>
      <w:r w:rsidR="00946FF2" w:rsidRPr="00620A0B">
        <w:t xml:space="preserve">a </w:t>
      </w:r>
      <w:r w:rsidR="002778C0" w:rsidRPr="00620A0B">
        <w:t>215. un 215.</w:t>
      </w:r>
      <w:r w:rsidR="002778C0" w:rsidRPr="00620A0B">
        <w:rPr>
          <w:vertAlign w:val="superscript"/>
        </w:rPr>
        <w:t>1</w:t>
      </w:r>
      <w:r w:rsidR="002778C0" w:rsidRPr="00620A0B">
        <w:t> pantā</w:t>
      </w:r>
      <w:r w:rsidR="00946FF2" w:rsidRPr="00620A0B">
        <w:t>,</w:t>
      </w:r>
      <w:r w:rsidR="00023D96" w:rsidRPr="00620A0B">
        <w:t xml:space="preserve"> dekriminalizē</w:t>
      </w:r>
      <w:r w:rsidR="00946FF2" w:rsidRPr="00620A0B">
        <w:t>jot</w:t>
      </w:r>
      <w:r w:rsidR="002778C0" w:rsidRPr="00620A0B">
        <w:t xml:space="preserve"> vairākas darbības, kas nesasniedz </w:t>
      </w:r>
      <w:r w:rsidR="000215A3" w:rsidRPr="00620A0B">
        <w:t>kriminālatbildības līmeni. Tādē</w:t>
      </w:r>
      <w:r w:rsidR="001376D7" w:rsidRPr="00620A0B">
        <w:t xml:space="preserve">jādi ne tikai </w:t>
      </w:r>
      <w:r w:rsidR="00826244" w:rsidRPr="00620A0B">
        <w:t>atslogot</w:t>
      </w:r>
      <w:r w:rsidR="00F25375" w:rsidRPr="00620A0B">
        <w:t>a</w:t>
      </w:r>
      <w:r w:rsidR="00EE0B1C" w:rsidRPr="00620A0B">
        <w:t xml:space="preserve"> Valsts policij</w:t>
      </w:r>
      <w:r w:rsidR="00F25375" w:rsidRPr="00620A0B">
        <w:t>a</w:t>
      </w:r>
      <w:r w:rsidR="00EE0B1C" w:rsidRPr="00620A0B">
        <w:t xml:space="preserve">, kas veicina </w:t>
      </w:r>
      <w:r w:rsidR="001376D7" w:rsidRPr="00620A0B">
        <w:t>efekt</w:t>
      </w:r>
      <w:r w:rsidR="00826244" w:rsidRPr="00620A0B">
        <w:t>īvāku</w:t>
      </w:r>
      <w:r w:rsidR="001376D7" w:rsidRPr="00620A0B">
        <w:t xml:space="preserve"> kriminālprocesu izskatīšan</w:t>
      </w:r>
      <w:r w:rsidR="00DE69AF">
        <w:t>u</w:t>
      </w:r>
      <w:r w:rsidR="00826244" w:rsidRPr="00620A0B">
        <w:t xml:space="preserve"> par nopietnākām darbībām</w:t>
      </w:r>
      <w:r w:rsidR="001376D7" w:rsidRPr="00620A0B">
        <w:t xml:space="preserve">, bet arī </w:t>
      </w:r>
      <w:r w:rsidR="00826244" w:rsidRPr="00620A0B">
        <w:t>nodrošin</w:t>
      </w:r>
      <w:r w:rsidR="00F25375" w:rsidRPr="00620A0B">
        <w:t>āta</w:t>
      </w:r>
      <w:r w:rsidR="00826244" w:rsidRPr="00620A0B">
        <w:t xml:space="preserve"> </w:t>
      </w:r>
      <w:r w:rsidR="00F25375" w:rsidRPr="00620A0B">
        <w:t xml:space="preserve">augstāka </w:t>
      </w:r>
      <w:r w:rsidR="00826244" w:rsidRPr="00620A0B">
        <w:t>atbildības neizbēgamīb</w:t>
      </w:r>
      <w:r w:rsidR="00F25375" w:rsidRPr="00620A0B">
        <w:t>a</w:t>
      </w:r>
      <w:r w:rsidR="00826244" w:rsidRPr="00620A0B">
        <w:t xml:space="preserve"> </w:t>
      </w:r>
      <w:r w:rsidR="000124D8" w:rsidRPr="00620A0B">
        <w:t xml:space="preserve">arī par mazāk kaitīgām darbībām, tā kā personu saukšana pie atbildības administratīvā kārtībā </w:t>
      </w:r>
      <w:r w:rsidR="00946FF2" w:rsidRPr="00620A0B">
        <w:t>ir sasniedzama ātrāk.</w:t>
      </w:r>
    </w:p>
    <w:p w14:paraId="1DCE3480" w14:textId="31629D47" w:rsidR="00CD5F1F" w:rsidRPr="00620A0B" w:rsidRDefault="005F12D3" w:rsidP="00147C23">
      <w:r w:rsidRPr="00620A0B">
        <w:lastRenderedPageBreak/>
        <w:t xml:space="preserve">Tāpat novērtējuma periodā </w:t>
      </w:r>
      <w:r w:rsidR="008C140F" w:rsidRPr="00620A0B">
        <w:t>veikti grozījumi Maksātnespējas likumā, kreditoru prasījumu atzīšanas procesā nosakot kārtīb</w:t>
      </w:r>
      <w:r w:rsidR="00DE69AF">
        <w:t>u</w:t>
      </w:r>
      <w:r w:rsidR="008C140F" w:rsidRPr="00620A0B">
        <w:t>, kā administrators efektīvi rīkojas ar viltotiem vai šķietami viltotiem dokumentiem, kā arī</w:t>
      </w:r>
      <w:r w:rsidR="00385201" w:rsidRPr="00620A0B">
        <w:t>,</w:t>
      </w:r>
      <w:r w:rsidR="008C140F" w:rsidRPr="00620A0B">
        <w:t xml:space="preserve"> piešķirot kreditoriem tiesības lūgt </w:t>
      </w:r>
      <w:r w:rsidR="0099648F" w:rsidRPr="00620A0B">
        <w:t xml:space="preserve">administratora darbības revīziju </w:t>
      </w:r>
      <w:r w:rsidR="00385201" w:rsidRPr="00620A0B">
        <w:t>konkrētā maksātnespējas procesā. Savukārt ar saistītiem grozījumiem Maksātnespējas likumā un Civilprocesa likumā juridiskās personas maksātnespējas procesā ieviesta jauna kārtība, kādā kreditoru prasījumu atzīšanas procesā izskata strīdus par tiesībām, civilprocesuālā kārtībā izskatāmus strīdus integrējot juridiskās personas maksātnespējas procesa lietā.</w:t>
      </w:r>
    </w:p>
    <w:p w14:paraId="2B7C328D" w14:textId="589DF42E" w:rsidR="00A62CA6" w:rsidRPr="00620A0B" w:rsidRDefault="0016475E" w:rsidP="00147C23">
      <w:r w:rsidRPr="00620A0B">
        <w:t xml:space="preserve">Lai nodrošinātu, ka </w:t>
      </w:r>
      <w:r w:rsidRPr="00620A0B">
        <w:rPr>
          <w:b/>
        </w:rPr>
        <w:t xml:space="preserve">administratori ir </w:t>
      </w:r>
      <w:r w:rsidR="00C20BEA" w:rsidRPr="00620A0B">
        <w:rPr>
          <w:b/>
        </w:rPr>
        <w:t>kvalificēti un profesionāli speciālisti, kas efektīvi pilda savus pienākumus (un rūpējas par profesijas prestižu)</w:t>
      </w:r>
      <w:r w:rsidR="005E51AF" w:rsidRPr="00620A0B">
        <w:t xml:space="preserve">, novērtējuma periodā ir īstenota administratoru profesijas reforma, tai skaitā </w:t>
      </w:r>
      <w:r w:rsidR="006F0744" w:rsidRPr="00620A0B">
        <w:t xml:space="preserve">nododot atpakaļ valstij administratoru kvalifikācijas sākotnējo un regulāro pārbaudi </w:t>
      </w:r>
      <w:r w:rsidR="00292D86" w:rsidRPr="00620A0B">
        <w:t>un ieviešot nepieciešamos mehānismus kvalifikācijas sistēmas pilnveidošanai. Tāpat ar grozījumiem Maksātnespējas likumā administratoriem noteikts pienākums kārtot lietvedību savā prakses vietā.</w:t>
      </w:r>
    </w:p>
    <w:p w14:paraId="3EAD6DF1" w14:textId="2777BC2E" w:rsidR="00292D86" w:rsidRPr="00620A0B" w:rsidRDefault="00EE5930" w:rsidP="00147C23">
      <w:r w:rsidRPr="00620A0B">
        <w:t>Attiecīgi novērtējuma periodā stiprināta MKD kompetence. Ar grozījumiem Maksātnespējas likumā MKD piešķirtas tiesības ierasties administratora prakses vietā un veikt pārbaudi.</w:t>
      </w:r>
      <w:r w:rsidR="00957EF4" w:rsidRPr="00620A0B">
        <w:t xml:space="preserve"> Savukārt ar informatīvo ziņojumu </w:t>
      </w:r>
      <w:r w:rsidR="00E83C84">
        <w:t>"</w:t>
      </w:r>
      <w:r w:rsidR="00957EF4" w:rsidRPr="00620A0B">
        <w:t>Par Maksātnespējas administrācijas attīstību</w:t>
      </w:r>
      <w:r w:rsidR="00E83C84">
        <w:t>"</w:t>
      </w:r>
      <w:r w:rsidR="00957EF4" w:rsidRPr="00620A0B">
        <w:t xml:space="preserve"> </w:t>
      </w:r>
      <w:r w:rsidR="0009372D" w:rsidRPr="00620A0B">
        <w:t>izvēr</w:t>
      </w:r>
      <w:r w:rsidR="00681F42" w:rsidRPr="00620A0B">
        <w:t xml:space="preserve">tēti </w:t>
      </w:r>
      <w:r w:rsidR="00432951" w:rsidRPr="00620A0B">
        <w:t>papildus nepieciešamie resursi, lai nodrošinātu MKD funkciju un uzdevumu efektīvu izpildi</w:t>
      </w:r>
      <w:r w:rsidR="00B207BD" w:rsidRPr="00620A0B">
        <w:t xml:space="preserve">, tai skaitā </w:t>
      </w:r>
      <w:r w:rsidR="001C32C2" w:rsidRPr="00620A0B">
        <w:t>novērstu</w:t>
      </w:r>
      <w:r w:rsidR="00B207BD" w:rsidRPr="00620A0B">
        <w:t xml:space="preserve"> ar administratoru izvēles un ieteikšanas mehānismu saistīto </w:t>
      </w:r>
      <w:r w:rsidR="001C32C2" w:rsidRPr="00620A0B">
        <w:t>nodarbināto ieinteresētību</w:t>
      </w:r>
      <w:r w:rsidR="00432951" w:rsidRPr="00620A0B">
        <w:t>.</w:t>
      </w:r>
      <w:r w:rsidR="00222B4E" w:rsidRPr="00620A0B">
        <w:t xml:space="preserve"> Novērtējuma periodā </w:t>
      </w:r>
      <w:r w:rsidR="002554AD" w:rsidRPr="00620A0B">
        <w:t xml:space="preserve">MKD </w:t>
      </w:r>
      <w:r w:rsidR="00222B4E" w:rsidRPr="00620A0B">
        <w:t xml:space="preserve">arīdzan </w:t>
      </w:r>
      <w:r w:rsidR="002554AD" w:rsidRPr="00620A0B">
        <w:t xml:space="preserve">izstrādājis risku vadības mehānismu, lai nodrošinātu, ka </w:t>
      </w:r>
      <w:r w:rsidR="001E6394" w:rsidRPr="00620A0B">
        <w:t xml:space="preserve">tautsaimniecībai nozīmīgo vai problemātisko procesu uzraudzība neizpaliek </w:t>
      </w:r>
      <w:r w:rsidR="00287942" w:rsidRPr="00620A0B">
        <w:t>MKD amatpersonu un pārbaudāmo procesu proporcijas dēļ.</w:t>
      </w:r>
    </w:p>
    <w:p w14:paraId="4E674F7E" w14:textId="435ADF64" w:rsidR="00292D86" w:rsidRPr="00620A0B" w:rsidRDefault="00617F0E" w:rsidP="00147C23">
      <w:r w:rsidRPr="00620A0B">
        <w:t>Novērtējuma periodā arīdzan uzlabot</w:t>
      </w:r>
      <w:r w:rsidR="00395C87" w:rsidRPr="00620A0B">
        <w:t>s</w:t>
      </w:r>
      <w:r w:rsidRPr="00620A0B">
        <w:t xml:space="preserve"> administratoru i</w:t>
      </w:r>
      <w:r w:rsidR="00395C87" w:rsidRPr="00620A0B">
        <w:t xml:space="preserve">zvēles un ieteikšanas mehānisms – mainīta pretendentu saraksta samainīšanas regularitāte no </w:t>
      </w:r>
      <w:r w:rsidR="009B2E9C" w:rsidRPr="00620A0B">
        <w:t>katra kalendārā gada pirmās darbdienas uz katra kalendāra ceturkšņa pirmo darbdienu</w:t>
      </w:r>
      <w:r w:rsidR="00741929" w:rsidRPr="00620A0B">
        <w:t xml:space="preserve">. Tāpat administratoram vairs nav tiesību atteikties no viņa kandidatūras ieteikšanas </w:t>
      </w:r>
      <w:r w:rsidR="00082517" w:rsidRPr="00620A0B">
        <w:t xml:space="preserve">sākotnēji, lai izvairītos no tā, ka administratori atsakās nepamatoti. Proti, </w:t>
      </w:r>
      <w:r w:rsidR="00F0333F" w:rsidRPr="00620A0B">
        <w:t>ja administratoram pastāv interešu konflikts, viņam par to ir jāinformē tiesu, kura izvērtē administratora norādītos apstākļus.</w:t>
      </w:r>
    </w:p>
    <w:p w14:paraId="314871B0" w14:textId="5011CE49" w:rsidR="00C64243" w:rsidRPr="00620A0B" w:rsidRDefault="00292D86" w:rsidP="00147C23">
      <w:r w:rsidRPr="00620A0B">
        <w:t>Novērtējuma periodā secināts, ka sākotnējā iecere par a</w:t>
      </w:r>
      <w:r w:rsidR="00F9467D" w:rsidRPr="00620A0B">
        <w:t>dministratoru darbības pārskatu publicēšan</w:t>
      </w:r>
      <w:r w:rsidR="00083BCF" w:rsidRPr="00620A0B">
        <w:t>u</w:t>
      </w:r>
      <w:r w:rsidR="00F9467D" w:rsidRPr="00620A0B">
        <w:t xml:space="preserve"> </w:t>
      </w:r>
      <w:r w:rsidR="00611EC0" w:rsidRPr="00620A0B">
        <w:t>būtu</w:t>
      </w:r>
      <w:r w:rsidR="00F9467D" w:rsidRPr="00620A0B">
        <w:t xml:space="preserve"> nesamērīga attiecībā pret sabiedrībai nepieciešamajām ziņām, </w:t>
      </w:r>
      <w:r w:rsidR="00611EC0" w:rsidRPr="00620A0B">
        <w:t>savukārt</w:t>
      </w:r>
      <w:r w:rsidR="00F71860" w:rsidRPr="00620A0B">
        <w:t xml:space="preserve"> administratoru reitings varētu nebūt objektīvs</w:t>
      </w:r>
      <w:r w:rsidR="00611EC0" w:rsidRPr="00620A0B">
        <w:t>, jo viens ļoti veiksmīgs vai gluži pretēji – ļoti neveiksmīgs maksātnespējas process var</w:t>
      </w:r>
      <w:r w:rsidR="009F228A" w:rsidRPr="00620A0B">
        <w:t>ētu</w:t>
      </w:r>
      <w:r w:rsidR="00611EC0" w:rsidRPr="00620A0B">
        <w:t xml:space="preserve"> </w:t>
      </w:r>
      <w:r w:rsidR="009F228A" w:rsidRPr="00620A0B">
        <w:t>nesamērīgi ietekmēt administratora vietu reitingā</w:t>
      </w:r>
      <w:r w:rsidR="00F71860" w:rsidRPr="00620A0B">
        <w:t>.</w:t>
      </w:r>
      <w:r w:rsidR="009F228A" w:rsidRPr="00620A0B">
        <w:t xml:space="preserve"> Lai </w:t>
      </w:r>
      <w:r w:rsidR="00EC5832" w:rsidRPr="00620A0B">
        <w:t>mazinātu</w:t>
      </w:r>
      <w:r w:rsidR="009F228A" w:rsidRPr="00620A0B">
        <w:t xml:space="preserve"> konstatētos riskus, sabiedrībai </w:t>
      </w:r>
      <w:r w:rsidR="00EC5832" w:rsidRPr="00620A0B">
        <w:t xml:space="preserve">nodrošināta iespēja </w:t>
      </w:r>
      <w:r w:rsidR="009F228A" w:rsidRPr="00620A0B">
        <w:t xml:space="preserve">iepazīties ar katra administratora </w:t>
      </w:r>
      <w:r w:rsidR="00F51221" w:rsidRPr="00620A0B">
        <w:t xml:space="preserve">aktivitāti, MKD tīmekļvietnē pieejama apkopota </w:t>
      </w:r>
      <w:r w:rsidR="00EC5832" w:rsidRPr="00620A0B">
        <w:t xml:space="preserve">un periodiski atjaunota </w:t>
      </w:r>
      <w:r w:rsidR="00F51221" w:rsidRPr="00620A0B">
        <w:t>informācija par katru administratoru un viņa veikto darbību rezultat</w:t>
      </w:r>
      <w:r w:rsidR="001A5DE3" w:rsidRPr="00620A0B">
        <w:t>ivitāti.</w:t>
      </w:r>
    </w:p>
    <w:p w14:paraId="7283D919" w14:textId="77777777" w:rsidR="00385201" w:rsidRPr="00620A0B" w:rsidRDefault="00385201" w:rsidP="00147C23"/>
    <w:p w14:paraId="74B3EB42" w14:textId="377AF353" w:rsidR="00C43504" w:rsidRPr="00620A0B" w:rsidRDefault="00001B02" w:rsidP="00147C23">
      <w:r w:rsidRPr="00620A0B">
        <w:t xml:space="preserve">Attiecībā uz </w:t>
      </w:r>
      <w:r w:rsidR="00D90408" w:rsidRPr="00620A0B">
        <w:t>3 </w:t>
      </w:r>
      <w:r w:rsidR="000D6EE2">
        <w:t>p</w:t>
      </w:r>
      <w:r w:rsidR="00D90408" w:rsidRPr="00620A0B">
        <w:t>lāna pasākumiem,</w:t>
      </w:r>
      <w:r w:rsidR="0047618E" w:rsidRPr="00620A0B">
        <w:t xml:space="preserve"> kuru izpildes termiņš iestājās novērtējuma periodā, bet</w:t>
      </w:r>
      <w:r w:rsidR="00D90408" w:rsidRPr="00620A0B">
        <w:t xml:space="preserve"> šajā </w:t>
      </w:r>
      <w:r w:rsidR="00DE69AF">
        <w:t xml:space="preserve">informatīvajā </w:t>
      </w:r>
      <w:r w:rsidR="00D90408" w:rsidRPr="00620A0B">
        <w:t>ziņojumā nav norādīti kā pilnībā izpildīti</w:t>
      </w:r>
      <w:r w:rsidR="00001E21" w:rsidRPr="00620A0B">
        <w:t>,</w:t>
      </w:r>
      <w:r w:rsidR="00D90408" w:rsidRPr="00620A0B">
        <w:t xml:space="preserve"> norādāms</w:t>
      </w:r>
      <w:r w:rsidR="00A625B1" w:rsidRPr="00620A0B">
        <w:t xml:space="preserve">, ka tie </w:t>
      </w:r>
      <w:r w:rsidR="00E2728E" w:rsidRPr="00620A0B">
        <w:t>ir savstarpēji saistīti</w:t>
      </w:r>
      <w:r w:rsidR="00907134" w:rsidRPr="00620A0B">
        <w:t>. T</w:t>
      </w:r>
      <w:r w:rsidR="00C43504" w:rsidRPr="00620A0B">
        <w:t xml:space="preserve">ie attiecas </w:t>
      </w:r>
      <w:r w:rsidR="00E2728E" w:rsidRPr="00620A0B">
        <w:t>uz administratīvo pārkāpumu jautājumiem</w:t>
      </w:r>
      <w:r w:rsidR="00272646" w:rsidRPr="00620A0B">
        <w:t xml:space="preserve"> – </w:t>
      </w:r>
      <w:r w:rsidR="00272646" w:rsidRPr="00620A0B">
        <w:rPr>
          <w:rFonts w:eastAsia="Times New Roman"/>
          <w:szCs w:val="28"/>
          <w:lang w:eastAsia="lv-LV"/>
        </w:rPr>
        <w:t xml:space="preserve">administratīvās sodīšanas funkcijas par maksātnespējas procesa pieteikuma neiesniegšanu nodošana MKD, </w:t>
      </w:r>
      <w:r w:rsidR="00A61585" w:rsidRPr="00620A0B">
        <w:rPr>
          <w:rFonts w:eastAsia="Times New Roman"/>
          <w:szCs w:val="28"/>
          <w:lang w:eastAsia="lv-LV"/>
        </w:rPr>
        <w:t xml:space="preserve">soda apmēra par administratīvajiem pārkāpumiem maksātnespējas jomā palielināšanas iespējas izvērtēšana un </w:t>
      </w:r>
      <w:r w:rsidR="00A61585" w:rsidRPr="00620A0B">
        <w:t xml:space="preserve">alternatīvu sankciju par administratīvajiem pārkāpumiem maksātnespējas jomā ieviešanas </w:t>
      </w:r>
      <w:r w:rsidR="002A3480" w:rsidRPr="00620A0B">
        <w:t>iespējas izvērtēšana.</w:t>
      </w:r>
    </w:p>
    <w:p w14:paraId="1849BDFB" w14:textId="02D57CFD" w:rsidR="00AF153F" w:rsidRPr="00620A0B" w:rsidRDefault="002A3480" w:rsidP="00147C23">
      <w:r w:rsidRPr="00620A0B">
        <w:t xml:space="preserve">Ņemot vērā šo ciešo saikni starp </w:t>
      </w:r>
      <w:r w:rsidR="000D6EE2">
        <w:t>p</w:t>
      </w:r>
      <w:r w:rsidRPr="00620A0B">
        <w:t>lāna pasākumiem</w:t>
      </w:r>
      <w:r w:rsidR="0094749B" w:rsidRPr="00620A0B">
        <w:t>,</w:t>
      </w:r>
      <w:r w:rsidRPr="00620A0B">
        <w:t xml:space="preserve"> </w:t>
      </w:r>
      <w:r w:rsidR="00343394" w:rsidRPr="00620A0B">
        <w:t xml:space="preserve">pasākumu izpilde tika organizēta kopīgi. </w:t>
      </w:r>
      <w:r w:rsidR="00CC3E17" w:rsidRPr="00620A0B">
        <w:t xml:space="preserve">Tika izstrādāti nepieciešamie grozījumi normatīvajos aktos, lai </w:t>
      </w:r>
      <w:r w:rsidR="00926A03" w:rsidRPr="00620A0B">
        <w:t xml:space="preserve">administratīvās sodīšanas funkciju par maksātnespējas procesa </w:t>
      </w:r>
      <w:r w:rsidR="004E1B90" w:rsidRPr="00620A0B">
        <w:t xml:space="preserve">pieteikuma neiesniegšanu no Valsts policijas nodotu MKD, </w:t>
      </w:r>
      <w:r w:rsidR="00B600C8" w:rsidRPr="00620A0B">
        <w:t>kā arī</w:t>
      </w:r>
      <w:r w:rsidR="004E1B90" w:rsidRPr="00620A0B">
        <w:t xml:space="preserve"> lai palielinātu </w:t>
      </w:r>
      <w:r w:rsidR="00BF6B57" w:rsidRPr="00620A0B">
        <w:t xml:space="preserve">naudas </w:t>
      </w:r>
      <w:r w:rsidR="004E1B90" w:rsidRPr="00620A0B">
        <w:t>soda apmēr</w:t>
      </w:r>
      <w:r w:rsidR="00BF6B57" w:rsidRPr="00620A0B">
        <w:t xml:space="preserve">a </w:t>
      </w:r>
      <w:r w:rsidR="004E1B90" w:rsidRPr="00620A0B">
        <w:t>par administratīvajiem pārkāpumiem maksātnespējas jomā</w:t>
      </w:r>
      <w:r w:rsidR="00BF6B57" w:rsidRPr="00620A0B">
        <w:t xml:space="preserve"> minimālo un maksimālo robežu</w:t>
      </w:r>
      <w:r w:rsidR="004E1B90" w:rsidRPr="00620A0B">
        <w:t>.</w:t>
      </w:r>
      <w:r w:rsidR="00BF6B57" w:rsidRPr="00620A0B">
        <w:t xml:space="preserve"> Vienlaikus, šo grozījumu izstrādes gaitā secināts, ka alternatīvas sankcijas par </w:t>
      </w:r>
      <w:r w:rsidR="00AA4838" w:rsidRPr="00620A0B">
        <w:t>administratīvajiem pārkāpumiem maksātnespējas jomā nav paredzamas.</w:t>
      </w:r>
    </w:p>
    <w:p w14:paraId="254EB1F0" w14:textId="23860794" w:rsidR="00001B02" w:rsidRPr="00620A0B" w:rsidRDefault="00AF153F" w:rsidP="00147C23">
      <w:r w:rsidRPr="00620A0B">
        <w:t>Š</w:t>
      </w:r>
      <w:r w:rsidR="001E4010" w:rsidRPr="00620A0B">
        <w:t xml:space="preserve">ī informatīvā ziņojuma sagatavošanas brīdī </w:t>
      </w:r>
      <w:r w:rsidRPr="00620A0B">
        <w:t>grozījumi vēl nav pieņemti</w:t>
      </w:r>
      <w:r w:rsidR="00012949" w:rsidRPr="00620A0B">
        <w:t xml:space="preserve"> administratīvo pārkāpumu reformas virzības </w:t>
      </w:r>
      <w:r w:rsidR="00CC3E17" w:rsidRPr="00620A0B">
        <w:t xml:space="preserve">īpatnību </w:t>
      </w:r>
      <w:r w:rsidR="00012949" w:rsidRPr="00620A0B">
        <w:t>dēļ</w:t>
      </w:r>
      <w:r w:rsidRPr="00620A0B">
        <w:t xml:space="preserve">. </w:t>
      </w:r>
      <w:r w:rsidR="00AA4838" w:rsidRPr="00620A0B">
        <w:t xml:space="preserve">Tomēr sagaidāms, ka grozījumiem būs pozitīva ietekme ne tikai </w:t>
      </w:r>
      <w:r w:rsidR="009C16E3" w:rsidRPr="00620A0B">
        <w:t>attiecībā uz administratīvos pārkāpumus izdarījušo personu saukšanas pie atbildības, bet arī attiecībā uz administratīvā</w:t>
      </w:r>
      <w:r w:rsidR="00BA6129" w:rsidRPr="00620A0B">
        <w:t xml:space="preserve">s atbildības </w:t>
      </w:r>
      <w:r w:rsidR="009C16E3" w:rsidRPr="00620A0B">
        <w:t>preventīv</w:t>
      </w:r>
      <w:r w:rsidR="00BA6129" w:rsidRPr="00620A0B">
        <w:t>o nozīmi.</w:t>
      </w:r>
    </w:p>
    <w:p w14:paraId="37F9E29D" w14:textId="087784FE" w:rsidR="00E046FB" w:rsidRPr="00620A0B" w:rsidRDefault="00E046FB" w:rsidP="00147C23"/>
    <w:p w14:paraId="7A2CC18A" w14:textId="5328B479" w:rsidR="00D2510D" w:rsidRPr="00620A0B" w:rsidRDefault="00C42E07" w:rsidP="00147C23">
      <w:pPr>
        <w:pStyle w:val="Apakvirsraksts"/>
        <w:ind w:firstLine="0"/>
      </w:pPr>
      <w:r w:rsidRPr="00620A0B">
        <w:t xml:space="preserve">Informācija par </w:t>
      </w:r>
      <w:r w:rsidR="00FA5810">
        <w:t>p</w:t>
      </w:r>
      <w:r w:rsidRPr="00620A0B">
        <w:t>lāna pasākumiem, kam noteikta regulāra izpilde</w:t>
      </w:r>
    </w:p>
    <w:p w14:paraId="6B68E3D2" w14:textId="77777777" w:rsidR="00D2510D" w:rsidRPr="00620A0B" w:rsidRDefault="00D2510D" w:rsidP="00147C23"/>
    <w:p w14:paraId="06E07699" w14:textId="5BA0797F" w:rsidR="0075011C" w:rsidRPr="00620A0B" w:rsidRDefault="0075011C" w:rsidP="00147C23">
      <w:r w:rsidRPr="00620A0B">
        <w:t xml:space="preserve">Novērtējuma periodā regulāra izpilde noteikta </w:t>
      </w:r>
      <w:r w:rsidR="00652AF4" w:rsidRPr="00620A0B">
        <w:t>7</w:t>
      </w:r>
      <w:r w:rsidRPr="00620A0B">
        <w:t> </w:t>
      </w:r>
      <w:r w:rsidR="00FA5810">
        <w:t>p</w:t>
      </w:r>
      <w:r w:rsidRPr="00620A0B">
        <w:t>lāna pasākumiem</w:t>
      </w:r>
      <w:r w:rsidR="00FA5810">
        <w:t xml:space="preserve"> (skat. 2. tabulu)</w:t>
      </w:r>
      <w:r w:rsidRPr="00620A0B">
        <w:t>.</w:t>
      </w:r>
    </w:p>
    <w:p w14:paraId="38E4F57B" w14:textId="3442F1F7" w:rsidR="00766185" w:rsidRPr="00620A0B" w:rsidRDefault="00766185" w:rsidP="00147C23"/>
    <w:tbl>
      <w:tblPr>
        <w:tblStyle w:val="Reatabula"/>
        <w:tblW w:w="9072" w:type="dxa"/>
        <w:tblInd w:w="-5" w:type="dxa"/>
        <w:tblLook w:val="04A0" w:firstRow="1" w:lastRow="0" w:firstColumn="1" w:lastColumn="0" w:noHBand="0" w:noVBand="1"/>
      </w:tblPr>
      <w:tblGrid>
        <w:gridCol w:w="1883"/>
        <w:gridCol w:w="7189"/>
      </w:tblGrid>
      <w:tr w:rsidR="004160D6" w:rsidRPr="00620A0B" w14:paraId="671BF03C" w14:textId="77777777" w:rsidTr="00147C23">
        <w:tc>
          <w:tcPr>
            <w:tcW w:w="9072" w:type="dxa"/>
            <w:gridSpan w:val="2"/>
            <w:shd w:val="clear" w:color="auto" w:fill="BFBFBF" w:themeFill="background1" w:themeFillShade="BF"/>
            <w:vAlign w:val="center"/>
          </w:tcPr>
          <w:p w14:paraId="5A1B5F18" w14:textId="4410078F" w:rsidR="004160D6" w:rsidRPr="00620A0B" w:rsidRDefault="00FA5810" w:rsidP="00147C23">
            <w:pPr>
              <w:ind w:firstLine="0"/>
              <w:jc w:val="center"/>
              <w:rPr>
                <w:b/>
              </w:rPr>
            </w:pPr>
            <w:r>
              <w:rPr>
                <w:b/>
              </w:rPr>
              <w:t xml:space="preserve">2. tabula: </w:t>
            </w:r>
            <w:r w:rsidR="009D2120">
              <w:rPr>
                <w:b/>
              </w:rPr>
              <w:t>Plāna pasākumi, kam noteikta regulāra izpilde</w:t>
            </w:r>
          </w:p>
        </w:tc>
      </w:tr>
      <w:tr w:rsidR="0019545C" w:rsidRPr="00620A0B" w14:paraId="23587691" w14:textId="77777777" w:rsidTr="0019545C">
        <w:tc>
          <w:tcPr>
            <w:tcW w:w="1883" w:type="dxa"/>
            <w:shd w:val="clear" w:color="auto" w:fill="F2F2F2" w:themeFill="background1" w:themeFillShade="F2"/>
            <w:vAlign w:val="center"/>
          </w:tcPr>
          <w:p w14:paraId="7B8B6EEB" w14:textId="77777777" w:rsidR="0019545C" w:rsidRPr="00620A0B" w:rsidRDefault="0019545C" w:rsidP="00147C23">
            <w:pPr>
              <w:ind w:firstLine="0"/>
              <w:jc w:val="left"/>
              <w:rPr>
                <w:b/>
              </w:rPr>
            </w:pPr>
            <w:r w:rsidRPr="00620A0B">
              <w:rPr>
                <w:b/>
              </w:rPr>
              <w:t>Pamatnostādņu 1.1. uzdevums</w:t>
            </w:r>
          </w:p>
        </w:tc>
        <w:tc>
          <w:tcPr>
            <w:tcW w:w="7189" w:type="dxa"/>
            <w:shd w:val="clear" w:color="auto" w:fill="F2F2F2" w:themeFill="background1" w:themeFillShade="F2"/>
            <w:vAlign w:val="center"/>
          </w:tcPr>
          <w:p w14:paraId="2F2B1885" w14:textId="3661F16D" w:rsidR="0019545C" w:rsidRPr="00620A0B" w:rsidRDefault="000908CB" w:rsidP="00147C23">
            <w:pPr>
              <w:ind w:firstLine="0"/>
              <w:jc w:val="left"/>
              <w:rPr>
                <w:b/>
              </w:rPr>
            </w:pPr>
            <w:r w:rsidRPr="0031447D">
              <w:rPr>
                <w:b/>
                <w:bCs/>
              </w:rPr>
              <w:t>Īstenot sabiedrības informēšanas pasākumus par nepieciešamību savlaicīgi iesniegt TAP pieteikumu</w:t>
            </w:r>
          </w:p>
        </w:tc>
      </w:tr>
      <w:tr w:rsidR="00705C38" w:rsidRPr="00620A0B" w14:paraId="53BF79CF" w14:textId="77777777" w:rsidTr="00E134AA">
        <w:tc>
          <w:tcPr>
            <w:tcW w:w="1883" w:type="dxa"/>
            <w:shd w:val="clear" w:color="auto" w:fill="auto"/>
          </w:tcPr>
          <w:p w14:paraId="45ADDD87" w14:textId="0663C041" w:rsidR="00705C38" w:rsidRPr="00620A0B" w:rsidRDefault="00E134AA" w:rsidP="00147C23">
            <w:pPr>
              <w:ind w:firstLine="0"/>
            </w:pPr>
            <w:r w:rsidRPr="00620A0B">
              <w:rPr>
                <w:rFonts w:eastAsia="Times New Roman"/>
                <w:szCs w:val="28"/>
                <w:lang w:eastAsia="lv-LV"/>
              </w:rPr>
              <w:t xml:space="preserve">Plāna </w:t>
            </w:r>
            <w:r w:rsidR="00705C38" w:rsidRPr="00620A0B">
              <w:rPr>
                <w:rFonts w:eastAsia="Times New Roman"/>
                <w:szCs w:val="28"/>
                <w:lang w:eastAsia="lv-LV"/>
              </w:rPr>
              <w:t>1.1.2.</w:t>
            </w:r>
            <w:r w:rsidRPr="00620A0B">
              <w:rPr>
                <w:rFonts w:eastAsia="Times New Roman"/>
                <w:szCs w:val="28"/>
                <w:lang w:eastAsia="lv-LV"/>
              </w:rPr>
              <w:t> pasākums</w:t>
            </w:r>
          </w:p>
        </w:tc>
        <w:tc>
          <w:tcPr>
            <w:tcW w:w="7189" w:type="dxa"/>
            <w:shd w:val="clear" w:color="auto" w:fill="auto"/>
          </w:tcPr>
          <w:p w14:paraId="3A185D49" w14:textId="77777777" w:rsidR="00705C38" w:rsidRPr="00620A0B" w:rsidRDefault="00705C38" w:rsidP="00147C23">
            <w:pPr>
              <w:ind w:firstLine="0"/>
            </w:pPr>
            <w:r w:rsidRPr="00620A0B">
              <w:rPr>
                <w:szCs w:val="28"/>
              </w:rPr>
              <w:t>Sadarbībā ar EM un uzņēmēju organizācijām organizēt seminārus un izstrādāt bukletus, lai popularizētu TAP mērķi, ieguvumus, labo praksi un veiksmīgos piemērus.</w:t>
            </w:r>
          </w:p>
        </w:tc>
      </w:tr>
      <w:tr w:rsidR="00705C38" w:rsidRPr="00620A0B" w14:paraId="04382742" w14:textId="77777777" w:rsidTr="00E134AA">
        <w:tc>
          <w:tcPr>
            <w:tcW w:w="1883" w:type="dxa"/>
            <w:shd w:val="clear" w:color="auto" w:fill="auto"/>
          </w:tcPr>
          <w:p w14:paraId="73B0CE31" w14:textId="04E5CFF2" w:rsidR="00705C38" w:rsidRPr="00620A0B" w:rsidRDefault="00E134AA" w:rsidP="00147C23">
            <w:pPr>
              <w:ind w:firstLine="0"/>
            </w:pPr>
            <w:r w:rsidRPr="00620A0B">
              <w:rPr>
                <w:rFonts w:eastAsia="Times New Roman"/>
                <w:szCs w:val="28"/>
                <w:lang w:eastAsia="lv-LV"/>
              </w:rPr>
              <w:t xml:space="preserve">Plāna </w:t>
            </w:r>
            <w:r w:rsidR="00705C38" w:rsidRPr="00620A0B">
              <w:rPr>
                <w:rFonts w:eastAsia="Times New Roman"/>
                <w:szCs w:val="28"/>
                <w:lang w:eastAsia="lv-LV"/>
              </w:rPr>
              <w:t>1.1.3.</w:t>
            </w:r>
            <w:r w:rsidRPr="00620A0B">
              <w:rPr>
                <w:rFonts w:eastAsia="Times New Roman"/>
                <w:szCs w:val="28"/>
                <w:lang w:eastAsia="lv-LV"/>
              </w:rPr>
              <w:t> pasākums</w:t>
            </w:r>
          </w:p>
        </w:tc>
        <w:tc>
          <w:tcPr>
            <w:tcW w:w="7189" w:type="dxa"/>
            <w:shd w:val="clear" w:color="auto" w:fill="auto"/>
          </w:tcPr>
          <w:p w14:paraId="60E31F64" w14:textId="77777777" w:rsidR="00705C38" w:rsidRPr="00620A0B" w:rsidRDefault="00705C38" w:rsidP="00147C23">
            <w:pPr>
              <w:ind w:firstLine="0"/>
            </w:pPr>
            <w:r w:rsidRPr="00620A0B">
              <w:rPr>
                <w:szCs w:val="28"/>
              </w:rPr>
              <w:t>Sadarbībā ar FKTK informēt uzņēmējus par ārpustiesas parādu restrukturizācijas iespējām.</w:t>
            </w:r>
          </w:p>
        </w:tc>
      </w:tr>
      <w:tr w:rsidR="00705C38" w:rsidRPr="00620A0B" w14:paraId="1760621E" w14:textId="77777777" w:rsidTr="00E134AA">
        <w:tc>
          <w:tcPr>
            <w:tcW w:w="1883" w:type="dxa"/>
            <w:shd w:val="clear" w:color="auto" w:fill="F2F2F2" w:themeFill="background1" w:themeFillShade="F2"/>
          </w:tcPr>
          <w:p w14:paraId="6D6B37A2" w14:textId="187AEF2B" w:rsidR="00705C38" w:rsidRPr="00620A0B" w:rsidRDefault="00E134AA" w:rsidP="00147C23">
            <w:pPr>
              <w:ind w:firstLine="0"/>
              <w:rPr>
                <w:b/>
                <w:szCs w:val="24"/>
              </w:rPr>
            </w:pPr>
            <w:r w:rsidRPr="00620A0B">
              <w:rPr>
                <w:b/>
                <w:szCs w:val="24"/>
              </w:rPr>
              <w:t>Pamatnostādņu 2.1. uzdevums</w:t>
            </w:r>
          </w:p>
        </w:tc>
        <w:tc>
          <w:tcPr>
            <w:tcW w:w="7189" w:type="dxa"/>
            <w:shd w:val="clear" w:color="auto" w:fill="F2F2F2" w:themeFill="background1" w:themeFillShade="F2"/>
          </w:tcPr>
          <w:p w14:paraId="4542310C" w14:textId="4B235BA5" w:rsidR="00705C38" w:rsidRPr="00620A0B" w:rsidRDefault="00CF456D" w:rsidP="00147C23">
            <w:pPr>
              <w:ind w:firstLine="0"/>
              <w:rPr>
                <w:b/>
                <w:szCs w:val="24"/>
              </w:rPr>
            </w:pPr>
            <w:r w:rsidRPr="00620A0B">
              <w:rPr>
                <w:b/>
                <w:szCs w:val="24"/>
              </w:rPr>
              <w:t>Īstenot sabiedrības informēšanas pasākumus par nepieciešamību savlaicīgi iesniegt juridiskās personas maksātnespējas procesa pieteikumu</w:t>
            </w:r>
          </w:p>
        </w:tc>
      </w:tr>
      <w:tr w:rsidR="00705C38" w:rsidRPr="00620A0B" w14:paraId="38177327" w14:textId="77777777" w:rsidTr="00E134AA">
        <w:tc>
          <w:tcPr>
            <w:tcW w:w="1883" w:type="dxa"/>
            <w:shd w:val="clear" w:color="auto" w:fill="auto"/>
          </w:tcPr>
          <w:p w14:paraId="37D752DA" w14:textId="67D9505C" w:rsidR="00705C38" w:rsidRPr="00620A0B" w:rsidRDefault="00CF456D" w:rsidP="00147C23">
            <w:pPr>
              <w:ind w:firstLine="0"/>
              <w:rPr>
                <w:color w:val="000000" w:themeColor="text1"/>
              </w:rPr>
            </w:pPr>
            <w:r w:rsidRPr="00620A0B">
              <w:rPr>
                <w:rFonts w:eastAsia="Times New Roman"/>
                <w:color w:val="000000" w:themeColor="text1"/>
                <w:szCs w:val="28"/>
                <w:lang w:eastAsia="lv-LV"/>
              </w:rPr>
              <w:t xml:space="preserve">Plāna </w:t>
            </w:r>
            <w:r w:rsidR="00705C38" w:rsidRPr="00620A0B">
              <w:rPr>
                <w:rFonts w:eastAsia="Times New Roman"/>
                <w:color w:val="000000" w:themeColor="text1"/>
                <w:szCs w:val="28"/>
                <w:lang w:eastAsia="lv-LV"/>
              </w:rPr>
              <w:t>2.1.1.</w:t>
            </w:r>
            <w:r w:rsidRPr="00620A0B">
              <w:rPr>
                <w:rFonts w:eastAsia="Times New Roman"/>
                <w:color w:val="000000" w:themeColor="text1"/>
                <w:szCs w:val="28"/>
                <w:lang w:eastAsia="lv-LV"/>
              </w:rPr>
              <w:t> pasākums</w:t>
            </w:r>
          </w:p>
        </w:tc>
        <w:tc>
          <w:tcPr>
            <w:tcW w:w="7189" w:type="dxa"/>
            <w:shd w:val="clear" w:color="auto" w:fill="auto"/>
          </w:tcPr>
          <w:p w14:paraId="5A9242BF" w14:textId="77777777" w:rsidR="00705C38" w:rsidRPr="00620A0B" w:rsidRDefault="00705C38" w:rsidP="00147C23">
            <w:pPr>
              <w:ind w:firstLine="0"/>
              <w:rPr>
                <w:color w:val="000000" w:themeColor="text1"/>
              </w:rPr>
            </w:pPr>
            <w:r w:rsidRPr="00620A0B">
              <w:rPr>
                <w:rFonts w:eastAsia="Times New Roman"/>
                <w:color w:val="000000" w:themeColor="text1"/>
                <w:szCs w:val="28"/>
                <w:lang w:eastAsia="lv-LV"/>
              </w:rPr>
              <w:t>Organizēt seminārus un izstrādāt bukletus sabiedrības informēšanai, par nepieciešamību savlaicīgi risināt savas saistības, kā arī, ja tas nav iespējams, iesniegt juridiskās personas maksātnespējas procesa pieteikumu.</w:t>
            </w:r>
          </w:p>
        </w:tc>
      </w:tr>
      <w:tr w:rsidR="00705C38" w:rsidRPr="00620A0B" w14:paraId="3CE26F3E" w14:textId="77777777" w:rsidTr="00CF456D">
        <w:tc>
          <w:tcPr>
            <w:tcW w:w="1883" w:type="dxa"/>
            <w:shd w:val="clear" w:color="auto" w:fill="F2F2F2" w:themeFill="background1" w:themeFillShade="F2"/>
          </w:tcPr>
          <w:p w14:paraId="4F2E0AD5" w14:textId="14974901" w:rsidR="00705C38" w:rsidRPr="00620A0B" w:rsidRDefault="00CF456D" w:rsidP="00147C23">
            <w:pPr>
              <w:ind w:firstLine="0"/>
              <w:rPr>
                <w:b/>
              </w:rPr>
            </w:pPr>
            <w:r w:rsidRPr="00620A0B">
              <w:rPr>
                <w:b/>
              </w:rPr>
              <w:t>Pamatnostādņu 2.4. uzdevums</w:t>
            </w:r>
          </w:p>
        </w:tc>
        <w:tc>
          <w:tcPr>
            <w:tcW w:w="7189" w:type="dxa"/>
            <w:shd w:val="clear" w:color="auto" w:fill="F2F2F2" w:themeFill="background1" w:themeFillShade="F2"/>
          </w:tcPr>
          <w:p w14:paraId="34625EFA" w14:textId="02DDBF1E" w:rsidR="00705C38" w:rsidRPr="00620A0B" w:rsidRDefault="00E832A8" w:rsidP="00147C23">
            <w:pPr>
              <w:ind w:firstLine="0"/>
              <w:rPr>
                <w:b/>
              </w:rPr>
            </w:pPr>
            <w:r w:rsidRPr="00620A0B">
              <w:rPr>
                <w:b/>
                <w:szCs w:val="24"/>
              </w:rPr>
              <w:t>Stiprināt MKD un Valsts policijas kompetenci</w:t>
            </w:r>
          </w:p>
        </w:tc>
      </w:tr>
      <w:tr w:rsidR="00705C38" w:rsidRPr="00620A0B" w14:paraId="1A7A0BBA" w14:textId="77777777" w:rsidTr="00E134AA">
        <w:tc>
          <w:tcPr>
            <w:tcW w:w="1883" w:type="dxa"/>
            <w:shd w:val="clear" w:color="auto" w:fill="auto"/>
          </w:tcPr>
          <w:p w14:paraId="661590D3" w14:textId="1C984900" w:rsidR="00705C38" w:rsidRPr="00620A0B" w:rsidRDefault="00E832A8" w:rsidP="00147C23">
            <w:pPr>
              <w:ind w:firstLine="0"/>
            </w:pPr>
            <w:r w:rsidRPr="00620A0B">
              <w:rPr>
                <w:rFonts w:eastAsia="Times New Roman"/>
                <w:szCs w:val="28"/>
                <w:lang w:eastAsia="lv-LV"/>
              </w:rPr>
              <w:t xml:space="preserve">Plāna </w:t>
            </w:r>
            <w:r w:rsidR="00705C38" w:rsidRPr="00620A0B">
              <w:rPr>
                <w:rFonts w:eastAsia="Times New Roman"/>
                <w:szCs w:val="28"/>
                <w:lang w:eastAsia="lv-LV"/>
              </w:rPr>
              <w:t>2.4.1.</w:t>
            </w:r>
            <w:r w:rsidRPr="00620A0B">
              <w:rPr>
                <w:rFonts w:eastAsia="Times New Roman"/>
                <w:szCs w:val="28"/>
                <w:lang w:eastAsia="lv-LV"/>
              </w:rPr>
              <w:t> pasākums</w:t>
            </w:r>
          </w:p>
        </w:tc>
        <w:tc>
          <w:tcPr>
            <w:tcW w:w="7189" w:type="dxa"/>
            <w:shd w:val="clear" w:color="auto" w:fill="auto"/>
          </w:tcPr>
          <w:p w14:paraId="6461E423" w14:textId="77777777" w:rsidR="00705C38" w:rsidRPr="00620A0B" w:rsidRDefault="00705C38" w:rsidP="00147C23">
            <w:pPr>
              <w:ind w:firstLine="0"/>
            </w:pPr>
            <w:r w:rsidRPr="00620A0B">
              <w:rPr>
                <w:rFonts w:eastAsia="Times New Roman"/>
                <w:szCs w:val="28"/>
                <w:lang w:eastAsia="lv-LV"/>
              </w:rPr>
              <w:t>Nodrošināt apmācību organizēšanu Valsts policijas kompetences stiprināšanai.</w:t>
            </w:r>
          </w:p>
        </w:tc>
      </w:tr>
      <w:tr w:rsidR="00705C38" w:rsidRPr="00620A0B" w14:paraId="16E692EE" w14:textId="77777777" w:rsidTr="00E832A8">
        <w:tc>
          <w:tcPr>
            <w:tcW w:w="1883" w:type="dxa"/>
            <w:shd w:val="clear" w:color="auto" w:fill="F2F2F2" w:themeFill="background1" w:themeFillShade="F2"/>
          </w:tcPr>
          <w:p w14:paraId="55A3420A" w14:textId="2787204C" w:rsidR="00705C38" w:rsidRPr="00620A0B" w:rsidRDefault="00E832A8" w:rsidP="00147C23">
            <w:pPr>
              <w:ind w:firstLine="0"/>
              <w:rPr>
                <w:b/>
              </w:rPr>
            </w:pPr>
            <w:r w:rsidRPr="00620A0B">
              <w:rPr>
                <w:b/>
              </w:rPr>
              <w:t>Pamatnostādņu 3.2. uzdevums</w:t>
            </w:r>
          </w:p>
        </w:tc>
        <w:tc>
          <w:tcPr>
            <w:tcW w:w="7189" w:type="dxa"/>
            <w:shd w:val="clear" w:color="auto" w:fill="F2F2F2" w:themeFill="background1" w:themeFillShade="F2"/>
          </w:tcPr>
          <w:p w14:paraId="73296A79" w14:textId="13846272" w:rsidR="00705C38" w:rsidRPr="00620A0B" w:rsidRDefault="001A3525" w:rsidP="00147C23">
            <w:pPr>
              <w:ind w:firstLine="0"/>
              <w:rPr>
                <w:b/>
              </w:rPr>
            </w:pPr>
            <w:r w:rsidRPr="00620A0B">
              <w:rPr>
                <w:b/>
                <w:szCs w:val="24"/>
              </w:rPr>
              <w:t>Novērst regulējuma neskaidrības</w:t>
            </w:r>
          </w:p>
        </w:tc>
      </w:tr>
      <w:tr w:rsidR="00705C38" w:rsidRPr="00620A0B" w14:paraId="6074D1B5" w14:textId="77777777" w:rsidTr="00E134AA">
        <w:tc>
          <w:tcPr>
            <w:tcW w:w="1883" w:type="dxa"/>
          </w:tcPr>
          <w:p w14:paraId="76C8FFA1" w14:textId="64A2AB5D" w:rsidR="00705C38" w:rsidRPr="00620A0B" w:rsidRDefault="001A3525" w:rsidP="00147C23">
            <w:pPr>
              <w:ind w:firstLine="0"/>
            </w:pPr>
            <w:r w:rsidRPr="00620A0B">
              <w:rPr>
                <w:rFonts w:eastAsia="Times New Roman"/>
                <w:szCs w:val="28"/>
                <w:lang w:eastAsia="lv-LV"/>
              </w:rPr>
              <w:t xml:space="preserve">Plāna </w:t>
            </w:r>
            <w:r w:rsidR="00705C38" w:rsidRPr="00620A0B">
              <w:rPr>
                <w:rFonts w:eastAsia="Times New Roman"/>
                <w:szCs w:val="28"/>
                <w:lang w:eastAsia="lv-LV"/>
              </w:rPr>
              <w:t>3.2.2.</w:t>
            </w:r>
            <w:r w:rsidRPr="00620A0B">
              <w:rPr>
                <w:rFonts w:eastAsia="Times New Roman"/>
                <w:szCs w:val="28"/>
                <w:lang w:eastAsia="lv-LV"/>
              </w:rPr>
              <w:t> pasākums</w:t>
            </w:r>
          </w:p>
        </w:tc>
        <w:tc>
          <w:tcPr>
            <w:tcW w:w="7189" w:type="dxa"/>
          </w:tcPr>
          <w:p w14:paraId="1803AF9D" w14:textId="77777777" w:rsidR="00705C38" w:rsidRPr="00620A0B" w:rsidRDefault="00705C38" w:rsidP="00147C23">
            <w:pPr>
              <w:ind w:firstLine="0"/>
            </w:pPr>
            <w:r w:rsidRPr="00620A0B">
              <w:rPr>
                <w:rFonts w:eastAsia="Times New Roman"/>
                <w:szCs w:val="28"/>
                <w:lang w:eastAsia="lv-LV"/>
              </w:rPr>
              <w:t>Īstenot sabiedrības informēšanas pasākumus par fiziskās personas maksātnespējas procesu un tā sekām.</w:t>
            </w:r>
          </w:p>
        </w:tc>
      </w:tr>
      <w:tr w:rsidR="00705C38" w:rsidRPr="00620A0B" w14:paraId="3A6082AD" w14:textId="77777777" w:rsidTr="001A3525">
        <w:tc>
          <w:tcPr>
            <w:tcW w:w="1883" w:type="dxa"/>
            <w:shd w:val="clear" w:color="auto" w:fill="F2F2F2" w:themeFill="background1" w:themeFillShade="F2"/>
          </w:tcPr>
          <w:p w14:paraId="273D022F" w14:textId="2C700444" w:rsidR="00705C38" w:rsidRPr="00620A0B" w:rsidRDefault="001A3525" w:rsidP="00147C23">
            <w:pPr>
              <w:ind w:firstLine="0"/>
              <w:rPr>
                <w:b/>
              </w:rPr>
            </w:pPr>
            <w:r w:rsidRPr="00620A0B">
              <w:rPr>
                <w:b/>
              </w:rPr>
              <w:t>Pamatno</w:t>
            </w:r>
            <w:r w:rsidR="00DF0B4D" w:rsidRPr="00620A0B">
              <w:rPr>
                <w:b/>
              </w:rPr>
              <w:t>s</w:t>
            </w:r>
            <w:r w:rsidRPr="00620A0B">
              <w:rPr>
                <w:b/>
              </w:rPr>
              <w:t>tādņu 4.1. </w:t>
            </w:r>
            <w:r w:rsidR="00DF0B4D" w:rsidRPr="00620A0B">
              <w:rPr>
                <w:b/>
              </w:rPr>
              <w:t>uzdevums</w:t>
            </w:r>
          </w:p>
        </w:tc>
        <w:tc>
          <w:tcPr>
            <w:tcW w:w="7189" w:type="dxa"/>
            <w:shd w:val="clear" w:color="auto" w:fill="F2F2F2" w:themeFill="background1" w:themeFillShade="F2"/>
          </w:tcPr>
          <w:p w14:paraId="6A898FDA" w14:textId="6677B8D7" w:rsidR="00705C38" w:rsidRPr="00620A0B" w:rsidRDefault="00F641B5" w:rsidP="00147C23">
            <w:pPr>
              <w:ind w:firstLine="0"/>
              <w:rPr>
                <w:b/>
              </w:rPr>
            </w:pPr>
            <w:r w:rsidRPr="00620A0B">
              <w:rPr>
                <w:b/>
                <w:szCs w:val="24"/>
              </w:rPr>
              <w:t xml:space="preserve">Turpināt </w:t>
            </w:r>
            <w:r w:rsidRPr="00DE69AF">
              <w:rPr>
                <w:b/>
                <w:szCs w:val="24"/>
              </w:rPr>
              <w:t>administratoru</w:t>
            </w:r>
            <w:r w:rsidRPr="00620A0B">
              <w:rPr>
                <w:b/>
                <w:szCs w:val="24"/>
              </w:rPr>
              <w:t xml:space="preserve"> profesijas reformu</w:t>
            </w:r>
          </w:p>
        </w:tc>
      </w:tr>
      <w:tr w:rsidR="00705C38" w:rsidRPr="00620A0B" w14:paraId="07961893" w14:textId="77777777" w:rsidTr="00E134AA">
        <w:tc>
          <w:tcPr>
            <w:tcW w:w="1883" w:type="dxa"/>
          </w:tcPr>
          <w:p w14:paraId="2381F094" w14:textId="75CCE1C1" w:rsidR="00705C38" w:rsidRPr="00620A0B" w:rsidRDefault="00F641B5" w:rsidP="00147C23">
            <w:pPr>
              <w:ind w:firstLine="0"/>
            </w:pPr>
            <w:r w:rsidRPr="00620A0B">
              <w:rPr>
                <w:rFonts w:eastAsia="Times New Roman"/>
                <w:szCs w:val="28"/>
                <w:lang w:eastAsia="lv-LV"/>
              </w:rPr>
              <w:t xml:space="preserve">Plāna </w:t>
            </w:r>
            <w:r w:rsidR="00705C38" w:rsidRPr="00620A0B">
              <w:rPr>
                <w:rFonts w:eastAsia="Times New Roman"/>
                <w:szCs w:val="28"/>
                <w:lang w:eastAsia="lv-LV"/>
              </w:rPr>
              <w:t>4.1.3.</w:t>
            </w:r>
            <w:r w:rsidRPr="00620A0B">
              <w:rPr>
                <w:rFonts w:eastAsia="Times New Roman"/>
                <w:szCs w:val="28"/>
                <w:lang w:eastAsia="lv-LV"/>
              </w:rPr>
              <w:t> pasākums</w:t>
            </w:r>
          </w:p>
        </w:tc>
        <w:tc>
          <w:tcPr>
            <w:tcW w:w="7189" w:type="dxa"/>
          </w:tcPr>
          <w:p w14:paraId="4AF72D6A" w14:textId="77777777" w:rsidR="00705C38" w:rsidRPr="00620A0B" w:rsidRDefault="00705C38" w:rsidP="00147C23">
            <w:pPr>
              <w:ind w:firstLine="0"/>
            </w:pPr>
            <w:r w:rsidRPr="00620A0B">
              <w:rPr>
                <w:szCs w:val="28"/>
              </w:rPr>
              <w:t>Informēt administratorus par regulējuma, kas paredz interešu konflikta novēršanu valsts amatpersonu darbībā, noteikumiem.</w:t>
            </w:r>
          </w:p>
        </w:tc>
      </w:tr>
      <w:tr w:rsidR="00705C38" w:rsidRPr="00620A0B" w14:paraId="7D529384" w14:textId="77777777" w:rsidTr="00F641B5">
        <w:tc>
          <w:tcPr>
            <w:tcW w:w="1883" w:type="dxa"/>
            <w:shd w:val="clear" w:color="auto" w:fill="F2F2F2" w:themeFill="background1" w:themeFillShade="F2"/>
          </w:tcPr>
          <w:p w14:paraId="4E56E1FB" w14:textId="5E49F47E" w:rsidR="00705C38" w:rsidRPr="00620A0B" w:rsidRDefault="00F641B5" w:rsidP="00147C23">
            <w:pPr>
              <w:ind w:firstLine="0"/>
              <w:rPr>
                <w:b/>
              </w:rPr>
            </w:pPr>
            <w:r w:rsidRPr="00620A0B">
              <w:rPr>
                <w:b/>
              </w:rPr>
              <w:t>Pamatnostādņu 4.4. uzdevums</w:t>
            </w:r>
          </w:p>
        </w:tc>
        <w:tc>
          <w:tcPr>
            <w:tcW w:w="7189" w:type="dxa"/>
            <w:shd w:val="clear" w:color="auto" w:fill="F2F2F2" w:themeFill="background1" w:themeFillShade="F2"/>
          </w:tcPr>
          <w:p w14:paraId="7628264F" w14:textId="19FAEC92" w:rsidR="00705C38" w:rsidRPr="00620A0B" w:rsidRDefault="00B7085E" w:rsidP="00147C23">
            <w:pPr>
              <w:ind w:firstLine="0"/>
              <w:rPr>
                <w:b/>
              </w:rPr>
            </w:pPr>
            <w:r>
              <w:rPr>
                <w:b/>
                <w:szCs w:val="24"/>
              </w:rPr>
              <w:t>A</w:t>
            </w:r>
            <w:r w:rsidR="0092627E" w:rsidRPr="00DE69AF">
              <w:rPr>
                <w:b/>
                <w:szCs w:val="24"/>
              </w:rPr>
              <w:t>dministratoru</w:t>
            </w:r>
            <w:r w:rsidR="0092627E" w:rsidRPr="00620A0B">
              <w:rPr>
                <w:b/>
                <w:szCs w:val="24"/>
              </w:rPr>
              <w:t xml:space="preserve"> rindas darbības uzlabošana</w:t>
            </w:r>
          </w:p>
        </w:tc>
      </w:tr>
      <w:tr w:rsidR="00705C38" w:rsidRPr="00620A0B" w14:paraId="092486D6" w14:textId="77777777" w:rsidTr="00E134AA">
        <w:tc>
          <w:tcPr>
            <w:tcW w:w="1883" w:type="dxa"/>
          </w:tcPr>
          <w:p w14:paraId="63F221AB" w14:textId="34BA0C3A" w:rsidR="00705C38" w:rsidRPr="00620A0B" w:rsidRDefault="00B97EC9" w:rsidP="00147C23">
            <w:pPr>
              <w:ind w:firstLine="0"/>
            </w:pPr>
            <w:r w:rsidRPr="00620A0B">
              <w:rPr>
                <w:rFonts w:eastAsia="Times New Roman"/>
                <w:szCs w:val="28"/>
                <w:lang w:eastAsia="lv-LV"/>
              </w:rPr>
              <w:t xml:space="preserve">Plāna </w:t>
            </w:r>
            <w:r w:rsidR="00705C38" w:rsidRPr="00620A0B">
              <w:rPr>
                <w:rFonts w:eastAsia="Times New Roman"/>
                <w:szCs w:val="28"/>
                <w:lang w:eastAsia="lv-LV"/>
              </w:rPr>
              <w:t>4.4.3.</w:t>
            </w:r>
            <w:r w:rsidR="00EA11B8" w:rsidRPr="00620A0B">
              <w:rPr>
                <w:rFonts w:eastAsia="Times New Roman"/>
                <w:szCs w:val="28"/>
                <w:lang w:eastAsia="lv-LV"/>
              </w:rPr>
              <w:t> pasākums</w:t>
            </w:r>
          </w:p>
        </w:tc>
        <w:tc>
          <w:tcPr>
            <w:tcW w:w="7189" w:type="dxa"/>
          </w:tcPr>
          <w:p w14:paraId="5B027A8E" w14:textId="77777777" w:rsidR="00705C38" w:rsidRPr="00620A0B" w:rsidRDefault="00705C38" w:rsidP="00147C23">
            <w:pPr>
              <w:ind w:firstLine="0"/>
            </w:pPr>
            <w:r w:rsidRPr="00620A0B">
              <w:rPr>
                <w:rFonts w:eastAsia="Times New Roman"/>
                <w:szCs w:val="28"/>
                <w:lang w:eastAsia="lv-LV"/>
              </w:rPr>
              <w:t>Regulāri veikt IT auditu, lai izsekotu, vai sistēmā ir veiktas prettiesiskas manipulācijas.</w:t>
            </w:r>
          </w:p>
        </w:tc>
      </w:tr>
    </w:tbl>
    <w:p w14:paraId="07494E53" w14:textId="080581A9" w:rsidR="00B725C7" w:rsidRPr="00620A0B" w:rsidRDefault="00B725C7" w:rsidP="00147C23"/>
    <w:p w14:paraId="32594173" w14:textId="4A52560F" w:rsidR="00E40B85" w:rsidRPr="00620A0B" w:rsidRDefault="00E40B85" w:rsidP="00147C23">
      <w:r w:rsidRPr="00620A0B">
        <w:t>Plāna pasākumu, kas pildāmi regulāri</w:t>
      </w:r>
      <w:r w:rsidR="0092627E" w:rsidRPr="00620A0B">
        <w:t>, kontekstā veikt</w:t>
      </w:r>
      <w:r w:rsidR="00513BB6" w:rsidRPr="00620A0B">
        <w:t xml:space="preserve">i </w:t>
      </w:r>
      <w:r w:rsidR="003924FA" w:rsidRPr="00620A0B">
        <w:t>vairāki sabiedrības informēšanas pasākumi, ne tikai publicējot informāciju dažādu institūciju</w:t>
      </w:r>
      <w:r w:rsidR="00644995" w:rsidRPr="00620A0B">
        <w:t>, piemēram, MKD un FKTK</w:t>
      </w:r>
      <w:r w:rsidR="003924FA" w:rsidRPr="00620A0B">
        <w:t xml:space="preserve"> tīmekļa vietnēs</w:t>
      </w:r>
      <w:r w:rsidR="00644995" w:rsidRPr="00620A0B">
        <w:t>, bet arī organizējot un piedaloties dažādos informatīvos pasākumos</w:t>
      </w:r>
      <w:r w:rsidR="00610333" w:rsidRPr="00620A0B">
        <w:t xml:space="preserve">. Tādējādi </w:t>
      </w:r>
      <w:r w:rsidR="00555A51" w:rsidRPr="00620A0B">
        <w:t xml:space="preserve">veicināta </w:t>
      </w:r>
      <w:r w:rsidR="00610333" w:rsidRPr="00620A0B">
        <w:t>sabiedrība</w:t>
      </w:r>
      <w:r w:rsidR="00555A51" w:rsidRPr="00620A0B">
        <w:t>s</w:t>
      </w:r>
      <w:r w:rsidR="00610333" w:rsidRPr="00620A0B">
        <w:t xml:space="preserve"> informēt</w:t>
      </w:r>
      <w:r w:rsidR="00555A51" w:rsidRPr="00620A0B">
        <w:t>ība</w:t>
      </w:r>
      <w:r w:rsidR="00610333" w:rsidRPr="00620A0B">
        <w:t xml:space="preserve"> par</w:t>
      </w:r>
      <w:r w:rsidR="00543648" w:rsidRPr="00620A0B">
        <w:t xml:space="preserve"> </w:t>
      </w:r>
      <w:r w:rsidR="003073FC" w:rsidRPr="00620A0B">
        <w:t>nepieciešamību aktīvi un savlaicīgi risināt savas finanšu grūtības, tai skaitā par</w:t>
      </w:r>
      <w:r w:rsidR="00610333" w:rsidRPr="00620A0B">
        <w:t xml:space="preserve"> </w:t>
      </w:r>
      <w:r w:rsidR="00E85A0F">
        <w:t>TAP</w:t>
      </w:r>
      <w:r w:rsidR="00610333" w:rsidRPr="00620A0B">
        <w:t>, juridiskās personas maksātnespējas procesa un fiziskās personas maksātnespējas procesa pie</w:t>
      </w:r>
      <w:r w:rsidR="00543648" w:rsidRPr="00620A0B">
        <w:t xml:space="preserve">ejamību, kā arī veicināta šo personu izpratne par katra procesa </w:t>
      </w:r>
      <w:r w:rsidR="00555A51" w:rsidRPr="00620A0B">
        <w:t>prasībām un iespējām.</w:t>
      </w:r>
    </w:p>
    <w:p w14:paraId="601E37E2" w14:textId="7CBDD46C" w:rsidR="00DE76B2" w:rsidRPr="00620A0B" w:rsidRDefault="00DE76B2" w:rsidP="00147C23">
      <w:r w:rsidRPr="00620A0B">
        <w:t>2016. gada nogalē Valsts policijas Galvenajā kriminālpolicijas pārvaldē tika veikta reorganizācija nolūkā paaugstināt kapacitāti noziedzīgu nodarījumu apkarošanā kopumā, kā arī izmeklēšanas darbā, tai skaitā ekonomisko noziegumu jomā, kas ietver arī maksātnespējas jomā izdarītos noziedzīgos nodarījumus.</w:t>
      </w:r>
      <w:r w:rsidR="00DE110C" w:rsidRPr="00620A0B">
        <w:t xml:space="preserve"> </w:t>
      </w:r>
      <w:r w:rsidRPr="00620A0B">
        <w:t>Krimināllietas, kuras ierosinātas par administratoru, iespējams, noziedzīgajām darbībām, saskaņā ar Valsts policijas un Ģenerālprokuratūras vienošanos ir noteiktas par prioritārām pirmstiesas izmeklēšanas jomā.</w:t>
      </w:r>
      <w:r w:rsidR="00DE110C" w:rsidRPr="00620A0B">
        <w:t xml:space="preserve"> </w:t>
      </w:r>
      <w:r w:rsidRPr="00620A0B">
        <w:t xml:space="preserve">Tāpat 2017. gada laikā stiprināta Valsts policijas sadarbība ar citām institūcijām un organizācijām, kā arī </w:t>
      </w:r>
      <w:r w:rsidR="00426AA4">
        <w:t>MKD</w:t>
      </w:r>
      <w:r w:rsidRPr="00620A0B">
        <w:t xml:space="preserve"> ir rīkoj</w:t>
      </w:r>
      <w:r w:rsidR="00426AA4">
        <w:t>is</w:t>
      </w:r>
      <w:r w:rsidRPr="00620A0B">
        <w:t xml:space="preserve"> apmācības Valsts policijas un prokuratūras amatpersonām divās daļās (teorija un prakse) par maksātnespējas jomas regulējumu un aktualitātēm.</w:t>
      </w:r>
    </w:p>
    <w:p w14:paraId="5DAE08C8" w14:textId="5BF82386" w:rsidR="00DE110C" w:rsidRPr="00620A0B" w:rsidRDefault="006303E9" w:rsidP="00147C23">
      <w:r w:rsidRPr="00620A0B">
        <w:lastRenderedPageBreak/>
        <w:t xml:space="preserve">Savukārt administratoru zināšanu </w:t>
      </w:r>
      <w:r w:rsidR="00CD5EF4" w:rsidRPr="00620A0B">
        <w:t xml:space="preserve">un izpratnes </w:t>
      </w:r>
      <w:r w:rsidRPr="00620A0B">
        <w:t>par interešu konflikta novēršanu valsts amatpersonu darbībā</w:t>
      </w:r>
      <w:r w:rsidR="000D2A00" w:rsidRPr="00620A0B">
        <w:t xml:space="preserve"> pilnveidošanas nolūkā 2017. gadā K</w:t>
      </w:r>
      <w:r w:rsidR="00DD3765" w:rsidRPr="00620A0B">
        <w:t>NAB</w:t>
      </w:r>
      <w:r w:rsidR="00F91C7B" w:rsidRPr="00620A0B">
        <w:t xml:space="preserve"> </w:t>
      </w:r>
      <w:r w:rsidR="003733F6" w:rsidRPr="00620A0B">
        <w:t xml:space="preserve">kvalifikācijas pilnveides pasākuma ietvaros </w:t>
      </w:r>
      <w:r w:rsidR="00CD5EF4" w:rsidRPr="00620A0B">
        <w:t>informēja administratorus par piemērojamo regulējumu.</w:t>
      </w:r>
    </w:p>
    <w:p w14:paraId="2AFE7768" w14:textId="5799F76B" w:rsidR="00DC2FFC" w:rsidRPr="00620A0B" w:rsidRDefault="00777A75" w:rsidP="00147C23">
      <w:r w:rsidRPr="00620A0B">
        <w:t xml:space="preserve">Lai nodrošinātu administratoru izvēles mehānisma </w:t>
      </w:r>
      <w:r w:rsidR="00670649" w:rsidRPr="00620A0B">
        <w:t>uzticamību, MKD regulāri vei</w:t>
      </w:r>
      <w:r w:rsidR="004056B3" w:rsidRPr="00620A0B">
        <w:t xml:space="preserve">ca </w:t>
      </w:r>
      <w:r w:rsidR="004A7B7F" w:rsidRPr="00620A0B">
        <w:t>attiecīgās sistēmas informācijas tehnoloģiju auditu</w:t>
      </w:r>
      <w:r w:rsidR="00A54278" w:rsidRPr="00620A0B">
        <w:t xml:space="preserve"> un </w:t>
      </w:r>
      <w:r w:rsidR="00A26BBD" w:rsidRPr="00620A0B">
        <w:t>darbības tās stiprināšanai</w:t>
      </w:r>
      <w:r w:rsidR="004A7B7F" w:rsidRPr="00620A0B">
        <w:t>.</w:t>
      </w:r>
    </w:p>
    <w:p w14:paraId="6947039D" w14:textId="581A008F" w:rsidR="00766185" w:rsidRPr="00620A0B" w:rsidRDefault="00766185" w:rsidP="00147C23"/>
    <w:p w14:paraId="789461EF" w14:textId="198B1D30" w:rsidR="00DC2FFC" w:rsidRPr="00620A0B" w:rsidRDefault="00C42E07" w:rsidP="00147C23">
      <w:pPr>
        <w:pStyle w:val="Apakvirsraksts"/>
        <w:ind w:firstLine="0"/>
      </w:pPr>
      <w:r w:rsidRPr="00620A0B">
        <w:t xml:space="preserve">Informācija par veiktajām darbībām attiecībā uz </w:t>
      </w:r>
      <w:r w:rsidR="00426AA4">
        <w:t>p</w:t>
      </w:r>
      <w:r w:rsidRPr="00620A0B">
        <w:t>lāna pasākumiem, kuru izpildes termiņš neietilpst novērtējuma periodā</w:t>
      </w:r>
    </w:p>
    <w:p w14:paraId="7AA45168" w14:textId="77777777" w:rsidR="00766185" w:rsidRPr="00620A0B" w:rsidRDefault="00766185" w:rsidP="00147C23"/>
    <w:p w14:paraId="38F1ABB3" w14:textId="1580C950" w:rsidR="00766185" w:rsidRPr="00620A0B" w:rsidRDefault="00766185" w:rsidP="00147C23">
      <w:r w:rsidRPr="00620A0B">
        <w:t xml:space="preserve">Novērtējuma periodā veiktas aktivitātes, lai nodrošinātu </w:t>
      </w:r>
      <w:r w:rsidR="00995D21" w:rsidRPr="00620A0B">
        <w:t>5</w:t>
      </w:r>
      <w:r w:rsidRPr="00620A0B">
        <w:t> </w:t>
      </w:r>
      <w:r w:rsidR="00592186">
        <w:t>p</w:t>
      </w:r>
      <w:r w:rsidRPr="00620A0B">
        <w:t xml:space="preserve">lāna pasākumu, kuru izpildes termiņš neietilpst novērtējuma periodā, </w:t>
      </w:r>
      <w:r w:rsidR="00381B83" w:rsidRPr="00620A0B">
        <w:t>izpildi</w:t>
      </w:r>
      <w:r w:rsidRPr="00620A0B">
        <w:t>.</w:t>
      </w:r>
      <w:r w:rsidR="005369FC" w:rsidRPr="00620A0B">
        <w:t xml:space="preserve"> Savukārt </w:t>
      </w:r>
      <w:r w:rsidR="00995D21" w:rsidRPr="00620A0B">
        <w:t>2</w:t>
      </w:r>
      <w:r w:rsidR="005369FC" w:rsidRPr="00620A0B">
        <w:t> </w:t>
      </w:r>
      <w:r w:rsidR="00592186">
        <w:t>p</w:t>
      </w:r>
      <w:r w:rsidR="005369FC" w:rsidRPr="00620A0B">
        <w:t>lāna pasākum</w:t>
      </w:r>
      <w:r w:rsidR="00995D21" w:rsidRPr="00620A0B">
        <w:t>i</w:t>
      </w:r>
      <w:r w:rsidR="005369FC" w:rsidRPr="00620A0B">
        <w:t xml:space="preserve"> izpildīt</w:t>
      </w:r>
      <w:r w:rsidR="00995D21" w:rsidRPr="00620A0B">
        <w:t>i</w:t>
      </w:r>
      <w:r w:rsidR="005369FC" w:rsidRPr="00620A0B">
        <w:t>.</w:t>
      </w:r>
    </w:p>
    <w:p w14:paraId="08DCC8F2" w14:textId="600B2E48" w:rsidR="000F678F" w:rsidRPr="00620A0B" w:rsidRDefault="000F678F" w:rsidP="00147C23"/>
    <w:p w14:paraId="38024028" w14:textId="0AB0C153" w:rsidR="006D23CD" w:rsidRPr="00620A0B" w:rsidRDefault="00E86FDD" w:rsidP="00147C23">
      <w:r w:rsidRPr="00620A0B">
        <w:t xml:space="preserve">2017. gada nogalē Arhīvu likumā un likumā </w:t>
      </w:r>
      <w:r w:rsidR="0018715E">
        <w:t>"</w:t>
      </w:r>
      <w:r w:rsidRPr="00620A0B">
        <w:t>Par grāmatvedību</w:t>
      </w:r>
      <w:r w:rsidR="0018715E">
        <w:t>"</w:t>
      </w:r>
      <w:r w:rsidRPr="00620A0B">
        <w:t xml:space="preserve"> stājās spēkā grozījumi, kā rezultātā samazināts arhīvā nododamo dokumentu skaits un tādējādi arī izmaksas. Neskatoties uz veiktajiem uzlabojumiem, </w:t>
      </w:r>
      <w:r w:rsidR="00C60E5A" w:rsidRPr="00620A0B">
        <w:t xml:space="preserve">dokumentu nodošana Latvijas Nacionālajā arhīvā tik un tā rada maksātnespējas procesa izmaksas. </w:t>
      </w:r>
      <w:r w:rsidR="00D90ACA" w:rsidRPr="00620A0B">
        <w:t>Diskusiju rezultātā secināts, ka dokumentu nodošanu arhīvā</w:t>
      </w:r>
      <w:r w:rsidR="00B11D3D" w:rsidRPr="00620A0B">
        <w:rPr>
          <w:rStyle w:val="Vresatsauce"/>
        </w:rPr>
        <w:footnoteReference w:id="14"/>
      </w:r>
      <w:r w:rsidR="00D90ACA" w:rsidRPr="00620A0B">
        <w:t xml:space="preserve"> </w:t>
      </w:r>
      <w:r w:rsidR="001E3CD2" w:rsidRPr="00620A0B">
        <w:t xml:space="preserve">ir </w:t>
      </w:r>
      <w:r w:rsidR="00D90ACA" w:rsidRPr="00620A0B">
        <w:t xml:space="preserve">iespējams </w:t>
      </w:r>
      <w:r w:rsidR="00F91C7B" w:rsidRPr="00620A0B">
        <w:t xml:space="preserve">būtiski </w:t>
      </w:r>
      <w:r w:rsidR="00D90ACA" w:rsidRPr="00620A0B">
        <w:t>efektivizēt</w:t>
      </w:r>
      <w:r w:rsidR="00F91C7B" w:rsidRPr="00620A0B">
        <w:t xml:space="preserve"> un pilnveidot</w:t>
      </w:r>
      <w:r w:rsidR="00D90ACA" w:rsidRPr="00620A0B">
        <w:t xml:space="preserve">, </w:t>
      </w:r>
      <w:r w:rsidR="00B11D3D" w:rsidRPr="00620A0B">
        <w:t xml:space="preserve">paredzot, ka administrators maksātnespējas procesos dokumentus glabāšanai valsts arhīvam nodod bez maksas. </w:t>
      </w:r>
      <w:r w:rsidR="00806DDE" w:rsidRPr="00620A0B">
        <w:t>Šī</w:t>
      </w:r>
      <w:r w:rsidR="005B1578" w:rsidRPr="00620A0B">
        <w:t xml:space="preserve"> informatīvā</w:t>
      </w:r>
      <w:r w:rsidR="00806DDE" w:rsidRPr="00620A0B">
        <w:t xml:space="preserve"> ziņojuma sagatavošanas brīdī tiek meklēti risinājumi finansējuma nodrošināšanai</w:t>
      </w:r>
      <w:r w:rsidR="005B1578" w:rsidRPr="00620A0B">
        <w:t xml:space="preserve">, lai </w:t>
      </w:r>
      <w:r w:rsidR="00B11D3D" w:rsidRPr="00620A0B">
        <w:t xml:space="preserve">šādu izmaiņu gadījumā </w:t>
      </w:r>
      <w:r w:rsidR="007E00A9" w:rsidRPr="00620A0B">
        <w:t>nodrošin</w:t>
      </w:r>
      <w:r w:rsidR="00B11D3D" w:rsidRPr="00620A0B">
        <w:t>ātu</w:t>
      </w:r>
      <w:r w:rsidR="00544720" w:rsidRPr="00620A0B">
        <w:t xml:space="preserve"> Latvijas Nacionālajam arhīvam nepieciešamo finansējumu izmaksu segšanai.</w:t>
      </w:r>
    </w:p>
    <w:p w14:paraId="0AA05D4F" w14:textId="3CB1C4AF" w:rsidR="00654434" w:rsidRPr="00620A0B" w:rsidRDefault="00A90525" w:rsidP="00147C23">
      <w:r w:rsidRPr="00620A0B">
        <w:t>Pašlaik ir apzināts nozares ekspertu konceptuāls viedoklis par iespēju izstrādāt atvieglotu fiziskās personas maksātnespējas procesa regulējumu, kas būtu paredzēts fiziskajām personām, kurām nav hipotekāro kredītu un mantas, kā arī parādsaistību apjoms nav liels</w:t>
      </w:r>
      <w:r w:rsidRPr="00620A0B">
        <w:rPr>
          <w:rStyle w:val="Vresatsauce"/>
        </w:rPr>
        <w:footnoteReference w:id="15"/>
      </w:r>
      <w:r w:rsidRPr="00620A0B">
        <w:t xml:space="preserve">. Šī informatīvā ziņojuma sagatavošanas brīdī tiek precizēts </w:t>
      </w:r>
      <w:r w:rsidR="00731A12" w:rsidRPr="00620A0B">
        <w:t>TM izstrādātais sākotnējais projekts, lai izvairītos no tikai šķietamas, formālas problēmas seku risināšanas</w:t>
      </w:r>
      <w:r w:rsidR="00B55B9E" w:rsidRPr="00620A0B">
        <w:t xml:space="preserve">, un tā vietā nodrošinātu kompleksu regulējumu, kas risina arī problēmas cēloni – fizisko personu </w:t>
      </w:r>
      <w:r w:rsidR="00BA2DEB" w:rsidRPr="00620A0B">
        <w:t xml:space="preserve">ar zemiem ienākumiem objektīvu nespēju vai subjektīvu nevēlēšanos </w:t>
      </w:r>
      <w:r w:rsidR="00FB3C74" w:rsidRPr="00620A0B">
        <w:t>apzinīgi, gudri un saprātīgi rīkoties ar saviem finanšu resursiem un finansiālu atbildību pret citām personām.</w:t>
      </w:r>
    </w:p>
    <w:p w14:paraId="0AD348EA" w14:textId="1324567D" w:rsidR="004E7336" w:rsidRPr="00620A0B" w:rsidRDefault="00C16D8F" w:rsidP="00147C23">
      <w:r w:rsidRPr="00620A0B">
        <w:t>2018. gada 14. decembrī pieņemts pētījums </w:t>
      </w:r>
      <w:r w:rsidR="0018715E">
        <w:t>"</w:t>
      </w:r>
      <w:r w:rsidRPr="00620A0B">
        <w:t>Fiziskās personas maksātnespējas procesa piemērošanas nosacījumi un tā efektivitāte</w:t>
      </w:r>
      <w:r w:rsidR="0018715E">
        <w:t>"</w:t>
      </w:r>
      <w:r w:rsidRPr="00620A0B">
        <w:rPr>
          <w:vertAlign w:val="superscript"/>
        </w:rPr>
        <w:footnoteReference w:id="16"/>
      </w:r>
      <w:r w:rsidRPr="00620A0B">
        <w:t xml:space="preserve">. </w:t>
      </w:r>
      <w:r w:rsidR="00C6685B" w:rsidRPr="00620A0B">
        <w:t>Tā ietvaros</w:t>
      </w:r>
      <w:r w:rsidR="00C825CA" w:rsidRPr="00620A0B">
        <w:t xml:space="preserve"> citastarp</w:t>
      </w:r>
      <w:r w:rsidR="00C6685B" w:rsidRPr="00620A0B">
        <w:t xml:space="preserve"> analizēt</w:t>
      </w:r>
      <w:r w:rsidR="003734DA" w:rsidRPr="00620A0B">
        <w:t>i</w:t>
      </w:r>
      <w:r w:rsidR="00C6685B" w:rsidRPr="00620A0B">
        <w:t xml:space="preserve"> fiziskās personas maksātnespējas procesa </w:t>
      </w:r>
      <w:r w:rsidR="003734DA" w:rsidRPr="00620A0B">
        <w:t>problemātiskie aspekti</w:t>
      </w:r>
      <w:r w:rsidR="002F4976" w:rsidRPr="00620A0B">
        <w:rPr>
          <w:rStyle w:val="Vresatsauce"/>
        </w:rPr>
        <w:footnoteReference w:id="17"/>
      </w:r>
      <w:r w:rsidR="003734DA" w:rsidRPr="00620A0B">
        <w:t xml:space="preserve">, kā arī </w:t>
      </w:r>
      <w:r w:rsidR="00C72338" w:rsidRPr="00620A0B">
        <w:t>izvērtēti parādnieka godprātības kritēriji</w:t>
      </w:r>
      <w:r w:rsidR="002F4976" w:rsidRPr="00620A0B">
        <w:rPr>
          <w:rStyle w:val="Vresatsauce"/>
        </w:rPr>
        <w:footnoteReference w:id="18"/>
      </w:r>
      <w:r w:rsidR="00C72338" w:rsidRPr="00620A0B">
        <w:t>.</w:t>
      </w:r>
    </w:p>
    <w:p w14:paraId="5E69D267" w14:textId="24F35224" w:rsidR="00455714" w:rsidRPr="00620A0B" w:rsidRDefault="00DD1DB9" w:rsidP="00147C23">
      <w:r w:rsidRPr="00620A0B">
        <w:t>Tāpat norādāms, ka</w:t>
      </w:r>
      <w:r w:rsidR="005A37F2" w:rsidRPr="00620A0B">
        <w:t xml:space="preserve"> turpinās tiesas kapacitātes stiprināšana</w:t>
      </w:r>
      <w:r w:rsidR="005A37F2" w:rsidRPr="00620A0B">
        <w:rPr>
          <w:rStyle w:val="Vresatsauce"/>
        </w:rPr>
        <w:footnoteReference w:id="19"/>
      </w:r>
      <w:r w:rsidR="005A37F2" w:rsidRPr="00620A0B">
        <w:t xml:space="preserve"> maksātnespējas jomā.</w:t>
      </w:r>
      <w:r w:rsidRPr="00620A0B">
        <w:t xml:space="preserve"> </w:t>
      </w:r>
      <w:r w:rsidR="00912718" w:rsidRPr="00620A0B">
        <w:t>T</w:t>
      </w:r>
      <w:r w:rsidR="00D326B3" w:rsidRPr="00620A0B">
        <w:t xml:space="preserve">iesnešu </w:t>
      </w:r>
      <w:r w:rsidR="00912718" w:rsidRPr="00620A0B">
        <w:t xml:space="preserve">apmācību un informēšanu par aktualitātēm maksātnespējas jomā nodrošina ne tikai Latvijas Tiesnešu mācību centrs, bet arī </w:t>
      </w:r>
      <w:r w:rsidR="00B311B1" w:rsidRPr="00620A0B">
        <w:t xml:space="preserve">Eiropas Tiesību akadēmija Eiropas Sociālā fonda projekta </w:t>
      </w:r>
      <w:r w:rsidR="0018715E">
        <w:t>"</w:t>
      </w:r>
      <w:r w:rsidR="00B311B1" w:rsidRPr="00620A0B">
        <w:t>Justīcija attīstībai</w:t>
      </w:r>
      <w:r w:rsidR="0018715E">
        <w:t>"</w:t>
      </w:r>
      <w:r w:rsidR="00B311B1" w:rsidRPr="00620A0B">
        <w:t xml:space="preserve"> ietvaros.</w:t>
      </w:r>
    </w:p>
    <w:p w14:paraId="1F4FCE76" w14:textId="77777777" w:rsidR="006D23CD" w:rsidRPr="00620A0B" w:rsidRDefault="006D23CD" w:rsidP="00147C23"/>
    <w:p w14:paraId="4A51B382" w14:textId="74CEB3C6" w:rsidR="00631CAB" w:rsidRPr="00620A0B" w:rsidRDefault="00304AB2" w:rsidP="00147C23">
      <w:r w:rsidRPr="00620A0B">
        <w:t>I</w:t>
      </w:r>
      <w:r w:rsidR="00353649" w:rsidRPr="00620A0B">
        <w:t>zstrādājot likumu </w:t>
      </w:r>
      <w:r w:rsidR="0018715E">
        <w:t>"</w:t>
      </w:r>
      <w:r w:rsidR="00353649" w:rsidRPr="00620A0B">
        <w:t>Grozījumi Maksātnespējas likumā</w:t>
      </w:r>
      <w:r w:rsidR="0018715E">
        <w:t>"</w:t>
      </w:r>
      <w:r w:rsidR="00353649" w:rsidRPr="00620A0B">
        <w:rPr>
          <w:rStyle w:val="Vresatsauce"/>
        </w:rPr>
        <w:footnoteReference w:id="20"/>
      </w:r>
      <w:r w:rsidR="00353649" w:rsidRPr="00620A0B">
        <w:t>, kas stājās spēkā 2018. gada 1. jūlijā</w:t>
      </w:r>
      <w:r w:rsidR="00784405" w:rsidRPr="00620A0B">
        <w:t xml:space="preserve">, </w:t>
      </w:r>
      <w:r w:rsidR="00631CAB" w:rsidRPr="00620A0B">
        <w:t xml:space="preserve">tika </w:t>
      </w:r>
      <w:r w:rsidR="00784405" w:rsidRPr="00620A0B">
        <w:t>izvērtēta nepieciešamība p</w:t>
      </w:r>
      <w:r w:rsidR="00784405" w:rsidRPr="00620A0B">
        <w:rPr>
          <w:rFonts w:eastAsia="Times New Roman"/>
          <w:szCs w:val="28"/>
          <w:lang w:eastAsia="lv-LV"/>
        </w:rPr>
        <w:t>ilnveidot regulējumu par saimnieciskās darbības turpināšanu maksātnespējas procesa ietvaros, kā arī uzņēmuma kā mantas kopuma pārdošanu</w:t>
      </w:r>
      <w:r w:rsidR="003352A4" w:rsidRPr="00620A0B">
        <w:rPr>
          <w:rStyle w:val="Vresatsauce"/>
          <w:rFonts w:eastAsia="Times New Roman"/>
          <w:szCs w:val="28"/>
          <w:lang w:eastAsia="lv-LV"/>
        </w:rPr>
        <w:footnoteReference w:id="21"/>
      </w:r>
      <w:r w:rsidR="00784405" w:rsidRPr="00620A0B">
        <w:rPr>
          <w:rFonts w:eastAsia="Times New Roman"/>
          <w:szCs w:val="28"/>
          <w:lang w:eastAsia="lv-LV"/>
        </w:rPr>
        <w:t>.</w:t>
      </w:r>
      <w:r w:rsidR="00784405" w:rsidRPr="00620A0B">
        <w:t xml:space="preserve"> Izvērtējuma rezultātā secināts, ka nepieciešams paplašināt </w:t>
      </w:r>
      <w:r w:rsidR="001A5E49" w:rsidRPr="00620A0B">
        <w:t xml:space="preserve">administratora tiesības pārdot ne tikai uzņēmumu kā mantas kopumu, bet arī uzņēmuma </w:t>
      </w:r>
      <w:r w:rsidR="00631CAB" w:rsidRPr="00620A0B">
        <w:t>patstāvīgās daļas pārdošanu</w:t>
      </w:r>
      <w:r w:rsidR="00265C0F" w:rsidRPr="00620A0B">
        <w:rPr>
          <w:rStyle w:val="Vresatsauce"/>
        </w:rPr>
        <w:footnoteReference w:id="22"/>
      </w:r>
      <w:r w:rsidR="00631CAB" w:rsidRPr="00620A0B">
        <w:t xml:space="preserve">. </w:t>
      </w:r>
      <w:r w:rsidR="003352A4" w:rsidRPr="00620A0B">
        <w:t xml:space="preserve">Tāpat ar grozījumiem precizēts </w:t>
      </w:r>
      <w:r w:rsidR="00DB79CA" w:rsidRPr="00620A0B">
        <w:t>termiņš, kādā</w:t>
      </w:r>
      <w:r w:rsidR="003352A4" w:rsidRPr="00620A0B">
        <w:t xml:space="preserve"> </w:t>
      </w:r>
      <w:r w:rsidR="00DB79CA" w:rsidRPr="00620A0B">
        <w:t xml:space="preserve">administratoram </w:t>
      </w:r>
      <w:r w:rsidR="00B37D57" w:rsidRPr="00620A0B">
        <w:t xml:space="preserve">jāizlemj par parādnieka saimnieciskās </w:t>
      </w:r>
      <w:r w:rsidR="00B37D57" w:rsidRPr="00620A0B">
        <w:lastRenderedPageBreak/>
        <w:t xml:space="preserve">darbības turpināšanu pilnā vai ierobežotā </w:t>
      </w:r>
      <w:r w:rsidR="0028132F" w:rsidRPr="00620A0B">
        <w:t xml:space="preserve">apjomā, ja šīs darbības turpināšana </w:t>
      </w:r>
      <w:r w:rsidR="00265C0F" w:rsidRPr="00620A0B">
        <w:t>ir ekonomiski pamatota, vai par tās izbeigšanu</w:t>
      </w:r>
      <w:r w:rsidR="00265C0F" w:rsidRPr="00620A0B">
        <w:rPr>
          <w:rStyle w:val="Vresatsauce"/>
        </w:rPr>
        <w:footnoteReference w:id="23"/>
      </w:r>
      <w:r w:rsidR="00265C0F" w:rsidRPr="00620A0B">
        <w:t>.</w:t>
      </w:r>
    </w:p>
    <w:p w14:paraId="327EEFC0" w14:textId="691094EA" w:rsidR="00017360" w:rsidRPr="00620A0B" w:rsidRDefault="00017360" w:rsidP="00147C23">
      <w:r w:rsidRPr="00620A0B">
        <w:t xml:space="preserve">2017. gadā Latvijas Tiesnešu mācību centrs nodrošināja </w:t>
      </w:r>
      <w:r w:rsidR="009A133D" w:rsidRPr="00620A0B">
        <w:t>63 dalībnieku (rajona (pilsētas) un apgabaltiesu tiesnešu un tiesu darbinieku) apmācību</w:t>
      </w:r>
      <w:r w:rsidR="009A133D" w:rsidRPr="00620A0B">
        <w:rPr>
          <w:rStyle w:val="Vresatsauce"/>
        </w:rPr>
        <w:footnoteReference w:id="24"/>
      </w:r>
      <w:r w:rsidR="009A133D" w:rsidRPr="00620A0B">
        <w:t>. Seminārā tika apskatītas šādas apakštēmas: Maksātnespējas likuma aktuālie grozījumi; maksātnespējas lietu izskatīšanas aktualitātes; paneļdiskusija par aktuāliem maksātnespējas jautājumiem</w:t>
      </w:r>
      <w:r w:rsidR="006B7A6F" w:rsidRPr="00620A0B">
        <w:t>.</w:t>
      </w:r>
    </w:p>
    <w:p w14:paraId="02D9D22C" w14:textId="77777777" w:rsidR="00265C0F" w:rsidRPr="00620A0B" w:rsidRDefault="00265C0F" w:rsidP="00147C23"/>
    <w:p w14:paraId="704271F6" w14:textId="4746D157" w:rsidR="000F678F" w:rsidRPr="00620A0B" w:rsidRDefault="000F678F" w:rsidP="00147C23">
      <w:r w:rsidRPr="00620A0B">
        <w:br w:type="page"/>
      </w:r>
    </w:p>
    <w:p w14:paraId="6AF11385" w14:textId="20A80FF3" w:rsidR="00F4302F" w:rsidRPr="00620A0B" w:rsidRDefault="000F678F" w:rsidP="00147C23">
      <w:pPr>
        <w:pStyle w:val="Virsraksts1"/>
        <w:ind w:firstLine="0"/>
      </w:pPr>
      <w:bookmarkStart w:id="4" w:name="_Toc13817866"/>
      <w:r w:rsidRPr="00620A0B">
        <w:lastRenderedPageBreak/>
        <w:t>4</w:t>
      </w:r>
      <w:r w:rsidR="00F4302F" w:rsidRPr="00620A0B">
        <w:t>. </w:t>
      </w:r>
      <w:r w:rsidR="00FA0B60" w:rsidRPr="00620A0B">
        <w:t>R</w:t>
      </w:r>
      <w:r w:rsidR="00F4302F" w:rsidRPr="00620A0B">
        <w:t xml:space="preserve">ezultatīvo rādītāju </w:t>
      </w:r>
      <w:r w:rsidR="0009084F" w:rsidRPr="00620A0B">
        <w:t>sasniegšana</w:t>
      </w:r>
      <w:bookmarkEnd w:id="4"/>
    </w:p>
    <w:p w14:paraId="529E1DDE" w14:textId="16EC9E80" w:rsidR="00F4302F" w:rsidRPr="00620A0B" w:rsidRDefault="00F4302F" w:rsidP="00147C23"/>
    <w:p w14:paraId="0E89479B" w14:textId="293357A4" w:rsidR="00F4302F" w:rsidRPr="00620A0B" w:rsidRDefault="00990104" w:rsidP="00147C23">
      <w:r w:rsidRPr="00620A0B">
        <w:t>Šajā sadaļā ietvert</w:t>
      </w:r>
      <w:r w:rsidR="005B1C38" w:rsidRPr="00620A0B">
        <w:t>a</w:t>
      </w:r>
      <w:r w:rsidRPr="00620A0B">
        <w:t xml:space="preserve"> šā informatīvā ziņojuma 2. pielikuma </w:t>
      </w:r>
      <w:r w:rsidR="0018715E">
        <w:t>"</w:t>
      </w:r>
      <w:r w:rsidRPr="00620A0B">
        <w:t>Maksātnespējas politikas attīstības pamatnostādņu 2016.–2020. gadam politikas rezultātu un rezultatīvo rādītāju sasniegšanas progress par laikposmu no 2016. gada līdz 2017. gadam</w:t>
      </w:r>
      <w:r w:rsidR="0018715E">
        <w:t>"</w:t>
      </w:r>
      <w:r w:rsidR="005B1C38" w:rsidRPr="00620A0B">
        <w:t xml:space="preserve"> analīze.</w:t>
      </w:r>
    </w:p>
    <w:p w14:paraId="0F36EF0D" w14:textId="31B5E906" w:rsidR="009912BE" w:rsidRPr="00620A0B" w:rsidRDefault="006C38CC" w:rsidP="00147C23">
      <w:r w:rsidRPr="00620A0B">
        <w:t xml:space="preserve">Kopumā </w:t>
      </w:r>
      <w:r w:rsidR="00577A73">
        <w:t>p</w:t>
      </w:r>
      <w:r w:rsidRPr="00620A0B">
        <w:t xml:space="preserve">amatnostādnēs </w:t>
      </w:r>
      <w:r w:rsidR="001657DE" w:rsidRPr="00620A0B">
        <w:t xml:space="preserve">starp </w:t>
      </w:r>
      <w:r w:rsidRPr="00620A0B">
        <w:t xml:space="preserve">4 politikas rezultātiem </w:t>
      </w:r>
      <w:r w:rsidR="001657DE" w:rsidRPr="00620A0B">
        <w:t>sadalīti 12 rezultatīvie rādītāji</w:t>
      </w:r>
      <w:r w:rsidR="009912BE" w:rsidRPr="00620A0B">
        <w:t>, no kuriem 3 rezultatīvie rādītāji vērtējami vairāku gadu griezumā</w:t>
      </w:r>
      <w:r w:rsidR="001657DE" w:rsidRPr="00620A0B">
        <w:t>.</w:t>
      </w:r>
    </w:p>
    <w:p w14:paraId="52C9899D" w14:textId="77777777" w:rsidR="00865B0E" w:rsidRPr="00620A0B" w:rsidRDefault="00865B0E" w:rsidP="00147C23">
      <w:r w:rsidRPr="00620A0B">
        <w:t xml:space="preserve">2016. gadā 1 rezultatīvais rādītājs sasniegts atbilstoši plānotajam, 3 rezultatīvie rādītāji netika sasniegti, bet 5 rezultatīvie rādītāji pārsniegti. Savukārt 2017. gadā </w:t>
      </w:r>
      <w:r w:rsidRPr="00EA409B">
        <w:rPr>
          <w:color w:val="000000" w:themeColor="text1"/>
        </w:rPr>
        <w:t xml:space="preserve">1 rezultatīvais rādītājs sasniegts </w:t>
      </w:r>
      <w:r w:rsidRPr="00620A0B">
        <w:t>atbilstoši plānotajam, 3 rezultatīvie rādītāji netika sasniegti, bet</w:t>
      </w:r>
      <w:r>
        <w:t xml:space="preserve"> 5</w:t>
      </w:r>
      <w:r w:rsidRPr="00620A0B">
        <w:t> rezultatīvie rādītāji pārsniegti. No vairāku gadu griezumā vērtējamiem rezultatīvajiem rādītājiem 1 rezultatīvais rādītājs ir pārsniegts, bet 2 rezultatīvie rādītāji – nav sasniegti.</w:t>
      </w:r>
    </w:p>
    <w:p w14:paraId="07E790B7" w14:textId="59A76278" w:rsidR="00F4302F" w:rsidRPr="00620A0B" w:rsidRDefault="00F4302F" w:rsidP="00147C23"/>
    <w:p w14:paraId="3DD5F746" w14:textId="238DD7B3" w:rsidR="004978B9" w:rsidRPr="00620A0B" w:rsidRDefault="004978B9" w:rsidP="00147C23">
      <w:r w:rsidRPr="00620A0B">
        <w:t xml:space="preserve">Pamatnostādņu 1. politikas rezultātā </w:t>
      </w:r>
      <w:r w:rsidR="0018715E">
        <w:t>"</w:t>
      </w:r>
      <w:r w:rsidRPr="00620A0B">
        <w:t>Uzņēmumi, izmantojot TAP mehānismus, atgūst maksātspēju</w:t>
      </w:r>
      <w:r w:rsidR="0018715E">
        <w:t>"</w:t>
      </w:r>
      <w:r w:rsidRPr="00620A0B">
        <w:t xml:space="preserve"> paredzēti 3 </w:t>
      </w:r>
      <w:r w:rsidR="00D10E6C" w:rsidRPr="00620A0B">
        <w:t>rezultatīvie rādītāji:</w:t>
      </w:r>
    </w:p>
    <w:p w14:paraId="184ACCA4" w14:textId="2293BF79" w:rsidR="00C22728" w:rsidRPr="00620A0B" w:rsidRDefault="00C22728" w:rsidP="00147C23">
      <w:pPr>
        <w:pStyle w:val="Sarakstarindkopa"/>
        <w:numPr>
          <w:ilvl w:val="0"/>
          <w:numId w:val="1"/>
        </w:numPr>
        <w:ind w:left="1134"/>
      </w:pPr>
      <w:r w:rsidRPr="00620A0B">
        <w:t>Pasludināto TAP (ĀTAP) skaits pret pasludināto juridiskās personas maksātnespējas procesu skaitu;</w:t>
      </w:r>
    </w:p>
    <w:p w14:paraId="08996A8D" w14:textId="46F52956" w:rsidR="00C22728" w:rsidRPr="00620A0B" w:rsidRDefault="00C22728" w:rsidP="00147C23">
      <w:pPr>
        <w:pStyle w:val="Sarakstarindkopa"/>
        <w:numPr>
          <w:ilvl w:val="0"/>
          <w:numId w:val="1"/>
        </w:numPr>
        <w:ind w:left="1134"/>
      </w:pPr>
      <w:r w:rsidRPr="00620A0B">
        <w:t>Proporcija starp ierosināto un pasludināto TAP (ĀTAP) skaitu;</w:t>
      </w:r>
    </w:p>
    <w:p w14:paraId="74E06362" w14:textId="463FA9B9" w:rsidR="00D10E6C" w:rsidRPr="00620A0B" w:rsidRDefault="00C22728" w:rsidP="00147C23">
      <w:pPr>
        <w:pStyle w:val="Sarakstarindkopa"/>
        <w:numPr>
          <w:ilvl w:val="0"/>
          <w:numId w:val="1"/>
        </w:numPr>
        <w:ind w:left="1134"/>
      </w:pPr>
      <w:r w:rsidRPr="00620A0B">
        <w:t>Sekmīgi pabeigto TAP (ĀTAP) skaits pret izbeigtajiem TAP (ĀTAP).</w:t>
      </w:r>
    </w:p>
    <w:p w14:paraId="35ECDD37" w14:textId="77777777" w:rsidR="004978B9" w:rsidRPr="00620A0B" w:rsidRDefault="004978B9" w:rsidP="00147C23"/>
    <w:p w14:paraId="057972F5" w14:textId="2AB219BE" w:rsidR="00F4302F" w:rsidRPr="00A43150" w:rsidRDefault="006452C5" w:rsidP="00147C23">
      <w:r w:rsidRPr="00620A0B">
        <w:t>2016. gadā</w:t>
      </w:r>
      <w:r w:rsidR="00327E50">
        <w:t xml:space="preserve"> </w:t>
      </w:r>
      <w:r w:rsidR="00AE391E" w:rsidRPr="00620A0B">
        <w:rPr>
          <w:b/>
        </w:rPr>
        <w:t>pasludināto TAP (ĀTAP) skaits</w:t>
      </w:r>
      <w:r w:rsidR="009A61D2" w:rsidRPr="00620A0B">
        <w:rPr>
          <w:b/>
        </w:rPr>
        <w:t xml:space="preserve"> attiecībā pret p</w:t>
      </w:r>
      <w:r w:rsidR="005C4432" w:rsidRPr="00620A0B">
        <w:rPr>
          <w:b/>
        </w:rPr>
        <w:t>asludināto juridiskās personas maksātnespējas procesu skaitu</w:t>
      </w:r>
      <w:r w:rsidR="00AE391E" w:rsidRPr="00620A0B">
        <w:t xml:space="preserve"> atbilda plānotajam</w:t>
      </w:r>
      <w:r w:rsidR="00614706" w:rsidRPr="00620A0B">
        <w:t xml:space="preserve"> rezultatīvajam rādītājam </w:t>
      </w:r>
      <w:r w:rsidR="00AE391E" w:rsidRPr="00620A0B">
        <w:t>– 5 %</w:t>
      </w:r>
      <w:r w:rsidR="00327E50">
        <w:t>.</w:t>
      </w:r>
      <w:r w:rsidR="00AE391E" w:rsidRPr="00620A0B">
        <w:t xml:space="preserve"> </w:t>
      </w:r>
      <w:r w:rsidR="00AE391E" w:rsidRPr="00A43150">
        <w:t xml:space="preserve">Tomēr </w:t>
      </w:r>
      <w:r w:rsidR="00B011B2" w:rsidRPr="00A43150">
        <w:t xml:space="preserve">2017. gadā novērots </w:t>
      </w:r>
      <w:r w:rsidR="005D3CEF" w:rsidRPr="00A43150">
        <w:t xml:space="preserve">pasludināto TAP (ĀTAP) skaita palielinājums </w:t>
      </w:r>
      <w:r w:rsidR="005D0F7D" w:rsidRPr="00A43150">
        <w:t xml:space="preserve">par 1 % – </w:t>
      </w:r>
      <w:r w:rsidR="005D3CEF" w:rsidRPr="00A43150">
        <w:t xml:space="preserve">no plānotajiem 7 % uz 8 %. </w:t>
      </w:r>
      <w:r w:rsidR="00672668" w:rsidRPr="00A43150">
        <w:t>F</w:t>
      </w:r>
      <w:r w:rsidR="00291D4B" w:rsidRPr="00A43150">
        <w:t xml:space="preserve">aktiskā </w:t>
      </w:r>
      <w:r w:rsidR="00614706" w:rsidRPr="00A43150">
        <w:t>rezult</w:t>
      </w:r>
      <w:r w:rsidR="006A1FDD" w:rsidRPr="00A43150">
        <w:t xml:space="preserve">atīvā rādītāja </w:t>
      </w:r>
      <w:r w:rsidR="00291D4B" w:rsidRPr="00A43150">
        <w:t xml:space="preserve">pārsniegšana 2017. gadā </w:t>
      </w:r>
      <w:r w:rsidR="00095A4D">
        <w:t xml:space="preserve">ir neliela, tomēr </w:t>
      </w:r>
      <w:r w:rsidR="00291D4B" w:rsidRPr="00A43150">
        <w:t xml:space="preserve">vērtējama pozitīvi un izskaidrojama ar </w:t>
      </w:r>
      <w:r w:rsidR="0095271D" w:rsidRPr="00A43150">
        <w:t>veiktajiem informēšanas pasākumiem.</w:t>
      </w:r>
    </w:p>
    <w:p w14:paraId="06A761D3" w14:textId="096EE157" w:rsidR="000F473C" w:rsidRPr="00620A0B" w:rsidRDefault="003E7305" w:rsidP="00147C23">
      <w:r w:rsidRPr="00620A0B">
        <w:t xml:space="preserve">Savukārt </w:t>
      </w:r>
      <w:r w:rsidRPr="00620A0B">
        <w:rPr>
          <w:b/>
        </w:rPr>
        <w:t xml:space="preserve">proporcija starp </w:t>
      </w:r>
      <w:r w:rsidR="001772F7" w:rsidRPr="00620A0B">
        <w:rPr>
          <w:b/>
        </w:rPr>
        <w:t>ierosināto un pasludināto TAP (ĀTAP) skaitu</w:t>
      </w:r>
      <w:r w:rsidR="001772F7" w:rsidRPr="00620A0B">
        <w:t xml:space="preserve"> novērtējuma</w:t>
      </w:r>
      <w:r w:rsidR="0027107F" w:rsidRPr="00620A0B">
        <w:t xml:space="preserve"> periodā</w:t>
      </w:r>
      <w:r w:rsidR="001772F7" w:rsidRPr="00620A0B">
        <w:t xml:space="preserve"> bija ze</w:t>
      </w:r>
      <w:r w:rsidR="0027107F" w:rsidRPr="00620A0B">
        <w:t xml:space="preserve">māka ne tikai par plānoto, bet arī par 2015. gadā </w:t>
      </w:r>
      <w:r w:rsidR="00850DBD" w:rsidRPr="00620A0B">
        <w:t xml:space="preserve">faktiski konstatētajiem </w:t>
      </w:r>
      <w:r w:rsidR="000025C2" w:rsidRPr="00620A0B">
        <w:t xml:space="preserve">rezultatīvajiem rādītājiem. 2016. gadā </w:t>
      </w:r>
      <w:r w:rsidR="00343FF7" w:rsidRPr="00620A0B">
        <w:t xml:space="preserve">konstatējama rezultatīvā rādītāja novirze </w:t>
      </w:r>
      <w:r w:rsidR="00343FF7" w:rsidRPr="00DA4D3A">
        <w:rPr>
          <w:color w:val="000000" w:themeColor="text1"/>
        </w:rPr>
        <w:t xml:space="preserve">no plānotā par -9 %. </w:t>
      </w:r>
      <w:r w:rsidR="008A70D2" w:rsidRPr="00DA4D3A">
        <w:rPr>
          <w:color w:val="000000" w:themeColor="text1"/>
        </w:rPr>
        <w:t xml:space="preserve">2017. gadā rezultatīvais rādītājs attiecībā pret 2016. gadu ir palielinājies par </w:t>
      </w:r>
      <w:r w:rsidR="009A61D2" w:rsidRPr="00DA4D3A">
        <w:rPr>
          <w:color w:val="000000" w:themeColor="text1"/>
        </w:rPr>
        <w:t xml:space="preserve">5 %, tomēr arī 2017. gadā </w:t>
      </w:r>
      <w:r w:rsidR="005C4432" w:rsidRPr="00DA4D3A">
        <w:rPr>
          <w:color w:val="000000" w:themeColor="text1"/>
        </w:rPr>
        <w:t xml:space="preserve">novērojama novirze no plānotā par </w:t>
      </w:r>
      <w:r w:rsidR="00DA258C" w:rsidRPr="00DA4D3A">
        <w:rPr>
          <w:color w:val="000000" w:themeColor="text1"/>
        </w:rPr>
        <w:t xml:space="preserve">-6 %. </w:t>
      </w:r>
      <w:r w:rsidR="00D30065" w:rsidRPr="00DA4D3A">
        <w:rPr>
          <w:color w:val="000000" w:themeColor="text1"/>
        </w:rPr>
        <w:t xml:space="preserve">Novirze </w:t>
      </w:r>
      <w:r w:rsidR="007E7C72">
        <w:rPr>
          <w:color w:val="000000" w:themeColor="text1"/>
        </w:rPr>
        <w:t xml:space="preserve">liecina, ka </w:t>
      </w:r>
      <w:r w:rsidR="00631453">
        <w:rPr>
          <w:color w:val="000000" w:themeColor="text1"/>
        </w:rPr>
        <w:t>sagatavotie TAP plāni nav pietiekami kvalitatīvi</w:t>
      </w:r>
      <w:r w:rsidR="00472E33">
        <w:rPr>
          <w:color w:val="000000" w:themeColor="text1"/>
        </w:rPr>
        <w:t xml:space="preserve"> un </w:t>
      </w:r>
      <w:r w:rsidR="00294C33">
        <w:rPr>
          <w:color w:val="000000" w:themeColor="text1"/>
        </w:rPr>
        <w:t xml:space="preserve">turpmāk, arīdzan plānojot veicamās darbības, </w:t>
      </w:r>
      <w:r w:rsidR="00796264">
        <w:rPr>
          <w:color w:val="000000" w:themeColor="text1"/>
        </w:rPr>
        <w:t>jābūt daudz kritiskākiem</w:t>
      </w:r>
      <w:r w:rsidR="00C04CE5">
        <w:rPr>
          <w:color w:val="000000" w:themeColor="text1"/>
        </w:rPr>
        <w:t>.</w:t>
      </w:r>
    </w:p>
    <w:p w14:paraId="15A1F30F" w14:textId="1398B8BC" w:rsidR="002D1A56" w:rsidRPr="00620A0B" w:rsidRDefault="00AC02EE" w:rsidP="00147C23">
      <w:r>
        <w:t>Rezultatīvais</w:t>
      </w:r>
      <w:r w:rsidR="00DA258C" w:rsidRPr="00620A0B">
        <w:t xml:space="preserve"> rādītājs </w:t>
      </w:r>
      <w:r w:rsidR="00805EA5" w:rsidRPr="00620A0B">
        <w:t xml:space="preserve">uzlabojas par </w:t>
      </w:r>
      <w:r w:rsidRPr="00AC02EE">
        <w:rPr>
          <w:color w:val="000000" w:themeColor="text1"/>
        </w:rPr>
        <w:t>5 %</w:t>
      </w:r>
      <w:r w:rsidR="00805EA5" w:rsidRPr="00620A0B">
        <w:t xml:space="preserve"> gadā </w:t>
      </w:r>
      <w:r w:rsidR="009B6F99">
        <w:t xml:space="preserve">plānoto 2 % </w:t>
      </w:r>
      <w:r w:rsidR="00A633A5">
        <w:t xml:space="preserve">vietā </w:t>
      </w:r>
      <w:r w:rsidR="00805EA5" w:rsidRPr="00620A0B">
        <w:t>un sagaidāms tā uzlabojums arī turpmāk, ņemot vērā</w:t>
      </w:r>
      <w:r w:rsidR="000F473C" w:rsidRPr="00620A0B">
        <w:t>, ka</w:t>
      </w:r>
      <w:r w:rsidR="00204295" w:rsidRPr="00620A0B">
        <w:t xml:space="preserve"> </w:t>
      </w:r>
      <w:r w:rsidR="00AF00DD" w:rsidRPr="00620A0B">
        <w:t xml:space="preserve">ārpus novērtējuma perioda turpinās </w:t>
      </w:r>
      <w:r w:rsidR="00204295" w:rsidRPr="00620A0B">
        <w:t>informēšanas pasākumi un</w:t>
      </w:r>
      <w:r w:rsidR="000F473C" w:rsidRPr="00620A0B">
        <w:t xml:space="preserve"> </w:t>
      </w:r>
      <w:r w:rsidR="00AF00DD" w:rsidRPr="00620A0B">
        <w:t xml:space="preserve">ir veicami </w:t>
      </w:r>
      <w:r w:rsidR="000F473C" w:rsidRPr="00620A0B">
        <w:t>vairāki</w:t>
      </w:r>
      <w:r w:rsidR="00805EA5" w:rsidRPr="00620A0B">
        <w:t xml:space="preserve"> </w:t>
      </w:r>
      <w:r w:rsidR="000F473C" w:rsidRPr="00620A0B">
        <w:t xml:space="preserve">būtiski </w:t>
      </w:r>
      <w:r w:rsidR="006F6CBD">
        <w:t>p</w:t>
      </w:r>
      <w:r w:rsidR="000F473C" w:rsidRPr="00620A0B">
        <w:t>lāna pasākumi, kas vērsti uz TAP pilnveidošanu.</w:t>
      </w:r>
    </w:p>
    <w:p w14:paraId="4551EA26" w14:textId="0B5FF2AA" w:rsidR="00247C1F" w:rsidRPr="00620A0B" w:rsidRDefault="00EA2C35" w:rsidP="00147C23">
      <w:r w:rsidRPr="00620A0B">
        <w:t xml:space="preserve">2016. gadā bija plānots, ka </w:t>
      </w:r>
      <w:r w:rsidR="007F3614" w:rsidRPr="00620A0B">
        <w:t xml:space="preserve">šajā gadā </w:t>
      </w:r>
      <w:r w:rsidR="00D32D87" w:rsidRPr="00620A0B">
        <w:t xml:space="preserve">būs 2 % </w:t>
      </w:r>
      <w:r w:rsidR="008643AE" w:rsidRPr="00620A0B">
        <w:rPr>
          <w:b/>
        </w:rPr>
        <w:t xml:space="preserve">sekmīgi </w:t>
      </w:r>
      <w:r w:rsidR="00D32D87" w:rsidRPr="00620A0B">
        <w:rPr>
          <w:b/>
        </w:rPr>
        <w:t xml:space="preserve">pabeigti </w:t>
      </w:r>
      <w:r w:rsidR="006C65DA" w:rsidRPr="00620A0B">
        <w:rPr>
          <w:b/>
        </w:rPr>
        <w:t>TAP (ĀTAP)</w:t>
      </w:r>
      <w:r w:rsidR="00D32D87" w:rsidRPr="00620A0B">
        <w:rPr>
          <w:b/>
        </w:rPr>
        <w:t xml:space="preserve"> no </w:t>
      </w:r>
      <w:r w:rsidR="006F2C6A" w:rsidRPr="00620A0B">
        <w:rPr>
          <w:b/>
        </w:rPr>
        <w:t>visiem izbeigtajiem TAP (ĀTAP)</w:t>
      </w:r>
      <w:r w:rsidR="00D32D87" w:rsidRPr="00620A0B">
        <w:t xml:space="preserve">. </w:t>
      </w:r>
      <w:r w:rsidR="00122758" w:rsidRPr="00620A0B">
        <w:t>Tomēr faktiski 2016. gadā sekmīgi tika pabeigti 8 %</w:t>
      </w:r>
      <w:r w:rsidR="006C65DA" w:rsidRPr="00620A0B">
        <w:t xml:space="preserve">, kas veido rezultatīvā rādītāja novirzi par 6 %. </w:t>
      </w:r>
      <w:r w:rsidR="00515D6C" w:rsidRPr="00620A0B">
        <w:t>2017. gadā plānotais sekmīgi pabeigto TAP (ĀTAP) skaita palielinājums līdz 9 </w:t>
      </w:r>
      <w:r w:rsidR="00FB4631" w:rsidRPr="00620A0B">
        <w:t xml:space="preserve">% ir </w:t>
      </w:r>
      <w:r w:rsidR="00FB4631" w:rsidRPr="00095A4D">
        <w:rPr>
          <w:color w:val="000000" w:themeColor="text1"/>
        </w:rPr>
        <w:t>pārsniegts par 1 %.</w:t>
      </w:r>
      <w:r w:rsidR="00F834C8">
        <w:rPr>
          <w:color w:val="000000" w:themeColor="text1"/>
        </w:rPr>
        <w:t xml:space="preserve"> </w:t>
      </w:r>
      <w:r w:rsidR="004D3F68">
        <w:rPr>
          <w:color w:val="000000" w:themeColor="text1"/>
        </w:rPr>
        <w:t>Novirze pārsniedz plānoto, tomēr viennozīmīgi vērtējama pozitīvi</w:t>
      </w:r>
      <w:r w:rsidR="00A36EBA">
        <w:rPr>
          <w:color w:val="000000" w:themeColor="text1"/>
        </w:rPr>
        <w:t>.</w:t>
      </w:r>
    </w:p>
    <w:p w14:paraId="57306EE3" w14:textId="4ED5D9B1" w:rsidR="00F4302F" w:rsidRPr="00620A0B" w:rsidRDefault="00F4302F" w:rsidP="00147C23"/>
    <w:p w14:paraId="472051E9" w14:textId="756AD243" w:rsidR="009A3203" w:rsidRPr="00620A0B" w:rsidRDefault="009A3203" w:rsidP="00147C23">
      <w:r w:rsidRPr="00620A0B">
        <w:t xml:space="preserve">Pamatnostādņu 2. politikas rezultātā </w:t>
      </w:r>
      <w:r w:rsidR="0018715E">
        <w:t>"</w:t>
      </w:r>
      <w:r w:rsidRPr="00620A0B">
        <w:t>Kreditoru maksimāla saistību apmierināšana, ekonomiski vērtīgie aktīvi atgriežas ekonomiskajā apritē</w:t>
      </w:r>
      <w:r w:rsidR="0018715E">
        <w:t>"</w:t>
      </w:r>
      <w:r w:rsidRPr="00620A0B">
        <w:t xml:space="preserve"> paredzēti 5 rezultatīvie rādītāji:</w:t>
      </w:r>
    </w:p>
    <w:p w14:paraId="4F392525" w14:textId="5EBE93A2" w:rsidR="0019348A" w:rsidRPr="00620A0B" w:rsidRDefault="0019348A" w:rsidP="00147C23">
      <w:pPr>
        <w:pStyle w:val="Sarakstarindkopa"/>
        <w:numPr>
          <w:ilvl w:val="0"/>
          <w:numId w:val="3"/>
        </w:numPr>
        <w:ind w:left="1134"/>
      </w:pPr>
      <w:bookmarkStart w:id="5" w:name="_Hlk5030855"/>
      <w:r w:rsidRPr="00620A0B">
        <w:t>Vidējais maksātnespējas procesa ilgums</w:t>
      </w:r>
      <w:r w:rsidR="009A3203" w:rsidRPr="00620A0B">
        <w:t>;</w:t>
      </w:r>
    </w:p>
    <w:p w14:paraId="5E52EE8E" w14:textId="0AFC8ECE" w:rsidR="0019348A" w:rsidRPr="00620A0B" w:rsidRDefault="0019348A" w:rsidP="00147C23">
      <w:pPr>
        <w:pStyle w:val="Sarakstarindkopa"/>
        <w:numPr>
          <w:ilvl w:val="0"/>
          <w:numId w:val="3"/>
        </w:numPr>
        <w:ind w:left="1134"/>
      </w:pPr>
      <w:r w:rsidRPr="00620A0B">
        <w:t>Nodrošināto kreditoru prasījumu atgūšanas radītāji (</w:t>
      </w:r>
      <w:r w:rsidRPr="00620A0B">
        <w:rPr>
          <w:i/>
        </w:rPr>
        <w:t>recovery rate</w:t>
      </w:r>
      <w:r w:rsidRPr="00620A0B">
        <w:t>)</w:t>
      </w:r>
      <w:r w:rsidR="009A3203" w:rsidRPr="00620A0B">
        <w:t>;</w:t>
      </w:r>
    </w:p>
    <w:p w14:paraId="2E96AFEE" w14:textId="20E130B1" w:rsidR="0019348A" w:rsidRPr="00620A0B" w:rsidRDefault="0019348A" w:rsidP="00147C23">
      <w:pPr>
        <w:pStyle w:val="Sarakstarindkopa"/>
        <w:numPr>
          <w:ilvl w:val="0"/>
          <w:numId w:val="3"/>
        </w:numPr>
        <w:ind w:left="1134"/>
      </w:pPr>
      <w:r w:rsidRPr="00620A0B">
        <w:t>Nenodrošināto kreditoru prasījumu atgūšanas radītāji (</w:t>
      </w:r>
      <w:r w:rsidRPr="00620A0B">
        <w:rPr>
          <w:i/>
        </w:rPr>
        <w:t>recovery rate</w:t>
      </w:r>
      <w:r w:rsidRPr="00620A0B">
        <w:t>)</w:t>
      </w:r>
      <w:r w:rsidR="009A3203" w:rsidRPr="00620A0B">
        <w:t>;</w:t>
      </w:r>
    </w:p>
    <w:p w14:paraId="65E7F7FA" w14:textId="1647B3BF" w:rsidR="0019348A" w:rsidRPr="00620A0B" w:rsidRDefault="0019348A" w:rsidP="00147C23">
      <w:pPr>
        <w:pStyle w:val="Sarakstarindkopa"/>
        <w:numPr>
          <w:ilvl w:val="0"/>
          <w:numId w:val="3"/>
        </w:numPr>
        <w:ind w:left="1134"/>
      </w:pPr>
      <w:r w:rsidRPr="00620A0B">
        <w:t>Maksātnespējas procesa izmaksas</w:t>
      </w:r>
      <w:r w:rsidR="009A3203" w:rsidRPr="00620A0B">
        <w:t>;</w:t>
      </w:r>
    </w:p>
    <w:p w14:paraId="0F212CB5" w14:textId="197E6347" w:rsidR="0019348A" w:rsidRPr="00620A0B" w:rsidRDefault="0019348A" w:rsidP="00147C23">
      <w:pPr>
        <w:pStyle w:val="Sarakstarindkopa"/>
        <w:numPr>
          <w:ilvl w:val="0"/>
          <w:numId w:val="3"/>
        </w:numPr>
        <w:ind w:left="1134"/>
      </w:pPr>
      <w:r w:rsidRPr="00620A0B">
        <w:t>Procesu skaita, kad tiek sastādīts ziņojums par mantas neesamību, īpatsvars</w:t>
      </w:r>
      <w:r w:rsidR="009A3203" w:rsidRPr="00620A0B">
        <w:t>.</w:t>
      </w:r>
    </w:p>
    <w:bookmarkEnd w:id="5"/>
    <w:p w14:paraId="06BCCB0A" w14:textId="1FE206EA" w:rsidR="0019348A" w:rsidRPr="00620A0B" w:rsidRDefault="0019348A" w:rsidP="00147C23"/>
    <w:p w14:paraId="281CED9F" w14:textId="184FDC8E" w:rsidR="003E32E9" w:rsidRPr="00620A0B" w:rsidRDefault="00F17451" w:rsidP="00147C23">
      <w:pPr>
        <w:rPr>
          <w:sz w:val="28"/>
        </w:rPr>
      </w:pPr>
      <w:r w:rsidRPr="00620A0B">
        <w:t xml:space="preserve">Kā 2016., tā arī 2017. gadā bija plānots saglabāt </w:t>
      </w:r>
      <w:r w:rsidR="004B16AD" w:rsidRPr="00620A0B">
        <w:t xml:space="preserve">2015. gada </w:t>
      </w:r>
      <w:r w:rsidR="004B16AD" w:rsidRPr="00620A0B">
        <w:rPr>
          <w:b/>
        </w:rPr>
        <w:t>vidējo maksātnespējas procesa ilgumu</w:t>
      </w:r>
      <w:r w:rsidR="004B16AD" w:rsidRPr="00620A0B">
        <w:t xml:space="preserve"> – 1,5 gadi. </w:t>
      </w:r>
      <w:r w:rsidR="00877B21" w:rsidRPr="00620A0B">
        <w:t>Tomēr statistika liecina, ka</w:t>
      </w:r>
      <w:r w:rsidR="00F14956" w:rsidRPr="00620A0B">
        <w:t xml:space="preserve"> juridiskās personas maksātnespējas procesi </w:t>
      </w:r>
      <w:r w:rsidR="00B44F98" w:rsidRPr="00620A0B">
        <w:t xml:space="preserve">2016. un 2017. gadā </w:t>
      </w:r>
      <w:r w:rsidR="00F14956" w:rsidRPr="00620A0B">
        <w:t>vidēji ir noritējuši ilgāk</w:t>
      </w:r>
      <w:r w:rsidR="00E233C3" w:rsidRPr="00620A0B">
        <w:t xml:space="preserve">, proti, attiecīgi </w:t>
      </w:r>
      <w:r w:rsidR="00E233C3" w:rsidRPr="002D2A93">
        <w:rPr>
          <w:color w:val="000000" w:themeColor="text1"/>
        </w:rPr>
        <w:t>1,67</w:t>
      </w:r>
      <w:r w:rsidR="00E233C3" w:rsidRPr="00620A0B">
        <w:t> gad</w:t>
      </w:r>
      <w:r w:rsidR="00F14956" w:rsidRPr="00620A0B">
        <w:t>us</w:t>
      </w:r>
      <w:r w:rsidR="00E233C3" w:rsidRPr="00620A0B">
        <w:t>.</w:t>
      </w:r>
      <w:r w:rsidR="00E06E55" w:rsidRPr="00620A0B">
        <w:t xml:space="preserve"> </w:t>
      </w:r>
      <w:r w:rsidR="00C269FA" w:rsidRPr="00620A0B">
        <w:t xml:space="preserve">Novirze izskaidrojama ar </w:t>
      </w:r>
      <w:r w:rsidR="00C269FA" w:rsidRPr="00620A0B">
        <w:lastRenderedPageBreak/>
        <w:t xml:space="preserve">administratoru profesijas reformas 1. posma stāšanos spēkā. Proti, ar 2016. gada 1. janvāri administratori ir valsts amatpersonas. </w:t>
      </w:r>
      <w:r w:rsidR="000370DF" w:rsidRPr="00620A0B">
        <w:t xml:space="preserve">Tā kā vairākus administratorus neapmierināja šīs izmaiņas, viņi izlēma </w:t>
      </w:r>
      <w:r w:rsidR="00AC3FB3" w:rsidRPr="00620A0B">
        <w:t>izbeigt savu profesionālo darbību</w:t>
      </w:r>
      <w:r w:rsidR="00B06562" w:rsidRPr="00620A0B">
        <w:rPr>
          <w:rStyle w:val="Vresatsauce"/>
        </w:rPr>
        <w:footnoteReference w:id="25"/>
      </w:r>
      <w:r w:rsidR="003E32E9" w:rsidRPr="00620A0B">
        <w:t xml:space="preserve">, kā rezultātā vairākos procesos bija jāieceļ </w:t>
      </w:r>
      <w:r w:rsidR="002E4765" w:rsidRPr="00620A0B">
        <w:t xml:space="preserve">jauni administratori. Administratora maiņa vienmēr vismaz uz </w:t>
      </w:r>
      <w:r w:rsidR="007E1EFB" w:rsidRPr="00620A0B">
        <w:t xml:space="preserve">īsu brīdi palēnina procesa norisi, jo jaunieceltajam administratoram ir nepieciešams iepazīties ar procesa materiāliem. Turklāt nereti tiek pārskatītas arī iepriekšējā administratora veiktās darbības. Tāpat norādāms, ka </w:t>
      </w:r>
      <w:r w:rsidR="003E32E9" w:rsidRPr="00620A0B">
        <w:rPr>
          <w:szCs w:val="23"/>
        </w:rPr>
        <w:t>2016.</w:t>
      </w:r>
      <w:r w:rsidR="007E1EFB" w:rsidRPr="00620A0B">
        <w:rPr>
          <w:szCs w:val="23"/>
        </w:rPr>
        <w:t> </w:t>
      </w:r>
      <w:r w:rsidR="003E32E9" w:rsidRPr="00620A0B">
        <w:rPr>
          <w:szCs w:val="23"/>
        </w:rPr>
        <w:t>gadā un 2017.</w:t>
      </w:r>
      <w:r w:rsidR="007E1EFB" w:rsidRPr="00620A0B">
        <w:rPr>
          <w:szCs w:val="23"/>
        </w:rPr>
        <w:t> </w:t>
      </w:r>
      <w:r w:rsidR="003E32E9" w:rsidRPr="00620A0B">
        <w:rPr>
          <w:szCs w:val="23"/>
        </w:rPr>
        <w:t xml:space="preserve">gadā vēl </w:t>
      </w:r>
      <w:r w:rsidR="007E1EFB" w:rsidRPr="00620A0B">
        <w:rPr>
          <w:szCs w:val="23"/>
        </w:rPr>
        <w:t>bija</w:t>
      </w:r>
      <w:r w:rsidR="003E32E9" w:rsidRPr="00620A0B">
        <w:rPr>
          <w:szCs w:val="23"/>
        </w:rPr>
        <w:t xml:space="preserve"> aktīvi </w:t>
      </w:r>
      <w:r w:rsidR="007E1EFB" w:rsidRPr="00620A0B">
        <w:rPr>
          <w:szCs w:val="23"/>
        </w:rPr>
        <w:t xml:space="preserve">vairāki </w:t>
      </w:r>
      <w:r w:rsidR="003E32E9" w:rsidRPr="00620A0B">
        <w:rPr>
          <w:szCs w:val="23"/>
        </w:rPr>
        <w:t xml:space="preserve">maksātnespējas procesi, kas uzsākti saskaņā ar likumu </w:t>
      </w:r>
      <w:r w:rsidR="0018715E">
        <w:rPr>
          <w:szCs w:val="23"/>
        </w:rPr>
        <w:t>"</w:t>
      </w:r>
      <w:r w:rsidR="003E32E9" w:rsidRPr="00620A0B">
        <w:rPr>
          <w:szCs w:val="23"/>
        </w:rPr>
        <w:t>Par uzņēmumu un uzņēmējsabiedrību maksātnespēj</w:t>
      </w:r>
      <w:r w:rsidR="007E1EFB" w:rsidRPr="00620A0B">
        <w:rPr>
          <w:szCs w:val="23"/>
        </w:rPr>
        <w:t>u</w:t>
      </w:r>
      <w:r w:rsidR="0018715E">
        <w:rPr>
          <w:szCs w:val="23"/>
        </w:rPr>
        <w:t>"</w:t>
      </w:r>
      <w:r w:rsidR="003E32E9" w:rsidRPr="00620A0B">
        <w:rPr>
          <w:szCs w:val="23"/>
        </w:rPr>
        <w:t xml:space="preserve"> un 2007.</w:t>
      </w:r>
      <w:r w:rsidR="007E1EFB" w:rsidRPr="00620A0B">
        <w:rPr>
          <w:szCs w:val="23"/>
        </w:rPr>
        <w:t> </w:t>
      </w:r>
      <w:r w:rsidR="003E32E9" w:rsidRPr="00620A0B">
        <w:rPr>
          <w:szCs w:val="23"/>
        </w:rPr>
        <w:t>gada 1.</w:t>
      </w:r>
      <w:r w:rsidR="007E1EFB" w:rsidRPr="00620A0B">
        <w:rPr>
          <w:szCs w:val="23"/>
        </w:rPr>
        <w:t> </w:t>
      </w:r>
      <w:r w:rsidR="003E32E9" w:rsidRPr="00620A0B">
        <w:rPr>
          <w:szCs w:val="23"/>
        </w:rPr>
        <w:t xml:space="preserve">novembra Maksātnespējas likumu, kas paredzēja no spēkā esošā regulējuma atšķirīgu procesa norises kārtību, nenosakot konkrētus termiņus likumā noteikto darbību veikšanai. </w:t>
      </w:r>
      <w:r w:rsidR="003409BA" w:rsidRPr="00620A0B">
        <w:rPr>
          <w:szCs w:val="23"/>
        </w:rPr>
        <w:t>M</w:t>
      </w:r>
      <w:r w:rsidR="003E32E9" w:rsidRPr="00620A0B">
        <w:rPr>
          <w:szCs w:val="23"/>
        </w:rPr>
        <w:t xml:space="preserve">aksātnespējas procesa norises ilgums lielā mērā ir atkarīgs </w:t>
      </w:r>
      <w:r w:rsidR="003409BA" w:rsidRPr="00620A0B">
        <w:rPr>
          <w:szCs w:val="23"/>
        </w:rPr>
        <w:t xml:space="preserve">arī </w:t>
      </w:r>
      <w:r w:rsidR="003E32E9" w:rsidRPr="00620A0B">
        <w:rPr>
          <w:szCs w:val="23"/>
        </w:rPr>
        <w:t xml:space="preserve">no tiesvedības procesu ilguma. </w:t>
      </w:r>
      <w:r w:rsidR="00D90440" w:rsidRPr="00620A0B">
        <w:t xml:space="preserve">Būtiski arīdzan vērst uzmanību, ka procesa ātrums nav un nekādā gadījumā nedrīkst būt iesaistīto personu rīcības pašmērķis. </w:t>
      </w:r>
      <w:r w:rsidR="003E32E9" w:rsidRPr="00620A0B">
        <w:rPr>
          <w:szCs w:val="23"/>
        </w:rPr>
        <w:t>Ņemot vērā minēto, novirzi no plānot</w:t>
      </w:r>
      <w:r w:rsidR="00076E29" w:rsidRPr="00620A0B">
        <w:rPr>
          <w:szCs w:val="23"/>
        </w:rPr>
        <w:t>ā rezultatīvā</w:t>
      </w:r>
      <w:r w:rsidR="003E32E9" w:rsidRPr="00620A0B">
        <w:rPr>
          <w:szCs w:val="23"/>
        </w:rPr>
        <w:t xml:space="preserve"> rādītāja nevar uzskatīt par kritisku, un tā nenorāda uz ievērojamiem trūkumiem maksātnespējas procesa noris</w:t>
      </w:r>
      <w:r w:rsidR="00076E29" w:rsidRPr="00620A0B">
        <w:rPr>
          <w:szCs w:val="23"/>
        </w:rPr>
        <w:t xml:space="preserve">ē </w:t>
      </w:r>
      <w:r w:rsidR="003E32E9" w:rsidRPr="00620A0B">
        <w:rPr>
          <w:szCs w:val="23"/>
        </w:rPr>
        <w:t>kopumā</w:t>
      </w:r>
      <w:r w:rsidR="000E7C20" w:rsidRPr="00620A0B">
        <w:rPr>
          <w:szCs w:val="23"/>
        </w:rPr>
        <w:t xml:space="preserve">, bet gan uzskatāma par administratoru profesijas reformas </w:t>
      </w:r>
      <w:r w:rsidR="00076E29" w:rsidRPr="00620A0B">
        <w:rPr>
          <w:szCs w:val="23"/>
        </w:rPr>
        <w:t xml:space="preserve">1. posma </w:t>
      </w:r>
      <w:r w:rsidR="000E7C20" w:rsidRPr="00620A0B">
        <w:rPr>
          <w:szCs w:val="23"/>
        </w:rPr>
        <w:t>īslaicīgām sekām.</w:t>
      </w:r>
    </w:p>
    <w:p w14:paraId="7FE6FB51" w14:textId="19D40C00" w:rsidR="004B16AD" w:rsidRPr="00620A0B" w:rsidRDefault="00EF7844" w:rsidP="00147C23">
      <w:r w:rsidRPr="00620A0B">
        <w:rPr>
          <w:b/>
        </w:rPr>
        <w:t>Nodrošināto kreditoru prasījumu atgūšanas rādītāj</w:t>
      </w:r>
      <w:r w:rsidR="00E1219C" w:rsidRPr="00620A0B">
        <w:rPr>
          <w:b/>
        </w:rPr>
        <w:t>s (</w:t>
      </w:r>
      <w:r w:rsidR="00E1219C" w:rsidRPr="00620A0B">
        <w:rPr>
          <w:b/>
          <w:i/>
        </w:rPr>
        <w:t>recovery rate</w:t>
      </w:r>
      <w:r w:rsidR="00E1219C" w:rsidRPr="00620A0B">
        <w:rPr>
          <w:b/>
        </w:rPr>
        <w:t xml:space="preserve">) </w:t>
      </w:r>
      <w:r w:rsidR="00E1219C" w:rsidRPr="00620A0B">
        <w:t xml:space="preserve">ir pat pārsniegts, veidojot </w:t>
      </w:r>
      <w:r w:rsidR="005B20CD" w:rsidRPr="00620A0B">
        <w:t xml:space="preserve">8 centu </w:t>
      </w:r>
      <w:r w:rsidR="00135D9C" w:rsidRPr="00620A0B">
        <w:t xml:space="preserve">no viena eiro </w:t>
      </w:r>
      <w:r w:rsidR="005B20CD" w:rsidRPr="00620A0B">
        <w:t xml:space="preserve">palielinājumu un tādējādi par 3 centiem no viena eiro pārsniedzot </w:t>
      </w:r>
      <w:r w:rsidR="00135D9C" w:rsidRPr="00620A0B">
        <w:t>2017. gadā plānoto palielinājumu attiecībā pret 2016. gada rādītāju.</w:t>
      </w:r>
    </w:p>
    <w:p w14:paraId="0620502B" w14:textId="20B03F84" w:rsidR="006A2882" w:rsidRDefault="00135D9C" w:rsidP="00147C23">
      <w:r w:rsidRPr="00620A0B">
        <w:t xml:space="preserve">Savukārt </w:t>
      </w:r>
      <w:r w:rsidRPr="00620A0B">
        <w:rPr>
          <w:b/>
        </w:rPr>
        <w:t>nenodrošināto kreditoru prasījumu atgūšanas rādītājs (</w:t>
      </w:r>
      <w:r w:rsidRPr="00620A0B">
        <w:rPr>
          <w:b/>
          <w:i/>
        </w:rPr>
        <w:t>recovery rate</w:t>
      </w:r>
      <w:r w:rsidRPr="00620A0B">
        <w:rPr>
          <w:b/>
        </w:rPr>
        <w:t>)</w:t>
      </w:r>
      <w:r w:rsidRPr="00620A0B">
        <w:t xml:space="preserve"> </w:t>
      </w:r>
      <w:r w:rsidR="00AE37E0" w:rsidRPr="00620A0B">
        <w:t xml:space="preserve">2017. gadā palika nemainīgs attiecībā pret 2016. gada rādītāju. Tādējādi </w:t>
      </w:r>
      <w:r w:rsidR="00861417" w:rsidRPr="00620A0B">
        <w:t>šis rezultatīvais rādītājs nav sasniegts.</w:t>
      </w:r>
    </w:p>
    <w:p w14:paraId="1B0A9653" w14:textId="6A5F89CC" w:rsidR="007E3087" w:rsidRDefault="002B0A1B" w:rsidP="00147C23">
      <w:r w:rsidRPr="00620A0B">
        <w:t xml:space="preserve">Pamatnostādņu rezultatīvie rādītāji paredz, ka 2017. gadā </w:t>
      </w:r>
      <w:r w:rsidRPr="00620A0B">
        <w:rPr>
          <w:b/>
        </w:rPr>
        <w:t>maksātnespējas procesa izmaksām</w:t>
      </w:r>
      <w:r w:rsidRPr="00620A0B">
        <w:t xml:space="preserve"> </w:t>
      </w:r>
      <w:r w:rsidR="008A47AB" w:rsidRPr="00620A0B">
        <w:t xml:space="preserve">bija jābūt par 5 centiem mazākām, nekā 2016. gadā. </w:t>
      </w:r>
      <w:r w:rsidR="00FD5808" w:rsidRPr="00620A0B">
        <w:t>Tomēr statistika liecina, ka rādītājs nav sasniegts</w:t>
      </w:r>
      <w:r w:rsidR="00BC02BA" w:rsidRPr="00620A0B">
        <w:t xml:space="preserve"> un tam ir konstatējama novirze par </w:t>
      </w:r>
      <w:r w:rsidR="000D62E6" w:rsidRPr="00620A0B">
        <w:t>76 centiem</w:t>
      </w:r>
      <w:r w:rsidR="00FD5808" w:rsidRPr="00620A0B">
        <w:t xml:space="preserve">, </w:t>
      </w:r>
      <w:r w:rsidR="00AA0818" w:rsidRPr="00620A0B">
        <w:t>izmaksām</w:t>
      </w:r>
      <w:r w:rsidR="00E64A7B" w:rsidRPr="00620A0B">
        <w:t xml:space="preserve"> </w:t>
      </w:r>
      <w:r w:rsidR="00FC77BD" w:rsidRPr="00620A0B">
        <w:t xml:space="preserve">nesamazinoties, bet gan </w:t>
      </w:r>
      <w:r w:rsidR="00E64A7B" w:rsidRPr="00620A0B">
        <w:t xml:space="preserve">palielinoties </w:t>
      </w:r>
      <w:r w:rsidR="0037626D" w:rsidRPr="00620A0B">
        <w:t xml:space="preserve">par </w:t>
      </w:r>
      <w:r w:rsidR="00D302C7" w:rsidRPr="00620A0B">
        <w:t xml:space="preserve">71 centu, t.i., </w:t>
      </w:r>
      <w:r w:rsidR="00E64A7B" w:rsidRPr="00620A0B">
        <w:t>no 1,46 </w:t>
      </w:r>
      <w:r w:rsidR="005C51F5" w:rsidRPr="00620A0B">
        <w:rPr>
          <w:i/>
        </w:rPr>
        <w:t>euro</w:t>
      </w:r>
      <w:r w:rsidR="005C51F5" w:rsidRPr="00620A0B">
        <w:t xml:space="preserve"> 2016. gadā līdz 2,17 </w:t>
      </w:r>
      <w:r w:rsidR="005C51F5" w:rsidRPr="00620A0B">
        <w:rPr>
          <w:i/>
        </w:rPr>
        <w:t>euro</w:t>
      </w:r>
      <w:r w:rsidR="005C51F5" w:rsidRPr="00620A0B">
        <w:t xml:space="preserve"> 2017. gadā.</w:t>
      </w:r>
    </w:p>
    <w:p w14:paraId="6BC1C143" w14:textId="26CAE9DB" w:rsidR="00E92CC0" w:rsidRPr="00E92CC0" w:rsidRDefault="0060139F" w:rsidP="00147C23">
      <w:r>
        <w:t>Saistībā ar novirzēm plānotajos rezult</w:t>
      </w:r>
      <w:r w:rsidR="00E92CC0">
        <w:t xml:space="preserve">atīvajos rādītājos </w:t>
      </w:r>
      <w:r w:rsidR="0018715E">
        <w:t>"</w:t>
      </w:r>
      <w:r>
        <w:t>nenodrošināto kreditoru prasījumu atgūšanas rādītājs (</w:t>
      </w:r>
      <w:r>
        <w:rPr>
          <w:i/>
        </w:rPr>
        <w:t>recovery rate</w:t>
      </w:r>
      <w:r>
        <w:t>)</w:t>
      </w:r>
      <w:r w:rsidR="0018715E">
        <w:t>"</w:t>
      </w:r>
      <w:r>
        <w:t xml:space="preserve"> un </w:t>
      </w:r>
      <w:r w:rsidR="0018715E">
        <w:t>"</w:t>
      </w:r>
      <w:r>
        <w:t>maksātnespējas procesa izmaks</w:t>
      </w:r>
      <w:r w:rsidR="00E92CC0">
        <w:t>as</w:t>
      </w:r>
      <w:r w:rsidR="0018715E">
        <w:t>"</w:t>
      </w:r>
      <w:r w:rsidR="00E92CC0">
        <w:t xml:space="preserve"> norādāms turpmākais. </w:t>
      </w:r>
      <w:r w:rsidR="00D17080">
        <w:t>SVF novērtējuma</w:t>
      </w:r>
      <w:r w:rsidR="00E92CC0" w:rsidRPr="00E92CC0">
        <w:t xml:space="preserve"> ziņojum</w:t>
      </w:r>
      <w:r w:rsidR="00D17080">
        <w:t>ā</w:t>
      </w:r>
      <w:r w:rsidR="00E92CC0" w:rsidRPr="00E92CC0">
        <w:t xml:space="preserve"> ir norādīts, ka, ievērojot ārējo maksātnespējas sistēmas efektivitāti ietekmējošo faktoru daudzveidību, </w:t>
      </w:r>
      <w:r w:rsidR="00D24D40">
        <w:t>p</w:t>
      </w:r>
      <w:r w:rsidR="00E92CC0" w:rsidRPr="00E92CC0">
        <w:t>amatnostādnēs noteikto rādītāju sasniegšana ir ievērojami apgrūtināta un pat neiespējama.</w:t>
      </w:r>
      <w:r w:rsidR="00DA3640">
        <w:t xml:space="preserve"> </w:t>
      </w:r>
      <w:r w:rsidR="00E92CC0" w:rsidRPr="00E92CC0">
        <w:t xml:space="preserve">Līdz ar to nav iespējams veikt objektīvu rezultatīvo rādītāju, kas atspoguļo </w:t>
      </w:r>
      <w:r w:rsidR="00D17080">
        <w:t>citastarp</w:t>
      </w:r>
      <w:r w:rsidR="00E92CC0" w:rsidRPr="00E92CC0">
        <w:t xml:space="preserve"> maksātnespējas procesa efektivitāti kopumā analīzi.</w:t>
      </w:r>
    </w:p>
    <w:p w14:paraId="06BEF173" w14:textId="3FA12891" w:rsidR="007E3087" w:rsidRDefault="00F20A43" w:rsidP="00147C23">
      <w:r w:rsidRPr="00620A0B">
        <w:t xml:space="preserve">Izmantojot </w:t>
      </w:r>
      <w:r w:rsidR="00D24D40">
        <w:t>p</w:t>
      </w:r>
      <w:r w:rsidRPr="00620A0B">
        <w:t xml:space="preserve">amatnostādnēs definēto metodoloģiju, </w:t>
      </w:r>
      <w:r w:rsidR="006B4B2E" w:rsidRPr="00620A0B">
        <w:rPr>
          <w:b/>
        </w:rPr>
        <w:t>p</w:t>
      </w:r>
      <w:r w:rsidR="007E3087" w:rsidRPr="00620A0B">
        <w:rPr>
          <w:b/>
        </w:rPr>
        <w:t>rocesu skaita, kad tiek sastādīts ziņojums par mantas neesamību, īpatsvars</w:t>
      </w:r>
      <w:r w:rsidR="006B4B2E" w:rsidRPr="00620A0B">
        <w:t xml:space="preserve"> </w:t>
      </w:r>
      <w:r w:rsidR="005209D5">
        <w:t xml:space="preserve">formāli </w:t>
      </w:r>
      <w:r w:rsidR="006B4B2E" w:rsidRPr="00620A0B">
        <w:t xml:space="preserve">tikai nedaudz pārsniedz </w:t>
      </w:r>
      <w:r w:rsidR="00C071B6" w:rsidRPr="00620A0B">
        <w:t>2016. un 2017. gadā plānoto rādītāju</w:t>
      </w:r>
      <w:r w:rsidR="00DD335D" w:rsidRPr="00620A0B">
        <w:t xml:space="preserve">, 2016. gadā plānotos 39 % </w:t>
      </w:r>
      <w:r w:rsidR="00FB1763" w:rsidRPr="00620A0B">
        <w:t xml:space="preserve">pārsniedzot par 8 %, savukārt 2017. gadā plānotos </w:t>
      </w:r>
      <w:r w:rsidR="00A034A7" w:rsidRPr="00620A0B">
        <w:t xml:space="preserve">38 % – par 6 %. Tomēr </w:t>
      </w:r>
      <w:r w:rsidR="000045F1">
        <w:t>MKD</w:t>
      </w:r>
      <w:r w:rsidR="00BD22A3" w:rsidRPr="00620A0B">
        <w:t xml:space="preserve"> tā funkciju un uzdevumu izpildes ietvaros ir secinājis</w:t>
      </w:r>
      <w:r w:rsidR="00E94856" w:rsidRPr="00620A0B">
        <w:t xml:space="preserve"> daudz kritiskāku situāciju. Proti,</w:t>
      </w:r>
      <w:r w:rsidR="00BD22A3" w:rsidRPr="00620A0B">
        <w:t xml:space="preserve"> </w:t>
      </w:r>
      <w:r w:rsidR="006A0B21" w:rsidRPr="00620A0B">
        <w:t>juridiskās personas maksātnespējas procesi, kuru izbeigšanas pamats bij</w:t>
      </w:r>
      <w:r w:rsidR="00583DB1" w:rsidRPr="00620A0B">
        <w:t>u</w:t>
      </w:r>
      <w:r w:rsidR="002940C7" w:rsidRPr="00620A0B">
        <w:t>s</w:t>
      </w:r>
      <w:r w:rsidR="00583DB1" w:rsidRPr="00620A0B">
        <w:t>i</w:t>
      </w:r>
      <w:r w:rsidR="002940C7" w:rsidRPr="00620A0B">
        <w:t xml:space="preserve"> ziņojuma par mantas neesamību sastādīšana</w:t>
      </w:r>
      <w:r w:rsidR="00583DB1" w:rsidRPr="00620A0B">
        <w:t xml:space="preserve">, </w:t>
      </w:r>
      <w:r w:rsidR="00DB347C" w:rsidRPr="00620A0B">
        <w:t>nav</w:t>
      </w:r>
      <w:r w:rsidR="00583DB1" w:rsidRPr="00620A0B">
        <w:t xml:space="preserve"> vienīgie tā sauktie </w:t>
      </w:r>
      <w:r w:rsidR="0018715E">
        <w:t>"</w:t>
      </w:r>
      <w:r w:rsidR="00583DB1" w:rsidRPr="00620A0B">
        <w:t>tukšie procesi</w:t>
      </w:r>
      <w:r w:rsidR="0018715E">
        <w:t>"</w:t>
      </w:r>
      <w:r w:rsidR="009A5966" w:rsidRPr="00620A0B">
        <w:t xml:space="preserve">. </w:t>
      </w:r>
      <w:r w:rsidR="00583DB1" w:rsidRPr="00620A0B">
        <w:t>P</w:t>
      </w:r>
      <w:r w:rsidR="009A5966" w:rsidRPr="00620A0B">
        <w:t xml:space="preserve">raksē ir daudz juridiskās personas maksātnespējas procesu, kuros formāli tiek sastādīts mantas pārdošanas plāns, </w:t>
      </w:r>
      <w:r w:rsidR="00061228" w:rsidRPr="00620A0B">
        <w:t>kuros naudas līdzekļi</w:t>
      </w:r>
      <w:r w:rsidR="00721F79">
        <w:t xml:space="preserve"> ir tikai šķietami</w:t>
      </w:r>
      <w:r w:rsidR="001345FA" w:rsidRPr="00620A0B">
        <w:t xml:space="preserve">, jo </w:t>
      </w:r>
      <w:r w:rsidR="000B7FAB" w:rsidRPr="00620A0B">
        <w:t xml:space="preserve">aktīvu realizācijas rezultātā iegūtie līdzekļi </w:t>
      </w:r>
      <w:r w:rsidR="001345FA" w:rsidRPr="00620A0B">
        <w:t xml:space="preserve">nesasniedz pat juridiskās personas maksātnespējas procesa </w:t>
      </w:r>
      <w:r w:rsidR="00617BEF" w:rsidRPr="00620A0B">
        <w:t xml:space="preserve">depozīta apmēru. </w:t>
      </w:r>
      <w:r w:rsidR="000045F1">
        <w:t>MKD</w:t>
      </w:r>
      <w:r w:rsidR="00617BEF" w:rsidRPr="00620A0B">
        <w:t xml:space="preserve"> ir aprēķināji</w:t>
      </w:r>
      <w:r w:rsidR="00075B96">
        <w:t>s un statistikā regulāri izmanto datus</w:t>
      </w:r>
      <w:r w:rsidR="00617BEF" w:rsidRPr="00620A0B">
        <w:t xml:space="preserve">, ka </w:t>
      </w:r>
      <w:r w:rsidR="002D2738" w:rsidRPr="00620A0B">
        <w:t xml:space="preserve">faktiski </w:t>
      </w:r>
      <w:r w:rsidR="0018715E">
        <w:t>"</w:t>
      </w:r>
      <w:r w:rsidR="002D2738" w:rsidRPr="00620A0B">
        <w:t>tukš</w:t>
      </w:r>
      <w:r w:rsidR="00551112" w:rsidRPr="00620A0B">
        <w:t>o</w:t>
      </w:r>
      <w:r w:rsidR="002D2738" w:rsidRPr="00620A0B">
        <w:t xml:space="preserve"> proces</w:t>
      </w:r>
      <w:r w:rsidR="00551112" w:rsidRPr="00620A0B">
        <w:t>u</w:t>
      </w:r>
      <w:r w:rsidR="0018715E">
        <w:t>"</w:t>
      </w:r>
      <w:r w:rsidR="002D2738" w:rsidRPr="00620A0B">
        <w:t xml:space="preserve"> </w:t>
      </w:r>
      <w:r w:rsidR="00551112" w:rsidRPr="00620A0B">
        <w:t xml:space="preserve">īpatsvars </w:t>
      </w:r>
      <w:r w:rsidR="002D2738" w:rsidRPr="00620A0B">
        <w:t xml:space="preserve">2016. gadā </w:t>
      </w:r>
      <w:r w:rsidR="00551112" w:rsidRPr="00620A0B">
        <w:t xml:space="preserve">sastādīja 63 %, bet 2017. gadā – </w:t>
      </w:r>
      <w:r w:rsidR="00466A94" w:rsidRPr="00620A0B">
        <w:t>61 %.</w:t>
      </w:r>
      <w:r w:rsidR="00846EB4">
        <w:t xml:space="preserve"> Ņemot vērā faktiskās situācijas atšķirību no formāliem gadījumiem, kad maksātnespējas process tiek izbeigts, jo sastādīts ziņojums par mantas neesamību</w:t>
      </w:r>
      <w:r w:rsidR="00B41D12">
        <w:t xml:space="preserve">, secināms, </w:t>
      </w:r>
      <w:r w:rsidR="00AB55E9">
        <w:t xml:space="preserve">ka arī turpmāk </w:t>
      </w:r>
      <w:r w:rsidR="00D24D40">
        <w:t>p</w:t>
      </w:r>
      <w:r w:rsidR="00AB55E9">
        <w:t xml:space="preserve">amatnostādņu un </w:t>
      </w:r>
      <w:r w:rsidR="00D24D40">
        <w:t>p</w:t>
      </w:r>
      <w:r w:rsidR="00AB55E9">
        <w:t xml:space="preserve">lāna </w:t>
      </w:r>
      <w:r w:rsidR="00014BAE">
        <w:t>īstenošana jābalsta nevis formālo gadījumu samazināšanā, bet gan faktisko</w:t>
      </w:r>
      <w:r w:rsidR="00CD6EB7">
        <w:t>.</w:t>
      </w:r>
    </w:p>
    <w:p w14:paraId="745DCAB1" w14:textId="77777777" w:rsidR="00667F3E" w:rsidRPr="00620A0B" w:rsidRDefault="00667F3E" w:rsidP="00147C23"/>
    <w:p w14:paraId="2607E1AC" w14:textId="61066222" w:rsidR="007E3087" w:rsidRPr="00620A0B" w:rsidRDefault="007E3087" w:rsidP="00147C23">
      <w:r w:rsidRPr="00620A0B">
        <w:t xml:space="preserve">Pamatnostādņu 3. politikas rezultātā </w:t>
      </w:r>
      <w:r w:rsidR="0018715E">
        <w:t>"</w:t>
      </w:r>
      <w:r w:rsidRPr="00620A0B">
        <w:t>Fiziskās personas maksātnespējas process godprātīgam parādniekam nodrošina otro iespēju</w:t>
      </w:r>
      <w:r w:rsidR="0018715E">
        <w:t>"</w:t>
      </w:r>
      <w:r w:rsidRPr="00620A0B">
        <w:t xml:space="preserve"> </w:t>
      </w:r>
      <w:r w:rsidR="00C722D3" w:rsidRPr="00620A0B">
        <w:t>ietverts</w:t>
      </w:r>
      <w:r w:rsidRPr="00620A0B">
        <w:t xml:space="preserve"> 1 rezultatīvais rādītājs – </w:t>
      </w:r>
      <w:r w:rsidRPr="00620A0B">
        <w:rPr>
          <w:b/>
        </w:rPr>
        <w:t xml:space="preserve">gada laikā sekmīgi pabeigto saistību dzēšanas procedūru skaits pret pabeigto fiziskās personas </w:t>
      </w:r>
      <w:r w:rsidRPr="00620A0B">
        <w:rPr>
          <w:b/>
        </w:rPr>
        <w:lastRenderedPageBreak/>
        <w:t>maksātnespējas procesa skaitu</w:t>
      </w:r>
      <w:r w:rsidRPr="00620A0B">
        <w:t>.</w:t>
      </w:r>
      <w:r w:rsidR="00C722D3" w:rsidRPr="00620A0B">
        <w:t xml:space="preserve"> Minētais rezultatīvais rādītājs </w:t>
      </w:r>
      <w:r w:rsidR="006118F3" w:rsidRPr="00620A0B">
        <w:t>2016. gadā pārsniegts par 1 %, t.i., 83 % sekmīgi pabeigtu saistību dzēšanas procedūru vietā</w:t>
      </w:r>
      <w:r w:rsidR="00EE70C9" w:rsidRPr="00620A0B">
        <w:t>,</w:t>
      </w:r>
      <w:r w:rsidR="006118F3" w:rsidRPr="00620A0B">
        <w:t xml:space="preserve"> </w:t>
      </w:r>
      <w:r w:rsidR="00EE70C9" w:rsidRPr="00620A0B">
        <w:t xml:space="preserve">sekmīgi pabeidzot 84 % saistību dzēšanas procedūras, savukārt 2017. gadā </w:t>
      </w:r>
      <w:r w:rsidR="005A0F5F" w:rsidRPr="00620A0B">
        <w:t>rādītājs izpildīts atbilstoši plānotajam – sekmīgi pabeidzot 85 % saistību dzēšanas procedūras.</w:t>
      </w:r>
      <w:r w:rsidR="00D06A7C">
        <w:t xml:space="preserve"> Līdz ar to novirze gan 2016. gadā, gan 2017. gadā ir pavisam neliela un nerada šaubas par </w:t>
      </w:r>
      <w:r w:rsidR="00A86E08">
        <w:t>īstenoto pasākumu rezultativitāti.</w:t>
      </w:r>
    </w:p>
    <w:p w14:paraId="3B937FD9" w14:textId="6641810C" w:rsidR="007E3087" w:rsidRPr="00620A0B" w:rsidRDefault="007E3087" w:rsidP="00147C23"/>
    <w:p w14:paraId="50728E8D" w14:textId="1D635FA8" w:rsidR="0019348A" w:rsidRPr="00620A0B" w:rsidRDefault="007E3087" w:rsidP="00147C23">
      <w:r w:rsidRPr="00620A0B">
        <w:t xml:space="preserve">Pamatnostādņu 4. politikas rezultātā </w:t>
      </w:r>
      <w:r w:rsidR="0018715E">
        <w:t>"</w:t>
      </w:r>
      <w:r w:rsidRPr="00620A0B">
        <w:t>Administratori ir kvalificēti un profesionāli speciālisti, kas efektīvi pilda savus pienākumus (un rūpējas par profesijas prestižu)</w:t>
      </w:r>
      <w:r w:rsidR="0018715E">
        <w:t>"</w:t>
      </w:r>
      <w:r w:rsidRPr="00620A0B">
        <w:t xml:space="preserve"> paredzēti 3 rezultatīvie rādītāji:</w:t>
      </w:r>
    </w:p>
    <w:p w14:paraId="1326A36C" w14:textId="04B7F7CD" w:rsidR="0019348A" w:rsidRPr="00620A0B" w:rsidRDefault="0019348A" w:rsidP="00147C23">
      <w:pPr>
        <w:pStyle w:val="Sarakstarindkopa"/>
        <w:numPr>
          <w:ilvl w:val="0"/>
          <w:numId w:val="6"/>
        </w:numPr>
        <w:ind w:left="1134"/>
      </w:pPr>
      <w:r w:rsidRPr="00620A0B">
        <w:t>Administratoru skaits, kuru lietvedībā esošais lietu skaits atšķiras no vidēja lietu skaita vienam administratoram</w:t>
      </w:r>
      <w:r w:rsidR="007E3087" w:rsidRPr="00620A0B">
        <w:t>;</w:t>
      </w:r>
    </w:p>
    <w:p w14:paraId="4C5828EC" w14:textId="20AA3064" w:rsidR="0019348A" w:rsidRPr="00620A0B" w:rsidRDefault="0019348A" w:rsidP="00147C23">
      <w:pPr>
        <w:pStyle w:val="Sarakstarindkopa"/>
        <w:numPr>
          <w:ilvl w:val="0"/>
          <w:numId w:val="6"/>
        </w:numPr>
        <w:ind w:left="1134"/>
      </w:pPr>
      <w:r w:rsidRPr="00620A0B">
        <w:t>Sodīto administratoru skaits pret kopējo administratoru skaitu (procentuāli)</w:t>
      </w:r>
      <w:r w:rsidR="007E3087" w:rsidRPr="00620A0B">
        <w:t>;</w:t>
      </w:r>
    </w:p>
    <w:p w14:paraId="7D0D2BEC" w14:textId="6CC1818D" w:rsidR="0019348A" w:rsidRPr="00620A0B" w:rsidRDefault="0019348A" w:rsidP="00147C23">
      <w:pPr>
        <w:pStyle w:val="Sarakstarindkopa"/>
        <w:numPr>
          <w:ilvl w:val="0"/>
          <w:numId w:val="6"/>
        </w:numPr>
        <w:ind w:left="1134"/>
      </w:pPr>
      <w:r w:rsidRPr="00620A0B">
        <w:t>Procesu skaits, kuros pārkāpumu dēļ ir nomainīts administrators, pret aktīvo lietu skaitu</w:t>
      </w:r>
      <w:r w:rsidR="007E3087" w:rsidRPr="00620A0B">
        <w:t>.</w:t>
      </w:r>
    </w:p>
    <w:p w14:paraId="08F8C7BF" w14:textId="77777777" w:rsidR="007E3087" w:rsidRPr="00620A0B" w:rsidRDefault="007E3087" w:rsidP="00147C23"/>
    <w:p w14:paraId="6550A3C2" w14:textId="3233554F" w:rsidR="003A320B" w:rsidRPr="00620A0B" w:rsidRDefault="00AE3595" w:rsidP="00147C23">
      <w:pPr>
        <w:rPr>
          <w:sz w:val="28"/>
        </w:rPr>
      </w:pPr>
      <w:r w:rsidRPr="00620A0B">
        <w:rPr>
          <w:szCs w:val="23"/>
        </w:rPr>
        <w:t xml:space="preserve">2016. gadā nebija neviens, bet </w:t>
      </w:r>
      <w:r w:rsidR="00302A56" w:rsidRPr="00620A0B">
        <w:rPr>
          <w:szCs w:val="23"/>
        </w:rPr>
        <w:t xml:space="preserve">2017. gadā bija septiņi </w:t>
      </w:r>
      <w:r w:rsidR="00302A56" w:rsidRPr="00620A0B">
        <w:rPr>
          <w:b/>
          <w:szCs w:val="23"/>
        </w:rPr>
        <w:t>administratori</w:t>
      </w:r>
      <w:r w:rsidR="003A320B" w:rsidRPr="00620A0B">
        <w:rPr>
          <w:b/>
          <w:szCs w:val="23"/>
        </w:rPr>
        <w:t>, kuru lietvedībā esošais lietu skaits atšķiras no vidēja lietu skaita vienam administratoram</w:t>
      </w:r>
      <w:r w:rsidR="003A320B" w:rsidRPr="00620A0B">
        <w:rPr>
          <w:szCs w:val="23"/>
        </w:rPr>
        <w:t xml:space="preserve">. </w:t>
      </w:r>
      <w:r w:rsidR="00302A56" w:rsidRPr="00620A0B">
        <w:rPr>
          <w:szCs w:val="23"/>
        </w:rPr>
        <w:t xml:space="preserve">Faktiskais rezultāts </w:t>
      </w:r>
      <w:r w:rsidR="00BD1357" w:rsidRPr="00620A0B">
        <w:rPr>
          <w:szCs w:val="23"/>
        </w:rPr>
        <w:t xml:space="preserve">ievērojami atšķiras no plānotā, veidojot </w:t>
      </w:r>
      <w:r w:rsidR="00195C2D" w:rsidRPr="00620A0B">
        <w:rPr>
          <w:szCs w:val="23"/>
        </w:rPr>
        <w:t xml:space="preserve">novirzi par </w:t>
      </w:r>
      <w:r w:rsidR="0010284D" w:rsidRPr="00620A0B">
        <w:rPr>
          <w:szCs w:val="23"/>
        </w:rPr>
        <w:t xml:space="preserve">attiecīgi 27 un </w:t>
      </w:r>
      <w:r w:rsidR="00195C2D" w:rsidRPr="00620A0B">
        <w:rPr>
          <w:szCs w:val="23"/>
        </w:rPr>
        <w:t>18 administratoriem, t.i., tas</w:t>
      </w:r>
      <w:r w:rsidR="003A320B" w:rsidRPr="00620A0B">
        <w:rPr>
          <w:szCs w:val="23"/>
        </w:rPr>
        <w:t xml:space="preserve"> ir mazāk, nekā </w:t>
      </w:r>
      <w:r w:rsidR="00D24D40">
        <w:rPr>
          <w:szCs w:val="23"/>
        </w:rPr>
        <w:t>p</w:t>
      </w:r>
      <w:r w:rsidR="003A320B" w:rsidRPr="00620A0B">
        <w:rPr>
          <w:szCs w:val="23"/>
        </w:rPr>
        <w:t xml:space="preserve">amatnostādnēs plānotais – </w:t>
      </w:r>
      <w:r w:rsidR="002A1AFF" w:rsidRPr="00620A0B">
        <w:rPr>
          <w:szCs w:val="23"/>
        </w:rPr>
        <w:t xml:space="preserve">27 administratori 2016. gadā un </w:t>
      </w:r>
      <w:r w:rsidR="003A320B" w:rsidRPr="00620A0B">
        <w:rPr>
          <w:szCs w:val="23"/>
        </w:rPr>
        <w:t>25</w:t>
      </w:r>
      <w:r w:rsidR="002A1AFF" w:rsidRPr="00620A0B">
        <w:rPr>
          <w:szCs w:val="23"/>
        </w:rPr>
        <w:t> </w:t>
      </w:r>
      <w:r w:rsidR="003A320B" w:rsidRPr="00620A0B">
        <w:rPr>
          <w:szCs w:val="23"/>
        </w:rPr>
        <w:t>administratori</w:t>
      </w:r>
      <w:r w:rsidR="002A1AFF" w:rsidRPr="00620A0B">
        <w:rPr>
          <w:szCs w:val="23"/>
        </w:rPr>
        <w:t xml:space="preserve"> 2017. gadā</w:t>
      </w:r>
      <w:r w:rsidR="00195C2D" w:rsidRPr="00620A0B">
        <w:rPr>
          <w:szCs w:val="23"/>
        </w:rPr>
        <w:t xml:space="preserve">. Novirze vērtējama </w:t>
      </w:r>
      <w:r w:rsidR="003A320B" w:rsidRPr="00620A0B">
        <w:rPr>
          <w:szCs w:val="23"/>
        </w:rPr>
        <w:t>pozitīvi, jo administratoru noslodze izlīdzinās, tādējādi veicinot gan administratoru profesionālās kvalifikācijas uzturēšanu, gan kvalitatīvāku pienākumu izpildi. Viens no apstākļiem, kas sekmēja minētā rādītāja uzlabošanos, ir grozījumu Ministru kabineta 2010.</w:t>
      </w:r>
      <w:r w:rsidR="00B346AB" w:rsidRPr="00620A0B">
        <w:rPr>
          <w:szCs w:val="23"/>
        </w:rPr>
        <w:t> </w:t>
      </w:r>
      <w:r w:rsidR="003A320B" w:rsidRPr="00620A0B">
        <w:rPr>
          <w:szCs w:val="23"/>
        </w:rPr>
        <w:t>gada 26.</w:t>
      </w:r>
      <w:r w:rsidR="00B346AB" w:rsidRPr="00620A0B">
        <w:rPr>
          <w:szCs w:val="23"/>
        </w:rPr>
        <w:t> </w:t>
      </w:r>
      <w:r w:rsidR="003A320B" w:rsidRPr="00620A0B">
        <w:rPr>
          <w:szCs w:val="23"/>
        </w:rPr>
        <w:t>oktobra noteikumos Nr.</w:t>
      </w:r>
      <w:r w:rsidR="00B346AB" w:rsidRPr="00620A0B">
        <w:rPr>
          <w:szCs w:val="23"/>
        </w:rPr>
        <w:t> </w:t>
      </w:r>
      <w:r w:rsidR="003A320B" w:rsidRPr="00620A0B">
        <w:rPr>
          <w:szCs w:val="23"/>
        </w:rPr>
        <w:t xml:space="preserve">1001 </w:t>
      </w:r>
      <w:r w:rsidR="0018715E">
        <w:rPr>
          <w:szCs w:val="23"/>
        </w:rPr>
        <w:t>"</w:t>
      </w:r>
      <w:r w:rsidR="003A320B" w:rsidRPr="00620A0B">
        <w:rPr>
          <w:szCs w:val="23"/>
        </w:rPr>
        <w:t>Kārtība, kādā Maksātnespējas administrācija izvēlas un iesaka tiesai maksātnespējas procesa administratora amata kandidātu</w:t>
      </w:r>
      <w:r w:rsidR="0018715E">
        <w:rPr>
          <w:szCs w:val="23"/>
        </w:rPr>
        <w:t>"</w:t>
      </w:r>
      <w:r w:rsidR="003A320B" w:rsidRPr="00620A0B">
        <w:rPr>
          <w:szCs w:val="23"/>
        </w:rPr>
        <w:t xml:space="preserve"> spēkā stāšanās 2017.</w:t>
      </w:r>
      <w:r w:rsidR="00B346AB" w:rsidRPr="00620A0B">
        <w:rPr>
          <w:szCs w:val="23"/>
        </w:rPr>
        <w:t> </w:t>
      </w:r>
      <w:r w:rsidR="003A320B" w:rsidRPr="00620A0B">
        <w:rPr>
          <w:szCs w:val="23"/>
        </w:rPr>
        <w:t>gada 17.</w:t>
      </w:r>
      <w:r w:rsidR="00B346AB" w:rsidRPr="00620A0B">
        <w:rPr>
          <w:szCs w:val="23"/>
        </w:rPr>
        <w:t> </w:t>
      </w:r>
      <w:r w:rsidR="003A320B" w:rsidRPr="00620A0B">
        <w:rPr>
          <w:szCs w:val="23"/>
        </w:rPr>
        <w:t>novembrī</w:t>
      </w:r>
      <w:r w:rsidR="005A5A96" w:rsidRPr="00620A0B">
        <w:rPr>
          <w:szCs w:val="23"/>
        </w:rPr>
        <w:t>, ar ko mainīta atteikšanās no administratora iecelšanas konkrētā procesā, paredzot, ka administratora amata kandidātam jāvēršas tiesā</w:t>
      </w:r>
      <w:r w:rsidR="003A320B" w:rsidRPr="00620A0B">
        <w:rPr>
          <w:szCs w:val="23"/>
        </w:rPr>
        <w:t>.</w:t>
      </w:r>
      <w:r w:rsidR="005A5A96" w:rsidRPr="00620A0B">
        <w:rPr>
          <w:szCs w:val="23"/>
        </w:rPr>
        <w:t xml:space="preserve"> Tomēr </w:t>
      </w:r>
      <w:r w:rsidR="00813D01" w:rsidRPr="00620A0B">
        <w:rPr>
          <w:szCs w:val="23"/>
        </w:rPr>
        <w:t>lielāko ietekmi radīja iepriekš jau pieminētais administratoru profesijas reformas 1. posms</w:t>
      </w:r>
      <w:r w:rsidR="008E0C9E" w:rsidRPr="00620A0B">
        <w:rPr>
          <w:szCs w:val="23"/>
        </w:rPr>
        <w:t>, kā arī turpmākie pasākumi saistībā ar tās otro posmu, ar ko ne tikai pārskatīja kvalifikācijas pārbaudes kārtību, bet arī nostiprināja disciplināratbildības piemērošanu.</w:t>
      </w:r>
    </w:p>
    <w:p w14:paraId="406DB336" w14:textId="17DFCB97" w:rsidR="0023713A" w:rsidRPr="00620A0B" w:rsidRDefault="00C30DFC" w:rsidP="00147C23">
      <w:r w:rsidRPr="00620A0B">
        <w:t xml:space="preserve">Novērtējuma periodā vērojams lielāks </w:t>
      </w:r>
      <w:r w:rsidR="00CA0390" w:rsidRPr="00620A0B">
        <w:rPr>
          <w:b/>
        </w:rPr>
        <w:t>sodīto administratoru skaits pret kopējo administratoru skaitu</w:t>
      </w:r>
      <w:r w:rsidR="00CA0390" w:rsidRPr="00620A0B">
        <w:t xml:space="preserve">, nekā bija plānots. 2016. gadā rezultatīvais rādītājs pārsniegts par </w:t>
      </w:r>
      <w:r w:rsidR="00A75520" w:rsidRPr="00620A0B">
        <w:t>5 %, t.i., 21 %</w:t>
      </w:r>
      <w:r w:rsidR="002B7C27" w:rsidRPr="00620A0B">
        <w:t xml:space="preserve"> vietā sodot 26 % administratorus</w:t>
      </w:r>
      <w:r w:rsidR="00AC7901" w:rsidRPr="00620A0B">
        <w:t xml:space="preserve">. 2017. gadā </w:t>
      </w:r>
      <w:r w:rsidR="0023713A" w:rsidRPr="00620A0B">
        <w:t xml:space="preserve">rezultatīvais rādītājs, turpinot nozares </w:t>
      </w:r>
      <w:r w:rsidR="00F11EE7" w:rsidRPr="00620A0B">
        <w:t xml:space="preserve">akūto problēmu un sabiedrības neuzticības </w:t>
      </w:r>
      <w:r w:rsidR="009C6F59" w:rsidRPr="00620A0B">
        <w:t>mazināšanu, bija plānots lielāks attiecībā pret 2016. gadu – 25 %. Faktiski pieaugošā prognoze tika izpildīta, to pārsniedzot par 1 %.</w:t>
      </w:r>
      <w:r w:rsidR="003A1104" w:rsidRPr="00620A0B">
        <w:t xml:space="preserve"> Novirzes skaidrojamas ar administratoru rīcības uzraudzības</w:t>
      </w:r>
      <w:r w:rsidR="00E90909" w:rsidRPr="00620A0B">
        <w:t xml:space="preserve"> pasākumu pastiprināšanu</w:t>
      </w:r>
      <w:r w:rsidR="00B43DC8" w:rsidRPr="00620A0B">
        <w:t>, kā arī ar administratoru skaita samazināšanos.</w:t>
      </w:r>
    </w:p>
    <w:p w14:paraId="2FE7B9BC" w14:textId="6E3386A7" w:rsidR="0023713A" w:rsidRPr="00620A0B" w:rsidRDefault="000C4FA7" w:rsidP="00147C23">
      <w:r w:rsidRPr="00620A0B">
        <w:t xml:space="preserve">Tāpat uzraudzības pasākumu ietekme konstatējama attiecībā uz </w:t>
      </w:r>
      <w:r w:rsidRPr="00620A0B">
        <w:rPr>
          <w:b/>
        </w:rPr>
        <w:t>procesu skaitu, kuros pārkāpumu dēļ ir nomainīts administr</w:t>
      </w:r>
      <w:r w:rsidR="00355F7D" w:rsidRPr="00620A0B">
        <w:rPr>
          <w:b/>
        </w:rPr>
        <w:t>ators, pret aktīvo lietu skaitu</w:t>
      </w:r>
      <w:r w:rsidR="00355F7D" w:rsidRPr="00620A0B">
        <w:t>. 2017. gadā arī šim rezultatīvajam rādītājam bija paredzēts pieaug</w:t>
      </w:r>
      <w:r w:rsidR="00981AC6" w:rsidRPr="00620A0B">
        <w:t>ums par 0,3 % salīdzinājumā ar 2016. gadu, tam palielinoties no 2,5 % līdz 2,8 %. Tomēr faktiski novērtējuma periodā rādītājs nav sasniegts</w:t>
      </w:r>
      <w:r w:rsidR="00764B77" w:rsidRPr="00620A0B">
        <w:t>, 2016. gadā veidojot novirzi par -0,9 %, bet 2017. gadā – par -0,6 %</w:t>
      </w:r>
      <w:r w:rsidR="004D0E89">
        <w:t>.</w:t>
      </w:r>
    </w:p>
    <w:p w14:paraId="5DFB662E" w14:textId="77777777" w:rsidR="007E3087" w:rsidRPr="00620A0B" w:rsidRDefault="007E3087" w:rsidP="00147C23"/>
    <w:p w14:paraId="39357BAA" w14:textId="3C266D37" w:rsidR="00F4302F" w:rsidRPr="00620A0B" w:rsidRDefault="00F4302F" w:rsidP="00147C23">
      <w:r w:rsidRPr="00620A0B">
        <w:br w:type="page"/>
      </w:r>
    </w:p>
    <w:p w14:paraId="50B92116" w14:textId="3F84E474" w:rsidR="00F4302F" w:rsidRPr="00620A0B" w:rsidRDefault="00AE65C7" w:rsidP="00147C23">
      <w:pPr>
        <w:pStyle w:val="Virsraksts1"/>
        <w:ind w:firstLine="0"/>
      </w:pPr>
      <w:bookmarkStart w:id="6" w:name="_Toc13817867"/>
      <w:r w:rsidRPr="00620A0B">
        <w:lastRenderedPageBreak/>
        <w:t>5</w:t>
      </w:r>
      <w:r w:rsidR="00F4302F" w:rsidRPr="00620A0B">
        <w:t>. </w:t>
      </w:r>
      <w:r w:rsidR="00B74AC3" w:rsidRPr="00620A0B">
        <w:t>T</w:t>
      </w:r>
      <w:r w:rsidR="00F4302F" w:rsidRPr="00620A0B">
        <w:t>urpmākā rīcība</w:t>
      </w:r>
      <w:bookmarkEnd w:id="6"/>
    </w:p>
    <w:p w14:paraId="73549CE6" w14:textId="64A3FFF1" w:rsidR="00F4302F" w:rsidRPr="00620A0B" w:rsidRDefault="00F4302F" w:rsidP="00147C23"/>
    <w:p w14:paraId="029EA58F" w14:textId="635E6BE2" w:rsidR="00385A7C" w:rsidRPr="00620A0B" w:rsidRDefault="002A3975" w:rsidP="00147C23">
      <w:r w:rsidRPr="00620A0B">
        <w:t xml:space="preserve">Izvērtējot </w:t>
      </w:r>
      <w:r w:rsidR="005F2421">
        <w:t>p</w:t>
      </w:r>
      <w:r w:rsidRPr="00620A0B">
        <w:t xml:space="preserve">amatnostādnes un </w:t>
      </w:r>
      <w:r w:rsidR="005F2421">
        <w:t>p</w:t>
      </w:r>
      <w:r w:rsidRPr="00620A0B">
        <w:t xml:space="preserve">lānu, kā arī </w:t>
      </w:r>
      <w:r w:rsidR="00B20D39" w:rsidRPr="00620A0B">
        <w:t xml:space="preserve">jau īstenotos vai uzsāktos uzdevumus un pasākumus, secināms, ka arī turpmāk jāturpina virzīties uz </w:t>
      </w:r>
      <w:r w:rsidR="005F2421">
        <w:t>p</w:t>
      </w:r>
      <w:r w:rsidR="00C47B66" w:rsidRPr="00620A0B">
        <w:t>amatnostādn</w:t>
      </w:r>
      <w:r w:rsidR="000E1EA1">
        <w:t>ē</w:t>
      </w:r>
      <w:r w:rsidR="00C47B66" w:rsidRPr="00620A0B">
        <w:t xml:space="preserve">s jau definēto </w:t>
      </w:r>
      <w:r w:rsidR="00B20D39" w:rsidRPr="00620A0B">
        <w:t xml:space="preserve">maksātnespējas politikas </w:t>
      </w:r>
      <w:r w:rsidR="00C47B66" w:rsidRPr="00620A0B">
        <w:t>virsmērķi – sekmēt komercdarbības un iedzīvotāju ekonomisko aktivitāti, veicināt pievilcīgas uzņēmējdarbības vides veidošanu un investīciju piesaisti.</w:t>
      </w:r>
    </w:p>
    <w:p w14:paraId="7C7F19F3" w14:textId="7BAD939D" w:rsidR="003749CE" w:rsidRPr="00620A0B" w:rsidRDefault="00BC2E4D" w:rsidP="00147C23">
      <w:r w:rsidRPr="00620A0B">
        <w:t xml:space="preserve">Pamatnostādņu un </w:t>
      </w:r>
      <w:r w:rsidR="005F2421">
        <w:t>p</w:t>
      </w:r>
      <w:r w:rsidRPr="00620A0B">
        <w:t xml:space="preserve">lāna </w:t>
      </w:r>
      <w:r w:rsidR="00F959CC" w:rsidRPr="00620A0B">
        <w:t xml:space="preserve">īstenošanas sākumposmā veiktās darbības </w:t>
      </w:r>
      <w:r w:rsidR="00394BEC" w:rsidRPr="00620A0B">
        <w:t xml:space="preserve">bija vērstas </w:t>
      </w:r>
      <w:r w:rsidR="00EF718E" w:rsidRPr="00620A0B">
        <w:t xml:space="preserve">uz </w:t>
      </w:r>
      <w:r w:rsidR="00E61F2A" w:rsidRPr="00620A0B">
        <w:t xml:space="preserve">nozarē </w:t>
      </w:r>
      <w:r w:rsidR="00EF718E" w:rsidRPr="00620A0B">
        <w:t xml:space="preserve">akūti </w:t>
      </w:r>
      <w:r w:rsidR="00E61F2A" w:rsidRPr="00620A0B">
        <w:t xml:space="preserve">traucējošo apstākļu likvidēšanu tās </w:t>
      </w:r>
      <w:r w:rsidR="0024690E" w:rsidRPr="00620A0B">
        <w:t>efektīvākai un kvalitatīvākai darbībai. Tomēr turpmāk uzmanīb</w:t>
      </w:r>
      <w:r w:rsidR="00464C98" w:rsidRPr="00620A0B">
        <w:t>a</w:t>
      </w:r>
      <w:r w:rsidR="0024690E" w:rsidRPr="00620A0B">
        <w:t xml:space="preserve"> </w:t>
      </w:r>
      <w:r w:rsidR="00642608" w:rsidRPr="00620A0B">
        <w:t xml:space="preserve">jākoncentrē uz </w:t>
      </w:r>
      <w:r w:rsidR="005F2421">
        <w:t>p</w:t>
      </w:r>
      <w:r w:rsidR="00642608" w:rsidRPr="00620A0B">
        <w:t xml:space="preserve">amatnostādnēs definētā maksātnespējas politikas </w:t>
      </w:r>
      <w:r w:rsidR="009600FA" w:rsidRPr="00620A0B">
        <w:t xml:space="preserve">virsmērķa turpmāku īstenošanu, mazinot uzsvaru uz kontroli, </w:t>
      </w:r>
      <w:r w:rsidR="00042D50" w:rsidRPr="00620A0B">
        <w:t xml:space="preserve">un </w:t>
      </w:r>
      <w:r w:rsidR="009600FA" w:rsidRPr="00620A0B">
        <w:t xml:space="preserve">tā vietā stiprinot </w:t>
      </w:r>
      <w:r w:rsidR="00A52B05" w:rsidRPr="00620A0B">
        <w:t xml:space="preserve">mehānismus, kas radītu ilglaicīgāku pozitīvo ietekmi </w:t>
      </w:r>
      <w:r w:rsidR="00464C98" w:rsidRPr="00620A0B">
        <w:t>kā uz katru indivīdu atsevišķi, tā arī tā kreditoriem un sabiedrību kopumā.</w:t>
      </w:r>
    </w:p>
    <w:p w14:paraId="569FDCE2" w14:textId="34ECEE58" w:rsidR="00464C98" w:rsidRPr="00620A0B" w:rsidRDefault="00464C98" w:rsidP="00147C23">
      <w:pPr>
        <w:rPr>
          <w:b/>
        </w:rPr>
      </w:pPr>
      <w:r w:rsidRPr="00620A0B">
        <w:rPr>
          <w:b/>
        </w:rPr>
        <w:t xml:space="preserve">Turpmākais fokuss – otrā iespēja </w:t>
      </w:r>
      <w:r w:rsidR="007749FC" w:rsidRPr="00620A0B">
        <w:rPr>
          <w:b/>
        </w:rPr>
        <w:t>fiziskām un juridiskām personām.</w:t>
      </w:r>
    </w:p>
    <w:p w14:paraId="008070D4" w14:textId="77777777" w:rsidR="00C017FF" w:rsidRPr="00620A0B" w:rsidRDefault="00C017FF" w:rsidP="00147C23"/>
    <w:p w14:paraId="2960EA1F" w14:textId="64288490" w:rsidR="008F01AD" w:rsidRPr="00620A0B" w:rsidRDefault="006271C4" w:rsidP="00147C23">
      <w:r w:rsidRPr="00620A0B">
        <w:t xml:space="preserve">Pamatnostādņu virsmērķis jāskata kopsakarā ar </w:t>
      </w:r>
      <w:r w:rsidR="005F2421">
        <w:t>p</w:t>
      </w:r>
      <w:r w:rsidRPr="00620A0B">
        <w:t xml:space="preserve">amatnostādņu un </w:t>
      </w:r>
      <w:r w:rsidR="005F2421">
        <w:t>p</w:t>
      </w:r>
      <w:r w:rsidRPr="00620A0B">
        <w:t xml:space="preserve">lāna pieņemšanas laikā </w:t>
      </w:r>
      <w:r w:rsidR="00C017FF" w:rsidRPr="00620A0B">
        <w:t xml:space="preserve">nezināmiem, </w:t>
      </w:r>
      <w:r w:rsidRPr="00620A0B">
        <w:t>neide</w:t>
      </w:r>
      <w:r w:rsidR="00EC33CE" w:rsidRPr="00620A0B">
        <w:t>ntificējamiem ārējiem apstākļiem</w:t>
      </w:r>
      <w:r w:rsidR="00042D50" w:rsidRPr="00620A0B">
        <w:t> </w:t>
      </w:r>
      <w:r w:rsidR="00EC33CE" w:rsidRPr="00620A0B">
        <w:t xml:space="preserve">– </w:t>
      </w:r>
      <w:r w:rsidR="00B11651">
        <w:t>d</w:t>
      </w:r>
      <w:r w:rsidR="00EC33CE" w:rsidRPr="00620A0B">
        <w:t>irektīv</w:t>
      </w:r>
      <w:r w:rsidR="008678DF">
        <w:t>u</w:t>
      </w:r>
      <w:r w:rsidR="00EC33CE" w:rsidRPr="00620A0B">
        <w:t xml:space="preserve"> un </w:t>
      </w:r>
      <w:r w:rsidR="007C0348">
        <w:t>SVF</w:t>
      </w:r>
      <w:r w:rsidR="00175AB3" w:rsidRPr="00620A0B">
        <w:t xml:space="preserve"> </w:t>
      </w:r>
      <w:r w:rsidR="00C017FF" w:rsidRPr="00620A0B">
        <w:t xml:space="preserve">novērtējuma ietvaros </w:t>
      </w:r>
      <w:r w:rsidR="00175AB3" w:rsidRPr="00620A0B">
        <w:t>sniegtajām rekomendācijām.</w:t>
      </w:r>
      <w:r w:rsidR="002233D9" w:rsidRPr="00620A0B">
        <w:t xml:space="preserve"> </w:t>
      </w:r>
    </w:p>
    <w:p w14:paraId="3A4263E5" w14:textId="17F26D25" w:rsidR="00CC0DB2" w:rsidRPr="00620A0B" w:rsidRDefault="002233D9" w:rsidP="00147C23">
      <w:r w:rsidRPr="00620A0B">
        <w:t>Vairāka</w:t>
      </w:r>
      <w:r w:rsidR="00ED1FDA" w:rsidRPr="00620A0B">
        <w:t>s</w:t>
      </w:r>
      <w:r w:rsidRPr="00620A0B">
        <w:t xml:space="preserve"> </w:t>
      </w:r>
      <w:r w:rsidR="007C0348">
        <w:t>SVF</w:t>
      </w:r>
      <w:r w:rsidR="008F01AD" w:rsidRPr="00620A0B">
        <w:t xml:space="preserve"> </w:t>
      </w:r>
      <w:r w:rsidR="00776CC5" w:rsidRPr="00620A0B">
        <w:t>rekomendācijas</w:t>
      </w:r>
      <w:r w:rsidR="009E6058" w:rsidRPr="00620A0B">
        <w:t xml:space="preserve">, tai skaitā arī tādas, kas vērstas uz </w:t>
      </w:r>
      <w:r w:rsidR="002B2B2F">
        <w:t>TAP</w:t>
      </w:r>
      <w:r w:rsidR="00753015" w:rsidRPr="00620A0B">
        <w:t xml:space="preserve"> reformēšanu reorganizācijas un maksātnespējas procesa balansa </w:t>
      </w:r>
      <w:r w:rsidR="00B97A67" w:rsidRPr="00620A0B">
        <w:t>nodrošināšanai</w:t>
      </w:r>
      <w:r w:rsidR="009E6058" w:rsidRPr="00620A0B">
        <w:t>,</w:t>
      </w:r>
      <w:r w:rsidR="00776CC5" w:rsidRPr="00620A0B">
        <w:t xml:space="preserve"> </w:t>
      </w:r>
      <w:r w:rsidR="007C0348">
        <w:t>SVF</w:t>
      </w:r>
      <w:r w:rsidR="00ED1FDA" w:rsidRPr="00620A0B">
        <w:t xml:space="preserve"> aicina </w:t>
      </w:r>
      <w:r w:rsidR="009E6058" w:rsidRPr="00620A0B">
        <w:t>īstenot jau tuvākajā laikā</w:t>
      </w:r>
      <w:r w:rsidR="004A0E41" w:rsidRPr="00620A0B">
        <w:t xml:space="preserve"> (12–24 mēnešu laikā)</w:t>
      </w:r>
      <w:r w:rsidR="009E6058" w:rsidRPr="00620A0B">
        <w:t>.</w:t>
      </w:r>
      <w:r w:rsidR="00B97A67" w:rsidRPr="00620A0B">
        <w:t xml:space="preserve"> </w:t>
      </w:r>
      <w:r w:rsidR="00042D50" w:rsidRPr="00620A0B">
        <w:t>Rekomendāciju</w:t>
      </w:r>
      <w:r w:rsidR="00B97A67" w:rsidRPr="00620A0B">
        <w:t xml:space="preserve"> </w:t>
      </w:r>
      <w:r w:rsidR="001B57B9" w:rsidRPr="00620A0B">
        <w:t xml:space="preserve">ieviešanas termiņš </w:t>
      </w:r>
      <w:r w:rsidR="009D3DE5" w:rsidRPr="00620A0B">
        <w:t xml:space="preserve">uzskatāms kā ieteikums </w:t>
      </w:r>
      <w:r w:rsidR="006E38FD" w:rsidRPr="00620A0B">
        <w:t xml:space="preserve">politikas plānotājiem </w:t>
      </w:r>
      <w:r w:rsidR="009F1567" w:rsidRPr="00620A0B">
        <w:t xml:space="preserve">jomas </w:t>
      </w:r>
      <w:r w:rsidR="009D3DE5" w:rsidRPr="00620A0B">
        <w:t xml:space="preserve">turpmākās </w:t>
      </w:r>
      <w:r w:rsidR="009F1567" w:rsidRPr="00620A0B">
        <w:t>attīstības plānošanai, taču nerada Latvijas Republikai nekādas juridiskas sekas.</w:t>
      </w:r>
      <w:r w:rsidR="00CC0DB2" w:rsidRPr="00620A0B">
        <w:t xml:space="preserve"> Līdz ar to </w:t>
      </w:r>
      <w:r w:rsidR="007C0348">
        <w:t>SVF</w:t>
      </w:r>
      <w:r w:rsidR="00CC0DB2" w:rsidRPr="00620A0B">
        <w:t xml:space="preserve"> </w:t>
      </w:r>
      <w:r w:rsidR="005054F5" w:rsidRPr="00620A0B">
        <w:t>rekomendāciju</w:t>
      </w:r>
      <w:r w:rsidR="00CC0DB2" w:rsidRPr="00620A0B">
        <w:t xml:space="preserve"> ieviešana salāgo</w:t>
      </w:r>
      <w:r w:rsidR="000B5431">
        <w:t>jam</w:t>
      </w:r>
      <w:r w:rsidR="00CC0DB2" w:rsidRPr="00620A0B">
        <w:t xml:space="preserve">a ar </w:t>
      </w:r>
      <w:r w:rsidR="00B11651">
        <w:t>d</w:t>
      </w:r>
      <w:r w:rsidR="00CC0DB2" w:rsidRPr="00620A0B">
        <w:t>irektīvas transponēšanas termiņu</w:t>
      </w:r>
      <w:r w:rsidR="009F112F">
        <w:t xml:space="preserve"> – 2021. gada 17. jūlij</w:t>
      </w:r>
      <w:r w:rsidR="00ED1C8B">
        <w:t>u</w:t>
      </w:r>
      <w:r w:rsidR="009F112F">
        <w:t xml:space="preserve"> (ar </w:t>
      </w:r>
      <w:r w:rsidR="00ED1C8B">
        <w:t>dažiem izņēmumiem)</w:t>
      </w:r>
      <w:r w:rsidR="00CC0DB2" w:rsidRPr="00620A0B">
        <w:t>.</w:t>
      </w:r>
    </w:p>
    <w:p w14:paraId="611BA1E3" w14:textId="2D791BF0" w:rsidR="00DB6845" w:rsidRPr="00620A0B" w:rsidRDefault="00DB6845" w:rsidP="00147C23">
      <w:r w:rsidRPr="00620A0B">
        <w:t xml:space="preserve">Arī </w:t>
      </w:r>
      <w:r w:rsidR="002936B4" w:rsidRPr="00620A0B">
        <w:t xml:space="preserve">ar </w:t>
      </w:r>
      <w:r w:rsidR="00B11651">
        <w:t>d</w:t>
      </w:r>
      <w:r w:rsidRPr="00620A0B">
        <w:t>irektīv</w:t>
      </w:r>
      <w:r w:rsidR="00ED1C8B">
        <w:t>u</w:t>
      </w:r>
      <w:r w:rsidRPr="00620A0B">
        <w:t xml:space="preserve"> galvenokārt </w:t>
      </w:r>
      <w:r w:rsidR="00CD4FEF" w:rsidRPr="00620A0B">
        <w:t>risināti jautājumi par</w:t>
      </w:r>
      <w:r w:rsidRPr="00620A0B">
        <w:t xml:space="preserve"> otrās iespējas izveidi un pilnveidošanu, kas saskan ar </w:t>
      </w:r>
      <w:r w:rsidR="00ED1C8B">
        <w:t>p</w:t>
      </w:r>
      <w:r w:rsidRPr="00620A0B">
        <w:t xml:space="preserve">amatnostādņu un </w:t>
      </w:r>
      <w:r w:rsidR="00ED1C8B">
        <w:t>p</w:t>
      </w:r>
      <w:r w:rsidRPr="00620A0B">
        <w:t>lāna turpmākajiem pasākumiem.</w:t>
      </w:r>
    </w:p>
    <w:p w14:paraId="180DB610" w14:textId="1470D593" w:rsidR="003C4F2A" w:rsidRPr="00620A0B" w:rsidRDefault="002F6F16" w:rsidP="00147C23">
      <w:r w:rsidRPr="00620A0B">
        <w:t>Direktīvas transponēšana</w:t>
      </w:r>
      <w:r w:rsidR="00F717D8" w:rsidRPr="00620A0B">
        <w:t>i</w:t>
      </w:r>
      <w:r w:rsidRPr="00620A0B">
        <w:t xml:space="preserve"> </w:t>
      </w:r>
      <w:r w:rsidR="00F717D8" w:rsidRPr="00620A0B">
        <w:t>paredzēt</w:t>
      </w:r>
      <w:r w:rsidR="00530A05" w:rsidRPr="00620A0B">
        <w:t>i</w:t>
      </w:r>
      <w:r w:rsidR="00F717D8" w:rsidRPr="00620A0B">
        <w:t xml:space="preserve"> </w:t>
      </w:r>
      <w:r w:rsidRPr="00620A0B">
        <w:t xml:space="preserve">divi gadi no </w:t>
      </w:r>
      <w:r w:rsidR="00B11651">
        <w:t>tās</w:t>
      </w:r>
      <w:r w:rsidR="00B11651" w:rsidRPr="00620A0B">
        <w:t xml:space="preserve"> </w:t>
      </w:r>
      <w:r w:rsidR="004B1B97" w:rsidRPr="00620A0B">
        <w:t xml:space="preserve">spēkā stāšanās, vienlaikus paredzot iespēju īpašu sarežģījumu gadījumā transponēšanas termiņu pagarināt </w:t>
      </w:r>
      <w:r w:rsidR="00F717D8" w:rsidRPr="00620A0B">
        <w:t>p</w:t>
      </w:r>
      <w:r w:rsidR="004B1B97" w:rsidRPr="00620A0B">
        <w:t xml:space="preserve">ar vēl vienu gadu. </w:t>
      </w:r>
      <w:r w:rsidR="00C37CF1" w:rsidRPr="00620A0B">
        <w:t xml:space="preserve">Direktīva </w:t>
      </w:r>
      <w:r w:rsidR="00C06381">
        <w:t>pieņemta 2019. gada 20. jūnijā un stājās spēkā 2019. gada 16. jūlijā.</w:t>
      </w:r>
    </w:p>
    <w:p w14:paraId="76076F64" w14:textId="43160AC8" w:rsidR="00175AB3" w:rsidRPr="00620A0B" w:rsidRDefault="00CF593C" w:rsidP="00147C23">
      <w:r w:rsidRPr="00620A0B">
        <w:t>Lai gan</w:t>
      </w:r>
      <w:r w:rsidR="00C34E3A" w:rsidRPr="00620A0B">
        <w:t xml:space="preserve"> </w:t>
      </w:r>
      <w:r w:rsidR="00061D87">
        <w:t>d</w:t>
      </w:r>
      <w:r w:rsidR="00C34E3A" w:rsidRPr="00620A0B">
        <w:t xml:space="preserve">irektīva neparedz </w:t>
      </w:r>
      <w:r w:rsidR="0051762C" w:rsidRPr="00620A0B">
        <w:t xml:space="preserve">būtiskus jauninājumus vai </w:t>
      </w:r>
      <w:r w:rsidR="00C34E3A" w:rsidRPr="00620A0B">
        <w:t>principiālas atkāpes no Latvijā</w:t>
      </w:r>
      <w:r w:rsidR="00E26536" w:rsidRPr="00620A0B">
        <w:t xml:space="preserve"> pašlaik esošā maksātnespējas jomas (plašākā izpratnē)</w:t>
      </w:r>
      <w:r w:rsidRPr="00620A0B">
        <w:t xml:space="preserve"> regulējuma</w:t>
      </w:r>
      <w:r w:rsidR="00E26536" w:rsidRPr="00620A0B">
        <w:t xml:space="preserve">, </w:t>
      </w:r>
      <w:r w:rsidR="00F65915" w:rsidRPr="00620A0B">
        <w:t>jāņem vērā, ka maksātnespējas jomas pilnveidošanā tradicionāli iesaistītas daudz un dažādas institūcijas</w:t>
      </w:r>
      <w:r w:rsidR="00611DB1" w:rsidRPr="00620A0B">
        <w:t xml:space="preserve">. Nereti šīm institūcijām ir būtiskas viedokļu atšķirības, kuru atrisināšana </w:t>
      </w:r>
      <w:r w:rsidRPr="00620A0B">
        <w:t xml:space="preserve">prasa ne mazums pūļu </w:t>
      </w:r>
      <w:r w:rsidR="0051762C" w:rsidRPr="00620A0B">
        <w:t xml:space="preserve">un ir laikietilpīga. Tādējādi sagaidāms, ka </w:t>
      </w:r>
      <w:r w:rsidR="00061D87">
        <w:t>d</w:t>
      </w:r>
      <w:r w:rsidR="0051762C" w:rsidRPr="00620A0B">
        <w:t>irektīvas transponēšanai būs nepieciešam</w:t>
      </w:r>
      <w:r w:rsidR="004D3822" w:rsidRPr="00620A0B">
        <w:t>s</w:t>
      </w:r>
      <w:r w:rsidR="0051762C" w:rsidRPr="00620A0B">
        <w:t xml:space="preserve"> vismaz </w:t>
      </w:r>
      <w:r w:rsidR="004D3822" w:rsidRPr="00620A0B">
        <w:t>sākotnējais termiņš</w:t>
      </w:r>
      <w:r w:rsidR="004D4697" w:rsidRPr="00620A0B">
        <w:t>, k</w:t>
      </w:r>
      <w:r w:rsidR="00CF1EF4" w:rsidRPr="00620A0B">
        <w:t xml:space="preserve">as </w:t>
      </w:r>
      <w:r w:rsidR="003C4F2A" w:rsidRPr="00620A0B">
        <w:t>savukārt</w:t>
      </w:r>
      <w:r w:rsidR="004D3822" w:rsidRPr="00620A0B">
        <w:t xml:space="preserve"> nozīmē, ka </w:t>
      </w:r>
      <w:r w:rsidR="00CC4DF6">
        <w:t>d</w:t>
      </w:r>
      <w:r w:rsidR="003C4F2A" w:rsidRPr="00620A0B">
        <w:t xml:space="preserve">irektīvas prasību izpilde sagaidāma ne agrāk kā 2021. gada </w:t>
      </w:r>
      <w:r w:rsidR="00CC4DF6">
        <w:t>jūlijā</w:t>
      </w:r>
      <w:r w:rsidR="00C017FF" w:rsidRPr="00620A0B">
        <w:t xml:space="preserve">, ja ne 2022. gada </w:t>
      </w:r>
      <w:r w:rsidR="00CC4DF6">
        <w:t>jūlijā</w:t>
      </w:r>
      <w:r w:rsidR="000361BD" w:rsidRPr="00620A0B">
        <w:t>.</w:t>
      </w:r>
    </w:p>
    <w:p w14:paraId="71DAC0BD" w14:textId="3BF76468" w:rsidR="007852D8" w:rsidRPr="00620A0B" w:rsidRDefault="007852D8" w:rsidP="00147C23">
      <w:r w:rsidRPr="00620A0B">
        <w:t xml:space="preserve">Pamatnostādnes un </w:t>
      </w:r>
      <w:r w:rsidR="00CC4DF6">
        <w:t>p</w:t>
      </w:r>
      <w:r w:rsidRPr="00620A0B">
        <w:t>lāns</w:t>
      </w:r>
      <w:r w:rsidR="00500674" w:rsidRPr="00620A0B">
        <w:t xml:space="preserve"> jau šobrīd</w:t>
      </w:r>
      <w:r w:rsidRPr="00620A0B">
        <w:t xml:space="preserve"> paredz dažādus uzdevumus un pasākumus</w:t>
      </w:r>
      <w:r w:rsidR="00500674" w:rsidRPr="00620A0B">
        <w:t xml:space="preserve">, lai pilnveidotu otro iespēju fiziskām un juridiskām personām. </w:t>
      </w:r>
      <w:r w:rsidR="002B2B2F">
        <w:t>TAP</w:t>
      </w:r>
      <w:r w:rsidR="0065572B" w:rsidRPr="00620A0B">
        <w:t xml:space="preserve"> gadījumā </w:t>
      </w:r>
      <w:r w:rsidR="00346FEC" w:rsidRPr="00620A0B">
        <w:t xml:space="preserve">uzdevumi un pasākumi bija jāīsteno 2018. gadā. </w:t>
      </w:r>
      <w:r w:rsidR="00314929" w:rsidRPr="00620A0B">
        <w:t xml:space="preserve">Savukārt fiziskās personas maksātnespējas procesa pilnveidošanas jautājumi </w:t>
      </w:r>
      <w:r w:rsidR="00CC4DF6">
        <w:t xml:space="preserve">bija </w:t>
      </w:r>
      <w:r w:rsidR="00314929" w:rsidRPr="00620A0B">
        <w:t>atrisināmi 2019. gada pirmajā pusē.</w:t>
      </w:r>
    </w:p>
    <w:p w14:paraId="3D6179FB" w14:textId="4E493AFE" w:rsidR="00F80074" w:rsidRPr="00620A0B" w:rsidRDefault="00DE3ED0" w:rsidP="00147C23">
      <w:r w:rsidRPr="00620A0B">
        <w:t xml:space="preserve">Kā jebkurā likumdošanas procesā, arī Eiropas Savienības tiesību aktu </w:t>
      </w:r>
      <w:r w:rsidR="009930A6" w:rsidRPr="00620A0B">
        <w:t xml:space="preserve">projektu izskatīšanas gaitā projekts var tikt pat būtiski mainīts vairākas reizes. Izpildot </w:t>
      </w:r>
      <w:r w:rsidR="00CC4DF6">
        <w:t>p</w:t>
      </w:r>
      <w:r w:rsidR="009930A6" w:rsidRPr="00620A0B">
        <w:t xml:space="preserve">amatnostādņu uzdevumus un </w:t>
      </w:r>
      <w:r w:rsidR="00CC4DF6">
        <w:t>p</w:t>
      </w:r>
      <w:r w:rsidR="009930A6" w:rsidRPr="00620A0B">
        <w:t xml:space="preserve">lāna pasākumus, kas attiecas uz </w:t>
      </w:r>
      <w:r w:rsidR="00B06D7A">
        <w:t>TAP</w:t>
      </w:r>
      <w:r w:rsidR="00B564EB" w:rsidRPr="00620A0B">
        <w:t xml:space="preserve"> un fiziskās personas maksātnespējas procesa regulējumu un kas saskan ar </w:t>
      </w:r>
      <w:r w:rsidR="00CC4DF6">
        <w:t>d</w:t>
      </w:r>
      <w:r w:rsidR="00B564EB" w:rsidRPr="00620A0B">
        <w:t>irektīv</w:t>
      </w:r>
      <w:r w:rsidR="00CC4DF6">
        <w:t>ā</w:t>
      </w:r>
      <w:r w:rsidR="00B564EB" w:rsidRPr="00620A0B">
        <w:t xml:space="preserve"> risinātajiem elementiem, pastāvēja nopietni draudi nepamatotiem normatīvo aktu plūdiem</w:t>
      </w:r>
      <w:r w:rsidR="00E74633" w:rsidRPr="00620A0B">
        <w:t xml:space="preserve">, ja pieņemtās </w:t>
      </w:r>
      <w:r w:rsidR="00CC4DF6">
        <w:t>d</w:t>
      </w:r>
      <w:r w:rsidR="00E74633" w:rsidRPr="00620A0B">
        <w:t>irektīvas prasības atšķirtos.</w:t>
      </w:r>
      <w:r w:rsidR="002F68B3" w:rsidRPr="00620A0B">
        <w:t xml:space="preserve"> </w:t>
      </w:r>
      <w:r w:rsidR="00FC612F" w:rsidRPr="00620A0B">
        <w:t>Turklāt g</w:t>
      </w:r>
      <w:r w:rsidR="002F68B3" w:rsidRPr="00620A0B">
        <w:t xml:space="preserve">rozījumi maksātnespējas jomu regulējošos normatīvajos aktos nereti </w:t>
      </w:r>
      <w:r w:rsidR="00DE3B89" w:rsidRPr="00620A0B">
        <w:t>ir apgrūtinoš</w:t>
      </w:r>
      <w:r w:rsidR="00CC4DF6">
        <w:t>i</w:t>
      </w:r>
      <w:r w:rsidR="00DE3B89" w:rsidRPr="00620A0B">
        <w:t xml:space="preserve"> tiesību normu piemērotājiem</w:t>
      </w:r>
      <w:r w:rsidR="00FC612F" w:rsidRPr="00620A0B">
        <w:t>, tā kā nereti izmaiņas var piemērot tikai no jauna uzsāktiem procesiem</w:t>
      </w:r>
      <w:r w:rsidR="00DE3B89" w:rsidRPr="00620A0B">
        <w:t>.</w:t>
      </w:r>
      <w:r w:rsidR="002B58E9" w:rsidRPr="00620A0B">
        <w:t xml:space="preserve"> Tā rezultātā tiesību normu piemērotājiem nākas </w:t>
      </w:r>
      <w:r w:rsidR="00C9393F" w:rsidRPr="00620A0B">
        <w:t xml:space="preserve">viena likuma darbības laikā </w:t>
      </w:r>
      <w:r w:rsidR="002148C2" w:rsidRPr="00620A0B">
        <w:t>vienlaikus piemērot</w:t>
      </w:r>
      <w:r w:rsidR="00C9393F" w:rsidRPr="00620A0B">
        <w:t xml:space="preserve"> vairākas tā redakcijas, kas rada risku </w:t>
      </w:r>
      <w:r w:rsidR="00660774" w:rsidRPr="00620A0B">
        <w:t>nekvalitatīvai tiesību normu piemērošanai</w:t>
      </w:r>
      <w:r w:rsidR="00C9393F" w:rsidRPr="00620A0B">
        <w:t>.</w:t>
      </w:r>
      <w:r w:rsidR="00DE3B89" w:rsidRPr="00620A0B">
        <w:t xml:space="preserve"> </w:t>
      </w:r>
      <w:r w:rsidR="00FC612F" w:rsidRPr="00620A0B">
        <w:t xml:space="preserve">Līdz ar to TM, aktīvi iesaistoties </w:t>
      </w:r>
      <w:r w:rsidR="00CC4DF6">
        <w:t>d</w:t>
      </w:r>
      <w:r w:rsidR="00FC612F" w:rsidRPr="00620A0B">
        <w:t xml:space="preserve">irektīvas precizēšanā, saredzēja riskus pārsteidzīgu grozījumu izdarīšanai </w:t>
      </w:r>
      <w:r w:rsidR="002B2B2F">
        <w:t>TAP</w:t>
      </w:r>
      <w:r w:rsidR="00FC612F" w:rsidRPr="00620A0B">
        <w:t xml:space="preserve"> un fiziskās personas maksātnespējas procesa regulējuma mainīšanai pirms </w:t>
      </w:r>
      <w:r w:rsidR="00CC4DF6">
        <w:t>d</w:t>
      </w:r>
      <w:r w:rsidR="00FC612F" w:rsidRPr="00620A0B">
        <w:t>irektīvas pieņemšanas.</w:t>
      </w:r>
    </w:p>
    <w:p w14:paraId="500AFC5E" w14:textId="6A690FBE" w:rsidR="00B01990" w:rsidRDefault="00C87F03" w:rsidP="00147C23">
      <w:r>
        <w:t xml:space="preserve">Vienlaikus starp </w:t>
      </w:r>
      <w:r w:rsidR="00CC4DF6">
        <w:t>p</w:t>
      </w:r>
      <w:r>
        <w:t>lāna pasākumiem, iespējams, ir arī tādi vēl neizpildītie pasākumi, kas jau ir zaudējuši to aktualitāti kopumā vai kādā daļā.</w:t>
      </w:r>
    </w:p>
    <w:p w14:paraId="099BA24E" w14:textId="5B8DD452" w:rsidR="00D25E78" w:rsidRDefault="00660774" w:rsidP="00147C23">
      <w:pPr>
        <w:rPr>
          <w:b/>
        </w:rPr>
      </w:pPr>
      <w:r w:rsidRPr="00620A0B">
        <w:lastRenderedPageBreak/>
        <w:t xml:space="preserve">Ievērojot minēto, </w:t>
      </w:r>
      <w:r w:rsidR="004E2A73" w:rsidRPr="00620A0B">
        <w:rPr>
          <w:b/>
        </w:rPr>
        <w:t xml:space="preserve">pašlaik noteiktais </w:t>
      </w:r>
      <w:r w:rsidR="00CC4DF6">
        <w:rPr>
          <w:b/>
        </w:rPr>
        <w:t>p</w:t>
      </w:r>
      <w:r w:rsidR="004E2A73" w:rsidRPr="00620A0B">
        <w:rPr>
          <w:b/>
        </w:rPr>
        <w:t>lāna īstenošanas termiņš</w:t>
      </w:r>
      <w:r w:rsidR="005E3FD4">
        <w:rPr>
          <w:b/>
        </w:rPr>
        <w:t xml:space="preserve">, kā arī tajā iekļautie </w:t>
      </w:r>
      <w:r w:rsidR="00FD13B5">
        <w:rPr>
          <w:b/>
        </w:rPr>
        <w:t>pasākumi</w:t>
      </w:r>
      <w:r w:rsidR="004E2A73" w:rsidRPr="00620A0B">
        <w:rPr>
          <w:b/>
        </w:rPr>
        <w:t xml:space="preserve"> būtu</w:t>
      </w:r>
      <w:r w:rsidR="007763CD">
        <w:rPr>
          <w:b/>
        </w:rPr>
        <w:t xml:space="preserve"> jāpagarina un jāprecizē</w:t>
      </w:r>
      <w:r w:rsidR="004E2A73" w:rsidRPr="00FB03A2">
        <w:t>.</w:t>
      </w:r>
    </w:p>
    <w:p w14:paraId="6C552840" w14:textId="47C89332" w:rsidR="00B01990" w:rsidRDefault="00FB03A2" w:rsidP="00147C23">
      <w:r>
        <w:t xml:space="preserve">Papildus norādāms, ka, aktualizējot </w:t>
      </w:r>
      <w:r w:rsidR="00CC4DF6">
        <w:t>p</w:t>
      </w:r>
      <w:r>
        <w:t xml:space="preserve">lānu, būtiska nozīme būs arī </w:t>
      </w:r>
      <w:r w:rsidR="00897E7C">
        <w:t>2018. gada 14. decembrī pieņemtajam pētījumam </w:t>
      </w:r>
      <w:r w:rsidR="0018715E">
        <w:t>"</w:t>
      </w:r>
      <w:r w:rsidR="00897E7C">
        <w:t>Fiziskās personas maksātnespējas procesa piemērošanas nosacījumi un tā efektivitāte</w:t>
      </w:r>
      <w:r w:rsidR="0018715E">
        <w:t>"</w:t>
      </w:r>
      <w:r w:rsidR="00897E7C">
        <w:rPr>
          <w:rStyle w:val="Vresatsauce"/>
        </w:rPr>
        <w:footnoteReference w:id="26"/>
      </w:r>
      <w:r w:rsidR="00897E7C">
        <w:t xml:space="preserve"> un </w:t>
      </w:r>
      <w:r w:rsidR="009459B0">
        <w:t>2018. gada 31. decembrī pieņemtajam pētījumam </w:t>
      </w:r>
      <w:r w:rsidR="0018715E">
        <w:t>"</w:t>
      </w:r>
      <w:r w:rsidR="00205A02" w:rsidRPr="00205A02">
        <w:t>Tiesiskās aizsardzības procesa regulējuma efektivitāte</w:t>
      </w:r>
      <w:r w:rsidR="0018715E">
        <w:t>"</w:t>
      </w:r>
      <w:r w:rsidR="009459B0">
        <w:rPr>
          <w:rStyle w:val="Vresatsauce"/>
        </w:rPr>
        <w:footnoteReference w:id="27"/>
      </w:r>
      <w:r w:rsidR="007F786D">
        <w:t>, kā arī abos pētījumos izdarītajiem secinājumiem</w:t>
      </w:r>
      <w:r w:rsidR="00205A02">
        <w:t>.</w:t>
      </w:r>
    </w:p>
    <w:p w14:paraId="4E41D1FB" w14:textId="54C8B2DD" w:rsidR="001429C2" w:rsidRDefault="001429C2" w:rsidP="00147C23">
      <w:r>
        <w:t>Arīdzan norādāms, ka Maksātnespējas jautājumu konsultatīvās padomes 2019. gada 7. maija sēdē tās dalībniek</w:t>
      </w:r>
      <w:r w:rsidR="000E1EA1">
        <w:t>i</w:t>
      </w:r>
      <w:r>
        <w:t xml:space="preserve"> pauda atbalstu </w:t>
      </w:r>
      <w:r w:rsidR="00CC4DF6">
        <w:t>p</w:t>
      </w:r>
      <w:r w:rsidR="00A65216">
        <w:t xml:space="preserve">lāna īstenošanas termiņa pagarināšanai kontekstā ar turpmāk plānotajām darbībām, tai skaitā kontekstā ar </w:t>
      </w:r>
      <w:r w:rsidR="00CC4DF6">
        <w:t>d</w:t>
      </w:r>
      <w:r w:rsidR="00A65216">
        <w:t xml:space="preserve">irektīvu un </w:t>
      </w:r>
      <w:r w:rsidR="00FD34B3">
        <w:t>SVF novērtējuma rezultātā sastādīt</w:t>
      </w:r>
      <w:r w:rsidR="002403B8">
        <w:t>aj</w:t>
      </w:r>
      <w:r w:rsidR="00FD34B3">
        <w:t>ā ziņojum</w:t>
      </w:r>
      <w:r w:rsidR="002403B8">
        <w:t>ā ietverto ieteikumu</w:t>
      </w:r>
      <w:r w:rsidR="00FD34B3">
        <w:t xml:space="preserve"> izpildi</w:t>
      </w:r>
      <w:r w:rsidR="00A65216">
        <w:t>.</w:t>
      </w:r>
    </w:p>
    <w:p w14:paraId="788AAC61" w14:textId="7B03ECB6" w:rsidR="00A65216" w:rsidRDefault="00A65216" w:rsidP="00147C23"/>
    <w:p w14:paraId="13D52373" w14:textId="231A667E" w:rsidR="001445B3" w:rsidRPr="00620A0B" w:rsidRDefault="003C61D6" w:rsidP="00147C23">
      <w:r w:rsidRPr="00620A0B">
        <w:t xml:space="preserve">Kopš uzsākta </w:t>
      </w:r>
      <w:r w:rsidR="00CC4DF6">
        <w:t>p</w:t>
      </w:r>
      <w:r w:rsidRPr="00620A0B">
        <w:t xml:space="preserve">amatnostādņu un </w:t>
      </w:r>
      <w:r w:rsidR="00CC4DF6">
        <w:t>p</w:t>
      </w:r>
      <w:r w:rsidRPr="00620A0B">
        <w:t xml:space="preserve">lāna īstenošana, jautājumus ir radījuši </w:t>
      </w:r>
      <w:r w:rsidR="00A831F7" w:rsidRPr="00620A0B">
        <w:t xml:space="preserve">daži </w:t>
      </w:r>
      <w:r w:rsidR="00CC4DF6">
        <w:t>p</w:t>
      </w:r>
      <w:r w:rsidR="0079349C">
        <w:t>amatnostādnēs</w:t>
      </w:r>
      <w:r w:rsidRPr="00620A0B">
        <w:t xml:space="preserve"> </w:t>
      </w:r>
      <w:r w:rsidR="00FE4C9C" w:rsidRPr="00620A0B">
        <w:t>definētie rezultatīvie rādītāji un to iegūšanas metodoloģija.</w:t>
      </w:r>
    </w:p>
    <w:p w14:paraId="123761FA" w14:textId="3E2A4810" w:rsidR="00CC7175" w:rsidRPr="00620A0B" w:rsidRDefault="00935B21" w:rsidP="00147C23">
      <w:r w:rsidRPr="00620A0B">
        <w:t xml:space="preserve">Laikā, kad maksātnespējas joma un sabiedrības uzskati par to </w:t>
      </w:r>
      <w:r w:rsidR="00231A6E" w:rsidRPr="00620A0B">
        <w:t>uzlabojušies</w:t>
      </w:r>
      <w:r w:rsidR="00CC7175" w:rsidRPr="00620A0B">
        <w:t xml:space="preserve">, rezultatīvie rādītāji par </w:t>
      </w:r>
      <w:r w:rsidR="002D4D28" w:rsidRPr="00620A0B">
        <w:t xml:space="preserve">sodīto administratoru skaitu vai </w:t>
      </w:r>
      <w:r w:rsidR="0011458D" w:rsidRPr="00620A0B">
        <w:t xml:space="preserve">procesu </w:t>
      </w:r>
      <w:r w:rsidR="0066627D" w:rsidRPr="00620A0B">
        <w:t>skaitu, kuros pārkāpumu dēļ ir nomainīts administrators,</w:t>
      </w:r>
      <w:r w:rsidR="0011458D" w:rsidRPr="00620A0B">
        <w:t xml:space="preserve"> </w:t>
      </w:r>
      <w:r w:rsidR="0066627D" w:rsidRPr="00620A0B">
        <w:t>šķiet problemātisk</w:t>
      </w:r>
      <w:r w:rsidR="00A955CC" w:rsidRPr="00620A0B">
        <w:t>i</w:t>
      </w:r>
      <w:r w:rsidR="0066627D" w:rsidRPr="00620A0B">
        <w:t xml:space="preserve"> t</w:t>
      </w:r>
      <w:r w:rsidR="00A955CC" w:rsidRPr="00620A0B">
        <w:t>o</w:t>
      </w:r>
      <w:r w:rsidR="0066627D" w:rsidRPr="00620A0B">
        <w:t xml:space="preserve"> saknē.</w:t>
      </w:r>
      <w:r w:rsidR="00A955CC" w:rsidRPr="00620A0B">
        <w:t xml:space="preserve"> </w:t>
      </w:r>
      <w:r w:rsidR="00D9117C" w:rsidRPr="00620A0B">
        <w:t>M</w:t>
      </w:r>
      <w:r w:rsidR="00AB44C3" w:rsidRPr="00620A0B">
        <w:t xml:space="preserve">inētie rādītāji rada draudus, ka </w:t>
      </w:r>
      <w:r w:rsidR="00031E78" w:rsidRPr="00620A0B">
        <w:t xml:space="preserve">to nozīmi praksē saredz ne tik daudz kā </w:t>
      </w:r>
      <w:r w:rsidR="00C06F57" w:rsidRPr="00620A0B">
        <w:t xml:space="preserve">administratoru rīcības kvalitātes </w:t>
      </w:r>
      <w:r w:rsidR="00EC3AB0" w:rsidRPr="00620A0B">
        <w:t xml:space="preserve">rādītāju, bet gan kā rādītāju par uzraugošās institūcijas </w:t>
      </w:r>
      <w:r w:rsidR="00D9117C" w:rsidRPr="00620A0B">
        <w:t xml:space="preserve">piemērotajiem sodiem. Nav šaubu, ka </w:t>
      </w:r>
      <w:r w:rsidR="000C79D9" w:rsidRPr="00620A0B">
        <w:t>ikvienai</w:t>
      </w:r>
      <w:r w:rsidR="00D9117C" w:rsidRPr="00620A0B">
        <w:t xml:space="preserve"> uzraugošai institūcijai ir jāreaģē </w:t>
      </w:r>
      <w:r w:rsidR="000C79D9" w:rsidRPr="00620A0B">
        <w:t xml:space="preserve">tās uzraugāmo subjektu </w:t>
      </w:r>
      <w:r w:rsidR="00D9117C" w:rsidRPr="00620A0B">
        <w:t xml:space="preserve">rīcības prettiesiskuma gadījumā, </w:t>
      </w:r>
      <w:r w:rsidR="009C13EF" w:rsidRPr="00620A0B">
        <w:t xml:space="preserve">tomēr </w:t>
      </w:r>
      <w:r w:rsidR="006D522C">
        <w:t>sankciju</w:t>
      </w:r>
      <w:r w:rsidR="009C13EF" w:rsidRPr="00620A0B">
        <w:t xml:space="preserve"> </w:t>
      </w:r>
      <w:r w:rsidR="000C7547">
        <w:t>piemērošanai</w:t>
      </w:r>
      <w:r w:rsidR="009C13EF" w:rsidRPr="00620A0B">
        <w:t xml:space="preserve"> nebūtu jābūt </w:t>
      </w:r>
      <w:r w:rsidR="000C79D9" w:rsidRPr="00620A0B">
        <w:t>nevienas uzraugošās institūcijas pašmērķim.</w:t>
      </w:r>
    </w:p>
    <w:p w14:paraId="29E34B23" w14:textId="46DAC1D2" w:rsidR="00FE4C9C" w:rsidRPr="00620A0B" w:rsidRDefault="007C0348" w:rsidP="00147C23">
      <w:r>
        <w:t>SVF</w:t>
      </w:r>
      <w:r w:rsidR="00E026A4" w:rsidRPr="00620A0B">
        <w:t xml:space="preserve"> </w:t>
      </w:r>
      <w:r w:rsidR="00611218">
        <w:t xml:space="preserve">novērtējuma </w:t>
      </w:r>
      <w:r w:rsidR="00E026A4" w:rsidRPr="00620A0B">
        <w:t xml:space="preserve">ziņojumā </w:t>
      </w:r>
      <w:r w:rsidR="00E1685B" w:rsidRPr="00620A0B">
        <w:t xml:space="preserve">ietverti vairāki ierosinājumi attiecībā uz </w:t>
      </w:r>
      <w:r w:rsidR="0066449F" w:rsidRPr="00620A0B">
        <w:t>datiem, kuru iekļaušana</w:t>
      </w:r>
      <w:r w:rsidR="00C30E09" w:rsidRPr="00620A0B">
        <w:t xml:space="preserve"> Elektroniskajā maksātnespējas uzskaites sistēmā varētu sniegt būtisku pienesumu</w:t>
      </w:r>
      <w:r w:rsidR="00AA2549" w:rsidRPr="00620A0B">
        <w:t>. Tomēr kontekstā ar pašlaik pieejamiem izejas datiem īpaši izceļamas daž</w:t>
      </w:r>
      <w:r w:rsidR="0000397D" w:rsidRPr="00620A0B">
        <w:t xml:space="preserve">as nianses, ko būtu lietderīgi izvērtēt saistībā ar </w:t>
      </w:r>
      <w:r w:rsidR="00CC4DF6">
        <w:t>p</w:t>
      </w:r>
      <w:r w:rsidR="0000397D" w:rsidRPr="00620A0B">
        <w:t>amatnostādņu rezultatīvajiem rādītājiem.</w:t>
      </w:r>
    </w:p>
    <w:p w14:paraId="50CB3733" w14:textId="49C098DA" w:rsidR="0073314A" w:rsidRPr="00620A0B" w:rsidRDefault="007C7E37" w:rsidP="00147C23">
      <w:r w:rsidRPr="00620A0B">
        <w:t xml:space="preserve">Dažādu rādītāju atspoguļošana vidējā lieluma veidolā ir standarta prakse. Tomēr atsevišķiem rādītājiem varētu būt lietderīgi </w:t>
      </w:r>
      <w:r w:rsidR="004846DC" w:rsidRPr="00620A0B">
        <w:t xml:space="preserve">paralēli iekļaut arī tā mediānu, lai iegūtu </w:t>
      </w:r>
      <w:r w:rsidR="003E23E3" w:rsidRPr="00620A0B">
        <w:t>skaidrāku priekšstatu par tipisk</w:t>
      </w:r>
      <w:r w:rsidR="00AC6F72" w:rsidRPr="00620A0B">
        <w:t>u</w:t>
      </w:r>
      <w:r w:rsidR="003E23E3" w:rsidRPr="00620A0B">
        <w:t xml:space="preserve"> situācij</w:t>
      </w:r>
      <w:r w:rsidR="00AC6F72" w:rsidRPr="00620A0B">
        <w:t xml:space="preserve">u problēmaspektiem, ko nav ietekmējuši izņēmuma gadījumi. Mediānas iekļaušana būtu jāizvērtē saistībā ar rezultatīvajiem rādītājiem, </w:t>
      </w:r>
      <w:r w:rsidR="00725D9A" w:rsidRPr="00620A0B">
        <w:t xml:space="preserve">kas attiecas uz maksātnespējas procesa izmaksām, ilgumu un </w:t>
      </w:r>
      <w:r w:rsidR="00BD1CAF" w:rsidRPr="00620A0B">
        <w:t>kreditoru prasījumu atgūšanas rādītājiem.</w:t>
      </w:r>
    </w:p>
    <w:p w14:paraId="492AAC58" w14:textId="2BCDC3B0" w:rsidR="002148C2" w:rsidRPr="00620A0B" w:rsidRDefault="00BD1CAF" w:rsidP="00147C23">
      <w:r w:rsidRPr="00620A0B">
        <w:t xml:space="preserve">Tāpat </w:t>
      </w:r>
      <w:r w:rsidR="00C51A68" w:rsidRPr="00620A0B">
        <w:t xml:space="preserve">jau šobrīd, nemainot </w:t>
      </w:r>
      <w:r w:rsidR="00DE625A" w:rsidRPr="00620A0B">
        <w:t>administratora sniedzamo datu apjomu,</w:t>
      </w:r>
      <w:r w:rsidR="00C51A68" w:rsidRPr="00620A0B">
        <w:t xml:space="preserve"> iespējams precizēt dažu rezultatīvo rādītāju </w:t>
      </w:r>
      <w:r w:rsidR="00DE625A" w:rsidRPr="00620A0B">
        <w:t>iegūšanas metodoloģiju.</w:t>
      </w:r>
      <w:r w:rsidR="00844F82" w:rsidRPr="00620A0B">
        <w:t xml:space="preserve"> Proti, </w:t>
      </w:r>
      <w:r w:rsidR="003A1880" w:rsidRPr="00620A0B">
        <w:t xml:space="preserve">maksātnespējas procesa izmaksas </w:t>
      </w:r>
      <w:r w:rsidR="009946E6" w:rsidRPr="00620A0B">
        <w:t xml:space="preserve">pašlaik rēķina attiecībā pret apmierināto kreditoru prasījumu apmēru, iegūstot </w:t>
      </w:r>
      <w:r w:rsidR="00E230CC" w:rsidRPr="00620A0B">
        <w:t>ziņas par to, cik izmaksā viena eiro atgūšana. Tomēr maksātnespējas procesa izmaksas</w:t>
      </w:r>
      <w:r w:rsidR="009946E6" w:rsidRPr="00620A0B">
        <w:t xml:space="preserve"> </w:t>
      </w:r>
      <w:r w:rsidR="003A1880" w:rsidRPr="00620A0B">
        <w:t xml:space="preserve">būtu jāaprēķina, </w:t>
      </w:r>
      <w:r w:rsidR="00707BF7" w:rsidRPr="00620A0B">
        <w:t xml:space="preserve">nosakot </w:t>
      </w:r>
      <w:r w:rsidR="00E230CC" w:rsidRPr="00620A0B">
        <w:t xml:space="preserve">izmaksu proporciju </w:t>
      </w:r>
      <w:r w:rsidR="00707BF7" w:rsidRPr="00620A0B">
        <w:t>attiecībā pret aktīvu realizācijas rezultātā iegūto vērtību</w:t>
      </w:r>
      <w:r w:rsidR="00E230CC" w:rsidRPr="00620A0B">
        <w:t>.</w:t>
      </w:r>
      <w:r w:rsidR="008C775F" w:rsidRPr="00620A0B">
        <w:t xml:space="preserve"> Savukārt </w:t>
      </w:r>
      <w:r w:rsidR="003A45A3" w:rsidRPr="00620A0B">
        <w:t xml:space="preserve">atgūšanas rādītāju gadījumā jau esošajā mehānismā būtu jāievieš papildu nosacījums, ka </w:t>
      </w:r>
      <w:r w:rsidR="00D76365" w:rsidRPr="00620A0B">
        <w:t>aprēķinā neiekļauj procesus, kuros nav mantas.</w:t>
      </w:r>
    </w:p>
    <w:p w14:paraId="0FD8FF65" w14:textId="2EFDBD84" w:rsidR="00A24A65" w:rsidRPr="00620A0B" w:rsidRDefault="00A24A65" w:rsidP="00147C23">
      <w:r w:rsidRPr="00620A0B">
        <w:t xml:space="preserve">Līdz ar to </w:t>
      </w:r>
      <w:r w:rsidR="0013243E" w:rsidRPr="00620A0B">
        <w:rPr>
          <w:b/>
        </w:rPr>
        <w:t xml:space="preserve">būtu jāpārskata </w:t>
      </w:r>
      <w:r w:rsidR="003E10C0">
        <w:rPr>
          <w:b/>
        </w:rPr>
        <w:t>p</w:t>
      </w:r>
      <w:r w:rsidR="0013243E" w:rsidRPr="00620A0B">
        <w:rPr>
          <w:b/>
        </w:rPr>
        <w:t>amatnostādņu rezultatīvie rādītāji un to iegūšanas metodoloģija</w:t>
      </w:r>
      <w:r w:rsidR="00FD13B5">
        <w:rPr>
          <w:b/>
        </w:rPr>
        <w:t>, tos integrē</w:t>
      </w:r>
      <w:r w:rsidR="00C12BF1">
        <w:rPr>
          <w:b/>
        </w:rPr>
        <w:t>j</w:t>
      </w:r>
      <w:r w:rsidR="00FD13B5">
        <w:rPr>
          <w:b/>
        </w:rPr>
        <w:t>o</w:t>
      </w:r>
      <w:r w:rsidR="00C12BF1">
        <w:rPr>
          <w:b/>
        </w:rPr>
        <w:t>t</w:t>
      </w:r>
      <w:r w:rsidR="00FD13B5">
        <w:rPr>
          <w:b/>
        </w:rPr>
        <w:t xml:space="preserve"> aktualizētajā </w:t>
      </w:r>
      <w:r w:rsidR="003E10C0">
        <w:rPr>
          <w:b/>
        </w:rPr>
        <w:t>p</w:t>
      </w:r>
      <w:r w:rsidR="00FD13B5">
        <w:rPr>
          <w:b/>
        </w:rPr>
        <w:t>lānā</w:t>
      </w:r>
      <w:r w:rsidR="0013243E" w:rsidRPr="00620A0B">
        <w:t>.</w:t>
      </w:r>
    </w:p>
    <w:p w14:paraId="07D2B3A3" w14:textId="1535C1BE" w:rsidR="00E53700" w:rsidRPr="00620A0B" w:rsidRDefault="00E53700" w:rsidP="00147C23"/>
    <w:p w14:paraId="47A5A678" w14:textId="77777777" w:rsidR="00A420C1" w:rsidRDefault="00A420C1" w:rsidP="00147C23">
      <w:pPr>
        <w:tabs>
          <w:tab w:val="right" w:pos="9071"/>
        </w:tabs>
        <w:ind w:firstLine="0"/>
      </w:pPr>
      <w:r>
        <w:t>Ministru prezidenta biedrs,</w:t>
      </w:r>
    </w:p>
    <w:p w14:paraId="251D0D8F" w14:textId="6FCDE0E0" w:rsidR="00A420C1" w:rsidRDefault="00A420C1" w:rsidP="005A5573">
      <w:pPr>
        <w:tabs>
          <w:tab w:val="right" w:pos="9356"/>
        </w:tabs>
        <w:ind w:firstLine="0"/>
      </w:pPr>
      <w:r>
        <w:t>tieslietu ministrs</w:t>
      </w:r>
      <w:r>
        <w:tab/>
        <w:t>Jānis Bordāns</w:t>
      </w:r>
    </w:p>
    <w:p w14:paraId="517DD182" w14:textId="77777777" w:rsidR="00A420C1" w:rsidRDefault="00A420C1" w:rsidP="00147C23">
      <w:pPr>
        <w:tabs>
          <w:tab w:val="right" w:pos="9071"/>
        </w:tabs>
        <w:ind w:firstLine="0"/>
      </w:pPr>
    </w:p>
    <w:p w14:paraId="22A00C76" w14:textId="669DDEEB" w:rsidR="00A420C1" w:rsidRDefault="00A420C1" w:rsidP="00147C23">
      <w:pPr>
        <w:tabs>
          <w:tab w:val="right" w:pos="9071"/>
        </w:tabs>
        <w:ind w:firstLine="0"/>
      </w:pPr>
      <w:r>
        <w:t>Iesniedzējs:</w:t>
      </w:r>
    </w:p>
    <w:p w14:paraId="5F88E947" w14:textId="4956D116" w:rsidR="00FD13B5" w:rsidRDefault="00FD13B5" w:rsidP="00147C23">
      <w:pPr>
        <w:tabs>
          <w:tab w:val="right" w:pos="9071"/>
        </w:tabs>
        <w:ind w:firstLine="0"/>
      </w:pPr>
      <w:r>
        <w:t xml:space="preserve">Tieslietu ministrijas </w:t>
      </w:r>
    </w:p>
    <w:p w14:paraId="365C3F7A" w14:textId="1D5832CB" w:rsidR="00AB37D9" w:rsidRPr="00620A0B" w:rsidRDefault="00FD13B5" w:rsidP="005A5573">
      <w:pPr>
        <w:tabs>
          <w:tab w:val="right" w:pos="9356"/>
        </w:tabs>
        <w:ind w:firstLine="0"/>
      </w:pPr>
      <w:r>
        <w:t>valsts sekretār</w:t>
      </w:r>
      <w:r w:rsidR="00DE1FB1">
        <w:t>a p.i.</w:t>
      </w:r>
      <w:r w:rsidR="00AB37D9" w:rsidRPr="00620A0B">
        <w:tab/>
      </w:r>
      <w:r w:rsidR="00DE1FB1">
        <w:t>Kristīne Pom</w:t>
      </w:r>
      <w:bookmarkStart w:id="7" w:name="_GoBack"/>
      <w:bookmarkEnd w:id="7"/>
      <w:r w:rsidR="00DE1FB1">
        <w:t>mere</w:t>
      </w:r>
    </w:p>
    <w:p w14:paraId="04C3906A" w14:textId="5D87F15F" w:rsidR="00AB37D9" w:rsidRPr="00620A0B" w:rsidRDefault="00AB37D9" w:rsidP="00147C23">
      <w:pPr>
        <w:tabs>
          <w:tab w:val="right" w:pos="8306"/>
        </w:tabs>
      </w:pPr>
    </w:p>
    <w:p w14:paraId="300C6CBC" w14:textId="6ACEC39D" w:rsidR="00DB6133" w:rsidRDefault="00EF06EF" w:rsidP="00DB6133">
      <w:pPr>
        <w:tabs>
          <w:tab w:val="right" w:pos="8306"/>
        </w:tabs>
        <w:ind w:firstLine="0"/>
        <w:rPr>
          <w:sz w:val="20"/>
        </w:rPr>
      </w:pPr>
      <w:r w:rsidRPr="00620A0B">
        <w:rPr>
          <w:sz w:val="20"/>
        </w:rPr>
        <w:t>Ozola</w:t>
      </w:r>
      <w:r w:rsidR="00DB6133">
        <w:rPr>
          <w:sz w:val="20"/>
        </w:rPr>
        <w:t xml:space="preserve"> </w:t>
      </w:r>
      <w:r w:rsidR="00AF3F2A" w:rsidRPr="00620A0B">
        <w:rPr>
          <w:sz w:val="20"/>
        </w:rPr>
        <w:t>67046147</w:t>
      </w:r>
    </w:p>
    <w:p w14:paraId="3C3F2467" w14:textId="4BF243B0" w:rsidR="00AF3F2A" w:rsidRPr="00620A0B" w:rsidRDefault="00DE1FB1" w:rsidP="00DE1FB1">
      <w:pPr>
        <w:tabs>
          <w:tab w:val="right" w:pos="8306"/>
        </w:tabs>
        <w:ind w:firstLine="0"/>
        <w:rPr>
          <w:sz w:val="20"/>
        </w:rPr>
      </w:pPr>
      <w:hyperlink r:id="rId9" w:history="1">
        <w:r w:rsidRPr="0038490F">
          <w:rPr>
            <w:rStyle w:val="Hipersaite"/>
            <w:sz w:val="20"/>
          </w:rPr>
          <w:t>Liene.Ozola@tm.gov.lv</w:t>
        </w:r>
      </w:hyperlink>
      <w:r>
        <w:rPr>
          <w:sz w:val="20"/>
        </w:rPr>
        <w:t xml:space="preserve"> </w:t>
      </w:r>
    </w:p>
    <w:sectPr w:rsidR="00AF3F2A" w:rsidRPr="00620A0B" w:rsidSect="005A510F">
      <w:headerReference w:type="even" r:id="rId10"/>
      <w:headerReference w:type="default" r:id="rId11"/>
      <w:footerReference w:type="even" r:id="rId12"/>
      <w:footerReference w:type="default" r:id="rId13"/>
      <w:headerReference w:type="first" r:id="rId14"/>
      <w:footerReference w:type="first" r:id="rId15"/>
      <w:pgSz w:w="11906" w:h="16838"/>
      <w:pgMar w:top="1418" w:right="849" w:bottom="709" w:left="1701" w:header="709" w:footer="4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E7BA7" w14:textId="77777777" w:rsidR="002940AB" w:rsidRDefault="002940AB" w:rsidP="00E5247C">
      <w:r>
        <w:separator/>
      </w:r>
    </w:p>
  </w:endnote>
  <w:endnote w:type="continuationSeparator" w:id="0">
    <w:p w14:paraId="792D6A6D" w14:textId="77777777" w:rsidR="002940AB" w:rsidRDefault="002940AB" w:rsidP="00E52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0CD2D" w14:textId="77777777" w:rsidR="00FE1C7B" w:rsidRDefault="00FE1C7B">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CFD8C" w14:textId="77777777" w:rsidR="005A510F" w:rsidRDefault="005A510F" w:rsidP="009D2BBC">
    <w:pPr>
      <w:pStyle w:val="Kjene"/>
      <w:ind w:firstLine="0"/>
      <w:rPr>
        <w:sz w:val="20"/>
      </w:rPr>
    </w:pPr>
  </w:p>
  <w:p w14:paraId="13E4087C" w14:textId="266A27FE" w:rsidR="003575E2" w:rsidRPr="009D2BBC" w:rsidRDefault="003575E2" w:rsidP="009D2BBC">
    <w:pPr>
      <w:pStyle w:val="Kjene"/>
      <w:ind w:firstLine="0"/>
      <w:rPr>
        <w:sz w:val="20"/>
      </w:rPr>
    </w:pPr>
    <w:r w:rsidRPr="009D2BBC">
      <w:rPr>
        <w:sz w:val="20"/>
      </w:rPr>
      <w:fldChar w:fldCharType="begin"/>
    </w:r>
    <w:r w:rsidRPr="009D2BBC">
      <w:rPr>
        <w:sz w:val="20"/>
      </w:rPr>
      <w:instrText xml:space="preserve"> FILENAME \* MERGEFORMAT </w:instrText>
    </w:r>
    <w:r w:rsidRPr="009D2BBC">
      <w:rPr>
        <w:sz w:val="20"/>
      </w:rPr>
      <w:fldChar w:fldCharType="separate"/>
    </w:r>
    <w:r w:rsidR="00C27473">
      <w:rPr>
        <w:noProof/>
        <w:sz w:val="20"/>
      </w:rPr>
      <w:t>TMzin_150719_MPAP</w:t>
    </w:r>
    <w:r w:rsidRPr="009D2BBC">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85128" w14:textId="77777777" w:rsidR="003575E2" w:rsidRDefault="003575E2" w:rsidP="00C9575F">
    <w:pPr>
      <w:pStyle w:val="Kjene"/>
      <w:ind w:firstLine="0"/>
    </w:pPr>
  </w:p>
  <w:p w14:paraId="156FF271" w14:textId="6363E0D7" w:rsidR="003575E2" w:rsidRPr="009D2BBC" w:rsidRDefault="003575E2" w:rsidP="009D2BBC">
    <w:pPr>
      <w:pStyle w:val="Kjene"/>
      <w:ind w:firstLine="0"/>
      <w:rPr>
        <w:sz w:val="20"/>
      </w:rPr>
    </w:pPr>
    <w:r w:rsidRPr="009D2BBC">
      <w:rPr>
        <w:sz w:val="20"/>
      </w:rPr>
      <w:fldChar w:fldCharType="begin"/>
    </w:r>
    <w:r w:rsidRPr="009D2BBC">
      <w:rPr>
        <w:sz w:val="20"/>
      </w:rPr>
      <w:instrText xml:space="preserve"> FILENAME \* MERGEFORMAT </w:instrText>
    </w:r>
    <w:r w:rsidRPr="009D2BBC">
      <w:rPr>
        <w:sz w:val="20"/>
      </w:rPr>
      <w:fldChar w:fldCharType="separate"/>
    </w:r>
    <w:r w:rsidR="00C27473">
      <w:rPr>
        <w:noProof/>
        <w:sz w:val="20"/>
      </w:rPr>
      <w:t>TMzin_150719_MPAP</w:t>
    </w:r>
    <w:r w:rsidRPr="009D2BBC">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994DD" w14:textId="77777777" w:rsidR="002940AB" w:rsidRDefault="002940AB" w:rsidP="00E5247C">
      <w:r>
        <w:separator/>
      </w:r>
    </w:p>
  </w:footnote>
  <w:footnote w:type="continuationSeparator" w:id="0">
    <w:p w14:paraId="128BB151" w14:textId="77777777" w:rsidR="002940AB" w:rsidRDefault="002940AB" w:rsidP="00E5247C">
      <w:r>
        <w:continuationSeparator/>
      </w:r>
    </w:p>
  </w:footnote>
  <w:footnote w:id="1">
    <w:p w14:paraId="0E5ACA4C" w14:textId="4A44EF96" w:rsidR="003575E2" w:rsidRDefault="003575E2" w:rsidP="00FA36EA">
      <w:pPr>
        <w:pStyle w:val="Vresteksts"/>
        <w:ind w:firstLine="709"/>
      </w:pPr>
      <w:r>
        <w:rPr>
          <w:rStyle w:val="Vresatsauce"/>
        </w:rPr>
        <w:footnoteRef/>
      </w:r>
      <w:r>
        <w:t xml:space="preserve"> </w:t>
      </w:r>
      <w:r w:rsidRPr="00AA0744">
        <w:t>Ministru kabineta 2016.</w:t>
      </w:r>
      <w:r>
        <w:t> </w:t>
      </w:r>
      <w:r w:rsidRPr="00AA0744">
        <w:t>gada 21.</w:t>
      </w:r>
      <w:r>
        <w:t> </w:t>
      </w:r>
      <w:r w:rsidRPr="00AA0744">
        <w:t>septembra rīkojums Nr.</w:t>
      </w:r>
      <w:r>
        <w:t> </w:t>
      </w:r>
      <w:r w:rsidRPr="00AA0744">
        <w:t xml:space="preserve">527 </w:t>
      </w:r>
      <w:r>
        <w:t>"</w:t>
      </w:r>
      <w:r w:rsidRPr="00AA0744">
        <w:t>Par Maksātnespējas politikas attīstības pamatnostādnēm 2016.–2020.</w:t>
      </w:r>
      <w:r>
        <w:t> </w:t>
      </w:r>
      <w:r w:rsidRPr="00AA0744">
        <w:t>gadam un to īstenošanas plānu</w:t>
      </w:r>
      <w:r>
        <w:t>"</w:t>
      </w:r>
      <w:r w:rsidRPr="00AA0744">
        <w:t xml:space="preserve">. Latvijas Vēstnesis, 186 (5758), 26.09.2016. </w:t>
      </w:r>
      <w:r>
        <w:t xml:space="preserve">Pieejams: </w:t>
      </w:r>
      <w:hyperlink r:id="rId1" w:history="1">
        <w:r w:rsidRPr="00421416">
          <w:rPr>
            <w:rStyle w:val="Hipersaite"/>
          </w:rPr>
          <w:t>https://likumi.lv/ta/id/284925</w:t>
        </w:r>
      </w:hyperlink>
      <w:r>
        <w:t xml:space="preserve">. </w:t>
      </w:r>
    </w:p>
  </w:footnote>
  <w:footnote w:id="2">
    <w:p w14:paraId="25D31A41" w14:textId="3DAB9A83" w:rsidR="003575E2" w:rsidRDefault="003575E2" w:rsidP="00FA36EA">
      <w:pPr>
        <w:pStyle w:val="Vresteksts"/>
        <w:ind w:firstLine="709"/>
      </w:pPr>
      <w:r>
        <w:rPr>
          <w:rStyle w:val="Vresatsauce"/>
        </w:rPr>
        <w:footnoteRef/>
      </w:r>
      <w:r>
        <w:t xml:space="preserve"> </w:t>
      </w:r>
      <w:r w:rsidRPr="00C7274E">
        <w:t>Ministru kabineta 2017.</w:t>
      </w:r>
      <w:r>
        <w:t> </w:t>
      </w:r>
      <w:r w:rsidRPr="00C7274E">
        <w:t>gada 13.</w:t>
      </w:r>
      <w:r>
        <w:t> </w:t>
      </w:r>
      <w:r w:rsidRPr="00C7274E">
        <w:t>decembra rīkojums Nr.</w:t>
      </w:r>
      <w:r>
        <w:t> </w:t>
      </w:r>
      <w:r w:rsidRPr="00C7274E">
        <w:t xml:space="preserve">750 </w:t>
      </w:r>
      <w:r>
        <w:t>"</w:t>
      </w:r>
      <w:r w:rsidRPr="00C7274E">
        <w:t>Grozījumi Maksātnespējas politikas attīstības pamatnostādnēs 2016.-2020.</w:t>
      </w:r>
      <w:r>
        <w:t> </w:t>
      </w:r>
      <w:r w:rsidRPr="00C7274E">
        <w:t>gadam un to īstenošanas plānā</w:t>
      </w:r>
      <w:r>
        <w:t>"</w:t>
      </w:r>
      <w:r w:rsidRPr="00C7274E">
        <w:t xml:space="preserve">. Latvijas Vēstnesis, 249 (6076), 15.12.2017. </w:t>
      </w:r>
      <w:r>
        <w:t xml:space="preserve">Pieejams: </w:t>
      </w:r>
      <w:hyperlink r:id="rId2" w:history="1">
        <w:r w:rsidRPr="00421416">
          <w:rPr>
            <w:rStyle w:val="Hipersaite"/>
          </w:rPr>
          <w:t>https://likumi.lv/ta/id/295825</w:t>
        </w:r>
      </w:hyperlink>
      <w:r>
        <w:t xml:space="preserve">. </w:t>
      </w:r>
    </w:p>
  </w:footnote>
  <w:footnote w:id="3">
    <w:p w14:paraId="19DBEC36" w14:textId="200AB348" w:rsidR="003575E2" w:rsidRDefault="003575E2" w:rsidP="00FA36EA">
      <w:pPr>
        <w:pStyle w:val="Vresteksts"/>
        <w:ind w:firstLine="709"/>
      </w:pPr>
      <w:r>
        <w:rPr>
          <w:rStyle w:val="Vresatsauce"/>
        </w:rPr>
        <w:footnoteRef/>
      </w:r>
      <w:r>
        <w:t xml:space="preserve"> </w:t>
      </w:r>
      <w:r w:rsidRPr="00FC3D6A">
        <w:t>Tieslietu ministrs</w:t>
      </w:r>
      <w:r w:rsidR="003038E9">
        <w:t xml:space="preserve"> </w:t>
      </w:r>
      <w:r w:rsidRPr="00FC3D6A">
        <w:t xml:space="preserve">ar 2018. gada 3. decembra vēstuli Nr. 1-10/3024 </w:t>
      </w:r>
      <w:r>
        <w:t>"</w:t>
      </w:r>
      <w:r w:rsidRPr="00FC3D6A">
        <w:t>Par starpposma novērtējuma iesniegšanu</w:t>
      </w:r>
      <w:r>
        <w:t>"</w:t>
      </w:r>
      <w:r w:rsidRPr="00FC3D6A">
        <w:t xml:space="preserve"> informēja Ministru prezidentu</w:t>
      </w:r>
      <w:r>
        <w:t xml:space="preserve">, ka </w:t>
      </w:r>
      <w:r w:rsidR="006E78FC">
        <w:t>p</w:t>
      </w:r>
      <w:r>
        <w:t xml:space="preserve">amatnostādņu un </w:t>
      </w:r>
      <w:r w:rsidR="006E78FC">
        <w:t>p</w:t>
      </w:r>
      <w:r>
        <w:t>lāna starpposma novērtējums tiks sagatavots un iesniegts Ministru kabinetā iespējami īsā laikā pēc SVF novērtējuma saņemšanas.</w:t>
      </w:r>
    </w:p>
  </w:footnote>
  <w:footnote w:id="4">
    <w:p w14:paraId="295FDF19" w14:textId="0CCAC826" w:rsidR="003575E2" w:rsidRDefault="003575E2">
      <w:pPr>
        <w:pStyle w:val="Vresteksts"/>
      </w:pPr>
      <w:r>
        <w:rPr>
          <w:rStyle w:val="Vresatsauce"/>
        </w:rPr>
        <w:footnoteRef/>
      </w:r>
      <w:r>
        <w:t xml:space="preserve"> Pieejams: </w:t>
      </w:r>
      <w:hyperlink r:id="rId3" w:history="1">
        <w:r w:rsidRPr="006E311A">
          <w:rPr>
            <w:rStyle w:val="Hipersaite"/>
          </w:rPr>
          <w:t>https://www.sseriga.edu/sites/default/files/2019-01/FICIL_Sentiment_Index_2018_LV.pdf</w:t>
        </w:r>
      </w:hyperlink>
      <w:r>
        <w:t>.</w:t>
      </w:r>
    </w:p>
  </w:footnote>
  <w:footnote w:id="5">
    <w:p w14:paraId="667965D4" w14:textId="31A4BA49" w:rsidR="003575E2" w:rsidRDefault="003575E2">
      <w:pPr>
        <w:pStyle w:val="Vresteksts"/>
      </w:pPr>
      <w:r>
        <w:rPr>
          <w:rStyle w:val="Vresatsauce"/>
        </w:rPr>
        <w:footnoteRef/>
      </w:r>
      <w:r>
        <w:t xml:space="preserve"> </w:t>
      </w:r>
      <w:r w:rsidRPr="005516F0">
        <w:t>Ministru kabineta 2017.</w:t>
      </w:r>
      <w:r>
        <w:t> </w:t>
      </w:r>
      <w:r w:rsidRPr="005516F0">
        <w:t>gada 30.</w:t>
      </w:r>
      <w:r>
        <w:t> </w:t>
      </w:r>
      <w:r w:rsidRPr="005516F0">
        <w:t>maija noteikum</w:t>
      </w:r>
      <w:r>
        <w:t>u</w:t>
      </w:r>
      <w:r w:rsidRPr="005516F0">
        <w:t xml:space="preserve"> Nr.</w:t>
      </w:r>
      <w:r>
        <w:t> </w:t>
      </w:r>
      <w:r w:rsidRPr="005516F0">
        <w:t xml:space="preserve">287 </w:t>
      </w:r>
      <w:r>
        <w:t>"</w:t>
      </w:r>
      <w:r w:rsidRPr="005516F0">
        <w:t>Maksātnespējas administrācijas maksas pakalpojumu cenrādis un samaksas kārtība</w:t>
      </w:r>
      <w:r>
        <w:t>"</w:t>
      </w:r>
      <w:r>
        <w:t xml:space="preserve"> pielikuma 3. punkts</w:t>
      </w:r>
      <w:r w:rsidRPr="005516F0">
        <w:t xml:space="preserve">. Publicēts oficiālajā izdevumā </w:t>
      </w:r>
      <w:r>
        <w:t>"</w:t>
      </w:r>
      <w:r w:rsidRPr="005516F0">
        <w:t>Latvijas Vēstnesis</w:t>
      </w:r>
      <w:r>
        <w:t>"</w:t>
      </w:r>
      <w:r w:rsidRPr="005516F0">
        <w:t xml:space="preserve">, </w:t>
      </w:r>
      <w:r>
        <w:t>0</w:t>
      </w:r>
      <w:r w:rsidRPr="005516F0">
        <w:t>2.06.2017., Nr.</w:t>
      </w:r>
      <w:r>
        <w:t> </w:t>
      </w:r>
      <w:r w:rsidRPr="005516F0">
        <w:t>108 (5935)</w:t>
      </w:r>
      <w:r>
        <w:t>. Pieejams:</w:t>
      </w:r>
      <w:r w:rsidRPr="005516F0">
        <w:t xml:space="preserve"> </w:t>
      </w:r>
      <w:hyperlink r:id="rId4" w:history="1">
        <w:r w:rsidRPr="006E311A">
          <w:rPr>
            <w:rStyle w:val="Hipersaite"/>
          </w:rPr>
          <w:t>https://www.vestnesis.lv/op/2017/108.4</w:t>
        </w:r>
      </w:hyperlink>
      <w:r>
        <w:t>.</w:t>
      </w:r>
    </w:p>
  </w:footnote>
  <w:footnote w:id="6">
    <w:p w14:paraId="1DA701C5" w14:textId="584C0821" w:rsidR="003575E2" w:rsidRDefault="003575E2">
      <w:pPr>
        <w:pStyle w:val="Vresteksts"/>
      </w:pPr>
      <w:r>
        <w:rPr>
          <w:rStyle w:val="Vresatsauce"/>
        </w:rPr>
        <w:footnoteRef/>
      </w:r>
      <w:r>
        <w:t xml:space="preserve"> Plāna 2.4.3., 4.2.1. un 4.2.2. pasākums izpildīts ar </w:t>
      </w:r>
      <w:r w:rsidRPr="004E3D99">
        <w:t>Ministru kabineta 2017. gada 18. jūlija sēdē atbalstīt</w:t>
      </w:r>
      <w:r>
        <w:t>o</w:t>
      </w:r>
      <w:r w:rsidRPr="004E3D99">
        <w:t xml:space="preserve"> informatīv</w:t>
      </w:r>
      <w:r>
        <w:t>o</w:t>
      </w:r>
      <w:r w:rsidRPr="004E3D99">
        <w:t xml:space="preserve"> ziņojum</w:t>
      </w:r>
      <w:r>
        <w:t>u</w:t>
      </w:r>
      <w:r w:rsidRPr="004E3D99">
        <w:t xml:space="preserve"> </w:t>
      </w:r>
      <w:r>
        <w:t>"</w:t>
      </w:r>
      <w:r w:rsidRPr="004E3D99">
        <w:t>Par Maksātnespējas administrācijas attīstību</w:t>
      </w:r>
      <w:r>
        <w:t>"</w:t>
      </w:r>
      <w:r>
        <w:t>.</w:t>
      </w:r>
    </w:p>
  </w:footnote>
  <w:footnote w:id="7">
    <w:p w14:paraId="1FE56C92" w14:textId="0FBCFEDC" w:rsidR="003575E2" w:rsidRDefault="003575E2">
      <w:pPr>
        <w:pStyle w:val="Vresteksts"/>
      </w:pPr>
      <w:r>
        <w:rPr>
          <w:rStyle w:val="Vresatsauce"/>
        </w:rPr>
        <w:footnoteRef/>
      </w:r>
      <w:r>
        <w:t xml:space="preserve"> Plāna 2.4.3., 4.2.1. un 4.2.2. pasākums, kas izpildīts ar </w:t>
      </w:r>
      <w:r w:rsidRPr="004E3D99">
        <w:t>Ministru kabineta 2017. gada 18. jūlija sēdē atbalstīt</w:t>
      </w:r>
      <w:r>
        <w:t>o</w:t>
      </w:r>
      <w:r w:rsidRPr="004E3D99">
        <w:t xml:space="preserve"> informatīv</w:t>
      </w:r>
      <w:r>
        <w:t>o</w:t>
      </w:r>
      <w:r w:rsidRPr="004E3D99">
        <w:t xml:space="preserve"> ziņojum</w:t>
      </w:r>
      <w:r>
        <w:t>u</w:t>
      </w:r>
      <w:r w:rsidRPr="004E3D99">
        <w:t xml:space="preserve"> </w:t>
      </w:r>
      <w:r>
        <w:t>"</w:t>
      </w:r>
      <w:r w:rsidRPr="004E3D99">
        <w:t>Par Maksātnespējas administrācijas attīstību</w:t>
      </w:r>
      <w:r>
        <w:t>"</w:t>
      </w:r>
      <w:r>
        <w:t xml:space="preserve">, rada ietekmi uz pārvaldes iestādes (MKD) cilvēkresursiem. Savukārt </w:t>
      </w:r>
      <w:r w:rsidR="006E78FC">
        <w:t>p</w:t>
      </w:r>
      <w:r>
        <w:t>lāna 2.4.2. pasākums, ar kura izpildi noteikts</w:t>
      </w:r>
      <w:r w:rsidRPr="004F20C7">
        <w:t>, ka MKD likumā noteiktā kārtībā ir tiesības ierasties jebkura administratora prakses vietā un pieprasīt uzrādīt lietvedībā esošos dokumentus, iepriekš nebrīdinot</w:t>
      </w:r>
      <w:r>
        <w:t>, rada ietekmi uz pārvaldes iestādes (MKD) funkcijām</w:t>
      </w:r>
      <w:r w:rsidRPr="004F20C7">
        <w:t>.</w:t>
      </w:r>
    </w:p>
  </w:footnote>
  <w:footnote w:id="8">
    <w:p w14:paraId="73C7EE00" w14:textId="6089EEED" w:rsidR="003575E2" w:rsidRDefault="003575E2" w:rsidP="00FA36EA">
      <w:pPr>
        <w:pStyle w:val="Vresteksts"/>
        <w:ind w:firstLine="709"/>
      </w:pPr>
      <w:r>
        <w:rPr>
          <w:rStyle w:val="Vresatsauce"/>
        </w:rPr>
        <w:footnoteRef/>
      </w:r>
      <w:r>
        <w:t xml:space="preserve"> Piemēram, </w:t>
      </w:r>
      <w:r w:rsidR="006E78FC">
        <w:t>p</w:t>
      </w:r>
      <w:r>
        <w:t>lāna 1.2.3. un 2.3.1. pasākums.</w:t>
      </w:r>
    </w:p>
  </w:footnote>
  <w:footnote w:id="9">
    <w:p w14:paraId="1A2FB6F9" w14:textId="5D1AF9C1" w:rsidR="003575E2" w:rsidRDefault="003575E2" w:rsidP="00FA36EA">
      <w:pPr>
        <w:pStyle w:val="Vresteksts"/>
        <w:ind w:firstLine="709"/>
      </w:pPr>
      <w:r>
        <w:rPr>
          <w:rStyle w:val="Vresatsauce"/>
        </w:rPr>
        <w:footnoteRef/>
      </w:r>
      <w:r w:rsidR="003252AF">
        <w:t> </w:t>
      </w:r>
      <w:r>
        <w:t xml:space="preserve">Sākotnējā </w:t>
      </w:r>
      <w:r w:rsidR="00B11651">
        <w:t>d</w:t>
      </w:r>
      <w:r>
        <w:t xml:space="preserve">irektīvas priekšlikuma versija pieejama šeit: </w:t>
      </w:r>
      <w:hyperlink r:id="rId5" w:history="1">
        <w:r w:rsidRPr="007F7091">
          <w:rPr>
            <w:rStyle w:val="Hipersaite"/>
          </w:rPr>
          <w:t>http://www.europarl.europa.eu/RegData/docs_autres_institutions/commission_europeenne/com/2016/0723/COM_COM(2016)0723_EN.pdf</w:t>
        </w:r>
      </w:hyperlink>
      <w:r>
        <w:t xml:space="preserve">. </w:t>
      </w:r>
    </w:p>
  </w:footnote>
  <w:footnote w:id="10">
    <w:p w14:paraId="6653B4C6" w14:textId="68B172E0" w:rsidR="00F1233F" w:rsidRDefault="00F1233F">
      <w:pPr>
        <w:pStyle w:val="Vresteksts"/>
      </w:pPr>
      <w:r>
        <w:rPr>
          <w:rStyle w:val="Vresatsauce"/>
        </w:rPr>
        <w:footnoteRef/>
      </w:r>
      <w:r>
        <w:t xml:space="preserve"> </w:t>
      </w:r>
      <w:r w:rsidR="00566856">
        <w:t>Skat. </w:t>
      </w:r>
      <w:r w:rsidR="00B118C2" w:rsidRPr="00B118C2">
        <w:t>Eiropas Savienības Oficiālais Vēstnesis, L</w:t>
      </w:r>
      <w:r w:rsidR="00B118C2">
        <w:t> </w:t>
      </w:r>
      <w:r w:rsidR="00B118C2" w:rsidRPr="00B118C2">
        <w:t>172, 2019.</w:t>
      </w:r>
      <w:r w:rsidR="00B118C2">
        <w:t> </w:t>
      </w:r>
      <w:r w:rsidR="00B118C2" w:rsidRPr="00B118C2">
        <w:t>gada 26.</w:t>
      </w:r>
      <w:r w:rsidR="00B118C2">
        <w:t> </w:t>
      </w:r>
      <w:r w:rsidR="00B118C2" w:rsidRPr="00B118C2">
        <w:t>jūnijs</w:t>
      </w:r>
      <w:r w:rsidR="00B118C2">
        <w:t>,</w:t>
      </w:r>
      <w:r w:rsidR="00566856">
        <w:t xml:space="preserve"> </w:t>
      </w:r>
      <w:r w:rsidR="00B118C2">
        <w:t>p</w:t>
      </w:r>
      <w:r w:rsidR="00566856">
        <w:t xml:space="preserve">ieejams: </w:t>
      </w:r>
      <w:hyperlink r:id="rId6" w:history="1">
        <w:r w:rsidR="00566856" w:rsidRPr="00A81782">
          <w:rPr>
            <w:rStyle w:val="Hipersaite"/>
          </w:rPr>
          <w:t>https://eur-lex.europa.eu/legal-content/LV/TXT/?uri=OJ:L:2019:172:TOC</w:t>
        </w:r>
      </w:hyperlink>
      <w:r w:rsidR="00566856">
        <w:t xml:space="preserve">. </w:t>
      </w:r>
    </w:p>
  </w:footnote>
  <w:footnote w:id="11">
    <w:p w14:paraId="209CBA4C" w14:textId="6E66FFBF" w:rsidR="003575E2" w:rsidRDefault="003575E2" w:rsidP="00FA36EA">
      <w:pPr>
        <w:pStyle w:val="Vresteksts"/>
        <w:ind w:firstLine="709"/>
      </w:pPr>
      <w:r>
        <w:rPr>
          <w:rStyle w:val="Vresatsauce"/>
        </w:rPr>
        <w:footnoteRef/>
      </w:r>
      <w:r>
        <w:t xml:space="preserve"> </w:t>
      </w:r>
      <w:r w:rsidRPr="00BD7A0A">
        <w:t>Ministru kabineta 2017.</w:t>
      </w:r>
      <w:r>
        <w:t> </w:t>
      </w:r>
      <w:r w:rsidRPr="00BD7A0A">
        <w:t>gada 14.</w:t>
      </w:r>
      <w:r>
        <w:t> </w:t>
      </w:r>
      <w:r w:rsidRPr="00BD7A0A">
        <w:t xml:space="preserve">februāra </w:t>
      </w:r>
      <w:r w:rsidR="003252AF">
        <w:t xml:space="preserve">sēdes </w:t>
      </w:r>
      <w:r w:rsidRPr="00BD7A0A">
        <w:t>protokols Nr.</w:t>
      </w:r>
      <w:r>
        <w:t> </w:t>
      </w:r>
      <w:r w:rsidRPr="00BD7A0A">
        <w:t xml:space="preserve">7 </w:t>
      </w:r>
      <w:r>
        <w:t>"</w:t>
      </w:r>
      <w:r w:rsidRPr="00BD7A0A">
        <w:t>Ministru kabineta sēdes protokols</w:t>
      </w:r>
      <w:r>
        <w:t>"</w:t>
      </w:r>
      <w:r>
        <w:t>, 43. </w:t>
      </w:r>
      <w:r w:rsidRPr="00302BAF">
        <w:t>§</w:t>
      </w:r>
      <w:r w:rsidRPr="00BD7A0A">
        <w:t xml:space="preserve">. Publicēts oficiālajā izdevumā </w:t>
      </w:r>
      <w:r>
        <w:t>"</w:t>
      </w:r>
      <w:r w:rsidRPr="00BD7A0A">
        <w:t>Latvijas Vēstnesis</w:t>
      </w:r>
      <w:r>
        <w:t>"</w:t>
      </w:r>
      <w:r w:rsidRPr="00BD7A0A">
        <w:t>, 20.02.2017., Nr.</w:t>
      </w:r>
      <w:r>
        <w:t> </w:t>
      </w:r>
      <w:r w:rsidRPr="00BD7A0A">
        <w:t>38 (5865)</w:t>
      </w:r>
      <w:r>
        <w:t>. Pieejams:</w:t>
      </w:r>
      <w:r w:rsidRPr="00BD7A0A">
        <w:t xml:space="preserve"> </w:t>
      </w:r>
      <w:hyperlink r:id="rId7" w:history="1">
        <w:r w:rsidRPr="007F7091">
          <w:rPr>
            <w:rStyle w:val="Hipersaite"/>
          </w:rPr>
          <w:t>https://vestnesis.lv/op/2017/38.5</w:t>
        </w:r>
      </w:hyperlink>
    </w:p>
  </w:footnote>
  <w:footnote w:id="12">
    <w:p w14:paraId="49645D1C" w14:textId="7FBAF42B" w:rsidR="003575E2" w:rsidRDefault="003575E2">
      <w:pPr>
        <w:pStyle w:val="Vresteksts"/>
      </w:pPr>
      <w:r w:rsidRPr="000A7006">
        <w:rPr>
          <w:rStyle w:val="Vresatsauce"/>
        </w:rPr>
        <w:footnoteRef/>
      </w:r>
      <w:r w:rsidRPr="000A7006">
        <w:t xml:space="preserve"> </w:t>
      </w:r>
      <w:r w:rsidR="000A7006">
        <w:t xml:space="preserve">Pieejams: </w:t>
      </w:r>
      <w:hyperlink r:id="rId8" w:history="1">
        <w:r w:rsidR="000A7006" w:rsidRPr="0038490F">
          <w:rPr>
            <w:rStyle w:val="Hipersaite"/>
          </w:rPr>
          <w:t>https://tm.gov.lv/lv/aktualitates/tm-informacija-presei/pieejams-starptautiska-valutas-fonda-novertejuma-zinojums-par-maksatnespejas-regulejumu-latvija</w:t>
        </w:r>
      </w:hyperlink>
      <w:r w:rsidR="000A7006">
        <w:t xml:space="preserve">. </w:t>
      </w:r>
    </w:p>
  </w:footnote>
  <w:footnote w:id="13">
    <w:p w14:paraId="711785DD" w14:textId="56C070CF" w:rsidR="003575E2" w:rsidRDefault="003575E2">
      <w:pPr>
        <w:pStyle w:val="Vresteksts"/>
      </w:pPr>
      <w:r>
        <w:rPr>
          <w:rStyle w:val="Vresatsauce"/>
        </w:rPr>
        <w:footnoteRef/>
      </w:r>
      <w:r>
        <w:t xml:space="preserve"> Maksātnespējas jautājumu konsultatīvā padome darbojas saskaņā ar Ministru kabineta 2007. gada 27. novembra noteikumos Nr. 799 </w:t>
      </w:r>
      <w:r>
        <w:t>"</w:t>
      </w:r>
      <w:r>
        <w:t>Maksātnespējas jautājumu konsultatīvās padomes nolikums</w:t>
      </w:r>
      <w:r>
        <w:t>"</w:t>
      </w:r>
      <w:r>
        <w:t xml:space="preserve"> noteikto. Tās sastāvā ir tieslietu ministrs, ekonomikas ministrs, finanšu ministrs, iekšlietu ministrs, biedrības </w:t>
      </w:r>
      <w:r>
        <w:t>"</w:t>
      </w:r>
      <w:r>
        <w:t>Latvijas Sertificēto maksātnespējas procesa administratoru asociācija</w:t>
      </w:r>
      <w:r>
        <w:t>"</w:t>
      </w:r>
      <w:r>
        <w:t xml:space="preserve"> valdes priekšsēdētājs, Latvijas Finanšu nozares asociācijas valdes priekšsēdētājs, Latvijas Darba devēju konfederācijas prezidents, Latvijas Brīvo arodbiedrību savienības priekšsēdētājs, Latvijas Tirdzniecības un rūpniecības kameras prezidents, Ārvalstu investoru padomes Latvijā valdes priekšsēdētājs, Latvijas Zvērinātu advokātu padomes priekšsēdētājs, Latvijas Zvērinātu tiesu izpildītāju padomes priekšsēdētājs, Latvijas Republikas Augstākās tiesas priekšsēdētājs un Latvijas Kredītņēmēju asociācijas valdes priekšsēdētājs.</w:t>
      </w:r>
    </w:p>
  </w:footnote>
  <w:footnote w:id="14">
    <w:p w14:paraId="198EF823" w14:textId="67776A93" w:rsidR="003575E2" w:rsidRDefault="003575E2" w:rsidP="00FA36EA">
      <w:pPr>
        <w:pStyle w:val="Vresteksts"/>
        <w:ind w:firstLine="709"/>
      </w:pPr>
      <w:r>
        <w:rPr>
          <w:rStyle w:val="Vresatsauce"/>
        </w:rPr>
        <w:footnoteRef/>
      </w:r>
      <w:r>
        <w:t xml:space="preserve"> Skat. </w:t>
      </w:r>
      <w:r w:rsidR="00677927">
        <w:t>p</w:t>
      </w:r>
      <w:r>
        <w:t>lāna 2.9.1. pasākumu.</w:t>
      </w:r>
    </w:p>
  </w:footnote>
  <w:footnote w:id="15">
    <w:p w14:paraId="5D1B3C25" w14:textId="13FC32E2" w:rsidR="003575E2" w:rsidRDefault="003575E2" w:rsidP="00FA36EA">
      <w:pPr>
        <w:pStyle w:val="Vresteksts"/>
        <w:ind w:firstLine="709"/>
      </w:pPr>
      <w:r>
        <w:rPr>
          <w:rStyle w:val="Vresatsauce"/>
        </w:rPr>
        <w:footnoteRef/>
      </w:r>
      <w:r>
        <w:t xml:space="preserve"> Plāna 3.1.1. pasākums.</w:t>
      </w:r>
    </w:p>
  </w:footnote>
  <w:footnote w:id="16">
    <w:p w14:paraId="0A4AA1F0" w14:textId="631A5DF8" w:rsidR="003575E2" w:rsidRDefault="003575E2" w:rsidP="00FA36EA">
      <w:pPr>
        <w:pStyle w:val="Vresteksts"/>
        <w:ind w:firstLine="709"/>
      </w:pPr>
      <w:r>
        <w:rPr>
          <w:rStyle w:val="Vresatsauce"/>
        </w:rPr>
        <w:footnoteRef/>
      </w:r>
      <w:r w:rsidR="00085F5F">
        <w:t> </w:t>
      </w:r>
      <w:r>
        <w:t xml:space="preserve">Pieejams Pārresoru koordinācijas centra Pētījumu un publikāciju datu bāzē: </w:t>
      </w:r>
      <w:hyperlink r:id="rId9" w:history="1">
        <w:r w:rsidRPr="00120265">
          <w:rPr>
            <w:rStyle w:val="Hipersaite"/>
          </w:rPr>
          <w:t>http://petijumi.mk.gov.lv/node/3105</w:t>
        </w:r>
      </w:hyperlink>
      <w:r>
        <w:t xml:space="preserve">. </w:t>
      </w:r>
    </w:p>
  </w:footnote>
  <w:footnote w:id="17">
    <w:p w14:paraId="1CFFEBF3" w14:textId="2B2901C3" w:rsidR="003575E2" w:rsidRDefault="003575E2" w:rsidP="00FA36EA">
      <w:pPr>
        <w:pStyle w:val="Vresteksts"/>
        <w:ind w:firstLine="709"/>
      </w:pPr>
      <w:r>
        <w:rPr>
          <w:rStyle w:val="Vresatsauce"/>
        </w:rPr>
        <w:footnoteRef/>
      </w:r>
      <w:r>
        <w:t xml:space="preserve"> Plāna 3.2.1. pasākums.</w:t>
      </w:r>
    </w:p>
  </w:footnote>
  <w:footnote w:id="18">
    <w:p w14:paraId="1CC5BD85" w14:textId="521AFE70" w:rsidR="003575E2" w:rsidRDefault="003575E2" w:rsidP="00FA36EA">
      <w:pPr>
        <w:pStyle w:val="Vresteksts"/>
        <w:ind w:firstLine="709"/>
      </w:pPr>
      <w:r>
        <w:rPr>
          <w:rStyle w:val="Vresatsauce"/>
        </w:rPr>
        <w:footnoteRef/>
      </w:r>
      <w:r>
        <w:t xml:space="preserve"> Plāna 3.3.1. pasākums.</w:t>
      </w:r>
    </w:p>
  </w:footnote>
  <w:footnote w:id="19">
    <w:p w14:paraId="33FF6367" w14:textId="6CFCE536" w:rsidR="003575E2" w:rsidRDefault="003575E2" w:rsidP="00FA36EA">
      <w:pPr>
        <w:pStyle w:val="Vresteksts"/>
        <w:ind w:firstLine="709"/>
      </w:pPr>
      <w:r>
        <w:rPr>
          <w:rStyle w:val="Vresatsauce"/>
        </w:rPr>
        <w:footnoteRef/>
      </w:r>
      <w:r>
        <w:t xml:space="preserve"> Plāna 4.3.1. pasākums.</w:t>
      </w:r>
    </w:p>
  </w:footnote>
  <w:footnote w:id="20">
    <w:p w14:paraId="7F78F37E" w14:textId="1204602E" w:rsidR="003575E2" w:rsidRDefault="003575E2" w:rsidP="00FA36EA">
      <w:pPr>
        <w:pStyle w:val="Vresteksts"/>
        <w:ind w:firstLine="709"/>
      </w:pPr>
      <w:r>
        <w:rPr>
          <w:rStyle w:val="Vresatsauce"/>
        </w:rPr>
        <w:footnoteRef/>
      </w:r>
      <w:r>
        <w:t xml:space="preserve"> </w:t>
      </w:r>
      <w:r w:rsidRPr="008E5226">
        <w:t>2018.</w:t>
      </w:r>
      <w:r>
        <w:t> </w:t>
      </w:r>
      <w:r w:rsidRPr="008E5226">
        <w:t>gada 31.</w:t>
      </w:r>
      <w:r>
        <w:t> </w:t>
      </w:r>
      <w:r w:rsidRPr="008E5226">
        <w:t xml:space="preserve">maija likums </w:t>
      </w:r>
      <w:r>
        <w:t>"</w:t>
      </w:r>
      <w:r w:rsidRPr="008E5226">
        <w:t>Grozījumi Maksātnespējas likumā</w:t>
      </w:r>
      <w:r>
        <w:t>"</w:t>
      </w:r>
      <w:r w:rsidRPr="008E5226">
        <w:t xml:space="preserve">. Latvijas Vēstnesis, 119 (6205), 15.06.2018. </w:t>
      </w:r>
      <w:r>
        <w:t xml:space="preserve">Pieejams: </w:t>
      </w:r>
      <w:hyperlink r:id="rId10" w:history="1">
        <w:r w:rsidRPr="000E5AD7">
          <w:rPr>
            <w:rStyle w:val="Hipersaite"/>
          </w:rPr>
          <w:t>https://likumi.lv/ta/id/299699</w:t>
        </w:r>
      </w:hyperlink>
      <w:r>
        <w:t xml:space="preserve">. </w:t>
      </w:r>
    </w:p>
  </w:footnote>
  <w:footnote w:id="21">
    <w:p w14:paraId="1438B73C" w14:textId="55CA3F3E" w:rsidR="003575E2" w:rsidRDefault="003575E2" w:rsidP="00FA36EA">
      <w:pPr>
        <w:pStyle w:val="Vresteksts"/>
        <w:ind w:firstLine="709"/>
      </w:pPr>
      <w:r>
        <w:rPr>
          <w:rStyle w:val="Vresatsauce"/>
        </w:rPr>
        <w:footnoteRef/>
      </w:r>
      <w:r>
        <w:t xml:space="preserve"> Plāna 2.7.1. pasākums.</w:t>
      </w:r>
    </w:p>
  </w:footnote>
  <w:footnote w:id="22">
    <w:p w14:paraId="1609B5CF" w14:textId="6463B6F3" w:rsidR="003575E2" w:rsidRDefault="003575E2" w:rsidP="00FA36EA">
      <w:pPr>
        <w:pStyle w:val="Vresteksts"/>
        <w:ind w:firstLine="709"/>
      </w:pPr>
      <w:r>
        <w:rPr>
          <w:rStyle w:val="Vresatsauce"/>
        </w:rPr>
        <w:footnoteRef/>
      </w:r>
      <w:r>
        <w:t xml:space="preserve"> Skat. minēto grozījumu 42. un 54. pantu.</w:t>
      </w:r>
    </w:p>
  </w:footnote>
  <w:footnote w:id="23">
    <w:p w14:paraId="6A326B5F" w14:textId="14784FDB" w:rsidR="003575E2" w:rsidRDefault="003575E2" w:rsidP="00FA36EA">
      <w:pPr>
        <w:pStyle w:val="Vresteksts"/>
        <w:ind w:firstLine="709"/>
      </w:pPr>
      <w:r>
        <w:rPr>
          <w:rStyle w:val="Vresatsauce"/>
        </w:rPr>
        <w:footnoteRef/>
      </w:r>
      <w:r>
        <w:t xml:space="preserve"> Skat. minēto grozījumu 31. pantu.</w:t>
      </w:r>
    </w:p>
  </w:footnote>
  <w:footnote w:id="24">
    <w:p w14:paraId="4C579218" w14:textId="4988B6C1" w:rsidR="003575E2" w:rsidRDefault="003575E2" w:rsidP="00FA36EA">
      <w:pPr>
        <w:pStyle w:val="Vresteksts"/>
        <w:ind w:firstLine="709"/>
      </w:pPr>
      <w:r>
        <w:rPr>
          <w:rStyle w:val="Vresatsauce"/>
        </w:rPr>
        <w:footnoteRef/>
      </w:r>
      <w:r>
        <w:t xml:space="preserve"> Plāna 4.3.2. pasākums.</w:t>
      </w:r>
    </w:p>
  </w:footnote>
  <w:footnote w:id="25">
    <w:p w14:paraId="14EAA82E" w14:textId="471DF10A" w:rsidR="003575E2" w:rsidRDefault="003575E2" w:rsidP="00FA36EA">
      <w:pPr>
        <w:pStyle w:val="Vresteksts"/>
        <w:ind w:firstLine="709"/>
      </w:pPr>
      <w:r>
        <w:rPr>
          <w:rStyle w:val="Vresatsauce"/>
        </w:rPr>
        <w:footnoteRef/>
      </w:r>
      <w:r>
        <w:t xml:space="preserve"> 2015. gada 1. janvārī bija 338 administratori, 2016. gada 1. janvārī – 335 administratori, 2017. gada 1. janvārī – 312 administratori.</w:t>
      </w:r>
    </w:p>
  </w:footnote>
  <w:footnote w:id="26">
    <w:p w14:paraId="0C168854" w14:textId="4CEA86F2" w:rsidR="003575E2" w:rsidRDefault="003575E2" w:rsidP="00FA36EA">
      <w:pPr>
        <w:pStyle w:val="Vresteksts"/>
        <w:ind w:firstLine="709"/>
      </w:pPr>
      <w:r>
        <w:rPr>
          <w:rStyle w:val="Vresatsauce"/>
        </w:rPr>
        <w:footnoteRef/>
      </w:r>
      <w:r w:rsidR="000E1EA1">
        <w:t> </w:t>
      </w:r>
      <w:r>
        <w:t xml:space="preserve">Pieejams Pārresoru koordinācijas centra Pētījumu un publikāciju datu bāzē: </w:t>
      </w:r>
      <w:hyperlink r:id="rId11" w:history="1">
        <w:r w:rsidRPr="00120265">
          <w:rPr>
            <w:rStyle w:val="Hipersaite"/>
          </w:rPr>
          <w:t>http://petijumi.mk.gov.lv/node/3105</w:t>
        </w:r>
      </w:hyperlink>
      <w:r>
        <w:t xml:space="preserve">. </w:t>
      </w:r>
    </w:p>
  </w:footnote>
  <w:footnote w:id="27">
    <w:p w14:paraId="31B2C7BB" w14:textId="5C47E1A1" w:rsidR="003575E2" w:rsidRDefault="003575E2" w:rsidP="00FA36EA">
      <w:pPr>
        <w:pStyle w:val="Vresteksts"/>
        <w:ind w:firstLine="709"/>
      </w:pPr>
      <w:r>
        <w:rPr>
          <w:rStyle w:val="Vresatsauce"/>
        </w:rPr>
        <w:footnoteRef/>
      </w:r>
      <w:r w:rsidR="000E1EA1">
        <w:t> </w:t>
      </w:r>
      <w:r>
        <w:t xml:space="preserve">Pieejams Pārresoru koordinācijas centra Pētījumu un publikāciju datu bāzē: </w:t>
      </w:r>
      <w:hyperlink r:id="rId12" w:history="1">
        <w:r w:rsidRPr="007F7091">
          <w:rPr>
            <w:rStyle w:val="Hipersaite"/>
          </w:rPr>
          <w:t>http://petijumi.mk.gov.lv/node/3103</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0102D" w14:textId="77777777" w:rsidR="00FE1C7B" w:rsidRDefault="00FE1C7B">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F123B" w14:textId="6ED4F498" w:rsidR="003575E2" w:rsidRPr="001F1156" w:rsidRDefault="002940AB" w:rsidP="00E017E7">
    <w:pPr>
      <w:pStyle w:val="Galvene"/>
      <w:tabs>
        <w:tab w:val="clear" w:pos="8306"/>
        <w:tab w:val="right" w:pos="9071"/>
      </w:tabs>
      <w:ind w:firstLine="0"/>
      <w:jc w:val="center"/>
      <w:rPr>
        <w:i/>
      </w:rPr>
    </w:pPr>
    <w:sdt>
      <w:sdtPr>
        <w:id w:val="302129789"/>
        <w:docPartObj>
          <w:docPartGallery w:val="Page Numbers (Top of Page)"/>
          <w:docPartUnique/>
        </w:docPartObj>
      </w:sdtPr>
      <w:sdtEndPr/>
      <w:sdtContent>
        <w:r w:rsidR="003575E2" w:rsidRPr="000C26B2">
          <w:fldChar w:fldCharType="begin"/>
        </w:r>
        <w:r w:rsidR="003575E2" w:rsidRPr="000C26B2">
          <w:instrText>PAGE   \* MERGEFORMAT</w:instrText>
        </w:r>
        <w:r w:rsidR="003575E2" w:rsidRPr="000C26B2">
          <w:fldChar w:fldCharType="separate"/>
        </w:r>
        <w:r w:rsidR="003575E2" w:rsidRPr="000C26B2">
          <w:t>2</w:t>
        </w:r>
        <w:r w:rsidR="003575E2" w:rsidRPr="000C26B2">
          <w:fldChar w:fldCharType="end"/>
        </w:r>
      </w:sdtContent>
    </w:sdt>
  </w:p>
  <w:p w14:paraId="65BB26E4" w14:textId="77777777" w:rsidR="003575E2" w:rsidRPr="000C26B2" w:rsidRDefault="003575E2">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26569" w14:textId="22B1E14F" w:rsidR="003575E2" w:rsidRPr="00A41A9E" w:rsidRDefault="003575E2" w:rsidP="001D6AC6">
    <w:pPr>
      <w:pStyle w:val="Galvene"/>
      <w:tabs>
        <w:tab w:val="clear" w:pos="8306"/>
        <w:tab w:val="right" w:pos="9071"/>
      </w:tabs>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2280B"/>
    <w:multiLevelType w:val="hybridMultilevel"/>
    <w:tmpl w:val="E78EBE90"/>
    <w:lvl w:ilvl="0" w:tplc="AE9AD554">
      <w:start w:val="1"/>
      <w:numFmt w:val="decimal"/>
      <w:lvlText w:val="%1."/>
      <w:lvlJc w:val="left"/>
      <w:pPr>
        <w:ind w:left="180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1CC74741"/>
    <w:multiLevelType w:val="hybridMultilevel"/>
    <w:tmpl w:val="69A081C6"/>
    <w:lvl w:ilvl="0" w:tplc="4D124466">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2BFC234A"/>
    <w:multiLevelType w:val="hybridMultilevel"/>
    <w:tmpl w:val="E9CCB5C2"/>
    <w:lvl w:ilvl="0" w:tplc="0426000F">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406407F8"/>
    <w:multiLevelType w:val="hybridMultilevel"/>
    <w:tmpl w:val="DBF84E4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50313DFC"/>
    <w:multiLevelType w:val="hybridMultilevel"/>
    <w:tmpl w:val="B43E4DAE"/>
    <w:lvl w:ilvl="0" w:tplc="AE9AD55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528A32DE"/>
    <w:multiLevelType w:val="hybridMultilevel"/>
    <w:tmpl w:val="471EB1F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620C356A"/>
    <w:multiLevelType w:val="multilevel"/>
    <w:tmpl w:val="CA4C6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4"/>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2E0"/>
    <w:rsid w:val="00001B02"/>
    <w:rsid w:val="00001C96"/>
    <w:rsid w:val="00001E21"/>
    <w:rsid w:val="000025C2"/>
    <w:rsid w:val="0000397D"/>
    <w:rsid w:val="000045F1"/>
    <w:rsid w:val="0000532E"/>
    <w:rsid w:val="00010917"/>
    <w:rsid w:val="00011053"/>
    <w:rsid w:val="000124D8"/>
    <w:rsid w:val="00012949"/>
    <w:rsid w:val="00013664"/>
    <w:rsid w:val="00014BAE"/>
    <w:rsid w:val="00016E49"/>
    <w:rsid w:val="00017360"/>
    <w:rsid w:val="000215A3"/>
    <w:rsid w:val="00022DE4"/>
    <w:rsid w:val="00023D96"/>
    <w:rsid w:val="00025257"/>
    <w:rsid w:val="00030B9C"/>
    <w:rsid w:val="00031E78"/>
    <w:rsid w:val="000361BD"/>
    <w:rsid w:val="000370DF"/>
    <w:rsid w:val="00040BA4"/>
    <w:rsid w:val="00040D6F"/>
    <w:rsid w:val="000417BE"/>
    <w:rsid w:val="00042D50"/>
    <w:rsid w:val="00045509"/>
    <w:rsid w:val="0005158F"/>
    <w:rsid w:val="000521DE"/>
    <w:rsid w:val="0005487A"/>
    <w:rsid w:val="00057B4B"/>
    <w:rsid w:val="00061228"/>
    <w:rsid w:val="00061D87"/>
    <w:rsid w:val="00062799"/>
    <w:rsid w:val="00063190"/>
    <w:rsid w:val="0007073F"/>
    <w:rsid w:val="00071A28"/>
    <w:rsid w:val="000732F5"/>
    <w:rsid w:val="00075B96"/>
    <w:rsid w:val="00076E29"/>
    <w:rsid w:val="00077AB2"/>
    <w:rsid w:val="00080D7D"/>
    <w:rsid w:val="00082517"/>
    <w:rsid w:val="00082AD2"/>
    <w:rsid w:val="0008308D"/>
    <w:rsid w:val="00083BCF"/>
    <w:rsid w:val="0008495E"/>
    <w:rsid w:val="00084F17"/>
    <w:rsid w:val="00085F5F"/>
    <w:rsid w:val="00086C64"/>
    <w:rsid w:val="0009084F"/>
    <w:rsid w:val="000908CB"/>
    <w:rsid w:val="0009372D"/>
    <w:rsid w:val="00094333"/>
    <w:rsid w:val="00095A4D"/>
    <w:rsid w:val="000A7006"/>
    <w:rsid w:val="000B0C9A"/>
    <w:rsid w:val="000B0EA5"/>
    <w:rsid w:val="000B2E48"/>
    <w:rsid w:val="000B5431"/>
    <w:rsid w:val="000B7FAB"/>
    <w:rsid w:val="000C26B2"/>
    <w:rsid w:val="000C4FA7"/>
    <w:rsid w:val="000C56C9"/>
    <w:rsid w:val="000C7547"/>
    <w:rsid w:val="000C79D9"/>
    <w:rsid w:val="000D2A00"/>
    <w:rsid w:val="000D62E6"/>
    <w:rsid w:val="000D6EE2"/>
    <w:rsid w:val="000D7BF3"/>
    <w:rsid w:val="000E08C8"/>
    <w:rsid w:val="000E1983"/>
    <w:rsid w:val="000E1BA9"/>
    <w:rsid w:val="000E1EA1"/>
    <w:rsid w:val="000E54AA"/>
    <w:rsid w:val="000E74E9"/>
    <w:rsid w:val="000E7C20"/>
    <w:rsid w:val="000F473C"/>
    <w:rsid w:val="000F54A3"/>
    <w:rsid w:val="000F678F"/>
    <w:rsid w:val="000F7FA1"/>
    <w:rsid w:val="0010284D"/>
    <w:rsid w:val="00103898"/>
    <w:rsid w:val="001038C3"/>
    <w:rsid w:val="0010738D"/>
    <w:rsid w:val="00112AE6"/>
    <w:rsid w:val="0011458D"/>
    <w:rsid w:val="0011471E"/>
    <w:rsid w:val="00120FB8"/>
    <w:rsid w:val="00122758"/>
    <w:rsid w:val="00130C82"/>
    <w:rsid w:val="0013243E"/>
    <w:rsid w:val="001345FA"/>
    <w:rsid w:val="00134E71"/>
    <w:rsid w:val="00135D9C"/>
    <w:rsid w:val="001376D7"/>
    <w:rsid w:val="00141A3F"/>
    <w:rsid w:val="001429C2"/>
    <w:rsid w:val="001445B3"/>
    <w:rsid w:val="0014700B"/>
    <w:rsid w:val="00147C23"/>
    <w:rsid w:val="00154735"/>
    <w:rsid w:val="00154D0E"/>
    <w:rsid w:val="0015581F"/>
    <w:rsid w:val="00157EB4"/>
    <w:rsid w:val="001624BA"/>
    <w:rsid w:val="0016475E"/>
    <w:rsid w:val="001657DE"/>
    <w:rsid w:val="00175AB3"/>
    <w:rsid w:val="00176836"/>
    <w:rsid w:val="001772F7"/>
    <w:rsid w:val="00177DC8"/>
    <w:rsid w:val="0018715E"/>
    <w:rsid w:val="0019179A"/>
    <w:rsid w:val="001930F7"/>
    <w:rsid w:val="0019348A"/>
    <w:rsid w:val="0019545C"/>
    <w:rsid w:val="00195C2D"/>
    <w:rsid w:val="00195D8A"/>
    <w:rsid w:val="00197D98"/>
    <w:rsid w:val="001A1089"/>
    <w:rsid w:val="001A18FA"/>
    <w:rsid w:val="001A3525"/>
    <w:rsid w:val="001A369B"/>
    <w:rsid w:val="001A3BDC"/>
    <w:rsid w:val="001A5DE3"/>
    <w:rsid w:val="001A5E49"/>
    <w:rsid w:val="001A7A9C"/>
    <w:rsid w:val="001B57B9"/>
    <w:rsid w:val="001C0C1D"/>
    <w:rsid w:val="001C32C2"/>
    <w:rsid w:val="001C450A"/>
    <w:rsid w:val="001D3578"/>
    <w:rsid w:val="001D4C3A"/>
    <w:rsid w:val="001D55C2"/>
    <w:rsid w:val="001D6AC6"/>
    <w:rsid w:val="001D73DD"/>
    <w:rsid w:val="001E351C"/>
    <w:rsid w:val="001E3CD2"/>
    <w:rsid w:val="001E4010"/>
    <w:rsid w:val="001E49A8"/>
    <w:rsid w:val="001E4BBE"/>
    <w:rsid w:val="001E6394"/>
    <w:rsid w:val="001E68D0"/>
    <w:rsid w:val="001F1156"/>
    <w:rsid w:val="00204295"/>
    <w:rsid w:val="00204470"/>
    <w:rsid w:val="00205A02"/>
    <w:rsid w:val="00207F69"/>
    <w:rsid w:val="0021295A"/>
    <w:rsid w:val="002148C2"/>
    <w:rsid w:val="002213D0"/>
    <w:rsid w:val="00221FC1"/>
    <w:rsid w:val="00222B4E"/>
    <w:rsid w:val="002233D9"/>
    <w:rsid w:val="00224EDB"/>
    <w:rsid w:val="00230F1A"/>
    <w:rsid w:val="00231A6E"/>
    <w:rsid w:val="00231CC2"/>
    <w:rsid w:val="002334E6"/>
    <w:rsid w:val="002355B4"/>
    <w:rsid w:val="0023713A"/>
    <w:rsid w:val="002403B8"/>
    <w:rsid w:val="00241EF9"/>
    <w:rsid w:val="00243FF6"/>
    <w:rsid w:val="0024690E"/>
    <w:rsid w:val="00247C1F"/>
    <w:rsid w:val="00247D12"/>
    <w:rsid w:val="002518A9"/>
    <w:rsid w:val="00252B80"/>
    <w:rsid w:val="002554AD"/>
    <w:rsid w:val="00255AB5"/>
    <w:rsid w:val="00255E37"/>
    <w:rsid w:val="00257051"/>
    <w:rsid w:val="002607D9"/>
    <w:rsid w:val="002612C3"/>
    <w:rsid w:val="00263DB5"/>
    <w:rsid w:val="00265C0F"/>
    <w:rsid w:val="00266787"/>
    <w:rsid w:val="00267192"/>
    <w:rsid w:val="00267877"/>
    <w:rsid w:val="0027107F"/>
    <w:rsid w:val="00271BF3"/>
    <w:rsid w:val="00272646"/>
    <w:rsid w:val="0027319B"/>
    <w:rsid w:val="0027754E"/>
    <w:rsid w:val="002778C0"/>
    <w:rsid w:val="0028132F"/>
    <w:rsid w:val="00287942"/>
    <w:rsid w:val="00287E82"/>
    <w:rsid w:val="00291D4B"/>
    <w:rsid w:val="00292D86"/>
    <w:rsid w:val="002936B4"/>
    <w:rsid w:val="002940AB"/>
    <w:rsid w:val="002940C7"/>
    <w:rsid w:val="00294C33"/>
    <w:rsid w:val="002A01A1"/>
    <w:rsid w:val="002A0C43"/>
    <w:rsid w:val="002A1AFF"/>
    <w:rsid w:val="002A21CA"/>
    <w:rsid w:val="002A3480"/>
    <w:rsid w:val="002A3975"/>
    <w:rsid w:val="002B0A1B"/>
    <w:rsid w:val="002B0ECF"/>
    <w:rsid w:val="002B2B2F"/>
    <w:rsid w:val="002B408C"/>
    <w:rsid w:val="002B442E"/>
    <w:rsid w:val="002B58E9"/>
    <w:rsid w:val="002B64E2"/>
    <w:rsid w:val="002B7C27"/>
    <w:rsid w:val="002C2410"/>
    <w:rsid w:val="002C3DF9"/>
    <w:rsid w:val="002C6171"/>
    <w:rsid w:val="002C7A52"/>
    <w:rsid w:val="002D1236"/>
    <w:rsid w:val="002D1A56"/>
    <w:rsid w:val="002D2738"/>
    <w:rsid w:val="002D2A93"/>
    <w:rsid w:val="002D3379"/>
    <w:rsid w:val="002D4725"/>
    <w:rsid w:val="002D4D28"/>
    <w:rsid w:val="002E068B"/>
    <w:rsid w:val="002E4765"/>
    <w:rsid w:val="002E7A4E"/>
    <w:rsid w:val="002F102A"/>
    <w:rsid w:val="002F4976"/>
    <w:rsid w:val="002F65B5"/>
    <w:rsid w:val="002F68B3"/>
    <w:rsid w:val="002F6F16"/>
    <w:rsid w:val="00302A56"/>
    <w:rsid w:val="00302BAF"/>
    <w:rsid w:val="003038E9"/>
    <w:rsid w:val="00304AB2"/>
    <w:rsid w:val="00305645"/>
    <w:rsid w:val="003073FC"/>
    <w:rsid w:val="003109EE"/>
    <w:rsid w:val="0031434B"/>
    <w:rsid w:val="0031447D"/>
    <w:rsid w:val="00314929"/>
    <w:rsid w:val="003203EC"/>
    <w:rsid w:val="00321A8A"/>
    <w:rsid w:val="003252AF"/>
    <w:rsid w:val="00327E50"/>
    <w:rsid w:val="00330076"/>
    <w:rsid w:val="003352A4"/>
    <w:rsid w:val="00340567"/>
    <w:rsid w:val="003409BA"/>
    <w:rsid w:val="00340A14"/>
    <w:rsid w:val="00342770"/>
    <w:rsid w:val="00343394"/>
    <w:rsid w:val="00343FF7"/>
    <w:rsid w:val="00344716"/>
    <w:rsid w:val="00346FEC"/>
    <w:rsid w:val="00353649"/>
    <w:rsid w:val="00355F7D"/>
    <w:rsid w:val="003575E2"/>
    <w:rsid w:val="00360DED"/>
    <w:rsid w:val="00362FBE"/>
    <w:rsid w:val="00370520"/>
    <w:rsid w:val="00371196"/>
    <w:rsid w:val="003733F6"/>
    <w:rsid w:val="003734DA"/>
    <w:rsid w:val="0037470A"/>
    <w:rsid w:val="003749CE"/>
    <w:rsid w:val="0037626D"/>
    <w:rsid w:val="003772F6"/>
    <w:rsid w:val="00377871"/>
    <w:rsid w:val="00380B68"/>
    <w:rsid w:val="00381406"/>
    <w:rsid w:val="00381B83"/>
    <w:rsid w:val="00383E54"/>
    <w:rsid w:val="00384D5A"/>
    <w:rsid w:val="00384E15"/>
    <w:rsid w:val="00385201"/>
    <w:rsid w:val="00385A7C"/>
    <w:rsid w:val="00387628"/>
    <w:rsid w:val="003924FA"/>
    <w:rsid w:val="003938BA"/>
    <w:rsid w:val="00394BEC"/>
    <w:rsid w:val="00395C87"/>
    <w:rsid w:val="00396E9E"/>
    <w:rsid w:val="00397F42"/>
    <w:rsid w:val="003A1104"/>
    <w:rsid w:val="003A1880"/>
    <w:rsid w:val="003A320B"/>
    <w:rsid w:val="003A45A3"/>
    <w:rsid w:val="003A61A9"/>
    <w:rsid w:val="003A7157"/>
    <w:rsid w:val="003A750B"/>
    <w:rsid w:val="003B32B8"/>
    <w:rsid w:val="003B47A3"/>
    <w:rsid w:val="003B556C"/>
    <w:rsid w:val="003B579D"/>
    <w:rsid w:val="003C0F81"/>
    <w:rsid w:val="003C298C"/>
    <w:rsid w:val="003C4F2A"/>
    <w:rsid w:val="003C61D6"/>
    <w:rsid w:val="003C73FC"/>
    <w:rsid w:val="003C7E09"/>
    <w:rsid w:val="003E10C0"/>
    <w:rsid w:val="003E23E3"/>
    <w:rsid w:val="003E32E9"/>
    <w:rsid w:val="003E7091"/>
    <w:rsid w:val="003E7305"/>
    <w:rsid w:val="003F23BB"/>
    <w:rsid w:val="003F5E7F"/>
    <w:rsid w:val="004021C2"/>
    <w:rsid w:val="0040536A"/>
    <w:rsid w:val="004056B3"/>
    <w:rsid w:val="00407C93"/>
    <w:rsid w:val="00410EFB"/>
    <w:rsid w:val="00413DC0"/>
    <w:rsid w:val="004160D6"/>
    <w:rsid w:val="004267C5"/>
    <w:rsid w:val="00426AA4"/>
    <w:rsid w:val="004278D9"/>
    <w:rsid w:val="00430E05"/>
    <w:rsid w:val="0043218E"/>
    <w:rsid w:val="004323B7"/>
    <w:rsid w:val="00432951"/>
    <w:rsid w:val="004345B5"/>
    <w:rsid w:val="00441C8B"/>
    <w:rsid w:val="00442321"/>
    <w:rsid w:val="004467B6"/>
    <w:rsid w:val="004515C3"/>
    <w:rsid w:val="00452C04"/>
    <w:rsid w:val="00455714"/>
    <w:rsid w:val="004571F7"/>
    <w:rsid w:val="00462E60"/>
    <w:rsid w:val="00464C98"/>
    <w:rsid w:val="00465703"/>
    <w:rsid w:val="00465931"/>
    <w:rsid w:val="00466A94"/>
    <w:rsid w:val="0047212C"/>
    <w:rsid w:val="00472E33"/>
    <w:rsid w:val="00474C43"/>
    <w:rsid w:val="0047578E"/>
    <w:rsid w:val="0047618E"/>
    <w:rsid w:val="00482222"/>
    <w:rsid w:val="004836C9"/>
    <w:rsid w:val="004846DC"/>
    <w:rsid w:val="004917A6"/>
    <w:rsid w:val="004937B5"/>
    <w:rsid w:val="0049392C"/>
    <w:rsid w:val="004950A5"/>
    <w:rsid w:val="0049540E"/>
    <w:rsid w:val="004978B9"/>
    <w:rsid w:val="004A0E41"/>
    <w:rsid w:val="004A151B"/>
    <w:rsid w:val="004A2B6A"/>
    <w:rsid w:val="004A37A8"/>
    <w:rsid w:val="004A7A11"/>
    <w:rsid w:val="004A7B7F"/>
    <w:rsid w:val="004B16AD"/>
    <w:rsid w:val="004B1B97"/>
    <w:rsid w:val="004B3AD9"/>
    <w:rsid w:val="004B6F57"/>
    <w:rsid w:val="004C3549"/>
    <w:rsid w:val="004C3B4D"/>
    <w:rsid w:val="004D0E89"/>
    <w:rsid w:val="004D3822"/>
    <w:rsid w:val="004D3F68"/>
    <w:rsid w:val="004D4697"/>
    <w:rsid w:val="004E1B90"/>
    <w:rsid w:val="004E2A73"/>
    <w:rsid w:val="004E3D99"/>
    <w:rsid w:val="004E72A5"/>
    <w:rsid w:val="004E7336"/>
    <w:rsid w:val="004E7AEB"/>
    <w:rsid w:val="004F20C7"/>
    <w:rsid w:val="004F26E3"/>
    <w:rsid w:val="004F73DA"/>
    <w:rsid w:val="00500674"/>
    <w:rsid w:val="005019AB"/>
    <w:rsid w:val="005054F5"/>
    <w:rsid w:val="005121CF"/>
    <w:rsid w:val="00512E5C"/>
    <w:rsid w:val="0051383B"/>
    <w:rsid w:val="00513B51"/>
    <w:rsid w:val="00513BB6"/>
    <w:rsid w:val="00515D6C"/>
    <w:rsid w:val="00516244"/>
    <w:rsid w:val="0051762C"/>
    <w:rsid w:val="005209D5"/>
    <w:rsid w:val="00523FE6"/>
    <w:rsid w:val="005270E7"/>
    <w:rsid w:val="00530A05"/>
    <w:rsid w:val="0053127B"/>
    <w:rsid w:val="00534B4D"/>
    <w:rsid w:val="005369FC"/>
    <w:rsid w:val="00543222"/>
    <w:rsid w:val="00543648"/>
    <w:rsid w:val="00543C57"/>
    <w:rsid w:val="00544570"/>
    <w:rsid w:val="00544720"/>
    <w:rsid w:val="00544EFD"/>
    <w:rsid w:val="00551112"/>
    <w:rsid w:val="00551503"/>
    <w:rsid w:val="005516F0"/>
    <w:rsid w:val="005522AB"/>
    <w:rsid w:val="005531D0"/>
    <w:rsid w:val="00553DC2"/>
    <w:rsid w:val="00554638"/>
    <w:rsid w:val="00555A51"/>
    <w:rsid w:val="00557810"/>
    <w:rsid w:val="00566856"/>
    <w:rsid w:val="00566C27"/>
    <w:rsid w:val="00566D3E"/>
    <w:rsid w:val="00566E4F"/>
    <w:rsid w:val="00570401"/>
    <w:rsid w:val="00572DA0"/>
    <w:rsid w:val="00577A73"/>
    <w:rsid w:val="00583DB1"/>
    <w:rsid w:val="00585048"/>
    <w:rsid w:val="005864EF"/>
    <w:rsid w:val="0059085C"/>
    <w:rsid w:val="00591925"/>
    <w:rsid w:val="00591ACB"/>
    <w:rsid w:val="00592186"/>
    <w:rsid w:val="005979A3"/>
    <w:rsid w:val="005A0A74"/>
    <w:rsid w:val="005A0F5F"/>
    <w:rsid w:val="005A2AF7"/>
    <w:rsid w:val="005A37F2"/>
    <w:rsid w:val="005A510F"/>
    <w:rsid w:val="005A5573"/>
    <w:rsid w:val="005A5A96"/>
    <w:rsid w:val="005A68D6"/>
    <w:rsid w:val="005A78DE"/>
    <w:rsid w:val="005B1578"/>
    <w:rsid w:val="005B1C38"/>
    <w:rsid w:val="005B20CD"/>
    <w:rsid w:val="005B70FC"/>
    <w:rsid w:val="005C07C1"/>
    <w:rsid w:val="005C4432"/>
    <w:rsid w:val="005C51F5"/>
    <w:rsid w:val="005C7E73"/>
    <w:rsid w:val="005D0F7D"/>
    <w:rsid w:val="005D3CEF"/>
    <w:rsid w:val="005E3FD4"/>
    <w:rsid w:val="005E4470"/>
    <w:rsid w:val="005E51AF"/>
    <w:rsid w:val="005E78AA"/>
    <w:rsid w:val="005F12D3"/>
    <w:rsid w:val="005F171E"/>
    <w:rsid w:val="005F2421"/>
    <w:rsid w:val="005F34B4"/>
    <w:rsid w:val="005F620D"/>
    <w:rsid w:val="005F7654"/>
    <w:rsid w:val="0060139F"/>
    <w:rsid w:val="006016FF"/>
    <w:rsid w:val="00601FE7"/>
    <w:rsid w:val="006051FF"/>
    <w:rsid w:val="00605BF5"/>
    <w:rsid w:val="00605ECD"/>
    <w:rsid w:val="00610333"/>
    <w:rsid w:val="00611218"/>
    <w:rsid w:val="006118F3"/>
    <w:rsid w:val="00611DB1"/>
    <w:rsid w:val="00611EC0"/>
    <w:rsid w:val="00614706"/>
    <w:rsid w:val="00617BEF"/>
    <w:rsid w:val="00617F0E"/>
    <w:rsid w:val="00620A0B"/>
    <w:rsid w:val="00624822"/>
    <w:rsid w:val="006271C4"/>
    <w:rsid w:val="006302B0"/>
    <w:rsid w:val="006303E9"/>
    <w:rsid w:val="00631453"/>
    <w:rsid w:val="00631A25"/>
    <w:rsid w:val="00631AF0"/>
    <w:rsid w:val="00631CAB"/>
    <w:rsid w:val="0063358B"/>
    <w:rsid w:val="00633800"/>
    <w:rsid w:val="0063772C"/>
    <w:rsid w:val="00642608"/>
    <w:rsid w:val="00642FB1"/>
    <w:rsid w:val="00643A25"/>
    <w:rsid w:val="00644995"/>
    <w:rsid w:val="006452C5"/>
    <w:rsid w:val="00647345"/>
    <w:rsid w:val="00647427"/>
    <w:rsid w:val="006479CA"/>
    <w:rsid w:val="006519C0"/>
    <w:rsid w:val="006527AC"/>
    <w:rsid w:val="00652AF4"/>
    <w:rsid w:val="00654434"/>
    <w:rsid w:val="0065572B"/>
    <w:rsid w:val="00660774"/>
    <w:rsid w:val="00660963"/>
    <w:rsid w:val="0066176A"/>
    <w:rsid w:val="00662D81"/>
    <w:rsid w:val="00662FD0"/>
    <w:rsid w:val="0066449F"/>
    <w:rsid w:val="0066627D"/>
    <w:rsid w:val="00667F3E"/>
    <w:rsid w:val="00670649"/>
    <w:rsid w:val="00670B21"/>
    <w:rsid w:val="0067180F"/>
    <w:rsid w:val="00672668"/>
    <w:rsid w:val="0067510A"/>
    <w:rsid w:val="006777DD"/>
    <w:rsid w:val="00677927"/>
    <w:rsid w:val="006812D3"/>
    <w:rsid w:val="00681F42"/>
    <w:rsid w:val="00683208"/>
    <w:rsid w:val="006846F0"/>
    <w:rsid w:val="006858D6"/>
    <w:rsid w:val="00685910"/>
    <w:rsid w:val="0069104D"/>
    <w:rsid w:val="00696F9B"/>
    <w:rsid w:val="006972E5"/>
    <w:rsid w:val="006A0021"/>
    <w:rsid w:val="006A0B21"/>
    <w:rsid w:val="006A1FDD"/>
    <w:rsid w:val="006A2882"/>
    <w:rsid w:val="006A5514"/>
    <w:rsid w:val="006B0619"/>
    <w:rsid w:val="006B4B2E"/>
    <w:rsid w:val="006B7A6F"/>
    <w:rsid w:val="006C120F"/>
    <w:rsid w:val="006C321C"/>
    <w:rsid w:val="006C38CC"/>
    <w:rsid w:val="006C502F"/>
    <w:rsid w:val="006C65DA"/>
    <w:rsid w:val="006D180C"/>
    <w:rsid w:val="006D23CD"/>
    <w:rsid w:val="006D522C"/>
    <w:rsid w:val="006D570F"/>
    <w:rsid w:val="006E38FD"/>
    <w:rsid w:val="006E78FC"/>
    <w:rsid w:val="006F0744"/>
    <w:rsid w:val="006F0BD2"/>
    <w:rsid w:val="006F2C6A"/>
    <w:rsid w:val="006F341E"/>
    <w:rsid w:val="006F6CBD"/>
    <w:rsid w:val="0070283E"/>
    <w:rsid w:val="00702F8A"/>
    <w:rsid w:val="00705C38"/>
    <w:rsid w:val="0070752E"/>
    <w:rsid w:val="00707BF7"/>
    <w:rsid w:val="00710BF4"/>
    <w:rsid w:val="007126D0"/>
    <w:rsid w:val="00713F82"/>
    <w:rsid w:val="00721F79"/>
    <w:rsid w:val="00725D9A"/>
    <w:rsid w:val="00731A12"/>
    <w:rsid w:val="0073314A"/>
    <w:rsid w:val="007336BE"/>
    <w:rsid w:val="007346C4"/>
    <w:rsid w:val="00735062"/>
    <w:rsid w:val="007360C2"/>
    <w:rsid w:val="00741929"/>
    <w:rsid w:val="0074216B"/>
    <w:rsid w:val="0075011C"/>
    <w:rsid w:val="00753015"/>
    <w:rsid w:val="00754BB4"/>
    <w:rsid w:val="007552B1"/>
    <w:rsid w:val="00756AAB"/>
    <w:rsid w:val="00756E3D"/>
    <w:rsid w:val="0075746C"/>
    <w:rsid w:val="007640F7"/>
    <w:rsid w:val="00764B77"/>
    <w:rsid w:val="00766185"/>
    <w:rsid w:val="00772E97"/>
    <w:rsid w:val="00773BAB"/>
    <w:rsid w:val="007749FC"/>
    <w:rsid w:val="00774BFA"/>
    <w:rsid w:val="007763CD"/>
    <w:rsid w:val="00776CC5"/>
    <w:rsid w:val="00777A75"/>
    <w:rsid w:val="007805D0"/>
    <w:rsid w:val="00781CBC"/>
    <w:rsid w:val="00784405"/>
    <w:rsid w:val="007852D8"/>
    <w:rsid w:val="007865D8"/>
    <w:rsid w:val="007927EC"/>
    <w:rsid w:val="00792B29"/>
    <w:rsid w:val="0079349C"/>
    <w:rsid w:val="0079621C"/>
    <w:rsid w:val="00796264"/>
    <w:rsid w:val="007A0228"/>
    <w:rsid w:val="007A0C57"/>
    <w:rsid w:val="007A225B"/>
    <w:rsid w:val="007B1EC4"/>
    <w:rsid w:val="007B519C"/>
    <w:rsid w:val="007B52E0"/>
    <w:rsid w:val="007B71CB"/>
    <w:rsid w:val="007C0348"/>
    <w:rsid w:val="007C38B8"/>
    <w:rsid w:val="007C3A4C"/>
    <w:rsid w:val="007C7E37"/>
    <w:rsid w:val="007D24DF"/>
    <w:rsid w:val="007D290C"/>
    <w:rsid w:val="007D3574"/>
    <w:rsid w:val="007D359C"/>
    <w:rsid w:val="007D7497"/>
    <w:rsid w:val="007E00A9"/>
    <w:rsid w:val="007E032E"/>
    <w:rsid w:val="007E0B2C"/>
    <w:rsid w:val="007E1EFB"/>
    <w:rsid w:val="007E3087"/>
    <w:rsid w:val="007E439C"/>
    <w:rsid w:val="007E6EA8"/>
    <w:rsid w:val="007E7B2C"/>
    <w:rsid w:val="007E7C72"/>
    <w:rsid w:val="007F0E98"/>
    <w:rsid w:val="007F3614"/>
    <w:rsid w:val="007F4153"/>
    <w:rsid w:val="007F7493"/>
    <w:rsid w:val="007F786D"/>
    <w:rsid w:val="007F78C2"/>
    <w:rsid w:val="008029EE"/>
    <w:rsid w:val="00805714"/>
    <w:rsid w:val="00805EA5"/>
    <w:rsid w:val="00806DDE"/>
    <w:rsid w:val="008121D2"/>
    <w:rsid w:val="00813D01"/>
    <w:rsid w:val="008148D5"/>
    <w:rsid w:val="00821DB2"/>
    <w:rsid w:val="00826244"/>
    <w:rsid w:val="00827A8E"/>
    <w:rsid w:val="00834731"/>
    <w:rsid w:val="0083551F"/>
    <w:rsid w:val="00841711"/>
    <w:rsid w:val="008434E5"/>
    <w:rsid w:val="00844F82"/>
    <w:rsid w:val="00846B34"/>
    <w:rsid w:val="00846EB4"/>
    <w:rsid w:val="00850A3A"/>
    <w:rsid w:val="00850DBD"/>
    <w:rsid w:val="00854A63"/>
    <w:rsid w:val="00855BA3"/>
    <w:rsid w:val="00861417"/>
    <w:rsid w:val="00863482"/>
    <w:rsid w:val="008643AE"/>
    <w:rsid w:val="00865AD2"/>
    <w:rsid w:val="00865B0E"/>
    <w:rsid w:val="008678DF"/>
    <w:rsid w:val="008703EF"/>
    <w:rsid w:val="008704E2"/>
    <w:rsid w:val="00873DA6"/>
    <w:rsid w:val="00877193"/>
    <w:rsid w:val="00877B21"/>
    <w:rsid w:val="00890A1C"/>
    <w:rsid w:val="008914D9"/>
    <w:rsid w:val="00893F6A"/>
    <w:rsid w:val="00895AB5"/>
    <w:rsid w:val="00897E7C"/>
    <w:rsid w:val="008A0284"/>
    <w:rsid w:val="008A47AB"/>
    <w:rsid w:val="008A4E1A"/>
    <w:rsid w:val="008A5134"/>
    <w:rsid w:val="008A551C"/>
    <w:rsid w:val="008A70D2"/>
    <w:rsid w:val="008B49EC"/>
    <w:rsid w:val="008B7CD5"/>
    <w:rsid w:val="008B7F20"/>
    <w:rsid w:val="008C06ED"/>
    <w:rsid w:val="008C140F"/>
    <w:rsid w:val="008C3A7E"/>
    <w:rsid w:val="008C775F"/>
    <w:rsid w:val="008D227A"/>
    <w:rsid w:val="008D44FA"/>
    <w:rsid w:val="008D6731"/>
    <w:rsid w:val="008E0C9E"/>
    <w:rsid w:val="008E286F"/>
    <w:rsid w:val="008E7AF5"/>
    <w:rsid w:val="008F01AD"/>
    <w:rsid w:val="008F1D05"/>
    <w:rsid w:val="00902722"/>
    <w:rsid w:val="009046BF"/>
    <w:rsid w:val="00907134"/>
    <w:rsid w:val="00907326"/>
    <w:rsid w:val="009075D3"/>
    <w:rsid w:val="00912718"/>
    <w:rsid w:val="00916570"/>
    <w:rsid w:val="00922F65"/>
    <w:rsid w:val="0092627E"/>
    <w:rsid w:val="00926A03"/>
    <w:rsid w:val="00935B21"/>
    <w:rsid w:val="0093764F"/>
    <w:rsid w:val="009459B0"/>
    <w:rsid w:val="00946FF2"/>
    <w:rsid w:val="0094749B"/>
    <w:rsid w:val="0095271D"/>
    <w:rsid w:val="00957EF4"/>
    <w:rsid w:val="009600FA"/>
    <w:rsid w:val="009622E2"/>
    <w:rsid w:val="00964895"/>
    <w:rsid w:val="00974C5C"/>
    <w:rsid w:val="009769F9"/>
    <w:rsid w:val="00981AC6"/>
    <w:rsid w:val="00984100"/>
    <w:rsid w:val="009863FE"/>
    <w:rsid w:val="009877B7"/>
    <w:rsid w:val="00990104"/>
    <w:rsid w:val="009912BE"/>
    <w:rsid w:val="00992946"/>
    <w:rsid w:val="009930A6"/>
    <w:rsid w:val="009946E6"/>
    <w:rsid w:val="00995D21"/>
    <w:rsid w:val="0099648F"/>
    <w:rsid w:val="009A0C7E"/>
    <w:rsid w:val="009A133D"/>
    <w:rsid w:val="009A285C"/>
    <w:rsid w:val="009A3203"/>
    <w:rsid w:val="009A5966"/>
    <w:rsid w:val="009A61D2"/>
    <w:rsid w:val="009A770B"/>
    <w:rsid w:val="009B2B88"/>
    <w:rsid w:val="009B2E9C"/>
    <w:rsid w:val="009B3B17"/>
    <w:rsid w:val="009B6F99"/>
    <w:rsid w:val="009C13EF"/>
    <w:rsid w:val="009C16E3"/>
    <w:rsid w:val="009C414A"/>
    <w:rsid w:val="009C4B24"/>
    <w:rsid w:val="009C4C75"/>
    <w:rsid w:val="009C4F13"/>
    <w:rsid w:val="009C6C4B"/>
    <w:rsid w:val="009C6F59"/>
    <w:rsid w:val="009D2120"/>
    <w:rsid w:val="009D2BBC"/>
    <w:rsid w:val="009D3B3C"/>
    <w:rsid w:val="009D3DE5"/>
    <w:rsid w:val="009E1FE0"/>
    <w:rsid w:val="009E6058"/>
    <w:rsid w:val="009F112F"/>
    <w:rsid w:val="009F1567"/>
    <w:rsid w:val="009F228A"/>
    <w:rsid w:val="009F3D61"/>
    <w:rsid w:val="009F4D38"/>
    <w:rsid w:val="009F6524"/>
    <w:rsid w:val="00A00312"/>
    <w:rsid w:val="00A003E9"/>
    <w:rsid w:val="00A01C86"/>
    <w:rsid w:val="00A01F0A"/>
    <w:rsid w:val="00A034A7"/>
    <w:rsid w:val="00A0465C"/>
    <w:rsid w:val="00A05A55"/>
    <w:rsid w:val="00A06067"/>
    <w:rsid w:val="00A07332"/>
    <w:rsid w:val="00A11E1F"/>
    <w:rsid w:val="00A20CB8"/>
    <w:rsid w:val="00A21AAF"/>
    <w:rsid w:val="00A23834"/>
    <w:rsid w:val="00A24A65"/>
    <w:rsid w:val="00A26BBD"/>
    <w:rsid w:val="00A319F7"/>
    <w:rsid w:val="00A34EB1"/>
    <w:rsid w:val="00A36EBA"/>
    <w:rsid w:val="00A41A9E"/>
    <w:rsid w:val="00A420C1"/>
    <w:rsid w:val="00A4210C"/>
    <w:rsid w:val="00A43150"/>
    <w:rsid w:val="00A476AD"/>
    <w:rsid w:val="00A517DC"/>
    <w:rsid w:val="00A518C8"/>
    <w:rsid w:val="00A52220"/>
    <w:rsid w:val="00A52B05"/>
    <w:rsid w:val="00A54278"/>
    <w:rsid w:val="00A5618A"/>
    <w:rsid w:val="00A600D3"/>
    <w:rsid w:val="00A61585"/>
    <w:rsid w:val="00A625B1"/>
    <w:rsid w:val="00A62CA6"/>
    <w:rsid w:val="00A633A5"/>
    <w:rsid w:val="00A63827"/>
    <w:rsid w:val="00A65216"/>
    <w:rsid w:val="00A7030A"/>
    <w:rsid w:val="00A70C91"/>
    <w:rsid w:val="00A71231"/>
    <w:rsid w:val="00A73F29"/>
    <w:rsid w:val="00A75520"/>
    <w:rsid w:val="00A831F7"/>
    <w:rsid w:val="00A86E08"/>
    <w:rsid w:val="00A87C7C"/>
    <w:rsid w:val="00A90259"/>
    <w:rsid w:val="00A90525"/>
    <w:rsid w:val="00A955CC"/>
    <w:rsid w:val="00A95A51"/>
    <w:rsid w:val="00AA0744"/>
    <w:rsid w:val="00AA0818"/>
    <w:rsid w:val="00AA1574"/>
    <w:rsid w:val="00AA2549"/>
    <w:rsid w:val="00AA319D"/>
    <w:rsid w:val="00AA4838"/>
    <w:rsid w:val="00AA54B6"/>
    <w:rsid w:val="00AA59E9"/>
    <w:rsid w:val="00AB12EC"/>
    <w:rsid w:val="00AB2D41"/>
    <w:rsid w:val="00AB37D9"/>
    <w:rsid w:val="00AB44C3"/>
    <w:rsid w:val="00AB55E9"/>
    <w:rsid w:val="00AC02EE"/>
    <w:rsid w:val="00AC2F1C"/>
    <w:rsid w:val="00AC3FB3"/>
    <w:rsid w:val="00AC6F72"/>
    <w:rsid w:val="00AC7901"/>
    <w:rsid w:val="00AC7A49"/>
    <w:rsid w:val="00AD1D3D"/>
    <w:rsid w:val="00AD3B57"/>
    <w:rsid w:val="00AD5DAC"/>
    <w:rsid w:val="00AE2DF3"/>
    <w:rsid w:val="00AE3595"/>
    <w:rsid w:val="00AE37E0"/>
    <w:rsid w:val="00AE391E"/>
    <w:rsid w:val="00AE43B6"/>
    <w:rsid w:val="00AE4836"/>
    <w:rsid w:val="00AE51F5"/>
    <w:rsid w:val="00AE65C7"/>
    <w:rsid w:val="00AF00DD"/>
    <w:rsid w:val="00AF153F"/>
    <w:rsid w:val="00AF3F2A"/>
    <w:rsid w:val="00AF4257"/>
    <w:rsid w:val="00AF63A8"/>
    <w:rsid w:val="00B011B2"/>
    <w:rsid w:val="00B01990"/>
    <w:rsid w:val="00B02CB8"/>
    <w:rsid w:val="00B0414A"/>
    <w:rsid w:val="00B06562"/>
    <w:rsid w:val="00B06D7A"/>
    <w:rsid w:val="00B11651"/>
    <w:rsid w:val="00B118C2"/>
    <w:rsid w:val="00B11D3D"/>
    <w:rsid w:val="00B207BD"/>
    <w:rsid w:val="00B20D39"/>
    <w:rsid w:val="00B237A6"/>
    <w:rsid w:val="00B311B1"/>
    <w:rsid w:val="00B325EE"/>
    <w:rsid w:val="00B3300D"/>
    <w:rsid w:val="00B346AB"/>
    <w:rsid w:val="00B35C52"/>
    <w:rsid w:val="00B3618C"/>
    <w:rsid w:val="00B37D57"/>
    <w:rsid w:val="00B41D12"/>
    <w:rsid w:val="00B41DEE"/>
    <w:rsid w:val="00B43DC8"/>
    <w:rsid w:val="00B44F98"/>
    <w:rsid w:val="00B45BE4"/>
    <w:rsid w:val="00B55B9E"/>
    <w:rsid w:val="00B5605C"/>
    <w:rsid w:val="00B564EB"/>
    <w:rsid w:val="00B56B5C"/>
    <w:rsid w:val="00B600C8"/>
    <w:rsid w:val="00B6059C"/>
    <w:rsid w:val="00B625AB"/>
    <w:rsid w:val="00B6412D"/>
    <w:rsid w:val="00B7085E"/>
    <w:rsid w:val="00B7196F"/>
    <w:rsid w:val="00B725C7"/>
    <w:rsid w:val="00B74980"/>
    <w:rsid w:val="00B74AC3"/>
    <w:rsid w:val="00B7514E"/>
    <w:rsid w:val="00B75B02"/>
    <w:rsid w:val="00B81BBC"/>
    <w:rsid w:val="00B97A67"/>
    <w:rsid w:val="00B97EC9"/>
    <w:rsid w:val="00BA2DEB"/>
    <w:rsid w:val="00BA3BB9"/>
    <w:rsid w:val="00BA6129"/>
    <w:rsid w:val="00BA63A4"/>
    <w:rsid w:val="00BA72C5"/>
    <w:rsid w:val="00BB1F83"/>
    <w:rsid w:val="00BC02BA"/>
    <w:rsid w:val="00BC16F0"/>
    <w:rsid w:val="00BC2E4D"/>
    <w:rsid w:val="00BC4178"/>
    <w:rsid w:val="00BC7A71"/>
    <w:rsid w:val="00BD1357"/>
    <w:rsid w:val="00BD1A40"/>
    <w:rsid w:val="00BD1CAF"/>
    <w:rsid w:val="00BD22A3"/>
    <w:rsid w:val="00BD330B"/>
    <w:rsid w:val="00BD5EE5"/>
    <w:rsid w:val="00BD7A0A"/>
    <w:rsid w:val="00BE4D80"/>
    <w:rsid w:val="00BE5D4E"/>
    <w:rsid w:val="00BF10DD"/>
    <w:rsid w:val="00BF1A16"/>
    <w:rsid w:val="00BF53B3"/>
    <w:rsid w:val="00BF5B32"/>
    <w:rsid w:val="00BF637D"/>
    <w:rsid w:val="00BF6B57"/>
    <w:rsid w:val="00BF6B70"/>
    <w:rsid w:val="00C017FF"/>
    <w:rsid w:val="00C04370"/>
    <w:rsid w:val="00C04CE5"/>
    <w:rsid w:val="00C06381"/>
    <w:rsid w:val="00C06F57"/>
    <w:rsid w:val="00C071B6"/>
    <w:rsid w:val="00C076E6"/>
    <w:rsid w:val="00C07DBD"/>
    <w:rsid w:val="00C12BF1"/>
    <w:rsid w:val="00C15F6A"/>
    <w:rsid w:val="00C16D8F"/>
    <w:rsid w:val="00C20137"/>
    <w:rsid w:val="00C20BEA"/>
    <w:rsid w:val="00C22728"/>
    <w:rsid w:val="00C25397"/>
    <w:rsid w:val="00C25EFB"/>
    <w:rsid w:val="00C264CA"/>
    <w:rsid w:val="00C269FA"/>
    <w:rsid w:val="00C27473"/>
    <w:rsid w:val="00C27FF0"/>
    <w:rsid w:val="00C30DFC"/>
    <w:rsid w:val="00C30E09"/>
    <w:rsid w:val="00C31DDD"/>
    <w:rsid w:val="00C34E3A"/>
    <w:rsid w:val="00C359E7"/>
    <w:rsid w:val="00C37CF1"/>
    <w:rsid w:val="00C40B66"/>
    <w:rsid w:val="00C42E07"/>
    <w:rsid w:val="00C43504"/>
    <w:rsid w:val="00C45C7E"/>
    <w:rsid w:val="00C45F5F"/>
    <w:rsid w:val="00C47B66"/>
    <w:rsid w:val="00C51511"/>
    <w:rsid w:val="00C51A68"/>
    <w:rsid w:val="00C533C6"/>
    <w:rsid w:val="00C55DFC"/>
    <w:rsid w:val="00C5692E"/>
    <w:rsid w:val="00C569D7"/>
    <w:rsid w:val="00C56F08"/>
    <w:rsid w:val="00C60587"/>
    <w:rsid w:val="00C60E5A"/>
    <w:rsid w:val="00C6110E"/>
    <w:rsid w:val="00C64243"/>
    <w:rsid w:val="00C6685B"/>
    <w:rsid w:val="00C722D3"/>
    <w:rsid w:val="00C72338"/>
    <w:rsid w:val="00C7274E"/>
    <w:rsid w:val="00C72812"/>
    <w:rsid w:val="00C746AA"/>
    <w:rsid w:val="00C7695B"/>
    <w:rsid w:val="00C77A57"/>
    <w:rsid w:val="00C82295"/>
    <w:rsid w:val="00C825CA"/>
    <w:rsid w:val="00C84944"/>
    <w:rsid w:val="00C86B7F"/>
    <w:rsid w:val="00C87F03"/>
    <w:rsid w:val="00C9393F"/>
    <w:rsid w:val="00C93A01"/>
    <w:rsid w:val="00C942A7"/>
    <w:rsid w:val="00C94B4C"/>
    <w:rsid w:val="00C9575F"/>
    <w:rsid w:val="00CA0390"/>
    <w:rsid w:val="00CA1325"/>
    <w:rsid w:val="00CA20A3"/>
    <w:rsid w:val="00CA5C0C"/>
    <w:rsid w:val="00CA6876"/>
    <w:rsid w:val="00CB343F"/>
    <w:rsid w:val="00CB677D"/>
    <w:rsid w:val="00CB7BBA"/>
    <w:rsid w:val="00CC03F2"/>
    <w:rsid w:val="00CC0DB2"/>
    <w:rsid w:val="00CC3E17"/>
    <w:rsid w:val="00CC444D"/>
    <w:rsid w:val="00CC4DF6"/>
    <w:rsid w:val="00CC7175"/>
    <w:rsid w:val="00CD08C6"/>
    <w:rsid w:val="00CD4FEF"/>
    <w:rsid w:val="00CD5BFA"/>
    <w:rsid w:val="00CD5EF4"/>
    <w:rsid w:val="00CD5F1F"/>
    <w:rsid w:val="00CD6EB7"/>
    <w:rsid w:val="00CE19DA"/>
    <w:rsid w:val="00CE388E"/>
    <w:rsid w:val="00CE54DC"/>
    <w:rsid w:val="00CF1EF4"/>
    <w:rsid w:val="00CF456D"/>
    <w:rsid w:val="00CF5409"/>
    <w:rsid w:val="00CF585E"/>
    <w:rsid w:val="00CF593C"/>
    <w:rsid w:val="00D0308A"/>
    <w:rsid w:val="00D03F4F"/>
    <w:rsid w:val="00D06A7C"/>
    <w:rsid w:val="00D10E6C"/>
    <w:rsid w:val="00D1386A"/>
    <w:rsid w:val="00D15F10"/>
    <w:rsid w:val="00D17080"/>
    <w:rsid w:val="00D2381D"/>
    <w:rsid w:val="00D24D40"/>
    <w:rsid w:val="00D2510D"/>
    <w:rsid w:val="00D25A74"/>
    <w:rsid w:val="00D25B50"/>
    <w:rsid w:val="00D25E78"/>
    <w:rsid w:val="00D27067"/>
    <w:rsid w:val="00D271DB"/>
    <w:rsid w:val="00D30065"/>
    <w:rsid w:val="00D302C7"/>
    <w:rsid w:val="00D305E7"/>
    <w:rsid w:val="00D3259E"/>
    <w:rsid w:val="00D326B3"/>
    <w:rsid w:val="00D32D87"/>
    <w:rsid w:val="00D3467A"/>
    <w:rsid w:val="00D35D51"/>
    <w:rsid w:val="00D4218E"/>
    <w:rsid w:val="00D46924"/>
    <w:rsid w:val="00D47D65"/>
    <w:rsid w:val="00D51DA1"/>
    <w:rsid w:val="00D5412E"/>
    <w:rsid w:val="00D6631E"/>
    <w:rsid w:val="00D76365"/>
    <w:rsid w:val="00D90408"/>
    <w:rsid w:val="00D90440"/>
    <w:rsid w:val="00D90ACA"/>
    <w:rsid w:val="00D9117C"/>
    <w:rsid w:val="00D9216F"/>
    <w:rsid w:val="00D92443"/>
    <w:rsid w:val="00D93EB8"/>
    <w:rsid w:val="00DA244E"/>
    <w:rsid w:val="00DA258C"/>
    <w:rsid w:val="00DA3640"/>
    <w:rsid w:val="00DA3805"/>
    <w:rsid w:val="00DA38B3"/>
    <w:rsid w:val="00DA4D3A"/>
    <w:rsid w:val="00DA597E"/>
    <w:rsid w:val="00DB1134"/>
    <w:rsid w:val="00DB347C"/>
    <w:rsid w:val="00DB6133"/>
    <w:rsid w:val="00DB6845"/>
    <w:rsid w:val="00DB6FA8"/>
    <w:rsid w:val="00DB7183"/>
    <w:rsid w:val="00DB79CA"/>
    <w:rsid w:val="00DB7DA6"/>
    <w:rsid w:val="00DC2FFC"/>
    <w:rsid w:val="00DC4DE3"/>
    <w:rsid w:val="00DD0761"/>
    <w:rsid w:val="00DD0DA2"/>
    <w:rsid w:val="00DD1DB9"/>
    <w:rsid w:val="00DD335D"/>
    <w:rsid w:val="00DD3428"/>
    <w:rsid w:val="00DD3765"/>
    <w:rsid w:val="00DD3E1A"/>
    <w:rsid w:val="00DD42CB"/>
    <w:rsid w:val="00DD4C46"/>
    <w:rsid w:val="00DD77DB"/>
    <w:rsid w:val="00DE110C"/>
    <w:rsid w:val="00DE1FB1"/>
    <w:rsid w:val="00DE3B89"/>
    <w:rsid w:val="00DE3ED0"/>
    <w:rsid w:val="00DE625A"/>
    <w:rsid w:val="00DE69AF"/>
    <w:rsid w:val="00DE76B2"/>
    <w:rsid w:val="00DF0B4D"/>
    <w:rsid w:val="00DF2975"/>
    <w:rsid w:val="00DF4670"/>
    <w:rsid w:val="00DF7EF1"/>
    <w:rsid w:val="00E00D63"/>
    <w:rsid w:val="00E017E7"/>
    <w:rsid w:val="00E026A4"/>
    <w:rsid w:val="00E046FB"/>
    <w:rsid w:val="00E054CF"/>
    <w:rsid w:val="00E06E55"/>
    <w:rsid w:val="00E109C6"/>
    <w:rsid w:val="00E11FEC"/>
    <w:rsid w:val="00E1219C"/>
    <w:rsid w:val="00E12495"/>
    <w:rsid w:val="00E12E61"/>
    <w:rsid w:val="00E12EF2"/>
    <w:rsid w:val="00E134AA"/>
    <w:rsid w:val="00E1685B"/>
    <w:rsid w:val="00E20776"/>
    <w:rsid w:val="00E221B8"/>
    <w:rsid w:val="00E230CC"/>
    <w:rsid w:val="00E233C3"/>
    <w:rsid w:val="00E24635"/>
    <w:rsid w:val="00E26536"/>
    <w:rsid w:val="00E2728E"/>
    <w:rsid w:val="00E3076C"/>
    <w:rsid w:val="00E3105D"/>
    <w:rsid w:val="00E31069"/>
    <w:rsid w:val="00E311E0"/>
    <w:rsid w:val="00E33F66"/>
    <w:rsid w:val="00E3536D"/>
    <w:rsid w:val="00E36F6E"/>
    <w:rsid w:val="00E40A5D"/>
    <w:rsid w:val="00E40B85"/>
    <w:rsid w:val="00E40BD2"/>
    <w:rsid w:val="00E40DE8"/>
    <w:rsid w:val="00E41321"/>
    <w:rsid w:val="00E4141B"/>
    <w:rsid w:val="00E41513"/>
    <w:rsid w:val="00E5247C"/>
    <w:rsid w:val="00E53700"/>
    <w:rsid w:val="00E55366"/>
    <w:rsid w:val="00E608D4"/>
    <w:rsid w:val="00E61F2A"/>
    <w:rsid w:val="00E64A7B"/>
    <w:rsid w:val="00E72D57"/>
    <w:rsid w:val="00E74633"/>
    <w:rsid w:val="00E753A9"/>
    <w:rsid w:val="00E7748E"/>
    <w:rsid w:val="00E832A8"/>
    <w:rsid w:val="00E83C84"/>
    <w:rsid w:val="00E85A0F"/>
    <w:rsid w:val="00E86FDD"/>
    <w:rsid w:val="00E90909"/>
    <w:rsid w:val="00E92CC0"/>
    <w:rsid w:val="00E932AD"/>
    <w:rsid w:val="00E939F3"/>
    <w:rsid w:val="00E942B2"/>
    <w:rsid w:val="00E94856"/>
    <w:rsid w:val="00E96FE5"/>
    <w:rsid w:val="00EA11B8"/>
    <w:rsid w:val="00EA1879"/>
    <w:rsid w:val="00EA1FFB"/>
    <w:rsid w:val="00EA24CD"/>
    <w:rsid w:val="00EA2C35"/>
    <w:rsid w:val="00EA409B"/>
    <w:rsid w:val="00EA6CC1"/>
    <w:rsid w:val="00EB01EB"/>
    <w:rsid w:val="00EB066B"/>
    <w:rsid w:val="00EB12A9"/>
    <w:rsid w:val="00EB5675"/>
    <w:rsid w:val="00EB5B2D"/>
    <w:rsid w:val="00EB5F37"/>
    <w:rsid w:val="00EC1820"/>
    <w:rsid w:val="00EC33CE"/>
    <w:rsid w:val="00EC3AB0"/>
    <w:rsid w:val="00EC5832"/>
    <w:rsid w:val="00EC7B61"/>
    <w:rsid w:val="00ED0851"/>
    <w:rsid w:val="00ED19E6"/>
    <w:rsid w:val="00ED1C8B"/>
    <w:rsid w:val="00ED1FDA"/>
    <w:rsid w:val="00EE0B1C"/>
    <w:rsid w:val="00EE5505"/>
    <w:rsid w:val="00EE5930"/>
    <w:rsid w:val="00EE6D2B"/>
    <w:rsid w:val="00EE70C9"/>
    <w:rsid w:val="00EE710F"/>
    <w:rsid w:val="00EF06EF"/>
    <w:rsid w:val="00EF1B30"/>
    <w:rsid w:val="00EF706B"/>
    <w:rsid w:val="00EF718E"/>
    <w:rsid w:val="00EF7844"/>
    <w:rsid w:val="00F0003B"/>
    <w:rsid w:val="00F03194"/>
    <w:rsid w:val="00F0333F"/>
    <w:rsid w:val="00F11EE7"/>
    <w:rsid w:val="00F1233F"/>
    <w:rsid w:val="00F13758"/>
    <w:rsid w:val="00F14956"/>
    <w:rsid w:val="00F15C42"/>
    <w:rsid w:val="00F17451"/>
    <w:rsid w:val="00F20A43"/>
    <w:rsid w:val="00F21992"/>
    <w:rsid w:val="00F239F9"/>
    <w:rsid w:val="00F23F48"/>
    <w:rsid w:val="00F24CE1"/>
    <w:rsid w:val="00F25375"/>
    <w:rsid w:val="00F2537F"/>
    <w:rsid w:val="00F253E6"/>
    <w:rsid w:val="00F25475"/>
    <w:rsid w:val="00F2737E"/>
    <w:rsid w:val="00F30ADD"/>
    <w:rsid w:val="00F369C4"/>
    <w:rsid w:val="00F42DD4"/>
    <w:rsid w:val="00F4302F"/>
    <w:rsid w:val="00F4607B"/>
    <w:rsid w:val="00F510D0"/>
    <w:rsid w:val="00F51221"/>
    <w:rsid w:val="00F5315A"/>
    <w:rsid w:val="00F641B5"/>
    <w:rsid w:val="00F64EC1"/>
    <w:rsid w:val="00F65915"/>
    <w:rsid w:val="00F65A6F"/>
    <w:rsid w:val="00F717D8"/>
    <w:rsid w:val="00F71860"/>
    <w:rsid w:val="00F72972"/>
    <w:rsid w:val="00F74B79"/>
    <w:rsid w:val="00F80074"/>
    <w:rsid w:val="00F814DE"/>
    <w:rsid w:val="00F82A71"/>
    <w:rsid w:val="00F834C8"/>
    <w:rsid w:val="00F84C3A"/>
    <w:rsid w:val="00F90928"/>
    <w:rsid w:val="00F91C7B"/>
    <w:rsid w:val="00F9220E"/>
    <w:rsid w:val="00F92E9B"/>
    <w:rsid w:val="00F92EF0"/>
    <w:rsid w:val="00F9467D"/>
    <w:rsid w:val="00F959CC"/>
    <w:rsid w:val="00FA019F"/>
    <w:rsid w:val="00FA0B60"/>
    <w:rsid w:val="00FA36EA"/>
    <w:rsid w:val="00FA5810"/>
    <w:rsid w:val="00FA5848"/>
    <w:rsid w:val="00FA7907"/>
    <w:rsid w:val="00FB03A2"/>
    <w:rsid w:val="00FB1763"/>
    <w:rsid w:val="00FB202C"/>
    <w:rsid w:val="00FB3C74"/>
    <w:rsid w:val="00FB4631"/>
    <w:rsid w:val="00FC3D6A"/>
    <w:rsid w:val="00FC612F"/>
    <w:rsid w:val="00FC77BD"/>
    <w:rsid w:val="00FD07E3"/>
    <w:rsid w:val="00FD13B5"/>
    <w:rsid w:val="00FD1507"/>
    <w:rsid w:val="00FD34B3"/>
    <w:rsid w:val="00FD4840"/>
    <w:rsid w:val="00FD5808"/>
    <w:rsid w:val="00FD6139"/>
    <w:rsid w:val="00FE1C7B"/>
    <w:rsid w:val="00FE20EB"/>
    <w:rsid w:val="00FE46FE"/>
    <w:rsid w:val="00FE49EE"/>
    <w:rsid w:val="00FE4C90"/>
    <w:rsid w:val="00FE4C9C"/>
    <w:rsid w:val="00FE53EA"/>
    <w:rsid w:val="00FE6F22"/>
    <w:rsid w:val="00FE71C3"/>
    <w:rsid w:val="0803A8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A37B8"/>
  <w15:chartTrackingRefBased/>
  <w15:docId w15:val="{F8741F6C-7C24-4CF2-83CE-892780AE0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lv-LV" w:eastAsia="en-US" w:bidi="ar-SA"/>
      </w:rPr>
    </w:rPrDefault>
    <w:pPrDefault>
      <w:pPr>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12E61"/>
    <w:rPr>
      <w:sz w:val="24"/>
    </w:rPr>
  </w:style>
  <w:style w:type="paragraph" w:styleId="Virsraksts1">
    <w:name w:val="heading 1"/>
    <w:basedOn w:val="Parasts"/>
    <w:next w:val="Parasts"/>
    <w:link w:val="Virsraksts1Rakstz"/>
    <w:uiPriority w:val="9"/>
    <w:qFormat/>
    <w:rsid w:val="00F21992"/>
    <w:pPr>
      <w:keepNext/>
      <w:keepLines/>
      <w:spacing w:before="240"/>
      <w:jc w:val="center"/>
      <w:outlineLvl w:val="0"/>
    </w:pPr>
    <w:rPr>
      <w:rFonts w:eastAsiaTheme="majorEastAsia" w:cstheme="majorBidi"/>
      <w:b/>
      <w:color w:val="000000" w:themeColor="text1"/>
      <w:sz w:val="28"/>
      <w:szCs w:val="32"/>
    </w:rPr>
  </w:style>
  <w:style w:type="paragraph" w:styleId="Virsraksts3">
    <w:name w:val="heading 3"/>
    <w:basedOn w:val="Parasts"/>
    <w:next w:val="Parasts"/>
    <w:link w:val="Virsraksts3Rakstz"/>
    <w:uiPriority w:val="9"/>
    <w:semiHidden/>
    <w:unhideWhenUsed/>
    <w:qFormat/>
    <w:rsid w:val="00EF1B30"/>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E5247C"/>
    <w:pPr>
      <w:tabs>
        <w:tab w:val="center" w:pos="4153"/>
        <w:tab w:val="right" w:pos="8306"/>
      </w:tabs>
    </w:pPr>
  </w:style>
  <w:style w:type="character" w:customStyle="1" w:styleId="GalveneRakstz">
    <w:name w:val="Galvene Rakstz."/>
    <w:basedOn w:val="Noklusjumarindkopasfonts"/>
    <w:link w:val="Galvene"/>
    <w:uiPriority w:val="99"/>
    <w:rsid w:val="00E5247C"/>
  </w:style>
  <w:style w:type="paragraph" w:styleId="Kjene">
    <w:name w:val="footer"/>
    <w:basedOn w:val="Parasts"/>
    <w:link w:val="KjeneRakstz"/>
    <w:uiPriority w:val="99"/>
    <w:unhideWhenUsed/>
    <w:rsid w:val="00E5247C"/>
    <w:pPr>
      <w:tabs>
        <w:tab w:val="center" w:pos="4153"/>
        <w:tab w:val="right" w:pos="8306"/>
      </w:tabs>
    </w:pPr>
  </w:style>
  <w:style w:type="character" w:customStyle="1" w:styleId="KjeneRakstz">
    <w:name w:val="Kājene Rakstz."/>
    <w:basedOn w:val="Noklusjumarindkopasfonts"/>
    <w:link w:val="Kjene"/>
    <w:uiPriority w:val="99"/>
    <w:rsid w:val="00E5247C"/>
  </w:style>
  <w:style w:type="character" w:customStyle="1" w:styleId="Virsraksts1Rakstz">
    <w:name w:val="Virsraksts 1 Rakstz."/>
    <w:basedOn w:val="Noklusjumarindkopasfonts"/>
    <w:link w:val="Virsraksts1"/>
    <w:uiPriority w:val="9"/>
    <w:rsid w:val="00F21992"/>
    <w:rPr>
      <w:rFonts w:eastAsiaTheme="majorEastAsia" w:cstheme="majorBidi"/>
      <w:b/>
      <w:color w:val="000000" w:themeColor="text1"/>
      <w:sz w:val="28"/>
      <w:szCs w:val="32"/>
    </w:rPr>
  </w:style>
  <w:style w:type="paragraph" w:styleId="Saturardtjavirsraksts">
    <w:name w:val="TOC Heading"/>
    <w:basedOn w:val="Virsraksts1"/>
    <w:next w:val="Parasts"/>
    <w:uiPriority w:val="39"/>
    <w:unhideWhenUsed/>
    <w:qFormat/>
    <w:rsid w:val="00F4607B"/>
    <w:pPr>
      <w:spacing w:line="259" w:lineRule="auto"/>
      <w:jc w:val="left"/>
      <w:outlineLvl w:val="9"/>
    </w:pPr>
    <w:rPr>
      <w:lang w:eastAsia="lv-LV"/>
    </w:rPr>
  </w:style>
  <w:style w:type="paragraph" w:styleId="Sarakstarindkopa">
    <w:name w:val="List Paragraph"/>
    <w:aliases w:val="2,Strip"/>
    <w:basedOn w:val="Parasts"/>
    <w:link w:val="SarakstarindkopaRakstz"/>
    <w:qFormat/>
    <w:rsid w:val="00F21992"/>
    <w:pPr>
      <w:ind w:left="720"/>
      <w:contextualSpacing/>
    </w:pPr>
  </w:style>
  <w:style w:type="paragraph" w:styleId="Saturs1">
    <w:name w:val="toc 1"/>
    <w:basedOn w:val="Parasts"/>
    <w:next w:val="Parasts"/>
    <w:autoRedefine/>
    <w:uiPriority w:val="39"/>
    <w:unhideWhenUsed/>
    <w:rsid w:val="00877193"/>
    <w:pPr>
      <w:tabs>
        <w:tab w:val="right" w:leader="dot" w:pos="9072"/>
      </w:tabs>
      <w:spacing w:after="100"/>
      <w:ind w:right="-143" w:firstLine="0"/>
    </w:pPr>
  </w:style>
  <w:style w:type="character" w:styleId="Hipersaite">
    <w:name w:val="Hyperlink"/>
    <w:basedOn w:val="Noklusjumarindkopasfonts"/>
    <w:uiPriority w:val="99"/>
    <w:unhideWhenUsed/>
    <w:rsid w:val="00F21992"/>
    <w:rPr>
      <w:color w:val="0563C1" w:themeColor="hyperlink"/>
      <w:u w:val="single"/>
    </w:rPr>
  </w:style>
  <w:style w:type="character" w:styleId="Neatrisintapieminana">
    <w:name w:val="Unresolved Mention"/>
    <w:basedOn w:val="Noklusjumarindkopasfonts"/>
    <w:uiPriority w:val="99"/>
    <w:semiHidden/>
    <w:unhideWhenUsed/>
    <w:rsid w:val="00E12E61"/>
    <w:rPr>
      <w:color w:val="605E5C"/>
      <w:shd w:val="clear" w:color="auto" w:fill="E1DFDD"/>
    </w:rPr>
  </w:style>
  <w:style w:type="table" w:styleId="Reatabula">
    <w:name w:val="Table Grid"/>
    <w:basedOn w:val="Parastatabula"/>
    <w:uiPriority w:val="39"/>
    <w:rsid w:val="00662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pakvirsraksts">
    <w:name w:val="Subtitle"/>
    <w:basedOn w:val="Parasts"/>
    <w:next w:val="Parasts"/>
    <w:link w:val="ApakvirsrakstsRakstz"/>
    <w:uiPriority w:val="11"/>
    <w:qFormat/>
    <w:rsid w:val="00B0414A"/>
    <w:pPr>
      <w:numPr>
        <w:ilvl w:val="1"/>
      </w:numPr>
      <w:ind w:firstLine="720"/>
      <w:jc w:val="center"/>
    </w:pPr>
    <w:rPr>
      <w:rFonts w:eastAsiaTheme="minorEastAsia" w:cstheme="minorBidi"/>
      <w:i/>
      <w:color w:val="000000" w:themeColor="text1"/>
      <w:szCs w:val="22"/>
    </w:rPr>
  </w:style>
  <w:style w:type="character" w:customStyle="1" w:styleId="ApakvirsrakstsRakstz">
    <w:name w:val="Apakšvirsraksts Rakstz."/>
    <w:basedOn w:val="Noklusjumarindkopasfonts"/>
    <w:link w:val="Apakvirsraksts"/>
    <w:uiPriority w:val="11"/>
    <w:rsid w:val="00B0414A"/>
    <w:rPr>
      <w:rFonts w:eastAsiaTheme="minorEastAsia" w:cstheme="minorBidi"/>
      <w:i/>
      <w:color w:val="000000" w:themeColor="text1"/>
      <w:sz w:val="24"/>
      <w:szCs w:val="22"/>
    </w:rPr>
  </w:style>
  <w:style w:type="character" w:styleId="Izsmalcintsizclums">
    <w:name w:val="Subtle Emphasis"/>
    <w:basedOn w:val="Noklusjumarindkopasfonts"/>
    <w:uiPriority w:val="19"/>
    <w:qFormat/>
    <w:rsid w:val="00CC444D"/>
    <w:rPr>
      <w:i/>
      <w:iCs/>
      <w:color w:val="404040" w:themeColor="text1" w:themeTint="BF"/>
    </w:rPr>
  </w:style>
  <w:style w:type="paragraph" w:styleId="Saturs3">
    <w:name w:val="toc 3"/>
    <w:basedOn w:val="Parasts"/>
    <w:next w:val="Parasts"/>
    <w:autoRedefine/>
    <w:uiPriority w:val="39"/>
    <w:unhideWhenUsed/>
    <w:rsid w:val="00877193"/>
    <w:pPr>
      <w:spacing w:after="100"/>
      <w:ind w:left="480"/>
    </w:pPr>
  </w:style>
  <w:style w:type="paragraph" w:styleId="Vresteksts">
    <w:name w:val="footnote text"/>
    <w:aliases w:val="Char Char Char Char Char Char Rakstz. Rakstz. Char Char Rakstz. Rakstz.,Footnote,Fußnote, Char Char Char Char Char Char Rakstz. Rakstz. Char Char Rakstz. Rakstz.,Fußnote Char Char Char Char Char Char,Char, Char,Fußnote Char,Fußnote Ch,fn,f"/>
    <w:basedOn w:val="Parasts"/>
    <w:link w:val="VrestekstsRakstz"/>
    <w:uiPriority w:val="99"/>
    <w:unhideWhenUsed/>
    <w:rsid w:val="00C7274E"/>
    <w:rPr>
      <w:sz w:val="20"/>
    </w:rPr>
  </w:style>
  <w:style w:type="character" w:customStyle="1" w:styleId="VrestekstsRakstz">
    <w:name w:val="Vēres teksts Rakstz."/>
    <w:aliases w:val="Char Char Char Char Char Char Rakstz. Rakstz. Char Char Rakstz. Rakstz. Rakstz.,Footnote Rakstz.,Fußnote Rakstz., Char Char Char Char Char Char Rakstz. Rakstz. Char Char Rakstz. Rakstz. Rakstz.,Char Rakstz., Char Rakstz.,fn Rakstz."/>
    <w:basedOn w:val="Noklusjumarindkopasfonts"/>
    <w:link w:val="Vresteksts"/>
    <w:uiPriority w:val="99"/>
    <w:rsid w:val="00C7274E"/>
  </w:style>
  <w:style w:type="character" w:styleId="Vresatsauce">
    <w:name w:val="footnote reference"/>
    <w:aliases w:val="Footnote Reference Number,Footnote symbol,SUPERS,Footnote Reference Superscript,Footnote Refernece,ftref,Odwołanie przypisu,BVI fnr,Footnotes refss,Ref,de nota al pie,-E Fußnotenzeichen,Footnote reference number,Times 10 Point,E,E FNZ"/>
    <w:basedOn w:val="Noklusjumarindkopasfonts"/>
    <w:uiPriority w:val="99"/>
    <w:unhideWhenUsed/>
    <w:rsid w:val="00C7274E"/>
    <w:rPr>
      <w:vertAlign w:val="superscript"/>
    </w:rPr>
  </w:style>
  <w:style w:type="character" w:customStyle="1" w:styleId="Virsraksts3Rakstz">
    <w:name w:val="Virsraksts 3 Rakstz."/>
    <w:basedOn w:val="Noklusjumarindkopasfonts"/>
    <w:link w:val="Virsraksts3"/>
    <w:uiPriority w:val="9"/>
    <w:semiHidden/>
    <w:rsid w:val="00EF1B30"/>
    <w:rPr>
      <w:rFonts w:asciiTheme="majorHAnsi" w:eastAsiaTheme="majorEastAsia" w:hAnsiTheme="majorHAnsi" w:cstheme="majorBidi"/>
      <w:color w:val="1F3763" w:themeColor="accent1" w:themeShade="7F"/>
      <w:sz w:val="24"/>
      <w:szCs w:val="24"/>
    </w:rPr>
  </w:style>
  <w:style w:type="character" w:customStyle="1" w:styleId="SarakstarindkopaRakstz">
    <w:name w:val="Saraksta rindkopa Rakstz."/>
    <w:aliases w:val="2 Rakstz.,Strip Rakstz."/>
    <w:link w:val="Sarakstarindkopa"/>
    <w:locked/>
    <w:rsid w:val="00B7196F"/>
    <w:rPr>
      <w:sz w:val="24"/>
    </w:rPr>
  </w:style>
  <w:style w:type="paragraph" w:styleId="Komentrateksts">
    <w:name w:val="annotation text"/>
    <w:basedOn w:val="Parasts"/>
    <w:link w:val="KomentratekstsRakstz"/>
    <w:uiPriority w:val="99"/>
    <w:semiHidden/>
    <w:unhideWhenUsed/>
    <w:rsid w:val="00601FE7"/>
    <w:pPr>
      <w:spacing w:after="200"/>
      <w:ind w:firstLine="0"/>
    </w:pPr>
    <w:rPr>
      <w:sz w:val="20"/>
    </w:rPr>
  </w:style>
  <w:style w:type="character" w:customStyle="1" w:styleId="KomentratekstsRakstz">
    <w:name w:val="Komentāra teksts Rakstz."/>
    <w:basedOn w:val="Noklusjumarindkopasfonts"/>
    <w:link w:val="Komentrateksts"/>
    <w:uiPriority w:val="99"/>
    <w:semiHidden/>
    <w:rsid w:val="00601FE7"/>
  </w:style>
  <w:style w:type="character" w:styleId="Izmantotahipersaite">
    <w:name w:val="FollowedHyperlink"/>
    <w:basedOn w:val="Noklusjumarindkopasfonts"/>
    <w:uiPriority w:val="99"/>
    <w:semiHidden/>
    <w:unhideWhenUsed/>
    <w:rsid w:val="00696F9B"/>
    <w:rPr>
      <w:color w:val="954F72" w:themeColor="followedHyperlink"/>
      <w:u w:val="single"/>
    </w:rPr>
  </w:style>
  <w:style w:type="paragraph" w:styleId="Paraststmeklis">
    <w:name w:val="Normal (Web)"/>
    <w:basedOn w:val="Parasts"/>
    <w:uiPriority w:val="99"/>
    <w:semiHidden/>
    <w:unhideWhenUsed/>
    <w:rsid w:val="00387628"/>
    <w:pPr>
      <w:spacing w:after="150"/>
      <w:ind w:firstLine="0"/>
      <w:jc w:val="left"/>
    </w:pPr>
    <w:rPr>
      <w:rFonts w:eastAsia="Times New Roman"/>
      <w:szCs w:val="24"/>
      <w:lang w:eastAsia="lv-LV"/>
    </w:rPr>
  </w:style>
  <w:style w:type="character" w:styleId="Komentraatsauce">
    <w:name w:val="annotation reference"/>
    <w:basedOn w:val="Noklusjumarindkopasfonts"/>
    <w:uiPriority w:val="99"/>
    <w:semiHidden/>
    <w:unhideWhenUsed/>
    <w:rsid w:val="004E72A5"/>
    <w:rPr>
      <w:sz w:val="16"/>
      <w:szCs w:val="16"/>
    </w:rPr>
  </w:style>
  <w:style w:type="paragraph" w:styleId="Komentratma">
    <w:name w:val="annotation subject"/>
    <w:basedOn w:val="Komentrateksts"/>
    <w:next w:val="Komentrateksts"/>
    <w:link w:val="KomentratmaRakstz"/>
    <w:uiPriority w:val="99"/>
    <w:semiHidden/>
    <w:unhideWhenUsed/>
    <w:rsid w:val="004E72A5"/>
    <w:pPr>
      <w:spacing w:after="0"/>
      <w:ind w:firstLine="720"/>
    </w:pPr>
    <w:rPr>
      <w:b/>
      <w:bCs/>
    </w:rPr>
  </w:style>
  <w:style w:type="character" w:customStyle="1" w:styleId="KomentratmaRakstz">
    <w:name w:val="Komentāra tēma Rakstz."/>
    <w:basedOn w:val="KomentratekstsRakstz"/>
    <w:link w:val="Komentratma"/>
    <w:uiPriority w:val="99"/>
    <w:semiHidden/>
    <w:rsid w:val="004E72A5"/>
    <w:rPr>
      <w:b/>
      <w:bCs/>
    </w:rPr>
  </w:style>
  <w:style w:type="paragraph" w:styleId="Balonteksts">
    <w:name w:val="Balloon Text"/>
    <w:basedOn w:val="Parasts"/>
    <w:link w:val="BalontekstsRakstz"/>
    <w:uiPriority w:val="99"/>
    <w:semiHidden/>
    <w:unhideWhenUsed/>
    <w:rsid w:val="004E72A5"/>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E72A5"/>
    <w:rPr>
      <w:rFonts w:ascii="Segoe UI" w:hAnsi="Segoe UI" w:cs="Segoe UI"/>
      <w:sz w:val="18"/>
      <w:szCs w:val="18"/>
    </w:rPr>
  </w:style>
  <w:style w:type="paragraph" w:styleId="Prskatjums">
    <w:name w:val="Revision"/>
    <w:hidden/>
    <w:uiPriority w:val="99"/>
    <w:semiHidden/>
    <w:rsid w:val="000E1983"/>
    <w:pPr>
      <w:ind w:firstLine="0"/>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39607">
      <w:bodyDiv w:val="1"/>
      <w:marLeft w:val="0"/>
      <w:marRight w:val="0"/>
      <w:marTop w:val="0"/>
      <w:marBottom w:val="0"/>
      <w:divBdr>
        <w:top w:val="none" w:sz="0" w:space="0" w:color="auto"/>
        <w:left w:val="none" w:sz="0" w:space="0" w:color="auto"/>
        <w:bottom w:val="none" w:sz="0" w:space="0" w:color="auto"/>
        <w:right w:val="none" w:sz="0" w:space="0" w:color="auto"/>
      </w:divBdr>
      <w:divsChild>
        <w:div w:id="1274896391">
          <w:marLeft w:val="0"/>
          <w:marRight w:val="0"/>
          <w:marTop w:val="0"/>
          <w:marBottom w:val="0"/>
          <w:divBdr>
            <w:top w:val="none" w:sz="0" w:space="0" w:color="auto"/>
            <w:left w:val="none" w:sz="0" w:space="0" w:color="auto"/>
            <w:bottom w:val="none" w:sz="0" w:space="0" w:color="auto"/>
            <w:right w:val="none" w:sz="0" w:space="0" w:color="auto"/>
          </w:divBdr>
          <w:divsChild>
            <w:div w:id="1278023900">
              <w:marLeft w:val="0"/>
              <w:marRight w:val="0"/>
              <w:marTop w:val="0"/>
              <w:marBottom w:val="0"/>
              <w:divBdr>
                <w:top w:val="none" w:sz="0" w:space="0" w:color="auto"/>
                <w:left w:val="none" w:sz="0" w:space="0" w:color="auto"/>
                <w:bottom w:val="none" w:sz="0" w:space="0" w:color="auto"/>
                <w:right w:val="none" w:sz="0" w:space="0" w:color="auto"/>
              </w:divBdr>
              <w:divsChild>
                <w:div w:id="313028367">
                  <w:marLeft w:val="0"/>
                  <w:marRight w:val="0"/>
                  <w:marTop w:val="0"/>
                  <w:marBottom w:val="0"/>
                  <w:divBdr>
                    <w:top w:val="none" w:sz="0" w:space="0" w:color="auto"/>
                    <w:left w:val="none" w:sz="0" w:space="0" w:color="auto"/>
                    <w:bottom w:val="none" w:sz="0" w:space="0" w:color="auto"/>
                    <w:right w:val="none" w:sz="0" w:space="0" w:color="auto"/>
                  </w:divBdr>
                  <w:divsChild>
                    <w:div w:id="92106210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48328940">
      <w:bodyDiv w:val="1"/>
      <w:marLeft w:val="0"/>
      <w:marRight w:val="0"/>
      <w:marTop w:val="0"/>
      <w:marBottom w:val="0"/>
      <w:divBdr>
        <w:top w:val="none" w:sz="0" w:space="0" w:color="auto"/>
        <w:left w:val="none" w:sz="0" w:space="0" w:color="auto"/>
        <w:bottom w:val="none" w:sz="0" w:space="0" w:color="auto"/>
        <w:right w:val="none" w:sz="0" w:space="0" w:color="auto"/>
      </w:divBdr>
      <w:divsChild>
        <w:div w:id="1991592705">
          <w:marLeft w:val="0"/>
          <w:marRight w:val="0"/>
          <w:marTop w:val="0"/>
          <w:marBottom w:val="0"/>
          <w:divBdr>
            <w:top w:val="none" w:sz="0" w:space="0" w:color="auto"/>
            <w:left w:val="none" w:sz="0" w:space="0" w:color="auto"/>
            <w:bottom w:val="none" w:sz="0" w:space="0" w:color="auto"/>
            <w:right w:val="none" w:sz="0" w:space="0" w:color="auto"/>
          </w:divBdr>
          <w:divsChild>
            <w:div w:id="1982147647">
              <w:marLeft w:val="0"/>
              <w:marRight w:val="0"/>
              <w:marTop w:val="0"/>
              <w:marBottom w:val="0"/>
              <w:divBdr>
                <w:top w:val="none" w:sz="0" w:space="0" w:color="auto"/>
                <w:left w:val="none" w:sz="0" w:space="0" w:color="auto"/>
                <w:bottom w:val="none" w:sz="0" w:space="0" w:color="auto"/>
                <w:right w:val="none" w:sz="0" w:space="0" w:color="auto"/>
              </w:divBdr>
              <w:divsChild>
                <w:div w:id="185877195">
                  <w:marLeft w:val="0"/>
                  <w:marRight w:val="0"/>
                  <w:marTop w:val="0"/>
                  <w:marBottom w:val="0"/>
                  <w:divBdr>
                    <w:top w:val="none" w:sz="0" w:space="0" w:color="auto"/>
                    <w:left w:val="none" w:sz="0" w:space="0" w:color="auto"/>
                    <w:bottom w:val="none" w:sz="0" w:space="0" w:color="auto"/>
                    <w:right w:val="none" w:sz="0" w:space="0" w:color="auto"/>
                  </w:divBdr>
                  <w:divsChild>
                    <w:div w:id="23865534">
                      <w:marLeft w:val="0"/>
                      <w:marRight w:val="0"/>
                      <w:marTop w:val="0"/>
                      <w:marBottom w:val="0"/>
                      <w:divBdr>
                        <w:top w:val="none" w:sz="0" w:space="0" w:color="auto"/>
                        <w:left w:val="none" w:sz="0" w:space="0" w:color="auto"/>
                        <w:bottom w:val="none" w:sz="0" w:space="0" w:color="auto"/>
                        <w:right w:val="none" w:sz="0" w:space="0" w:color="auto"/>
                      </w:divBdr>
                      <w:divsChild>
                        <w:div w:id="1964574186">
                          <w:marLeft w:val="0"/>
                          <w:marRight w:val="0"/>
                          <w:marTop w:val="0"/>
                          <w:marBottom w:val="0"/>
                          <w:divBdr>
                            <w:top w:val="none" w:sz="0" w:space="0" w:color="auto"/>
                            <w:left w:val="none" w:sz="0" w:space="0" w:color="auto"/>
                            <w:bottom w:val="none" w:sz="0" w:space="0" w:color="auto"/>
                            <w:right w:val="none" w:sz="0" w:space="0" w:color="auto"/>
                          </w:divBdr>
                          <w:divsChild>
                            <w:div w:id="3002376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948396">
      <w:bodyDiv w:val="1"/>
      <w:marLeft w:val="0"/>
      <w:marRight w:val="0"/>
      <w:marTop w:val="0"/>
      <w:marBottom w:val="0"/>
      <w:divBdr>
        <w:top w:val="none" w:sz="0" w:space="0" w:color="auto"/>
        <w:left w:val="none" w:sz="0" w:space="0" w:color="auto"/>
        <w:bottom w:val="none" w:sz="0" w:space="0" w:color="auto"/>
        <w:right w:val="none" w:sz="0" w:space="0" w:color="auto"/>
      </w:divBdr>
    </w:div>
    <w:div w:id="285281549">
      <w:bodyDiv w:val="1"/>
      <w:marLeft w:val="0"/>
      <w:marRight w:val="0"/>
      <w:marTop w:val="0"/>
      <w:marBottom w:val="0"/>
      <w:divBdr>
        <w:top w:val="none" w:sz="0" w:space="0" w:color="auto"/>
        <w:left w:val="none" w:sz="0" w:space="0" w:color="auto"/>
        <w:bottom w:val="none" w:sz="0" w:space="0" w:color="auto"/>
        <w:right w:val="none" w:sz="0" w:space="0" w:color="auto"/>
      </w:divBdr>
      <w:divsChild>
        <w:div w:id="1391727691">
          <w:marLeft w:val="0"/>
          <w:marRight w:val="0"/>
          <w:marTop w:val="0"/>
          <w:marBottom w:val="0"/>
          <w:divBdr>
            <w:top w:val="none" w:sz="0" w:space="0" w:color="auto"/>
            <w:left w:val="none" w:sz="0" w:space="0" w:color="auto"/>
            <w:bottom w:val="none" w:sz="0" w:space="0" w:color="auto"/>
            <w:right w:val="none" w:sz="0" w:space="0" w:color="auto"/>
          </w:divBdr>
          <w:divsChild>
            <w:div w:id="114443117">
              <w:marLeft w:val="0"/>
              <w:marRight w:val="0"/>
              <w:marTop w:val="0"/>
              <w:marBottom w:val="0"/>
              <w:divBdr>
                <w:top w:val="none" w:sz="0" w:space="0" w:color="auto"/>
                <w:left w:val="none" w:sz="0" w:space="0" w:color="auto"/>
                <w:bottom w:val="none" w:sz="0" w:space="0" w:color="auto"/>
                <w:right w:val="none" w:sz="0" w:space="0" w:color="auto"/>
              </w:divBdr>
              <w:divsChild>
                <w:div w:id="2060586429">
                  <w:marLeft w:val="0"/>
                  <w:marRight w:val="0"/>
                  <w:marTop w:val="0"/>
                  <w:marBottom w:val="0"/>
                  <w:divBdr>
                    <w:top w:val="none" w:sz="0" w:space="0" w:color="auto"/>
                    <w:left w:val="none" w:sz="0" w:space="0" w:color="auto"/>
                    <w:bottom w:val="none" w:sz="0" w:space="0" w:color="auto"/>
                    <w:right w:val="none" w:sz="0" w:space="0" w:color="auto"/>
                  </w:divBdr>
                  <w:divsChild>
                    <w:div w:id="1712461732">
                      <w:marLeft w:val="0"/>
                      <w:marRight w:val="0"/>
                      <w:marTop w:val="0"/>
                      <w:marBottom w:val="0"/>
                      <w:divBdr>
                        <w:top w:val="none" w:sz="0" w:space="0" w:color="auto"/>
                        <w:left w:val="none" w:sz="0" w:space="0" w:color="auto"/>
                        <w:bottom w:val="none" w:sz="0" w:space="0" w:color="auto"/>
                        <w:right w:val="none" w:sz="0" w:space="0" w:color="auto"/>
                      </w:divBdr>
                      <w:divsChild>
                        <w:div w:id="716665727">
                          <w:marLeft w:val="0"/>
                          <w:marRight w:val="0"/>
                          <w:marTop w:val="0"/>
                          <w:marBottom w:val="0"/>
                          <w:divBdr>
                            <w:top w:val="none" w:sz="0" w:space="0" w:color="auto"/>
                            <w:left w:val="none" w:sz="0" w:space="0" w:color="auto"/>
                            <w:bottom w:val="none" w:sz="0" w:space="0" w:color="auto"/>
                            <w:right w:val="none" w:sz="0" w:space="0" w:color="auto"/>
                          </w:divBdr>
                          <w:divsChild>
                            <w:div w:id="35311775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733951">
      <w:bodyDiv w:val="1"/>
      <w:marLeft w:val="0"/>
      <w:marRight w:val="0"/>
      <w:marTop w:val="0"/>
      <w:marBottom w:val="0"/>
      <w:divBdr>
        <w:top w:val="none" w:sz="0" w:space="0" w:color="auto"/>
        <w:left w:val="none" w:sz="0" w:space="0" w:color="auto"/>
        <w:bottom w:val="none" w:sz="0" w:space="0" w:color="auto"/>
        <w:right w:val="none" w:sz="0" w:space="0" w:color="auto"/>
      </w:divBdr>
      <w:divsChild>
        <w:div w:id="1100756462">
          <w:marLeft w:val="0"/>
          <w:marRight w:val="0"/>
          <w:marTop w:val="0"/>
          <w:marBottom w:val="0"/>
          <w:divBdr>
            <w:top w:val="none" w:sz="0" w:space="0" w:color="auto"/>
            <w:left w:val="none" w:sz="0" w:space="0" w:color="auto"/>
            <w:bottom w:val="none" w:sz="0" w:space="0" w:color="auto"/>
            <w:right w:val="none" w:sz="0" w:space="0" w:color="auto"/>
          </w:divBdr>
          <w:divsChild>
            <w:div w:id="341474111">
              <w:marLeft w:val="0"/>
              <w:marRight w:val="0"/>
              <w:marTop w:val="0"/>
              <w:marBottom w:val="0"/>
              <w:divBdr>
                <w:top w:val="none" w:sz="0" w:space="0" w:color="auto"/>
                <w:left w:val="none" w:sz="0" w:space="0" w:color="auto"/>
                <w:bottom w:val="none" w:sz="0" w:space="0" w:color="auto"/>
                <w:right w:val="none" w:sz="0" w:space="0" w:color="auto"/>
              </w:divBdr>
              <w:divsChild>
                <w:div w:id="151069385">
                  <w:marLeft w:val="0"/>
                  <w:marRight w:val="0"/>
                  <w:marTop w:val="0"/>
                  <w:marBottom w:val="0"/>
                  <w:divBdr>
                    <w:top w:val="none" w:sz="0" w:space="0" w:color="auto"/>
                    <w:left w:val="none" w:sz="0" w:space="0" w:color="auto"/>
                    <w:bottom w:val="none" w:sz="0" w:space="0" w:color="auto"/>
                    <w:right w:val="none" w:sz="0" w:space="0" w:color="auto"/>
                  </w:divBdr>
                  <w:divsChild>
                    <w:div w:id="1666979378">
                      <w:marLeft w:val="0"/>
                      <w:marRight w:val="0"/>
                      <w:marTop w:val="0"/>
                      <w:marBottom w:val="0"/>
                      <w:divBdr>
                        <w:top w:val="none" w:sz="0" w:space="0" w:color="auto"/>
                        <w:left w:val="none" w:sz="0" w:space="0" w:color="auto"/>
                        <w:bottom w:val="none" w:sz="0" w:space="0" w:color="auto"/>
                        <w:right w:val="none" w:sz="0" w:space="0" w:color="auto"/>
                      </w:divBdr>
                      <w:divsChild>
                        <w:div w:id="120657366">
                          <w:marLeft w:val="0"/>
                          <w:marRight w:val="0"/>
                          <w:marTop w:val="0"/>
                          <w:marBottom w:val="0"/>
                          <w:divBdr>
                            <w:top w:val="none" w:sz="0" w:space="0" w:color="auto"/>
                            <w:left w:val="none" w:sz="0" w:space="0" w:color="auto"/>
                            <w:bottom w:val="none" w:sz="0" w:space="0" w:color="auto"/>
                            <w:right w:val="none" w:sz="0" w:space="0" w:color="auto"/>
                          </w:divBdr>
                          <w:divsChild>
                            <w:div w:id="1059743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507452">
      <w:bodyDiv w:val="1"/>
      <w:marLeft w:val="0"/>
      <w:marRight w:val="0"/>
      <w:marTop w:val="0"/>
      <w:marBottom w:val="0"/>
      <w:divBdr>
        <w:top w:val="none" w:sz="0" w:space="0" w:color="auto"/>
        <w:left w:val="none" w:sz="0" w:space="0" w:color="auto"/>
        <w:bottom w:val="none" w:sz="0" w:space="0" w:color="auto"/>
        <w:right w:val="none" w:sz="0" w:space="0" w:color="auto"/>
      </w:divBdr>
      <w:divsChild>
        <w:div w:id="298848558">
          <w:marLeft w:val="0"/>
          <w:marRight w:val="0"/>
          <w:marTop w:val="0"/>
          <w:marBottom w:val="0"/>
          <w:divBdr>
            <w:top w:val="none" w:sz="0" w:space="0" w:color="auto"/>
            <w:left w:val="none" w:sz="0" w:space="0" w:color="auto"/>
            <w:bottom w:val="none" w:sz="0" w:space="0" w:color="auto"/>
            <w:right w:val="none" w:sz="0" w:space="0" w:color="auto"/>
          </w:divBdr>
          <w:divsChild>
            <w:div w:id="1061438239">
              <w:marLeft w:val="0"/>
              <w:marRight w:val="0"/>
              <w:marTop w:val="0"/>
              <w:marBottom w:val="0"/>
              <w:divBdr>
                <w:top w:val="none" w:sz="0" w:space="0" w:color="auto"/>
                <w:left w:val="none" w:sz="0" w:space="0" w:color="auto"/>
                <w:bottom w:val="none" w:sz="0" w:space="0" w:color="auto"/>
                <w:right w:val="none" w:sz="0" w:space="0" w:color="auto"/>
              </w:divBdr>
              <w:divsChild>
                <w:div w:id="21636474">
                  <w:marLeft w:val="0"/>
                  <w:marRight w:val="0"/>
                  <w:marTop w:val="0"/>
                  <w:marBottom w:val="0"/>
                  <w:divBdr>
                    <w:top w:val="none" w:sz="0" w:space="0" w:color="auto"/>
                    <w:left w:val="none" w:sz="0" w:space="0" w:color="auto"/>
                    <w:bottom w:val="none" w:sz="0" w:space="0" w:color="auto"/>
                    <w:right w:val="none" w:sz="0" w:space="0" w:color="auto"/>
                  </w:divBdr>
                  <w:divsChild>
                    <w:div w:id="19209742">
                      <w:marLeft w:val="0"/>
                      <w:marRight w:val="0"/>
                      <w:marTop w:val="0"/>
                      <w:marBottom w:val="0"/>
                      <w:divBdr>
                        <w:top w:val="none" w:sz="0" w:space="0" w:color="auto"/>
                        <w:left w:val="none" w:sz="0" w:space="0" w:color="auto"/>
                        <w:bottom w:val="none" w:sz="0" w:space="0" w:color="auto"/>
                        <w:right w:val="none" w:sz="0" w:space="0" w:color="auto"/>
                      </w:divBdr>
                      <w:divsChild>
                        <w:div w:id="1518886538">
                          <w:marLeft w:val="0"/>
                          <w:marRight w:val="0"/>
                          <w:marTop w:val="0"/>
                          <w:marBottom w:val="0"/>
                          <w:divBdr>
                            <w:top w:val="none" w:sz="0" w:space="0" w:color="auto"/>
                            <w:left w:val="none" w:sz="0" w:space="0" w:color="auto"/>
                            <w:bottom w:val="none" w:sz="0" w:space="0" w:color="auto"/>
                            <w:right w:val="none" w:sz="0" w:space="0" w:color="auto"/>
                          </w:divBdr>
                          <w:divsChild>
                            <w:div w:id="2951824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4450219">
      <w:bodyDiv w:val="1"/>
      <w:marLeft w:val="0"/>
      <w:marRight w:val="0"/>
      <w:marTop w:val="0"/>
      <w:marBottom w:val="0"/>
      <w:divBdr>
        <w:top w:val="none" w:sz="0" w:space="0" w:color="auto"/>
        <w:left w:val="none" w:sz="0" w:space="0" w:color="auto"/>
        <w:bottom w:val="none" w:sz="0" w:space="0" w:color="auto"/>
        <w:right w:val="none" w:sz="0" w:space="0" w:color="auto"/>
      </w:divBdr>
      <w:divsChild>
        <w:div w:id="1199732688">
          <w:marLeft w:val="0"/>
          <w:marRight w:val="0"/>
          <w:marTop w:val="0"/>
          <w:marBottom w:val="0"/>
          <w:divBdr>
            <w:top w:val="none" w:sz="0" w:space="0" w:color="auto"/>
            <w:left w:val="none" w:sz="0" w:space="0" w:color="auto"/>
            <w:bottom w:val="none" w:sz="0" w:space="0" w:color="auto"/>
            <w:right w:val="none" w:sz="0" w:space="0" w:color="auto"/>
          </w:divBdr>
          <w:divsChild>
            <w:div w:id="1508669544">
              <w:marLeft w:val="0"/>
              <w:marRight w:val="0"/>
              <w:marTop w:val="0"/>
              <w:marBottom w:val="0"/>
              <w:divBdr>
                <w:top w:val="none" w:sz="0" w:space="0" w:color="auto"/>
                <w:left w:val="none" w:sz="0" w:space="0" w:color="auto"/>
                <w:bottom w:val="none" w:sz="0" w:space="0" w:color="auto"/>
                <w:right w:val="none" w:sz="0" w:space="0" w:color="auto"/>
              </w:divBdr>
              <w:divsChild>
                <w:div w:id="255401368">
                  <w:marLeft w:val="0"/>
                  <w:marRight w:val="0"/>
                  <w:marTop w:val="0"/>
                  <w:marBottom w:val="0"/>
                  <w:divBdr>
                    <w:top w:val="none" w:sz="0" w:space="0" w:color="auto"/>
                    <w:left w:val="none" w:sz="0" w:space="0" w:color="auto"/>
                    <w:bottom w:val="none" w:sz="0" w:space="0" w:color="auto"/>
                    <w:right w:val="none" w:sz="0" w:space="0" w:color="auto"/>
                  </w:divBdr>
                  <w:divsChild>
                    <w:div w:id="995720057">
                      <w:marLeft w:val="-150"/>
                      <w:marRight w:val="-150"/>
                      <w:marTop w:val="0"/>
                      <w:marBottom w:val="0"/>
                      <w:divBdr>
                        <w:top w:val="none" w:sz="0" w:space="0" w:color="auto"/>
                        <w:left w:val="none" w:sz="0" w:space="0" w:color="auto"/>
                        <w:bottom w:val="none" w:sz="0" w:space="0" w:color="auto"/>
                        <w:right w:val="none" w:sz="0" w:space="0" w:color="auto"/>
                      </w:divBdr>
                      <w:divsChild>
                        <w:div w:id="1734160873">
                          <w:marLeft w:val="0"/>
                          <w:marRight w:val="0"/>
                          <w:marTop w:val="0"/>
                          <w:marBottom w:val="0"/>
                          <w:divBdr>
                            <w:top w:val="none" w:sz="0" w:space="0" w:color="auto"/>
                            <w:left w:val="none" w:sz="0" w:space="0" w:color="auto"/>
                            <w:bottom w:val="none" w:sz="0" w:space="0" w:color="auto"/>
                            <w:right w:val="none" w:sz="0" w:space="0" w:color="auto"/>
                          </w:divBdr>
                          <w:divsChild>
                            <w:div w:id="1938513606">
                              <w:marLeft w:val="0"/>
                              <w:marRight w:val="0"/>
                              <w:marTop w:val="0"/>
                              <w:marBottom w:val="0"/>
                              <w:divBdr>
                                <w:top w:val="none" w:sz="0" w:space="0" w:color="auto"/>
                                <w:left w:val="none" w:sz="0" w:space="0" w:color="auto"/>
                                <w:bottom w:val="none" w:sz="0" w:space="0" w:color="auto"/>
                                <w:right w:val="none" w:sz="0" w:space="0" w:color="auto"/>
                              </w:divBdr>
                              <w:divsChild>
                                <w:div w:id="187529968">
                                  <w:marLeft w:val="0"/>
                                  <w:marRight w:val="0"/>
                                  <w:marTop w:val="0"/>
                                  <w:marBottom w:val="300"/>
                                  <w:divBdr>
                                    <w:top w:val="none" w:sz="0" w:space="0" w:color="auto"/>
                                    <w:left w:val="none" w:sz="0" w:space="0" w:color="auto"/>
                                    <w:bottom w:val="none" w:sz="0" w:space="0" w:color="auto"/>
                                    <w:right w:val="none" w:sz="0" w:space="0" w:color="auto"/>
                                  </w:divBdr>
                                  <w:divsChild>
                                    <w:div w:id="1865050523">
                                      <w:marLeft w:val="0"/>
                                      <w:marRight w:val="0"/>
                                      <w:marTop w:val="0"/>
                                      <w:marBottom w:val="0"/>
                                      <w:divBdr>
                                        <w:top w:val="none" w:sz="0" w:space="0" w:color="auto"/>
                                        <w:left w:val="none" w:sz="0" w:space="0" w:color="auto"/>
                                        <w:bottom w:val="none" w:sz="0" w:space="0" w:color="auto"/>
                                        <w:right w:val="none" w:sz="0" w:space="0" w:color="auto"/>
                                      </w:divBdr>
                                      <w:divsChild>
                                        <w:div w:id="1161696807">
                                          <w:marLeft w:val="0"/>
                                          <w:marRight w:val="0"/>
                                          <w:marTop w:val="0"/>
                                          <w:marBottom w:val="0"/>
                                          <w:divBdr>
                                            <w:top w:val="none" w:sz="0" w:space="0" w:color="auto"/>
                                            <w:left w:val="none" w:sz="0" w:space="0" w:color="auto"/>
                                            <w:bottom w:val="none" w:sz="0" w:space="0" w:color="auto"/>
                                            <w:right w:val="none" w:sz="0" w:space="0" w:color="auto"/>
                                          </w:divBdr>
                                          <w:divsChild>
                                            <w:div w:id="996148660">
                                              <w:marLeft w:val="0"/>
                                              <w:marRight w:val="0"/>
                                              <w:marTop w:val="0"/>
                                              <w:marBottom w:val="0"/>
                                              <w:divBdr>
                                                <w:top w:val="none" w:sz="0" w:space="0" w:color="auto"/>
                                                <w:left w:val="none" w:sz="0" w:space="0" w:color="auto"/>
                                                <w:bottom w:val="none" w:sz="0" w:space="0" w:color="auto"/>
                                                <w:right w:val="none" w:sz="0" w:space="0" w:color="auto"/>
                                              </w:divBdr>
                                              <w:divsChild>
                                                <w:div w:id="505944758">
                                                  <w:marLeft w:val="0"/>
                                                  <w:marRight w:val="0"/>
                                                  <w:marTop w:val="0"/>
                                                  <w:marBottom w:val="0"/>
                                                  <w:divBdr>
                                                    <w:top w:val="none" w:sz="0" w:space="0" w:color="auto"/>
                                                    <w:left w:val="none" w:sz="0" w:space="0" w:color="auto"/>
                                                    <w:bottom w:val="none" w:sz="0" w:space="0" w:color="auto"/>
                                                    <w:right w:val="none" w:sz="0" w:space="0" w:color="auto"/>
                                                  </w:divBdr>
                                                  <w:divsChild>
                                                    <w:div w:id="1107894932">
                                                      <w:marLeft w:val="0"/>
                                                      <w:marRight w:val="0"/>
                                                      <w:marTop w:val="0"/>
                                                      <w:marBottom w:val="0"/>
                                                      <w:divBdr>
                                                        <w:top w:val="none" w:sz="0" w:space="0" w:color="auto"/>
                                                        <w:left w:val="none" w:sz="0" w:space="0" w:color="auto"/>
                                                        <w:bottom w:val="none" w:sz="0" w:space="0" w:color="auto"/>
                                                        <w:right w:val="none" w:sz="0" w:space="0" w:color="auto"/>
                                                      </w:divBdr>
                                                      <w:divsChild>
                                                        <w:div w:id="67582525">
                                                          <w:marLeft w:val="0"/>
                                                          <w:marRight w:val="0"/>
                                                          <w:marTop w:val="0"/>
                                                          <w:marBottom w:val="0"/>
                                                          <w:divBdr>
                                                            <w:top w:val="none" w:sz="0" w:space="0" w:color="auto"/>
                                                            <w:left w:val="none" w:sz="0" w:space="0" w:color="auto"/>
                                                            <w:bottom w:val="none" w:sz="0" w:space="0" w:color="auto"/>
                                                            <w:right w:val="none" w:sz="0" w:space="0" w:color="auto"/>
                                                          </w:divBdr>
                                                          <w:divsChild>
                                                            <w:div w:id="1164735806">
                                                              <w:marLeft w:val="0"/>
                                                              <w:marRight w:val="0"/>
                                                              <w:marTop w:val="0"/>
                                                              <w:marBottom w:val="0"/>
                                                              <w:divBdr>
                                                                <w:top w:val="none" w:sz="0" w:space="0" w:color="auto"/>
                                                                <w:left w:val="none" w:sz="0" w:space="0" w:color="auto"/>
                                                                <w:bottom w:val="none" w:sz="0" w:space="0" w:color="auto"/>
                                                                <w:right w:val="none" w:sz="0" w:space="0" w:color="auto"/>
                                                              </w:divBdr>
                                                              <w:divsChild>
                                                                <w:div w:id="170775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9907042">
      <w:bodyDiv w:val="1"/>
      <w:marLeft w:val="0"/>
      <w:marRight w:val="0"/>
      <w:marTop w:val="0"/>
      <w:marBottom w:val="0"/>
      <w:divBdr>
        <w:top w:val="none" w:sz="0" w:space="0" w:color="auto"/>
        <w:left w:val="none" w:sz="0" w:space="0" w:color="auto"/>
        <w:bottom w:val="none" w:sz="0" w:space="0" w:color="auto"/>
        <w:right w:val="none" w:sz="0" w:space="0" w:color="auto"/>
      </w:divBdr>
      <w:divsChild>
        <w:div w:id="1102187782">
          <w:marLeft w:val="0"/>
          <w:marRight w:val="0"/>
          <w:marTop w:val="0"/>
          <w:marBottom w:val="0"/>
          <w:divBdr>
            <w:top w:val="none" w:sz="0" w:space="0" w:color="auto"/>
            <w:left w:val="none" w:sz="0" w:space="0" w:color="auto"/>
            <w:bottom w:val="none" w:sz="0" w:space="0" w:color="auto"/>
            <w:right w:val="none" w:sz="0" w:space="0" w:color="auto"/>
          </w:divBdr>
          <w:divsChild>
            <w:div w:id="267012036">
              <w:marLeft w:val="0"/>
              <w:marRight w:val="0"/>
              <w:marTop w:val="0"/>
              <w:marBottom w:val="0"/>
              <w:divBdr>
                <w:top w:val="none" w:sz="0" w:space="0" w:color="auto"/>
                <w:left w:val="none" w:sz="0" w:space="0" w:color="auto"/>
                <w:bottom w:val="none" w:sz="0" w:space="0" w:color="auto"/>
                <w:right w:val="none" w:sz="0" w:space="0" w:color="auto"/>
              </w:divBdr>
              <w:divsChild>
                <w:div w:id="2064208472">
                  <w:marLeft w:val="0"/>
                  <w:marRight w:val="0"/>
                  <w:marTop w:val="0"/>
                  <w:marBottom w:val="0"/>
                  <w:divBdr>
                    <w:top w:val="none" w:sz="0" w:space="0" w:color="auto"/>
                    <w:left w:val="none" w:sz="0" w:space="0" w:color="auto"/>
                    <w:bottom w:val="none" w:sz="0" w:space="0" w:color="auto"/>
                    <w:right w:val="none" w:sz="0" w:space="0" w:color="auto"/>
                  </w:divBdr>
                  <w:divsChild>
                    <w:div w:id="777915149">
                      <w:marLeft w:val="0"/>
                      <w:marRight w:val="0"/>
                      <w:marTop w:val="0"/>
                      <w:marBottom w:val="0"/>
                      <w:divBdr>
                        <w:top w:val="none" w:sz="0" w:space="0" w:color="auto"/>
                        <w:left w:val="none" w:sz="0" w:space="0" w:color="auto"/>
                        <w:bottom w:val="none" w:sz="0" w:space="0" w:color="auto"/>
                        <w:right w:val="none" w:sz="0" w:space="0" w:color="auto"/>
                      </w:divBdr>
                      <w:divsChild>
                        <w:div w:id="185484953">
                          <w:marLeft w:val="0"/>
                          <w:marRight w:val="0"/>
                          <w:marTop w:val="0"/>
                          <w:marBottom w:val="0"/>
                          <w:divBdr>
                            <w:top w:val="none" w:sz="0" w:space="0" w:color="auto"/>
                            <w:left w:val="none" w:sz="0" w:space="0" w:color="auto"/>
                            <w:bottom w:val="none" w:sz="0" w:space="0" w:color="auto"/>
                            <w:right w:val="none" w:sz="0" w:space="0" w:color="auto"/>
                          </w:divBdr>
                          <w:divsChild>
                            <w:div w:id="203078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425545">
      <w:bodyDiv w:val="1"/>
      <w:marLeft w:val="0"/>
      <w:marRight w:val="0"/>
      <w:marTop w:val="0"/>
      <w:marBottom w:val="0"/>
      <w:divBdr>
        <w:top w:val="none" w:sz="0" w:space="0" w:color="auto"/>
        <w:left w:val="none" w:sz="0" w:space="0" w:color="auto"/>
        <w:bottom w:val="none" w:sz="0" w:space="0" w:color="auto"/>
        <w:right w:val="none" w:sz="0" w:space="0" w:color="auto"/>
      </w:divBdr>
      <w:divsChild>
        <w:div w:id="1417559665">
          <w:marLeft w:val="0"/>
          <w:marRight w:val="0"/>
          <w:marTop w:val="0"/>
          <w:marBottom w:val="0"/>
          <w:divBdr>
            <w:top w:val="none" w:sz="0" w:space="0" w:color="auto"/>
            <w:left w:val="none" w:sz="0" w:space="0" w:color="auto"/>
            <w:bottom w:val="none" w:sz="0" w:space="0" w:color="auto"/>
            <w:right w:val="none" w:sz="0" w:space="0" w:color="auto"/>
          </w:divBdr>
          <w:divsChild>
            <w:div w:id="1535070576">
              <w:marLeft w:val="0"/>
              <w:marRight w:val="0"/>
              <w:marTop w:val="0"/>
              <w:marBottom w:val="0"/>
              <w:divBdr>
                <w:top w:val="none" w:sz="0" w:space="0" w:color="auto"/>
                <w:left w:val="none" w:sz="0" w:space="0" w:color="auto"/>
                <w:bottom w:val="none" w:sz="0" w:space="0" w:color="auto"/>
                <w:right w:val="none" w:sz="0" w:space="0" w:color="auto"/>
              </w:divBdr>
              <w:divsChild>
                <w:div w:id="1202934178">
                  <w:marLeft w:val="0"/>
                  <w:marRight w:val="0"/>
                  <w:marTop w:val="0"/>
                  <w:marBottom w:val="0"/>
                  <w:divBdr>
                    <w:top w:val="none" w:sz="0" w:space="0" w:color="auto"/>
                    <w:left w:val="none" w:sz="0" w:space="0" w:color="auto"/>
                    <w:bottom w:val="none" w:sz="0" w:space="0" w:color="auto"/>
                    <w:right w:val="none" w:sz="0" w:space="0" w:color="auto"/>
                  </w:divBdr>
                  <w:divsChild>
                    <w:div w:id="944925165">
                      <w:marLeft w:val="0"/>
                      <w:marRight w:val="0"/>
                      <w:marTop w:val="0"/>
                      <w:marBottom w:val="0"/>
                      <w:divBdr>
                        <w:top w:val="none" w:sz="0" w:space="0" w:color="auto"/>
                        <w:left w:val="none" w:sz="0" w:space="0" w:color="auto"/>
                        <w:bottom w:val="none" w:sz="0" w:space="0" w:color="auto"/>
                        <w:right w:val="none" w:sz="0" w:space="0" w:color="auto"/>
                      </w:divBdr>
                      <w:divsChild>
                        <w:div w:id="517159175">
                          <w:marLeft w:val="0"/>
                          <w:marRight w:val="0"/>
                          <w:marTop w:val="0"/>
                          <w:marBottom w:val="0"/>
                          <w:divBdr>
                            <w:top w:val="none" w:sz="0" w:space="0" w:color="auto"/>
                            <w:left w:val="none" w:sz="0" w:space="0" w:color="auto"/>
                            <w:bottom w:val="none" w:sz="0" w:space="0" w:color="auto"/>
                            <w:right w:val="none" w:sz="0" w:space="0" w:color="auto"/>
                          </w:divBdr>
                          <w:divsChild>
                            <w:div w:id="5505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509707">
      <w:bodyDiv w:val="1"/>
      <w:marLeft w:val="0"/>
      <w:marRight w:val="0"/>
      <w:marTop w:val="0"/>
      <w:marBottom w:val="0"/>
      <w:divBdr>
        <w:top w:val="none" w:sz="0" w:space="0" w:color="auto"/>
        <w:left w:val="none" w:sz="0" w:space="0" w:color="auto"/>
        <w:bottom w:val="none" w:sz="0" w:space="0" w:color="auto"/>
        <w:right w:val="none" w:sz="0" w:space="0" w:color="auto"/>
      </w:divBdr>
    </w:div>
    <w:div w:id="626929148">
      <w:bodyDiv w:val="1"/>
      <w:marLeft w:val="0"/>
      <w:marRight w:val="0"/>
      <w:marTop w:val="0"/>
      <w:marBottom w:val="0"/>
      <w:divBdr>
        <w:top w:val="none" w:sz="0" w:space="0" w:color="auto"/>
        <w:left w:val="none" w:sz="0" w:space="0" w:color="auto"/>
        <w:bottom w:val="none" w:sz="0" w:space="0" w:color="auto"/>
        <w:right w:val="none" w:sz="0" w:space="0" w:color="auto"/>
      </w:divBdr>
      <w:divsChild>
        <w:div w:id="846867223">
          <w:marLeft w:val="0"/>
          <w:marRight w:val="0"/>
          <w:marTop w:val="0"/>
          <w:marBottom w:val="0"/>
          <w:divBdr>
            <w:top w:val="none" w:sz="0" w:space="0" w:color="auto"/>
            <w:left w:val="none" w:sz="0" w:space="0" w:color="auto"/>
            <w:bottom w:val="none" w:sz="0" w:space="0" w:color="auto"/>
            <w:right w:val="none" w:sz="0" w:space="0" w:color="auto"/>
          </w:divBdr>
          <w:divsChild>
            <w:div w:id="539630615">
              <w:marLeft w:val="0"/>
              <w:marRight w:val="0"/>
              <w:marTop w:val="0"/>
              <w:marBottom w:val="0"/>
              <w:divBdr>
                <w:top w:val="none" w:sz="0" w:space="0" w:color="auto"/>
                <w:left w:val="none" w:sz="0" w:space="0" w:color="auto"/>
                <w:bottom w:val="none" w:sz="0" w:space="0" w:color="auto"/>
                <w:right w:val="none" w:sz="0" w:space="0" w:color="auto"/>
              </w:divBdr>
              <w:divsChild>
                <w:div w:id="2142073064">
                  <w:marLeft w:val="0"/>
                  <w:marRight w:val="0"/>
                  <w:marTop w:val="0"/>
                  <w:marBottom w:val="0"/>
                  <w:divBdr>
                    <w:top w:val="none" w:sz="0" w:space="0" w:color="auto"/>
                    <w:left w:val="none" w:sz="0" w:space="0" w:color="auto"/>
                    <w:bottom w:val="none" w:sz="0" w:space="0" w:color="auto"/>
                    <w:right w:val="none" w:sz="0" w:space="0" w:color="auto"/>
                  </w:divBdr>
                  <w:divsChild>
                    <w:div w:id="3087052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77720853">
      <w:bodyDiv w:val="1"/>
      <w:marLeft w:val="0"/>
      <w:marRight w:val="0"/>
      <w:marTop w:val="0"/>
      <w:marBottom w:val="0"/>
      <w:divBdr>
        <w:top w:val="none" w:sz="0" w:space="0" w:color="auto"/>
        <w:left w:val="none" w:sz="0" w:space="0" w:color="auto"/>
        <w:bottom w:val="none" w:sz="0" w:space="0" w:color="auto"/>
        <w:right w:val="none" w:sz="0" w:space="0" w:color="auto"/>
      </w:divBdr>
      <w:divsChild>
        <w:div w:id="170874921">
          <w:marLeft w:val="0"/>
          <w:marRight w:val="0"/>
          <w:marTop w:val="0"/>
          <w:marBottom w:val="0"/>
          <w:divBdr>
            <w:top w:val="none" w:sz="0" w:space="0" w:color="auto"/>
            <w:left w:val="none" w:sz="0" w:space="0" w:color="auto"/>
            <w:bottom w:val="none" w:sz="0" w:space="0" w:color="auto"/>
            <w:right w:val="none" w:sz="0" w:space="0" w:color="auto"/>
          </w:divBdr>
          <w:divsChild>
            <w:div w:id="734819760">
              <w:marLeft w:val="0"/>
              <w:marRight w:val="0"/>
              <w:marTop w:val="0"/>
              <w:marBottom w:val="0"/>
              <w:divBdr>
                <w:top w:val="none" w:sz="0" w:space="0" w:color="auto"/>
                <w:left w:val="none" w:sz="0" w:space="0" w:color="auto"/>
                <w:bottom w:val="none" w:sz="0" w:space="0" w:color="auto"/>
                <w:right w:val="none" w:sz="0" w:space="0" w:color="auto"/>
              </w:divBdr>
              <w:divsChild>
                <w:div w:id="1209103596">
                  <w:marLeft w:val="0"/>
                  <w:marRight w:val="0"/>
                  <w:marTop w:val="0"/>
                  <w:marBottom w:val="0"/>
                  <w:divBdr>
                    <w:top w:val="none" w:sz="0" w:space="0" w:color="auto"/>
                    <w:left w:val="none" w:sz="0" w:space="0" w:color="auto"/>
                    <w:bottom w:val="none" w:sz="0" w:space="0" w:color="auto"/>
                    <w:right w:val="none" w:sz="0" w:space="0" w:color="auto"/>
                  </w:divBdr>
                  <w:divsChild>
                    <w:div w:id="195966711">
                      <w:marLeft w:val="0"/>
                      <w:marRight w:val="0"/>
                      <w:marTop w:val="0"/>
                      <w:marBottom w:val="0"/>
                      <w:divBdr>
                        <w:top w:val="none" w:sz="0" w:space="0" w:color="auto"/>
                        <w:left w:val="none" w:sz="0" w:space="0" w:color="auto"/>
                        <w:bottom w:val="none" w:sz="0" w:space="0" w:color="auto"/>
                        <w:right w:val="none" w:sz="0" w:space="0" w:color="auto"/>
                      </w:divBdr>
                      <w:divsChild>
                        <w:div w:id="1902398964">
                          <w:marLeft w:val="0"/>
                          <w:marRight w:val="0"/>
                          <w:marTop w:val="0"/>
                          <w:marBottom w:val="0"/>
                          <w:divBdr>
                            <w:top w:val="none" w:sz="0" w:space="0" w:color="auto"/>
                            <w:left w:val="none" w:sz="0" w:space="0" w:color="auto"/>
                            <w:bottom w:val="none" w:sz="0" w:space="0" w:color="auto"/>
                            <w:right w:val="none" w:sz="0" w:space="0" w:color="auto"/>
                          </w:divBdr>
                          <w:divsChild>
                            <w:div w:id="146638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110254">
      <w:bodyDiv w:val="1"/>
      <w:marLeft w:val="0"/>
      <w:marRight w:val="0"/>
      <w:marTop w:val="0"/>
      <w:marBottom w:val="0"/>
      <w:divBdr>
        <w:top w:val="none" w:sz="0" w:space="0" w:color="auto"/>
        <w:left w:val="none" w:sz="0" w:space="0" w:color="auto"/>
        <w:bottom w:val="none" w:sz="0" w:space="0" w:color="auto"/>
        <w:right w:val="none" w:sz="0" w:space="0" w:color="auto"/>
      </w:divBdr>
    </w:div>
    <w:div w:id="834491703">
      <w:bodyDiv w:val="1"/>
      <w:marLeft w:val="0"/>
      <w:marRight w:val="0"/>
      <w:marTop w:val="0"/>
      <w:marBottom w:val="0"/>
      <w:divBdr>
        <w:top w:val="none" w:sz="0" w:space="0" w:color="auto"/>
        <w:left w:val="none" w:sz="0" w:space="0" w:color="auto"/>
        <w:bottom w:val="none" w:sz="0" w:space="0" w:color="auto"/>
        <w:right w:val="none" w:sz="0" w:space="0" w:color="auto"/>
      </w:divBdr>
      <w:divsChild>
        <w:div w:id="1571694316">
          <w:marLeft w:val="0"/>
          <w:marRight w:val="0"/>
          <w:marTop w:val="0"/>
          <w:marBottom w:val="0"/>
          <w:divBdr>
            <w:top w:val="none" w:sz="0" w:space="0" w:color="auto"/>
            <w:left w:val="none" w:sz="0" w:space="0" w:color="auto"/>
            <w:bottom w:val="none" w:sz="0" w:space="0" w:color="auto"/>
            <w:right w:val="none" w:sz="0" w:space="0" w:color="auto"/>
          </w:divBdr>
          <w:divsChild>
            <w:div w:id="171916461">
              <w:marLeft w:val="0"/>
              <w:marRight w:val="0"/>
              <w:marTop w:val="0"/>
              <w:marBottom w:val="0"/>
              <w:divBdr>
                <w:top w:val="none" w:sz="0" w:space="0" w:color="auto"/>
                <w:left w:val="none" w:sz="0" w:space="0" w:color="auto"/>
                <w:bottom w:val="none" w:sz="0" w:space="0" w:color="auto"/>
                <w:right w:val="none" w:sz="0" w:space="0" w:color="auto"/>
              </w:divBdr>
              <w:divsChild>
                <w:div w:id="1059785425">
                  <w:marLeft w:val="0"/>
                  <w:marRight w:val="0"/>
                  <w:marTop w:val="0"/>
                  <w:marBottom w:val="0"/>
                  <w:divBdr>
                    <w:top w:val="none" w:sz="0" w:space="0" w:color="auto"/>
                    <w:left w:val="none" w:sz="0" w:space="0" w:color="auto"/>
                    <w:bottom w:val="none" w:sz="0" w:space="0" w:color="auto"/>
                    <w:right w:val="none" w:sz="0" w:space="0" w:color="auto"/>
                  </w:divBdr>
                  <w:divsChild>
                    <w:div w:id="644049982">
                      <w:marLeft w:val="-150"/>
                      <w:marRight w:val="-150"/>
                      <w:marTop w:val="0"/>
                      <w:marBottom w:val="0"/>
                      <w:divBdr>
                        <w:top w:val="none" w:sz="0" w:space="0" w:color="auto"/>
                        <w:left w:val="none" w:sz="0" w:space="0" w:color="auto"/>
                        <w:bottom w:val="none" w:sz="0" w:space="0" w:color="auto"/>
                        <w:right w:val="none" w:sz="0" w:space="0" w:color="auto"/>
                      </w:divBdr>
                      <w:divsChild>
                        <w:div w:id="1073627445">
                          <w:marLeft w:val="0"/>
                          <w:marRight w:val="0"/>
                          <w:marTop w:val="0"/>
                          <w:marBottom w:val="0"/>
                          <w:divBdr>
                            <w:top w:val="none" w:sz="0" w:space="0" w:color="auto"/>
                            <w:left w:val="none" w:sz="0" w:space="0" w:color="auto"/>
                            <w:bottom w:val="none" w:sz="0" w:space="0" w:color="auto"/>
                            <w:right w:val="none" w:sz="0" w:space="0" w:color="auto"/>
                          </w:divBdr>
                          <w:divsChild>
                            <w:div w:id="76484601">
                              <w:marLeft w:val="0"/>
                              <w:marRight w:val="0"/>
                              <w:marTop w:val="0"/>
                              <w:marBottom w:val="0"/>
                              <w:divBdr>
                                <w:top w:val="none" w:sz="0" w:space="0" w:color="auto"/>
                                <w:left w:val="none" w:sz="0" w:space="0" w:color="auto"/>
                                <w:bottom w:val="none" w:sz="0" w:space="0" w:color="auto"/>
                                <w:right w:val="none" w:sz="0" w:space="0" w:color="auto"/>
                              </w:divBdr>
                              <w:divsChild>
                                <w:div w:id="780106410">
                                  <w:marLeft w:val="0"/>
                                  <w:marRight w:val="0"/>
                                  <w:marTop w:val="0"/>
                                  <w:marBottom w:val="300"/>
                                  <w:divBdr>
                                    <w:top w:val="none" w:sz="0" w:space="0" w:color="auto"/>
                                    <w:left w:val="none" w:sz="0" w:space="0" w:color="auto"/>
                                    <w:bottom w:val="none" w:sz="0" w:space="0" w:color="auto"/>
                                    <w:right w:val="none" w:sz="0" w:space="0" w:color="auto"/>
                                  </w:divBdr>
                                  <w:divsChild>
                                    <w:div w:id="1380744579">
                                      <w:marLeft w:val="0"/>
                                      <w:marRight w:val="0"/>
                                      <w:marTop w:val="0"/>
                                      <w:marBottom w:val="0"/>
                                      <w:divBdr>
                                        <w:top w:val="none" w:sz="0" w:space="0" w:color="auto"/>
                                        <w:left w:val="none" w:sz="0" w:space="0" w:color="auto"/>
                                        <w:bottom w:val="none" w:sz="0" w:space="0" w:color="auto"/>
                                        <w:right w:val="none" w:sz="0" w:space="0" w:color="auto"/>
                                      </w:divBdr>
                                      <w:divsChild>
                                        <w:div w:id="349375911">
                                          <w:marLeft w:val="0"/>
                                          <w:marRight w:val="0"/>
                                          <w:marTop w:val="0"/>
                                          <w:marBottom w:val="0"/>
                                          <w:divBdr>
                                            <w:top w:val="none" w:sz="0" w:space="0" w:color="auto"/>
                                            <w:left w:val="none" w:sz="0" w:space="0" w:color="auto"/>
                                            <w:bottom w:val="none" w:sz="0" w:space="0" w:color="auto"/>
                                            <w:right w:val="none" w:sz="0" w:space="0" w:color="auto"/>
                                          </w:divBdr>
                                          <w:divsChild>
                                            <w:div w:id="1936209544">
                                              <w:marLeft w:val="0"/>
                                              <w:marRight w:val="0"/>
                                              <w:marTop w:val="0"/>
                                              <w:marBottom w:val="0"/>
                                              <w:divBdr>
                                                <w:top w:val="none" w:sz="0" w:space="0" w:color="auto"/>
                                                <w:left w:val="none" w:sz="0" w:space="0" w:color="auto"/>
                                                <w:bottom w:val="none" w:sz="0" w:space="0" w:color="auto"/>
                                                <w:right w:val="none" w:sz="0" w:space="0" w:color="auto"/>
                                              </w:divBdr>
                                              <w:divsChild>
                                                <w:div w:id="911087133">
                                                  <w:marLeft w:val="0"/>
                                                  <w:marRight w:val="0"/>
                                                  <w:marTop w:val="0"/>
                                                  <w:marBottom w:val="0"/>
                                                  <w:divBdr>
                                                    <w:top w:val="none" w:sz="0" w:space="0" w:color="auto"/>
                                                    <w:left w:val="none" w:sz="0" w:space="0" w:color="auto"/>
                                                    <w:bottom w:val="none" w:sz="0" w:space="0" w:color="auto"/>
                                                    <w:right w:val="none" w:sz="0" w:space="0" w:color="auto"/>
                                                  </w:divBdr>
                                                  <w:divsChild>
                                                    <w:div w:id="1184711900">
                                                      <w:marLeft w:val="0"/>
                                                      <w:marRight w:val="0"/>
                                                      <w:marTop w:val="0"/>
                                                      <w:marBottom w:val="0"/>
                                                      <w:divBdr>
                                                        <w:top w:val="none" w:sz="0" w:space="0" w:color="auto"/>
                                                        <w:left w:val="none" w:sz="0" w:space="0" w:color="auto"/>
                                                        <w:bottom w:val="none" w:sz="0" w:space="0" w:color="auto"/>
                                                        <w:right w:val="none" w:sz="0" w:space="0" w:color="auto"/>
                                                      </w:divBdr>
                                                      <w:divsChild>
                                                        <w:div w:id="705327771">
                                                          <w:marLeft w:val="0"/>
                                                          <w:marRight w:val="0"/>
                                                          <w:marTop w:val="0"/>
                                                          <w:marBottom w:val="0"/>
                                                          <w:divBdr>
                                                            <w:top w:val="none" w:sz="0" w:space="0" w:color="auto"/>
                                                            <w:left w:val="none" w:sz="0" w:space="0" w:color="auto"/>
                                                            <w:bottom w:val="none" w:sz="0" w:space="0" w:color="auto"/>
                                                            <w:right w:val="none" w:sz="0" w:space="0" w:color="auto"/>
                                                          </w:divBdr>
                                                          <w:divsChild>
                                                            <w:div w:id="543374451">
                                                              <w:marLeft w:val="0"/>
                                                              <w:marRight w:val="0"/>
                                                              <w:marTop w:val="0"/>
                                                              <w:marBottom w:val="0"/>
                                                              <w:divBdr>
                                                                <w:top w:val="none" w:sz="0" w:space="0" w:color="auto"/>
                                                                <w:left w:val="none" w:sz="0" w:space="0" w:color="auto"/>
                                                                <w:bottom w:val="none" w:sz="0" w:space="0" w:color="auto"/>
                                                                <w:right w:val="none" w:sz="0" w:space="0" w:color="auto"/>
                                                              </w:divBdr>
                                                              <w:divsChild>
                                                                <w:div w:id="90302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8006633">
      <w:bodyDiv w:val="1"/>
      <w:marLeft w:val="0"/>
      <w:marRight w:val="0"/>
      <w:marTop w:val="0"/>
      <w:marBottom w:val="0"/>
      <w:divBdr>
        <w:top w:val="none" w:sz="0" w:space="0" w:color="auto"/>
        <w:left w:val="none" w:sz="0" w:space="0" w:color="auto"/>
        <w:bottom w:val="none" w:sz="0" w:space="0" w:color="auto"/>
        <w:right w:val="none" w:sz="0" w:space="0" w:color="auto"/>
      </w:divBdr>
      <w:divsChild>
        <w:div w:id="300889503">
          <w:marLeft w:val="0"/>
          <w:marRight w:val="0"/>
          <w:marTop w:val="0"/>
          <w:marBottom w:val="0"/>
          <w:divBdr>
            <w:top w:val="none" w:sz="0" w:space="0" w:color="auto"/>
            <w:left w:val="none" w:sz="0" w:space="0" w:color="auto"/>
            <w:bottom w:val="none" w:sz="0" w:space="0" w:color="auto"/>
            <w:right w:val="none" w:sz="0" w:space="0" w:color="auto"/>
          </w:divBdr>
          <w:divsChild>
            <w:div w:id="467744472">
              <w:marLeft w:val="0"/>
              <w:marRight w:val="0"/>
              <w:marTop w:val="0"/>
              <w:marBottom w:val="0"/>
              <w:divBdr>
                <w:top w:val="none" w:sz="0" w:space="0" w:color="auto"/>
                <w:left w:val="none" w:sz="0" w:space="0" w:color="auto"/>
                <w:bottom w:val="none" w:sz="0" w:space="0" w:color="auto"/>
                <w:right w:val="none" w:sz="0" w:space="0" w:color="auto"/>
              </w:divBdr>
              <w:divsChild>
                <w:div w:id="1747418125">
                  <w:marLeft w:val="0"/>
                  <w:marRight w:val="0"/>
                  <w:marTop w:val="0"/>
                  <w:marBottom w:val="0"/>
                  <w:divBdr>
                    <w:top w:val="none" w:sz="0" w:space="0" w:color="auto"/>
                    <w:left w:val="none" w:sz="0" w:space="0" w:color="auto"/>
                    <w:bottom w:val="none" w:sz="0" w:space="0" w:color="auto"/>
                    <w:right w:val="none" w:sz="0" w:space="0" w:color="auto"/>
                  </w:divBdr>
                  <w:divsChild>
                    <w:div w:id="421074845">
                      <w:marLeft w:val="0"/>
                      <w:marRight w:val="0"/>
                      <w:marTop w:val="0"/>
                      <w:marBottom w:val="0"/>
                      <w:divBdr>
                        <w:top w:val="none" w:sz="0" w:space="0" w:color="auto"/>
                        <w:left w:val="none" w:sz="0" w:space="0" w:color="auto"/>
                        <w:bottom w:val="none" w:sz="0" w:space="0" w:color="auto"/>
                        <w:right w:val="none" w:sz="0" w:space="0" w:color="auto"/>
                      </w:divBdr>
                      <w:divsChild>
                        <w:div w:id="328562578">
                          <w:marLeft w:val="0"/>
                          <w:marRight w:val="0"/>
                          <w:marTop w:val="0"/>
                          <w:marBottom w:val="0"/>
                          <w:divBdr>
                            <w:top w:val="none" w:sz="0" w:space="0" w:color="auto"/>
                            <w:left w:val="none" w:sz="0" w:space="0" w:color="auto"/>
                            <w:bottom w:val="none" w:sz="0" w:space="0" w:color="auto"/>
                            <w:right w:val="none" w:sz="0" w:space="0" w:color="auto"/>
                          </w:divBdr>
                          <w:divsChild>
                            <w:div w:id="129047276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003924">
      <w:bodyDiv w:val="1"/>
      <w:marLeft w:val="0"/>
      <w:marRight w:val="0"/>
      <w:marTop w:val="0"/>
      <w:marBottom w:val="0"/>
      <w:divBdr>
        <w:top w:val="none" w:sz="0" w:space="0" w:color="auto"/>
        <w:left w:val="none" w:sz="0" w:space="0" w:color="auto"/>
        <w:bottom w:val="none" w:sz="0" w:space="0" w:color="auto"/>
        <w:right w:val="none" w:sz="0" w:space="0" w:color="auto"/>
      </w:divBdr>
      <w:divsChild>
        <w:div w:id="1841194093">
          <w:marLeft w:val="0"/>
          <w:marRight w:val="0"/>
          <w:marTop w:val="0"/>
          <w:marBottom w:val="0"/>
          <w:divBdr>
            <w:top w:val="none" w:sz="0" w:space="0" w:color="auto"/>
            <w:left w:val="none" w:sz="0" w:space="0" w:color="auto"/>
            <w:bottom w:val="none" w:sz="0" w:space="0" w:color="auto"/>
            <w:right w:val="none" w:sz="0" w:space="0" w:color="auto"/>
          </w:divBdr>
          <w:divsChild>
            <w:div w:id="866214478">
              <w:marLeft w:val="0"/>
              <w:marRight w:val="0"/>
              <w:marTop w:val="0"/>
              <w:marBottom w:val="0"/>
              <w:divBdr>
                <w:top w:val="none" w:sz="0" w:space="0" w:color="auto"/>
                <w:left w:val="none" w:sz="0" w:space="0" w:color="auto"/>
                <w:bottom w:val="none" w:sz="0" w:space="0" w:color="auto"/>
                <w:right w:val="none" w:sz="0" w:space="0" w:color="auto"/>
              </w:divBdr>
              <w:divsChild>
                <w:div w:id="1398628704">
                  <w:marLeft w:val="0"/>
                  <w:marRight w:val="0"/>
                  <w:marTop w:val="0"/>
                  <w:marBottom w:val="0"/>
                  <w:divBdr>
                    <w:top w:val="none" w:sz="0" w:space="0" w:color="auto"/>
                    <w:left w:val="none" w:sz="0" w:space="0" w:color="auto"/>
                    <w:bottom w:val="none" w:sz="0" w:space="0" w:color="auto"/>
                    <w:right w:val="none" w:sz="0" w:space="0" w:color="auto"/>
                  </w:divBdr>
                  <w:divsChild>
                    <w:div w:id="1181047429">
                      <w:marLeft w:val="0"/>
                      <w:marRight w:val="0"/>
                      <w:marTop w:val="0"/>
                      <w:marBottom w:val="0"/>
                      <w:divBdr>
                        <w:top w:val="none" w:sz="0" w:space="0" w:color="auto"/>
                        <w:left w:val="none" w:sz="0" w:space="0" w:color="auto"/>
                        <w:bottom w:val="none" w:sz="0" w:space="0" w:color="auto"/>
                        <w:right w:val="none" w:sz="0" w:space="0" w:color="auto"/>
                      </w:divBdr>
                      <w:divsChild>
                        <w:div w:id="367530949">
                          <w:marLeft w:val="0"/>
                          <w:marRight w:val="0"/>
                          <w:marTop w:val="0"/>
                          <w:marBottom w:val="0"/>
                          <w:divBdr>
                            <w:top w:val="none" w:sz="0" w:space="0" w:color="auto"/>
                            <w:left w:val="none" w:sz="0" w:space="0" w:color="auto"/>
                            <w:bottom w:val="none" w:sz="0" w:space="0" w:color="auto"/>
                            <w:right w:val="none" w:sz="0" w:space="0" w:color="auto"/>
                          </w:divBdr>
                          <w:divsChild>
                            <w:div w:id="208699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742696">
      <w:bodyDiv w:val="1"/>
      <w:marLeft w:val="0"/>
      <w:marRight w:val="0"/>
      <w:marTop w:val="0"/>
      <w:marBottom w:val="0"/>
      <w:divBdr>
        <w:top w:val="none" w:sz="0" w:space="0" w:color="auto"/>
        <w:left w:val="none" w:sz="0" w:space="0" w:color="auto"/>
        <w:bottom w:val="none" w:sz="0" w:space="0" w:color="auto"/>
        <w:right w:val="none" w:sz="0" w:space="0" w:color="auto"/>
      </w:divBdr>
      <w:divsChild>
        <w:div w:id="561141137">
          <w:marLeft w:val="0"/>
          <w:marRight w:val="0"/>
          <w:marTop w:val="0"/>
          <w:marBottom w:val="0"/>
          <w:divBdr>
            <w:top w:val="none" w:sz="0" w:space="0" w:color="auto"/>
            <w:left w:val="none" w:sz="0" w:space="0" w:color="auto"/>
            <w:bottom w:val="none" w:sz="0" w:space="0" w:color="auto"/>
            <w:right w:val="none" w:sz="0" w:space="0" w:color="auto"/>
          </w:divBdr>
          <w:divsChild>
            <w:div w:id="171602669">
              <w:marLeft w:val="0"/>
              <w:marRight w:val="0"/>
              <w:marTop w:val="0"/>
              <w:marBottom w:val="0"/>
              <w:divBdr>
                <w:top w:val="none" w:sz="0" w:space="0" w:color="auto"/>
                <w:left w:val="none" w:sz="0" w:space="0" w:color="auto"/>
                <w:bottom w:val="none" w:sz="0" w:space="0" w:color="auto"/>
                <w:right w:val="none" w:sz="0" w:space="0" w:color="auto"/>
              </w:divBdr>
              <w:divsChild>
                <w:div w:id="261650147">
                  <w:marLeft w:val="0"/>
                  <w:marRight w:val="0"/>
                  <w:marTop w:val="0"/>
                  <w:marBottom w:val="0"/>
                  <w:divBdr>
                    <w:top w:val="none" w:sz="0" w:space="0" w:color="auto"/>
                    <w:left w:val="none" w:sz="0" w:space="0" w:color="auto"/>
                    <w:bottom w:val="none" w:sz="0" w:space="0" w:color="auto"/>
                    <w:right w:val="none" w:sz="0" w:space="0" w:color="auto"/>
                  </w:divBdr>
                  <w:divsChild>
                    <w:div w:id="609319164">
                      <w:marLeft w:val="0"/>
                      <w:marRight w:val="0"/>
                      <w:marTop w:val="0"/>
                      <w:marBottom w:val="0"/>
                      <w:divBdr>
                        <w:top w:val="none" w:sz="0" w:space="0" w:color="auto"/>
                        <w:left w:val="none" w:sz="0" w:space="0" w:color="auto"/>
                        <w:bottom w:val="none" w:sz="0" w:space="0" w:color="auto"/>
                        <w:right w:val="none" w:sz="0" w:space="0" w:color="auto"/>
                      </w:divBdr>
                      <w:divsChild>
                        <w:div w:id="109515892">
                          <w:marLeft w:val="0"/>
                          <w:marRight w:val="0"/>
                          <w:marTop w:val="0"/>
                          <w:marBottom w:val="0"/>
                          <w:divBdr>
                            <w:top w:val="none" w:sz="0" w:space="0" w:color="auto"/>
                            <w:left w:val="none" w:sz="0" w:space="0" w:color="auto"/>
                            <w:bottom w:val="none" w:sz="0" w:space="0" w:color="auto"/>
                            <w:right w:val="none" w:sz="0" w:space="0" w:color="auto"/>
                          </w:divBdr>
                          <w:divsChild>
                            <w:div w:id="432553538">
                              <w:marLeft w:val="0"/>
                              <w:marRight w:val="0"/>
                              <w:marTop w:val="0"/>
                              <w:marBottom w:val="0"/>
                              <w:divBdr>
                                <w:top w:val="none" w:sz="0" w:space="0" w:color="auto"/>
                                <w:left w:val="none" w:sz="0" w:space="0" w:color="auto"/>
                                <w:bottom w:val="none" w:sz="0" w:space="0" w:color="auto"/>
                                <w:right w:val="none" w:sz="0" w:space="0" w:color="auto"/>
                              </w:divBdr>
                              <w:divsChild>
                                <w:div w:id="479689733">
                                  <w:marLeft w:val="0"/>
                                  <w:marRight w:val="0"/>
                                  <w:marTop w:val="0"/>
                                  <w:marBottom w:val="0"/>
                                  <w:divBdr>
                                    <w:top w:val="none" w:sz="0" w:space="0" w:color="auto"/>
                                    <w:left w:val="none" w:sz="0" w:space="0" w:color="auto"/>
                                    <w:bottom w:val="none" w:sz="0" w:space="0" w:color="auto"/>
                                    <w:right w:val="none" w:sz="0" w:space="0" w:color="auto"/>
                                  </w:divBdr>
                                </w:div>
                                <w:div w:id="1486165878">
                                  <w:marLeft w:val="0"/>
                                  <w:marRight w:val="0"/>
                                  <w:marTop w:val="0"/>
                                  <w:marBottom w:val="0"/>
                                  <w:divBdr>
                                    <w:top w:val="none" w:sz="0" w:space="0" w:color="auto"/>
                                    <w:left w:val="none" w:sz="0" w:space="0" w:color="auto"/>
                                    <w:bottom w:val="none" w:sz="0" w:space="0" w:color="auto"/>
                                    <w:right w:val="none" w:sz="0" w:space="0" w:color="auto"/>
                                  </w:divBdr>
                                  <w:divsChild>
                                    <w:div w:id="288634842">
                                      <w:marLeft w:val="0"/>
                                      <w:marRight w:val="0"/>
                                      <w:marTop w:val="0"/>
                                      <w:marBottom w:val="0"/>
                                      <w:divBdr>
                                        <w:top w:val="none" w:sz="0" w:space="0" w:color="auto"/>
                                        <w:left w:val="none" w:sz="0" w:space="0" w:color="auto"/>
                                        <w:bottom w:val="none" w:sz="0" w:space="0" w:color="auto"/>
                                        <w:right w:val="none" w:sz="0" w:space="0" w:color="auto"/>
                                      </w:divBdr>
                                      <w:divsChild>
                                        <w:div w:id="1781028764">
                                          <w:marLeft w:val="0"/>
                                          <w:marRight w:val="0"/>
                                          <w:marTop w:val="0"/>
                                          <w:marBottom w:val="0"/>
                                          <w:divBdr>
                                            <w:top w:val="none" w:sz="0" w:space="0" w:color="auto"/>
                                            <w:left w:val="none" w:sz="0" w:space="0" w:color="auto"/>
                                            <w:bottom w:val="none" w:sz="0" w:space="0" w:color="auto"/>
                                            <w:right w:val="none" w:sz="0" w:space="0" w:color="auto"/>
                                          </w:divBdr>
                                        </w:div>
                                        <w:div w:id="70243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6291514">
      <w:bodyDiv w:val="1"/>
      <w:marLeft w:val="0"/>
      <w:marRight w:val="0"/>
      <w:marTop w:val="0"/>
      <w:marBottom w:val="0"/>
      <w:divBdr>
        <w:top w:val="none" w:sz="0" w:space="0" w:color="auto"/>
        <w:left w:val="none" w:sz="0" w:space="0" w:color="auto"/>
        <w:bottom w:val="none" w:sz="0" w:space="0" w:color="auto"/>
        <w:right w:val="none" w:sz="0" w:space="0" w:color="auto"/>
      </w:divBdr>
      <w:divsChild>
        <w:div w:id="2064868080">
          <w:marLeft w:val="0"/>
          <w:marRight w:val="0"/>
          <w:marTop w:val="0"/>
          <w:marBottom w:val="0"/>
          <w:divBdr>
            <w:top w:val="none" w:sz="0" w:space="0" w:color="auto"/>
            <w:left w:val="none" w:sz="0" w:space="0" w:color="auto"/>
            <w:bottom w:val="none" w:sz="0" w:space="0" w:color="auto"/>
            <w:right w:val="none" w:sz="0" w:space="0" w:color="auto"/>
          </w:divBdr>
        </w:div>
      </w:divsChild>
    </w:div>
    <w:div w:id="1411582184">
      <w:bodyDiv w:val="1"/>
      <w:marLeft w:val="0"/>
      <w:marRight w:val="0"/>
      <w:marTop w:val="0"/>
      <w:marBottom w:val="0"/>
      <w:divBdr>
        <w:top w:val="none" w:sz="0" w:space="0" w:color="auto"/>
        <w:left w:val="none" w:sz="0" w:space="0" w:color="auto"/>
        <w:bottom w:val="none" w:sz="0" w:space="0" w:color="auto"/>
        <w:right w:val="none" w:sz="0" w:space="0" w:color="auto"/>
      </w:divBdr>
    </w:div>
    <w:div w:id="1767535025">
      <w:bodyDiv w:val="1"/>
      <w:marLeft w:val="0"/>
      <w:marRight w:val="0"/>
      <w:marTop w:val="0"/>
      <w:marBottom w:val="0"/>
      <w:divBdr>
        <w:top w:val="none" w:sz="0" w:space="0" w:color="auto"/>
        <w:left w:val="none" w:sz="0" w:space="0" w:color="auto"/>
        <w:bottom w:val="none" w:sz="0" w:space="0" w:color="auto"/>
        <w:right w:val="none" w:sz="0" w:space="0" w:color="auto"/>
      </w:divBdr>
      <w:divsChild>
        <w:div w:id="1350176455">
          <w:marLeft w:val="0"/>
          <w:marRight w:val="0"/>
          <w:marTop w:val="0"/>
          <w:marBottom w:val="0"/>
          <w:divBdr>
            <w:top w:val="none" w:sz="0" w:space="0" w:color="auto"/>
            <w:left w:val="none" w:sz="0" w:space="0" w:color="auto"/>
            <w:bottom w:val="none" w:sz="0" w:space="0" w:color="auto"/>
            <w:right w:val="none" w:sz="0" w:space="0" w:color="auto"/>
          </w:divBdr>
          <w:divsChild>
            <w:div w:id="1974796363">
              <w:marLeft w:val="0"/>
              <w:marRight w:val="0"/>
              <w:marTop w:val="0"/>
              <w:marBottom w:val="0"/>
              <w:divBdr>
                <w:top w:val="none" w:sz="0" w:space="0" w:color="auto"/>
                <w:left w:val="none" w:sz="0" w:space="0" w:color="auto"/>
                <w:bottom w:val="none" w:sz="0" w:space="0" w:color="auto"/>
                <w:right w:val="none" w:sz="0" w:space="0" w:color="auto"/>
              </w:divBdr>
              <w:divsChild>
                <w:div w:id="1888642608">
                  <w:marLeft w:val="0"/>
                  <w:marRight w:val="0"/>
                  <w:marTop w:val="0"/>
                  <w:marBottom w:val="0"/>
                  <w:divBdr>
                    <w:top w:val="none" w:sz="0" w:space="0" w:color="auto"/>
                    <w:left w:val="none" w:sz="0" w:space="0" w:color="auto"/>
                    <w:bottom w:val="none" w:sz="0" w:space="0" w:color="auto"/>
                    <w:right w:val="none" w:sz="0" w:space="0" w:color="auto"/>
                  </w:divBdr>
                  <w:divsChild>
                    <w:div w:id="2061588375">
                      <w:marLeft w:val="0"/>
                      <w:marRight w:val="0"/>
                      <w:marTop w:val="0"/>
                      <w:marBottom w:val="0"/>
                      <w:divBdr>
                        <w:top w:val="none" w:sz="0" w:space="0" w:color="auto"/>
                        <w:left w:val="none" w:sz="0" w:space="0" w:color="auto"/>
                        <w:bottom w:val="none" w:sz="0" w:space="0" w:color="auto"/>
                        <w:right w:val="none" w:sz="0" w:space="0" w:color="auto"/>
                      </w:divBdr>
                      <w:divsChild>
                        <w:div w:id="152793101">
                          <w:marLeft w:val="0"/>
                          <w:marRight w:val="0"/>
                          <w:marTop w:val="0"/>
                          <w:marBottom w:val="0"/>
                          <w:divBdr>
                            <w:top w:val="none" w:sz="0" w:space="0" w:color="auto"/>
                            <w:left w:val="none" w:sz="0" w:space="0" w:color="auto"/>
                            <w:bottom w:val="none" w:sz="0" w:space="0" w:color="auto"/>
                            <w:right w:val="none" w:sz="0" w:space="0" w:color="auto"/>
                          </w:divBdr>
                          <w:divsChild>
                            <w:div w:id="3051681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092739">
      <w:bodyDiv w:val="1"/>
      <w:marLeft w:val="0"/>
      <w:marRight w:val="0"/>
      <w:marTop w:val="0"/>
      <w:marBottom w:val="0"/>
      <w:divBdr>
        <w:top w:val="none" w:sz="0" w:space="0" w:color="auto"/>
        <w:left w:val="none" w:sz="0" w:space="0" w:color="auto"/>
        <w:bottom w:val="none" w:sz="0" w:space="0" w:color="auto"/>
        <w:right w:val="none" w:sz="0" w:space="0" w:color="auto"/>
      </w:divBdr>
    </w:div>
    <w:div w:id="1835872682">
      <w:bodyDiv w:val="1"/>
      <w:marLeft w:val="0"/>
      <w:marRight w:val="0"/>
      <w:marTop w:val="0"/>
      <w:marBottom w:val="0"/>
      <w:divBdr>
        <w:top w:val="none" w:sz="0" w:space="0" w:color="auto"/>
        <w:left w:val="none" w:sz="0" w:space="0" w:color="auto"/>
        <w:bottom w:val="none" w:sz="0" w:space="0" w:color="auto"/>
        <w:right w:val="none" w:sz="0" w:space="0" w:color="auto"/>
      </w:divBdr>
      <w:divsChild>
        <w:div w:id="1696998419">
          <w:marLeft w:val="0"/>
          <w:marRight w:val="0"/>
          <w:marTop w:val="1650"/>
          <w:marBottom w:val="0"/>
          <w:divBdr>
            <w:top w:val="none" w:sz="0" w:space="0" w:color="auto"/>
            <w:left w:val="none" w:sz="0" w:space="0" w:color="auto"/>
            <w:bottom w:val="none" w:sz="0" w:space="0" w:color="auto"/>
            <w:right w:val="none" w:sz="0" w:space="0" w:color="auto"/>
          </w:divBdr>
          <w:divsChild>
            <w:div w:id="897594508">
              <w:marLeft w:val="0"/>
              <w:marRight w:val="0"/>
              <w:marTop w:val="0"/>
              <w:marBottom w:val="0"/>
              <w:divBdr>
                <w:top w:val="none" w:sz="0" w:space="0" w:color="auto"/>
                <w:left w:val="none" w:sz="0" w:space="0" w:color="auto"/>
                <w:bottom w:val="none" w:sz="0" w:space="0" w:color="auto"/>
                <w:right w:val="none" w:sz="0" w:space="0" w:color="auto"/>
              </w:divBdr>
              <w:divsChild>
                <w:div w:id="2028751248">
                  <w:marLeft w:val="-225"/>
                  <w:marRight w:val="-225"/>
                  <w:marTop w:val="0"/>
                  <w:marBottom w:val="0"/>
                  <w:divBdr>
                    <w:top w:val="none" w:sz="0" w:space="0" w:color="auto"/>
                    <w:left w:val="none" w:sz="0" w:space="0" w:color="auto"/>
                    <w:bottom w:val="none" w:sz="0" w:space="0" w:color="auto"/>
                    <w:right w:val="none" w:sz="0" w:space="0" w:color="auto"/>
                  </w:divBdr>
                  <w:divsChild>
                    <w:div w:id="48012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12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ene.Ozola@tm.gov.lv"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tm.gov.lv/lv/aktualitates/tm-informacija-presei/pieejams-starptautiska-valutas-fonda-novertejuma-zinojums-par-maksatnespejas-regulejumu-latvija" TargetMode="External"/><Relationship Id="rId3" Type="http://schemas.openxmlformats.org/officeDocument/2006/relationships/hyperlink" Target="https://www.sseriga.edu/sites/default/files/2019-01/FICIL_Sentiment_Index_2018_LV.pdf" TargetMode="External"/><Relationship Id="rId7" Type="http://schemas.openxmlformats.org/officeDocument/2006/relationships/hyperlink" Target="https://vestnesis.lv/op/2017/38.5" TargetMode="External"/><Relationship Id="rId12" Type="http://schemas.openxmlformats.org/officeDocument/2006/relationships/hyperlink" Target="http://petijumi.mk.gov.lv/node/3103" TargetMode="External"/><Relationship Id="rId2" Type="http://schemas.openxmlformats.org/officeDocument/2006/relationships/hyperlink" Target="https://likumi.lv/ta/id/295825" TargetMode="External"/><Relationship Id="rId1" Type="http://schemas.openxmlformats.org/officeDocument/2006/relationships/hyperlink" Target="https://likumi.lv/ta/id/284925" TargetMode="External"/><Relationship Id="rId6" Type="http://schemas.openxmlformats.org/officeDocument/2006/relationships/hyperlink" Target="https://eur-lex.europa.eu/legal-content/LV/TXT/?uri=OJ:L:2019:172:TOC" TargetMode="External"/><Relationship Id="rId11" Type="http://schemas.openxmlformats.org/officeDocument/2006/relationships/hyperlink" Target="http://petijumi.mk.gov.lv/node/3105" TargetMode="External"/><Relationship Id="rId5" Type="http://schemas.openxmlformats.org/officeDocument/2006/relationships/hyperlink" Target="http://www.europarl.europa.eu/RegData/docs_autres_institutions/commission_europeenne/com/2016/0723/COM_COM(2016)0723_EN.pdf" TargetMode="External"/><Relationship Id="rId10" Type="http://schemas.openxmlformats.org/officeDocument/2006/relationships/hyperlink" Target="https://likumi.lv/ta/id/299699" TargetMode="External"/><Relationship Id="rId4" Type="http://schemas.openxmlformats.org/officeDocument/2006/relationships/hyperlink" Target="https://www.vestnesis.lv/op/2017/108.4" TargetMode="External"/><Relationship Id="rId9" Type="http://schemas.openxmlformats.org/officeDocument/2006/relationships/hyperlink" Target="http://petijumi.mk.gov.lv/node/3105"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47385-C5BA-47ED-AD17-77C1464EB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1082</TotalTime>
  <Pages>20</Pages>
  <Words>33369</Words>
  <Characters>19021</Characters>
  <Application>Microsoft Office Word</Application>
  <DocSecurity>0</DocSecurity>
  <Lines>158</Lines>
  <Paragraphs>104</Paragraphs>
  <ScaleCrop>false</ScaleCrop>
  <HeadingPairs>
    <vt:vector size="2" baseType="variant">
      <vt:variant>
        <vt:lpstr>Nosaukums</vt:lpstr>
      </vt:variant>
      <vt:variant>
        <vt:i4>1</vt:i4>
      </vt:variant>
    </vt:vector>
  </HeadingPairs>
  <TitlesOfParts>
    <vt:vector size="1" baseType="lpstr">
      <vt:lpstr>Informatīvais ziņojums par Maksātnespējas politikas attīstības pamatnostādņu 2016.–2020. gadam un to īstenošanas plāna īstenošanas starpposma novērtējumu par laikposmu no 2016. gada līdz 2017. gadam</vt:lpstr>
    </vt:vector>
  </TitlesOfParts>
  <Manager/>
  <Company>Tieslietu ministrija</Company>
  <LinksUpToDate>false</LinksUpToDate>
  <CharactersWithSpaces>52286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Maksātnespējas politikas attīstības pamatnostādņu 2016.–2020. gadam un to īstenošanas plāna īstenošanas starpposma novērtējumu par laikposmu no 2016. gada līdz 2017. gadam</dc:title>
  <dc:subject>Informatīvā ziņojuma projekts</dc:subject>
  <dc:creator>Liene Ozola</dc:creator>
  <cp:keywords/>
  <dc:description>67046147; Liene.Ozola@tm.gov.lv</dc:description>
  <cp:lastModifiedBy>Liene Ozola</cp:lastModifiedBy>
  <cp:revision>1197</cp:revision>
  <cp:lastPrinted>2019-06-05T06:25:00Z</cp:lastPrinted>
  <dcterms:created xsi:type="dcterms:W3CDTF">2019-02-25T08:51:00Z</dcterms:created>
  <dcterms:modified xsi:type="dcterms:W3CDTF">2019-07-15T09:09:00Z</dcterms:modified>
</cp:coreProperties>
</file>