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BE44" w14:textId="3BB74F0F" w:rsidR="00894C55" w:rsidRDefault="00602EE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206BFB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noteikumu</w:t>
          </w:r>
        </w:sdtContent>
      </w:sdt>
      <w:r w:rsidR="00894C55" w:rsidRPr="003D7F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“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2013.</w:t>
      </w:r>
      <w:r w:rsidR="00760F0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 26.</w:t>
      </w:r>
      <w:r w:rsidR="00760F0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februāra noteikumos Nr.</w:t>
      </w:r>
      <w:r w:rsidR="00760F0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112 “Emisijas kvotu piešķiršanas kārtība stacionāro tehnoloģisko iekārtu operatoriem”</w:t>
      </w:r>
      <w:r w:rsidR="00D774A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3D7F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489CB41F" w14:textId="77777777" w:rsidR="00206BFB" w:rsidRPr="003D7F0C" w:rsidRDefault="00206BF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206BFB" w:rsidRPr="00206BFB" w14:paraId="698F5673" w14:textId="77777777" w:rsidTr="007537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EBDE" w14:textId="77777777" w:rsidR="00206BFB" w:rsidRPr="00206BFB" w:rsidRDefault="00206BFB" w:rsidP="0075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06B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206BFB" w:rsidRPr="00206BFB" w14:paraId="13BC1D67" w14:textId="77777777" w:rsidTr="007537F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45976" w14:textId="77777777" w:rsidR="00206BFB" w:rsidRPr="00206BFB" w:rsidRDefault="00206BFB" w:rsidP="007537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06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DBFC" w14:textId="3C85FE22" w:rsidR="00206BFB" w:rsidRPr="00206BFB" w:rsidRDefault="00206BFB" w:rsidP="00591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2DA80F45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641192A0" w14:textId="77777777" w:rsidR="00206BFB" w:rsidRPr="003D7F0C" w:rsidRDefault="00206BF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9470CF" w:rsidRPr="003D7F0C" w14:paraId="7F0820D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985E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470CF" w:rsidRPr="003D7F0C" w14:paraId="620DC2B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1D2D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6FFA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F8C14" w14:textId="74F0D1A7" w:rsidR="009470CF" w:rsidRPr="003D7F0C" w:rsidRDefault="00C32D62" w:rsidP="00ED5394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</w:t>
            </w:r>
            <w:r w:rsidR="00001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C49C3" w:rsidRPr="003D7F0C">
              <w:rPr>
                <w:rFonts w:ascii="Times New Roman" w:hAnsi="Times New Roman" w:cs="Times New Roman"/>
                <w:sz w:val="24"/>
                <w:szCs w:val="24"/>
              </w:rPr>
              <w:t xml:space="preserve">„Grozījums Ministru Kabineta 2013.gada 26.februāra noteikumos Nr. 112 „Emisijas kvotu piešķiršanas kārtība stacionāro tehnoloģisko iekārtu operatoriem”” (turpmāk – noteikumu projekts)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sagatavots </w:t>
            </w:r>
            <w:r w:rsidR="0000141A">
              <w:rPr>
                <w:rFonts w:ascii="Times New Roman" w:hAnsi="Times New Roman" w:cs="Times New Roman"/>
                <w:sz w:val="24"/>
                <w:szCs w:val="24"/>
              </w:rPr>
              <w:t xml:space="preserve">pēc Vides aizsardzības un reģionālās attīstības ministrijas 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- VARAM) </w:t>
            </w:r>
            <w:r w:rsidR="0000141A">
              <w:rPr>
                <w:rFonts w:ascii="Times New Roman" w:hAnsi="Times New Roman" w:cs="Times New Roman"/>
                <w:sz w:val="24"/>
                <w:szCs w:val="24"/>
              </w:rPr>
              <w:t xml:space="preserve">iniciatīvas, 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nodrošinātu </w:t>
            </w:r>
            <w:r w:rsidR="0056647B">
              <w:rPr>
                <w:rFonts w:ascii="Times New Roman" w:hAnsi="Times New Roman" w:cs="Times New Roman"/>
                <w:sz w:val="24"/>
                <w:szCs w:val="24"/>
              </w:rPr>
              <w:t xml:space="preserve">atsevišķu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Eiropas Parlamenta un Padomes 2018.</w:t>
            </w:r>
            <w:r w:rsidR="00001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Pr="003D7F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01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7F0C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Direktīvas</w:t>
            </w:r>
            <w:r w:rsidRPr="003D7F0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0014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7F0C">
              <w:rPr>
                <w:rFonts w:ascii="Times New Roman" w:hAnsi="Times New Roman" w:cs="Times New Roman"/>
                <w:sz w:val="24"/>
                <w:szCs w:val="24"/>
              </w:rPr>
              <w:t>2018/410</w:t>
            </w:r>
            <w:r w:rsidR="009B02EF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3D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ko groza Direktīvu 2003/87/EK, lai sekmētu emisiju </w:t>
            </w:r>
            <w:proofErr w:type="spellStart"/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izmaksefektīvu</w:t>
            </w:r>
            <w:proofErr w:type="spellEnd"/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samazināšanu un investīcijas </w:t>
            </w:r>
            <w:proofErr w:type="spellStart"/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mazoglekļa</w:t>
            </w:r>
            <w:proofErr w:type="spellEnd"/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isinājumos, un Lēmumu 2015/1814 (turpmāk – Direktīva 2018/410) prasību pārņemšanu Latvijas normatīvajos aktos. </w:t>
            </w:r>
          </w:p>
        </w:tc>
      </w:tr>
      <w:tr w:rsidR="009470CF" w:rsidRPr="003D7F0C" w14:paraId="3986B2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4C70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3D60A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4BEC" w14:textId="16700B04" w:rsidR="00EC607F" w:rsidRDefault="009C6DAC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Savienības emisijas kvotu tirdzniecības sistēmas (turpmāk – ES ETS) 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darbība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Savienības (ES) līmenī 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noteikta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D</w:t>
            </w:r>
            <w:r w:rsidR="00E33FCD" w:rsidRP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E33FCD" w:rsidRP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2003/87/EK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Direktīva 2003/87/EK). </w:t>
            </w:r>
            <w:r w:rsidR="00C13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Eiropadome 2014.gada 24.oktobrī pieņēma secinājumus “Par klimata un enerģētikas politikas satvaru laikposmam no 2020.gada līdz 2030.gadam” (turpmāk – Eiropadomes secinājumi) par iekļautajiem galvenajiem elementiem, kā arī noteica nosacījumus KEPS2030 noteikto mērķu īstenošanai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noteica, ka ES ETS ir jāreformē un jānodrošina ES ETS labu un efektīvu funkcionēšanu.</w:t>
            </w:r>
            <w:r w:rsidR="00C13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VARAM </w:t>
            </w:r>
            <w:r w:rsidR="007148BD" w:rsidRP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atbildīga par ES Emisijas kvotu tirdzniecības sistēmas darbību Latvijā</w:t>
            </w:r>
            <w:r w:rsidR="00001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likuma “Par piesārņojumu” </w:t>
            </w:r>
            <w:r w:rsidR="006C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32.</w:t>
            </w:r>
            <w:r w:rsidR="006C35B6" w:rsidRPr="00C83E8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6C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pantā ietvertajam regulējumam.</w:t>
            </w:r>
          </w:p>
          <w:p w14:paraId="23E8742D" w14:textId="77777777" w:rsidR="00EC607F" w:rsidRDefault="00EC607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7BDBB37" w14:textId="1C19381B" w:rsidR="00914880" w:rsidRDefault="00C13496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veicinātu emisiju samazināšanu visā Eiropas Savienībā, Eiropas Komisija 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ETS ceturtajam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tirdzniecības 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periodam (2021.-2030.gads) izstrādāja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jaunas prasības,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 noteica ar </w:t>
            </w:r>
            <w:r w:rsidR="00EC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īvu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nodrošinātu, ka labi funkcionējoša un reformēta ES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ETS ir galvenais Eiropas instruments siltumnīcefekta gāzu emisiju samazināšanas mērķa sasniegšanai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2018/410 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veikti grozījumi Direktīvā 2003/87/EK, kas attiecināmi uz daļā uz ES ETS ceturtā perioda regulējumu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  <w:r w:rsid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nosakot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607F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jaunas definīcijas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 esošām un</w:t>
            </w:r>
            <w:r w:rsidR="00C258F1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jaunām iekārt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ām, nosakot j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aunu kārtību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groza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piešķirto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maksas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emisiju kvotu apjomu 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esošai iek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ārtai,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iekļaujot jaunus nosacījumus attiecībā uz ES ETS ietvaros izveidojamajiem finansēšanas mehānismiem (t.i. inovācijas un modernizācijas fondi), 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piemērojot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Eiropadomes secinājumos noteikto ikgadējo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koeficientu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maksimālo pieļaujamo emisiju robežvērtību samazināšanai</w:t>
            </w:r>
            <w:r w:rsidR="001B0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aktualizējot akreditācijas prasības ES ETS verificētājiem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61CF33F" w14:textId="77777777" w:rsidR="000F1061" w:rsidRDefault="000F106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1B282A1" w14:textId="6D0974D2" w:rsidR="000F1061" w:rsidRDefault="00DF5A14" w:rsidP="000F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Pastāvošais tiesiskais regulējums paredz ES ETS funkcionēšanu trešajā periodā (2013.-2020.gads), bet ne ceturtajā periodā. </w:t>
            </w:r>
            <w:r w:rsidR="00EC0C6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Latvijas normatī</w:t>
            </w:r>
            <w:r w:rsidR="00845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 akti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arī </w:t>
            </w:r>
            <w:r w:rsidR="00845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neatbilst Direktīvā </w:t>
            </w:r>
            <w:r w:rsidR="00EC0C6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 iekļautajiem nosacījumiem,</w:t>
            </w:r>
            <w:r w:rsid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jo</w:t>
            </w:r>
            <w:r w:rsidR="00EC0C6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tiesību aktos nav</w:t>
            </w:r>
            <w:r w:rsidR="000E129A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12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pārņemtas</w:t>
            </w:r>
            <w:r w:rsidR="00566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visas</w:t>
            </w:r>
            <w:r w:rsidR="000E129A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</w:t>
            </w:r>
            <w:r w:rsidR="00EC0C6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irektīvas </w:t>
            </w:r>
            <w:r w:rsidR="00312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66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normas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Tas nozīmē, ka Latvijā ES ETS ceturtajā periodā nefunkcionētu. </w:t>
            </w:r>
            <w:r w:rsidR="00F75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89755E8" w14:textId="77777777" w:rsidR="00EC0C6F" w:rsidRPr="003D7F0C" w:rsidRDefault="00EC0C6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0C75217" w14:textId="0E8A1FAE" w:rsidR="003D7F0C" w:rsidRDefault="00142B71" w:rsidP="00ED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2018/410</w:t>
            </w:r>
            <w:r w:rsidR="007478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pieņemtie nosacījumi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attiecas uz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</w:t>
            </w:r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ceturto periodu ir jāpārņem</w:t>
            </w:r>
            <w:r w:rsidR="009A179C" w:rsidRPr="003D7F0C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2013.gada 26.februāra noteikumos Nr. 112 „Emisijas kvotu piešķiršanas kārtība stacionāro tehnoloģisko iekārtu operatoriem”</w:t>
            </w:r>
            <w:r w:rsidR="009A179C">
              <w:rPr>
                <w:rFonts w:ascii="Times New Roman" w:hAnsi="Times New Roman" w:cs="Times New Roman"/>
                <w:sz w:val="24"/>
                <w:szCs w:val="24"/>
              </w:rPr>
              <w:t xml:space="preserve">, lai nodrošinātu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ETS 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funkcionēšanu Latvijā ES ETS ceturtā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perioda ietvaros.</w:t>
            </w:r>
          </w:p>
          <w:p w14:paraId="69A507A8" w14:textId="77777777" w:rsidR="009A179C" w:rsidRDefault="009A179C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23A6EC" w14:textId="77777777" w:rsidR="00DF5A14" w:rsidRDefault="00DF5A14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nosaka:</w:t>
            </w:r>
          </w:p>
          <w:p w14:paraId="21C7A558" w14:textId="4E9D0995" w:rsidR="009A179C" w:rsidRDefault="0056647B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Jaunas ES ETS iekārtas definīciju atbilstoši ES ETS ceturtajam periodam</w:t>
            </w:r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31EF352" w14:textId="72E0F856" w:rsidR="006B64B6" w:rsidRDefault="0056647B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Esošas ES ETS iekārtas definīciju atbilstoši ES ETS ceturtajam periodam</w:t>
            </w:r>
            <w:r w:rsidR="006B64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56935CD" w14:textId="145EEBD1" w:rsidR="00DF5A14" w:rsidRDefault="00DF5A14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Nosacījumus esošas iekārtas bezmaksas piešķiramo emisijas kvotu apjoma grozījumiem;</w:t>
            </w:r>
          </w:p>
          <w:p w14:paraId="4041EF56" w14:textId="188964C7" w:rsidR="00DF5A14" w:rsidRDefault="00DF5A14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 prasības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verificētāju akreditācijai;</w:t>
            </w:r>
          </w:p>
          <w:p w14:paraId="1ED39DB1" w14:textId="77777777" w:rsidR="00F75AA3" w:rsidRDefault="004A2D2C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</w:t>
            </w:r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ceturtajā periodā izmantojamo lineāro samazinājuma koeficientu </w:t>
            </w:r>
            <w:proofErr w:type="spellStart"/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apakšiekārtu</w:t>
            </w:r>
            <w:proofErr w:type="spellEnd"/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galīgo emisijas kvotu aprēķinam.</w:t>
            </w:r>
          </w:p>
          <w:p w14:paraId="7052F62F" w14:textId="77777777" w:rsidR="007C768C" w:rsidRPr="007C768C" w:rsidRDefault="007C768C" w:rsidP="007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97A54A0" w14:textId="77777777" w:rsidR="000F1061" w:rsidRDefault="000F1061" w:rsidP="000F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 ietekmē ES ETS operatorus tiešā veidā mainoties bezmaksas emisijas kvotu piešķiršanas nosacījumiem un tādejādi arī to daudzumam.</w:t>
            </w:r>
          </w:p>
          <w:p w14:paraId="050D4815" w14:textId="77777777" w:rsidR="005F2018" w:rsidRDefault="005F2018" w:rsidP="000F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C879C5F" w14:textId="6FF1AD63" w:rsidR="005F2018" w:rsidRPr="000F1061" w:rsidRDefault="005F2018" w:rsidP="0049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 2018/410 aktualizē akreditācijas prasības, un balstoties uz Direktīvas 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2018/410 pilnvaru, Eiropas 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Komisija izstrādāja Komisijas Deleģētu Regulu</w:t>
            </w:r>
            <w:r w:rsidR="004959E6" w:rsidRP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2019/331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959E6" w:rsidRP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ko nosaka Savienības mēroga pārejas noteikumus saskaņotai bezmaksas emisijas kvotu iedalei saskaņā ar Eiropas Parlamenta un Padomes Direktīvas 2003/87/EK 10.a pantu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Šī Regula tagad ir piemērojama emisiju un darbības datu verifikācijai, kas ir atspoguļots noteikumu projektā. Tomēr būtiski pieminēt, ka Komisijas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Regulu Nr. 600/2012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959E6" w:rsidRP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siltumnīcefekta gāzu ziņojumu un tonnkilometru ziņojumu verifikāciju un par verificētāju akreditāciju saskaņā ar Eiropas Parlamenta un Padomes Direktīvu 2003/87/EK</w:t>
            </w:r>
            <w:r w:rsidRP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turpina piemērot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 emisijas un darbības datu verifikācijas, kas rodas pirms 2019</w:t>
            </w:r>
            <w:r w:rsidRP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 1. janvāra.</w:t>
            </w:r>
          </w:p>
        </w:tc>
      </w:tr>
      <w:tr w:rsidR="009470CF" w:rsidRPr="003D7F0C" w14:paraId="241041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B046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D54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5B5B" w14:textId="77777777" w:rsidR="00E5323B" w:rsidRDefault="009E44FB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</w:p>
          <w:p w14:paraId="1974A11B" w14:textId="77777777" w:rsidR="009E44FB" w:rsidRDefault="009E44FB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 (</w:t>
            </w:r>
            <w:r w:rsid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VVD)</w:t>
            </w:r>
          </w:p>
          <w:p w14:paraId="2A5543A1" w14:textId="5ECD1CC7" w:rsidR="009E44FB" w:rsidRPr="003D7F0C" w:rsidRDefault="000C023D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 ar ierobežotu atbildību “</w:t>
            </w:r>
            <w:r w:rsidR="009E44FB" w:rsidRP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Vides, ģeol</w:t>
            </w:r>
            <w:r w:rsid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oģijas un meteoroloģijas centrs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- </w:t>
            </w:r>
            <w:r w:rsid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LVĢMC)</w:t>
            </w:r>
          </w:p>
        </w:tc>
      </w:tr>
      <w:tr w:rsidR="009470CF" w:rsidRPr="003D7F0C" w14:paraId="604DFD6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E507A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24E6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5776" w14:textId="77777777" w:rsidR="00E5323B" w:rsidRPr="003D7F0C" w:rsidRDefault="008C49C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AFFCA83" w14:textId="7777777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9470CF" w:rsidRPr="003D7F0C" w14:paraId="18743E8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D8DC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470CF" w:rsidRPr="003D7F0C" w14:paraId="2343151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62E9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6262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05FF" w14:textId="77777777" w:rsidR="0068404E" w:rsidRDefault="0068404E" w:rsidP="00C0208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4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emisijas kvotu </w:t>
            </w:r>
            <w:r w:rsid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tirdzniecības sistēmas operatori</w:t>
            </w:r>
            <w:r w:rsidRPr="00684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kuri veic kādu no likuma „Par piesārņojumu” 2.pielikumā minētajām darbībām un kuriem ir izsniegtas siltumnīcefekta gāzu emisijas atļaujas;</w:t>
            </w:r>
          </w:p>
          <w:p w14:paraId="6093CA8C" w14:textId="77777777" w:rsidR="00C041A4" w:rsidRPr="0068404E" w:rsidRDefault="00C041A4" w:rsidP="00C0208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Kādā no Eiropas Savienības dalībvalstīm atbilstības novērtēšanas institūcijā vai Latvijā akredi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tēti vides darbību verificētāji;</w:t>
            </w:r>
          </w:p>
          <w:p w14:paraId="20CE3E91" w14:textId="77777777" w:rsidR="00F071F1" w:rsidRPr="003D7F0C" w:rsidRDefault="00C041A4" w:rsidP="00C020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  <w:r w:rsidR="003F11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VVD, LVĢMC un </w:t>
            </w:r>
            <w:r w:rsidR="00F071F1" w:rsidRPr="00F07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Nacionālais akreditācijas birojs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LATAK)</w:t>
            </w:r>
          </w:p>
        </w:tc>
      </w:tr>
      <w:tr w:rsidR="009470CF" w:rsidRPr="003D7F0C" w14:paraId="7BA9D4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14EF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0A62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9F70" w14:textId="77777777" w:rsidR="00C83E85" w:rsidRPr="004A2D2C" w:rsidRDefault="00C83E85" w:rsidP="00C8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Vērtējot noteikumu projekta īstenošanas ietekmi uz administratīvajām procedūrām un to izmaksām, nav identificēts administratīvā sloga palielinājums.</w:t>
            </w:r>
          </w:p>
          <w:p w14:paraId="655C520B" w14:textId="77777777" w:rsidR="00C83E85" w:rsidRPr="004A2D2C" w:rsidRDefault="00C83E85" w:rsidP="00C8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6E99FF1" w14:textId="4F5B234F" w:rsidR="001A5D71" w:rsidRPr="003D7F0C" w:rsidRDefault="00C83E85" w:rsidP="00C8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Paredzams, ka pēc noteikumu projekta apstiprināšanas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LATAK</w:t>
            </w: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būs nepieciešams veikt </w:t>
            </w:r>
            <w:proofErr w:type="spellStart"/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pārakreditācijas</w:t>
            </w:r>
            <w:proofErr w:type="spellEnd"/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Latvijā akreditētiem vides darbību verificētājiem.</w:t>
            </w:r>
          </w:p>
        </w:tc>
      </w:tr>
      <w:tr w:rsidR="009470CF" w:rsidRPr="003D7F0C" w14:paraId="1817D7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3396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E3B8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0F12" w14:textId="77777777" w:rsidR="00E5323B" w:rsidRPr="003D7F0C" w:rsidRDefault="001B0F84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470CF" w:rsidRPr="003D7F0C" w14:paraId="620C43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3C2B6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9F3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54A0" w14:textId="77777777" w:rsidR="00E5323B" w:rsidRPr="003D7F0C" w:rsidRDefault="000179D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470CF" w:rsidRPr="003D7F0C" w14:paraId="3B47ABF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939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768C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B445" w14:textId="77777777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79DB232" w14:textId="7777777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9470CF" w:rsidRPr="003D7F0C" w14:paraId="6C374C79" w14:textId="77777777" w:rsidTr="007537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053B" w14:textId="77777777" w:rsidR="009470CF" w:rsidRPr="003D7F0C" w:rsidRDefault="009470CF" w:rsidP="0075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9470CF" w:rsidRPr="003D7F0C" w14:paraId="0F548658" w14:textId="77777777" w:rsidTr="007537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A5F6" w14:textId="77777777" w:rsidR="009470CF" w:rsidRPr="003D7F0C" w:rsidRDefault="009470CF" w:rsidP="0075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8B28562" w14:textId="77777777" w:rsidR="009470CF" w:rsidRPr="003D7F0C" w:rsidRDefault="009470C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3B3C8E9" w14:textId="7777777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9470CF" w:rsidRPr="003D7F0C" w14:paraId="1942B2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50F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470CF" w:rsidRPr="003D7F0C" w14:paraId="1A13E47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A785C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83F9B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D0383" w14:textId="77777777" w:rsidR="00F14F2F" w:rsidRPr="00F14F2F" w:rsidRDefault="00F14F2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gatavots konceptuālais</w:t>
            </w:r>
            <w:r w:rsidRP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ziņojum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“Par bezmaksas </w:t>
            </w:r>
          </w:p>
          <w:p w14:paraId="619C8923" w14:textId="77777777" w:rsidR="00F14F2F" w:rsidRPr="00F14F2F" w:rsidRDefault="00F14F2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emisijas kvotu piešķiršanu elektroenerģijas ražotājiem </w:t>
            </w:r>
          </w:p>
          <w:p w14:paraId="4D45E7AB" w14:textId="77777777" w:rsidR="00F14F2F" w:rsidRPr="00F14F2F" w:rsidRDefault="00F14F2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Savienības emisiju tirdzniecības sistēmas </w:t>
            </w:r>
          </w:p>
          <w:p w14:paraId="0DD570CD" w14:textId="76667A6B" w:rsidR="00F14F2F" w:rsidRDefault="00F14F2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 - 2030.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periodā”, ar kuru tiek pieņemts lēmums par Direktīvas 2018/410 1.panta 15.punktā izteiktā Direktīvas 2003/87/EK 10.c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panta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prasībām, kura ietvaros dalībvalstīm ir rīcības brīvība.</w:t>
            </w:r>
          </w:p>
          <w:p w14:paraId="50552E9B" w14:textId="77777777" w:rsidR="00F14F2F" w:rsidRDefault="00F14F2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FEE84F1" w14:textId="68541A62" w:rsidR="00EC607F" w:rsidRDefault="00E42763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Plānots izstrādāt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A0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“Klimata likums</w:t>
            </w:r>
            <w:r w:rsidR="00FB2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017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kuru</w:t>
            </w:r>
            <w:r w:rsidR="00017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pārņemtas Direktīvas 2018/410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16. un 39.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</w:t>
            </w:r>
            <w:r w:rsidR="00017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prasības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C6EDFDB" w14:textId="77777777" w:rsidR="00AB18A5" w:rsidRDefault="00AB18A5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EE9CABF" w14:textId="33007F3E" w:rsidR="00AB18A5" w:rsidRPr="003D7F0C" w:rsidRDefault="007537FB" w:rsidP="00AB1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 izstrādā atbilstoši likuma “Par piesārņojumu” 32.</w:t>
            </w:r>
            <w:r w:rsidRPr="00C83E8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panta piektās daļas un pieci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daļas noteiktajam deleģējumam izstrādā stacionāro tehnoloģisko iekārtu saraksta projektu, ar ko</w:t>
            </w:r>
            <w:r w:rsidR="00C83E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pārņemta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Direktīvas 2018/410 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17.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 prasības.</w:t>
            </w:r>
          </w:p>
        </w:tc>
      </w:tr>
      <w:tr w:rsidR="009470CF" w:rsidRPr="003D7F0C" w14:paraId="11DEB9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A1F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1FB5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3075" w14:textId="77777777" w:rsidR="00EC607F" w:rsidRPr="003D7F0C" w:rsidRDefault="006B4FB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 VVD</w:t>
            </w:r>
          </w:p>
        </w:tc>
      </w:tr>
      <w:tr w:rsidR="009470CF" w:rsidRPr="003D7F0C" w14:paraId="1D6C56E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55EF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969B9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A505" w14:textId="77777777" w:rsidR="00E5323B" w:rsidRPr="003D7F0C" w:rsidRDefault="009C6DA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04DDA11" w14:textId="7777777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9470CF" w:rsidRPr="003D7F0C" w14:paraId="771AB4C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A05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470CF" w:rsidRPr="003D7F0C" w14:paraId="6351A35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C5E1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51A2F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67EB" w14:textId="0368B9D9" w:rsidR="00E5323B" w:rsidRPr="003D7F0C" w:rsidRDefault="007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9470C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sagatavots,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9470C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2018/410</w:t>
            </w:r>
            <w:r w:rsidR="008A0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pārņemšanu Latvijas normatīvajos aktos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2019.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9.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oktobrim.</w:t>
            </w:r>
          </w:p>
        </w:tc>
      </w:tr>
      <w:tr w:rsidR="009470CF" w:rsidRPr="003D7F0C" w14:paraId="37D7E79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71DB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BC13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CC65" w14:textId="77777777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470CF" w:rsidRPr="003D7F0C" w14:paraId="0B291CC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DF87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2B70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4904" w14:textId="77777777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3420816" w14:textId="7777777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5"/>
        <w:gridCol w:w="1989"/>
        <w:gridCol w:w="2098"/>
        <w:gridCol w:w="3129"/>
      </w:tblGrid>
      <w:tr w:rsidR="009470CF" w:rsidRPr="003D7F0C" w14:paraId="5C7F1398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D0F41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9470CF" w:rsidRPr="003D7F0C" w14:paraId="04CD489B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860A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5DC9C" w14:textId="3897248E" w:rsidR="00E5323B" w:rsidRPr="003D7F0C" w:rsidRDefault="00493F97" w:rsidP="00C0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rlamenta un Padomes 2018.gada 14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.marta </w:t>
            </w:r>
            <w:r w:rsidR="009B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 Nr.</w:t>
            </w:r>
            <w:r w:rsidR="009B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</w:t>
            </w:r>
            <w:r w:rsidR="009B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/ES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ar ko groza Direktīvu 2003/87/EK, lai sekmētu emisiju </w:t>
            </w:r>
            <w:proofErr w:type="spellStart"/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izmaksefektīvu</w:t>
            </w:r>
            <w:proofErr w:type="spellEnd"/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samazināšanu un investīcijas </w:t>
            </w:r>
            <w:proofErr w:type="spellStart"/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mazoglekļa</w:t>
            </w:r>
            <w:proofErr w:type="spellEnd"/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risinājumos, un Lēmumu (ES) 2015/1814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470CF" w:rsidRPr="003D7F0C" w14:paraId="155BBADE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266B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B4FB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E06A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3D8A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21180E" w:rsidRPr="003D7F0C" w14:paraId="599DE364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95872" w14:textId="6AA6E8A9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Attiecīgā ES tiesību akta panta numurs (uzskaitot katru tiesību akta vienību – pantu, </w:t>
            </w: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daļu, punktu, apakšpunktu)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2DFB0" w14:textId="025171D6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Projekta vienība, kas pārņem vai ievieš katru šīs tabulas A ailē minēto ES tiesību </w:t>
            </w: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akta vienību, vai tiesību akts, kur attiecīgā ES tiesību akta vienība pārņemta vai ieviesta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C2758" w14:textId="3BD93495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Informācija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to,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šīs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tabulas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gram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  <w:proofErr w:type="gram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ailē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minētās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tiek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pārņemtas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ieviestas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pilnībā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daļēji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  <w:t xml:space="preserve">Ja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attiecīgā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vienība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tiek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pārņemta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ieviesta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daļēji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sniedz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attiecīgu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skaidrojumu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arī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precīzi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norāda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kad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kādā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veidā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vienība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tiks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pārņemta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ieviesta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pilnībā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Norāda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ir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atbildīga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pilnībā</w:t>
            </w:r>
            <w:proofErr w:type="spellEnd"/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E54F3" w14:textId="043F8EBB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Informācija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to,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šīs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tabulas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B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ailē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minētās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vienības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paredz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stingrākas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prasības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nekā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šīs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tabulas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gram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  <w:proofErr w:type="gram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ailē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minētās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vienības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  <w:t xml:space="preserve">Ja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satur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stingrākas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prasības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nekā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attiecīgais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norāda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pamatojumu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samērīgumu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Norāda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iespējamās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alternatīvas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(t. sk.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alternatīvas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neparedz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izstrādi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) –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kādos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gadījumos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būtu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iespējams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izvairīties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no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stingrāku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prasību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noteikšanas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nekā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paredzēts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attiecīgajos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ES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aktos</w:t>
            </w:r>
            <w:proofErr w:type="spellEnd"/>
          </w:p>
        </w:tc>
      </w:tr>
      <w:tr w:rsidR="009470CF" w:rsidRPr="003D7F0C" w14:paraId="3E749111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C810E" w14:textId="77777777" w:rsidR="00E5323B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1.panta 7.punktā izteiktais 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3.panta h)apakšpunktus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EEF3" w14:textId="1142D96D" w:rsidR="00E5323B" w:rsidRPr="003D7F0C" w:rsidRDefault="007903EC" w:rsidP="00784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78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4667D"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934E" w14:textId="77777777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E58F" w14:textId="77777777" w:rsidR="00E5323B" w:rsidRPr="003D7F0C" w:rsidRDefault="00710C6A" w:rsidP="0071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 xml:space="preserve">paredz stingrākas prasības </w:t>
            </w:r>
          </w:p>
        </w:tc>
      </w:tr>
      <w:tr w:rsidR="00C54BD8" w:rsidRPr="003D7F0C" w14:paraId="3C9CCDB3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E0528" w14:textId="77777777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8.punktā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3.d panta 3.punkts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88A0C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jāpārņem, jo nosacījumi attiecas tikai uz ES institūcijām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E93E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4C52B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7D" w:rsidRPr="003D7F0C" w14:paraId="43FD39AE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C2604" w14:textId="77777777" w:rsidR="0054667D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12.punktā izteiktā 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9.panta otrā daļa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B4710" w14:textId="141BDFA3" w:rsidR="0054667D" w:rsidRPr="003D7F0C" w:rsidRDefault="0054667D" w:rsidP="007903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78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201F6" w14:textId="77777777" w:rsidR="0054667D" w:rsidRPr="003D7F0C" w:rsidRDefault="005466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20957" w14:textId="77777777" w:rsidR="0054667D" w:rsidRPr="003D7F0C" w:rsidRDefault="00710C6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>paredz stingrākas prasības</w:t>
            </w:r>
          </w:p>
        </w:tc>
      </w:tr>
      <w:tr w:rsidR="00C54BD8" w:rsidRPr="003D7F0C" w14:paraId="3A6B1265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A916A" w14:textId="77777777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13.punktā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97B1C" w14:textId="77777777" w:rsidR="00C54BD8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48E5C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600D6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712E92B8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D81E3" w14:textId="77777777" w:rsidR="00F9193A" w:rsidRPr="003D7F0C" w:rsidRDefault="00F337D1" w:rsidP="00F33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a)apakšpunktā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1.apakšpunkts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CA918" w14:textId="77777777" w:rsid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FF06F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7AFC2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D8" w:rsidRPr="003D7F0C" w14:paraId="34F8FEB4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F96C1" w14:textId="77777777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b)apakšpunktā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2.apakšpunkts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731F9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jāpārņem, jo nosacījumi attiecas tikai uz ES institūcijām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4D85A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CC5B2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D8" w:rsidRPr="003D7F0C" w14:paraId="73AEF165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00C57" w14:textId="77777777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c)apakšpunktā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4.apakšpunkts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65459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jāpārņem, jo grozījumi attiecas uz regulas atsauces maiņu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EC602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EEEE0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0AEFACDD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FB0B8" w14:textId="77777777" w:rsidR="00F9193A" w:rsidRPr="003D7F0C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d)apakšpunktā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10.a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panta 5.apakšpunkts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B5497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90537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9D93C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130344A1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75A80" w14:textId="77777777" w:rsidR="00F9193A" w:rsidRP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e)apakšpunktā izteiktais 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10.a panta 5a un 5b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7AD87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8E364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85AE1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4378479A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C94A0" w14:textId="77777777" w:rsid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f)apakšpunktā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6.apakšpunkts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AA8D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šo nosacījumu neizvēlas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19068" w14:textId="215A2329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DAD8F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247EE0EB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FB423" w14:textId="77777777" w:rsidR="00F9193A" w:rsidRP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g)apakšpunktā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7.apakšpunkts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E90B7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26279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872F4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63BA6158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76EE3" w14:textId="77777777" w:rsidR="00F9193A" w:rsidRP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h)apakšpunktā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8.apakšpunkts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5DA4D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47BAA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EB5F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D8" w:rsidRPr="003D7F0C" w14:paraId="3BD4189A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551E7" w14:textId="77777777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i)apakšpunktā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9.apakšpunkts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3B1BC" w14:textId="77777777" w:rsidR="00C54BD8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Grieķiju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63038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4C204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7D" w:rsidRPr="003D7F0C" w14:paraId="344F9EBB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09D3E" w14:textId="77777777" w:rsidR="0054667D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m)apakšpunktā izteiktais 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20.apakšpunkts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D306F" w14:textId="77777777" w:rsidR="0054667D" w:rsidRPr="003D7F0C" w:rsidRDefault="00A25B68" w:rsidP="007903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3</w:t>
            </w:r>
            <w:r w:rsidR="0054667D"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7F528" w14:textId="77777777" w:rsidR="0054667D" w:rsidRPr="003D7F0C" w:rsidRDefault="00346F2D" w:rsidP="00346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ārņemts pilnībā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4C96A" w14:textId="77777777" w:rsidR="0054667D" w:rsidRPr="003D7F0C" w:rsidRDefault="00710C6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>paredz stingrākas prasības</w:t>
            </w:r>
          </w:p>
        </w:tc>
      </w:tr>
      <w:tr w:rsidR="00F9193A" w:rsidRPr="003D7F0C" w14:paraId="2666FB84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940C0" w14:textId="77777777" w:rsidR="00F9193A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n)apakšpunktā izteiktais 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 panta 21.apakšpunkts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5F744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BCCBC" w14:textId="77777777" w:rsidR="00F9193A" w:rsidRPr="003D7F0C" w:rsidRDefault="00F9193A" w:rsidP="00346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A2AC1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7E1E1F7F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BC2C8" w14:textId="77777777" w:rsidR="00F9193A" w:rsidRDefault="00F337D1" w:rsidP="00F33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15.punktā izteiktais 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10.b 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C459A" w14:textId="77777777" w:rsid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701B4" w14:textId="77777777" w:rsidR="00F9193A" w:rsidRPr="003D7F0C" w:rsidRDefault="00F9193A" w:rsidP="00346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951A5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D8" w:rsidRPr="003D7F0C" w14:paraId="57381E23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15554" w14:textId="77777777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20.punktā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12.panta 4.punkts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3352E" w14:textId="77777777" w:rsidR="00C54BD8" w:rsidRPr="003D7F0C" w:rsidRDefault="008A42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šo nosacījumu neizvēlas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C125B" w14:textId="77777777" w:rsidR="00C54BD8" w:rsidRPr="003D7F0C" w:rsidRDefault="00C54BD8" w:rsidP="005466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91570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7B7A128A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90440" w14:textId="77777777" w:rsidR="00EA60DF" w:rsidRPr="003D7F0C" w:rsidRDefault="00F337D1" w:rsidP="00F33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22.punktā izteiktais </w:t>
            </w:r>
            <w:r w:rsidR="00EA60D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14.panta 1.punkts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4D56D" w14:textId="77777777" w:rsidR="00EA60DF" w:rsidRPr="003D7F0C" w:rsidRDefault="00EA60D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CB00F" w14:textId="77777777" w:rsidR="00EA60DF" w:rsidRPr="003D7F0C" w:rsidRDefault="00EA60DF" w:rsidP="005466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AF3DB" w14:textId="77777777" w:rsidR="00EA60DF" w:rsidRPr="003D7F0C" w:rsidRDefault="00EA60DF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3948743E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62D40" w14:textId="77777777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1.panta 23.punktā izteiktā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 panta ceturtā un piektā daļa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2A020" w14:textId="28BC8AA6" w:rsidR="00EA60DF" w:rsidRPr="003D7F0C" w:rsidRDefault="00BA0718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4.</w:t>
            </w:r>
            <w:r w:rsidRPr="00BA07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5EE74" w14:textId="71C275AC" w:rsidR="00EA60DF" w:rsidRPr="003D7F0C" w:rsidRDefault="00BA0718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99150" w14:textId="726492D8" w:rsidR="00EA60DF" w:rsidRPr="003D7F0C" w:rsidRDefault="00BA0718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>paredz stingrākas prasības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0DF" w:rsidRPr="003D7F0C" w14:paraId="58E11690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0419F" w14:textId="77777777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24.punktā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16.panta 12.punkts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23519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CCBB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A1B2B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329E851D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B7943" w14:textId="77777777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25.punktā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19.panta 3.punkts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7EF34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0A55D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4A3DA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0B4100E9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575BE" w14:textId="77777777" w:rsidR="00EA60DF" w:rsidRPr="003D7F0C" w:rsidRDefault="00F337D1" w:rsidP="00F337D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26.punkta a)apakšpunktā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21.panta 1.punkts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2BA15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9C372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BC427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D5FDF01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C9E1F" w14:textId="77777777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26.punkta b)apakšpunktā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21.panta 4.punkts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ADCEF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A9636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18A35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47EF1D0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B1BB4" w14:textId="77777777" w:rsidR="00EA60DF" w:rsidRPr="003D7F0C" w:rsidRDefault="00D12F1D" w:rsidP="00D12F1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27.punktā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2A946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4B6F3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B5DED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B93F486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F928E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28.punktā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22a. 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60AD4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A5E88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3005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40A91FE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8A82C" w14:textId="77777777" w:rsidR="00EA60DF" w:rsidRPr="003D7F0C" w:rsidRDefault="00D12F1D" w:rsidP="00D12F1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29.punktā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8849E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452B3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58ACB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65BCC749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AE0B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30.punkta a)apakšpunktā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 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49DA3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02E30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8B536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3FADBF50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6203A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30.punkta b)apakšpunktā izteiktā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24.panta 3.punkta otrā daļa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F0958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3841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8F3CC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EA83388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1309D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31.punkta a)apakšpunktā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24.a panta 1.punkts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2B4A0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843CD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DFBF8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03680149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DCB75" w14:textId="77777777" w:rsidR="00EA60DF" w:rsidRPr="003D7F0C" w:rsidRDefault="00D12F1D" w:rsidP="00D12F1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33.punktā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25.a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panta 1.punkts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34CA6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073F7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DA7B8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6EA040FD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5ECEA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34.punktā izteiktā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27.panta 3.punkta otrā daļa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EAAF8" w14:textId="77777777" w:rsidR="00EA60DF" w:rsidRPr="003D7F0C" w:rsidRDefault="00963C01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1BD65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B823D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775D89EC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A1A28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35.punktā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27.a 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FA27E7" w14:textId="77777777" w:rsidR="00EA60DF" w:rsidRPr="003D7F0C" w:rsidRDefault="0063612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šo nosacījumu neizvēlas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9ABAC" w14:textId="17800B9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BCEE8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1BC397AF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154C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36.punktā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28.c 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AFA79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7C316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3CF47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4A546B23" w14:textId="77777777" w:rsidTr="00AB18A5">
        <w:trPr>
          <w:trHeight w:val="272"/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ED397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37.punktā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pants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8187B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FEB3F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08B14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4F30EF1D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F4B5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D9656" w14:textId="77777777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noteikumu projektu ir pārņemtas Direktīvas 2018/410 prasības: </w:t>
            </w:r>
            <w:r w:rsidRPr="00F24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1.panta 7.punktā 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zteikto 3.panta h)apakšpunktu;</w:t>
            </w:r>
          </w:p>
          <w:p w14:paraId="40DD18EA" w14:textId="77777777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1.panta 12.punktā izteikto 9.panta otrā daļu;</w:t>
            </w:r>
          </w:p>
          <w:p w14:paraId="7D11A145" w14:textId="77777777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14.punkta m)apakšpunktā izteikto 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10.a panta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20.apakšpunktu;</w:t>
            </w:r>
          </w:p>
          <w:p w14:paraId="2864D339" w14:textId="77777777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1.panta 17.punktā izteikto 11.panta 1.punkta 2.rindkopu;</w:t>
            </w:r>
          </w:p>
          <w:p w14:paraId="2BECECC1" w14:textId="2E5A3D74" w:rsidR="00496AC0" w:rsidRDefault="00496A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23.punktā izteikto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15. panta ceturto </w:t>
            </w:r>
            <w:r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daļ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3B43749E" w14:textId="77777777" w:rsidR="00496AC0" w:rsidRDefault="00496A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41E992D" w14:textId="41B4A5CC" w:rsidR="00CB110B" w:rsidRDefault="00EC2ED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Direktīvas 2018/410 1.panta 14.punkta f)apakšpunktā izteiktais 10.a panta 6.apakšpunkts netiek pārņemts, </w:t>
            </w:r>
            <w:r w:rsidR="00CB1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jo </w:t>
            </w:r>
            <w:r w:rsidR="00CB110B" w:rsidRPr="00CB1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Latvijai līdz šim nav bijušas iespējas šādu atbalstu sniegt</w:t>
            </w:r>
            <w:r w:rsidR="00760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B1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netiek plānots to sākt </w:t>
            </w:r>
            <w:r w:rsidR="00760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ETS </w:t>
            </w:r>
            <w:r w:rsidR="00CB1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ceturtajā periodā. </w:t>
            </w:r>
          </w:p>
          <w:p w14:paraId="44E70985" w14:textId="77777777" w:rsidR="00EC2EDF" w:rsidRDefault="00EC2ED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E6519AA" w14:textId="77777777" w:rsidR="00B305E2" w:rsidRDefault="00EC2EDF" w:rsidP="00ED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20.punktā izteiktais 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12.panta 4.punkts</w:t>
            </w:r>
            <w:r w:rsid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netiek pārņemts, jo kvotu anulēšana no kopējā izsolāmo </w:t>
            </w:r>
            <w:r w:rsidR="00B305E2" w:rsidRP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kvotu daudzuma</w:t>
            </w:r>
            <w:r w:rsid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305E2" w:rsidRP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05E2" w:rsidRPr="00B30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 dalībvalsts teritorijā papildu valsts pasākumu dēļ tiek slēgta elektroenerģijas ražošanas jauda, </w:t>
            </w:r>
            <w:r w:rsidR="00B30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negatīvi iespaidotu Latvijas budžeta ieņēmumus. </w:t>
            </w:r>
          </w:p>
          <w:p w14:paraId="3796939B" w14:textId="77777777" w:rsidR="00EC2EDF" w:rsidRPr="00B305E2" w:rsidRDefault="00EC2ED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6A97D19" w14:textId="351E2C50" w:rsidR="00EC2EDF" w:rsidRPr="003D7F0C" w:rsidRDefault="00EC2ED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Direktīvas 2018/410 1.panta 35.punktā izteiktais </w:t>
            </w:r>
            <w:r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27.a pants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netiek pārņemts, jo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neplāno no ES ETS izslēgt operatorus, kas emitē mazāk nekā 2 500 tonnas CO</w:t>
            </w:r>
            <w:r w:rsidRPr="008A06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ekvivalenta gadā, ņemot vērā, ka tas palielinās ne-ETS sektoru. </w:t>
            </w:r>
          </w:p>
        </w:tc>
      </w:tr>
      <w:tr w:rsidR="00EA60DF" w:rsidRPr="003D7F0C" w14:paraId="15540251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20CDE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piešķiršanas un finanšu noteikumu (attiecībā uz monetāro politiku) projektiem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789E" w14:textId="77777777" w:rsidR="00EA60DF" w:rsidRPr="003D7F0C" w:rsidRDefault="0067601A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  <w:tr w:rsidR="00EA60DF" w:rsidRPr="003D7F0C" w14:paraId="1B6F9187" w14:textId="77777777" w:rsidTr="00AB18A5">
        <w:trPr>
          <w:tblCellSpacing w:w="15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AAC0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72F8" w14:textId="5EC61E29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A60DF" w:rsidRPr="003D7F0C" w14:paraId="7172CA97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9E12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EA60DF" w:rsidRPr="003D7F0C" w14:paraId="4557D42B" w14:textId="77777777" w:rsidTr="00346F2D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2E995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57343B2" w14:textId="7777777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9470CF" w:rsidRPr="003D7F0C" w14:paraId="04E31DB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E7D8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470CF" w:rsidRPr="003D7F0C" w14:paraId="0939D2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C913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C9319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424F0" w14:textId="77777777" w:rsidR="00E5323B" w:rsidRPr="003D7F0C" w:rsidRDefault="00194B23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4829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abiedrības līdzdalība ir nodrošināta s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askaņā ar Ministru kabineta 2009. gada 25. augusta noteikumu Nr. 970 „Sabiedrības līdzdalības kārtība attīstības plānošanas procesā” 7.4.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apakšpunktu sabiedrības pārstāvji ir aicināti līdzdarboties, rakstiski sniedzot viedokli par noteikumu projektu tā izstrādes stadijā. Sabiedrības pārstāvji ir informēti par iespēju līdzdarboties, publicējot paziņojumu par līdzdalības procesu VARAM tīmekļvietnē.</w:t>
            </w:r>
          </w:p>
        </w:tc>
      </w:tr>
      <w:tr w:rsidR="009470CF" w:rsidRPr="003D7F0C" w14:paraId="67426F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EF08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C94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D580" w14:textId="4576FADD" w:rsidR="00DB5BC3" w:rsidRPr="005915B7" w:rsidRDefault="00194B23" w:rsidP="00784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3F4806">
              <w:rPr>
                <w:rFonts w:ascii="Times New Roman" w:hAnsi="Times New Roman"/>
                <w:sz w:val="24"/>
                <w:szCs w:val="24"/>
              </w:rPr>
              <w:t>projekts publicēts VARAM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4806">
              <w:rPr>
                <w:rFonts w:ascii="Times New Roman" w:hAnsi="Times New Roman"/>
                <w:sz w:val="24"/>
                <w:szCs w:val="24"/>
              </w:rPr>
              <w:t>tīmekļavietnē</w:t>
            </w:r>
            <w:proofErr w:type="spellEnd"/>
            <w:r w:rsidRPr="003F4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2019. gada </w:t>
            </w:r>
            <w:r w:rsidR="00784088" w:rsidRPr="00784088">
              <w:rPr>
                <w:rFonts w:ascii="Times New Roman" w:hAnsi="Times New Roman"/>
                <w:sz w:val="24"/>
                <w:szCs w:val="24"/>
              </w:rPr>
              <w:t>14</w:t>
            </w:r>
            <w:r w:rsidRPr="00784088">
              <w:rPr>
                <w:rFonts w:ascii="Times New Roman" w:hAnsi="Times New Roman"/>
                <w:sz w:val="24"/>
                <w:szCs w:val="24"/>
              </w:rPr>
              <w:t>. jūnijā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6C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8" w:history="1">
              <w:r w:rsidR="00784088" w:rsidRPr="007840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www.varam.gov.lv</w:t>
              </w:r>
            </w:hyperlink>
            <w:r w:rsidR="00396CFF" w:rsidRPr="00BB50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70CF" w:rsidRPr="003D7F0C" w14:paraId="6B9B381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CF4E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E390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D438" w14:textId="77777777" w:rsidR="00E5323B" w:rsidRPr="003D7F0C" w:rsidRDefault="00042AC3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Anotācijas sadaļa tiks papildināta pēc sabiedrības pārstāvju viedokļu un komentāru saņemšanas</w:t>
            </w:r>
            <w:r w:rsidRPr="009129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70CF" w:rsidRPr="003D7F0C" w14:paraId="268B1726" w14:textId="77777777" w:rsidTr="005915B7">
        <w:trPr>
          <w:trHeight w:val="45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2C83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5F9D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D304" w14:textId="1EE56F7B" w:rsidR="00E5323B" w:rsidRPr="003D7F0C" w:rsidRDefault="00496AC0" w:rsidP="00272D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96A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viedo</w:t>
            </w:r>
            <w:r w:rsidR="0078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kļa sniegšanai 2019.</w:t>
            </w:r>
            <w:r w:rsidR="00784088" w:rsidRPr="00272D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</w:t>
            </w:r>
            <w:r w:rsidR="00272D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.. jūlijā </w:t>
            </w:r>
            <w:r w:rsidRPr="00272D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 nosūtīts saskaņošanai VVD, LATAK un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LVĢMC</w:t>
            </w:r>
            <w:r w:rsidRPr="00496A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</w:tbl>
    <w:p w14:paraId="4103C65A" w14:textId="7777777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F0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9470CF" w:rsidRPr="003D7F0C" w14:paraId="68BB2E8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315A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470CF" w:rsidRPr="003D7F0C" w14:paraId="48641B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59D6E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5665E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0315" w14:textId="77777777" w:rsidR="004829C0" w:rsidRPr="003D7F0C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 VVD, LATAK</w:t>
            </w:r>
          </w:p>
        </w:tc>
      </w:tr>
      <w:tr w:rsidR="009470CF" w:rsidRPr="003D7F0C" w14:paraId="2C5FBB5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E21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0275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1AA58" w14:textId="77777777" w:rsidR="009D56A1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iekļautie nosacījumi var radīt ietekmi uz pārvaldes funkcijām, tomēr tas neietekmēs institucionālo sistēmu.</w:t>
            </w:r>
          </w:p>
          <w:p w14:paraId="20B0A9DE" w14:textId="77777777" w:rsidR="004829C0" w:rsidRPr="009D56A1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717075" w14:textId="77777777" w:rsidR="009D56A1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projektā iekļauto nosacījumu izpildei nav nepieciešams veidot jaunas institūcijas, likvidēt vai reorganizēt esošās institūcijas. </w:t>
            </w:r>
          </w:p>
          <w:p w14:paraId="7EF4106E" w14:textId="77777777" w:rsidR="004829C0" w:rsidRPr="009D56A1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4273EF0" w14:textId="77777777" w:rsidR="009D56A1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iekļauto nosacījumu izpilde neatstās ietekmi uz cilvēkresursiem.</w:t>
            </w:r>
          </w:p>
          <w:p w14:paraId="20A65FDF" w14:textId="77777777" w:rsidR="004829C0" w:rsidRPr="009D56A1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9B8AA08" w14:textId="77777777" w:rsidR="00E5323B" w:rsidRPr="003D7F0C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izpildē iesaistītās institūcijas noteikumu projektā iekļautos pasākumu nodrošinās </w:t>
            </w: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piešķirto valsts budžeta līdzekļu ietvaros.</w:t>
            </w:r>
          </w:p>
        </w:tc>
      </w:tr>
      <w:tr w:rsidR="009470CF" w:rsidRPr="003D7F0C" w14:paraId="5166CC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2C88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C228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958F8" w14:textId="77777777" w:rsidR="00E5323B" w:rsidRPr="003D7F0C" w:rsidRDefault="009D56A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FCBC2D7" w14:textId="77777777" w:rsidR="00C25B49" w:rsidRPr="003D7F0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ECFBB" w14:textId="377925E0" w:rsidR="00894C55" w:rsidRPr="003D7F0C" w:rsidRDefault="004829C0" w:rsidP="004829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 reģionālās attīstības</w:t>
      </w:r>
      <w:r w:rsidR="00894C55" w:rsidRPr="003D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088">
        <w:rPr>
          <w:rFonts w:ascii="Times New Roman" w:hAnsi="Times New Roman" w:cs="Times New Roman"/>
          <w:sz w:val="28"/>
          <w:szCs w:val="28"/>
        </w:rPr>
        <w:tab/>
      </w:r>
      <w:r w:rsidR="007840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Juris</w:t>
      </w:r>
      <w:r w:rsidR="00760F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Pūce</w:t>
      </w:r>
    </w:p>
    <w:p w14:paraId="7938B3F2" w14:textId="77777777" w:rsidR="00760F08" w:rsidRDefault="00760F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5C4833" w14:textId="77777777" w:rsidR="00760F08" w:rsidRDefault="00760F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78C28" w14:textId="77777777" w:rsidR="00894C55" w:rsidRPr="005915B7" w:rsidRDefault="00194B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5B7">
        <w:rPr>
          <w:rFonts w:ascii="Times New Roman" w:hAnsi="Times New Roman" w:cs="Times New Roman"/>
          <w:sz w:val="20"/>
          <w:szCs w:val="20"/>
        </w:rPr>
        <w:t>Leimane</w:t>
      </w:r>
      <w:r w:rsidR="00D133F8" w:rsidRPr="005915B7">
        <w:rPr>
          <w:rFonts w:ascii="Times New Roman" w:hAnsi="Times New Roman" w:cs="Times New Roman"/>
          <w:sz w:val="20"/>
          <w:szCs w:val="20"/>
        </w:rPr>
        <w:t xml:space="preserve"> </w:t>
      </w:r>
      <w:r w:rsidRPr="005915B7">
        <w:rPr>
          <w:rFonts w:ascii="Times New Roman" w:hAnsi="Times New Roman" w:cs="Times New Roman"/>
          <w:sz w:val="20"/>
          <w:szCs w:val="20"/>
        </w:rPr>
        <w:t>67026528</w:t>
      </w:r>
    </w:p>
    <w:p w14:paraId="7D28AA40" w14:textId="77777777" w:rsidR="00894C55" w:rsidRPr="005915B7" w:rsidRDefault="00194B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5B7">
        <w:rPr>
          <w:rFonts w:ascii="Times New Roman" w:hAnsi="Times New Roman" w:cs="Times New Roman"/>
          <w:sz w:val="20"/>
          <w:szCs w:val="20"/>
        </w:rPr>
        <w:t>Liza.Leimane</w:t>
      </w:r>
      <w:r w:rsidR="00894C55" w:rsidRPr="005915B7">
        <w:rPr>
          <w:rFonts w:ascii="Times New Roman" w:hAnsi="Times New Roman" w:cs="Times New Roman"/>
          <w:sz w:val="20"/>
          <w:szCs w:val="20"/>
        </w:rPr>
        <w:t>@</w:t>
      </w:r>
      <w:r w:rsidRPr="005915B7">
        <w:rPr>
          <w:rFonts w:ascii="Times New Roman" w:hAnsi="Times New Roman" w:cs="Times New Roman"/>
          <w:sz w:val="20"/>
          <w:szCs w:val="20"/>
        </w:rPr>
        <w:t>varam</w:t>
      </w:r>
      <w:r w:rsidR="00894C55" w:rsidRPr="005915B7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5915B7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B87B0" w14:textId="77777777" w:rsidR="00FE696E" w:rsidRDefault="00FE696E" w:rsidP="00894C55">
      <w:pPr>
        <w:spacing w:after="0" w:line="240" w:lineRule="auto"/>
      </w:pPr>
      <w:r>
        <w:separator/>
      </w:r>
    </w:p>
  </w:endnote>
  <w:endnote w:type="continuationSeparator" w:id="0">
    <w:p w14:paraId="6A0F8897" w14:textId="77777777" w:rsidR="00FE696E" w:rsidRDefault="00FE696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6F328" w14:textId="77777777" w:rsidR="00602EE5" w:rsidRDefault="00602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3997" w14:textId="77777777" w:rsidR="007537FB" w:rsidRPr="003D7F0C" w:rsidRDefault="007537FB" w:rsidP="003D7F0C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02EE5">
      <w:rPr>
        <w:rFonts w:ascii="Times New Roman" w:hAnsi="Times New Roman" w:cs="Times New Roman"/>
        <w:noProof/>
        <w:sz w:val="20"/>
        <w:szCs w:val="20"/>
      </w:rPr>
      <w:t>VARAMAnot_250619_Groz112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0018" w14:textId="77777777" w:rsidR="007537FB" w:rsidRPr="003D7F0C" w:rsidRDefault="007537FB" w:rsidP="003D7F0C">
    <w:pPr>
      <w:pStyle w:val="Footer"/>
      <w:rPr>
        <w:rFonts w:ascii="Times New Roman" w:hAnsi="Times New Roman" w:cs="Times New Roman"/>
        <w:sz w:val="20"/>
        <w:szCs w:val="20"/>
      </w:rPr>
    </w:pPr>
    <w:r w:rsidRPr="003D7F0C">
      <w:rPr>
        <w:rFonts w:ascii="Times New Roman" w:hAnsi="Times New Roman" w:cs="Times New Roman"/>
        <w:sz w:val="20"/>
        <w:szCs w:val="20"/>
      </w:rPr>
      <w:fldChar w:fldCharType="begin"/>
    </w:r>
    <w:r w:rsidRPr="003D7F0C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3D7F0C">
      <w:rPr>
        <w:rFonts w:ascii="Times New Roman" w:hAnsi="Times New Roman" w:cs="Times New Roman"/>
        <w:sz w:val="20"/>
        <w:szCs w:val="20"/>
      </w:rPr>
      <w:fldChar w:fldCharType="separate"/>
    </w:r>
    <w:r w:rsidR="00602EE5">
      <w:rPr>
        <w:rFonts w:ascii="Times New Roman" w:hAnsi="Times New Roman" w:cs="Times New Roman"/>
        <w:noProof/>
        <w:sz w:val="20"/>
        <w:szCs w:val="20"/>
      </w:rPr>
      <w:t>VARAMAnot_250619_Groz112</w:t>
    </w:r>
    <w:r w:rsidRPr="003D7F0C">
      <w:rPr>
        <w:rFonts w:ascii="Times New Roman" w:hAnsi="Times New Roman" w:cs="Times New Roman"/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38A2" w14:textId="77777777" w:rsidR="00FE696E" w:rsidRDefault="00FE696E" w:rsidP="00894C55">
      <w:pPr>
        <w:spacing w:after="0" w:line="240" w:lineRule="auto"/>
      </w:pPr>
      <w:r>
        <w:separator/>
      </w:r>
    </w:p>
  </w:footnote>
  <w:footnote w:type="continuationSeparator" w:id="0">
    <w:p w14:paraId="0E132D3E" w14:textId="77777777" w:rsidR="00FE696E" w:rsidRDefault="00FE696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FCA00" w14:textId="77777777" w:rsidR="00602EE5" w:rsidRDefault="00602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C9685E0" w14:textId="77777777" w:rsidR="007537FB" w:rsidRPr="00C25B49" w:rsidRDefault="007537FB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02EE5">
          <w:rPr>
            <w:rFonts w:ascii="Times New Roman" w:hAnsi="Times New Roman" w:cs="Times New Roman"/>
            <w:noProof/>
            <w:sz w:val="24"/>
            <w:szCs w:val="20"/>
          </w:rPr>
          <w:t>10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0DB6" w14:textId="77777777" w:rsidR="00602EE5" w:rsidRDefault="00602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03B"/>
    <w:multiLevelType w:val="hybridMultilevel"/>
    <w:tmpl w:val="B0961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EBF"/>
    <w:multiLevelType w:val="hybridMultilevel"/>
    <w:tmpl w:val="04605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4C75"/>
    <w:multiLevelType w:val="hybridMultilevel"/>
    <w:tmpl w:val="B0961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7EB"/>
    <w:multiLevelType w:val="hybridMultilevel"/>
    <w:tmpl w:val="B1ACB5EC"/>
    <w:lvl w:ilvl="0" w:tplc="8B1A0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7096"/>
    <w:multiLevelType w:val="hybridMultilevel"/>
    <w:tmpl w:val="B0961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58CF"/>
    <w:multiLevelType w:val="hybridMultilevel"/>
    <w:tmpl w:val="6A1C434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141A"/>
    <w:rsid w:val="00010556"/>
    <w:rsid w:val="000179DE"/>
    <w:rsid w:val="00042AC3"/>
    <w:rsid w:val="00070A69"/>
    <w:rsid w:val="000C023D"/>
    <w:rsid w:val="000E129A"/>
    <w:rsid w:val="000F1061"/>
    <w:rsid w:val="00100AFA"/>
    <w:rsid w:val="00142B71"/>
    <w:rsid w:val="001719F1"/>
    <w:rsid w:val="00191430"/>
    <w:rsid w:val="00194B23"/>
    <w:rsid w:val="001A5D71"/>
    <w:rsid w:val="001B0F84"/>
    <w:rsid w:val="001D65FC"/>
    <w:rsid w:val="001F4C80"/>
    <w:rsid w:val="00206BFB"/>
    <w:rsid w:val="0021180E"/>
    <w:rsid w:val="00215D7E"/>
    <w:rsid w:val="002177C8"/>
    <w:rsid w:val="00243426"/>
    <w:rsid w:val="0025179B"/>
    <w:rsid w:val="002520C3"/>
    <w:rsid w:val="00252F31"/>
    <w:rsid w:val="00255699"/>
    <w:rsid w:val="00272D62"/>
    <w:rsid w:val="00294A11"/>
    <w:rsid w:val="002B5197"/>
    <w:rsid w:val="002E1C05"/>
    <w:rsid w:val="003120A1"/>
    <w:rsid w:val="00314348"/>
    <w:rsid w:val="003458E3"/>
    <w:rsid w:val="00346F2D"/>
    <w:rsid w:val="00394A57"/>
    <w:rsid w:val="00396CFF"/>
    <w:rsid w:val="003B0BF9"/>
    <w:rsid w:val="003D7F0C"/>
    <w:rsid w:val="003E0791"/>
    <w:rsid w:val="003F11FA"/>
    <w:rsid w:val="003F28AC"/>
    <w:rsid w:val="00400C5C"/>
    <w:rsid w:val="004454FE"/>
    <w:rsid w:val="00454B08"/>
    <w:rsid w:val="00456E40"/>
    <w:rsid w:val="00471F27"/>
    <w:rsid w:val="004829C0"/>
    <w:rsid w:val="00485495"/>
    <w:rsid w:val="00493F97"/>
    <w:rsid w:val="004959E6"/>
    <w:rsid w:val="00496AC0"/>
    <w:rsid w:val="004A2D2C"/>
    <w:rsid w:val="0050178F"/>
    <w:rsid w:val="0054667D"/>
    <w:rsid w:val="0056647B"/>
    <w:rsid w:val="005915B7"/>
    <w:rsid w:val="005923DC"/>
    <w:rsid w:val="005F2018"/>
    <w:rsid w:val="00602EE5"/>
    <w:rsid w:val="0063612F"/>
    <w:rsid w:val="00653D90"/>
    <w:rsid w:val="00655F2C"/>
    <w:rsid w:val="00670300"/>
    <w:rsid w:val="0067601A"/>
    <w:rsid w:val="00680562"/>
    <w:rsid w:val="0068404E"/>
    <w:rsid w:val="006B4FB9"/>
    <w:rsid w:val="006B64B6"/>
    <w:rsid w:val="006B7D5D"/>
    <w:rsid w:val="006C35B6"/>
    <w:rsid w:val="006D3A27"/>
    <w:rsid w:val="006E1081"/>
    <w:rsid w:val="00710C6A"/>
    <w:rsid w:val="007148BD"/>
    <w:rsid w:val="00720585"/>
    <w:rsid w:val="00747884"/>
    <w:rsid w:val="007537FB"/>
    <w:rsid w:val="00760F08"/>
    <w:rsid w:val="00762052"/>
    <w:rsid w:val="00770E38"/>
    <w:rsid w:val="00773AF6"/>
    <w:rsid w:val="00784088"/>
    <w:rsid w:val="007903EC"/>
    <w:rsid w:val="00795F71"/>
    <w:rsid w:val="007A09D2"/>
    <w:rsid w:val="007B1F37"/>
    <w:rsid w:val="007B783A"/>
    <w:rsid w:val="007C768C"/>
    <w:rsid w:val="007E5F7A"/>
    <w:rsid w:val="007E73AB"/>
    <w:rsid w:val="00816C11"/>
    <w:rsid w:val="008457F9"/>
    <w:rsid w:val="00852EF3"/>
    <w:rsid w:val="00894C55"/>
    <w:rsid w:val="008A069D"/>
    <w:rsid w:val="008A428C"/>
    <w:rsid w:val="008C49C3"/>
    <w:rsid w:val="00914880"/>
    <w:rsid w:val="00940BC4"/>
    <w:rsid w:val="009470CF"/>
    <w:rsid w:val="00963C01"/>
    <w:rsid w:val="00966AD3"/>
    <w:rsid w:val="00970CE4"/>
    <w:rsid w:val="00996D13"/>
    <w:rsid w:val="009A179C"/>
    <w:rsid w:val="009A2654"/>
    <w:rsid w:val="009B02EF"/>
    <w:rsid w:val="009B10C0"/>
    <w:rsid w:val="009C6DAC"/>
    <w:rsid w:val="009D56A1"/>
    <w:rsid w:val="009E44FB"/>
    <w:rsid w:val="00A10FC3"/>
    <w:rsid w:val="00A25B68"/>
    <w:rsid w:val="00A6073E"/>
    <w:rsid w:val="00A6548F"/>
    <w:rsid w:val="00A71D4D"/>
    <w:rsid w:val="00AA248E"/>
    <w:rsid w:val="00AB18A5"/>
    <w:rsid w:val="00AD5183"/>
    <w:rsid w:val="00AE5567"/>
    <w:rsid w:val="00AF1239"/>
    <w:rsid w:val="00B030A3"/>
    <w:rsid w:val="00B16480"/>
    <w:rsid w:val="00B2165C"/>
    <w:rsid w:val="00B305E2"/>
    <w:rsid w:val="00B54597"/>
    <w:rsid w:val="00BA0718"/>
    <w:rsid w:val="00BA20AA"/>
    <w:rsid w:val="00BB50FB"/>
    <w:rsid w:val="00BD4425"/>
    <w:rsid w:val="00BF7134"/>
    <w:rsid w:val="00C02089"/>
    <w:rsid w:val="00C041A4"/>
    <w:rsid w:val="00C13496"/>
    <w:rsid w:val="00C258F1"/>
    <w:rsid w:val="00C25B49"/>
    <w:rsid w:val="00C32D62"/>
    <w:rsid w:val="00C54BD8"/>
    <w:rsid w:val="00C83E85"/>
    <w:rsid w:val="00CA4A51"/>
    <w:rsid w:val="00CB110B"/>
    <w:rsid w:val="00CB690A"/>
    <w:rsid w:val="00CC0D2D"/>
    <w:rsid w:val="00CE5657"/>
    <w:rsid w:val="00D12F1D"/>
    <w:rsid w:val="00D133F8"/>
    <w:rsid w:val="00D14A3E"/>
    <w:rsid w:val="00D1656F"/>
    <w:rsid w:val="00D64F55"/>
    <w:rsid w:val="00D774A0"/>
    <w:rsid w:val="00DA4887"/>
    <w:rsid w:val="00DB5BC3"/>
    <w:rsid w:val="00DC6B91"/>
    <w:rsid w:val="00DF5A14"/>
    <w:rsid w:val="00E33FCD"/>
    <w:rsid w:val="00E3716B"/>
    <w:rsid w:val="00E42763"/>
    <w:rsid w:val="00E5323B"/>
    <w:rsid w:val="00E8749E"/>
    <w:rsid w:val="00E90C01"/>
    <w:rsid w:val="00EA486E"/>
    <w:rsid w:val="00EA60DF"/>
    <w:rsid w:val="00EC0C6F"/>
    <w:rsid w:val="00EC2EDF"/>
    <w:rsid w:val="00EC5056"/>
    <w:rsid w:val="00EC607F"/>
    <w:rsid w:val="00ED5394"/>
    <w:rsid w:val="00EF5167"/>
    <w:rsid w:val="00F071F1"/>
    <w:rsid w:val="00F14F2F"/>
    <w:rsid w:val="00F337D1"/>
    <w:rsid w:val="00F57B0C"/>
    <w:rsid w:val="00F75AA3"/>
    <w:rsid w:val="00F9193A"/>
    <w:rsid w:val="00FB2A2B"/>
    <w:rsid w:val="00FE68B9"/>
    <w:rsid w:val="00FE696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5AAC5"/>
  <w15:docId w15:val="{B087176F-31EF-4A23-BBA8-650A3BC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0CF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8C49C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lat/likumdosana/normativo_aktu_projekti/klimata_parmainu_joma/?doc=2752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2774E0"/>
    <w:rsid w:val="00344186"/>
    <w:rsid w:val="00472F39"/>
    <w:rsid w:val="00523A63"/>
    <w:rsid w:val="006D0D9A"/>
    <w:rsid w:val="00707B4A"/>
    <w:rsid w:val="00762E37"/>
    <w:rsid w:val="008B623B"/>
    <w:rsid w:val="008D39C9"/>
    <w:rsid w:val="009C1B4C"/>
    <w:rsid w:val="00AD33A4"/>
    <w:rsid w:val="00AD4A2F"/>
    <w:rsid w:val="00B3767C"/>
    <w:rsid w:val="00BD3EAF"/>
    <w:rsid w:val="00C00671"/>
    <w:rsid w:val="00EE7E5F"/>
    <w:rsid w:val="00F774A5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FFC4-5571-4FB2-85AA-BC90C165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10382</Words>
  <Characters>5919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Līza Leimane</dc:creator>
  <dc:description/>
  <cp:lastModifiedBy>Līza Leimane</cp:lastModifiedBy>
  <cp:revision>7</cp:revision>
  <dcterms:created xsi:type="dcterms:W3CDTF">2019-06-19T10:51:00Z</dcterms:created>
  <dcterms:modified xsi:type="dcterms:W3CDTF">2019-06-26T13:06:00Z</dcterms:modified>
</cp:coreProperties>
</file>