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70776" w14:textId="77777777" w:rsidR="00D844D2" w:rsidRPr="005C652E" w:rsidRDefault="00D844D2" w:rsidP="00D844D2">
      <w:pPr>
        <w:spacing w:after="0" w:line="240" w:lineRule="auto"/>
        <w:jc w:val="both"/>
        <w:rPr>
          <w:rFonts w:ascii="Times New Roman" w:eastAsia="Times New Roman" w:hAnsi="Times New Roman"/>
          <w:sz w:val="28"/>
          <w:szCs w:val="20"/>
          <w:lang w:eastAsia="lv-LV"/>
        </w:rPr>
      </w:pPr>
    </w:p>
    <w:p w14:paraId="2DC5FE6E" w14:textId="77777777" w:rsidR="00D844D2" w:rsidRPr="005C652E" w:rsidRDefault="00D844D2" w:rsidP="00D844D2">
      <w:pPr>
        <w:spacing w:after="0" w:line="240" w:lineRule="auto"/>
        <w:jc w:val="both"/>
        <w:rPr>
          <w:rFonts w:ascii="Times New Roman" w:eastAsia="Times New Roman" w:hAnsi="Times New Roman"/>
          <w:sz w:val="28"/>
          <w:szCs w:val="20"/>
          <w:lang w:eastAsia="lv-LV"/>
        </w:rPr>
      </w:pPr>
    </w:p>
    <w:p w14:paraId="1FBE7D28" w14:textId="77777777" w:rsidR="00D844D2" w:rsidRPr="005C652E" w:rsidRDefault="00D844D2" w:rsidP="00D844D2">
      <w:pPr>
        <w:spacing w:after="0" w:line="240" w:lineRule="auto"/>
        <w:jc w:val="both"/>
        <w:rPr>
          <w:rFonts w:ascii="Times New Roman" w:eastAsia="Times New Roman" w:hAnsi="Times New Roman"/>
          <w:sz w:val="28"/>
          <w:szCs w:val="20"/>
          <w:lang w:eastAsia="lv-LV"/>
        </w:rPr>
      </w:pPr>
    </w:p>
    <w:p w14:paraId="69D42E09" w14:textId="77777777" w:rsidR="00D844D2" w:rsidRPr="005C652E" w:rsidRDefault="00D844D2" w:rsidP="00D844D2">
      <w:pPr>
        <w:spacing w:after="0" w:line="240" w:lineRule="auto"/>
        <w:jc w:val="both"/>
        <w:rPr>
          <w:rFonts w:ascii="Times New Roman" w:eastAsia="Times New Roman" w:hAnsi="Times New Roman"/>
          <w:sz w:val="28"/>
          <w:szCs w:val="20"/>
          <w:lang w:eastAsia="lv-LV"/>
        </w:rPr>
      </w:pPr>
    </w:p>
    <w:p w14:paraId="0BF70C8E" w14:textId="77777777" w:rsidR="00D844D2" w:rsidRPr="005C652E" w:rsidRDefault="00D844D2" w:rsidP="00D844D2">
      <w:pPr>
        <w:spacing w:after="0" w:line="240" w:lineRule="auto"/>
        <w:jc w:val="both"/>
        <w:rPr>
          <w:rFonts w:ascii="Times New Roman" w:eastAsia="Times New Roman" w:hAnsi="Times New Roman"/>
          <w:sz w:val="28"/>
          <w:szCs w:val="20"/>
          <w:lang w:eastAsia="lv-LV"/>
        </w:rPr>
      </w:pPr>
    </w:p>
    <w:p w14:paraId="1FA94BAD" w14:textId="77777777" w:rsidR="00D844D2" w:rsidRPr="005C652E" w:rsidRDefault="00D844D2" w:rsidP="00D844D2">
      <w:pPr>
        <w:spacing w:after="0" w:line="240" w:lineRule="auto"/>
        <w:jc w:val="both"/>
        <w:rPr>
          <w:rFonts w:ascii="Times New Roman" w:eastAsia="Times New Roman" w:hAnsi="Times New Roman"/>
          <w:sz w:val="28"/>
          <w:szCs w:val="20"/>
          <w:lang w:eastAsia="lv-LV"/>
        </w:rPr>
      </w:pPr>
    </w:p>
    <w:p w14:paraId="3CC8E624" w14:textId="0F1AEA00" w:rsidR="00D844D2" w:rsidRPr="005C652E" w:rsidRDefault="00332C15" w:rsidP="00332C15">
      <w:pPr>
        <w:tabs>
          <w:tab w:val="left" w:pos="3945"/>
        </w:tabs>
        <w:spacing w:after="0" w:line="240" w:lineRule="auto"/>
        <w:jc w:val="both"/>
        <w:rPr>
          <w:rFonts w:ascii="Times New Roman" w:eastAsia="Times New Roman" w:hAnsi="Times New Roman"/>
          <w:sz w:val="28"/>
          <w:szCs w:val="20"/>
          <w:lang w:eastAsia="lv-LV"/>
        </w:rPr>
      </w:pPr>
      <w:r>
        <w:rPr>
          <w:rFonts w:ascii="Times New Roman" w:eastAsia="Times New Roman" w:hAnsi="Times New Roman"/>
          <w:sz w:val="28"/>
          <w:szCs w:val="20"/>
          <w:lang w:eastAsia="lv-LV"/>
        </w:rPr>
        <w:tab/>
      </w:r>
    </w:p>
    <w:p w14:paraId="0231D90F" w14:textId="77777777" w:rsidR="00D844D2" w:rsidRPr="005C652E" w:rsidRDefault="00D844D2" w:rsidP="00D844D2">
      <w:pPr>
        <w:spacing w:after="0" w:line="240" w:lineRule="auto"/>
        <w:jc w:val="both"/>
        <w:rPr>
          <w:rFonts w:ascii="Times New Roman" w:eastAsia="Times New Roman" w:hAnsi="Times New Roman"/>
          <w:sz w:val="28"/>
          <w:szCs w:val="20"/>
          <w:lang w:eastAsia="lv-LV"/>
        </w:rPr>
      </w:pPr>
    </w:p>
    <w:p w14:paraId="4D60D017" w14:textId="77777777" w:rsidR="00D844D2" w:rsidRPr="005C652E" w:rsidRDefault="00D844D2" w:rsidP="00D844D2">
      <w:pPr>
        <w:spacing w:after="0" w:line="240" w:lineRule="auto"/>
        <w:jc w:val="both"/>
        <w:rPr>
          <w:rFonts w:ascii="Times New Roman" w:eastAsia="Times New Roman" w:hAnsi="Times New Roman"/>
          <w:sz w:val="28"/>
          <w:szCs w:val="20"/>
          <w:lang w:eastAsia="lv-LV"/>
        </w:rPr>
      </w:pPr>
    </w:p>
    <w:p w14:paraId="161BF2AE" w14:textId="77777777" w:rsidR="00D844D2" w:rsidRPr="005C652E" w:rsidRDefault="00D844D2" w:rsidP="00D844D2">
      <w:pPr>
        <w:spacing w:after="0" w:line="240" w:lineRule="auto"/>
        <w:jc w:val="both"/>
        <w:rPr>
          <w:rFonts w:ascii="Times New Roman" w:eastAsia="Times New Roman" w:hAnsi="Times New Roman"/>
          <w:sz w:val="28"/>
          <w:szCs w:val="20"/>
          <w:lang w:eastAsia="lv-LV"/>
        </w:rPr>
      </w:pPr>
    </w:p>
    <w:p w14:paraId="4939AC0A" w14:textId="77777777" w:rsidR="00D844D2" w:rsidRPr="005C652E" w:rsidRDefault="00D844D2" w:rsidP="00D844D2">
      <w:pPr>
        <w:spacing w:after="0" w:line="240" w:lineRule="auto"/>
        <w:jc w:val="both"/>
        <w:rPr>
          <w:rFonts w:ascii="Times New Roman" w:eastAsia="Times New Roman" w:hAnsi="Times New Roman"/>
          <w:sz w:val="28"/>
          <w:szCs w:val="20"/>
          <w:lang w:eastAsia="lv-LV"/>
        </w:rPr>
      </w:pPr>
    </w:p>
    <w:p w14:paraId="4489E9A1" w14:textId="77777777" w:rsidR="00D844D2" w:rsidRPr="005C652E" w:rsidRDefault="00D844D2" w:rsidP="00D844D2">
      <w:pPr>
        <w:spacing w:after="0" w:line="240" w:lineRule="auto"/>
        <w:jc w:val="both"/>
        <w:rPr>
          <w:rFonts w:ascii="Times New Roman" w:eastAsia="Times New Roman" w:hAnsi="Times New Roman"/>
          <w:sz w:val="28"/>
          <w:szCs w:val="20"/>
          <w:lang w:eastAsia="lv-LV"/>
        </w:rPr>
      </w:pPr>
    </w:p>
    <w:p w14:paraId="79D491D6" w14:textId="77777777" w:rsidR="00D844D2" w:rsidRPr="005C652E" w:rsidRDefault="00F5325C" w:rsidP="00D844D2">
      <w:pPr>
        <w:spacing w:before="120" w:after="120" w:line="240" w:lineRule="auto"/>
        <w:jc w:val="center"/>
        <w:rPr>
          <w:rFonts w:ascii="Times New Roman" w:eastAsia="Times New Roman" w:hAnsi="Times New Roman"/>
          <w:b/>
          <w:sz w:val="36"/>
          <w:szCs w:val="36"/>
          <w:lang w:eastAsia="lv-LV"/>
        </w:rPr>
      </w:pPr>
      <w:r w:rsidRPr="005C652E">
        <w:rPr>
          <w:rFonts w:ascii="Times New Roman" w:eastAsia="Times New Roman" w:hAnsi="Times New Roman"/>
          <w:b/>
          <w:sz w:val="36"/>
          <w:szCs w:val="36"/>
          <w:lang w:eastAsia="lv-LV"/>
        </w:rPr>
        <w:t>Informatīvais z</w:t>
      </w:r>
      <w:r w:rsidR="00D844D2" w:rsidRPr="005C652E">
        <w:rPr>
          <w:rFonts w:ascii="Times New Roman" w:eastAsia="Times New Roman" w:hAnsi="Times New Roman"/>
          <w:b/>
          <w:sz w:val="36"/>
          <w:szCs w:val="36"/>
          <w:lang w:eastAsia="lv-LV"/>
        </w:rPr>
        <w:t>iņojums</w:t>
      </w:r>
    </w:p>
    <w:p w14:paraId="6AEBC277" w14:textId="77777777" w:rsidR="00D844D2" w:rsidRPr="005C652E" w:rsidRDefault="009E669D" w:rsidP="009E669D">
      <w:pPr>
        <w:spacing w:after="0" w:line="240" w:lineRule="auto"/>
        <w:jc w:val="center"/>
        <w:rPr>
          <w:rFonts w:ascii="Times New Roman" w:eastAsia="Times New Roman" w:hAnsi="Times New Roman"/>
          <w:sz w:val="28"/>
          <w:szCs w:val="20"/>
          <w:lang w:eastAsia="lv-LV"/>
        </w:rPr>
      </w:pPr>
      <w:r w:rsidRPr="005C652E">
        <w:rPr>
          <w:rFonts w:ascii="Times New Roman" w:eastAsia="Times New Roman" w:hAnsi="Times New Roman"/>
          <w:b/>
          <w:sz w:val="36"/>
          <w:szCs w:val="36"/>
          <w:lang w:eastAsia="lv-LV"/>
        </w:rPr>
        <w:t>Par siltumnīcefekta gāzu emisiju samazināšanas un oglekļa dioksīda piesaistes saistību izpildi</w:t>
      </w:r>
    </w:p>
    <w:p w14:paraId="719035A8" w14:textId="77777777" w:rsidR="00D844D2" w:rsidRPr="005C652E" w:rsidRDefault="00D844D2">
      <w:pPr>
        <w:rPr>
          <w:rFonts w:ascii="Times New Roman" w:eastAsia="Times New Roman" w:hAnsi="Times New Roman"/>
          <w:sz w:val="28"/>
          <w:szCs w:val="20"/>
          <w:lang w:eastAsia="lv-LV"/>
        </w:rPr>
      </w:pPr>
      <w:r w:rsidRPr="005C652E">
        <w:rPr>
          <w:rFonts w:ascii="Times New Roman" w:eastAsia="Times New Roman" w:hAnsi="Times New Roman"/>
          <w:sz w:val="28"/>
          <w:szCs w:val="20"/>
          <w:lang w:eastAsia="lv-LV"/>
        </w:rPr>
        <w:br w:type="page"/>
      </w:r>
    </w:p>
    <w:sdt>
      <w:sdtPr>
        <w:rPr>
          <w:rFonts w:ascii="Times New Roman" w:eastAsia="Calibri" w:hAnsi="Times New Roman" w:cs="Times New Roman"/>
          <w:b w:val="0"/>
          <w:bCs w:val="0"/>
          <w:caps w:val="0"/>
          <w:color w:val="auto"/>
          <w:sz w:val="24"/>
          <w:szCs w:val="24"/>
          <w:lang w:val="lv-LV" w:eastAsia="en-US"/>
        </w:rPr>
        <w:id w:val="125596018"/>
        <w:docPartObj>
          <w:docPartGallery w:val="Table of Contents"/>
          <w:docPartUnique/>
        </w:docPartObj>
      </w:sdtPr>
      <w:sdtEndPr>
        <w:rPr>
          <w:noProof/>
        </w:rPr>
      </w:sdtEndPr>
      <w:sdtContent>
        <w:p w14:paraId="4467538F" w14:textId="77777777" w:rsidR="008A3EF3" w:rsidRPr="006F031E" w:rsidRDefault="00016432" w:rsidP="00CA7542">
          <w:pPr>
            <w:pStyle w:val="TOCHeading"/>
            <w:spacing w:before="60" w:after="60" w:line="240" w:lineRule="auto"/>
            <w:jc w:val="center"/>
            <w:rPr>
              <w:rFonts w:ascii="Times New Roman" w:eastAsia="Calibri" w:hAnsi="Times New Roman" w:cs="Times New Roman"/>
              <w:b w:val="0"/>
              <w:color w:val="auto"/>
              <w:sz w:val="24"/>
              <w:szCs w:val="24"/>
              <w:lang w:val="lv-LV" w:eastAsia="en-US"/>
            </w:rPr>
          </w:pPr>
          <w:r w:rsidRPr="006F031E">
            <w:rPr>
              <w:rFonts w:ascii="Times New Roman" w:eastAsia="Calibri" w:hAnsi="Times New Roman" w:cs="Times New Roman"/>
              <w:b w:val="0"/>
              <w:color w:val="auto"/>
              <w:sz w:val="24"/>
              <w:szCs w:val="24"/>
              <w:lang w:val="lv-LV" w:eastAsia="en-US"/>
            </w:rPr>
            <w:t>SATURS</w:t>
          </w:r>
        </w:p>
        <w:p w14:paraId="4AFD7395" w14:textId="77777777" w:rsidR="005E1EC0" w:rsidRPr="006F031E" w:rsidRDefault="005E1EC0" w:rsidP="00AF2C85">
          <w:pPr>
            <w:spacing w:before="120" w:after="120" w:line="240" w:lineRule="auto"/>
            <w:rPr>
              <w:rFonts w:ascii="Times New Roman" w:hAnsi="Times New Roman"/>
              <w:bCs/>
              <w:sz w:val="24"/>
              <w:szCs w:val="24"/>
            </w:rPr>
          </w:pPr>
        </w:p>
        <w:p w14:paraId="18915688" w14:textId="77777777" w:rsidR="006F031E" w:rsidRPr="006F031E" w:rsidRDefault="00571C71">
          <w:pPr>
            <w:pStyle w:val="TOC1"/>
            <w:rPr>
              <w:rFonts w:ascii="Times New Roman" w:eastAsiaTheme="minorEastAsia" w:hAnsi="Times New Roman"/>
              <w:noProof/>
              <w:sz w:val="24"/>
              <w:szCs w:val="24"/>
              <w:lang w:eastAsia="lv-LV"/>
            </w:rPr>
          </w:pPr>
          <w:r w:rsidRPr="006F031E">
            <w:rPr>
              <w:rFonts w:ascii="Times New Roman" w:hAnsi="Times New Roman"/>
              <w:bCs/>
              <w:sz w:val="24"/>
              <w:szCs w:val="24"/>
            </w:rPr>
            <w:fldChar w:fldCharType="begin"/>
          </w:r>
          <w:r w:rsidR="008A3EF3" w:rsidRPr="006F031E">
            <w:rPr>
              <w:rFonts w:ascii="Times New Roman" w:hAnsi="Times New Roman"/>
              <w:bCs/>
              <w:sz w:val="24"/>
              <w:szCs w:val="24"/>
            </w:rPr>
            <w:instrText xml:space="preserve"> TOC \o "1-3" \h \z \u </w:instrText>
          </w:r>
          <w:r w:rsidRPr="006F031E">
            <w:rPr>
              <w:rFonts w:ascii="Times New Roman" w:hAnsi="Times New Roman"/>
              <w:bCs/>
              <w:sz w:val="24"/>
              <w:szCs w:val="24"/>
            </w:rPr>
            <w:fldChar w:fldCharType="separate"/>
          </w:r>
          <w:hyperlink w:anchor="_Toc9326559" w:history="1">
            <w:r w:rsidR="006F031E" w:rsidRPr="006F031E">
              <w:rPr>
                <w:rStyle w:val="Hyperlink"/>
                <w:rFonts w:ascii="Times New Roman" w:hAnsi="Times New Roman"/>
                <w:noProof/>
                <w:sz w:val="24"/>
                <w:szCs w:val="24"/>
              </w:rPr>
              <w:t>1.</w:t>
            </w:r>
            <w:r w:rsidR="006F031E" w:rsidRPr="006F031E">
              <w:rPr>
                <w:rFonts w:ascii="Times New Roman" w:eastAsiaTheme="minorEastAsia" w:hAnsi="Times New Roman"/>
                <w:noProof/>
                <w:sz w:val="24"/>
                <w:szCs w:val="24"/>
                <w:lang w:eastAsia="lv-LV"/>
              </w:rPr>
              <w:tab/>
            </w:r>
            <w:r w:rsidR="006F031E" w:rsidRPr="006F031E">
              <w:rPr>
                <w:rStyle w:val="Hyperlink"/>
                <w:rFonts w:ascii="Times New Roman" w:hAnsi="Times New Roman"/>
                <w:noProof/>
                <w:sz w:val="24"/>
                <w:szCs w:val="24"/>
              </w:rPr>
              <w:t>IEVADS</w:t>
            </w:r>
            <w:r w:rsidR="006F031E" w:rsidRPr="006F031E">
              <w:rPr>
                <w:rFonts w:ascii="Times New Roman" w:hAnsi="Times New Roman"/>
                <w:noProof/>
                <w:webHidden/>
                <w:sz w:val="24"/>
                <w:szCs w:val="24"/>
              </w:rPr>
              <w:tab/>
            </w:r>
            <w:r w:rsidR="006F031E" w:rsidRPr="006F031E">
              <w:rPr>
                <w:rFonts w:ascii="Times New Roman" w:hAnsi="Times New Roman"/>
                <w:noProof/>
                <w:webHidden/>
                <w:sz w:val="24"/>
                <w:szCs w:val="24"/>
              </w:rPr>
              <w:fldChar w:fldCharType="begin"/>
            </w:r>
            <w:r w:rsidR="006F031E" w:rsidRPr="006F031E">
              <w:rPr>
                <w:rFonts w:ascii="Times New Roman" w:hAnsi="Times New Roman"/>
                <w:noProof/>
                <w:webHidden/>
                <w:sz w:val="24"/>
                <w:szCs w:val="24"/>
              </w:rPr>
              <w:instrText xml:space="preserve"> PAGEREF _Toc9326559 \h </w:instrText>
            </w:r>
            <w:r w:rsidR="006F031E" w:rsidRPr="006F031E">
              <w:rPr>
                <w:rFonts w:ascii="Times New Roman" w:hAnsi="Times New Roman"/>
                <w:noProof/>
                <w:webHidden/>
                <w:sz w:val="24"/>
                <w:szCs w:val="24"/>
              </w:rPr>
            </w:r>
            <w:r w:rsidR="006F031E" w:rsidRPr="006F031E">
              <w:rPr>
                <w:rFonts w:ascii="Times New Roman" w:hAnsi="Times New Roman"/>
                <w:noProof/>
                <w:webHidden/>
                <w:sz w:val="24"/>
                <w:szCs w:val="24"/>
              </w:rPr>
              <w:fldChar w:fldCharType="separate"/>
            </w:r>
            <w:r w:rsidR="006F031E" w:rsidRPr="006F031E">
              <w:rPr>
                <w:rFonts w:ascii="Times New Roman" w:hAnsi="Times New Roman"/>
                <w:noProof/>
                <w:webHidden/>
                <w:sz w:val="24"/>
                <w:szCs w:val="24"/>
              </w:rPr>
              <w:t>3</w:t>
            </w:r>
            <w:r w:rsidR="006F031E" w:rsidRPr="006F031E">
              <w:rPr>
                <w:rFonts w:ascii="Times New Roman" w:hAnsi="Times New Roman"/>
                <w:noProof/>
                <w:webHidden/>
                <w:sz w:val="24"/>
                <w:szCs w:val="24"/>
              </w:rPr>
              <w:fldChar w:fldCharType="end"/>
            </w:r>
          </w:hyperlink>
        </w:p>
        <w:p w14:paraId="1AB15369" w14:textId="77777777" w:rsidR="006F031E" w:rsidRPr="006F031E" w:rsidRDefault="00037CA7">
          <w:pPr>
            <w:pStyle w:val="TOC1"/>
            <w:rPr>
              <w:rFonts w:ascii="Times New Roman" w:eastAsiaTheme="minorEastAsia" w:hAnsi="Times New Roman"/>
              <w:noProof/>
              <w:sz w:val="24"/>
              <w:szCs w:val="24"/>
              <w:lang w:eastAsia="lv-LV"/>
            </w:rPr>
          </w:pPr>
          <w:hyperlink w:anchor="_Toc9326560" w:history="1">
            <w:r w:rsidR="006F031E" w:rsidRPr="006F031E">
              <w:rPr>
                <w:rStyle w:val="Hyperlink"/>
                <w:rFonts w:ascii="Times New Roman" w:hAnsi="Times New Roman"/>
                <w:noProof/>
                <w:sz w:val="24"/>
                <w:szCs w:val="24"/>
              </w:rPr>
              <w:t>2.</w:t>
            </w:r>
            <w:r w:rsidR="006F031E" w:rsidRPr="006F031E">
              <w:rPr>
                <w:rFonts w:ascii="Times New Roman" w:eastAsiaTheme="minorEastAsia" w:hAnsi="Times New Roman"/>
                <w:noProof/>
                <w:sz w:val="24"/>
                <w:szCs w:val="24"/>
                <w:lang w:eastAsia="lv-LV"/>
              </w:rPr>
              <w:tab/>
            </w:r>
            <w:r w:rsidR="006F031E" w:rsidRPr="006F031E">
              <w:rPr>
                <w:rStyle w:val="Hyperlink"/>
                <w:rFonts w:ascii="Times New Roman" w:hAnsi="Times New Roman"/>
                <w:noProof/>
                <w:sz w:val="24"/>
                <w:szCs w:val="24"/>
              </w:rPr>
              <w:t>LATVIJAS SEG MĒRĶI</w:t>
            </w:r>
            <w:r w:rsidR="006F031E" w:rsidRPr="006F031E">
              <w:rPr>
                <w:rFonts w:ascii="Times New Roman" w:hAnsi="Times New Roman"/>
                <w:noProof/>
                <w:webHidden/>
                <w:sz w:val="24"/>
                <w:szCs w:val="24"/>
              </w:rPr>
              <w:tab/>
            </w:r>
            <w:r w:rsidR="006F031E" w:rsidRPr="006F031E">
              <w:rPr>
                <w:rFonts w:ascii="Times New Roman" w:hAnsi="Times New Roman"/>
                <w:noProof/>
                <w:webHidden/>
                <w:sz w:val="24"/>
                <w:szCs w:val="24"/>
              </w:rPr>
              <w:fldChar w:fldCharType="begin"/>
            </w:r>
            <w:r w:rsidR="006F031E" w:rsidRPr="006F031E">
              <w:rPr>
                <w:rFonts w:ascii="Times New Roman" w:hAnsi="Times New Roman"/>
                <w:noProof/>
                <w:webHidden/>
                <w:sz w:val="24"/>
                <w:szCs w:val="24"/>
              </w:rPr>
              <w:instrText xml:space="preserve"> PAGEREF _Toc9326560 \h </w:instrText>
            </w:r>
            <w:r w:rsidR="006F031E" w:rsidRPr="006F031E">
              <w:rPr>
                <w:rFonts w:ascii="Times New Roman" w:hAnsi="Times New Roman"/>
                <w:noProof/>
                <w:webHidden/>
                <w:sz w:val="24"/>
                <w:szCs w:val="24"/>
              </w:rPr>
            </w:r>
            <w:r w:rsidR="006F031E" w:rsidRPr="006F031E">
              <w:rPr>
                <w:rFonts w:ascii="Times New Roman" w:hAnsi="Times New Roman"/>
                <w:noProof/>
                <w:webHidden/>
                <w:sz w:val="24"/>
                <w:szCs w:val="24"/>
              </w:rPr>
              <w:fldChar w:fldCharType="separate"/>
            </w:r>
            <w:r w:rsidR="006F031E" w:rsidRPr="006F031E">
              <w:rPr>
                <w:rFonts w:ascii="Times New Roman" w:hAnsi="Times New Roman"/>
                <w:noProof/>
                <w:webHidden/>
                <w:sz w:val="24"/>
                <w:szCs w:val="24"/>
              </w:rPr>
              <w:t>4</w:t>
            </w:r>
            <w:r w:rsidR="006F031E" w:rsidRPr="006F031E">
              <w:rPr>
                <w:rFonts w:ascii="Times New Roman" w:hAnsi="Times New Roman"/>
                <w:noProof/>
                <w:webHidden/>
                <w:sz w:val="24"/>
                <w:szCs w:val="24"/>
              </w:rPr>
              <w:fldChar w:fldCharType="end"/>
            </w:r>
          </w:hyperlink>
        </w:p>
        <w:p w14:paraId="1FD998DF" w14:textId="77777777" w:rsidR="006F031E" w:rsidRPr="006F031E" w:rsidRDefault="00037CA7">
          <w:pPr>
            <w:pStyle w:val="TOC1"/>
            <w:rPr>
              <w:rFonts w:ascii="Times New Roman" w:eastAsiaTheme="minorEastAsia" w:hAnsi="Times New Roman"/>
              <w:noProof/>
              <w:sz w:val="24"/>
              <w:szCs w:val="24"/>
              <w:lang w:eastAsia="lv-LV"/>
            </w:rPr>
          </w:pPr>
          <w:hyperlink w:anchor="_Toc9326561" w:history="1">
            <w:r w:rsidR="006F031E" w:rsidRPr="006F031E">
              <w:rPr>
                <w:rStyle w:val="Hyperlink"/>
                <w:rFonts w:ascii="Times New Roman" w:hAnsi="Times New Roman"/>
                <w:noProof/>
                <w:sz w:val="24"/>
                <w:szCs w:val="24"/>
              </w:rPr>
              <w:t>3.</w:t>
            </w:r>
            <w:r w:rsidR="006F031E" w:rsidRPr="006F031E">
              <w:rPr>
                <w:rFonts w:ascii="Times New Roman" w:eastAsiaTheme="minorEastAsia" w:hAnsi="Times New Roman"/>
                <w:noProof/>
                <w:sz w:val="24"/>
                <w:szCs w:val="24"/>
                <w:lang w:eastAsia="lv-LV"/>
              </w:rPr>
              <w:tab/>
            </w:r>
            <w:r w:rsidR="006F031E" w:rsidRPr="006F031E">
              <w:rPr>
                <w:rStyle w:val="Hyperlink"/>
                <w:rFonts w:ascii="Times New Roman" w:hAnsi="Times New Roman"/>
                <w:noProof/>
                <w:sz w:val="24"/>
                <w:szCs w:val="24"/>
              </w:rPr>
              <w:t>SEG MĒRĶU IZPILDES NOVĒRTĒJUMA METODISKĀ PIEEJA</w:t>
            </w:r>
            <w:r w:rsidR="006F031E" w:rsidRPr="006F031E">
              <w:rPr>
                <w:rFonts w:ascii="Times New Roman" w:hAnsi="Times New Roman"/>
                <w:noProof/>
                <w:webHidden/>
                <w:sz w:val="24"/>
                <w:szCs w:val="24"/>
              </w:rPr>
              <w:tab/>
            </w:r>
            <w:r w:rsidR="006F031E" w:rsidRPr="006F031E">
              <w:rPr>
                <w:rFonts w:ascii="Times New Roman" w:hAnsi="Times New Roman"/>
                <w:noProof/>
                <w:webHidden/>
                <w:sz w:val="24"/>
                <w:szCs w:val="24"/>
              </w:rPr>
              <w:fldChar w:fldCharType="begin"/>
            </w:r>
            <w:r w:rsidR="006F031E" w:rsidRPr="006F031E">
              <w:rPr>
                <w:rFonts w:ascii="Times New Roman" w:hAnsi="Times New Roman"/>
                <w:noProof/>
                <w:webHidden/>
                <w:sz w:val="24"/>
                <w:szCs w:val="24"/>
              </w:rPr>
              <w:instrText xml:space="preserve"> PAGEREF _Toc9326561 \h </w:instrText>
            </w:r>
            <w:r w:rsidR="006F031E" w:rsidRPr="006F031E">
              <w:rPr>
                <w:rFonts w:ascii="Times New Roman" w:hAnsi="Times New Roman"/>
                <w:noProof/>
                <w:webHidden/>
                <w:sz w:val="24"/>
                <w:szCs w:val="24"/>
              </w:rPr>
            </w:r>
            <w:r w:rsidR="006F031E" w:rsidRPr="006F031E">
              <w:rPr>
                <w:rFonts w:ascii="Times New Roman" w:hAnsi="Times New Roman"/>
                <w:noProof/>
                <w:webHidden/>
                <w:sz w:val="24"/>
                <w:szCs w:val="24"/>
              </w:rPr>
              <w:fldChar w:fldCharType="separate"/>
            </w:r>
            <w:r w:rsidR="006F031E" w:rsidRPr="006F031E">
              <w:rPr>
                <w:rFonts w:ascii="Times New Roman" w:hAnsi="Times New Roman"/>
                <w:noProof/>
                <w:webHidden/>
                <w:sz w:val="24"/>
                <w:szCs w:val="24"/>
              </w:rPr>
              <w:t>6</w:t>
            </w:r>
            <w:r w:rsidR="006F031E" w:rsidRPr="006F031E">
              <w:rPr>
                <w:rFonts w:ascii="Times New Roman" w:hAnsi="Times New Roman"/>
                <w:noProof/>
                <w:webHidden/>
                <w:sz w:val="24"/>
                <w:szCs w:val="24"/>
              </w:rPr>
              <w:fldChar w:fldCharType="end"/>
            </w:r>
          </w:hyperlink>
        </w:p>
        <w:p w14:paraId="79CA5F8D" w14:textId="77777777" w:rsidR="006F031E" w:rsidRPr="006F031E" w:rsidRDefault="00037CA7">
          <w:pPr>
            <w:pStyle w:val="TOC2"/>
            <w:rPr>
              <w:rFonts w:ascii="Times New Roman" w:eastAsiaTheme="minorEastAsia" w:hAnsi="Times New Roman"/>
              <w:noProof/>
              <w:sz w:val="24"/>
              <w:szCs w:val="24"/>
              <w:lang w:eastAsia="lv-LV"/>
            </w:rPr>
          </w:pPr>
          <w:hyperlink w:anchor="_Toc9326562" w:history="1">
            <w:r w:rsidR="006F031E" w:rsidRPr="006F031E">
              <w:rPr>
                <w:rStyle w:val="Hyperlink"/>
                <w:rFonts w:ascii="Times New Roman" w:hAnsi="Times New Roman"/>
                <w:noProof/>
                <w:sz w:val="24"/>
                <w:szCs w:val="24"/>
              </w:rPr>
              <w:t>3.1.</w:t>
            </w:r>
            <w:r w:rsidR="006F031E" w:rsidRPr="006F031E">
              <w:rPr>
                <w:rFonts w:ascii="Times New Roman" w:eastAsiaTheme="minorEastAsia" w:hAnsi="Times New Roman"/>
                <w:noProof/>
                <w:sz w:val="24"/>
                <w:szCs w:val="24"/>
                <w:lang w:eastAsia="lv-LV"/>
              </w:rPr>
              <w:tab/>
            </w:r>
            <w:r w:rsidR="006F031E" w:rsidRPr="006F031E">
              <w:rPr>
                <w:rStyle w:val="Hyperlink"/>
                <w:rFonts w:ascii="Times New Roman" w:hAnsi="Times New Roman"/>
                <w:noProof/>
                <w:sz w:val="24"/>
                <w:szCs w:val="24"/>
              </w:rPr>
              <w:t>SEG mērķu izpildes vēsturiskā progresa novērtēšanas metodoloģija</w:t>
            </w:r>
            <w:r w:rsidR="006F031E" w:rsidRPr="006F031E">
              <w:rPr>
                <w:rFonts w:ascii="Times New Roman" w:hAnsi="Times New Roman"/>
                <w:noProof/>
                <w:webHidden/>
                <w:sz w:val="24"/>
                <w:szCs w:val="24"/>
              </w:rPr>
              <w:tab/>
            </w:r>
            <w:r w:rsidR="006F031E" w:rsidRPr="006F031E">
              <w:rPr>
                <w:rFonts w:ascii="Times New Roman" w:hAnsi="Times New Roman"/>
                <w:noProof/>
                <w:webHidden/>
                <w:sz w:val="24"/>
                <w:szCs w:val="24"/>
              </w:rPr>
              <w:fldChar w:fldCharType="begin"/>
            </w:r>
            <w:r w:rsidR="006F031E" w:rsidRPr="006F031E">
              <w:rPr>
                <w:rFonts w:ascii="Times New Roman" w:hAnsi="Times New Roman"/>
                <w:noProof/>
                <w:webHidden/>
                <w:sz w:val="24"/>
                <w:szCs w:val="24"/>
              </w:rPr>
              <w:instrText xml:space="preserve"> PAGEREF _Toc9326562 \h </w:instrText>
            </w:r>
            <w:r w:rsidR="006F031E" w:rsidRPr="006F031E">
              <w:rPr>
                <w:rFonts w:ascii="Times New Roman" w:hAnsi="Times New Roman"/>
                <w:noProof/>
                <w:webHidden/>
                <w:sz w:val="24"/>
                <w:szCs w:val="24"/>
              </w:rPr>
            </w:r>
            <w:r w:rsidR="006F031E" w:rsidRPr="006F031E">
              <w:rPr>
                <w:rFonts w:ascii="Times New Roman" w:hAnsi="Times New Roman"/>
                <w:noProof/>
                <w:webHidden/>
                <w:sz w:val="24"/>
                <w:szCs w:val="24"/>
              </w:rPr>
              <w:fldChar w:fldCharType="separate"/>
            </w:r>
            <w:r w:rsidR="006F031E" w:rsidRPr="006F031E">
              <w:rPr>
                <w:rFonts w:ascii="Times New Roman" w:hAnsi="Times New Roman"/>
                <w:noProof/>
                <w:webHidden/>
                <w:sz w:val="24"/>
                <w:szCs w:val="24"/>
              </w:rPr>
              <w:t>6</w:t>
            </w:r>
            <w:r w:rsidR="006F031E" w:rsidRPr="006F031E">
              <w:rPr>
                <w:rFonts w:ascii="Times New Roman" w:hAnsi="Times New Roman"/>
                <w:noProof/>
                <w:webHidden/>
                <w:sz w:val="24"/>
                <w:szCs w:val="24"/>
              </w:rPr>
              <w:fldChar w:fldCharType="end"/>
            </w:r>
          </w:hyperlink>
        </w:p>
        <w:p w14:paraId="63C09B6F" w14:textId="77777777" w:rsidR="006F031E" w:rsidRPr="006F031E" w:rsidRDefault="00037CA7">
          <w:pPr>
            <w:pStyle w:val="TOC2"/>
            <w:rPr>
              <w:rFonts w:ascii="Times New Roman" w:eastAsiaTheme="minorEastAsia" w:hAnsi="Times New Roman"/>
              <w:noProof/>
              <w:sz w:val="24"/>
              <w:szCs w:val="24"/>
              <w:lang w:eastAsia="lv-LV"/>
            </w:rPr>
          </w:pPr>
          <w:hyperlink w:anchor="_Toc9326563" w:history="1">
            <w:r w:rsidR="006F031E" w:rsidRPr="006F031E">
              <w:rPr>
                <w:rStyle w:val="Hyperlink"/>
                <w:rFonts w:ascii="Times New Roman" w:hAnsi="Times New Roman"/>
                <w:noProof/>
                <w:sz w:val="24"/>
                <w:szCs w:val="24"/>
              </w:rPr>
              <w:t>3.2.</w:t>
            </w:r>
            <w:r w:rsidR="006F031E" w:rsidRPr="006F031E">
              <w:rPr>
                <w:rFonts w:ascii="Times New Roman" w:eastAsiaTheme="minorEastAsia" w:hAnsi="Times New Roman"/>
                <w:noProof/>
                <w:sz w:val="24"/>
                <w:szCs w:val="24"/>
                <w:lang w:eastAsia="lv-LV"/>
              </w:rPr>
              <w:tab/>
            </w:r>
            <w:r w:rsidR="006F031E" w:rsidRPr="006F031E">
              <w:rPr>
                <w:rStyle w:val="Hyperlink"/>
                <w:rFonts w:ascii="Times New Roman" w:hAnsi="Times New Roman"/>
                <w:noProof/>
                <w:sz w:val="24"/>
                <w:szCs w:val="24"/>
              </w:rPr>
              <w:t>SEG emisiju samazināšanas un ZIZIMM sektorā noteiktu kategoriju mērķu izpildes nākotnes prognožu sagatavošanas metodoloģija</w:t>
            </w:r>
            <w:r w:rsidR="006F031E" w:rsidRPr="006F031E">
              <w:rPr>
                <w:rFonts w:ascii="Times New Roman" w:hAnsi="Times New Roman"/>
                <w:noProof/>
                <w:webHidden/>
                <w:sz w:val="24"/>
                <w:szCs w:val="24"/>
              </w:rPr>
              <w:tab/>
            </w:r>
            <w:r w:rsidR="006F031E" w:rsidRPr="006F031E">
              <w:rPr>
                <w:rFonts w:ascii="Times New Roman" w:hAnsi="Times New Roman"/>
                <w:noProof/>
                <w:webHidden/>
                <w:sz w:val="24"/>
                <w:szCs w:val="24"/>
              </w:rPr>
              <w:fldChar w:fldCharType="begin"/>
            </w:r>
            <w:r w:rsidR="006F031E" w:rsidRPr="006F031E">
              <w:rPr>
                <w:rFonts w:ascii="Times New Roman" w:hAnsi="Times New Roman"/>
                <w:noProof/>
                <w:webHidden/>
                <w:sz w:val="24"/>
                <w:szCs w:val="24"/>
              </w:rPr>
              <w:instrText xml:space="preserve"> PAGEREF _Toc9326563 \h </w:instrText>
            </w:r>
            <w:r w:rsidR="006F031E" w:rsidRPr="006F031E">
              <w:rPr>
                <w:rFonts w:ascii="Times New Roman" w:hAnsi="Times New Roman"/>
                <w:noProof/>
                <w:webHidden/>
                <w:sz w:val="24"/>
                <w:szCs w:val="24"/>
              </w:rPr>
            </w:r>
            <w:r w:rsidR="006F031E" w:rsidRPr="006F031E">
              <w:rPr>
                <w:rFonts w:ascii="Times New Roman" w:hAnsi="Times New Roman"/>
                <w:noProof/>
                <w:webHidden/>
                <w:sz w:val="24"/>
                <w:szCs w:val="24"/>
              </w:rPr>
              <w:fldChar w:fldCharType="separate"/>
            </w:r>
            <w:r w:rsidR="006F031E" w:rsidRPr="006F031E">
              <w:rPr>
                <w:rFonts w:ascii="Times New Roman" w:hAnsi="Times New Roman"/>
                <w:noProof/>
                <w:webHidden/>
                <w:sz w:val="24"/>
                <w:szCs w:val="24"/>
              </w:rPr>
              <w:t>7</w:t>
            </w:r>
            <w:r w:rsidR="006F031E" w:rsidRPr="006F031E">
              <w:rPr>
                <w:rFonts w:ascii="Times New Roman" w:hAnsi="Times New Roman"/>
                <w:noProof/>
                <w:webHidden/>
                <w:sz w:val="24"/>
                <w:szCs w:val="24"/>
              </w:rPr>
              <w:fldChar w:fldCharType="end"/>
            </w:r>
          </w:hyperlink>
        </w:p>
        <w:p w14:paraId="6F17CADC" w14:textId="77777777" w:rsidR="006F031E" w:rsidRPr="006F031E" w:rsidRDefault="00037CA7">
          <w:pPr>
            <w:pStyle w:val="TOC1"/>
            <w:rPr>
              <w:rFonts w:ascii="Times New Roman" w:eastAsiaTheme="minorEastAsia" w:hAnsi="Times New Roman"/>
              <w:noProof/>
              <w:sz w:val="24"/>
              <w:szCs w:val="24"/>
              <w:lang w:eastAsia="lv-LV"/>
            </w:rPr>
          </w:pPr>
          <w:hyperlink w:anchor="_Toc9326564" w:history="1">
            <w:r w:rsidR="006F031E" w:rsidRPr="006F031E">
              <w:rPr>
                <w:rStyle w:val="Hyperlink"/>
                <w:rFonts w:ascii="Times New Roman" w:hAnsi="Times New Roman"/>
                <w:noProof/>
                <w:sz w:val="24"/>
                <w:szCs w:val="24"/>
              </w:rPr>
              <w:t>4.</w:t>
            </w:r>
            <w:r w:rsidR="006F031E" w:rsidRPr="006F031E">
              <w:rPr>
                <w:rFonts w:ascii="Times New Roman" w:eastAsiaTheme="minorEastAsia" w:hAnsi="Times New Roman"/>
                <w:noProof/>
                <w:sz w:val="24"/>
                <w:szCs w:val="24"/>
                <w:lang w:eastAsia="lv-LV"/>
              </w:rPr>
              <w:tab/>
            </w:r>
            <w:r w:rsidR="006F031E" w:rsidRPr="006F031E">
              <w:rPr>
                <w:rStyle w:val="Hyperlink"/>
                <w:rFonts w:ascii="Times New Roman" w:hAnsi="Times New Roman"/>
                <w:noProof/>
                <w:sz w:val="24"/>
                <w:szCs w:val="24"/>
              </w:rPr>
              <w:t>SEG EMISIJU SAMAZINĀŠANAS MĒRĶU IZPILDE</w:t>
            </w:r>
            <w:r w:rsidR="006F031E" w:rsidRPr="006F031E">
              <w:rPr>
                <w:rFonts w:ascii="Times New Roman" w:hAnsi="Times New Roman"/>
                <w:noProof/>
                <w:webHidden/>
                <w:sz w:val="24"/>
                <w:szCs w:val="24"/>
              </w:rPr>
              <w:tab/>
            </w:r>
            <w:r w:rsidR="006F031E" w:rsidRPr="006F031E">
              <w:rPr>
                <w:rFonts w:ascii="Times New Roman" w:hAnsi="Times New Roman"/>
                <w:noProof/>
                <w:webHidden/>
                <w:sz w:val="24"/>
                <w:szCs w:val="24"/>
              </w:rPr>
              <w:fldChar w:fldCharType="begin"/>
            </w:r>
            <w:r w:rsidR="006F031E" w:rsidRPr="006F031E">
              <w:rPr>
                <w:rFonts w:ascii="Times New Roman" w:hAnsi="Times New Roman"/>
                <w:noProof/>
                <w:webHidden/>
                <w:sz w:val="24"/>
                <w:szCs w:val="24"/>
              </w:rPr>
              <w:instrText xml:space="preserve"> PAGEREF _Toc9326564 \h </w:instrText>
            </w:r>
            <w:r w:rsidR="006F031E" w:rsidRPr="006F031E">
              <w:rPr>
                <w:rFonts w:ascii="Times New Roman" w:hAnsi="Times New Roman"/>
                <w:noProof/>
                <w:webHidden/>
                <w:sz w:val="24"/>
                <w:szCs w:val="24"/>
              </w:rPr>
            </w:r>
            <w:r w:rsidR="006F031E" w:rsidRPr="006F031E">
              <w:rPr>
                <w:rFonts w:ascii="Times New Roman" w:hAnsi="Times New Roman"/>
                <w:noProof/>
                <w:webHidden/>
                <w:sz w:val="24"/>
                <w:szCs w:val="24"/>
              </w:rPr>
              <w:fldChar w:fldCharType="separate"/>
            </w:r>
            <w:r w:rsidR="006F031E" w:rsidRPr="006F031E">
              <w:rPr>
                <w:rFonts w:ascii="Times New Roman" w:hAnsi="Times New Roman"/>
                <w:noProof/>
                <w:webHidden/>
                <w:sz w:val="24"/>
                <w:szCs w:val="24"/>
              </w:rPr>
              <w:t>9</w:t>
            </w:r>
            <w:r w:rsidR="006F031E" w:rsidRPr="006F031E">
              <w:rPr>
                <w:rFonts w:ascii="Times New Roman" w:hAnsi="Times New Roman"/>
                <w:noProof/>
                <w:webHidden/>
                <w:sz w:val="24"/>
                <w:szCs w:val="24"/>
              </w:rPr>
              <w:fldChar w:fldCharType="end"/>
            </w:r>
          </w:hyperlink>
        </w:p>
        <w:p w14:paraId="7ECE5C72" w14:textId="77777777" w:rsidR="006F031E" w:rsidRPr="006F031E" w:rsidRDefault="00037CA7">
          <w:pPr>
            <w:pStyle w:val="TOC2"/>
            <w:rPr>
              <w:rFonts w:ascii="Times New Roman" w:eastAsiaTheme="minorEastAsia" w:hAnsi="Times New Roman"/>
              <w:noProof/>
              <w:sz w:val="24"/>
              <w:szCs w:val="24"/>
              <w:lang w:eastAsia="lv-LV"/>
            </w:rPr>
          </w:pPr>
          <w:hyperlink w:anchor="_Toc9326565" w:history="1">
            <w:r w:rsidR="006F031E" w:rsidRPr="006F031E">
              <w:rPr>
                <w:rStyle w:val="Hyperlink"/>
                <w:rFonts w:ascii="Times New Roman" w:hAnsi="Times New Roman"/>
                <w:noProof/>
                <w:sz w:val="24"/>
                <w:szCs w:val="24"/>
              </w:rPr>
              <w:t>4.1.</w:t>
            </w:r>
            <w:r w:rsidR="006F031E" w:rsidRPr="006F031E">
              <w:rPr>
                <w:rFonts w:ascii="Times New Roman" w:eastAsiaTheme="minorEastAsia" w:hAnsi="Times New Roman"/>
                <w:noProof/>
                <w:sz w:val="24"/>
                <w:szCs w:val="24"/>
                <w:lang w:eastAsia="lv-LV"/>
              </w:rPr>
              <w:tab/>
            </w:r>
            <w:r w:rsidR="006F031E" w:rsidRPr="006F031E">
              <w:rPr>
                <w:rStyle w:val="Hyperlink"/>
                <w:rFonts w:ascii="Times New Roman" w:hAnsi="Times New Roman"/>
                <w:noProof/>
                <w:sz w:val="24"/>
                <w:szCs w:val="24"/>
              </w:rPr>
              <w:t>SEG emisiju samazināšanas mērķa izpildes progresa novērtējums</w:t>
            </w:r>
            <w:r w:rsidR="006F031E" w:rsidRPr="006F031E">
              <w:rPr>
                <w:rFonts w:ascii="Times New Roman" w:hAnsi="Times New Roman"/>
                <w:noProof/>
                <w:webHidden/>
                <w:sz w:val="24"/>
                <w:szCs w:val="24"/>
              </w:rPr>
              <w:tab/>
            </w:r>
            <w:r w:rsidR="006F031E" w:rsidRPr="006F031E">
              <w:rPr>
                <w:rFonts w:ascii="Times New Roman" w:hAnsi="Times New Roman"/>
                <w:noProof/>
                <w:webHidden/>
                <w:sz w:val="24"/>
                <w:szCs w:val="24"/>
              </w:rPr>
              <w:fldChar w:fldCharType="begin"/>
            </w:r>
            <w:r w:rsidR="006F031E" w:rsidRPr="006F031E">
              <w:rPr>
                <w:rFonts w:ascii="Times New Roman" w:hAnsi="Times New Roman"/>
                <w:noProof/>
                <w:webHidden/>
                <w:sz w:val="24"/>
                <w:szCs w:val="24"/>
              </w:rPr>
              <w:instrText xml:space="preserve"> PAGEREF _Toc9326565 \h </w:instrText>
            </w:r>
            <w:r w:rsidR="006F031E" w:rsidRPr="006F031E">
              <w:rPr>
                <w:rFonts w:ascii="Times New Roman" w:hAnsi="Times New Roman"/>
                <w:noProof/>
                <w:webHidden/>
                <w:sz w:val="24"/>
                <w:szCs w:val="24"/>
              </w:rPr>
            </w:r>
            <w:r w:rsidR="006F031E" w:rsidRPr="006F031E">
              <w:rPr>
                <w:rFonts w:ascii="Times New Roman" w:hAnsi="Times New Roman"/>
                <w:noProof/>
                <w:webHidden/>
                <w:sz w:val="24"/>
                <w:szCs w:val="24"/>
              </w:rPr>
              <w:fldChar w:fldCharType="separate"/>
            </w:r>
            <w:r w:rsidR="006F031E" w:rsidRPr="006F031E">
              <w:rPr>
                <w:rFonts w:ascii="Times New Roman" w:hAnsi="Times New Roman"/>
                <w:noProof/>
                <w:webHidden/>
                <w:sz w:val="24"/>
                <w:szCs w:val="24"/>
              </w:rPr>
              <w:t>9</w:t>
            </w:r>
            <w:r w:rsidR="006F031E" w:rsidRPr="006F031E">
              <w:rPr>
                <w:rFonts w:ascii="Times New Roman" w:hAnsi="Times New Roman"/>
                <w:noProof/>
                <w:webHidden/>
                <w:sz w:val="24"/>
                <w:szCs w:val="24"/>
              </w:rPr>
              <w:fldChar w:fldCharType="end"/>
            </w:r>
          </w:hyperlink>
        </w:p>
        <w:p w14:paraId="4DBD6B70" w14:textId="77777777" w:rsidR="006F031E" w:rsidRPr="006F031E" w:rsidRDefault="00037CA7">
          <w:pPr>
            <w:pStyle w:val="TOC2"/>
            <w:rPr>
              <w:rFonts w:ascii="Times New Roman" w:eastAsiaTheme="minorEastAsia" w:hAnsi="Times New Roman"/>
              <w:noProof/>
              <w:sz w:val="24"/>
              <w:szCs w:val="24"/>
              <w:lang w:eastAsia="lv-LV"/>
            </w:rPr>
          </w:pPr>
          <w:hyperlink w:anchor="_Toc9326566" w:history="1">
            <w:r w:rsidR="006F031E" w:rsidRPr="006F031E">
              <w:rPr>
                <w:rStyle w:val="Hyperlink"/>
                <w:rFonts w:ascii="Times New Roman" w:hAnsi="Times New Roman"/>
                <w:noProof/>
                <w:sz w:val="24"/>
                <w:szCs w:val="24"/>
              </w:rPr>
              <w:t>4.2.</w:t>
            </w:r>
            <w:r w:rsidR="006F031E" w:rsidRPr="006F031E">
              <w:rPr>
                <w:rFonts w:ascii="Times New Roman" w:eastAsiaTheme="minorEastAsia" w:hAnsi="Times New Roman"/>
                <w:noProof/>
                <w:sz w:val="24"/>
                <w:szCs w:val="24"/>
                <w:lang w:eastAsia="lv-LV"/>
              </w:rPr>
              <w:tab/>
            </w:r>
            <w:r w:rsidR="006F031E" w:rsidRPr="006F031E">
              <w:rPr>
                <w:rStyle w:val="Hyperlink"/>
                <w:rFonts w:ascii="Times New Roman" w:hAnsi="Times New Roman"/>
                <w:noProof/>
                <w:sz w:val="24"/>
                <w:szCs w:val="24"/>
              </w:rPr>
              <w:t>SEG emisiju samazināšanas mērķa izpildei nepieciešamie papildus pasākumi</w:t>
            </w:r>
            <w:r w:rsidR="006F031E" w:rsidRPr="006F031E">
              <w:rPr>
                <w:rFonts w:ascii="Times New Roman" w:hAnsi="Times New Roman"/>
                <w:noProof/>
                <w:webHidden/>
                <w:sz w:val="24"/>
                <w:szCs w:val="24"/>
              </w:rPr>
              <w:tab/>
            </w:r>
            <w:r w:rsidR="006F031E" w:rsidRPr="006F031E">
              <w:rPr>
                <w:rFonts w:ascii="Times New Roman" w:hAnsi="Times New Roman"/>
                <w:noProof/>
                <w:webHidden/>
                <w:sz w:val="24"/>
                <w:szCs w:val="24"/>
              </w:rPr>
              <w:fldChar w:fldCharType="begin"/>
            </w:r>
            <w:r w:rsidR="006F031E" w:rsidRPr="006F031E">
              <w:rPr>
                <w:rFonts w:ascii="Times New Roman" w:hAnsi="Times New Roman"/>
                <w:noProof/>
                <w:webHidden/>
                <w:sz w:val="24"/>
                <w:szCs w:val="24"/>
              </w:rPr>
              <w:instrText xml:space="preserve"> PAGEREF _Toc9326566 \h </w:instrText>
            </w:r>
            <w:r w:rsidR="006F031E" w:rsidRPr="006F031E">
              <w:rPr>
                <w:rFonts w:ascii="Times New Roman" w:hAnsi="Times New Roman"/>
                <w:noProof/>
                <w:webHidden/>
                <w:sz w:val="24"/>
                <w:szCs w:val="24"/>
              </w:rPr>
            </w:r>
            <w:r w:rsidR="006F031E" w:rsidRPr="006F031E">
              <w:rPr>
                <w:rFonts w:ascii="Times New Roman" w:hAnsi="Times New Roman"/>
                <w:noProof/>
                <w:webHidden/>
                <w:sz w:val="24"/>
                <w:szCs w:val="24"/>
              </w:rPr>
              <w:fldChar w:fldCharType="separate"/>
            </w:r>
            <w:r w:rsidR="006F031E" w:rsidRPr="006F031E">
              <w:rPr>
                <w:rFonts w:ascii="Times New Roman" w:hAnsi="Times New Roman"/>
                <w:noProof/>
                <w:webHidden/>
                <w:sz w:val="24"/>
                <w:szCs w:val="24"/>
              </w:rPr>
              <w:t>12</w:t>
            </w:r>
            <w:r w:rsidR="006F031E" w:rsidRPr="006F031E">
              <w:rPr>
                <w:rFonts w:ascii="Times New Roman" w:hAnsi="Times New Roman"/>
                <w:noProof/>
                <w:webHidden/>
                <w:sz w:val="24"/>
                <w:szCs w:val="24"/>
              </w:rPr>
              <w:fldChar w:fldCharType="end"/>
            </w:r>
          </w:hyperlink>
        </w:p>
        <w:p w14:paraId="76CF826C" w14:textId="77777777" w:rsidR="006F031E" w:rsidRPr="006F031E" w:rsidRDefault="00037CA7">
          <w:pPr>
            <w:pStyle w:val="TOC1"/>
            <w:rPr>
              <w:rFonts w:ascii="Times New Roman" w:eastAsiaTheme="minorEastAsia" w:hAnsi="Times New Roman"/>
              <w:noProof/>
              <w:sz w:val="24"/>
              <w:szCs w:val="24"/>
              <w:lang w:eastAsia="lv-LV"/>
            </w:rPr>
          </w:pPr>
          <w:hyperlink w:anchor="_Toc9326567" w:history="1">
            <w:r w:rsidR="006F031E" w:rsidRPr="006F031E">
              <w:rPr>
                <w:rStyle w:val="Hyperlink"/>
                <w:rFonts w:ascii="Times New Roman" w:hAnsi="Times New Roman"/>
                <w:noProof/>
                <w:sz w:val="24"/>
                <w:szCs w:val="24"/>
              </w:rPr>
              <w:t>5.</w:t>
            </w:r>
            <w:r w:rsidR="006F031E" w:rsidRPr="006F031E">
              <w:rPr>
                <w:rFonts w:ascii="Times New Roman" w:eastAsiaTheme="minorEastAsia" w:hAnsi="Times New Roman"/>
                <w:noProof/>
                <w:sz w:val="24"/>
                <w:szCs w:val="24"/>
                <w:lang w:eastAsia="lv-LV"/>
              </w:rPr>
              <w:tab/>
            </w:r>
            <w:r w:rsidR="006F031E" w:rsidRPr="006F031E">
              <w:rPr>
                <w:rStyle w:val="Hyperlink"/>
                <w:rFonts w:ascii="Times New Roman" w:hAnsi="Times New Roman"/>
                <w:noProof/>
                <w:sz w:val="24"/>
                <w:szCs w:val="24"/>
              </w:rPr>
              <w:t>ZIZIMM SEKTORĀ NOTEIKTO KATEGORIJU MĒRĶU IZPILDE</w:t>
            </w:r>
            <w:r w:rsidR="006F031E" w:rsidRPr="006F031E">
              <w:rPr>
                <w:rFonts w:ascii="Times New Roman" w:hAnsi="Times New Roman"/>
                <w:noProof/>
                <w:webHidden/>
                <w:sz w:val="24"/>
                <w:szCs w:val="24"/>
              </w:rPr>
              <w:tab/>
            </w:r>
            <w:r w:rsidR="006F031E" w:rsidRPr="006F031E">
              <w:rPr>
                <w:rFonts w:ascii="Times New Roman" w:hAnsi="Times New Roman"/>
                <w:noProof/>
                <w:webHidden/>
                <w:sz w:val="24"/>
                <w:szCs w:val="24"/>
              </w:rPr>
              <w:fldChar w:fldCharType="begin"/>
            </w:r>
            <w:r w:rsidR="006F031E" w:rsidRPr="006F031E">
              <w:rPr>
                <w:rFonts w:ascii="Times New Roman" w:hAnsi="Times New Roman"/>
                <w:noProof/>
                <w:webHidden/>
                <w:sz w:val="24"/>
                <w:szCs w:val="24"/>
              </w:rPr>
              <w:instrText xml:space="preserve"> PAGEREF _Toc9326567 \h </w:instrText>
            </w:r>
            <w:r w:rsidR="006F031E" w:rsidRPr="006F031E">
              <w:rPr>
                <w:rFonts w:ascii="Times New Roman" w:hAnsi="Times New Roman"/>
                <w:noProof/>
                <w:webHidden/>
                <w:sz w:val="24"/>
                <w:szCs w:val="24"/>
              </w:rPr>
            </w:r>
            <w:r w:rsidR="006F031E" w:rsidRPr="006F031E">
              <w:rPr>
                <w:rFonts w:ascii="Times New Roman" w:hAnsi="Times New Roman"/>
                <w:noProof/>
                <w:webHidden/>
                <w:sz w:val="24"/>
                <w:szCs w:val="24"/>
              </w:rPr>
              <w:fldChar w:fldCharType="separate"/>
            </w:r>
            <w:r w:rsidR="006F031E" w:rsidRPr="006F031E">
              <w:rPr>
                <w:rFonts w:ascii="Times New Roman" w:hAnsi="Times New Roman"/>
                <w:noProof/>
                <w:webHidden/>
                <w:sz w:val="24"/>
                <w:szCs w:val="24"/>
              </w:rPr>
              <w:t>13</w:t>
            </w:r>
            <w:r w:rsidR="006F031E" w:rsidRPr="006F031E">
              <w:rPr>
                <w:rFonts w:ascii="Times New Roman" w:hAnsi="Times New Roman"/>
                <w:noProof/>
                <w:webHidden/>
                <w:sz w:val="24"/>
                <w:szCs w:val="24"/>
              </w:rPr>
              <w:fldChar w:fldCharType="end"/>
            </w:r>
          </w:hyperlink>
        </w:p>
        <w:p w14:paraId="11CB682B" w14:textId="77777777" w:rsidR="006F031E" w:rsidRPr="006F031E" w:rsidRDefault="00037CA7">
          <w:pPr>
            <w:pStyle w:val="TOC2"/>
            <w:rPr>
              <w:rFonts w:ascii="Times New Roman" w:eastAsiaTheme="minorEastAsia" w:hAnsi="Times New Roman"/>
              <w:noProof/>
              <w:sz w:val="24"/>
              <w:szCs w:val="24"/>
              <w:lang w:eastAsia="lv-LV"/>
            </w:rPr>
          </w:pPr>
          <w:hyperlink w:anchor="_Toc9326568" w:history="1">
            <w:r w:rsidR="006F031E" w:rsidRPr="006F031E">
              <w:rPr>
                <w:rStyle w:val="Hyperlink"/>
                <w:rFonts w:ascii="Times New Roman" w:hAnsi="Times New Roman"/>
                <w:noProof/>
                <w:sz w:val="24"/>
                <w:szCs w:val="24"/>
              </w:rPr>
              <w:t>5.1.</w:t>
            </w:r>
            <w:r w:rsidR="006F031E" w:rsidRPr="006F031E">
              <w:rPr>
                <w:rFonts w:ascii="Times New Roman" w:eastAsiaTheme="minorEastAsia" w:hAnsi="Times New Roman"/>
                <w:noProof/>
                <w:sz w:val="24"/>
                <w:szCs w:val="24"/>
                <w:lang w:eastAsia="lv-LV"/>
              </w:rPr>
              <w:tab/>
            </w:r>
            <w:r w:rsidR="006F031E" w:rsidRPr="006F031E">
              <w:rPr>
                <w:rStyle w:val="Hyperlink"/>
                <w:rFonts w:ascii="Times New Roman" w:hAnsi="Times New Roman"/>
                <w:noProof/>
                <w:sz w:val="24"/>
                <w:szCs w:val="24"/>
              </w:rPr>
              <w:t>ZIZIMM sektorā noteikto kategoriju mērķu izpildes progresa novērtējums</w:t>
            </w:r>
            <w:r w:rsidR="006F031E" w:rsidRPr="006F031E">
              <w:rPr>
                <w:rFonts w:ascii="Times New Roman" w:hAnsi="Times New Roman"/>
                <w:noProof/>
                <w:webHidden/>
                <w:sz w:val="24"/>
                <w:szCs w:val="24"/>
              </w:rPr>
              <w:tab/>
            </w:r>
            <w:r w:rsidR="006F031E" w:rsidRPr="006F031E">
              <w:rPr>
                <w:rFonts w:ascii="Times New Roman" w:hAnsi="Times New Roman"/>
                <w:noProof/>
                <w:webHidden/>
                <w:sz w:val="24"/>
                <w:szCs w:val="24"/>
              </w:rPr>
              <w:fldChar w:fldCharType="begin"/>
            </w:r>
            <w:r w:rsidR="006F031E" w:rsidRPr="006F031E">
              <w:rPr>
                <w:rFonts w:ascii="Times New Roman" w:hAnsi="Times New Roman"/>
                <w:noProof/>
                <w:webHidden/>
                <w:sz w:val="24"/>
                <w:szCs w:val="24"/>
              </w:rPr>
              <w:instrText xml:space="preserve"> PAGEREF _Toc9326568 \h </w:instrText>
            </w:r>
            <w:r w:rsidR="006F031E" w:rsidRPr="006F031E">
              <w:rPr>
                <w:rFonts w:ascii="Times New Roman" w:hAnsi="Times New Roman"/>
                <w:noProof/>
                <w:webHidden/>
                <w:sz w:val="24"/>
                <w:szCs w:val="24"/>
              </w:rPr>
            </w:r>
            <w:r w:rsidR="006F031E" w:rsidRPr="006F031E">
              <w:rPr>
                <w:rFonts w:ascii="Times New Roman" w:hAnsi="Times New Roman"/>
                <w:noProof/>
                <w:webHidden/>
                <w:sz w:val="24"/>
                <w:szCs w:val="24"/>
              </w:rPr>
              <w:fldChar w:fldCharType="separate"/>
            </w:r>
            <w:r w:rsidR="006F031E" w:rsidRPr="006F031E">
              <w:rPr>
                <w:rFonts w:ascii="Times New Roman" w:hAnsi="Times New Roman"/>
                <w:noProof/>
                <w:webHidden/>
                <w:sz w:val="24"/>
                <w:szCs w:val="24"/>
              </w:rPr>
              <w:t>13</w:t>
            </w:r>
            <w:r w:rsidR="006F031E" w:rsidRPr="006F031E">
              <w:rPr>
                <w:rFonts w:ascii="Times New Roman" w:hAnsi="Times New Roman"/>
                <w:noProof/>
                <w:webHidden/>
                <w:sz w:val="24"/>
                <w:szCs w:val="24"/>
              </w:rPr>
              <w:fldChar w:fldCharType="end"/>
            </w:r>
          </w:hyperlink>
        </w:p>
        <w:p w14:paraId="4367E1B5" w14:textId="77777777" w:rsidR="006F031E" w:rsidRPr="006F031E" w:rsidRDefault="00037CA7">
          <w:pPr>
            <w:pStyle w:val="TOC2"/>
            <w:rPr>
              <w:rFonts w:ascii="Times New Roman" w:eastAsiaTheme="minorEastAsia" w:hAnsi="Times New Roman"/>
              <w:noProof/>
              <w:sz w:val="24"/>
              <w:szCs w:val="24"/>
              <w:lang w:eastAsia="lv-LV"/>
            </w:rPr>
          </w:pPr>
          <w:hyperlink w:anchor="_Toc9326569" w:history="1">
            <w:r w:rsidR="006F031E" w:rsidRPr="006F031E">
              <w:rPr>
                <w:rStyle w:val="Hyperlink"/>
                <w:rFonts w:ascii="Times New Roman" w:hAnsi="Times New Roman"/>
                <w:noProof/>
                <w:sz w:val="24"/>
                <w:szCs w:val="24"/>
              </w:rPr>
              <w:t>5.2.</w:t>
            </w:r>
            <w:r w:rsidR="006F031E" w:rsidRPr="006F031E">
              <w:rPr>
                <w:rFonts w:ascii="Times New Roman" w:eastAsiaTheme="minorEastAsia" w:hAnsi="Times New Roman"/>
                <w:noProof/>
                <w:sz w:val="24"/>
                <w:szCs w:val="24"/>
                <w:lang w:eastAsia="lv-LV"/>
              </w:rPr>
              <w:tab/>
            </w:r>
            <w:r w:rsidR="006F031E" w:rsidRPr="006F031E">
              <w:rPr>
                <w:rStyle w:val="Hyperlink"/>
                <w:rFonts w:ascii="Times New Roman" w:hAnsi="Times New Roman"/>
                <w:noProof/>
                <w:sz w:val="24"/>
                <w:szCs w:val="24"/>
              </w:rPr>
              <w:t>ZIZIMM sektorā noteikto kategoriju mērķa izpildei nepieciešamie papildus pasākumi</w:t>
            </w:r>
            <w:r w:rsidR="006F031E" w:rsidRPr="006F031E">
              <w:rPr>
                <w:rFonts w:ascii="Times New Roman" w:hAnsi="Times New Roman"/>
                <w:noProof/>
                <w:webHidden/>
                <w:sz w:val="24"/>
                <w:szCs w:val="24"/>
              </w:rPr>
              <w:tab/>
            </w:r>
            <w:r w:rsidR="006F031E" w:rsidRPr="006F031E">
              <w:rPr>
                <w:rFonts w:ascii="Times New Roman" w:hAnsi="Times New Roman"/>
                <w:noProof/>
                <w:webHidden/>
                <w:sz w:val="24"/>
                <w:szCs w:val="24"/>
              </w:rPr>
              <w:fldChar w:fldCharType="begin"/>
            </w:r>
            <w:r w:rsidR="006F031E" w:rsidRPr="006F031E">
              <w:rPr>
                <w:rFonts w:ascii="Times New Roman" w:hAnsi="Times New Roman"/>
                <w:noProof/>
                <w:webHidden/>
                <w:sz w:val="24"/>
                <w:szCs w:val="24"/>
              </w:rPr>
              <w:instrText xml:space="preserve"> PAGEREF _Toc9326569 \h </w:instrText>
            </w:r>
            <w:r w:rsidR="006F031E" w:rsidRPr="006F031E">
              <w:rPr>
                <w:rFonts w:ascii="Times New Roman" w:hAnsi="Times New Roman"/>
                <w:noProof/>
                <w:webHidden/>
                <w:sz w:val="24"/>
                <w:szCs w:val="24"/>
              </w:rPr>
            </w:r>
            <w:r w:rsidR="006F031E" w:rsidRPr="006F031E">
              <w:rPr>
                <w:rFonts w:ascii="Times New Roman" w:hAnsi="Times New Roman"/>
                <w:noProof/>
                <w:webHidden/>
                <w:sz w:val="24"/>
                <w:szCs w:val="24"/>
              </w:rPr>
              <w:fldChar w:fldCharType="separate"/>
            </w:r>
            <w:r w:rsidR="006F031E" w:rsidRPr="006F031E">
              <w:rPr>
                <w:rFonts w:ascii="Times New Roman" w:hAnsi="Times New Roman"/>
                <w:noProof/>
                <w:webHidden/>
                <w:sz w:val="24"/>
                <w:szCs w:val="24"/>
              </w:rPr>
              <w:t>16</w:t>
            </w:r>
            <w:r w:rsidR="006F031E" w:rsidRPr="006F031E">
              <w:rPr>
                <w:rFonts w:ascii="Times New Roman" w:hAnsi="Times New Roman"/>
                <w:noProof/>
                <w:webHidden/>
                <w:sz w:val="24"/>
                <w:szCs w:val="24"/>
              </w:rPr>
              <w:fldChar w:fldCharType="end"/>
            </w:r>
          </w:hyperlink>
        </w:p>
        <w:p w14:paraId="034ABD6A" w14:textId="77777777" w:rsidR="006F031E" w:rsidRPr="006F031E" w:rsidRDefault="00037CA7">
          <w:pPr>
            <w:pStyle w:val="TOC1"/>
            <w:rPr>
              <w:rFonts w:ascii="Times New Roman" w:eastAsiaTheme="minorEastAsia" w:hAnsi="Times New Roman"/>
              <w:noProof/>
              <w:sz w:val="24"/>
              <w:szCs w:val="24"/>
              <w:lang w:eastAsia="lv-LV"/>
            </w:rPr>
          </w:pPr>
          <w:hyperlink w:anchor="_Toc9326570" w:history="1">
            <w:r w:rsidR="006F031E" w:rsidRPr="006F031E">
              <w:rPr>
                <w:rStyle w:val="Hyperlink"/>
                <w:rFonts w:ascii="Times New Roman" w:hAnsi="Times New Roman"/>
                <w:noProof/>
                <w:sz w:val="24"/>
                <w:szCs w:val="24"/>
              </w:rPr>
              <w:t>6.</w:t>
            </w:r>
            <w:r w:rsidR="006F031E" w:rsidRPr="006F031E">
              <w:rPr>
                <w:rFonts w:ascii="Times New Roman" w:eastAsiaTheme="minorEastAsia" w:hAnsi="Times New Roman"/>
                <w:noProof/>
                <w:sz w:val="24"/>
                <w:szCs w:val="24"/>
                <w:lang w:eastAsia="lv-LV"/>
              </w:rPr>
              <w:tab/>
            </w:r>
            <w:r w:rsidR="006F031E" w:rsidRPr="006F031E">
              <w:rPr>
                <w:rStyle w:val="Hyperlink"/>
                <w:rFonts w:ascii="Times New Roman" w:hAnsi="Times New Roman"/>
                <w:noProof/>
                <w:sz w:val="24"/>
                <w:szCs w:val="24"/>
              </w:rPr>
              <w:t>SECINĀJUMI</w:t>
            </w:r>
            <w:r w:rsidR="006F031E" w:rsidRPr="006F031E">
              <w:rPr>
                <w:rFonts w:ascii="Times New Roman" w:hAnsi="Times New Roman"/>
                <w:noProof/>
                <w:webHidden/>
                <w:sz w:val="24"/>
                <w:szCs w:val="24"/>
              </w:rPr>
              <w:tab/>
            </w:r>
            <w:r w:rsidR="006F031E" w:rsidRPr="006F031E">
              <w:rPr>
                <w:rFonts w:ascii="Times New Roman" w:hAnsi="Times New Roman"/>
                <w:noProof/>
                <w:webHidden/>
                <w:sz w:val="24"/>
                <w:szCs w:val="24"/>
              </w:rPr>
              <w:fldChar w:fldCharType="begin"/>
            </w:r>
            <w:r w:rsidR="006F031E" w:rsidRPr="006F031E">
              <w:rPr>
                <w:rFonts w:ascii="Times New Roman" w:hAnsi="Times New Roman"/>
                <w:noProof/>
                <w:webHidden/>
                <w:sz w:val="24"/>
                <w:szCs w:val="24"/>
              </w:rPr>
              <w:instrText xml:space="preserve"> PAGEREF _Toc9326570 \h </w:instrText>
            </w:r>
            <w:r w:rsidR="006F031E" w:rsidRPr="006F031E">
              <w:rPr>
                <w:rFonts w:ascii="Times New Roman" w:hAnsi="Times New Roman"/>
                <w:noProof/>
                <w:webHidden/>
                <w:sz w:val="24"/>
                <w:szCs w:val="24"/>
              </w:rPr>
            </w:r>
            <w:r w:rsidR="006F031E" w:rsidRPr="006F031E">
              <w:rPr>
                <w:rFonts w:ascii="Times New Roman" w:hAnsi="Times New Roman"/>
                <w:noProof/>
                <w:webHidden/>
                <w:sz w:val="24"/>
                <w:szCs w:val="24"/>
              </w:rPr>
              <w:fldChar w:fldCharType="separate"/>
            </w:r>
            <w:r w:rsidR="006F031E" w:rsidRPr="006F031E">
              <w:rPr>
                <w:rFonts w:ascii="Times New Roman" w:hAnsi="Times New Roman"/>
                <w:noProof/>
                <w:webHidden/>
                <w:sz w:val="24"/>
                <w:szCs w:val="24"/>
              </w:rPr>
              <w:t>17</w:t>
            </w:r>
            <w:r w:rsidR="006F031E" w:rsidRPr="006F031E">
              <w:rPr>
                <w:rFonts w:ascii="Times New Roman" w:hAnsi="Times New Roman"/>
                <w:noProof/>
                <w:webHidden/>
                <w:sz w:val="24"/>
                <w:szCs w:val="24"/>
              </w:rPr>
              <w:fldChar w:fldCharType="end"/>
            </w:r>
          </w:hyperlink>
        </w:p>
        <w:p w14:paraId="2FE7AFF7" w14:textId="77777777" w:rsidR="008A3EF3" w:rsidRPr="00836609" w:rsidRDefault="00571C71" w:rsidP="00AF2C85">
          <w:pPr>
            <w:tabs>
              <w:tab w:val="left" w:pos="284"/>
            </w:tabs>
            <w:spacing w:before="120" w:after="120" w:line="240" w:lineRule="auto"/>
            <w:rPr>
              <w:rFonts w:ascii="Times New Roman" w:hAnsi="Times New Roman"/>
              <w:sz w:val="24"/>
              <w:szCs w:val="24"/>
            </w:rPr>
          </w:pPr>
          <w:r w:rsidRPr="006F031E">
            <w:rPr>
              <w:rFonts w:ascii="Times New Roman" w:hAnsi="Times New Roman"/>
              <w:bCs/>
              <w:noProof/>
              <w:sz w:val="24"/>
              <w:szCs w:val="24"/>
            </w:rPr>
            <w:fldChar w:fldCharType="end"/>
          </w:r>
        </w:p>
      </w:sdtContent>
    </w:sdt>
    <w:p w14:paraId="66566999" w14:textId="77777777" w:rsidR="005515C8" w:rsidRPr="001D2B80" w:rsidRDefault="005515C8">
      <w:pPr>
        <w:rPr>
          <w:rFonts w:ascii="Times New Roman" w:eastAsia="Times New Roman" w:hAnsi="Times New Roman"/>
          <w:b/>
          <w:bCs/>
          <w:caps/>
          <w:sz w:val="24"/>
          <w:szCs w:val="24"/>
          <w:lang w:eastAsia="lv-LV"/>
        </w:rPr>
      </w:pPr>
      <w:r w:rsidRPr="001D2B80">
        <w:rPr>
          <w:rFonts w:ascii="Times New Roman" w:hAnsi="Times New Roman"/>
          <w:sz w:val="24"/>
          <w:szCs w:val="24"/>
        </w:rPr>
        <w:br w:type="page"/>
      </w:r>
    </w:p>
    <w:p w14:paraId="1C1E0EBE" w14:textId="75027D15" w:rsidR="00D844D2" w:rsidRPr="005C652E" w:rsidRDefault="00EC792E" w:rsidP="00E27476">
      <w:pPr>
        <w:pStyle w:val="Heading1"/>
        <w:jc w:val="both"/>
      </w:pPr>
      <w:bookmarkStart w:id="0" w:name="_Toc9326559"/>
      <w:r w:rsidRPr="005C652E">
        <w:lastRenderedPageBreak/>
        <w:t>IEVADS</w:t>
      </w:r>
      <w:bookmarkEnd w:id="0"/>
    </w:p>
    <w:p w14:paraId="482841AD" w14:textId="33BD13D7" w:rsidR="0031250A" w:rsidRPr="00D274EE" w:rsidRDefault="004240A5" w:rsidP="00D274EE">
      <w:pPr>
        <w:spacing w:before="120" w:after="120" w:line="240" w:lineRule="auto"/>
        <w:ind w:firstLine="340"/>
        <w:jc w:val="both"/>
        <w:rPr>
          <w:rFonts w:ascii="Times New Roman" w:hAnsi="Times New Roman"/>
          <w:sz w:val="24"/>
          <w:szCs w:val="24"/>
        </w:rPr>
      </w:pPr>
      <w:r w:rsidRPr="00D274EE">
        <w:rPr>
          <w:rFonts w:ascii="Times New Roman" w:hAnsi="Times New Roman"/>
          <w:sz w:val="24"/>
          <w:szCs w:val="24"/>
        </w:rPr>
        <w:t xml:space="preserve">Informatīvais ziņojums </w:t>
      </w:r>
      <w:r w:rsidR="000C3727" w:rsidRPr="00D274EE">
        <w:rPr>
          <w:rFonts w:ascii="Times New Roman" w:hAnsi="Times New Roman"/>
          <w:sz w:val="24"/>
          <w:szCs w:val="24"/>
        </w:rPr>
        <w:t>“P</w:t>
      </w:r>
      <w:r w:rsidRPr="00D274EE">
        <w:rPr>
          <w:rFonts w:ascii="Times New Roman" w:hAnsi="Times New Roman"/>
          <w:sz w:val="24"/>
          <w:szCs w:val="24"/>
        </w:rPr>
        <w:t>ar siltumnīcefekta gāzu emisiju samazināšanas un oglekļa dioksīda piesaistes saistību izpildi</w:t>
      </w:r>
      <w:r w:rsidR="000C3727" w:rsidRPr="00D274EE">
        <w:rPr>
          <w:rFonts w:ascii="Times New Roman" w:hAnsi="Times New Roman"/>
          <w:sz w:val="24"/>
          <w:szCs w:val="24"/>
        </w:rPr>
        <w:t>”</w:t>
      </w:r>
      <w:r w:rsidRPr="00D274EE">
        <w:rPr>
          <w:rFonts w:ascii="Times New Roman" w:hAnsi="Times New Roman"/>
          <w:sz w:val="24"/>
          <w:szCs w:val="24"/>
        </w:rPr>
        <w:t xml:space="preserve"> (turpmāk – </w:t>
      </w:r>
      <w:r w:rsidR="00097507">
        <w:rPr>
          <w:rFonts w:ascii="Times New Roman" w:hAnsi="Times New Roman"/>
          <w:sz w:val="24"/>
          <w:szCs w:val="24"/>
        </w:rPr>
        <w:t>Informatīvais z</w:t>
      </w:r>
      <w:r w:rsidRPr="00D274EE">
        <w:rPr>
          <w:rFonts w:ascii="Times New Roman" w:hAnsi="Times New Roman"/>
          <w:sz w:val="24"/>
          <w:szCs w:val="24"/>
        </w:rPr>
        <w:t xml:space="preserve">iņojums) </w:t>
      </w:r>
      <w:r w:rsidR="0077296C" w:rsidRPr="00D274EE">
        <w:rPr>
          <w:rFonts w:ascii="Times New Roman" w:hAnsi="Times New Roman"/>
          <w:sz w:val="24"/>
          <w:szCs w:val="24"/>
        </w:rPr>
        <w:t xml:space="preserve">ir sagatavots saskaņā ar </w:t>
      </w:r>
      <w:r w:rsidR="0031250A" w:rsidRPr="00D274EE">
        <w:rPr>
          <w:rFonts w:ascii="Times New Roman" w:hAnsi="Times New Roman"/>
          <w:sz w:val="24"/>
          <w:szCs w:val="24"/>
        </w:rPr>
        <w:t xml:space="preserve">likuma </w:t>
      </w:r>
      <w:r w:rsidRPr="00D274EE">
        <w:rPr>
          <w:rFonts w:ascii="Times New Roman" w:hAnsi="Times New Roman"/>
          <w:sz w:val="24"/>
          <w:szCs w:val="24"/>
        </w:rPr>
        <w:t>,,</w:t>
      </w:r>
      <w:r w:rsidR="0031250A" w:rsidRPr="00D274EE">
        <w:rPr>
          <w:rFonts w:ascii="Times New Roman" w:hAnsi="Times New Roman"/>
          <w:sz w:val="24"/>
          <w:szCs w:val="24"/>
        </w:rPr>
        <w:t>Par piesārņojumu” 52.</w:t>
      </w:r>
      <w:r w:rsidRPr="00D274EE">
        <w:rPr>
          <w:rFonts w:ascii="Times New Roman" w:hAnsi="Times New Roman"/>
          <w:sz w:val="24"/>
          <w:szCs w:val="24"/>
        </w:rPr>
        <w:t> </w:t>
      </w:r>
      <w:r w:rsidR="0031250A" w:rsidRPr="00D274EE">
        <w:rPr>
          <w:rFonts w:ascii="Times New Roman" w:hAnsi="Times New Roman"/>
          <w:sz w:val="24"/>
          <w:szCs w:val="24"/>
        </w:rPr>
        <w:t>panta trešo daļu, kas no</w:t>
      </w:r>
      <w:r w:rsidRPr="00D274EE">
        <w:rPr>
          <w:rFonts w:ascii="Times New Roman" w:hAnsi="Times New Roman"/>
          <w:sz w:val="24"/>
          <w:szCs w:val="24"/>
        </w:rPr>
        <w:t>teic</w:t>
      </w:r>
      <w:r w:rsidR="0031250A" w:rsidRPr="00D274EE">
        <w:rPr>
          <w:rFonts w:ascii="Times New Roman" w:hAnsi="Times New Roman"/>
          <w:sz w:val="24"/>
          <w:szCs w:val="24"/>
        </w:rPr>
        <w:t>, ka:</w:t>
      </w:r>
    </w:p>
    <w:p w14:paraId="4B6C5B98" w14:textId="77777777" w:rsidR="0031250A" w:rsidRPr="00D274EE" w:rsidRDefault="004240A5" w:rsidP="0074775B">
      <w:pPr>
        <w:spacing w:before="120" w:after="120" w:line="240" w:lineRule="auto"/>
        <w:ind w:left="284"/>
        <w:jc w:val="both"/>
        <w:rPr>
          <w:rFonts w:ascii="Times New Roman" w:hAnsi="Times New Roman"/>
          <w:i/>
          <w:sz w:val="24"/>
          <w:szCs w:val="24"/>
        </w:rPr>
      </w:pPr>
      <w:r w:rsidRPr="00D274EE">
        <w:rPr>
          <w:rFonts w:ascii="Times New Roman" w:hAnsi="Times New Roman"/>
          <w:i/>
          <w:sz w:val="24"/>
          <w:szCs w:val="24"/>
        </w:rPr>
        <w:t>,,</w:t>
      </w:r>
      <w:r w:rsidR="0031250A" w:rsidRPr="00D274EE">
        <w:rPr>
          <w:rFonts w:ascii="Times New Roman" w:hAnsi="Times New Roman"/>
          <w:i/>
          <w:sz w:val="24"/>
          <w:szCs w:val="24"/>
        </w:rPr>
        <w:t>Vides aizsardzības un reģionālās attīstības ministrija sadarbībā ar Zemkopības ministriju, Ekonomikas ministriju, Satiksmes ministriju un citām nozaru ministrijām katru gadu pēc Eiropas Parlamenta un Padomes 2013.</w:t>
      </w:r>
      <w:r w:rsidRPr="00D274EE">
        <w:rPr>
          <w:rFonts w:ascii="Times New Roman" w:hAnsi="Times New Roman"/>
          <w:i/>
          <w:sz w:val="24"/>
          <w:szCs w:val="24"/>
        </w:rPr>
        <w:t> </w:t>
      </w:r>
      <w:r w:rsidR="0031250A" w:rsidRPr="00D274EE">
        <w:rPr>
          <w:rFonts w:ascii="Times New Roman" w:hAnsi="Times New Roman"/>
          <w:i/>
          <w:sz w:val="24"/>
          <w:szCs w:val="24"/>
        </w:rPr>
        <w:t>gada 21.</w:t>
      </w:r>
      <w:r w:rsidRPr="00D274EE">
        <w:rPr>
          <w:rFonts w:ascii="Times New Roman" w:hAnsi="Times New Roman"/>
          <w:i/>
          <w:sz w:val="24"/>
          <w:szCs w:val="24"/>
        </w:rPr>
        <w:t> </w:t>
      </w:r>
      <w:r w:rsidR="0031250A" w:rsidRPr="00D274EE">
        <w:rPr>
          <w:rFonts w:ascii="Times New Roman" w:hAnsi="Times New Roman"/>
          <w:i/>
          <w:sz w:val="24"/>
          <w:szCs w:val="24"/>
        </w:rPr>
        <w:t xml:space="preserve">maija </w:t>
      </w:r>
      <w:r w:rsidRPr="00D274EE">
        <w:rPr>
          <w:rFonts w:ascii="Times New Roman" w:hAnsi="Times New Roman"/>
          <w:i/>
          <w:sz w:val="24"/>
          <w:szCs w:val="24"/>
        </w:rPr>
        <w:t>R</w:t>
      </w:r>
      <w:r w:rsidR="0031250A" w:rsidRPr="00D274EE">
        <w:rPr>
          <w:rFonts w:ascii="Times New Roman" w:hAnsi="Times New Roman"/>
          <w:i/>
          <w:sz w:val="24"/>
          <w:szCs w:val="24"/>
        </w:rPr>
        <w:t>egulas Nr.</w:t>
      </w:r>
      <w:r w:rsidRPr="00D274EE">
        <w:rPr>
          <w:rFonts w:ascii="Times New Roman" w:hAnsi="Times New Roman"/>
          <w:i/>
          <w:sz w:val="24"/>
          <w:szCs w:val="24"/>
        </w:rPr>
        <w:t> </w:t>
      </w:r>
      <w:r w:rsidR="0031250A" w:rsidRPr="00D274EE">
        <w:rPr>
          <w:rFonts w:ascii="Times New Roman" w:hAnsi="Times New Roman"/>
          <w:i/>
          <w:sz w:val="24"/>
          <w:szCs w:val="24"/>
        </w:rPr>
        <w:t>525/2013 par mehānismu siltumnīcefekta gāzu emisiju pārraudzībai un ziņošanai un citas informācijas ziņošanai valstu un Savienības līmenī saistībā ar klimata pārmaiņām un par Lēmuma Nr.</w:t>
      </w:r>
      <w:r w:rsidRPr="00D274EE">
        <w:rPr>
          <w:rFonts w:ascii="Times New Roman" w:hAnsi="Times New Roman"/>
          <w:i/>
          <w:sz w:val="24"/>
          <w:szCs w:val="24"/>
        </w:rPr>
        <w:t> </w:t>
      </w:r>
      <w:r w:rsidR="0031250A" w:rsidRPr="00D274EE">
        <w:rPr>
          <w:rFonts w:ascii="Times New Roman" w:hAnsi="Times New Roman"/>
          <w:i/>
          <w:sz w:val="24"/>
          <w:szCs w:val="24"/>
        </w:rPr>
        <w:t>280/2004/EK atcelšanu (turpmāk — Regula Nr.</w:t>
      </w:r>
      <w:r w:rsidRPr="00D274EE">
        <w:rPr>
          <w:rFonts w:ascii="Times New Roman" w:hAnsi="Times New Roman"/>
          <w:i/>
          <w:sz w:val="24"/>
          <w:szCs w:val="24"/>
        </w:rPr>
        <w:t> </w:t>
      </w:r>
      <w:r w:rsidR="0031250A" w:rsidRPr="00D274EE">
        <w:rPr>
          <w:rFonts w:ascii="Times New Roman" w:hAnsi="Times New Roman"/>
          <w:i/>
          <w:sz w:val="24"/>
          <w:szCs w:val="24"/>
        </w:rPr>
        <w:t>525/2013) 7.</w:t>
      </w:r>
      <w:r w:rsidRPr="00D274EE">
        <w:rPr>
          <w:rFonts w:ascii="Times New Roman" w:hAnsi="Times New Roman"/>
          <w:i/>
          <w:sz w:val="24"/>
          <w:szCs w:val="24"/>
        </w:rPr>
        <w:t> </w:t>
      </w:r>
      <w:r w:rsidR="0031250A" w:rsidRPr="00D274EE">
        <w:rPr>
          <w:rFonts w:ascii="Times New Roman" w:hAnsi="Times New Roman"/>
          <w:i/>
          <w:sz w:val="24"/>
          <w:szCs w:val="24"/>
        </w:rPr>
        <w:t>panta pirmajā un otrajā daļā un 8.</w:t>
      </w:r>
      <w:r w:rsidRPr="00D274EE">
        <w:rPr>
          <w:rFonts w:ascii="Times New Roman" w:hAnsi="Times New Roman"/>
          <w:i/>
          <w:sz w:val="24"/>
          <w:szCs w:val="24"/>
        </w:rPr>
        <w:t> </w:t>
      </w:r>
      <w:r w:rsidR="0031250A" w:rsidRPr="00D274EE">
        <w:rPr>
          <w:rFonts w:ascii="Times New Roman" w:hAnsi="Times New Roman"/>
          <w:i/>
          <w:sz w:val="24"/>
          <w:szCs w:val="24"/>
        </w:rPr>
        <w:t>panta pirmajā daļā minēto ziņojumu iesniegšanas sagatavo un līdz 31.</w:t>
      </w:r>
      <w:r w:rsidRPr="00D274EE">
        <w:rPr>
          <w:rFonts w:ascii="Times New Roman" w:hAnsi="Times New Roman"/>
          <w:i/>
          <w:sz w:val="24"/>
          <w:szCs w:val="24"/>
        </w:rPr>
        <w:t> </w:t>
      </w:r>
      <w:r w:rsidR="0031250A" w:rsidRPr="00D274EE">
        <w:rPr>
          <w:rFonts w:ascii="Times New Roman" w:hAnsi="Times New Roman"/>
          <w:i/>
          <w:sz w:val="24"/>
          <w:szCs w:val="24"/>
        </w:rPr>
        <w:t>decembrim iesniedz Ministru kabinetam informatīvo ziņojumu par siltumnīcefekta gāzu emisiju samazināšanas un oglekļa dioksīda piesaistes saistību izpildi. Minētajā informatīvajā ziņojumā iekļauj:</w:t>
      </w:r>
    </w:p>
    <w:p w14:paraId="1702B694" w14:textId="77777777" w:rsidR="0031250A" w:rsidRPr="00D274EE" w:rsidRDefault="0031250A" w:rsidP="0074775B">
      <w:pPr>
        <w:spacing w:before="120" w:after="120" w:line="240" w:lineRule="auto"/>
        <w:ind w:left="284"/>
        <w:jc w:val="both"/>
        <w:rPr>
          <w:rFonts w:ascii="Times New Roman" w:hAnsi="Times New Roman"/>
          <w:i/>
          <w:sz w:val="24"/>
          <w:szCs w:val="24"/>
        </w:rPr>
      </w:pPr>
      <w:r w:rsidRPr="00D274EE">
        <w:rPr>
          <w:rFonts w:ascii="Times New Roman" w:hAnsi="Times New Roman"/>
          <w:i/>
          <w:sz w:val="24"/>
          <w:szCs w:val="24"/>
        </w:rPr>
        <w:t>1)</w:t>
      </w:r>
      <w:r w:rsidR="004240A5" w:rsidRPr="00D274EE">
        <w:rPr>
          <w:rFonts w:ascii="Times New Roman" w:hAnsi="Times New Roman"/>
          <w:i/>
          <w:sz w:val="24"/>
          <w:szCs w:val="24"/>
        </w:rPr>
        <w:t> </w:t>
      </w:r>
      <w:r w:rsidRPr="00D274EE">
        <w:rPr>
          <w:rFonts w:ascii="Times New Roman" w:hAnsi="Times New Roman"/>
          <w:i/>
          <w:sz w:val="24"/>
          <w:szCs w:val="24"/>
        </w:rPr>
        <w:t xml:space="preserve">siltumnīcefekta gāzu emisiju samazināšanas un oglekļa dioksīda piesaistes saistību izpildes </w:t>
      </w:r>
      <w:proofErr w:type="spellStart"/>
      <w:r w:rsidRPr="00D274EE">
        <w:rPr>
          <w:rFonts w:ascii="Times New Roman" w:hAnsi="Times New Roman"/>
          <w:i/>
          <w:sz w:val="24"/>
          <w:szCs w:val="24"/>
        </w:rPr>
        <w:t>izvērtējumu</w:t>
      </w:r>
      <w:proofErr w:type="spellEnd"/>
      <w:r w:rsidRPr="00D274EE">
        <w:rPr>
          <w:rFonts w:ascii="Times New Roman" w:hAnsi="Times New Roman"/>
          <w:i/>
          <w:sz w:val="24"/>
          <w:szCs w:val="24"/>
        </w:rPr>
        <w:t>;</w:t>
      </w:r>
    </w:p>
    <w:p w14:paraId="5E2315DE" w14:textId="77777777" w:rsidR="0031250A" w:rsidRPr="00D274EE" w:rsidRDefault="0031250A" w:rsidP="0074775B">
      <w:pPr>
        <w:spacing w:before="120" w:after="120" w:line="240" w:lineRule="auto"/>
        <w:ind w:left="284"/>
        <w:jc w:val="both"/>
        <w:rPr>
          <w:rFonts w:ascii="Times New Roman" w:hAnsi="Times New Roman"/>
          <w:i/>
          <w:sz w:val="24"/>
          <w:szCs w:val="24"/>
        </w:rPr>
      </w:pPr>
      <w:r w:rsidRPr="00D274EE">
        <w:rPr>
          <w:rFonts w:ascii="Times New Roman" w:hAnsi="Times New Roman"/>
          <w:i/>
          <w:sz w:val="24"/>
          <w:szCs w:val="24"/>
        </w:rPr>
        <w:t>2)</w:t>
      </w:r>
      <w:r w:rsidR="004240A5" w:rsidRPr="00D274EE">
        <w:rPr>
          <w:rFonts w:ascii="Times New Roman" w:hAnsi="Times New Roman"/>
          <w:i/>
          <w:sz w:val="24"/>
          <w:szCs w:val="24"/>
        </w:rPr>
        <w:t> </w:t>
      </w:r>
      <w:r w:rsidRPr="00D274EE">
        <w:rPr>
          <w:rFonts w:ascii="Times New Roman" w:hAnsi="Times New Roman"/>
          <w:i/>
          <w:sz w:val="24"/>
          <w:szCs w:val="24"/>
        </w:rPr>
        <w:t>ja nepieciešams, priekšlikumus par izmaksu efektīviem, sociālekonomiski izvērtētiem un attiecīgā perioda nozaru politikas plānošanas dokumentiem atbilstošiem papildu pasākumiem siltumnīcefekta gāzu emisijas samazināšanas un oglekļa dioksīda piesaistes saistību izpildei.”.</w:t>
      </w:r>
    </w:p>
    <w:p w14:paraId="030AD825" w14:textId="2BBE9220" w:rsidR="00CB5C99" w:rsidRPr="002509EC" w:rsidRDefault="004240A5" w:rsidP="009769A6">
      <w:pPr>
        <w:spacing w:before="120" w:after="120" w:line="240" w:lineRule="auto"/>
        <w:ind w:firstLine="284"/>
        <w:jc w:val="both"/>
        <w:rPr>
          <w:rFonts w:ascii="Times New Roman" w:hAnsi="Times New Roman"/>
          <w:sz w:val="24"/>
          <w:szCs w:val="24"/>
        </w:rPr>
      </w:pPr>
      <w:r w:rsidRPr="00D274EE">
        <w:rPr>
          <w:rFonts w:ascii="Times New Roman" w:hAnsi="Times New Roman"/>
          <w:sz w:val="24"/>
          <w:szCs w:val="24"/>
        </w:rPr>
        <w:t xml:space="preserve">Ievērojot minēto </w:t>
      </w:r>
      <w:r w:rsidR="002E6CA7">
        <w:rPr>
          <w:rFonts w:ascii="Times New Roman" w:hAnsi="Times New Roman"/>
          <w:sz w:val="24"/>
          <w:szCs w:val="24"/>
        </w:rPr>
        <w:t>tiesisko</w:t>
      </w:r>
      <w:r w:rsidR="002E6CA7" w:rsidRPr="00D274EE">
        <w:rPr>
          <w:rFonts w:ascii="Times New Roman" w:hAnsi="Times New Roman"/>
          <w:sz w:val="24"/>
          <w:szCs w:val="24"/>
        </w:rPr>
        <w:t xml:space="preserve"> pamat</w:t>
      </w:r>
      <w:r w:rsidR="002E6CA7">
        <w:rPr>
          <w:rFonts w:ascii="Times New Roman" w:hAnsi="Times New Roman"/>
          <w:sz w:val="24"/>
          <w:szCs w:val="24"/>
        </w:rPr>
        <w:t>ojumu</w:t>
      </w:r>
      <w:r w:rsidRPr="00D274EE">
        <w:rPr>
          <w:rFonts w:ascii="Times New Roman" w:hAnsi="Times New Roman"/>
          <w:sz w:val="24"/>
          <w:szCs w:val="24"/>
        </w:rPr>
        <w:t xml:space="preserve">, </w:t>
      </w:r>
      <w:r w:rsidR="00046F8A">
        <w:rPr>
          <w:rFonts w:ascii="Times New Roman" w:hAnsi="Times New Roman"/>
          <w:sz w:val="24"/>
          <w:szCs w:val="24"/>
        </w:rPr>
        <w:t xml:space="preserve">Informatīvajā </w:t>
      </w:r>
      <w:r w:rsidR="00046F8A" w:rsidRPr="00046F8A">
        <w:rPr>
          <w:rFonts w:ascii="Times New Roman" w:hAnsi="Times New Roman"/>
          <w:sz w:val="24"/>
          <w:szCs w:val="24"/>
        </w:rPr>
        <w:t>z</w:t>
      </w:r>
      <w:r w:rsidR="00CB5C99" w:rsidRPr="00046F8A">
        <w:rPr>
          <w:rFonts w:ascii="Times New Roman" w:hAnsi="Times New Roman"/>
          <w:sz w:val="24"/>
          <w:szCs w:val="24"/>
        </w:rPr>
        <w:t>iņojumā</w:t>
      </w:r>
      <w:r w:rsidR="00CB5C99" w:rsidRPr="00D274EE">
        <w:rPr>
          <w:rFonts w:ascii="Times New Roman" w:hAnsi="Times New Roman"/>
          <w:sz w:val="24"/>
          <w:szCs w:val="24"/>
        </w:rPr>
        <w:t xml:space="preserve"> ir iekļauta informācija par Latvijas saistībām </w:t>
      </w:r>
      <w:r w:rsidR="001F5323" w:rsidRPr="00035B32">
        <w:rPr>
          <w:rFonts w:ascii="Times New Roman" w:hAnsi="Times New Roman"/>
          <w:sz w:val="24"/>
          <w:szCs w:val="24"/>
        </w:rPr>
        <w:t xml:space="preserve">siltumnīcefekta gāzu emisiju </w:t>
      </w:r>
      <w:r w:rsidR="001F5323" w:rsidRPr="00DA3882">
        <w:rPr>
          <w:rFonts w:ascii="Times New Roman" w:hAnsi="Times New Roman"/>
          <w:sz w:val="24"/>
          <w:szCs w:val="24"/>
        </w:rPr>
        <w:t>(turpmāk – </w:t>
      </w:r>
      <w:r w:rsidR="001F5323" w:rsidRPr="00EB3C89">
        <w:rPr>
          <w:rFonts w:ascii="Times New Roman" w:hAnsi="Times New Roman"/>
          <w:sz w:val="24"/>
          <w:szCs w:val="24"/>
        </w:rPr>
        <w:t>SEG)</w:t>
      </w:r>
      <w:r w:rsidR="001F5323" w:rsidRPr="00035B32">
        <w:rPr>
          <w:rFonts w:ascii="Times New Roman" w:hAnsi="Times New Roman"/>
          <w:sz w:val="24"/>
          <w:szCs w:val="24"/>
        </w:rPr>
        <w:t xml:space="preserve"> samazināšanas un oglekļa dioksīda </w:t>
      </w:r>
      <w:r w:rsidR="001F5323" w:rsidRPr="00DA3882">
        <w:rPr>
          <w:rFonts w:ascii="Times New Roman" w:hAnsi="Times New Roman"/>
          <w:sz w:val="24"/>
          <w:szCs w:val="24"/>
        </w:rPr>
        <w:t>(CO</w:t>
      </w:r>
      <w:r w:rsidR="001F5323" w:rsidRPr="00DA3882">
        <w:rPr>
          <w:rFonts w:ascii="Times New Roman" w:hAnsi="Times New Roman"/>
          <w:sz w:val="24"/>
          <w:szCs w:val="24"/>
          <w:vertAlign w:val="subscript"/>
        </w:rPr>
        <w:t>2</w:t>
      </w:r>
      <w:r w:rsidR="001F5323" w:rsidRPr="00EB3C89">
        <w:rPr>
          <w:rFonts w:ascii="Times New Roman" w:hAnsi="Times New Roman"/>
          <w:sz w:val="24"/>
          <w:szCs w:val="24"/>
        </w:rPr>
        <w:t xml:space="preserve">) </w:t>
      </w:r>
      <w:r w:rsidR="001F5323" w:rsidRPr="00035B32">
        <w:rPr>
          <w:rFonts w:ascii="Times New Roman" w:hAnsi="Times New Roman"/>
          <w:sz w:val="24"/>
          <w:szCs w:val="24"/>
        </w:rPr>
        <w:t>piesaistes</w:t>
      </w:r>
      <w:r w:rsidR="001F5323" w:rsidRPr="00D274EE" w:rsidDel="001F5323">
        <w:rPr>
          <w:rFonts w:ascii="Times New Roman" w:hAnsi="Times New Roman"/>
          <w:sz w:val="24"/>
          <w:szCs w:val="24"/>
        </w:rPr>
        <w:t xml:space="preserve"> </w:t>
      </w:r>
      <w:r w:rsidR="00CB5C99" w:rsidRPr="00D274EE">
        <w:rPr>
          <w:rFonts w:ascii="Times New Roman" w:hAnsi="Times New Roman"/>
          <w:sz w:val="24"/>
          <w:szCs w:val="24"/>
        </w:rPr>
        <w:t>jomā</w:t>
      </w:r>
      <w:r w:rsidR="005B064E">
        <w:rPr>
          <w:rFonts w:ascii="Times New Roman" w:hAnsi="Times New Roman"/>
          <w:sz w:val="24"/>
          <w:szCs w:val="24"/>
        </w:rPr>
        <w:t xml:space="preserve"> (turpmāk – SEG mērķi)</w:t>
      </w:r>
      <w:r w:rsidR="00CB5C99" w:rsidRPr="00D274EE">
        <w:rPr>
          <w:rFonts w:ascii="Times New Roman" w:hAnsi="Times New Roman"/>
          <w:sz w:val="24"/>
          <w:szCs w:val="24"/>
        </w:rPr>
        <w:t xml:space="preserve">, līdzšinējām un prognozētajām </w:t>
      </w:r>
      <w:r w:rsidR="001F5323">
        <w:rPr>
          <w:rFonts w:ascii="Times New Roman" w:hAnsi="Times New Roman"/>
          <w:sz w:val="24"/>
          <w:szCs w:val="24"/>
        </w:rPr>
        <w:t>SEG</w:t>
      </w:r>
      <w:r w:rsidR="00CB5C99" w:rsidRPr="00D274EE">
        <w:rPr>
          <w:rFonts w:ascii="Times New Roman" w:hAnsi="Times New Roman"/>
          <w:sz w:val="24"/>
          <w:szCs w:val="24"/>
        </w:rPr>
        <w:t xml:space="preserve"> emisijām un </w:t>
      </w:r>
      <w:r w:rsidR="001F5323" w:rsidRPr="00D274EE">
        <w:rPr>
          <w:rFonts w:ascii="Times New Roman" w:hAnsi="Times New Roman"/>
          <w:sz w:val="24"/>
          <w:szCs w:val="24"/>
        </w:rPr>
        <w:t>CO</w:t>
      </w:r>
      <w:r w:rsidR="001F5323" w:rsidRPr="00D274EE">
        <w:rPr>
          <w:rFonts w:ascii="Times New Roman" w:hAnsi="Times New Roman"/>
          <w:sz w:val="24"/>
          <w:szCs w:val="24"/>
          <w:vertAlign w:val="subscript"/>
        </w:rPr>
        <w:t>2</w:t>
      </w:r>
      <w:r w:rsidR="001F5323">
        <w:rPr>
          <w:rFonts w:ascii="Times New Roman" w:hAnsi="Times New Roman"/>
          <w:sz w:val="24"/>
          <w:szCs w:val="24"/>
          <w:vertAlign w:val="subscript"/>
        </w:rPr>
        <w:t xml:space="preserve"> </w:t>
      </w:r>
      <w:r w:rsidR="00603AB8">
        <w:rPr>
          <w:rFonts w:ascii="Times New Roman" w:hAnsi="Times New Roman"/>
          <w:sz w:val="24"/>
          <w:szCs w:val="24"/>
        </w:rPr>
        <w:t>piesaisti,</w:t>
      </w:r>
      <w:r w:rsidR="00B03AC7" w:rsidRPr="00D274EE">
        <w:rPr>
          <w:rFonts w:ascii="Times New Roman" w:hAnsi="Times New Roman"/>
          <w:sz w:val="24"/>
          <w:szCs w:val="24"/>
        </w:rPr>
        <w:t xml:space="preserve"> novērtēts</w:t>
      </w:r>
      <w:r w:rsidR="00D274EE">
        <w:rPr>
          <w:rFonts w:ascii="Times New Roman" w:hAnsi="Times New Roman"/>
          <w:sz w:val="24"/>
          <w:szCs w:val="24"/>
        </w:rPr>
        <w:t xml:space="preserve"> Latvijai noteik</w:t>
      </w:r>
      <w:r w:rsidR="00B03AC7" w:rsidRPr="00D274EE">
        <w:rPr>
          <w:rFonts w:ascii="Times New Roman" w:hAnsi="Times New Roman"/>
          <w:sz w:val="24"/>
          <w:szCs w:val="24"/>
        </w:rPr>
        <w:t>to mērķu sasniegšanas progress</w:t>
      </w:r>
      <w:r w:rsidR="00603AB8" w:rsidRPr="00603AB8">
        <w:rPr>
          <w:rFonts w:ascii="Times New Roman" w:hAnsi="Times New Roman"/>
          <w:sz w:val="24"/>
          <w:szCs w:val="24"/>
        </w:rPr>
        <w:t xml:space="preserve"> </w:t>
      </w:r>
      <w:r w:rsidR="00603AB8">
        <w:rPr>
          <w:rFonts w:ascii="Times New Roman" w:hAnsi="Times New Roman"/>
          <w:sz w:val="24"/>
          <w:szCs w:val="24"/>
        </w:rPr>
        <w:t>periodā no 2013.</w:t>
      </w:r>
      <w:r w:rsidR="00EF45C0">
        <w:rPr>
          <w:rFonts w:ascii="Times New Roman" w:hAnsi="Times New Roman"/>
          <w:sz w:val="24"/>
          <w:szCs w:val="24"/>
        </w:rPr>
        <w:t> </w:t>
      </w:r>
      <w:r w:rsidR="00603AB8">
        <w:rPr>
          <w:rFonts w:ascii="Times New Roman" w:hAnsi="Times New Roman"/>
          <w:sz w:val="24"/>
          <w:szCs w:val="24"/>
        </w:rPr>
        <w:t>gada līdz 2020.</w:t>
      </w:r>
      <w:r w:rsidR="00EF45C0">
        <w:rPr>
          <w:rFonts w:ascii="Times New Roman" w:hAnsi="Times New Roman"/>
          <w:sz w:val="24"/>
          <w:szCs w:val="24"/>
        </w:rPr>
        <w:t> </w:t>
      </w:r>
      <w:r w:rsidR="00603AB8" w:rsidRPr="002509EC">
        <w:rPr>
          <w:rFonts w:ascii="Times New Roman" w:hAnsi="Times New Roman"/>
          <w:sz w:val="24"/>
          <w:szCs w:val="24"/>
        </w:rPr>
        <w:t>gadam</w:t>
      </w:r>
      <w:r w:rsidR="00354B2F" w:rsidRPr="002509EC">
        <w:rPr>
          <w:rFonts w:ascii="Times New Roman" w:hAnsi="Times New Roman"/>
          <w:sz w:val="24"/>
          <w:szCs w:val="24"/>
        </w:rPr>
        <w:t xml:space="preserve">, kā arī sniegts vispārīgs ieskats attiecībā uz Latvijas progresu attiecībā uz SEG </w:t>
      </w:r>
      <w:r w:rsidR="001F5323" w:rsidRPr="002509EC">
        <w:rPr>
          <w:rFonts w:ascii="Times New Roman" w:hAnsi="Times New Roman"/>
          <w:sz w:val="24"/>
          <w:szCs w:val="24"/>
        </w:rPr>
        <w:t>mērķiem</w:t>
      </w:r>
      <w:r w:rsidR="00190184" w:rsidRPr="002509EC">
        <w:rPr>
          <w:rFonts w:ascii="Times New Roman" w:hAnsi="Times New Roman"/>
          <w:sz w:val="24"/>
          <w:szCs w:val="24"/>
        </w:rPr>
        <w:t xml:space="preserve"> </w:t>
      </w:r>
      <w:r w:rsidR="00354B2F" w:rsidRPr="002509EC">
        <w:rPr>
          <w:rFonts w:ascii="Times New Roman" w:hAnsi="Times New Roman"/>
          <w:sz w:val="24"/>
          <w:szCs w:val="24"/>
        </w:rPr>
        <w:t xml:space="preserve">periodam </w:t>
      </w:r>
      <w:r w:rsidR="001F5323" w:rsidRPr="002509EC">
        <w:rPr>
          <w:rFonts w:ascii="Times New Roman" w:hAnsi="Times New Roman"/>
          <w:sz w:val="24"/>
          <w:szCs w:val="24"/>
        </w:rPr>
        <w:t xml:space="preserve">no </w:t>
      </w:r>
      <w:r w:rsidR="00354B2F" w:rsidRPr="002509EC">
        <w:rPr>
          <w:rFonts w:ascii="Times New Roman" w:hAnsi="Times New Roman"/>
          <w:sz w:val="24"/>
          <w:szCs w:val="24"/>
        </w:rPr>
        <w:t>līdz 2030.</w:t>
      </w:r>
      <w:r w:rsidR="00EF45C0">
        <w:rPr>
          <w:rFonts w:ascii="Times New Roman" w:hAnsi="Times New Roman"/>
          <w:sz w:val="24"/>
          <w:szCs w:val="24"/>
        </w:rPr>
        <w:t> </w:t>
      </w:r>
      <w:r w:rsidR="00354B2F" w:rsidRPr="002509EC">
        <w:rPr>
          <w:rFonts w:ascii="Times New Roman" w:hAnsi="Times New Roman"/>
          <w:sz w:val="24"/>
          <w:szCs w:val="24"/>
        </w:rPr>
        <w:t>gadam</w:t>
      </w:r>
      <w:r w:rsidR="00B03AC7" w:rsidRPr="002509EC">
        <w:rPr>
          <w:rFonts w:ascii="Times New Roman" w:hAnsi="Times New Roman"/>
          <w:sz w:val="24"/>
          <w:szCs w:val="24"/>
        </w:rPr>
        <w:t>.</w:t>
      </w:r>
    </w:p>
    <w:p w14:paraId="5212A588" w14:textId="083D6E93" w:rsidR="00CB5C99" w:rsidRPr="00D274EE" w:rsidRDefault="00046F8A" w:rsidP="009769A6">
      <w:pPr>
        <w:spacing w:before="120" w:after="120" w:line="240" w:lineRule="auto"/>
        <w:ind w:firstLine="284"/>
        <w:jc w:val="both"/>
        <w:rPr>
          <w:rFonts w:ascii="Times New Roman" w:hAnsi="Times New Roman"/>
          <w:sz w:val="24"/>
          <w:szCs w:val="24"/>
        </w:rPr>
      </w:pPr>
      <w:r w:rsidRPr="00046F8A">
        <w:rPr>
          <w:rFonts w:ascii="Times New Roman" w:hAnsi="Times New Roman"/>
          <w:sz w:val="24"/>
          <w:szCs w:val="24"/>
        </w:rPr>
        <w:t>Informatīvo z</w:t>
      </w:r>
      <w:r w:rsidR="00CB5C99" w:rsidRPr="00046F8A">
        <w:rPr>
          <w:rFonts w:ascii="Times New Roman" w:hAnsi="Times New Roman"/>
          <w:sz w:val="24"/>
          <w:szCs w:val="24"/>
        </w:rPr>
        <w:t>iņojumu</w:t>
      </w:r>
      <w:r w:rsidR="00FC1983" w:rsidRPr="002509EC">
        <w:rPr>
          <w:rFonts w:ascii="Times New Roman" w:hAnsi="Times New Roman"/>
          <w:sz w:val="24"/>
          <w:szCs w:val="24"/>
        </w:rPr>
        <w:t>,</w:t>
      </w:r>
      <w:r w:rsidR="00CB5C99" w:rsidRPr="002509EC">
        <w:rPr>
          <w:rFonts w:ascii="Times New Roman" w:hAnsi="Times New Roman"/>
          <w:sz w:val="24"/>
          <w:szCs w:val="24"/>
        </w:rPr>
        <w:t xml:space="preserve"> </w:t>
      </w:r>
      <w:r w:rsidR="00FC1983" w:rsidRPr="002509EC">
        <w:rPr>
          <w:rFonts w:ascii="Times New Roman" w:hAnsi="Times New Roman"/>
          <w:sz w:val="24"/>
          <w:szCs w:val="24"/>
        </w:rPr>
        <w:t>balstoties uz līdz 201</w:t>
      </w:r>
      <w:r w:rsidR="00984C7A" w:rsidRPr="002509EC">
        <w:rPr>
          <w:rFonts w:ascii="Times New Roman" w:hAnsi="Times New Roman"/>
          <w:sz w:val="24"/>
          <w:szCs w:val="24"/>
        </w:rPr>
        <w:t>8</w:t>
      </w:r>
      <w:r w:rsidR="00FC1983" w:rsidRPr="002509EC">
        <w:rPr>
          <w:rFonts w:ascii="Times New Roman" w:hAnsi="Times New Roman"/>
          <w:sz w:val="24"/>
          <w:szCs w:val="24"/>
        </w:rPr>
        <w:t>. gada 31. </w:t>
      </w:r>
      <w:r w:rsidR="00035B32" w:rsidRPr="002509EC">
        <w:rPr>
          <w:rFonts w:ascii="Times New Roman" w:hAnsi="Times New Roman"/>
          <w:sz w:val="24"/>
          <w:szCs w:val="24"/>
        </w:rPr>
        <w:t xml:space="preserve">jūlijam </w:t>
      </w:r>
      <w:r w:rsidR="00FC1983" w:rsidRPr="002509EC">
        <w:rPr>
          <w:rFonts w:ascii="Times New Roman" w:hAnsi="Times New Roman"/>
          <w:sz w:val="24"/>
          <w:szCs w:val="24"/>
        </w:rPr>
        <w:t>pieejamo</w:t>
      </w:r>
      <w:r w:rsidR="00E77F61" w:rsidRPr="002509EC">
        <w:rPr>
          <w:rFonts w:ascii="Times New Roman" w:hAnsi="Times New Roman"/>
          <w:sz w:val="24"/>
          <w:szCs w:val="24"/>
        </w:rPr>
        <w:t xml:space="preserve"> oficiālo</w:t>
      </w:r>
      <w:r w:rsidR="00FC1983" w:rsidRPr="002509EC">
        <w:rPr>
          <w:rFonts w:ascii="Times New Roman" w:hAnsi="Times New Roman"/>
          <w:sz w:val="24"/>
          <w:szCs w:val="24"/>
        </w:rPr>
        <w:t xml:space="preserve"> informāciju, </w:t>
      </w:r>
      <w:r w:rsidR="00CB5C99" w:rsidRPr="002509EC">
        <w:rPr>
          <w:rFonts w:ascii="Times New Roman" w:hAnsi="Times New Roman"/>
          <w:sz w:val="24"/>
          <w:szCs w:val="24"/>
        </w:rPr>
        <w:t>sagatavoja Vides aizsardzības un reģionālās attīstības ministrija (</w:t>
      </w:r>
      <w:r w:rsidR="00EE26CD" w:rsidRPr="002509EC">
        <w:rPr>
          <w:rFonts w:ascii="Times New Roman" w:hAnsi="Times New Roman"/>
          <w:sz w:val="24"/>
          <w:szCs w:val="24"/>
        </w:rPr>
        <w:t xml:space="preserve">turpmāk </w:t>
      </w:r>
      <w:r w:rsidR="00CA47BC" w:rsidRPr="002509EC">
        <w:rPr>
          <w:rFonts w:ascii="Times New Roman" w:hAnsi="Times New Roman"/>
          <w:sz w:val="24"/>
          <w:szCs w:val="24"/>
        </w:rPr>
        <w:t>–</w:t>
      </w:r>
      <w:r w:rsidR="00EE26CD" w:rsidRPr="002509EC">
        <w:rPr>
          <w:rFonts w:ascii="Times New Roman" w:hAnsi="Times New Roman"/>
          <w:sz w:val="24"/>
          <w:szCs w:val="24"/>
        </w:rPr>
        <w:t xml:space="preserve"> </w:t>
      </w:r>
      <w:r w:rsidR="00CB5C99" w:rsidRPr="002509EC">
        <w:rPr>
          <w:rFonts w:ascii="Times New Roman" w:hAnsi="Times New Roman"/>
          <w:sz w:val="24"/>
          <w:szCs w:val="24"/>
        </w:rPr>
        <w:t>VARAM)</w:t>
      </w:r>
      <w:r w:rsidR="0074775B" w:rsidRPr="002509EC">
        <w:rPr>
          <w:rFonts w:ascii="Times New Roman" w:hAnsi="Times New Roman"/>
          <w:sz w:val="24"/>
          <w:szCs w:val="24"/>
        </w:rPr>
        <w:t>.</w:t>
      </w:r>
      <w:r w:rsidR="0074775B">
        <w:rPr>
          <w:rFonts w:ascii="Times New Roman" w:hAnsi="Times New Roman"/>
          <w:sz w:val="24"/>
          <w:szCs w:val="24"/>
        </w:rPr>
        <w:t xml:space="preserve"> </w:t>
      </w:r>
    </w:p>
    <w:p w14:paraId="3065450D" w14:textId="77777777" w:rsidR="0077296C" w:rsidRPr="00483E3B" w:rsidRDefault="0077296C" w:rsidP="005C652E">
      <w:pPr>
        <w:spacing w:before="120" w:after="120" w:line="240" w:lineRule="auto"/>
        <w:ind w:firstLine="540"/>
        <w:jc w:val="both"/>
        <w:outlineLvl w:val="2"/>
        <w:rPr>
          <w:rFonts w:ascii="Times New Roman" w:hAnsi="Times New Roman"/>
          <w:sz w:val="24"/>
          <w:szCs w:val="24"/>
        </w:rPr>
      </w:pPr>
    </w:p>
    <w:p w14:paraId="3816CAC1" w14:textId="77777777" w:rsidR="00D844D2" w:rsidRPr="005C652E" w:rsidRDefault="00D844D2" w:rsidP="005C652E">
      <w:pPr>
        <w:spacing w:before="120" w:after="120" w:line="240" w:lineRule="auto"/>
        <w:rPr>
          <w:rFonts w:ascii="Times New Roman" w:hAnsi="Times New Roman"/>
          <w:lang w:eastAsia="lv-LV"/>
        </w:rPr>
      </w:pPr>
    </w:p>
    <w:p w14:paraId="5D6D2F72" w14:textId="77777777" w:rsidR="00D844D2" w:rsidRPr="005C652E" w:rsidRDefault="00D844D2" w:rsidP="005C652E">
      <w:pPr>
        <w:spacing w:before="120" w:after="120" w:line="240" w:lineRule="auto"/>
        <w:rPr>
          <w:rFonts w:ascii="Times New Roman" w:eastAsia="Times New Roman" w:hAnsi="Times New Roman"/>
          <w:b/>
          <w:bCs/>
          <w:sz w:val="20"/>
          <w:szCs w:val="20"/>
          <w:lang w:eastAsia="lv-LV"/>
        </w:rPr>
      </w:pPr>
    </w:p>
    <w:p w14:paraId="40C20061" w14:textId="77777777" w:rsidR="00D844D2" w:rsidRPr="005C652E" w:rsidRDefault="00D844D2" w:rsidP="005C652E">
      <w:pPr>
        <w:spacing w:before="120" w:after="120" w:line="240" w:lineRule="auto"/>
        <w:rPr>
          <w:rFonts w:ascii="Times New Roman" w:eastAsia="Times New Roman" w:hAnsi="Times New Roman"/>
          <w:b/>
          <w:bCs/>
          <w:sz w:val="20"/>
          <w:szCs w:val="20"/>
          <w:lang w:eastAsia="lv-LV"/>
        </w:rPr>
      </w:pPr>
      <w:r w:rsidRPr="005C652E">
        <w:rPr>
          <w:rFonts w:ascii="Times New Roman" w:eastAsia="Times New Roman" w:hAnsi="Times New Roman"/>
          <w:b/>
          <w:bCs/>
          <w:sz w:val="20"/>
          <w:szCs w:val="20"/>
          <w:lang w:eastAsia="lv-LV"/>
        </w:rPr>
        <w:br w:type="page"/>
      </w:r>
    </w:p>
    <w:p w14:paraId="6D956C84" w14:textId="774455B2" w:rsidR="00CB5C99" w:rsidRPr="00CB3E4B" w:rsidRDefault="00EC792E" w:rsidP="005C652E">
      <w:pPr>
        <w:pStyle w:val="Heading1"/>
      </w:pPr>
      <w:bookmarkStart w:id="1" w:name="_Toc9326560"/>
      <w:r w:rsidRPr="00CB3E4B">
        <w:lastRenderedPageBreak/>
        <w:t xml:space="preserve">LATVIJAS SEG </w:t>
      </w:r>
      <w:r w:rsidR="00EB3824" w:rsidRPr="00CB3E4B">
        <w:t>MĒRĶI</w:t>
      </w:r>
      <w:bookmarkEnd w:id="1"/>
    </w:p>
    <w:p w14:paraId="1870F7A5" w14:textId="7C7A1C1D" w:rsidR="00CB5C99" w:rsidRPr="005C652E" w:rsidRDefault="00CB5C99" w:rsidP="00E6086F">
      <w:pPr>
        <w:spacing w:before="120" w:after="120" w:line="240" w:lineRule="auto"/>
        <w:ind w:firstLine="567"/>
        <w:jc w:val="both"/>
        <w:rPr>
          <w:rFonts w:ascii="Times New Roman" w:eastAsia="Times New Roman" w:hAnsi="Times New Roman"/>
          <w:sz w:val="24"/>
          <w:szCs w:val="24"/>
        </w:rPr>
      </w:pPr>
      <w:r w:rsidRPr="005C652E">
        <w:rPr>
          <w:rFonts w:ascii="Times New Roman" w:eastAsia="Times New Roman" w:hAnsi="Times New Roman"/>
          <w:sz w:val="24"/>
          <w:szCs w:val="24"/>
        </w:rPr>
        <w:t>Ņemot vērā</w:t>
      </w:r>
      <w:r w:rsidR="00EF45C0">
        <w:rPr>
          <w:rFonts w:ascii="Times New Roman" w:eastAsia="Times New Roman" w:hAnsi="Times New Roman"/>
          <w:sz w:val="24"/>
          <w:szCs w:val="24"/>
        </w:rPr>
        <w:t>, ka</w:t>
      </w:r>
      <w:r w:rsidRPr="005C652E">
        <w:rPr>
          <w:rFonts w:ascii="Times New Roman" w:eastAsia="Times New Roman" w:hAnsi="Times New Roman"/>
          <w:sz w:val="24"/>
          <w:szCs w:val="24"/>
        </w:rPr>
        <w:t xml:space="preserve"> Latvija </w:t>
      </w:r>
      <w:r w:rsidR="00EF45C0">
        <w:rPr>
          <w:rFonts w:ascii="Times New Roman" w:eastAsia="Times New Roman" w:hAnsi="Times New Roman"/>
          <w:sz w:val="24"/>
          <w:szCs w:val="24"/>
        </w:rPr>
        <w:t xml:space="preserve">ir </w:t>
      </w:r>
      <w:r w:rsidRPr="005C652E">
        <w:rPr>
          <w:rFonts w:ascii="Times New Roman" w:eastAsia="Times New Roman" w:hAnsi="Times New Roman"/>
          <w:sz w:val="24"/>
          <w:szCs w:val="24"/>
        </w:rPr>
        <w:t xml:space="preserve">Eiropas </w:t>
      </w:r>
      <w:r w:rsidR="00EF45C0" w:rsidRPr="005C652E">
        <w:rPr>
          <w:rFonts w:ascii="Times New Roman" w:eastAsia="Times New Roman" w:hAnsi="Times New Roman"/>
          <w:sz w:val="24"/>
          <w:szCs w:val="24"/>
        </w:rPr>
        <w:t>Savienīb</w:t>
      </w:r>
      <w:r w:rsidR="00EF45C0">
        <w:rPr>
          <w:rFonts w:ascii="Times New Roman" w:eastAsia="Times New Roman" w:hAnsi="Times New Roman"/>
          <w:sz w:val="24"/>
          <w:szCs w:val="24"/>
        </w:rPr>
        <w:t xml:space="preserve">as </w:t>
      </w:r>
      <w:r w:rsidR="00042B88">
        <w:rPr>
          <w:rFonts w:ascii="Times New Roman" w:eastAsia="Times New Roman" w:hAnsi="Times New Roman"/>
          <w:sz w:val="24"/>
          <w:szCs w:val="24"/>
        </w:rPr>
        <w:t>(turpmāk – ES)</w:t>
      </w:r>
      <w:r w:rsidR="00EF45C0">
        <w:rPr>
          <w:rFonts w:ascii="Times New Roman" w:eastAsia="Times New Roman" w:hAnsi="Times New Roman"/>
          <w:sz w:val="24"/>
          <w:szCs w:val="24"/>
        </w:rPr>
        <w:t xml:space="preserve"> dalībvalsts</w:t>
      </w:r>
      <w:r w:rsidRPr="005C652E">
        <w:rPr>
          <w:rFonts w:ascii="Times New Roman" w:eastAsia="Times New Roman" w:hAnsi="Times New Roman"/>
          <w:sz w:val="24"/>
          <w:szCs w:val="24"/>
        </w:rPr>
        <w:t xml:space="preserve">, </w:t>
      </w:r>
      <w:r w:rsidRPr="00E6086F">
        <w:rPr>
          <w:rFonts w:ascii="Times New Roman" w:eastAsia="Times New Roman" w:hAnsi="Times New Roman"/>
          <w:sz w:val="24"/>
          <w:szCs w:val="24"/>
        </w:rPr>
        <w:t xml:space="preserve">Latvijas </w:t>
      </w:r>
      <w:r w:rsidR="00190184">
        <w:rPr>
          <w:rFonts w:ascii="Times New Roman" w:eastAsia="Times New Roman" w:hAnsi="Times New Roman"/>
          <w:sz w:val="24"/>
          <w:szCs w:val="24"/>
        </w:rPr>
        <w:t>SEG samazināšanas</w:t>
      </w:r>
      <w:r w:rsidRPr="00E6086F">
        <w:rPr>
          <w:rFonts w:ascii="Times New Roman" w:eastAsia="Times New Roman" w:hAnsi="Times New Roman"/>
          <w:sz w:val="24"/>
          <w:szCs w:val="24"/>
        </w:rPr>
        <w:t xml:space="preserve"> mērķi ir saistīti ar </w:t>
      </w:r>
      <w:r w:rsidR="00FE48AD">
        <w:rPr>
          <w:rFonts w:ascii="Times New Roman" w:eastAsia="Times New Roman" w:hAnsi="Times New Roman"/>
          <w:sz w:val="24"/>
          <w:szCs w:val="24"/>
        </w:rPr>
        <w:t>ES</w:t>
      </w:r>
      <w:r w:rsidRPr="00E6086F">
        <w:rPr>
          <w:rFonts w:ascii="Times New Roman" w:eastAsia="Times New Roman" w:hAnsi="Times New Roman"/>
          <w:sz w:val="24"/>
          <w:szCs w:val="24"/>
        </w:rPr>
        <w:t xml:space="preserve"> </w:t>
      </w:r>
      <w:r w:rsidR="00190184">
        <w:rPr>
          <w:rFonts w:ascii="Times New Roman" w:eastAsia="Times New Roman" w:hAnsi="Times New Roman"/>
          <w:sz w:val="24"/>
          <w:szCs w:val="24"/>
        </w:rPr>
        <w:t>SEG samazināšanas</w:t>
      </w:r>
      <w:r w:rsidRPr="00E6086F">
        <w:rPr>
          <w:rFonts w:ascii="Times New Roman" w:eastAsia="Times New Roman" w:hAnsi="Times New Roman"/>
          <w:sz w:val="24"/>
          <w:szCs w:val="24"/>
        </w:rPr>
        <w:t xml:space="preserve"> mērķiem, kā arī ar starptautisko klimata politiku</w:t>
      </w:r>
      <w:r w:rsidRPr="005C652E">
        <w:rPr>
          <w:rFonts w:ascii="Times New Roman" w:eastAsia="Times New Roman" w:hAnsi="Times New Roman"/>
          <w:sz w:val="24"/>
          <w:szCs w:val="24"/>
        </w:rPr>
        <w:t xml:space="preserve"> – </w:t>
      </w:r>
      <w:r w:rsidR="00890D13" w:rsidRPr="00046F8A">
        <w:rPr>
          <w:rFonts w:ascii="Times New Roman" w:hAnsi="Times New Roman"/>
          <w:sz w:val="24"/>
          <w:szCs w:val="24"/>
        </w:rPr>
        <w:t xml:space="preserve">Apvienoto Nāciju Organizācijas </w:t>
      </w:r>
      <w:r w:rsidR="003A305F">
        <w:rPr>
          <w:rFonts w:ascii="Times New Roman" w:hAnsi="Times New Roman"/>
          <w:sz w:val="24"/>
          <w:szCs w:val="24"/>
        </w:rPr>
        <w:t xml:space="preserve">(turpmāk – ANO) </w:t>
      </w:r>
      <w:r w:rsidR="00890D13" w:rsidRPr="00046F8A">
        <w:rPr>
          <w:rFonts w:ascii="Times New Roman" w:hAnsi="Times New Roman"/>
          <w:sz w:val="24"/>
          <w:szCs w:val="24"/>
        </w:rPr>
        <w:t>1992.</w:t>
      </w:r>
      <w:r w:rsidR="00F22174">
        <w:rPr>
          <w:rFonts w:ascii="Times New Roman" w:hAnsi="Times New Roman"/>
          <w:sz w:val="24"/>
          <w:szCs w:val="24"/>
        </w:rPr>
        <w:t> </w:t>
      </w:r>
      <w:r w:rsidR="00890D13" w:rsidRPr="00046F8A">
        <w:rPr>
          <w:rFonts w:ascii="Times New Roman" w:hAnsi="Times New Roman"/>
          <w:sz w:val="24"/>
          <w:szCs w:val="24"/>
        </w:rPr>
        <w:t>gada 9.</w:t>
      </w:r>
      <w:r w:rsidR="00F22174">
        <w:rPr>
          <w:rFonts w:ascii="Times New Roman" w:hAnsi="Times New Roman"/>
          <w:sz w:val="24"/>
          <w:szCs w:val="24"/>
        </w:rPr>
        <w:t> </w:t>
      </w:r>
      <w:r w:rsidR="00890D13" w:rsidRPr="00046F8A">
        <w:rPr>
          <w:rFonts w:ascii="Times New Roman" w:hAnsi="Times New Roman"/>
          <w:sz w:val="24"/>
          <w:szCs w:val="24"/>
        </w:rPr>
        <w:t>maija Vispārējā konvencija par klimata pārmaiņām</w:t>
      </w:r>
      <w:r w:rsidR="00890D13">
        <w:rPr>
          <w:rFonts w:ascii="Times New Roman" w:hAnsi="Times New Roman"/>
          <w:sz w:val="24"/>
          <w:szCs w:val="24"/>
        </w:rPr>
        <w:t xml:space="preserve"> </w:t>
      </w:r>
      <w:r w:rsidRPr="005C652E">
        <w:rPr>
          <w:rFonts w:ascii="Times New Roman" w:hAnsi="Times New Roman"/>
          <w:sz w:val="24"/>
          <w:szCs w:val="24"/>
        </w:rPr>
        <w:t xml:space="preserve"> (turpmāk – </w:t>
      </w:r>
      <w:r w:rsidR="003A305F">
        <w:rPr>
          <w:rFonts w:ascii="Times New Roman" w:hAnsi="Times New Roman"/>
          <w:sz w:val="24"/>
          <w:szCs w:val="24"/>
        </w:rPr>
        <w:t>Klimata k</w:t>
      </w:r>
      <w:r w:rsidRPr="005C652E">
        <w:rPr>
          <w:rFonts w:ascii="Times New Roman" w:hAnsi="Times New Roman"/>
          <w:sz w:val="24"/>
          <w:szCs w:val="24"/>
        </w:rPr>
        <w:t>onvencija)</w:t>
      </w:r>
      <w:r w:rsidR="00190184">
        <w:rPr>
          <w:rFonts w:ascii="Times New Roman" w:hAnsi="Times New Roman"/>
          <w:sz w:val="24"/>
          <w:szCs w:val="24"/>
        </w:rPr>
        <w:t>,</w:t>
      </w:r>
      <w:r w:rsidRPr="005C652E">
        <w:rPr>
          <w:rFonts w:ascii="Times New Roman" w:hAnsi="Times New Roman"/>
          <w:sz w:val="24"/>
          <w:szCs w:val="24"/>
        </w:rPr>
        <w:t xml:space="preserve"> tās </w:t>
      </w:r>
      <w:r w:rsidR="003A305F">
        <w:rPr>
          <w:rFonts w:ascii="Times New Roman" w:hAnsi="Times New Roman"/>
          <w:sz w:val="24"/>
          <w:szCs w:val="24"/>
        </w:rPr>
        <w:t xml:space="preserve"> ANO</w:t>
      </w:r>
      <w:r w:rsidR="00890D13" w:rsidRPr="00890D13">
        <w:rPr>
          <w:rFonts w:ascii="Times New Roman" w:hAnsi="Times New Roman"/>
          <w:sz w:val="24"/>
          <w:szCs w:val="24"/>
        </w:rPr>
        <w:t xml:space="preserve"> 1992.</w:t>
      </w:r>
      <w:r w:rsidR="00F22174">
        <w:rPr>
          <w:rFonts w:ascii="Times New Roman" w:hAnsi="Times New Roman"/>
          <w:sz w:val="24"/>
          <w:szCs w:val="24"/>
        </w:rPr>
        <w:t> </w:t>
      </w:r>
      <w:r w:rsidR="00890D13" w:rsidRPr="00890D13">
        <w:rPr>
          <w:rFonts w:ascii="Times New Roman" w:hAnsi="Times New Roman"/>
          <w:sz w:val="24"/>
          <w:szCs w:val="24"/>
        </w:rPr>
        <w:t>gada 9.</w:t>
      </w:r>
      <w:r w:rsidR="00F22174">
        <w:rPr>
          <w:rFonts w:ascii="Times New Roman" w:hAnsi="Times New Roman"/>
          <w:sz w:val="24"/>
          <w:szCs w:val="24"/>
        </w:rPr>
        <w:t> </w:t>
      </w:r>
      <w:r w:rsidR="00890D13" w:rsidRPr="00890D13">
        <w:rPr>
          <w:rFonts w:ascii="Times New Roman" w:hAnsi="Times New Roman"/>
          <w:sz w:val="24"/>
          <w:szCs w:val="24"/>
        </w:rPr>
        <w:t xml:space="preserve">maija </w:t>
      </w:r>
      <w:r w:rsidR="003A305F">
        <w:rPr>
          <w:rFonts w:ascii="Times New Roman" w:hAnsi="Times New Roman"/>
          <w:sz w:val="24"/>
          <w:szCs w:val="24"/>
        </w:rPr>
        <w:t xml:space="preserve"> Klimata konvencijas</w:t>
      </w:r>
      <w:r w:rsidR="00890D13">
        <w:rPr>
          <w:rFonts w:ascii="Times New Roman" w:hAnsi="Times New Roman"/>
          <w:sz w:val="24"/>
          <w:szCs w:val="24"/>
        </w:rPr>
        <w:t xml:space="preserve"> Kioto protokolu</w:t>
      </w:r>
      <w:r w:rsidR="00866F0D">
        <w:rPr>
          <w:rFonts w:ascii="Times New Roman" w:hAnsi="Times New Roman"/>
          <w:sz w:val="24"/>
          <w:szCs w:val="24"/>
        </w:rPr>
        <w:t xml:space="preserve"> (turpmāk - </w:t>
      </w:r>
      <w:r w:rsidR="00866F0D" w:rsidRPr="00CB3E4B">
        <w:rPr>
          <w:rFonts w:ascii="Times New Roman" w:hAnsi="Times New Roman"/>
          <w:sz w:val="24"/>
          <w:szCs w:val="24"/>
        </w:rPr>
        <w:t>Kioto protokol</w:t>
      </w:r>
      <w:r w:rsidR="00866F0D">
        <w:rPr>
          <w:rFonts w:ascii="Times New Roman" w:hAnsi="Times New Roman"/>
          <w:sz w:val="24"/>
          <w:szCs w:val="24"/>
        </w:rPr>
        <w:t>s)</w:t>
      </w:r>
      <w:r w:rsidR="00481147">
        <w:rPr>
          <w:rFonts w:ascii="Times New Roman" w:hAnsi="Times New Roman"/>
          <w:sz w:val="24"/>
          <w:szCs w:val="24"/>
        </w:rPr>
        <w:t xml:space="preserve"> </w:t>
      </w:r>
      <w:r w:rsidR="00190184">
        <w:rPr>
          <w:rFonts w:ascii="Times New Roman" w:hAnsi="Times New Roman"/>
          <w:sz w:val="24"/>
          <w:szCs w:val="24"/>
        </w:rPr>
        <w:t xml:space="preserve">un </w:t>
      </w:r>
      <w:r w:rsidR="003A305F">
        <w:rPr>
          <w:rFonts w:ascii="Times New Roman" w:hAnsi="Times New Roman"/>
          <w:sz w:val="24"/>
          <w:szCs w:val="24"/>
        </w:rPr>
        <w:t>Klimata k</w:t>
      </w:r>
      <w:r w:rsidR="00EF45C0">
        <w:rPr>
          <w:rFonts w:ascii="Times New Roman" w:hAnsi="Times New Roman"/>
          <w:sz w:val="24"/>
          <w:szCs w:val="24"/>
        </w:rPr>
        <w:t xml:space="preserve">onvencijas ietvaros noslēgto </w:t>
      </w:r>
      <w:r w:rsidR="00190184">
        <w:rPr>
          <w:rFonts w:ascii="Times New Roman" w:hAnsi="Times New Roman"/>
          <w:sz w:val="24"/>
          <w:szCs w:val="24"/>
        </w:rPr>
        <w:t>Parīzes nolīgumu</w:t>
      </w:r>
      <w:r w:rsidRPr="005C652E">
        <w:rPr>
          <w:rFonts w:ascii="Times New Roman" w:hAnsi="Times New Roman"/>
          <w:sz w:val="24"/>
          <w:szCs w:val="24"/>
        </w:rPr>
        <w:t>.</w:t>
      </w:r>
    </w:p>
    <w:p w14:paraId="40D939CD" w14:textId="20438610" w:rsidR="00D775D2" w:rsidRPr="005C652E" w:rsidRDefault="00D775D2" w:rsidP="00E6086F">
      <w:pPr>
        <w:spacing w:before="120" w:after="120" w:line="240" w:lineRule="auto"/>
        <w:ind w:firstLine="567"/>
        <w:jc w:val="both"/>
        <w:rPr>
          <w:rFonts w:ascii="Times New Roman" w:eastAsia="Times New Roman" w:hAnsi="Times New Roman"/>
          <w:sz w:val="24"/>
          <w:szCs w:val="24"/>
        </w:rPr>
      </w:pPr>
      <w:r w:rsidRPr="00E6086F">
        <w:rPr>
          <w:rFonts w:ascii="Times New Roman" w:eastAsia="Times New Roman" w:hAnsi="Times New Roman"/>
          <w:sz w:val="24"/>
          <w:szCs w:val="24"/>
        </w:rPr>
        <w:t xml:space="preserve">ES </w:t>
      </w:r>
      <w:r w:rsidR="00CB5C99" w:rsidRPr="00E6086F">
        <w:rPr>
          <w:rFonts w:ascii="Times New Roman" w:eastAsia="Times New Roman" w:hAnsi="Times New Roman"/>
          <w:sz w:val="24"/>
          <w:szCs w:val="24"/>
        </w:rPr>
        <w:t xml:space="preserve">ietvaros </w:t>
      </w:r>
      <w:r w:rsidR="008D7D41">
        <w:rPr>
          <w:rFonts w:ascii="Times New Roman" w:eastAsia="Times New Roman" w:hAnsi="Times New Roman"/>
          <w:sz w:val="24"/>
          <w:szCs w:val="24"/>
        </w:rPr>
        <w:t xml:space="preserve">saskaņā ar </w:t>
      </w:r>
      <w:r w:rsidR="00806218">
        <w:rPr>
          <w:rFonts w:ascii="Times New Roman" w:eastAsia="Times New Roman" w:hAnsi="Times New Roman"/>
          <w:sz w:val="24"/>
          <w:szCs w:val="24"/>
        </w:rPr>
        <w:t>2007. gada 8. un 9.marta Eiropadomes prezidentvalsts secinājumiem 32.punktu</w:t>
      </w:r>
      <w:r w:rsidR="00806218">
        <w:rPr>
          <w:rStyle w:val="FootnoteReference"/>
          <w:rFonts w:ascii="Times New Roman" w:eastAsia="Times New Roman" w:hAnsi="Times New Roman"/>
          <w:sz w:val="24"/>
          <w:szCs w:val="24"/>
        </w:rPr>
        <w:footnoteReference w:id="1"/>
      </w:r>
      <w:r w:rsidR="00806218">
        <w:rPr>
          <w:rFonts w:ascii="Times New Roman" w:eastAsia="Times New Roman" w:hAnsi="Times New Roman"/>
          <w:sz w:val="24"/>
          <w:szCs w:val="24"/>
        </w:rPr>
        <w:t xml:space="preserve"> un 2014. gada 23. un 24. oktobra</w:t>
      </w:r>
      <w:r w:rsidR="00806218" w:rsidRPr="00806218">
        <w:rPr>
          <w:rFonts w:ascii="Times New Roman" w:eastAsia="Times New Roman" w:hAnsi="Times New Roman"/>
          <w:sz w:val="24"/>
          <w:szCs w:val="24"/>
        </w:rPr>
        <w:t xml:space="preserve"> </w:t>
      </w:r>
      <w:r w:rsidR="008D7D41">
        <w:rPr>
          <w:rFonts w:ascii="Times New Roman" w:eastAsia="Times New Roman" w:hAnsi="Times New Roman"/>
          <w:sz w:val="24"/>
          <w:szCs w:val="24"/>
        </w:rPr>
        <w:t>Eiropadomes secinājumiem</w:t>
      </w:r>
      <w:r w:rsidR="00806218">
        <w:rPr>
          <w:rFonts w:ascii="Times New Roman" w:eastAsia="Times New Roman" w:hAnsi="Times New Roman"/>
          <w:sz w:val="24"/>
          <w:szCs w:val="24"/>
        </w:rPr>
        <w:t xml:space="preserve"> 2.punkta 1. apakšpunktā</w:t>
      </w:r>
      <w:r w:rsidR="00806218">
        <w:rPr>
          <w:rStyle w:val="FootnoteReference"/>
          <w:rFonts w:ascii="Times New Roman" w:eastAsia="Times New Roman" w:hAnsi="Times New Roman"/>
          <w:sz w:val="24"/>
          <w:szCs w:val="24"/>
        </w:rPr>
        <w:footnoteReference w:id="2"/>
      </w:r>
      <w:r w:rsidR="008D7D41">
        <w:rPr>
          <w:rFonts w:ascii="Times New Roman" w:eastAsia="Times New Roman" w:hAnsi="Times New Roman"/>
          <w:sz w:val="24"/>
          <w:szCs w:val="24"/>
        </w:rPr>
        <w:t xml:space="preserve"> </w:t>
      </w:r>
      <w:r w:rsidR="00CB5C99" w:rsidRPr="00E6086F">
        <w:rPr>
          <w:rFonts w:ascii="Times New Roman" w:eastAsia="Times New Roman" w:hAnsi="Times New Roman"/>
          <w:sz w:val="24"/>
          <w:szCs w:val="24"/>
        </w:rPr>
        <w:t>ir noteikt</w:t>
      </w:r>
      <w:r w:rsidR="00806218">
        <w:rPr>
          <w:rFonts w:ascii="Times New Roman" w:eastAsia="Times New Roman" w:hAnsi="Times New Roman"/>
          <w:sz w:val="24"/>
          <w:szCs w:val="24"/>
        </w:rPr>
        <w:t>i</w:t>
      </w:r>
      <w:r w:rsidR="00CB5C99" w:rsidRPr="00E6086F">
        <w:rPr>
          <w:rFonts w:ascii="Times New Roman" w:eastAsia="Times New Roman" w:hAnsi="Times New Roman"/>
          <w:sz w:val="24"/>
          <w:szCs w:val="24"/>
        </w:rPr>
        <w:t xml:space="preserve"> kopēj</w:t>
      </w:r>
      <w:r w:rsidR="00806218">
        <w:rPr>
          <w:rFonts w:ascii="Times New Roman" w:eastAsia="Times New Roman" w:hAnsi="Times New Roman"/>
          <w:sz w:val="24"/>
          <w:szCs w:val="24"/>
        </w:rPr>
        <w:t>ie</w:t>
      </w:r>
      <w:r w:rsidR="00CB5C99" w:rsidRPr="00E6086F">
        <w:rPr>
          <w:rFonts w:ascii="Times New Roman" w:eastAsia="Times New Roman" w:hAnsi="Times New Roman"/>
          <w:sz w:val="24"/>
          <w:szCs w:val="24"/>
        </w:rPr>
        <w:t xml:space="preserve"> ES </w:t>
      </w:r>
      <w:r w:rsidRPr="00E6086F">
        <w:rPr>
          <w:rFonts w:ascii="Times New Roman" w:eastAsia="Times New Roman" w:hAnsi="Times New Roman"/>
          <w:sz w:val="24"/>
          <w:szCs w:val="24"/>
        </w:rPr>
        <w:t>SEG emisiju samazināšanas mērķi</w:t>
      </w:r>
      <w:r w:rsidR="00CB5C99" w:rsidRPr="00E6086F">
        <w:rPr>
          <w:rFonts w:ascii="Times New Roman" w:eastAsia="Times New Roman" w:hAnsi="Times New Roman"/>
          <w:sz w:val="24"/>
          <w:szCs w:val="24"/>
        </w:rPr>
        <w:t>, un t</w:t>
      </w:r>
      <w:r w:rsidR="004639FD">
        <w:rPr>
          <w:rFonts w:ascii="Times New Roman" w:eastAsia="Times New Roman" w:hAnsi="Times New Roman"/>
          <w:sz w:val="24"/>
          <w:szCs w:val="24"/>
        </w:rPr>
        <w:t>ie</w:t>
      </w:r>
      <w:r w:rsidRPr="00E6086F">
        <w:rPr>
          <w:rFonts w:ascii="Times New Roman" w:eastAsia="Times New Roman" w:hAnsi="Times New Roman"/>
          <w:sz w:val="24"/>
          <w:szCs w:val="24"/>
        </w:rPr>
        <w:t xml:space="preserve"> ir </w:t>
      </w:r>
      <w:r w:rsidR="00CB5C99" w:rsidRPr="00E6086F">
        <w:rPr>
          <w:rFonts w:ascii="Times New Roman" w:eastAsia="Times New Roman" w:hAnsi="Times New Roman"/>
          <w:sz w:val="24"/>
          <w:szCs w:val="24"/>
        </w:rPr>
        <w:t>sadalīt</w:t>
      </w:r>
      <w:r w:rsidR="004639FD">
        <w:rPr>
          <w:rFonts w:ascii="Times New Roman" w:eastAsia="Times New Roman" w:hAnsi="Times New Roman"/>
          <w:sz w:val="24"/>
          <w:szCs w:val="24"/>
        </w:rPr>
        <w:t>i</w:t>
      </w:r>
      <w:r w:rsidR="00CB5C99" w:rsidRPr="00E6086F">
        <w:rPr>
          <w:rFonts w:ascii="Times New Roman" w:eastAsia="Times New Roman" w:hAnsi="Times New Roman"/>
          <w:sz w:val="24"/>
          <w:szCs w:val="24"/>
        </w:rPr>
        <w:t xml:space="preserve"> divās daļās</w:t>
      </w:r>
      <w:r w:rsidR="00CB5C99" w:rsidRPr="005C652E">
        <w:rPr>
          <w:rFonts w:ascii="Times New Roman" w:eastAsia="Times New Roman" w:hAnsi="Times New Roman"/>
          <w:sz w:val="24"/>
          <w:szCs w:val="24"/>
        </w:rPr>
        <w:t xml:space="preserve"> – </w:t>
      </w:r>
      <w:r w:rsidRPr="005C652E">
        <w:rPr>
          <w:rFonts w:ascii="Times New Roman" w:eastAsia="Times New Roman" w:hAnsi="Times New Roman"/>
          <w:sz w:val="24"/>
          <w:szCs w:val="24"/>
        </w:rPr>
        <w:t>ES Emisijas kvotu tirdzniecības sistēmā</w:t>
      </w:r>
      <w:r w:rsidRPr="005C652E">
        <w:rPr>
          <w:rStyle w:val="FootnoteReference"/>
          <w:rFonts w:ascii="Times New Roman" w:eastAsia="Times New Roman" w:hAnsi="Times New Roman"/>
          <w:sz w:val="24"/>
          <w:szCs w:val="24"/>
        </w:rPr>
        <w:footnoteReference w:id="3"/>
      </w:r>
      <w:r w:rsidRPr="005C652E">
        <w:rPr>
          <w:rFonts w:ascii="Times New Roman" w:eastAsia="Times New Roman" w:hAnsi="Times New Roman"/>
          <w:sz w:val="24"/>
          <w:szCs w:val="24"/>
        </w:rPr>
        <w:t xml:space="preserve"> (turpmāk – ES ETS) </w:t>
      </w:r>
      <w:r w:rsidR="00CB5C99" w:rsidRPr="005C652E">
        <w:rPr>
          <w:rFonts w:ascii="Times New Roman" w:eastAsia="Times New Roman" w:hAnsi="Times New Roman"/>
          <w:sz w:val="24"/>
          <w:szCs w:val="24"/>
        </w:rPr>
        <w:t xml:space="preserve">iekļautās darbības </w:t>
      </w:r>
      <w:r w:rsidRPr="005C652E">
        <w:rPr>
          <w:rFonts w:ascii="Times New Roman" w:eastAsia="Times New Roman" w:hAnsi="Times New Roman"/>
          <w:sz w:val="24"/>
          <w:szCs w:val="24"/>
        </w:rPr>
        <w:t xml:space="preserve">un </w:t>
      </w:r>
      <w:r w:rsidR="00CB5C99" w:rsidRPr="005C652E">
        <w:rPr>
          <w:rFonts w:ascii="Times New Roman" w:eastAsia="Times New Roman" w:hAnsi="Times New Roman"/>
          <w:sz w:val="24"/>
          <w:szCs w:val="24"/>
        </w:rPr>
        <w:t xml:space="preserve">ES </w:t>
      </w:r>
      <w:r w:rsidRPr="005C652E">
        <w:rPr>
          <w:rFonts w:ascii="Times New Roman" w:eastAsia="Times New Roman" w:hAnsi="Times New Roman"/>
          <w:sz w:val="24"/>
          <w:szCs w:val="24"/>
        </w:rPr>
        <w:t>ETS neiekļaut</w:t>
      </w:r>
      <w:r w:rsidR="00CB5C99" w:rsidRPr="005C652E">
        <w:rPr>
          <w:rFonts w:ascii="Times New Roman" w:eastAsia="Times New Roman" w:hAnsi="Times New Roman"/>
          <w:sz w:val="24"/>
          <w:szCs w:val="24"/>
        </w:rPr>
        <w:t>ās</w:t>
      </w:r>
      <w:r w:rsidRPr="005C652E">
        <w:rPr>
          <w:rFonts w:ascii="Times New Roman" w:eastAsia="Times New Roman" w:hAnsi="Times New Roman"/>
          <w:sz w:val="24"/>
          <w:szCs w:val="24"/>
        </w:rPr>
        <w:t xml:space="preserve"> darbīb</w:t>
      </w:r>
      <w:r w:rsidR="00CB5C99" w:rsidRPr="005C652E">
        <w:rPr>
          <w:rFonts w:ascii="Times New Roman" w:eastAsia="Times New Roman" w:hAnsi="Times New Roman"/>
          <w:sz w:val="24"/>
          <w:szCs w:val="24"/>
        </w:rPr>
        <w:t>as</w:t>
      </w:r>
      <w:r w:rsidRPr="005C652E">
        <w:rPr>
          <w:rFonts w:ascii="Times New Roman" w:eastAsia="Times New Roman" w:hAnsi="Times New Roman"/>
          <w:sz w:val="24"/>
          <w:szCs w:val="24"/>
        </w:rPr>
        <w:t xml:space="preserve"> (turpmāk – ne-ETS)</w:t>
      </w:r>
      <w:r w:rsidR="00CB5C99" w:rsidRPr="005C652E">
        <w:rPr>
          <w:rFonts w:ascii="Times New Roman" w:eastAsia="Times New Roman" w:hAnsi="Times New Roman"/>
          <w:sz w:val="24"/>
          <w:szCs w:val="24"/>
        </w:rPr>
        <w:t>. ES noteiktie kopīgie mērķi:</w:t>
      </w:r>
    </w:p>
    <w:p w14:paraId="688B448A" w14:textId="0B72E213" w:rsidR="00D775D2" w:rsidRPr="005C652E" w:rsidRDefault="00D775D2" w:rsidP="002C16A2">
      <w:pPr>
        <w:pStyle w:val="ListParagraph"/>
        <w:numPr>
          <w:ilvl w:val="0"/>
          <w:numId w:val="5"/>
        </w:numPr>
        <w:spacing w:before="120" w:after="120" w:line="240" w:lineRule="auto"/>
        <w:ind w:left="340" w:hanging="340"/>
        <w:contextualSpacing w:val="0"/>
        <w:jc w:val="both"/>
        <w:rPr>
          <w:rFonts w:ascii="Times New Roman" w:eastAsia="Times New Roman" w:hAnsi="Times New Roman" w:cs="Times New Roman"/>
          <w:sz w:val="24"/>
          <w:szCs w:val="24"/>
        </w:rPr>
      </w:pPr>
      <w:r w:rsidRPr="005C652E">
        <w:rPr>
          <w:rFonts w:ascii="Times New Roman" w:eastAsia="Times New Roman" w:hAnsi="Times New Roman" w:cs="Times New Roman"/>
          <w:sz w:val="24"/>
          <w:szCs w:val="24"/>
        </w:rPr>
        <w:t>ES ETS operatoriem kopīgi visā ES ir jāsamazina SEG emisiju apjoms par 21</w:t>
      </w:r>
      <w:r w:rsidR="00042B88">
        <w:rPr>
          <w:rFonts w:ascii="Times New Roman" w:eastAsia="Times New Roman" w:hAnsi="Times New Roman" w:cs="Times New Roman"/>
          <w:sz w:val="24"/>
          <w:szCs w:val="24"/>
        </w:rPr>
        <w:t> </w:t>
      </w:r>
      <w:r w:rsidRPr="005C652E">
        <w:rPr>
          <w:rFonts w:ascii="Times New Roman" w:eastAsia="Times New Roman" w:hAnsi="Times New Roman" w:cs="Times New Roman"/>
          <w:sz w:val="24"/>
          <w:szCs w:val="24"/>
        </w:rPr>
        <w:t>% līdz 2020.</w:t>
      </w:r>
      <w:r w:rsidR="00042B88">
        <w:rPr>
          <w:rFonts w:ascii="Times New Roman" w:eastAsia="Times New Roman" w:hAnsi="Times New Roman" w:cs="Times New Roman"/>
          <w:sz w:val="24"/>
          <w:szCs w:val="24"/>
        </w:rPr>
        <w:t> </w:t>
      </w:r>
      <w:r w:rsidRPr="005C652E">
        <w:rPr>
          <w:rFonts w:ascii="Times New Roman" w:eastAsia="Times New Roman" w:hAnsi="Times New Roman" w:cs="Times New Roman"/>
          <w:sz w:val="24"/>
          <w:szCs w:val="24"/>
        </w:rPr>
        <w:t>gadam un par 43</w:t>
      </w:r>
      <w:r w:rsidR="00042B88">
        <w:rPr>
          <w:rFonts w:ascii="Times New Roman" w:eastAsia="Times New Roman" w:hAnsi="Times New Roman" w:cs="Times New Roman"/>
          <w:sz w:val="24"/>
          <w:szCs w:val="24"/>
        </w:rPr>
        <w:t> </w:t>
      </w:r>
      <w:r w:rsidRPr="005C652E">
        <w:rPr>
          <w:rFonts w:ascii="Times New Roman" w:eastAsia="Times New Roman" w:hAnsi="Times New Roman" w:cs="Times New Roman"/>
          <w:sz w:val="24"/>
          <w:szCs w:val="24"/>
        </w:rPr>
        <w:t>% līdz 2030.</w:t>
      </w:r>
      <w:r w:rsidR="00042B88">
        <w:rPr>
          <w:rFonts w:ascii="Times New Roman" w:eastAsia="Times New Roman" w:hAnsi="Times New Roman" w:cs="Times New Roman"/>
          <w:sz w:val="24"/>
          <w:szCs w:val="24"/>
        </w:rPr>
        <w:t> </w:t>
      </w:r>
      <w:r w:rsidRPr="005C652E">
        <w:rPr>
          <w:rFonts w:ascii="Times New Roman" w:eastAsia="Times New Roman" w:hAnsi="Times New Roman" w:cs="Times New Roman"/>
          <w:sz w:val="24"/>
          <w:szCs w:val="24"/>
        </w:rPr>
        <w:t>gadam</w:t>
      </w:r>
      <w:r w:rsidR="00CB5C99" w:rsidRPr="005C652E">
        <w:rPr>
          <w:rFonts w:ascii="Times New Roman" w:eastAsia="Times New Roman" w:hAnsi="Times New Roman" w:cs="Times New Roman"/>
          <w:sz w:val="24"/>
          <w:szCs w:val="24"/>
        </w:rPr>
        <w:t xml:space="preserve"> (salīdzinot ar šo ES ETS operatoru SEG emisiju apjomu 2005.</w:t>
      </w:r>
      <w:r w:rsidR="00042B88">
        <w:rPr>
          <w:rFonts w:ascii="Times New Roman" w:eastAsia="Times New Roman" w:hAnsi="Times New Roman" w:cs="Times New Roman"/>
          <w:sz w:val="24"/>
          <w:szCs w:val="24"/>
        </w:rPr>
        <w:t> </w:t>
      </w:r>
      <w:r w:rsidR="00CB5C99" w:rsidRPr="005C652E">
        <w:rPr>
          <w:rFonts w:ascii="Times New Roman" w:eastAsia="Times New Roman" w:hAnsi="Times New Roman" w:cs="Times New Roman"/>
          <w:sz w:val="24"/>
          <w:szCs w:val="24"/>
        </w:rPr>
        <w:t>gadā)</w:t>
      </w:r>
      <w:r w:rsidR="00132B9E">
        <w:rPr>
          <w:rFonts w:ascii="Times New Roman" w:eastAsia="Times New Roman" w:hAnsi="Times New Roman" w:cs="Times New Roman"/>
          <w:sz w:val="24"/>
          <w:szCs w:val="24"/>
        </w:rPr>
        <w:t xml:space="preserve"> (turpmāk – ES ETS mērķis);</w:t>
      </w:r>
      <w:r w:rsidRPr="005C652E">
        <w:rPr>
          <w:rFonts w:ascii="Times New Roman" w:eastAsia="Times New Roman" w:hAnsi="Times New Roman" w:cs="Times New Roman"/>
          <w:sz w:val="24"/>
          <w:szCs w:val="24"/>
        </w:rPr>
        <w:t xml:space="preserve"> </w:t>
      </w:r>
    </w:p>
    <w:p w14:paraId="41D13E85" w14:textId="3A7F2F4E" w:rsidR="00D775D2" w:rsidRPr="005C652E" w:rsidRDefault="00D775D2" w:rsidP="002C16A2">
      <w:pPr>
        <w:pStyle w:val="ListParagraph"/>
        <w:numPr>
          <w:ilvl w:val="0"/>
          <w:numId w:val="5"/>
        </w:numPr>
        <w:spacing w:before="120" w:after="120" w:line="240" w:lineRule="auto"/>
        <w:ind w:left="340" w:hanging="340"/>
        <w:contextualSpacing w:val="0"/>
        <w:jc w:val="both"/>
        <w:rPr>
          <w:rFonts w:ascii="Times New Roman" w:eastAsia="Times New Roman" w:hAnsi="Times New Roman" w:cs="Times New Roman"/>
          <w:sz w:val="24"/>
          <w:szCs w:val="24"/>
        </w:rPr>
      </w:pPr>
      <w:r w:rsidRPr="005C652E">
        <w:rPr>
          <w:rFonts w:ascii="Times New Roman" w:eastAsia="Times New Roman" w:hAnsi="Times New Roman" w:cs="Times New Roman"/>
          <w:sz w:val="24"/>
          <w:szCs w:val="24"/>
        </w:rPr>
        <w:t>kopēj</w:t>
      </w:r>
      <w:r w:rsidR="00CB5C99" w:rsidRPr="005C652E">
        <w:rPr>
          <w:rFonts w:ascii="Times New Roman" w:eastAsia="Times New Roman" w:hAnsi="Times New Roman" w:cs="Times New Roman"/>
          <w:sz w:val="24"/>
          <w:szCs w:val="24"/>
        </w:rPr>
        <w:t>ais</w:t>
      </w:r>
      <w:r w:rsidRPr="005C652E">
        <w:rPr>
          <w:rFonts w:ascii="Times New Roman" w:eastAsia="Times New Roman" w:hAnsi="Times New Roman" w:cs="Times New Roman"/>
          <w:sz w:val="24"/>
          <w:szCs w:val="24"/>
        </w:rPr>
        <w:t xml:space="preserve"> ES ne-ETS SEG emisiju apjoms ir jāsamazina par 10</w:t>
      </w:r>
      <w:r w:rsidR="00042B88">
        <w:rPr>
          <w:rFonts w:ascii="Times New Roman" w:eastAsia="Times New Roman" w:hAnsi="Times New Roman" w:cs="Times New Roman"/>
          <w:sz w:val="24"/>
          <w:szCs w:val="24"/>
        </w:rPr>
        <w:t> </w:t>
      </w:r>
      <w:r w:rsidRPr="005C652E">
        <w:rPr>
          <w:rFonts w:ascii="Times New Roman" w:eastAsia="Times New Roman" w:hAnsi="Times New Roman" w:cs="Times New Roman"/>
          <w:sz w:val="24"/>
          <w:szCs w:val="24"/>
        </w:rPr>
        <w:t xml:space="preserve">% </w:t>
      </w:r>
      <w:r w:rsidR="00CB5C99" w:rsidRPr="005C652E">
        <w:rPr>
          <w:rFonts w:ascii="Times New Roman" w:eastAsia="Times New Roman" w:hAnsi="Times New Roman" w:cs="Times New Roman"/>
          <w:sz w:val="24"/>
          <w:szCs w:val="24"/>
        </w:rPr>
        <w:t>līdz 2020.</w:t>
      </w:r>
      <w:r w:rsidR="00042B88">
        <w:rPr>
          <w:rFonts w:ascii="Times New Roman" w:eastAsia="Times New Roman" w:hAnsi="Times New Roman" w:cs="Times New Roman"/>
          <w:sz w:val="24"/>
          <w:szCs w:val="24"/>
        </w:rPr>
        <w:t> </w:t>
      </w:r>
      <w:r w:rsidR="00CB5C99" w:rsidRPr="005C652E">
        <w:rPr>
          <w:rFonts w:ascii="Times New Roman" w:eastAsia="Times New Roman" w:hAnsi="Times New Roman" w:cs="Times New Roman"/>
          <w:sz w:val="24"/>
          <w:szCs w:val="24"/>
        </w:rPr>
        <w:t xml:space="preserve">gadam </w:t>
      </w:r>
      <w:r w:rsidRPr="005C652E">
        <w:rPr>
          <w:rFonts w:ascii="Times New Roman" w:eastAsia="Times New Roman" w:hAnsi="Times New Roman" w:cs="Times New Roman"/>
          <w:sz w:val="24"/>
          <w:szCs w:val="24"/>
        </w:rPr>
        <w:t>un par 30</w:t>
      </w:r>
      <w:r w:rsidR="00042B88">
        <w:rPr>
          <w:rFonts w:ascii="Times New Roman" w:eastAsia="Times New Roman" w:hAnsi="Times New Roman" w:cs="Times New Roman"/>
          <w:sz w:val="24"/>
          <w:szCs w:val="24"/>
        </w:rPr>
        <w:t> </w:t>
      </w:r>
      <w:r w:rsidRPr="005C652E">
        <w:rPr>
          <w:rFonts w:ascii="Times New Roman" w:eastAsia="Times New Roman" w:hAnsi="Times New Roman" w:cs="Times New Roman"/>
          <w:sz w:val="24"/>
          <w:szCs w:val="24"/>
        </w:rPr>
        <w:t>% līdz 2030.</w:t>
      </w:r>
      <w:r w:rsidR="00042B88">
        <w:rPr>
          <w:rFonts w:ascii="Times New Roman" w:eastAsia="Times New Roman" w:hAnsi="Times New Roman" w:cs="Times New Roman"/>
          <w:sz w:val="24"/>
          <w:szCs w:val="24"/>
        </w:rPr>
        <w:t> </w:t>
      </w:r>
      <w:r w:rsidRPr="005C652E">
        <w:rPr>
          <w:rFonts w:ascii="Times New Roman" w:eastAsia="Times New Roman" w:hAnsi="Times New Roman" w:cs="Times New Roman"/>
          <w:sz w:val="24"/>
          <w:szCs w:val="24"/>
        </w:rPr>
        <w:t>gadam</w:t>
      </w:r>
      <w:r w:rsidR="00CB5C99" w:rsidRPr="005C652E">
        <w:rPr>
          <w:rFonts w:ascii="Times New Roman" w:eastAsia="Times New Roman" w:hAnsi="Times New Roman" w:cs="Times New Roman"/>
          <w:sz w:val="24"/>
          <w:szCs w:val="24"/>
        </w:rPr>
        <w:t xml:space="preserve"> (salīdzinot ar šo ne-ETS darbību SEG emisiju apjomu 2005.</w:t>
      </w:r>
      <w:r w:rsidR="00042B88">
        <w:rPr>
          <w:rFonts w:ascii="Times New Roman" w:eastAsia="Times New Roman" w:hAnsi="Times New Roman" w:cs="Times New Roman"/>
          <w:sz w:val="24"/>
          <w:szCs w:val="24"/>
        </w:rPr>
        <w:t> </w:t>
      </w:r>
      <w:r w:rsidR="00CB5C99" w:rsidRPr="005C652E">
        <w:rPr>
          <w:rFonts w:ascii="Times New Roman" w:eastAsia="Times New Roman" w:hAnsi="Times New Roman" w:cs="Times New Roman"/>
          <w:sz w:val="24"/>
          <w:szCs w:val="24"/>
        </w:rPr>
        <w:t>gadā)</w:t>
      </w:r>
      <w:r w:rsidR="00132B9E">
        <w:rPr>
          <w:rFonts w:ascii="Times New Roman" w:eastAsia="Times New Roman" w:hAnsi="Times New Roman" w:cs="Times New Roman"/>
          <w:sz w:val="24"/>
          <w:szCs w:val="24"/>
        </w:rPr>
        <w:t xml:space="preserve"> (turpmāk – ne-ETS mērķis)</w:t>
      </w:r>
      <w:r w:rsidRPr="005C652E">
        <w:rPr>
          <w:rFonts w:ascii="Times New Roman" w:eastAsia="Times New Roman" w:hAnsi="Times New Roman" w:cs="Times New Roman"/>
          <w:sz w:val="24"/>
          <w:szCs w:val="24"/>
        </w:rPr>
        <w:t>.</w:t>
      </w:r>
    </w:p>
    <w:p w14:paraId="13584CBC" w14:textId="63D44EF6" w:rsidR="00D775D2" w:rsidRPr="005C652E" w:rsidRDefault="00D775D2" w:rsidP="00E6086F">
      <w:pPr>
        <w:spacing w:before="120" w:after="120" w:line="240" w:lineRule="auto"/>
        <w:ind w:firstLine="567"/>
        <w:jc w:val="both"/>
        <w:rPr>
          <w:rFonts w:ascii="Times New Roman" w:hAnsi="Times New Roman"/>
          <w:sz w:val="24"/>
          <w:szCs w:val="24"/>
        </w:rPr>
      </w:pPr>
      <w:r w:rsidRPr="00E6086F">
        <w:rPr>
          <w:rFonts w:ascii="Times New Roman" w:eastAsia="Times New Roman" w:hAnsi="Times New Roman"/>
          <w:sz w:val="24"/>
          <w:szCs w:val="24"/>
        </w:rPr>
        <w:t>ES ETS mērķa izpilde</w:t>
      </w:r>
      <w:r w:rsidR="00CB5C99" w:rsidRPr="00E6086F">
        <w:rPr>
          <w:rFonts w:ascii="Times New Roman" w:eastAsia="Times New Roman" w:hAnsi="Times New Roman"/>
          <w:sz w:val="24"/>
          <w:szCs w:val="24"/>
        </w:rPr>
        <w:t>s organizēšana</w:t>
      </w:r>
      <w:r w:rsidRPr="00E6086F">
        <w:rPr>
          <w:rFonts w:ascii="Times New Roman" w:eastAsia="Times New Roman" w:hAnsi="Times New Roman"/>
          <w:sz w:val="24"/>
          <w:szCs w:val="24"/>
        </w:rPr>
        <w:t xml:space="preserve"> ir Eiropas Komisijas (</w:t>
      </w:r>
      <w:r w:rsidR="00042B88" w:rsidRPr="00E6086F">
        <w:rPr>
          <w:rFonts w:ascii="Times New Roman" w:eastAsia="Times New Roman" w:hAnsi="Times New Roman"/>
          <w:sz w:val="24"/>
          <w:szCs w:val="24"/>
        </w:rPr>
        <w:t xml:space="preserve">turpmāk </w:t>
      </w:r>
      <w:r w:rsidR="00102E19" w:rsidRPr="00E6086F">
        <w:rPr>
          <w:rFonts w:ascii="Times New Roman" w:eastAsia="Times New Roman" w:hAnsi="Times New Roman"/>
          <w:sz w:val="24"/>
          <w:szCs w:val="24"/>
        </w:rPr>
        <w:t>–</w:t>
      </w:r>
      <w:r w:rsidR="00042B88" w:rsidRPr="00E6086F">
        <w:rPr>
          <w:rFonts w:ascii="Times New Roman" w:eastAsia="Times New Roman" w:hAnsi="Times New Roman"/>
          <w:sz w:val="24"/>
          <w:szCs w:val="24"/>
        </w:rPr>
        <w:t xml:space="preserve"> </w:t>
      </w:r>
      <w:r w:rsidRPr="00E6086F">
        <w:rPr>
          <w:rFonts w:ascii="Times New Roman" w:eastAsia="Times New Roman" w:hAnsi="Times New Roman"/>
          <w:sz w:val="24"/>
          <w:szCs w:val="24"/>
        </w:rPr>
        <w:t>EK) atbildība</w:t>
      </w:r>
      <w:r w:rsidR="00CB5C99" w:rsidRPr="00483E3B">
        <w:rPr>
          <w:rFonts w:ascii="Times New Roman" w:eastAsia="Times New Roman" w:hAnsi="Times New Roman"/>
          <w:sz w:val="24"/>
          <w:szCs w:val="24"/>
        </w:rPr>
        <w:t>.</w:t>
      </w:r>
      <w:r w:rsidR="00CB5C99" w:rsidRPr="005C652E">
        <w:rPr>
          <w:rFonts w:ascii="Times New Roman" w:eastAsia="Times New Roman" w:hAnsi="Times New Roman"/>
          <w:sz w:val="24"/>
          <w:szCs w:val="24"/>
        </w:rPr>
        <w:t xml:space="preserve"> Šī mērķa izpildei ir apstiprināti </w:t>
      </w:r>
      <w:r w:rsidRPr="005C652E">
        <w:rPr>
          <w:rFonts w:ascii="Times New Roman" w:eastAsia="Times New Roman" w:hAnsi="Times New Roman"/>
          <w:sz w:val="24"/>
          <w:szCs w:val="24"/>
        </w:rPr>
        <w:t>ES ETS darbības nosacījum</w:t>
      </w:r>
      <w:r w:rsidR="00CB5C99" w:rsidRPr="005C652E">
        <w:rPr>
          <w:rFonts w:ascii="Times New Roman" w:eastAsia="Times New Roman" w:hAnsi="Times New Roman"/>
          <w:sz w:val="24"/>
          <w:szCs w:val="24"/>
        </w:rPr>
        <w:t>i un noteikta ES ETS operatoru atbildība</w:t>
      </w:r>
      <w:r w:rsidRPr="005C652E">
        <w:rPr>
          <w:rFonts w:ascii="Times New Roman" w:eastAsia="Times New Roman" w:hAnsi="Times New Roman"/>
          <w:sz w:val="24"/>
          <w:szCs w:val="24"/>
        </w:rPr>
        <w:t xml:space="preserve">. ES ETS operatoru SEG emisiju apjoma samazināšanas pasākumi tiek noteikti </w:t>
      </w:r>
      <w:r w:rsidR="00620256" w:rsidRPr="00046F8A">
        <w:rPr>
          <w:rFonts w:ascii="Times New Roman" w:hAnsi="Times New Roman"/>
          <w:sz w:val="24"/>
          <w:szCs w:val="24"/>
        </w:rPr>
        <w:t>rentablā un ekonomiski efektīvā</w:t>
      </w:r>
      <w:r w:rsidR="00620256">
        <w:t xml:space="preserve"> </w:t>
      </w:r>
      <w:r w:rsidRPr="005C652E">
        <w:rPr>
          <w:rFonts w:ascii="Times New Roman" w:eastAsia="Times New Roman" w:hAnsi="Times New Roman"/>
          <w:sz w:val="24"/>
          <w:szCs w:val="24"/>
        </w:rPr>
        <w:t>veidā, un šo pasākumu izstrādi un īstenošanu nodrošina EK kopā ar ES dalībvalstīm, īstenojot</w:t>
      </w:r>
      <w:r w:rsidR="007410AE" w:rsidRPr="007410AE">
        <w:rPr>
          <w:rFonts w:ascii="Times New Roman" w:eastAsia="Times New Roman" w:hAnsi="Times New Roman"/>
          <w:sz w:val="24"/>
          <w:szCs w:val="24"/>
        </w:rPr>
        <w:t xml:space="preserve"> </w:t>
      </w:r>
      <w:r w:rsidR="007410AE" w:rsidRPr="00046F8A">
        <w:rPr>
          <w:rFonts w:ascii="Times New Roman" w:hAnsi="Times New Roman"/>
          <w:sz w:val="24"/>
          <w:szCs w:val="24"/>
        </w:rPr>
        <w:t xml:space="preserve">Eiropas Parlamenta un Padomes </w:t>
      </w:r>
      <w:r w:rsidR="007410AE" w:rsidRPr="007410AE">
        <w:rPr>
          <w:rFonts w:ascii="Times New Roman" w:hAnsi="Times New Roman"/>
          <w:sz w:val="24"/>
          <w:szCs w:val="24"/>
        </w:rPr>
        <w:t>2003. gada 13 .oktobra direktīv</w:t>
      </w:r>
      <w:r w:rsidR="009D333B">
        <w:rPr>
          <w:rFonts w:ascii="Times New Roman" w:hAnsi="Times New Roman"/>
          <w:sz w:val="24"/>
          <w:szCs w:val="24"/>
        </w:rPr>
        <w:t>ā</w:t>
      </w:r>
      <w:r w:rsidR="007410AE" w:rsidRPr="00046F8A">
        <w:rPr>
          <w:rFonts w:ascii="Times New Roman" w:hAnsi="Times New Roman"/>
          <w:sz w:val="24"/>
          <w:szCs w:val="24"/>
        </w:rPr>
        <w:t xml:space="preserve"> Nr. 2003/87/EK, ar kuru nosaka sistēmu siltumnīcas efektu izraisošo gāzu emisijas kvotu tirdzniecībai Kopienā un groza Padomes Direktīvu 96/61/EK</w:t>
      </w:r>
      <w:r w:rsidR="006970DE">
        <w:rPr>
          <w:rFonts w:ascii="Times New Roman" w:hAnsi="Times New Roman"/>
          <w:sz w:val="24"/>
          <w:szCs w:val="24"/>
        </w:rPr>
        <w:t> </w:t>
      </w:r>
      <w:r w:rsidR="00420AA2">
        <w:rPr>
          <w:rFonts w:ascii="Times New Roman" w:eastAsia="Times New Roman" w:hAnsi="Times New Roman"/>
          <w:sz w:val="24"/>
          <w:szCs w:val="24"/>
        </w:rPr>
        <w:t xml:space="preserve">(turpmāk – </w:t>
      </w:r>
      <w:r w:rsidR="00420AA2" w:rsidRPr="005C652E">
        <w:rPr>
          <w:rFonts w:ascii="Times New Roman" w:eastAsia="Times New Roman" w:hAnsi="Times New Roman"/>
          <w:sz w:val="24"/>
          <w:szCs w:val="24"/>
        </w:rPr>
        <w:t>ETS direktīv</w:t>
      </w:r>
      <w:r w:rsidR="00420AA2">
        <w:rPr>
          <w:rFonts w:ascii="Times New Roman" w:eastAsia="Times New Roman" w:hAnsi="Times New Roman"/>
          <w:sz w:val="24"/>
          <w:szCs w:val="24"/>
        </w:rPr>
        <w:t>a</w:t>
      </w:r>
      <w:r w:rsidRPr="005C652E">
        <w:rPr>
          <w:rFonts w:ascii="Times New Roman" w:eastAsia="Times New Roman" w:hAnsi="Times New Roman"/>
          <w:sz w:val="24"/>
          <w:szCs w:val="24"/>
        </w:rPr>
        <w:t xml:space="preserve">. </w:t>
      </w:r>
      <w:r w:rsidR="00CB5C99" w:rsidRPr="005C652E">
        <w:rPr>
          <w:rFonts w:ascii="Times New Roman" w:eastAsia="Times New Roman" w:hAnsi="Times New Roman"/>
          <w:sz w:val="24"/>
          <w:szCs w:val="24"/>
        </w:rPr>
        <w:t>ES ETS piedalās arī Latvijas komersanti.</w:t>
      </w:r>
    </w:p>
    <w:p w14:paraId="25D667D3" w14:textId="49ED97D2" w:rsidR="0045413B" w:rsidRPr="005C652E" w:rsidRDefault="00CB5C99" w:rsidP="0045413B">
      <w:pPr>
        <w:spacing w:before="120" w:after="120" w:line="240" w:lineRule="auto"/>
        <w:ind w:firstLine="567"/>
        <w:jc w:val="both"/>
        <w:rPr>
          <w:rFonts w:ascii="Times New Roman" w:eastAsia="Times New Roman" w:hAnsi="Times New Roman"/>
          <w:sz w:val="24"/>
          <w:szCs w:val="24"/>
        </w:rPr>
      </w:pPr>
      <w:r w:rsidRPr="00FE6B07">
        <w:rPr>
          <w:rFonts w:ascii="Times New Roman" w:eastAsia="Times New Roman" w:hAnsi="Times New Roman"/>
          <w:sz w:val="24"/>
          <w:szCs w:val="24"/>
        </w:rPr>
        <w:t>N</w:t>
      </w:r>
      <w:r w:rsidR="00D775D2" w:rsidRPr="00FE6B07">
        <w:rPr>
          <w:rFonts w:ascii="Times New Roman" w:eastAsia="Times New Roman" w:hAnsi="Times New Roman"/>
          <w:sz w:val="24"/>
          <w:szCs w:val="24"/>
        </w:rPr>
        <w:t>e-ETS</w:t>
      </w:r>
      <w:r w:rsidR="00D775D2" w:rsidRPr="00E6086F">
        <w:rPr>
          <w:rFonts w:ascii="Times New Roman" w:eastAsia="Times New Roman" w:hAnsi="Times New Roman"/>
          <w:sz w:val="24"/>
          <w:szCs w:val="24"/>
        </w:rPr>
        <w:t xml:space="preserve"> mērķa</w:t>
      </w:r>
      <w:r w:rsidR="00D775D2" w:rsidRPr="00483E3B">
        <w:rPr>
          <w:rFonts w:ascii="Times New Roman" w:eastAsia="Times New Roman" w:hAnsi="Times New Roman"/>
          <w:sz w:val="24"/>
          <w:szCs w:val="24"/>
        </w:rPr>
        <w:t xml:space="preserve"> </w:t>
      </w:r>
      <w:r w:rsidR="00D775D2" w:rsidRPr="00E6086F">
        <w:rPr>
          <w:rFonts w:ascii="Times New Roman" w:eastAsia="Times New Roman" w:hAnsi="Times New Roman"/>
          <w:sz w:val="24"/>
          <w:szCs w:val="24"/>
        </w:rPr>
        <w:t>izpilde</w:t>
      </w:r>
      <w:r w:rsidRPr="00E6086F">
        <w:rPr>
          <w:rFonts w:ascii="Times New Roman" w:eastAsia="Times New Roman" w:hAnsi="Times New Roman"/>
          <w:sz w:val="24"/>
          <w:szCs w:val="24"/>
        </w:rPr>
        <w:t>s saistības</w:t>
      </w:r>
      <w:r w:rsidR="00D775D2" w:rsidRPr="00E6086F">
        <w:rPr>
          <w:rFonts w:ascii="Times New Roman" w:eastAsia="Times New Roman" w:hAnsi="Times New Roman"/>
          <w:sz w:val="24"/>
          <w:szCs w:val="24"/>
        </w:rPr>
        <w:t xml:space="preserve"> ir pārdalīt</w:t>
      </w:r>
      <w:r w:rsidRPr="00E6086F">
        <w:rPr>
          <w:rFonts w:ascii="Times New Roman" w:eastAsia="Times New Roman" w:hAnsi="Times New Roman"/>
          <w:sz w:val="24"/>
          <w:szCs w:val="24"/>
        </w:rPr>
        <w:t>a</w:t>
      </w:r>
      <w:r w:rsidR="00D775D2" w:rsidRPr="00E6086F">
        <w:rPr>
          <w:rFonts w:ascii="Times New Roman" w:eastAsia="Times New Roman" w:hAnsi="Times New Roman"/>
          <w:sz w:val="24"/>
          <w:szCs w:val="24"/>
        </w:rPr>
        <w:t>s katrai ES dalībvalstij</w:t>
      </w:r>
      <w:r w:rsidRPr="00E6086F">
        <w:rPr>
          <w:rFonts w:ascii="Times New Roman" w:eastAsia="Times New Roman" w:hAnsi="Times New Roman"/>
          <w:sz w:val="24"/>
          <w:szCs w:val="24"/>
        </w:rPr>
        <w:t>, t.sk. Latvijai</w:t>
      </w:r>
      <w:r w:rsidR="00D775D2" w:rsidRPr="00483E3B">
        <w:rPr>
          <w:rFonts w:ascii="Times New Roman" w:eastAsia="Times New Roman" w:hAnsi="Times New Roman"/>
          <w:sz w:val="24"/>
          <w:szCs w:val="24"/>
        </w:rPr>
        <w:t>.</w:t>
      </w:r>
      <w:r w:rsidR="00D775D2" w:rsidRPr="005C652E">
        <w:rPr>
          <w:rFonts w:ascii="Times New Roman" w:eastAsia="Times New Roman" w:hAnsi="Times New Roman"/>
          <w:sz w:val="24"/>
          <w:szCs w:val="24"/>
        </w:rPr>
        <w:t xml:space="preserve"> Periodam līdz 2020.</w:t>
      </w:r>
      <w:r w:rsidR="00042B88">
        <w:rPr>
          <w:rFonts w:ascii="Times New Roman" w:eastAsia="Times New Roman" w:hAnsi="Times New Roman"/>
          <w:sz w:val="24"/>
          <w:szCs w:val="24"/>
        </w:rPr>
        <w:t> </w:t>
      </w:r>
      <w:r w:rsidR="00D775D2" w:rsidRPr="005C652E">
        <w:rPr>
          <w:rFonts w:ascii="Times New Roman" w:eastAsia="Times New Roman" w:hAnsi="Times New Roman"/>
          <w:sz w:val="24"/>
          <w:szCs w:val="24"/>
        </w:rPr>
        <w:t xml:space="preserve">gadam katras ES dalībvalsts </w:t>
      </w:r>
      <w:r w:rsidR="00035B32">
        <w:rPr>
          <w:rFonts w:ascii="Times New Roman" w:eastAsia="Times New Roman" w:hAnsi="Times New Roman"/>
          <w:sz w:val="24"/>
          <w:szCs w:val="24"/>
        </w:rPr>
        <w:t xml:space="preserve">ikgadējais </w:t>
      </w:r>
      <w:r w:rsidR="00D775D2" w:rsidRPr="005C652E">
        <w:rPr>
          <w:rFonts w:ascii="Times New Roman" w:eastAsia="Times New Roman" w:hAnsi="Times New Roman"/>
          <w:sz w:val="24"/>
          <w:szCs w:val="24"/>
        </w:rPr>
        <w:t xml:space="preserve">mērķis un tā izpildes nosacījumi ir izteikti </w:t>
      </w:r>
      <w:r w:rsidR="003E1B5C" w:rsidRPr="00046F8A">
        <w:rPr>
          <w:rFonts w:ascii="Times New Roman" w:hAnsi="Times New Roman"/>
          <w:sz w:val="24"/>
          <w:szCs w:val="24"/>
        </w:rPr>
        <w:t>Eiropas Parlamenta un Pado</w:t>
      </w:r>
      <w:r w:rsidR="00A759F8" w:rsidRPr="00A759F8">
        <w:rPr>
          <w:rFonts w:ascii="Times New Roman" w:hAnsi="Times New Roman"/>
          <w:sz w:val="24"/>
          <w:szCs w:val="24"/>
        </w:rPr>
        <w:t>mes 2009. gada 23. aprīļa lēmum</w:t>
      </w:r>
      <w:r w:rsidR="00A759F8">
        <w:rPr>
          <w:rFonts w:ascii="Times New Roman" w:hAnsi="Times New Roman"/>
          <w:sz w:val="24"/>
          <w:szCs w:val="24"/>
        </w:rPr>
        <w:t>ā</w:t>
      </w:r>
      <w:r w:rsidR="003E1B5C" w:rsidRPr="00046F8A">
        <w:rPr>
          <w:rFonts w:ascii="Times New Roman" w:hAnsi="Times New Roman"/>
          <w:sz w:val="24"/>
          <w:szCs w:val="24"/>
        </w:rPr>
        <w:t xml:space="preserve"> Nr. 406/2009/EK par dalībvalstu pasākumiem siltumnīcas efektu izraisošu gāzu emisiju samazināšanai, lai izpildītu Kopienas saistības siltumnīcas efektu izraisošu gāzu emisiju samazināšanas jomā līdz 2020. gadam</w:t>
      </w:r>
      <w:r w:rsidR="003E1B5C">
        <w:rPr>
          <w:rFonts w:ascii="Times New Roman" w:hAnsi="Times New Roman"/>
          <w:sz w:val="24"/>
          <w:szCs w:val="24"/>
        </w:rPr>
        <w:t xml:space="preserve"> (turpmāk </w:t>
      </w:r>
      <w:r w:rsidR="005C6D68">
        <w:rPr>
          <w:rFonts w:ascii="Times New Roman" w:hAnsi="Times New Roman"/>
          <w:sz w:val="24"/>
          <w:szCs w:val="24"/>
        </w:rPr>
        <w:t>–</w:t>
      </w:r>
      <w:r w:rsidR="003E1B5C">
        <w:rPr>
          <w:rFonts w:ascii="Times New Roman" w:eastAsia="Times New Roman" w:hAnsi="Times New Roman"/>
          <w:sz w:val="24"/>
          <w:szCs w:val="24"/>
        </w:rPr>
        <w:t xml:space="preserve"> </w:t>
      </w:r>
      <w:r w:rsidR="00D775D2" w:rsidRPr="005C652E">
        <w:rPr>
          <w:rFonts w:ascii="Times New Roman" w:eastAsia="Times New Roman" w:hAnsi="Times New Roman"/>
          <w:sz w:val="24"/>
          <w:szCs w:val="24"/>
        </w:rPr>
        <w:t>Saistību pārdales lēmum</w:t>
      </w:r>
      <w:r w:rsidR="003E1B5C">
        <w:rPr>
          <w:rFonts w:ascii="Times New Roman" w:eastAsia="Times New Roman" w:hAnsi="Times New Roman"/>
          <w:sz w:val="24"/>
          <w:szCs w:val="24"/>
        </w:rPr>
        <w:t>s)</w:t>
      </w:r>
      <w:r w:rsidR="00D775D2" w:rsidRPr="005C652E">
        <w:rPr>
          <w:rFonts w:ascii="Times New Roman" w:eastAsia="Times New Roman" w:hAnsi="Times New Roman"/>
          <w:sz w:val="24"/>
          <w:szCs w:val="24"/>
        </w:rPr>
        <w:t xml:space="preserve">, bet </w:t>
      </w:r>
      <w:r w:rsidR="008D41B0" w:rsidRPr="009769A6">
        <w:rPr>
          <w:rFonts w:ascii="Times New Roman" w:eastAsia="Times New Roman" w:hAnsi="Times New Roman"/>
          <w:sz w:val="24"/>
          <w:szCs w:val="24"/>
        </w:rPr>
        <w:t>periodam no 2021.</w:t>
      </w:r>
      <w:r w:rsidR="00CA3848">
        <w:rPr>
          <w:rFonts w:ascii="Times New Roman" w:eastAsia="Times New Roman" w:hAnsi="Times New Roman"/>
          <w:sz w:val="24"/>
          <w:szCs w:val="24"/>
        </w:rPr>
        <w:t xml:space="preserve"> </w:t>
      </w:r>
      <w:r w:rsidR="008D41B0" w:rsidRPr="009769A6">
        <w:rPr>
          <w:rFonts w:ascii="Times New Roman" w:eastAsia="Times New Roman" w:hAnsi="Times New Roman"/>
          <w:sz w:val="24"/>
          <w:szCs w:val="24"/>
        </w:rPr>
        <w:t>gada līdz 2030.</w:t>
      </w:r>
      <w:r w:rsidR="00CA3848">
        <w:rPr>
          <w:rFonts w:ascii="Times New Roman" w:eastAsia="Times New Roman" w:hAnsi="Times New Roman"/>
          <w:sz w:val="24"/>
          <w:szCs w:val="24"/>
        </w:rPr>
        <w:t xml:space="preserve"> </w:t>
      </w:r>
      <w:r w:rsidR="008D41B0" w:rsidRPr="009769A6">
        <w:rPr>
          <w:rFonts w:ascii="Times New Roman" w:eastAsia="Times New Roman" w:hAnsi="Times New Roman"/>
          <w:sz w:val="24"/>
          <w:szCs w:val="24"/>
        </w:rPr>
        <w:t>gadam katras ES dalībvalsts mērķis un tā izpildes nosacījumi ir izteikti</w:t>
      </w:r>
      <w:r w:rsidR="00A759F8">
        <w:rPr>
          <w:rFonts w:ascii="Times New Roman" w:eastAsia="Times New Roman" w:hAnsi="Times New Roman"/>
          <w:sz w:val="24"/>
          <w:szCs w:val="24"/>
        </w:rPr>
        <w:t xml:space="preserve"> </w:t>
      </w:r>
      <w:r w:rsidR="00A759F8">
        <w:rPr>
          <w:rFonts w:ascii="Times New Roman" w:hAnsi="Times New Roman"/>
          <w:sz w:val="24"/>
          <w:szCs w:val="24"/>
        </w:rPr>
        <w:t>2018.</w:t>
      </w:r>
      <w:r w:rsidR="00877E60">
        <w:rPr>
          <w:rFonts w:ascii="Times New Roman" w:hAnsi="Times New Roman"/>
          <w:sz w:val="24"/>
          <w:szCs w:val="24"/>
        </w:rPr>
        <w:t> </w:t>
      </w:r>
      <w:r w:rsidR="00A759F8">
        <w:rPr>
          <w:rFonts w:ascii="Times New Roman" w:hAnsi="Times New Roman"/>
          <w:sz w:val="24"/>
          <w:szCs w:val="24"/>
        </w:rPr>
        <w:t>gada 30.</w:t>
      </w:r>
      <w:r w:rsidR="00877E60">
        <w:rPr>
          <w:rFonts w:ascii="Times New Roman" w:hAnsi="Times New Roman"/>
          <w:sz w:val="24"/>
          <w:szCs w:val="24"/>
        </w:rPr>
        <w:t> </w:t>
      </w:r>
      <w:r w:rsidR="00A759F8">
        <w:rPr>
          <w:rFonts w:ascii="Times New Roman" w:hAnsi="Times New Roman"/>
          <w:sz w:val="24"/>
          <w:szCs w:val="24"/>
        </w:rPr>
        <w:t>maija</w:t>
      </w:r>
      <w:r w:rsidR="00A759F8" w:rsidRPr="00A759F8">
        <w:rPr>
          <w:rFonts w:ascii="Times New Roman" w:hAnsi="Times New Roman"/>
          <w:sz w:val="24"/>
          <w:szCs w:val="24"/>
        </w:rPr>
        <w:t xml:space="preserve"> </w:t>
      </w:r>
      <w:r w:rsidR="00A759F8" w:rsidRPr="00046F8A">
        <w:rPr>
          <w:rFonts w:ascii="Times New Roman" w:hAnsi="Times New Roman"/>
          <w:sz w:val="24"/>
          <w:szCs w:val="24"/>
        </w:rPr>
        <w:t>Eiropas Parlamenta un Padomes Regul</w:t>
      </w:r>
      <w:r w:rsidR="00D52B36">
        <w:rPr>
          <w:rFonts w:ascii="Times New Roman" w:hAnsi="Times New Roman"/>
          <w:sz w:val="24"/>
          <w:szCs w:val="24"/>
        </w:rPr>
        <w:t>as</w:t>
      </w:r>
      <w:r w:rsidR="00A759F8" w:rsidRPr="00046F8A">
        <w:rPr>
          <w:rFonts w:ascii="Times New Roman" w:hAnsi="Times New Roman"/>
          <w:sz w:val="24"/>
          <w:szCs w:val="24"/>
        </w:rPr>
        <w:t xml:space="preserve"> </w:t>
      </w:r>
      <w:r w:rsidR="00A759F8">
        <w:rPr>
          <w:rFonts w:ascii="Times New Roman" w:hAnsi="Times New Roman"/>
          <w:sz w:val="24"/>
          <w:szCs w:val="24"/>
        </w:rPr>
        <w:t>Nr.</w:t>
      </w:r>
      <w:r w:rsidR="00877E60">
        <w:rPr>
          <w:rFonts w:ascii="Times New Roman" w:hAnsi="Times New Roman"/>
          <w:sz w:val="24"/>
          <w:szCs w:val="24"/>
        </w:rPr>
        <w:t> </w:t>
      </w:r>
      <w:r w:rsidR="00A759F8" w:rsidRPr="00046F8A">
        <w:rPr>
          <w:rFonts w:ascii="Times New Roman" w:hAnsi="Times New Roman"/>
          <w:sz w:val="24"/>
          <w:szCs w:val="24"/>
        </w:rPr>
        <w:t>2018/842 (par saistošiem ikgadējiem siltumnīcefekta gāzu emisiju samazinājumiem, kas dalībvalstīm jāpanāk no 2021. līdz 2030. gadam un kas dod ieguldījumu rīcībā klimata politikas jomā, lai izpildītu Parīzes nolīgumā paredzētās saistības, un ar ko groza Regulu (ES) Nr.</w:t>
      </w:r>
      <w:r w:rsidR="00132B9E">
        <w:rPr>
          <w:rFonts w:ascii="Times New Roman" w:hAnsi="Times New Roman"/>
          <w:sz w:val="24"/>
          <w:szCs w:val="24"/>
        </w:rPr>
        <w:t> </w:t>
      </w:r>
      <w:r w:rsidR="00A759F8" w:rsidRPr="00046F8A">
        <w:rPr>
          <w:rFonts w:ascii="Times New Roman" w:hAnsi="Times New Roman"/>
          <w:sz w:val="24"/>
          <w:szCs w:val="24"/>
        </w:rPr>
        <w:t>525/2013</w:t>
      </w:r>
      <w:r w:rsidR="00A759F8">
        <w:rPr>
          <w:rFonts w:ascii="Times New Roman" w:hAnsi="Times New Roman"/>
          <w:sz w:val="24"/>
          <w:szCs w:val="24"/>
        </w:rPr>
        <w:t xml:space="preserve"> (turpmāk </w:t>
      </w:r>
      <w:r w:rsidR="000923AD">
        <w:rPr>
          <w:rFonts w:ascii="Times New Roman" w:hAnsi="Times New Roman"/>
          <w:sz w:val="24"/>
          <w:szCs w:val="24"/>
        </w:rPr>
        <w:t>–</w:t>
      </w:r>
      <w:r w:rsidR="008D41B0" w:rsidRPr="009769A6">
        <w:rPr>
          <w:rFonts w:ascii="Times New Roman" w:eastAsia="Times New Roman" w:hAnsi="Times New Roman"/>
          <w:sz w:val="24"/>
          <w:szCs w:val="24"/>
        </w:rPr>
        <w:t xml:space="preserve"> </w:t>
      </w:r>
      <w:r w:rsidR="008D41B0" w:rsidRPr="009769A6">
        <w:rPr>
          <w:rFonts w:ascii="Times New Roman" w:hAnsi="Times New Roman"/>
          <w:sz w:val="24"/>
          <w:szCs w:val="24"/>
        </w:rPr>
        <w:t>Regul</w:t>
      </w:r>
      <w:r w:rsidR="00A759F8">
        <w:rPr>
          <w:rFonts w:ascii="Times New Roman" w:hAnsi="Times New Roman"/>
          <w:sz w:val="24"/>
          <w:szCs w:val="24"/>
        </w:rPr>
        <w:t>a</w:t>
      </w:r>
      <w:r w:rsidR="000923AD">
        <w:rPr>
          <w:rFonts w:ascii="Times New Roman" w:hAnsi="Times New Roman"/>
          <w:sz w:val="24"/>
          <w:szCs w:val="24"/>
        </w:rPr>
        <w:t xml:space="preserve"> Nr.</w:t>
      </w:r>
      <w:r w:rsidR="008D41B0" w:rsidRPr="009769A6">
        <w:rPr>
          <w:rFonts w:ascii="Times New Roman" w:hAnsi="Times New Roman"/>
          <w:sz w:val="24"/>
          <w:szCs w:val="24"/>
        </w:rPr>
        <w:t xml:space="preserve"> 2018/842</w:t>
      </w:r>
      <w:r w:rsidR="00A759F8">
        <w:rPr>
          <w:rFonts w:ascii="Times New Roman" w:hAnsi="Times New Roman"/>
          <w:sz w:val="24"/>
          <w:szCs w:val="24"/>
        </w:rPr>
        <w:t>)</w:t>
      </w:r>
      <w:r w:rsidR="00D52B36">
        <w:rPr>
          <w:rFonts w:ascii="Times New Roman" w:hAnsi="Times New Roman"/>
          <w:sz w:val="24"/>
          <w:szCs w:val="24"/>
        </w:rPr>
        <w:t xml:space="preserve"> 4.</w:t>
      </w:r>
      <w:r w:rsidR="00877E60">
        <w:rPr>
          <w:rFonts w:ascii="Times New Roman" w:hAnsi="Times New Roman"/>
          <w:sz w:val="24"/>
          <w:szCs w:val="24"/>
        </w:rPr>
        <w:t> </w:t>
      </w:r>
      <w:r w:rsidR="00D52B36">
        <w:rPr>
          <w:rFonts w:ascii="Times New Roman" w:hAnsi="Times New Roman"/>
          <w:sz w:val="24"/>
          <w:szCs w:val="24"/>
        </w:rPr>
        <w:t>pantā</w:t>
      </w:r>
      <w:r w:rsidR="008D41B0" w:rsidRPr="009769A6">
        <w:rPr>
          <w:rFonts w:ascii="Times New Roman" w:eastAsia="Times New Roman" w:hAnsi="Times New Roman"/>
          <w:sz w:val="24"/>
          <w:szCs w:val="24"/>
        </w:rPr>
        <w:t xml:space="preserve">. </w:t>
      </w:r>
    </w:p>
    <w:p w14:paraId="207B965C" w14:textId="0A547EEE" w:rsidR="00CB5C99" w:rsidRPr="00345FCF" w:rsidRDefault="00CB5C99" w:rsidP="00E6086F">
      <w:pPr>
        <w:spacing w:before="120" w:after="120" w:line="240" w:lineRule="auto"/>
        <w:ind w:firstLine="567"/>
        <w:jc w:val="both"/>
        <w:rPr>
          <w:rFonts w:ascii="Times New Roman" w:hAnsi="Times New Roman"/>
          <w:sz w:val="24"/>
          <w:szCs w:val="24"/>
        </w:rPr>
      </w:pPr>
      <w:r w:rsidRPr="00E6086F">
        <w:rPr>
          <w:rFonts w:ascii="Times New Roman" w:eastAsia="Times New Roman" w:hAnsi="Times New Roman"/>
          <w:sz w:val="24"/>
          <w:szCs w:val="24"/>
        </w:rPr>
        <w:t>Latvijai laika periodā līdz 2020.</w:t>
      </w:r>
      <w:r w:rsidR="00042B88" w:rsidRPr="00E6086F">
        <w:rPr>
          <w:rFonts w:ascii="Times New Roman" w:eastAsia="Times New Roman" w:hAnsi="Times New Roman"/>
          <w:sz w:val="24"/>
          <w:szCs w:val="24"/>
        </w:rPr>
        <w:t> </w:t>
      </w:r>
      <w:r w:rsidRPr="00E6086F">
        <w:rPr>
          <w:rFonts w:ascii="Times New Roman" w:eastAsia="Times New Roman" w:hAnsi="Times New Roman"/>
          <w:sz w:val="24"/>
          <w:szCs w:val="24"/>
        </w:rPr>
        <w:t>gadam pieļauts ne-ETS darbību SEG emisiju pieaugums par 17</w:t>
      </w:r>
      <w:r w:rsidR="00042B88" w:rsidRPr="00E6086F">
        <w:rPr>
          <w:rFonts w:ascii="Times New Roman" w:eastAsia="Times New Roman" w:hAnsi="Times New Roman"/>
          <w:sz w:val="24"/>
          <w:szCs w:val="24"/>
        </w:rPr>
        <w:t> </w:t>
      </w:r>
      <w:r w:rsidRPr="00E6086F">
        <w:rPr>
          <w:rFonts w:ascii="Times New Roman" w:eastAsia="Times New Roman" w:hAnsi="Times New Roman"/>
          <w:sz w:val="24"/>
          <w:szCs w:val="24"/>
        </w:rPr>
        <w:t>%, salīdzinot ar Latvijas ne-ETS darbību SEG emisiju apjomu 2005.</w:t>
      </w:r>
      <w:r w:rsidR="00042B88" w:rsidRPr="00E6086F">
        <w:rPr>
          <w:rFonts w:ascii="Times New Roman" w:eastAsia="Times New Roman" w:hAnsi="Times New Roman"/>
          <w:sz w:val="24"/>
          <w:szCs w:val="24"/>
        </w:rPr>
        <w:t> </w:t>
      </w:r>
      <w:r w:rsidRPr="00E6086F">
        <w:rPr>
          <w:rFonts w:ascii="Times New Roman" w:eastAsia="Times New Roman" w:hAnsi="Times New Roman"/>
          <w:sz w:val="24"/>
          <w:szCs w:val="24"/>
        </w:rPr>
        <w:t>gadā</w:t>
      </w:r>
      <w:r w:rsidRPr="00483E3B">
        <w:rPr>
          <w:rFonts w:ascii="Times New Roman" w:eastAsia="Times New Roman" w:hAnsi="Times New Roman"/>
          <w:sz w:val="24"/>
          <w:szCs w:val="24"/>
        </w:rPr>
        <w:t>.</w:t>
      </w:r>
      <w:r w:rsidR="001437A0">
        <w:rPr>
          <w:rFonts w:ascii="Times New Roman" w:eastAsia="Times New Roman" w:hAnsi="Times New Roman"/>
          <w:sz w:val="24"/>
          <w:szCs w:val="24"/>
        </w:rPr>
        <w:t xml:space="preserve"> </w:t>
      </w:r>
      <w:r w:rsidR="00DA3882">
        <w:rPr>
          <w:rFonts w:ascii="Times New Roman" w:eastAsia="Times New Roman" w:hAnsi="Times New Roman"/>
          <w:sz w:val="24"/>
          <w:szCs w:val="24"/>
        </w:rPr>
        <w:t>Savukārt s</w:t>
      </w:r>
      <w:r w:rsidR="001437A0">
        <w:rPr>
          <w:rFonts w:ascii="Times New Roman" w:eastAsia="Times New Roman" w:hAnsi="Times New Roman"/>
          <w:sz w:val="24"/>
          <w:szCs w:val="24"/>
        </w:rPr>
        <w:t xml:space="preserve">askaņā ar </w:t>
      </w:r>
      <w:r w:rsidR="001437A0">
        <w:rPr>
          <w:rFonts w:ascii="Times New Roman" w:hAnsi="Times New Roman"/>
          <w:sz w:val="24"/>
          <w:szCs w:val="24"/>
        </w:rPr>
        <w:t>Regul</w:t>
      </w:r>
      <w:r w:rsidR="00110BD3">
        <w:rPr>
          <w:rFonts w:ascii="Times New Roman" w:hAnsi="Times New Roman"/>
          <w:sz w:val="24"/>
          <w:szCs w:val="24"/>
        </w:rPr>
        <w:t>a</w:t>
      </w:r>
      <w:r w:rsidR="00877E60">
        <w:rPr>
          <w:rFonts w:ascii="Times New Roman" w:hAnsi="Times New Roman"/>
          <w:sz w:val="24"/>
          <w:szCs w:val="24"/>
        </w:rPr>
        <w:t>s</w:t>
      </w:r>
      <w:r w:rsidR="001437A0" w:rsidRPr="00281B76">
        <w:rPr>
          <w:rFonts w:ascii="Times New Roman" w:hAnsi="Times New Roman"/>
          <w:sz w:val="24"/>
          <w:szCs w:val="24"/>
        </w:rPr>
        <w:t xml:space="preserve"> 2018/842</w:t>
      </w:r>
      <w:r w:rsidR="001437A0">
        <w:rPr>
          <w:rFonts w:ascii="Times New Roman" w:hAnsi="Times New Roman"/>
          <w:sz w:val="24"/>
          <w:szCs w:val="24"/>
        </w:rPr>
        <w:t xml:space="preserve"> </w:t>
      </w:r>
      <w:r w:rsidR="00110BD3">
        <w:rPr>
          <w:rFonts w:ascii="Times New Roman" w:hAnsi="Times New Roman"/>
          <w:sz w:val="24"/>
          <w:szCs w:val="24"/>
        </w:rPr>
        <w:t>4.</w:t>
      </w:r>
      <w:r w:rsidR="00877E60">
        <w:rPr>
          <w:rFonts w:ascii="Times New Roman" w:hAnsi="Times New Roman"/>
          <w:sz w:val="24"/>
          <w:szCs w:val="24"/>
        </w:rPr>
        <w:t> </w:t>
      </w:r>
      <w:r w:rsidR="00110BD3">
        <w:rPr>
          <w:rFonts w:ascii="Times New Roman" w:hAnsi="Times New Roman"/>
          <w:sz w:val="24"/>
          <w:szCs w:val="24"/>
        </w:rPr>
        <w:t>panta 1.</w:t>
      </w:r>
      <w:r w:rsidR="00877E60">
        <w:rPr>
          <w:rFonts w:ascii="Times New Roman" w:hAnsi="Times New Roman"/>
          <w:sz w:val="24"/>
          <w:szCs w:val="24"/>
        </w:rPr>
        <w:t> </w:t>
      </w:r>
      <w:r w:rsidR="00110BD3">
        <w:rPr>
          <w:rFonts w:ascii="Times New Roman" w:hAnsi="Times New Roman"/>
          <w:sz w:val="24"/>
          <w:szCs w:val="24"/>
        </w:rPr>
        <w:t>punktu</w:t>
      </w:r>
      <w:r w:rsidR="00192076">
        <w:rPr>
          <w:rFonts w:ascii="Times New Roman" w:hAnsi="Times New Roman"/>
          <w:sz w:val="24"/>
          <w:szCs w:val="24"/>
        </w:rPr>
        <w:t xml:space="preserve"> un 1.pielikumu</w:t>
      </w:r>
      <w:r w:rsidR="00110BD3">
        <w:rPr>
          <w:rFonts w:ascii="Times New Roman" w:hAnsi="Times New Roman"/>
          <w:sz w:val="24"/>
          <w:szCs w:val="24"/>
        </w:rPr>
        <w:t xml:space="preserve"> </w:t>
      </w:r>
      <w:r w:rsidR="001437A0" w:rsidRPr="00281B76">
        <w:rPr>
          <w:rFonts w:ascii="Times New Roman" w:eastAsia="Times New Roman" w:hAnsi="Times New Roman"/>
          <w:sz w:val="24"/>
          <w:szCs w:val="24"/>
        </w:rPr>
        <w:t>periodā no 202</w:t>
      </w:r>
      <w:r w:rsidR="001437A0">
        <w:rPr>
          <w:rFonts w:ascii="Times New Roman" w:eastAsia="Times New Roman" w:hAnsi="Times New Roman"/>
          <w:sz w:val="24"/>
          <w:szCs w:val="24"/>
        </w:rPr>
        <w:t>1. gada līdz 2030.</w:t>
      </w:r>
      <w:r w:rsidR="00877E60">
        <w:rPr>
          <w:rFonts w:ascii="Times New Roman" w:eastAsia="Times New Roman" w:hAnsi="Times New Roman"/>
          <w:sz w:val="24"/>
          <w:szCs w:val="24"/>
        </w:rPr>
        <w:t> </w:t>
      </w:r>
      <w:r w:rsidR="001437A0">
        <w:rPr>
          <w:rFonts w:ascii="Times New Roman" w:eastAsia="Times New Roman" w:hAnsi="Times New Roman"/>
          <w:sz w:val="24"/>
          <w:szCs w:val="24"/>
        </w:rPr>
        <w:t>gadam</w:t>
      </w:r>
      <w:r w:rsidR="001437A0" w:rsidRPr="00281B76">
        <w:rPr>
          <w:rFonts w:ascii="Times New Roman" w:eastAsia="Times New Roman" w:hAnsi="Times New Roman"/>
          <w:sz w:val="24"/>
          <w:szCs w:val="24"/>
        </w:rPr>
        <w:t xml:space="preserve"> </w:t>
      </w:r>
      <w:r w:rsidR="00DA3882" w:rsidRPr="00281B76">
        <w:rPr>
          <w:rFonts w:ascii="Times New Roman" w:eastAsia="Times New Roman" w:hAnsi="Times New Roman"/>
          <w:sz w:val="24"/>
          <w:szCs w:val="24"/>
        </w:rPr>
        <w:t xml:space="preserve">Latvijai </w:t>
      </w:r>
      <w:r w:rsidR="001437A0" w:rsidRPr="00281B76">
        <w:rPr>
          <w:rFonts w:ascii="Times New Roman" w:eastAsia="Times New Roman" w:hAnsi="Times New Roman"/>
          <w:sz w:val="24"/>
          <w:szCs w:val="24"/>
        </w:rPr>
        <w:t>ir nepieciešams nodrošināt 6% ne-ETS darbību SEG emisiju samazinājumu</w:t>
      </w:r>
      <w:r w:rsidR="00DA3882">
        <w:rPr>
          <w:rFonts w:ascii="Times New Roman" w:eastAsia="Times New Roman" w:hAnsi="Times New Roman"/>
          <w:sz w:val="24"/>
          <w:szCs w:val="24"/>
        </w:rPr>
        <w:t>,</w:t>
      </w:r>
      <w:r w:rsidR="001437A0" w:rsidRPr="00281B76">
        <w:rPr>
          <w:rFonts w:ascii="Times New Roman" w:eastAsia="Times New Roman" w:hAnsi="Times New Roman"/>
          <w:sz w:val="24"/>
          <w:szCs w:val="24"/>
        </w:rPr>
        <w:t xml:space="preserve"> salīdzinot ar Latvijas ne-ETS darbību</w:t>
      </w:r>
      <w:r w:rsidR="005F36FB">
        <w:rPr>
          <w:rFonts w:ascii="Times New Roman" w:eastAsia="Times New Roman" w:hAnsi="Times New Roman"/>
          <w:sz w:val="24"/>
          <w:szCs w:val="24"/>
        </w:rPr>
        <w:t xml:space="preserve"> SEG emisiju apjomu 2005. gadā. </w:t>
      </w:r>
      <w:r w:rsidR="001437A0" w:rsidRPr="009769A6">
        <w:rPr>
          <w:rFonts w:ascii="Times New Roman" w:eastAsia="Times New Roman" w:hAnsi="Times New Roman"/>
          <w:sz w:val="24"/>
          <w:szCs w:val="24"/>
        </w:rPr>
        <w:t>Ikgadējie 2021.-2030.</w:t>
      </w:r>
      <w:r w:rsidR="00877E60">
        <w:rPr>
          <w:rFonts w:ascii="Times New Roman" w:eastAsia="Times New Roman" w:hAnsi="Times New Roman"/>
          <w:sz w:val="24"/>
          <w:szCs w:val="24"/>
        </w:rPr>
        <w:t> </w:t>
      </w:r>
      <w:r w:rsidR="001437A0" w:rsidRPr="009769A6">
        <w:rPr>
          <w:rFonts w:ascii="Times New Roman" w:eastAsia="Times New Roman" w:hAnsi="Times New Roman"/>
          <w:sz w:val="24"/>
          <w:szCs w:val="24"/>
        </w:rPr>
        <w:t xml:space="preserve">gada perioda ne-ETS mērķi Latvijai tiks noteikti, izmantojot 2020. gadā iesniegtās SEG inventarizācijas datus </w:t>
      </w:r>
      <w:r w:rsidR="001437A0" w:rsidRPr="009769A6">
        <w:rPr>
          <w:rFonts w:ascii="Times New Roman" w:eastAsia="Times New Roman" w:hAnsi="Times New Roman"/>
          <w:sz w:val="24"/>
          <w:szCs w:val="24"/>
        </w:rPr>
        <w:lastRenderedPageBreak/>
        <w:t>2005.</w:t>
      </w:r>
      <w:r w:rsidR="00190184">
        <w:rPr>
          <w:rFonts w:ascii="Times New Roman" w:eastAsia="Times New Roman" w:hAnsi="Times New Roman"/>
          <w:sz w:val="24"/>
          <w:szCs w:val="24"/>
        </w:rPr>
        <w:t xml:space="preserve"> </w:t>
      </w:r>
      <w:r w:rsidR="001437A0" w:rsidRPr="009769A6">
        <w:rPr>
          <w:rFonts w:ascii="Times New Roman" w:eastAsia="Times New Roman" w:hAnsi="Times New Roman"/>
          <w:sz w:val="24"/>
          <w:szCs w:val="24"/>
        </w:rPr>
        <w:t>gadam un 2016., 2017. un 2018.</w:t>
      </w:r>
      <w:r w:rsidR="00190184">
        <w:rPr>
          <w:rFonts w:ascii="Times New Roman" w:eastAsia="Times New Roman" w:hAnsi="Times New Roman"/>
          <w:sz w:val="24"/>
          <w:szCs w:val="24"/>
        </w:rPr>
        <w:t xml:space="preserve"> </w:t>
      </w:r>
      <w:r w:rsidR="001437A0" w:rsidRPr="009769A6">
        <w:rPr>
          <w:rFonts w:ascii="Times New Roman" w:eastAsia="Times New Roman" w:hAnsi="Times New Roman"/>
          <w:sz w:val="24"/>
          <w:szCs w:val="24"/>
        </w:rPr>
        <w:t xml:space="preserve">gadam, kuri pēc tam tiks apstiprināti ar EK Īstenošanas aktu saskaņā ar </w:t>
      </w:r>
      <w:r w:rsidR="001437A0" w:rsidRPr="009769A6">
        <w:rPr>
          <w:rFonts w:ascii="Times New Roman" w:hAnsi="Times New Roman"/>
          <w:sz w:val="24"/>
          <w:szCs w:val="24"/>
        </w:rPr>
        <w:t>Regulas 2018/842</w:t>
      </w:r>
      <w:r w:rsidR="001437A0" w:rsidRPr="009769A6">
        <w:rPr>
          <w:rFonts w:ascii="Times New Roman" w:eastAsia="Times New Roman" w:hAnsi="Times New Roman"/>
          <w:sz w:val="24"/>
          <w:szCs w:val="24"/>
        </w:rPr>
        <w:t xml:space="preserve"> 4.</w:t>
      </w:r>
      <w:r w:rsidR="00877E60">
        <w:rPr>
          <w:rFonts w:ascii="Times New Roman" w:eastAsia="Times New Roman" w:hAnsi="Times New Roman"/>
          <w:sz w:val="24"/>
          <w:szCs w:val="24"/>
        </w:rPr>
        <w:t> </w:t>
      </w:r>
      <w:r w:rsidR="001437A0" w:rsidRPr="009769A6">
        <w:rPr>
          <w:rFonts w:ascii="Times New Roman" w:eastAsia="Times New Roman" w:hAnsi="Times New Roman"/>
          <w:sz w:val="24"/>
          <w:szCs w:val="24"/>
        </w:rPr>
        <w:t>pantu.</w:t>
      </w:r>
    </w:p>
    <w:p w14:paraId="2B974BD8" w14:textId="4B5E32A9" w:rsidR="00922C7E" w:rsidRPr="005C652E" w:rsidRDefault="00603AB8" w:rsidP="004C307A">
      <w:pPr>
        <w:spacing w:before="120" w:after="120" w:line="240" w:lineRule="auto"/>
        <w:ind w:firstLine="567"/>
        <w:jc w:val="both"/>
        <w:rPr>
          <w:rFonts w:ascii="Times New Roman" w:hAnsi="Times New Roman"/>
          <w:sz w:val="24"/>
          <w:szCs w:val="24"/>
        </w:rPr>
      </w:pPr>
      <w:r w:rsidRPr="00CB3E4B">
        <w:rPr>
          <w:rFonts w:ascii="Times New Roman" w:hAnsi="Times New Roman"/>
          <w:sz w:val="24"/>
          <w:szCs w:val="24"/>
        </w:rPr>
        <w:t>Kioto protokola otrajā saistību p</w:t>
      </w:r>
      <w:r w:rsidR="004D3DE1" w:rsidRPr="00CB3E4B">
        <w:rPr>
          <w:rFonts w:ascii="Times New Roman" w:hAnsi="Times New Roman"/>
          <w:sz w:val="24"/>
          <w:szCs w:val="24"/>
        </w:rPr>
        <w:t>eriodā līdz 2020.</w:t>
      </w:r>
      <w:r w:rsidR="00042B88" w:rsidRPr="00CB3E4B">
        <w:rPr>
          <w:rFonts w:ascii="Times New Roman" w:hAnsi="Times New Roman"/>
          <w:sz w:val="24"/>
          <w:szCs w:val="24"/>
        </w:rPr>
        <w:t> </w:t>
      </w:r>
      <w:r w:rsidR="004D3DE1" w:rsidRPr="00CB3E4B">
        <w:rPr>
          <w:rFonts w:ascii="Times New Roman" w:hAnsi="Times New Roman"/>
          <w:sz w:val="24"/>
          <w:szCs w:val="24"/>
        </w:rPr>
        <w:t xml:space="preserve">gadam zemes izmantošanas, zemes izmantošanas maiņas un mežsaimniecības (turpmāk – </w:t>
      </w:r>
      <w:r w:rsidR="004D3DE1" w:rsidRPr="00CB3E4B">
        <w:rPr>
          <w:rFonts w:ascii="Times New Roman" w:hAnsi="Times New Roman"/>
          <w:iCs/>
          <w:sz w:val="24"/>
          <w:szCs w:val="24"/>
        </w:rPr>
        <w:t xml:space="preserve">ZIZIMM) </w:t>
      </w:r>
      <w:r w:rsidR="004D3DE1" w:rsidRPr="00CB3E4B">
        <w:rPr>
          <w:rFonts w:ascii="Times New Roman" w:hAnsi="Times New Roman"/>
          <w:sz w:val="24"/>
          <w:szCs w:val="24"/>
        </w:rPr>
        <w:t xml:space="preserve">sektors nav iekļauts kopējā </w:t>
      </w:r>
      <w:r w:rsidRPr="00CB3E4B">
        <w:rPr>
          <w:rFonts w:ascii="Times New Roman" w:hAnsi="Times New Roman"/>
          <w:sz w:val="24"/>
          <w:szCs w:val="24"/>
        </w:rPr>
        <w:t xml:space="preserve">ES </w:t>
      </w:r>
      <w:r w:rsidR="004D3DE1" w:rsidRPr="00CB3E4B">
        <w:rPr>
          <w:rFonts w:ascii="Times New Roman" w:hAnsi="Times New Roman"/>
          <w:sz w:val="24"/>
          <w:szCs w:val="24"/>
        </w:rPr>
        <w:t>ne</w:t>
      </w:r>
      <w:r w:rsidR="00CA3848" w:rsidRPr="00CB3E4B">
        <w:rPr>
          <w:rFonts w:ascii="Times New Roman" w:hAnsi="Times New Roman"/>
          <w:sz w:val="24"/>
          <w:szCs w:val="24"/>
        </w:rPr>
        <w:t>-</w:t>
      </w:r>
      <w:r w:rsidR="004D3DE1" w:rsidRPr="00CB3E4B">
        <w:rPr>
          <w:rFonts w:ascii="Times New Roman" w:hAnsi="Times New Roman"/>
          <w:sz w:val="24"/>
          <w:szCs w:val="24"/>
        </w:rPr>
        <w:t xml:space="preserve">ETS </w:t>
      </w:r>
      <w:r w:rsidRPr="00CB3E4B">
        <w:rPr>
          <w:rFonts w:ascii="Times New Roman" w:hAnsi="Times New Roman"/>
          <w:sz w:val="24"/>
          <w:szCs w:val="24"/>
        </w:rPr>
        <w:t>mērķī. ZIZIMM</w:t>
      </w:r>
      <w:r w:rsidR="004D3DE1" w:rsidRPr="00CB3E4B">
        <w:rPr>
          <w:rFonts w:ascii="Times New Roman" w:hAnsi="Times New Roman"/>
          <w:sz w:val="24"/>
          <w:szCs w:val="24"/>
        </w:rPr>
        <w:t xml:space="preserve"> sektora </w:t>
      </w:r>
      <w:r w:rsidRPr="00CB3E4B">
        <w:rPr>
          <w:rFonts w:ascii="Times New Roman" w:hAnsi="Times New Roman"/>
          <w:sz w:val="24"/>
          <w:szCs w:val="24"/>
        </w:rPr>
        <w:t>noteiktās zemes uzskaites kategorijās</w:t>
      </w:r>
      <w:r w:rsidR="004D3DE1" w:rsidRPr="00CB3E4B">
        <w:rPr>
          <w:rFonts w:ascii="Times New Roman" w:hAnsi="Times New Roman"/>
          <w:sz w:val="24"/>
          <w:szCs w:val="24"/>
        </w:rPr>
        <w:t xml:space="preserve"> </w:t>
      </w:r>
      <w:r w:rsidRPr="00CB3E4B">
        <w:rPr>
          <w:rFonts w:ascii="Times New Roman" w:hAnsi="Times New Roman"/>
          <w:sz w:val="24"/>
          <w:szCs w:val="24"/>
        </w:rPr>
        <w:t xml:space="preserve">(apmežota zeme, atmežota zeme un apsaimniekota meža zeme </w:t>
      </w:r>
      <w:r w:rsidR="00877E60">
        <w:rPr>
          <w:rFonts w:ascii="Times New Roman" w:hAnsi="Times New Roman"/>
          <w:sz w:val="24"/>
          <w:szCs w:val="24"/>
        </w:rPr>
        <w:t>–</w:t>
      </w:r>
      <w:r w:rsidR="00877E60" w:rsidRPr="00CB3E4B">
        <w:rPr>
          <w:rFonts w:ascii="Times New Roman" w:hAnsi="Times New Roman"/>
          <w:sz w:val="24"/>
          <w:szCs w:val="24"/>
        </w:rPr>
        <w:t xml:space="preserve"> </w:t>
      </w:r>
      <w:r w:rsidRPr="00CB3E4B">
        <w:rPr>
          <w:rFonts w:ascii="Times New Roman" w:hAnsi="Times New Roman"/>
          <w:sz w:val="24"/>
          <w:szCs w:val="24"/>
        </w:rPr>
        <w:t>FMRL (</w:t>
      </w:r>
      <w:proofErr w:type="spellStart"/>
      <w:r w:rsidRPr="00CB3E4B">
        <w:rPr>
          <w:rFonts w:ascii="Times New Roman" w:hAnsi="Times New Roman"/>
          <w:i/>
          <w:sz w:val="24"/>
          <w:szCs w:val="24"/>
        </w:rPr>
        <w:t>forest</w:t>
      </w:r>
      <w:proofErr w:type="spellEnd"/>
      <w:r w:rsidRPr="00CB3E4B">
        <w:rPr>
          <w:rFonts w:ascii="Times New Roman" w:hAnsi="Times New Roman"/>
          <w:i/>
          <w:sz w:val="24"/>
          <w:szCs w:val="24"/>
        </w:rPr>
        <w:t xml:space="preserve"> </w:t>
      </w:r>
      <w:proofErr w:type="spellStart"/>
      <w:r w:rsidRPr="00CB3E4B">
        <w:rPr>
          <w:rFonts w:ascii="Times New Roman" w:hAnsi="Times New Roman"/>
          <w:i/>
          <w:sz w:val="24"/>
          <w:szCs w:val="24"/>
        </w:rPr>
        <w:t>management</w:t>
      </w:r>
      <w:proofErr w:type="spellEnd"/>
      <w:r w:rsidRPr="00CB3E4B">
        <w:rPr>
          <w:rFonts w:ascii="Times New Roman" w:hAnsi="Times New Roman"/>
          <w:i/>
          <w:sz w:val="24"/>
          <w:szCs w:val="24"/>
        </w:rPr>
        <w:t xml:space="preserve"> reference </w:t>
      </w:r>
      <w:proofErr w:type="spellStart"/>
      <w:r w:rsidRPr="00CB3E4B">
        <w:rPr>
          <w:rFonts w:ascii="Times New Roman" w:hAnsi="Times New Roman"/>
          <w:i/>
          <w:sz w:val="24"/>
          <w:szCs w:val="24"/>
        </w:rPr>
        <w:t>level</w:t>
      </w:r>
      <w:proofErr w:type="spellEnd"/>
      <w:r w:rsidRPr="00CB3E4B">
        <w:rPr>
          <w:rFonts w:ascii="Times New Roman" w:hAnsi="Times New Roman"/>
          <w:sz w:val="24"/>
          <w:szCs w:val="24"/>
        </w:rPr>
        <w:t>)</w:t>
      </w:r>
      <w:r w:rsidRPr="00CB3E4B">
        <w:rPr>
          <w:rStyle w:val="FootnoteReference"/>
          <w:rFonts w:ascii="Times New Roman" w:hAnsi="Times New Roman"/>
          <w:sz w:val="24"/>
          <w:szCs w:val="24"/>
        </w:rPr>
        <w:footnoteReference w:id="4"/>
      </w:r>
      <w:r w:rsidR="004C307A" w:rsidRPr="00CB3E4B">
        <w:rPr>
          <w:rFonts w:ascii="Times New Roman" w:hAnsi="Times New Roman"/>
          <w:sz w:val="24"/>
          <w:szCs w:val="24"/>
        </w:rPr>
        <w:t xml:space="preserve"> jeb meža apsaimniekošanas CO</w:t>
      </w:r>
      <w:r w:rsidR="004C307A" w:rsidRPr="00CB3E4B">
        <w:rPr>
          <w:rFonts w:ascii="Times New Roman" w:hAnsi="Times New Roman"/>
          <w:sz w:val="24"/>
          <w:szCs w:val="24"/>
          <w:vertAlign w:val="subscript"/>
        </w:rPr>
        <w:t>2</w:t>
      </w:r>
      <w:r w:rsidR="004C307A" w:rsidRPr="00CB3E4B">
        <w:rPr>
          <w:rFonts w:ascii="Times New Roman" w:hAnsi="Times New Roman"/>
          <w:sz w:val="24"/>
          <w:szCs w:val="24"/>
        </w:rPr>
        <w:t xml:space="preserve"> bilances mērķis</w:t>
      </w:r>
      <w:r w:rsidRPr="00CB3E4B">
        <w:rPr>
          <w:rFonts w:ascii="Times New Roman" w:hAnsi="Times New Roman"/>
          <w:sz w:val="24"/>
          <w:szCs w:val="24"/>
        </w:rPr>
        <w:t xml:space="preserve">) </w:t>
      </w:r>
      <w:r w:rsidR="004D3DE1" w:rsidRPr="00CB3E4B">
        <w:rPr>
          <w:rFonts w:ascii="Times New Roman" w:hAnsi="Times New Roman"/>
          <w:sz w:val="24"/>
          <w:szCs w:val="24"/>
        </w:rPr>
        <w:t xml:space="preserve">ir </w:t>
      </w:r>
      <w:r w:rsidRPr="00CB3E4B">
        <w:rPr>
          <w:rFonts w:ascii="Times New Roman" w:hAnsi="Times New Roman"/>
          <w:sz w:val="24"/>
          <w:szCs w:val="24"/>
        </w:rPr>
        <w:t>jānodrošina, ka uzskaitāmās SEG emisijas nepārsniedz uzskaitāmo SEG piesaisti</w:t>
      </w:r>
      <w:r w:rsidRPr="00CB3E4B">
        <w:rPr>
          <w:rStyle w:val="FootnoteReference"/>
          <w:rFonts w:ascii="Times New Roman" w:hAnsi="Times New Roman"/>
          <w:sz w:val="24"/>
          <w:szCs w:val="24"/>
        </w:rPr>
        <w:footnoteReference w:id="5"/>
      </w:r>
      <w:r w:rsidRPr="00CB3E4B">
        <w:rPr>
          <w:rFonts w:ascii="Times New Roman" w:hAnsi="Times New Roman"/>
          <w:sz w:val="24"/>
          <w:szCs w:val="24"/>
        </w:rPr>
        <w:t xml:space="preserve"> </w:t>
      </w:r>
      <w:r w:rsidR="004D3DE1" w:rsidRPr="00CB3E4B">
        <w:rPr>
          <w:rFonts w:ascii="Times New Roman" w:hAnsi="Times New Roman"/>
          <w:sz w:val="24"/>
          <w:szCs w:val="24"/>
        </w:rPr>
        <w:t>visā periodā līdz 2020.</w:t>
      </w:r>
      <w:r w:rsidR="00042B88" w:rsidRPr="00CB3E4B">
        <w:rPr>
          <w:rFonts w:ascii="Times New Roman" w:hAnsi="Times New Roman"/>
          <w:sz w:val="24"/>
          <w:szCs w:val="24"/>
        </w:rPr>
        <w:t> </w:t>
      </w:r>
      <w:r w:rsidR="004D3DE1" w:rsidRPr="00CB3E4B">
        <w:rPr>
          <w:rFonts w:ascii="Times New Roman" w:hAnsi="Times New Roman"/>
          <w:sz w:val="24"/>
          <w:szCs w:val="24"/>
        </w:rPr>
        <w:t>gadam.</w:t>
      </w:r>
      <w:r w:rsidR="004D3DE1" w:rsidRPr="005C652E">
        <w:rPr>
          <w:rFonts w:ascii="Times New Roman" w:hAnsi="Times New Roman"/>
          <w:sz w:val="24"/>
          <w:szCs w:val="24"/>
        </w:rPr>
        <w:t xml:space="preserve"> Saskaņā ar sākotnējo ziņojumu Kioto protokola otrā saistību perioda </w:t>
      </w:r>
      <w:r w:rsidR="00FE6B07">
        <w:rPr>
          <w:rFonts w:ascii="Times New Roman" w:hAnsi="Times New Roman"/>
          <w:sz w:val="24"/>
          <w:szCs w:val="24"/>
        </w:rPr>
        <w:t xml:space="preserve">(2013. – 2020. gads) </w:t>
      </w:r>
      <w:r w:rsidR="004D3DE1" w:rsidRPr="005C652E">
        <w:rPr>
          <w:rFonts w:ascii="Times New Roman" w:hAnsi="Times New Roman"/>
          <w:sz w:val="24"/>
          <w:szCs w:val="24"/>
        </w:rPr>
        <w:t>ietvaros</w:t>
      </w:r>
      <w:r w:rsidR="004D3DE1" w:rsidRPr="005C652E">
        <w:rPr>
          <w:rStyle w:val="FootnoteReference"/>
          <w:rFonts w:ascii="Times New Roman" w:hAnsi="Times New Roman"/>
          <w:sz w:val="24"/>
          <w:szCs w:val="24"/>
        </w:rPr>
        <w:footnoteReference w:id="6"/>
      </w:r>
      <w:r w:rsidR="004D3DE1" w:rsidRPr="005C652E">
        <w:rPr>
          <w:rFonts w:ascii="Times New Roman" w:hAnsi="Times New Roman"/>
          <w:sz w:val="24"/>
          <w:szCs w:val="24"/>
        </w:rPr>
        <w:t xml:space="preserve"> Latvija ir izvēlējusies atskaitīties par</w:t>
      </w:r>
      <w:r w:rsidR="00D52B36">
        <w:rPr>
          <w:rFonts w:ascii="Times New Roman" w:hAnsi="Times New Roman"/>
          <w:sz w:val="24"/>
          <w:szCs w:val="24"/>
        </w:rPr>
        <w:t xml:space="preserve"> ZIZIMM sektora noteikto zemes uzskaites kategoriju </w:t>
      </w:r>
      <w:r w:rsidR="00EB3824">
        <w:rPr>
          <w:rFonts w:ascii="Times New Roman" w:hAnsi="Times New Roman"/>
          <w:sz w:val="24"/>
          <w:szCs w:val="24"/>
        </w:rPr>
        <w:t xml:space="preserve"> </w:t>
      </w:r>
      <w:r w:rsidR="004D3DE1" w:rsidRPr="005C652E">
        <w:rPr>
          <w:rFonts w:ascii="Times New Roman" w:hAnsi="Times New Roman"/>
          <w:sz w:val="24"/>
          <w:szCs w:val="24"/>
        </w:rPr>
        <w:t>mērķ</w:t>
      </w:r>
      <w:r w:rsidR="00D52B36">
        <w:rPr>
          <w:rFonts w:ascii="Times New Roman" w:hAnsi="Times New Roman"/>
          <w:sz w:val="24"/>
          <w:szCs w:val="24"/>
        </w:rPr>
        <w:t>i</w:t>
      </w:r>
      <w:r w:rsidR="004D3DE1" w:rsidRPr="005C652E">
        <w:rPr>
          <w:rFonts w:ascii="Times New Roman" w:hAnsi="Times New Roman"/>
          <w:sz w:val="24"/>
          <w:szCs w:val="24"/>
        </w:rPr>
        <w:t xml:space="preserve">  perioda beigās.</w:t>
      </w:r>
      <w:r w:rsidR="004C307A">
        <w:rPr>
          <w:rFonts w:ascii="Times New Roman" w:hAnsi="Times New Roman"/>
          <w:sz w:val="24"/>
          <w:szCs w:val="24"/>
        </w:rPr>
        <w:t xml:space="preserve"> </w:t>
      </w:r>
      <w:r w:rsidR="004D3DE1" w:rsidRPr="00E6086F">
        <w:rPr>
          <w:rFonts w:ascii="Times New Roman" w:hAnsi="Times New Roman"/>
          <w:sz w:val="24"/>
          <w:szCs w:val="24"/>
        </w:rPr>
        <w:t xml:space="preserve">Latvijai noteiktais </w:t>
      </w:r>
      <w:r w:rsidR="00EB3824" w:rsidRPr="00E6086F">
        <w:rPr>
          <w:rFonts w:ascii="Times New Roman" w:hAnsi="Times New Roman"/>
          <w:sz w:val="24"/>
          <w:szCs w:val="24"/>
        </w:rPr>
        <w:t>meža apsaimniekošanas CO</w:t>
      </w:r>
      <w:r w:rsidR="00EB3824" w:rsidRPr="00E6086F">
        <w:rPr>
          <w:rFonts w:ascii="Times New Roman" w:hAnsi="Times New Roman"/>
          <w:sz w:val="24"/>
          <w:szCs w:val="24"/>
          <w:vertAlign w:val="subscript"/>
        </w:rPr>
        <w:t>2</w:t>
      </w:r>
      <w:r w:rsidR="00EB3824" w:rsidRPr="00E6086F">
        <w:rPr>
          <w:rFonts w:ascii="Times New Roman" w:hAnsi="Times New Roman"/>
          <w:sz w:val="24"/>
          <w:szCs w:val="24"/>
        </w:rPr>
        <w:t xml:space="preserve"> bilances mērķis </w:t>
      </w:r>
      <w:r w:rsidR="004D3DE1" w:rsidRPr="00E6086F">
        <w:rPr>
          <w:rFonts w:ascii="Times New Roman" w:hAnsi="Times New Roman"/>
          <w:sz w:val="24"/>
          <w:szCs w:val="24"/>
        </w:rPr>
        <w:t xml:space="preserve">ir 16302 </w:t>
      </w:r>
      <w:proofErr w:type="spellStart"/>
      <w:r w:rsidR="004D3DE1" w:rsidRPr="00E6086F">
        <w:rPr>
          <w:rFonts w:ascii="Times New Roman" w:hAnsi="Times New Roman"/>
          <w:sz w:val="24"/>
          <w:szCs w:val="24"/>
        </w:rPr>
        <w:t>kt</w:t>
      </w:r>
      <w:proofErr w:type="spellEnd"/>
      <w:r w:rsidR="004D3DE1" w:rsidRPr="00E6086F">
        <w:rPr>
          <w:rFonts w:ascii="Times New Roman" w:hAnsi="Times New Roman"/>
          <w:sz w:val="24"/>
          <w:szCs w:val="24"/>
        </w:rPr>
        <w:t xml:space="preserve"> CO</w:t>
      </w:r>
      <w:r w:rsidR="004D3DE1" w:rsidRPr="00E6086F">
        <w:rPr>
          <w:rFonts w:ascii="Times New Roman" w:hAnsi="Times New Roman"/>
          <w:sz w:val="24"/>
          <w:szCs w:val="24"/>
          <w:vertAlign w:val="subscript"/>
        </w:rPr>
        <w:t>2</w:t>
      </w:r>
      <w:r w:rsidR="00907B28">
        <w:rPr>
          <w:rFonts w:ascii="Times New Roman" w:hAnsi="Times New Roman"/>
          <w:sz w:val="24"/>
          <w:szCs w:val="24"/>
          <w:vertAlign w:val="subscript"/>
        </w:rPr>
        <w:t xml:space="preserve"> </w:t>
      </w:r>
      <w:r w:rsidR="00907B28" w:rsidRPr="00907B28">
        <w:rPr>
          <w:rFonts w:ascii="Times New Roman" w:hAnsi="Times New Roman"/>
          <w:sz w:val="24"/>
          <w:szCs w:val="24"/>
        </w:rPr>
        <w:t>ekv</w:t>
      </w:r>
      <w:r w:rsidR="00A759F8">
        <w:rPr>
          <w:rFonts w:ascii="Times New Roman" w:hAnsi="Times New Roman"/>
          <w:sz w:val="24"/>
          <w:szCs w:val="24"/>
        </w:rPr>
        <w:t>ivalenti</w:t>
      </w:r>
      <w:r w:rsidR="004D3DE1" w:rsidRPr="00E6086F">
        <w:rPr>
          <w:rFonts w:ascii="Times New Roman" w:hAnsi="Times New Roman"/>
          <w:sz w:val="24"/>
          <w:szCs w:val="24"/>
          <w:vertAlign w:val="subscript"/>
        </w:rPr>
        <w:t>/</w:t>
      </w:r>
      <w:r w:rsidR="004D3DE1" w:rsidRPr="00E6086F">
        <w:rPr>
          <w:rFonts w:ascii="Times New Roman" w:hAnsi="Times New Roman"/>
          <w:sz w:val="24"/>
          <w:szCs w:val="24"/>
        </w:rPr>
        <w:t xml:space="preserve">gadā. </w:t>
      </w:r>
      <w:r w:rsidR="004D3DE1" w:rsidRPr="005C652E">
        <w:rPr>
          <w:rFonts w:ascii="Times New Roman" w:hAnsi="Times New Roman"/>
          <w:sz w:val="24"/>
          <w:szCs w:val="24"/>
        </w:rPr>
        <w:t xml:space="preserve">Līdz ar to Latvijai </w:t>
      </w:r>
      <w:r w:rsidR="00B1764F">
        <w:rPr>
          <w:rFonts w:ascii="Times New Roman" w:hAnsi="Times New Roman"/>
          <w:sz w:val="24"/>
          <w:szCs w:val="24"/>
        </w:rPr>
        <w:t xml:space="preserve">Kioto protokola otrā saistību </w:t>
      </w:r>
      <w:r w:rsidR="004D3DE1" w:rsidRPr="005C652E">
        <w:rPr>
          <w:rFonts w:ascii="Times New Roman" w:hAnsi="Times New Roman"/>
          <w:sz w:val="24"/>
          <w:szCs w:val="24"/>
        </w:rPr>
        <w:t xml:space="preserve">periodā </w:t>
      </w:r>
      <w:r w:rsidR="00B1764F">
        <w:rPr>
          <w:rFonts w:ascii="Times New Roman" w:hAnsi="Times New Roman"/>
          <w:sz w:val="24"/>
          <w:szCs w:val="24"/>
        </w:rPr>
        <w:t>(</w:t>
      </w:r>
      <w:r w:rsidR="004D3DE1" w:rsidRPr="005C652E">
        <w:rPr>
          <w:rFonts w:ascii="Times New Roman" w:hAnsi="Times New Roman"/>
          <w:sz w:val="24"/>
          <w:szCs w:val="24"/>
        </w:rPr>
        <w:t>2013.</w:t>
      </w:r>
      <w:r w:rsidR="00CA3848">
        <w:rPr>
          <w:rFonts w:ascii="Times New Roman" w:hAnsi="Times New Roman"/>
          <w:sz w:val="24"/>
          <w:szCs w:val="24"/>
        </w:rPr>
        <w:t xml:space="preserve"> </w:t>
      </w:r>
      <w:r w:rsidR="004D3DE1" w:rsidRPr="005C652E">
        <w:rPr>
          <w:rFonts w:ascii="Times New Roman" w:hAnsi="Times New Roman"/>
          <w:sz w:val="24"/>
          <w:szCs w:val="24"/>
        </w:rPr>
        <w:t>-</w:t>
      </w:r>
      <w:r w:rsidR="00CA3848">
        <w:rPr>
          <w:rFonts w:ascii="Times New Roman" w:hAnsi="Times New Roman"/>
          <w:sz w:val="24"/>
          <w:szCs w:val="24"/>
        </w:rPr>
        <w:t xml:space="preserve"> </w:t>
      </w:r>
      <w:r w:rsidR="004D3DE1" w:rsidRPr="005C652E">
        <w:rPr>
          <w:rFonts w:ascii="Times New Roman" w:hAnsi="Times New Roman"/>
          <w:sz w:val="24"/>
          <w:szCs w:val="24"/>
        </w:rPr>
        <w:t>2020.</w:t>
      </w:r>
      <w:r w:rsidR="00C01ED0">
        <w:rPr>
          <w:rFonts w:ascii="Times New Roman" w:hAnsi="Times New Roman"/>
          <w:sz w:val="24"/>
          <w:szCs w:val="24"/>
        </w:rPr>
        <w:t> </w:t>
      </w:r>
      <w:r w:rsidR="004D3DE1" w:rsidRPr="005C652E">
        <w:rPr>
          <w:rFonts w:ascii="Times New Roman" w:hAnsi="Times New Roman"/>
          <w:sz w:val="24"/>
          <w:szCs w:val="24"/>
        </w:rPr>
        <w:t>gads</w:t>
      </w:r>
      <w:r w:rsidR="00B1764F">
        <w:rPr>
          <w:rFonts w:ascii="Times New Roman" w:hAnsi="Times New Roman"/>
          <w:sz w:val="24"/>
          <w:szCs w:val="24"/>
        </w:rPr>
        <w:t>)</w:t>
      </w:r>
      <w:r w:rsidR="004D3DE1" w:rsidRPr="005C652E">
        <w:rPr>
          <w:rFonts w:ascii="Times New Roman" w:hAnsi="Times New Roman"/>
          <w:sz w:val="24"/>
          <w:szCs w:val="24"/>
        </w:rPr>
        <w:t xml:space="preserve"> ir jānodrošina kopējā CO</w:t>
      </w:r>
      <w:r w:rsidR="004D3DE1" w:rsidRPr="005C652E">
        <w:rPr>
          <w:rFonts w:ascii="Times New Roman" w:hAnsi="Times New Roman"/>
          <w:sz w:val="24"/>
          <w:szCs w:val="24"/>
          <w:vertAlign w:val="subscript"/>
        </w:rPr>
        <w:t>2</w:t>
      </w:r>
      <w:r w:rsidR="009802A6">
        <w:rPr>
          <w:rFonts w:ascii="Times New Roman" w:hAnsi="Times New Roman"/>
          <w:sz w:val="24"/>
          <w:szCs w:val="24"/>
        </w:rPr>
        <w:t xml:space="preserve"> piesaiste 130416 </w:t>
      </w:r>
      <w:r w:rsidR="00FE6B07">
        <w:rPr>
          <w:rFonts w:ascii="Times New Roman" w:hAnsi="Times New Roman"/>
          <w:sz w:val="24"/>
          <w:szCs w:val="24"/>
        </w:rPr>
        <w:t>kilotonnas (</w:t>
      </w:r>
      <w:proofErr w:type="spellStart"/>
      <w:r w:rsidR="009802A6">
        <w:rPr>
          <w:rFonts w:ascii="Times New Roman" w:hAnsi="Times New Roman"/>
          <w:sz w:val="24"/>
          <w:szCs w:val="24"/>
        </w:rPr>
        <w:t>kt</w:t>
      </w:r>
      <w:proofErr w:type="spellEnd"/>
      <w:r w:rsidR="00FE6B07">
        <w:rPr>
          <w:rFonts w:ascii="Times New Roman" w:hAnsi="Times New Roman"/>
          <w:sz w:val="24"/>
          <w:szCs w:val="24"/>
        </w:rPr>
        <w:t>)</w:t>
      </w:r>
      <w:r w:rsidR="00A759F8">
        <w:rPr>
          <w:rFonts w:ascii="Times New Roman" w:hAnsi="Times New Roman"/>
          <w:sz w:val="24"/>
          <w:szCs w:val="24"/>
        </w:rPr>
        <w:t xml:space="preserve"> </w:t>
      </w:r>
      <w:r w:rsidR="004D3DE1" w:rsidRPr="005C652E">
        <w:rPr>
          <w:rFonts w:ascii="Times New Roman" w:hAnsi="Times New Roman"/>
          <w:sz w:val="24"/>
          <w:szCs w:val="24"/>
        </w:rPr>
        <w:t>CO</w:t>
      </w:r>
      <w:r w:rsidR="004D3DE1" w:rsidRPr="005C652E">
        <w:rPr>
          <w:rFonts w:ascii="Times New Roman" w:hAnsi="Times New Roman"/>
          <w:sz w:val="24"/>
          <w:szCs w:val="24"/>
          <w:vertAlign w:val="subscript"/>
        </w:rPr>
        <w:t>2</w:t>
      </w:r>
      <w:r w:rsidR="004D3DE1" w:rsidRPr="005C652E">
        <w:rPr>
          <w:rFonts w:ascii="Times New Roman" w:hAnsi="Times New Roman"/>
          <w:sz w:val="24"/>
          <w:szCs w:val="24"/>
        </w:rPr>
        <w:t xml:space="preserve"> </w:t>
      </w:r>
      <w:r w:rsidR="00907B28" w:rsidRPr="00907B28">
        <w:rPr>
          <w:rFonts w:ascii="Times New Roman" w:hAnsi="Times New Roman"/>
          <w:sz w:val="24"/>
          <w:szCs w:val="24"/>
        </w:rPr>
        <w:t>ekv</w:t>
      </w:r>
      <w:r w:rsidR="00A759F8">
        <w:rPr>
          <w:rFonts w:ascii="Times New Roman" w:hAnsi="Times New Roman"/>
          <w:sz w:val="24"/>
          <w:szCs w:val="24"/>
        </w:rPr>
        <w:t>ivalentu</w:t>
      </w:r>
      <w:r w:rsidR="00907B28">
        <w:rPr>
          <w:rFonts w:ascii="Times New Roman" w:hAnsi="Times New Roman"/>
          <w:sz w:val="24"/>
          <w:szCs w:val="24"/>
        </w:rPr>
        <w:t xml:space="preserve"> </w:t>
      </w:r>
      <w:r w:rsidR="004D3DE1" w:rsidRPr="005C652E">
        <w:rPr>
          <w:rFonts w:ascii="Times New Roman" w:hAnsi="Times New Roman"/>
          <w:sz w:val="24"/>
          <w:szCs w:val="24"/>
        </w:rPr>
        <w:t>apmērā</w:t>
      </w:r>
      <w:r w:rsidR="00EB3824">
        <w:rPr>
          <w:rFonts w:ascii="Times New Roman" w:hAnsi="Times New Roman"/>
          <w:sz w:val="24"/>
          <w:szCs w:val="24"/>
        </w:rPr>
        <w:t xml:space="preserve"> (ņemot vērā meža apsaimniekošanas SEG emisiju apjomu)</w:t>
      </w:r>
      <w:r w:rsidR="004D3DE1" w:rsidRPr="005C652E">
        <w:rPr>
          <w:rFonts w:ascii="Times New Roman" w:hAnsi="Times New Roman"/>
          <w:sz w:val="24"/>
          <w:szCs w:val="24"/>
        </w:rPr>
        <w:t xml:space="preserve">. </w:t>
      </w:r>
      <w:r w:rsidR="00C01ED0">
        <w:rPr>
          <w:rFonts w:ascii="Times New Roman" w:hAnsi="Times New Roman"/>
          <w:sz w:val="24"/>
          <w:szCs w:val="24"/>
        </w:rPr>
        <w:t>Vienlaikus</w:t>
      </w:r>
      <w:r w:rsidR="004D3DE1" w:rsidRPr="005C652E">
        <w:rPr>
          <w:rFonts w:ascii="Times New Roman" w:hAnsi="Times New Roman"/>
          <w:sz w:val="24"/>
          <w:szCs w:val="24"/>
        </w:rPr>
        <w:t xml:space="preserve"> būtiski atzīmēt, ka, saskaņā ar ZIZIMM lēmuma</w:t>
      </w:r>
      <w:r w:rsidR="004D3DE1" w:rsidRPr="005C652E">
        <w:rPr>
          <w:rStyle w:val="FootnoteReference"/>
          <w:rFonts w:ascii="Times New Roman" w:hAnsi="Times New Roman"/>
          <w:sz w:val="24"/>
          <w:szCs w:val="24"/>
        </w:rPr>
        <w:footnoteReference w:id="7"/>
      </w:r>
      <w:r w:rsidR="004D3DE1" w:rsidRPr="005C652E">
        <w:rPr>
          <w:rFonts w:ascii="Times New Roman" w:hAnsi="Times New Roman"/>
          <w:sz w:val="24"/>
          <w:szCs w:val="24"/>
        </w:rPr>
        <w:t xml:space="preserve"> 6.</w:t>
      </w:r>
      <w:r w:rsidR="00C01ED0">
        <w:rPr>
          <w:rFonts w:ascii="Times New Roman" w:hAnsi="Times New Roman"/>
          <w:sz w:val="24"/>
          <w:szCs w:val="24"/>
        </w:rPr>
        <w:t> </w:t>
      </w:r>
      <w:r w:rsidR="004D3DE1" w:rsidRPr="005C652E">
        <w:rPr>
          <w:rFonts w:ascii="Times New Roman" w:hAnsi="Times New Roman"/>
          <w:sz w:val="24"/>
          <w:szCs w:val="24"/>
        </w:rPr>
        <w:t>panta 6.</w:t>
      </w:r>
      <w:r w:rsidR="00C01ED0">
        <w:rPr>
          <w:rFonts w:ascii="Times New Roman" w:hAnsi="Times New Roman"/>
          <w:sz w:val="24"/>
          <w:szCs w:val="24"/>
        </w:rPr>
        <w:t> </w:t>
      </w:r>
      <w:r w:rsidR="004D3DE1" w:rsidRPr="005C652E">
        <w:rPr>
          <w:rFonts w:ascii="Times New Roman" w:hAnsi="Times New Roman"/>
          <w:sz w:val="24"/>
          <w:szCs w:val="24"/>
        </w:rPr>
        <w:t xml:space="preserve">punktu, ja </w:t>
      </w:r>
      <w:r w:rsidR="00C01ED0">
        <w:rPr>
          <w:rFonts w:ascii="Times New Roman" w:hAnsi="Times New Roman"/>
          <w:sz w:val="24"/>
          <w:szCs w:val="24"/>
        </w:rPr>
        <w:t xml:space="preserve">ES </w:t>
      </w:r>
      <w:r w:rsidR="004D3DE1" w:rsidRPr="005C652E">
        <w:rPr>
          <w:rFonts w:ascii="Times New Roman" w:hAnsi="Times New Roman"/>
          <w:sz w:val="24"/>
          <w:szCs w:val="24"/>
        </w:rPr>
        <w:t xml:space="preserve">dalībvalstij kļūst pieejama labāka metodika, kas saistīta ar datiem, kurus izmanto, lai noteiktu </w:t>
      </w:r>
      <w:r w:rsidR="003A4B64" w:rsidRPr="003A4B64">
        <w:rPr>
          <w:rFonts w:ascii="Times New Roman" w:hAnsi="Times New Roman"/>
          <w:sz w:val="24"/>
          <w:szCs w:val="24"/>
        </w:rPr>
        <w:t>meža apsa</w:t>
      </w:r>
      <w:r w:rsidR="003A4B64">
        <w:rPr>
          <w:rFonts w:ascii="Times New Roman" w:hAnsi="Times New Roman"/>
          <w:sz w:val="24"/>
          <w:szCs w:val="24"/>
        </w:rPr>
        <w:t>imniekošanas CO</w:t>
      </w:r>
      <w:r w:rsidR="003A4B64" w:rsidRPr="00E27476">
        <w:rPr>
          <w:rFonts w:ascii="Times New Roman" w:hAnsi="Times New Roman"/>
          <w:sz w:val="24"/>
          <w:szCs w:val="24"/>
          <w:vertAlign w:val="subscript"/>
        </w:rPr>
        <w:t>2</w:t>
      </w:r>
      <w:r w:rsidR="003A4B64">
        <w:rPr>
          <w:rFonts w:ascii="Times New Roman" w:hAnsi="Times New Roman"/>
          <w:sz w:val="24"/>
          <w:szCs w:val="24"/>
        </w:rPr>
        <w:t xml:space="preserve"> bilances mērķi</w:t>
      </w:r>
      <w:r w:rsidR="004D3DE1" w:rsidRPr="005C652E">
        <w:rPr>
          <w:rFonts w:ascii="Times New Roman" w:hAnsi="Times New Roman"/>
          <w:sz w:val="24"/>
          <w:szCs w:val="24"/>
        </w:rPr>
        <w:t>, vai</w:t>
      </w:r>
      <w:r w:rsidR="00DA3882">
        <w:rPr>
          <w:rFonts w:ascii="Times New Roman" w:hAnsi="Times New Roman"/>
          <w:sz w:val="24"/>
          <w:szCs w:val="24"/>
        </w:rPr>
        <w:t>,</w:t>
      </w:r>
      <w:r w:rsidR="004D3DE1" w:rsidRPr="005C652E">
        <w:rPr>
          <w:rFonts w:ascii="Times New Roman" w:hAnsi="Times New Roman"/>
          <w:sz w:val="24"/>
          <w:szCs w:val="24"/>
        </w:rPr>
        <w:t xml:space="preserve"> ja ievērojami uzlabojas pieejamo datu kvalitāte, tā var veikt atbilstošas tehniskās korekcijas</w:t>
      </w:r>
      <w:r>
        <w:rPr>
          <w:rFonts w:ascii="Times New Roman" w:hAnsi="Times New Roman"/>
          <w:sz w:val="24"/>
          <w:szCs w:val="24"/>
        </w:rPr>
        <w:t>,</w:t>
      </w:r>
      <w:r w:rsidR="004D3DE1" w:rsidRPr="005C652E">
        <w:rPr>
          <w:rFonts w:ascii="Times New Roman" w:hAnsi="Times New Roman"/>
          <w:sz w:val="24"/>
          <w:szCs w:val="24"/>
        </w:rPr>
        <w:t xml:space="preserve"> lai mežu apsaimniekošanai izveidotajā uzskaitē ņemtu vērā pārrēķinu ietekmi. Latvijas </w:t>
      </w:r>
      <w:r w:rsidR="003A4B64" w:rsidRPr="003A4B64">
        <w:rPr>
          <w:rFonts w:ascii="Times New Roman" w:hAnsi="Times New Roman"/>
          <w:sz w:val="24"/>
          <w:szCs w:val="24"/>
        </w:rPr>
        <w:t>meža apsaimniekošanas CO</w:t>
      </w:r>
      <w:r w:rsidR="003A4B64" w:rsidRPr="00E27476">
        <w:rPr>
          <w:rFonts w:ascii="Times New Roman" w:hAnsi="Times New Roman"/>
          <w:sz w:val="24"/>
          <w:szCs w:val="24"/>
          <w:vertAlign w:val="subscript"/>
        </w:rPr>
        <w:t>2</w:t>
      </w:r>
      <w:r w:rsidR="003A4B64" w:rsidRPr="003A4B64">
        <w:rPr>
          <w:rFonts w:ascii="Times New Roman" w:hAnsi="Times New Roman"/>
          <w:sz w:val="24"/>
          <w:szCs w:val="24"/>
        </w:rPr>
        <w:t xml:space="preserve"> bilances mērķ</w:t>
      </w:r>
      <w:r w:rsidR="003A4B64">
        <w:rPr>
          <w:rFonts w:ascii="Times New Roman" w:hAnsi="Times New Roman"/>
          <w:sz w:val="24"/>
          <w:szCs w:val="24"/>
        </w:rPr>
        <w:t>a</w:t>
      </w:r>
      <w:r w:rsidR="003A4B64" w:rsidRPr="003A4B64">
        <w:rPr>
          <w:rFonts w:ascii="Times New Roman" w:hAnsi="Times New Roman"/>
          <w:sz w:val="24"/>
          <w:szCs w:val="24"/>
        </w:rPr>
        <w:t xml:space="preserve"> </w:t>
      </w:r>
      <w:r w:rsidR="004D3DE1" w:rsidRPr="005C652E">
        <w:rPr>
          <w:rFonts w:ascii="Times New Roman" w:hAnsi="Times New Roman"/>
          <w:sz w:val="24"/>
          <w:szCs w:val="24"/>
        </w:rPr>
        <w:t xml:space="preserve">oficiālais pārrēķins tiks veikts </w:t>
      </w:r>
      <w:r w:rsidR="004C307A">
        <w:rPr>
          <w:rFonts w:ascii="Times New Roman" w:hAnsi="Times New Roman"/>
          <w:sz w:val="24"/>
          <w:szCs w:val="24"/>
        </w:rPr>
        <w:t>K</w:t>
      </w:r>
      <w:r w:rsidR="00A759F8">
        <w:rPr>
          <w:rFonts w:ascii="Times New Roman" w:hAnsi="Times New Roman"/>
          <w:sz w:val="24"/>
          <w:szCs w:val="24"/>
        </w:rPr>
        <w:t>ioto protokola</w:t>
      </w:r>
      <w:r w:rsidR="004C307A">
        <w:rPr>
          <w:rFonts w:ascii="Times New Roman" w:hAnsi="Times New Roman"/>
          <w:sz w:val="24"/>
          <w:szCs w:val="24"/>
        </w:rPr>
        <w:t xml:space="preserve"> otrā saistību </w:t>
      </w:r>
      <w:r w:rsidR="004D3DE1" w:rsidRPr="005C652E">
        <w:rPr>
          <w:rFonts w:ascii="Times New Roman" w:hAnsi="Times New Roman"/>
          <w:sz w:val="24"/>
          <w:szCs w:val="24"/>
        </w:rPr>
        <w:t>perioda</w:t>
      </w:r>
      <w:r w:rsidR="00AE1E01">
        <w:rPr>
          <w:rFonts w:ascii="Times New Roman" w:hAnsi="Times New Roman"/>
          <w:sz w:val="24"/>
          <w:szCs w:val="24"/>
        </w:rPr>
        <w:t xml:space="preserve"> (2013. – 2020. gads)</w:t>
      </w:r>
      <w:r w:rsidR="004D3DE1" w:rsidRPr="005C652E">
        <w:rPr>
          <w:rFonts w:ascii="Times New Roman" w:hAnsi="Times New Roman"/>
          <w:sz w:val="24"/>
          <w:szCs w:val="24"/>
        </w:rPr>
        <w:t xml:space="preserve"> beigās</w:t>
      </w:r>
      <w:r w:rsidR="00AE1E01">
        <w:rPr>
          <w:rFonts w:ascii="Times New Roman" w:hAnsi="Times New Roman"/>
          <w:sz w:val="24"/>
          <w:szCs w:val="24"/>
        </w:rPr>
        <w:t>, tas ir</w:t>
      </w:r>
      <w:r w:rsidR="006D6EF7">
        <w:rPr>
          <w:rFonts w:ascii="Times New Roman" w:hAnsi="Times New Roman"/>
          <w:sz w:val="24"/>
          <w:szCs w:val="24"/>
        </w:rPr>
        <w:t xml:space="preserve"> 2022.</w:t>
      </w:r>
      <w:r w:rsidR="00CA3848">
        <w:rPr>
          <w:rFonts w:ascii="Times New Roman" w:hAnsi="Times New Roman"/>
          <w:sz w:val="24"/>
          <w:szCs w:val="24"/>
        </w:rPr>
        <w:t xml:space="preserve"> </w:t>
      </w:r>
      <w:r w:rsidR="006D6EF7">
        <w:rPr>
          <w:rFonts w:ascii="Times New Roman" w:hAnsi="Times New Roman"/>
          <w:sz w:val="24"/>
          <w:szCs w:val="24"/>
        </w:rPr>
        <w:t>gada SEG inventarizācij</w:t>
      </w:r>
      <w:r w:rsidR="00AE1E01">
        <w:rPr>
          <w:rFonts w:ascii="Times New Roman" w:hAnsi="Times New Roman"/>
          <w:sz w:val="24"/>
          <w:szCs w:val="24"/>
        </w:rPr>
        <w:t>as ietvaros</w:t>
      </w:r>
      <w:r w:rsidR="004D3DE1" w:rsidRPr="005C652E">
        <w:rPr>
          <w:rFonts w:ascii="Times New Roman" w:hAnsi="Times New Roman"/>
          <w:sz w:val="24"/>
          <w:szCs w:val="24"/>
        </w:rPr>
        <w:t>, lai varētu iekļaut pēc iespējas precīzāku pieejamo informāciju par datiem. Saskaņā ar 201</w:t>
      </w:r>
      <w:r w:rsidR="00345FCF">
        <w:rPr>
          <w:rFonts w:ascii="Times New Roman" w:hAnsi="Times New Roman"/>
          <w:sz w:val="24"/>
          <w:szCs w:val="24"/>
        </w:rPr>
        <w:t>8</w:t>
      </w:r>
      <w:r w:rsidR="004D3DE1" w:rsidRPr="005C652E">
        <w:rPr>
          <w:rFonts w:ascii="Times New Roman" w:hAnsi="Times New Roman"/>
          <w:sz w:val="24"/>
          <w:szCs w:val="24"/>
        </w:rPr>
        <w:t>.</w:t>
      </w:r>
      <w:r w:rsidR="00C01ED0">
        <w:rPr>
          <w:rFonts w:ascii="Times New Roman" w:hAnsi="Times New Roman"/>
          <w:sz w:val="24"/>
          <w:szCs w:val="24"/>
        </w:rPr>
        <w:t> </w:t>
      </w:r>
      <w:r w:rsidR="00766AD5">
        <w:rPr>
          <w:rFonts w:ascii="Times New Roman" w:hAnsi="Times New Roman"/>
          <w:sz w:val="24"/>
          <w:szCs w:val="24"/>
        </w:rPr>
        <w:t>gada SEG inventarizāciju</w:t>
      </w:r>
      <w:r w:rsidR="00766AD5" w:rsidRPr="00766AD5">
        <w:rPr>
          <w:rFonts w:ascii="Times New Roman" w:hAnsi="Times New Roman"/>
          <w:sz w:val="24"/>
          <w:szCs w:val="24"/>
        </w:rPr>
        <w:t>,</w:t>
      </w:r>
      <w:r w:rsidR="004D3DE1" w:rsidRPr="00766AD5">
        <w:rPr>
          <w:rFonts w:ascii="Times New Roman" w:hAnsi="Times New Roman"/>
          <w:sz w:val="24"/>
          <w:szCs w:val="24"/>
        </w:rPr>
        <w:t xml:space="preserve"> pārrēķinātais Kioto protokola otrā saistību perioda</w:t>
      </w:r>
      <w:r w:rsidR="00AE1E01">
        <w:rPr>
          <w:rFonts w:ascii="Times New Roman" w:hAnsi="Times New Roman"/>
          <w:sz w:val="24"/>
          <w:szCs w:val="24"/>
        </w:rPr>
        <w:t xml:space="preserve"> (2013. – 2020. gads)</w:t>
      </w:r>
      <w:r w:rsidR="004D3DE1" w:rsidRPr="00766AD5">
        <w:rPr>
          <w:rFonts w:ascii="Times New Roman" w:hAnsi="Times New Roman"/>
          <w:sz w:val="24"/>
          <w:szCs w:val="24"/>
        </w:rPr>
        <w:t xml:space="preserve"> </w:t>
      </w:r>
      <w:r w:rsidR="00940453" w:rsidRPr="00766AD5">
        <w:rPr>
          <w:rFonts w:ascii="Times New Roman" w:hAnsi="Times New Roman"/>
          <w:sz w:val="24"/>
          <w:szCs w:val="24"/>
        </w:rPr>
        <w:t>meža apsaimniekošanas CO</w:t>
      </w:r>
      <w:r w:rsidR="00940453" w:rsidRPr="00766AD5">
        <w:rPr>
          <w:rFonts w:ascii="Times New Roman" w:hAnsi="Times New Roman"/>
          <w:sz w:val="24"/>
          <w:szCs w:val="24"/>
          <w:vertAlign w:val="subscript"/>
        </w:rPr>
        <w:t>2</w:t>
      </w:r>
      <w:r w:rsidR="00940453" w:rsidRPr="00766AD5">
        <w:rPr>
          <w:rFonts w:ascii="Times New Roman" w:hAnsi="Times New Roman"/>
          <w:sz w:val="24"/>
          <w:szCs w:val="24"/>
        </w:rPr>
        <w:t xml:space="preserve"> bilances</w:t>
      </w:r>
      <w:r w:rsidR="004D3DE1" w:rsidRPr="00766AD5">
        <w:rPr>
          <w:rFonts w:ascii="Times New Roman" w:hAnsi="Times New Roman"/>
          <w:sz w:val="24"/>
          <w:szCs w:val="24"/>
        </w:rPr>
        <w:t xml:space="preserve"> mērķis varētu būt </w:t>
      </w:r>
      <w:r w:rsidR="00766AD5" w:rsidRPr="00766AD5">
        <w:rPr>
          <w:rFonts w:ascii="Times New Roman" w:hAnsi="Times New Roman"/>
          <w:sz w:val="24"/>
          <w:szCs w:val="24"/>
        </w:rPr>
        <w:t>4598,61</w:t>
      </w:r>
      <w:r w:rsidR="004D3DE1" w:rsidRPr="00766AD5">
        <w:rPr>
          <w:rFonts w:ascii="Times New Roman" w:hAnsi="Times New Roman"/>
          <w:sz w:val="24"/>
          <w:szCs w:val="24"/>
        </w:rPr>
        <w:t xml:space="preserve"> </w:t>
      </w:r>
      <w:proofErr w:type="spellStart"/>
      <w:r w:rsidR="004D3DE1" w:rsidRPr="00766AD5">
        <w:rPr>
          <w:rFonts w:ascii="Times New Roman" w:hAnsi="Times New Roman"/>
          <w:sz w:val="24"/>
          <w:szCs w:val="24"/>
        </w:rPr>
        <w:t>kt</w:t>
      </w:r>
      <w:proofErr w:type="spellEnd"/>
      <w:r w:rsidR="004D3DE1" w:rsidRPr="00766AD5">
        <w:rPr>
          <w:rFonts w:ascii="Times New Roman" w:hAnsi="Times New Roman"/>
          <w:sz w:val="24"/>
          <w:szCs w:val="24"/>
        </w:rPr>
        <w:t xml:space="preserve"> CO</w:t>
      </w:r>
      <w:r w:rsidR="004D3DE1" w:rsidRPr="00766AD5">
        <w:rPr>
          <w:rFonts w:ascii="Times New Roman" w:hAnsi="Times New Roman"/>
          <w:sz w:val="24"/>
          <w:szCs w:val="24"/>
          <w:vertAlign w:val="subscript"/>
        </w:rPr>
        <w:t>2</w:t>
      </w:r>
      <w:r w:rsidR="00907B28" w:rsidRPr="00907B28">
        <w:rPr>
          <w:rFonts w:ascii="Times New Roman" w:hAnsi="Times New Roman"/>
          <w:sz w:val="24"/>
          <w:szCs w:val="24"/>
        </w:rPr>
        <w:t xml:space="preserve"> ekv</w:t>
      </w:r>
      <w:r w:rsidR="00A759F8">
        <w:rPr>
          <w:rFonts w:ascii="Times New Roman" w:hAnsi="Times New Roman"/>
          <w:sz w:val="24"/>
          <w:szCs w:val="24"/>
        </w:rPr>
        <w:t>ivalenti</w:t>
      </w:r>
      <w:r w:rsidR="004D3DE1" w:rsidRPr="00766AD5">
        <w:rPr>
          <w:rFonts w:ascii="Times New Roman" w:hAnsi="Times New Roman"/>
          <w:sz w:val="24"/>
          <w:szCs w:val="24"/>
        </w:rPr>
        <w:t>/gadā.</w:t>
      </w:r>
      <w:r w:rsidR="00AE1E01">
        <w:rPr>
          <w:rFonts w:ascii="Times New Roman" w:hAnsi="Times New Roman"/>
          <w:sz w:val="24"/>
          <w:szCs w:val="24"/>
        </w:rPr>
        <w:t xml:space="preserve"> </w:t>
      </w:r>
      <w:r w:rsidR="00922C7E" w:rsidRPr="00A16D5F">
        <w:rPr>
          <w:rFonts w:ascii="Times New Roman" w:hAnsi="Times New Roman"/>
          <w:sz w:val="24"/>
          <w:szCs w:val="24"/>
        </w:rPr>
        <w:t>Papildus minētajam</w:t>
      </w:r>
      <w:r w:rsidR="00DA3882">
        <w:rPr>
          <w:rFonts w:ascii="Times New Roman" w:hAnsi="Times New Roman"/>
          <w:sz w:val="24"/>
          <w:szCs w:val="24"/>
        </w:rPr>
        <w:t>,</w:t>
      </w:r>
      <w:r w:rsidR="00922C7E" w:rsidRPr="00A16D5F">
        <w:rPr>
          <w:rFonts w:ascii="Times New Roman" w:hAnsi="Times New Roman"/>
          <w:sz w:val="24"/>
          <w:szCs w:val="24"/>
        </w:rPr>
        <w:t xml:space="preserve"> Latvijai kā </w:t>
      </w:r>
      <w:r w:rsidR="003A305F">
        <w:rPr>
          <w:rFonts w:ascii="Times New Roman" w:hAnsi="Times New Roman"/>
          <w:sz w:val="24"/>
          <w:szCs w:val="24"/>
        </w:rPr>
        <w:t>Klimata k</w:t>
      </w:r>
      <w:r w:rsidR="00922C7E" w:rsidRPr="00A16D5F">
        <w:rPr>
          <w:rFonts w:ascii="Times New Roman" w:hAnsi="Times New Roman"/>
          <w:sz w:val="24"/>
          <w:szCs w:val="24"/>
        </w:rPr>
        <w:t>onvencijas un</w:t>
      </w:r>
      <w:r w:rsidR="003A305F">
        <w:rPr>
          <w:rFonts w:ascii="Times New Roman" w:hAnsi="Times New Roman"/>
          <w:sz w:val="24"/>
          <w:szCs w:val="24"/>
        </w:rPr>
        <w:t xml:space="preserve"> tās</w:t>
      </w:r>
      <w:r w:rsidR="00922C7E" w:rsidRPr="00A16D5F">
        <w:rPr>
          <w:rFonts w:ascii="Times New Roman" w:hAnsi="Times New Roman"/>
          <w:sz w:val="24"/>
          <w:szCs w:val="24"/>
        </w:rPr>
        <w:t xml:space="preserve"> Kioto protokola līgumslēdzējpusei Kioto </w:t>
      </w:r>
      <w:r w:rsidR="00922C7E" w:rsidRPr="00BC1AF4">
        <w:rPr>
          <w:rFonts w:ascii="Times New Roman" w:hAnsi="Times New Roman"/>
          <w:sz w:val="24"/>
          <w:szCs w:val="24"/>
        </w:rPr>
        <w:t>protokola</w:t>
      </w:r>
      <w:r w:rsidR="00922C7E" w:rsidRPr="00A16D5F">
        <w:rPr>
          <w:rFonts w:ascii="Times New Roman" w:hAnsi="Times New Roman"/>
          <w:sz w:val="24"/>
          <w:szCs w:val="24"/>
        </w:rPr>
        <w:t xml:space="preserve"> otrā saistību perioda</w:t>
      </w:r>
      <w:r w:rsidR="00AE1E01">
        <w:rPr>
          <w:rFonts w:ascii="Times New Roman" w:hAnsi="Times New Roman"/>
          <w:sz w:val="24"/>
          <w:szCs w:val="24"/>
        </w:rPr>
        <w:t xml:space="preserve"> (2013. – 2020.gads)</w:t>
      </w:r>
      <w:r w:rsidR="00922C7E" w:rsidRPr="00A16D5F">
        <w:rPr>
          <w:rFonts w:ascii="Times New Roman" w:hAnsi="Times New Roman"/>
          <w:sz w:val="24"/>
          <w:szCs w:val="24"/>
        </w:rPr>
        <w:t xml:space="preserve"> beigās  ir jānodrošina Kioto protokola 3. pant</w:t>
      </w:r>
      <w:r w:rsidR="00AE1E01">
        <w:rPr>
          <w:rFonts w:ascii="Times New Roman" w:hAnsi="Times New Roman"/>
          <w:sz w:val="24"/>
          <w:szCs w:val="24"/>
        </w:rPr>
        <w:t>a 3.</w:t>
      </w:r>
      <w:r w:rsidR="00C76232">
        <w:rPr>
          <w:rFonts w:ascii="Times New Roman" w:hAnsi="Times New Roman"/>
          <w:sz w:val="24"/>
          <w:szCs w:val="24"/>
        </w:rPr>
        <w:t> </w:t>
      </w:r>
      <w:r w:rsidR="00AE1E01">
        <w:rPr>
          <w:rFonts w:ascii="Times New Roman" w:hAnsi="Times New Roman"/>
          <w:sz w:val="24"/>
          <w:szCs w:val="24"/>
        </w:rPr>
        <w:t>punktā</w:t>
      </w:r>
      <w:r w:rsidR="00922C7E" w:rsidRPr="00A16D5F">
        <w:rPr>
          <w:rFonts w:ascii="Times New Roman" w:hAnsi="Times New Roman"/>
          <w:sz w:val="24"/>
          <w:szCs w:val="24"/>
        </w:rPr>
        <w:t xml:space="preserve"> noteiktie pienākumi</w:t>
      </w:r>
      <w:r w:rsidR="00C76232">
        <w:rPr>
          <w:rFonts w:ascii="Times New Roman" w:hAnsi="Times New Roman"/>
          <w:sz w:val="24"/>
          <w:szCs w:val="24"/>
        </w:rPr>
        <w:t xml:space="preserve"> –</w:t>
      </w:r>
      <w:r w:rsidR="00922C7E" w:rsidRPr="00A16D5F">
        <w:rPr>
          <w:rFonts w:ascii="Times New Roman" w:hAnsi="Times New Roman"/>
          <w:sz w:val="24"/>
          <w:szCs w:val="24"/>
        </w:rPr>
        <w:t xml:space="preserve"> SEG emisijām un CO</w:t>
      </w:r>
      <w:r w:rsidR="00922C7E" w:rsidRPr="00A16D5F">
        <w:rPr>
          <w:rFonts w:ascii="Times New Roman" w:hAnsi="Times New Roman"/>
          <w:sz w:val="24"/>
          <w:szCs w:val="24"/>
          <w:vertAlign w:val="subscript"/>
        </w:rPr>
        <w:t>2</w:t>
      </w:r>
      <w:r w:rsidR="00922C7E" w:rsidRPr="00A16D5F">
        <w:rPr>
          <w:rFonts w:ascii="Times New Roman" w:hAnsi="Times New Roman"/>
          <w:sz w:val="24"/>
          <w:szCs w:val="24"/>
        </w:rPr>
        <w:t xml:space="preserve"> piesaistei no atmežošanas un apmežošanas (t.s. atkal apmežošanas) darbībām ir jābūt vismaz savstarpēji izlīdzinošām, t.i., ir jābūt CO</w:t>
      </w:r>
      <w:r w:rsidR="00922C7E" w:rsidRPr="00A16D5F">
        <w:rPr>
          <w:rFonts w:ascii="Times New Roman" w:hAnsi="Times New Roman"/>
          <w:sz w:val="24"/>
          <w:szCs w:val="24"/>
          <w:vertAlign w:val="subscript"/>
        </w:rPr>
        <w:t>2</w:t>
      </w:r>
      <w:r w:rsidR="00922C7E" w:rsidRPr="00A16D5F">
        <w:rPr>
          <w:rFonts w:ascii="Times New Roman" w:hAnsi="Times New Roman"/>
          <w:sz w:val="24"/>
          <w:szCs w:val="24"/>
        </w:rPr>
        <w:t xml:space="preserve"> neitrālām.</w:t>
      </w:r>
      <w:r w:rsidR="00922C7E" w:rsidRPr="005C652E">
        <w:rPr>
          <w:rFonts w:ascii="Times New Roman" w:hAnsi="Times New Roman"/>
          <w:sz w:val="24"/>
          <w:szCs w:val="24"/>
        </w:rPr>
        <w:t xml:space="preserve">  </w:t>
      </w:r>
    </w:p>
    <w:p w14:paraId="38D8713B" w14:textId="581FBD3E" w:rsidR="001437A0" w:rsidRDefault="00922C7E" w:rsidP="009769A6">
      <w:pPr>
        <w:spacing w:before="120" w:after="120" w:line="240" w:lineRule="auto"/>
        <w:jc w:val="both"/>
        <w:rPr>
          <w:rFonts w:ascii="Times New Roman" w:hAnsi="Times New Roman"/>
          <w:sz w:val="24"/>
          <w:szCs w:val="24"/>
        </w:rPr>
      </w:pPr>
      <w:r>
        <w:rPr>
          <w:rFonts w:ascii="Times New Roman" w:hAnsi="Times New Roman"/>
          <w:sz w:val="24"/>
          <w:szCs w:val="24"/>
        </w:rPr>
        <w:tab/>
      </w:r>
      <w:r w:rsidR="00DA3882">
        <w:rPr>
          <w:rFonts w:ascii="Times New Roman" w:eastAsia="Times New Roman" w:hAnsi="Times New Roman"/>
          <w:sz w:val="24"/>
          <w:szCs w:val="24"/>
        </w:rPr>
        <w:t>P</w:t>
      </w:r>
      <w:r w:rsidR="00DA3882" w:rsidRPr="009B48A3">
        <w:rPr>
          <w:rFonts w:ascii="Times New Roman" w:eastAsia="Times New Roman" w:hAnsi="Times New Roman"/>
          <w:sz w:val="24"/>
          <w:szCs w:val="24"/>
        </w:rPr>
        <w:t xml:space="preserve">eriodam </w:t>
      </w:r>
      <w:r w:rsidR="004D3DE1" w:rsidRPr="009B48A3">
        <w:rPr>
          <w:rFonts w:ascii="Times New Roman" w:eastAsia="Times New Roman" w:hAnsi="Times New Roman"/>
          <w:sz w:val="24"/>
          <w:szCs w:val="24"/>
        </w:rPr>
        <w:t>pēc 2020.</w:t>
      </w:r>
      <w:r w:rsidR="00C01ED0" w:rsidRPr="009B48A3">
        <w:rPr>
          <w:rFonts w:ascii="Times New Roman" w:eastAsia="Times New Roman" w:hAnsi="Times New Roman"/>
          <w:sz w:val="24"/>
          <w:szCs w:val="24"/>
        </w:rPr>
        <w:t> </w:t>
      </w:r>
      <w:r w:rsidR="004D3DE1" w:rsidRPr="009B48A3">
        <w:rPr>
          <w:rFonts w:ascii="Times New Roman" w:eastAsia="Times New Roman" w:hAnsi="Times New Roman"/>
          <w:sz w:val="24"/>
          <w:szCs w:val="24"/>
        </w:rPr>
        <w:t xml:space="preserve">gada </w:t>
      </w:r>
      <w:r w:rsidR="00DA3882" w:rsidRPr="009769A6">
        <w:rPr>
          <w:rFonts w:ascii="Times New Roman" w:hAnsi="Times New Roman"/>
          <w:sz w:val="24"/>
          <w:szCs w:val="24"/>
        </w:rPr>
        <w:t>ZIZIMM sektorā</w:t>
      </w:r>
      <w:r w:rsidR="00DA3882" w:rsidRPr="00922C7E">
        <w:rPr>
          <w:rFonts w:ascii="Times New Roman" w:eastAsia="Times New Roman" w:hAnsi="Times New Roman"/>
          <w:sz w:val="24"/>
          <w:szCs w:val="24"/>
        </w:rPr>
        <w:t xml:space="preserve"> </w:t>
      </w:r>
      <w:r w:rsidR="001437A0" w:rsidRPr="009769A6">
        <w:rPr>
          <w:rFonts w:ascii="Times New Roman" w:hAnsi="Times New Roman"/>
          <w:sz w:val="24"/>
          <w:szCs w:val="24"/>
        </w:rPr>
        <w:t>saistības un SEG emisiju un CO</w:t>
      </w:r>
      <w:r w:rsidR="001437A0" w:rsidRPr="009769A6">
        <w:rPr>
          <w:rFonts w:ascii="Times New Roman" w:hAnsi="Times New Roman"/>
          <w:sz w:val="24"/>
          <w:szCs w:val="24"/>
          <w:vertAlign w:val="subscript"/>
        </w:rPr>
        <w:t xml:space="preserve">2 </w:t>
      </w:r>
      <w:r w:rsidR="001437A0" w:rsidRPr="009769A6">
        <w:rPr>
          <w:rFonts w:ascii="Times New Roman" w:hAnsi="Times New Roman"/>
          <w:sz w:val="24"/>
          <w:szCs w:val="24"/>
        </w:rPr>
        <w:t>uzskaites noteikumi</w:t>
      </w:r>
      <w:r w:rsidR="00DA3882" w:rsidRPr="00DA3882">
        <w:rPr>
          <w:rFonts w:ascii="Times New Roman" w:hAnsi="Times New Roman"/>
          <w:sz w:val="24"/>
          <w:szCs w:val="24"/>
        </w:rPr>
        <w:t xml:space="preserve"> </w:t>
      </w:r>
      <w:r w:rsidR="00DA3882" w:rsidRPr="009769A6">
        <w:rPr>
          <w:rFonts w:ascii="Times New Roman" w:hAnsi="Times New Roman"/>
          <w:sz w:val="24"/>
          <w:szCs w:val="24"/>
        </w:rPr>
        <w:t>ir noteikt</w:t>
      </w:r>
      <w:r w:rsidR="00DA3882">
        <w:rPr>
          <w:rFonts w:ascii="Times New Roman" w:hAnsi="Times New Roman"/>
          <w:sz w:val="24"/>
          <w:szCs w:val="24"/>
        </w:rPr>
        <w:t>i</w:t>
      </w:r>
      <w:r w:rsidR="00DA3882" w:rsidRPr="00DA3882">
        <w:rPr>
          <w:rFonts w:ascii="Times New Roman" w:hAnsi="Times New Roman"/>
          <w:sz w:val="24"/>
          <w:szCs w:val="24"/>
        </w:rPr>
        <w:t xml:space="preserve"> </w:t>
      </w:r>
      <w:r w:rsidR="00DA3882">
        <w:rPr>
          <w:rFonts w:ascii="Times New Roman" w:hAnsi="Times New Roman"/>
          <w:sz w:val="24"/>
          <w:szCs w:val="24"/>
        </w:rPr>
        <w:t>Regulā</w:t>
      </w:r>
      <w:r w:rsidR="00DA3882" w:rsidRPr="00DA443D">
        <w:rPr>
          <w:rFonts w:ascii="Times New Roman" w:hAnsi="Times New Roman"/>
          <w:sz w:val="24"/>
          <w:szCs w:val="24"/>
        </w:rPr>
        <w:t xml:space="preserve"> 2018/841</w:t>
      </w:r>
      <w:r w:rsidR="00DA3882">
        <w:rPr>
          <w:rStyle w:val="FootnoteReference"/>
          <w:rFonts w:ascii="Times New Roman" w:hAnsi="Times New Roman"/>
          <w:sz w:val="24"/>
          <w:szCs w:val="24"/>
        </w:rPr>
        <w:footnoteReference w:id="8"/>
      </w:r>
      <w:r w:rsidR="00DA3882" w:rsidRPr="00DA443D">
        <w:rPr>
          <w:rFonts w:ascii="Times New Roman" w:hAnsi="Times New Roman"/>
          <w:sz w:val="24"/>
          <w:szCs w:val="24"/>
        </w:rPr>
        <w:t xml:space="preserve"> (turpmāk </w:t>
      </w:r>
      <w:r w:rsidR="00DA3882">
        <w:rPr>
          <w:rFonts w:ascii="Times New Roman" w:hAnsi="Times New Roman"/>
          <w:sz w:val="24"/>
          <w:szCs w:val="24"/>
        </w:rPr>
        <w:t>–</w:t>
      </w:r>
      <w:r w:rsidR="00DA3882" w:rsidRPr="00DA443D">
        <w:rPr>
          <w:rFonts w:ascii="Times New Roman" w:hAnsi="Times New Roman"/>
          <w:sz w:val="24"/>
          <w:szCs w:val="24"/>
        </w:rPr>
        <w:t xml:space="preserve"> </w:t>
      </w:r>
      <w:r w:rsidR="00DA3882">
        <w:rPr>
          <w:rFonts w:ascii="Times New Roman" w:hAnsi="Times New Roman"/>
          <w:sz w:val="24"/>
          <w:szCs w:val="24"/>
        </w:rPr>
        <w:t>ZIZIMM regula</w:t>
      </w:r>
      <w:r w:rsidR="003D0294">
        <w:rPr>
          <w:rFonts w:ascii="Times New Roman" w:hAnsi="Times New Roman"/>
          <w:sz w:val="24"/>
          <w:szCs w:val="24"/>
        </w:rPr>
        <w:t xml:space="preserve"> </w:t>
      </w:r>
      <w:r w:rsidR="000923AD">
        <w:rPr>
          <w:rFonts w:ascii="Times New Roman" w:hAnsi="Times New Roman"/>
          <w:sz w:val="24"/>
          <w:szCs w:val="24"/>
        </w:rPr>
        <w:t xml:space="preserve">Nr. </w:t>
      </w:r>
      <w:r w:rsidR="003D0294">
        <w:rPr>
          <w:rFonts w:ascii="Times New Roman" w:hAnsi="Times New Roman"/>
          <w:sz w:val="24"/>
          <w:szCs w:val="24"/>
        </w:rPr>
        <w:t>2018/841</w:t>
      </w:r>
      <w:r w:rsidR="00DA3882">
        <w:rPr>
          <w:rFonts w:ascii="Times New Roman" w:hAnsi="Times New Roman"/>
          <w:sz w:val="24"/>
          <w:szCs w:val="24"/>
        </w:rPr>
        <w:t>)</w:t>
      </w:r>
      <w:r w:rsidR="001437A0" w:rsidRPr="009769A6">
        <w:rPr>
          <w:rFonts w:ascii="Times New Roman" w:hAnsi="Times New Roman"/>
          <w:sz w:val="24"/>
          <w:szCs w:val="24"/>
        </w:rPr>
        <w:t xml:space="preserve">. Saskaņā ar </w:t>
      </w:r>
      <w:r w:rsidR="00DA443D">
        <w:rPr>
          <w:rFonts w:ascii="Times New Roman" w:hAnsi="Times New Roman"/>
          <w:sz w:val="24"/>
          <w:szCs w:val="24"/>
        </w:rPr>
        <w:t>ZIZIMM regulas</w:t>
      </w:r>
      <w:r w:rsidR="001437A0" w:rsidRPr="009769A6">
        <w:rPr>
          <w:rFonts w:ascii="Times New Roman" w:hAnsi="Times New Roman"/>
          <w:sz w:val="24"/>
          <w:szCs w:val="24"/>
        </w:rPr>
        <w:t xml:space="preserve"> </w:t>
      </w:r>
      <w:r w:rsidR="000923AD">
        <w:rPr>
          <w:rFonts w:ascii="Times New Roman" w:hAnsi="Times New Roman"/>
          <w:sz w:val="24"/>
          <w:szCs w:val="24"/>
        </w:rPr>
        <w:t xml:space="preserve">Nr. 2018/841 </w:t>
      </w:r>
      <w:r w:rsidR="001437A0" w:rsidRPr="009769A6">
        <w:rPr>
          <w:rFonts w:ascii="Times New Roman" w:hAnsi="Times New Roman"/>
          <w:sz w:val="24"/>
          <w:szCs w:val="24"/>
        </w:rPr>
        <w:t xml:space="preserve">4. pantā noteikto, Latvijai, ņemot vērā noteiktās elastības iespējas, ir jānodrošina, ka uzskaitīto SEG emisiju </w:t>
      </w:r>
      <w:r w:rsidR="004C307A">
        <w:rPr>
          <w:rFonts w:ascii="Times New Roman" w:hAnsi="Times New Roman"/>
          <w:sz w:val="24"/>
          <w:szCs w:val="24"/>
        </w:rPr>
        <w:t>summa nepārsniedz uzskaitītās SEG</w:t>
      </w:r>
      <w:r w:rsidR="001437A0" w:rsidRPr="009769A6">
        <w:rPr>
          <w:rFonts w:ascii="Times New Roman" w:hAnsi="Times New Roman"/>
          <w:sz w:val="24"/>
          <w:szCs w:val="24"/>
        </w:rPr>
        <w:t xml:space="preserve"> piesaistes summu  </w:t>
      </w:r>
      <w:r w:rsidR="00DA443D">
        <w:rPr>
          <w:rFonts w:ascii="Times New Roman" w:hAnsi="Times New Roman"/>
          <w:sz w:val="24"/>
          <w:szCs w:val="24"/>
        </w:rPr>
        <w:t>ZIZIMM regulas</w:t>
      </w:r>
      <w:r w:rsidR="000923AD">
        <w:rPr>
          <w:rFonts w:ascii="Times New Roman" w:hAnsi="Times New Roman"/>
          <w:sz w:val="24"/>
          <w:szCs w:val="24"/>
        </w:rPr>
        <w:t xml:space="preserve"> Nr. 2018/841</w:t>
      </w:r>
      <w:r w:rsidR="001437A0" w:rsidRPr="009769A6">
        <w:rPr>
          <w:rFonts w:ascii="Times New Roman" w:hAnsi="Times New Roman"/>
          <w:sz w:val="24"/>
          <w:szCs w:val="24"/>
        </w:rPr>
        <w:t xml:space="preserve"> 2.</w:t>
      </w:r>
      <w:r w:rsidR="00DA443D">
        <w:rPr>
          <w:rFonts w:ascii="Times New Roman" w:hAnsi="Times New Roman"/>
          <w:sz w:val="24"/>
          <w:szCs w:val="24"/>
        </w:rPr>
        <w:t xml:space="preserve"> </w:t>
      </w:r>
      <w:r w:rsidR="001437A0" w:rsidRPr="009769A6">
        <w:rPr>
          <w:rFonts w:ascii="Times New Roman" w:hAnsi="Times New Roman"/>
          <w:sz w:val="24"/>
          <w:szCs w:val="24"/>
        </w:rPr>
        <w:t>pantā minētajās</w:t>
      </w:r>
      <w:r w:rsidR="004C307A">
        <w:rPr>
          <w:rFonts w:ascii="Times New Roman" w:hAnsi="Times New Roman"/>
          <w:sz w:val="24"/>
          <w:szCs w:val="24"/>
        </w:rPr>
        <w:t xml:space="preserve"> zemes uzskaites kategorijās – apmežota zeme, atmežota zeme, apsaimniekota aramzeme, </w:t>
      </w:r>
      <w:r w:rsidR="001437A0" w:rsidRPr="009769A6">
        <w:rPr>
          <w:rFonts w:ascii="Times New Roman" w:hAnsi="Times New Roman"/>
          <w:sz w:val="24"/>
          <w:szCs w:val="24"/>
        </w:rPr>
        <w:t>apsaimniekoti zālā</w:t>
      </w:r>
      <w:r w:rsidR="004C307A">
        <w:rPr>
          <w:rFonts w:ascii="Times New Roman" w:hAnsi="Times New Roman"/>
          <w:sz w:val="24"/>
          <w:szCs w:val="24"/>
        </w:rPr>
        <w:t>ji, apsaimniekota meža zeme, apsaimniekoti mitrāji</w:t>
      </w:r>
      <w:r w:rsidR="001437A0" w:rsidRPr="009769A6">
        <w:rPr>
          <w:rFonts w:ascii="Times New Roman" w:hAnsi="Times New Roman"/>
          <w:sz w:val="24"/>
          <w:szCs w:val="24"/>
        </w:rPr>
        <w:t xml:space="preserve"> (uzskaitē no 2026.</w:t>
      </w:r>
      <w:r w:rsidR="00DA443D">
        <w:rPr>
          <w:rFonts w:ascii="Times New Roman" w:hAnsi="Times New Roman"/>
          <w:sz w:val="24"/>
          <w:szCs w:val="24"/>
        </w:rPr>
        <w:t xml:space="preserve"> </w:t>
      </w:r>
      <w:r w:rsidR="004C307A">
        <w:rPr>
          <w:rFonts w:ascii="Times New Roman" w:hAnsi="Times New Roman"/>
          <w:sz w:val="24"/>
          <w:szCs w:val="24"/>
        </w:rPr>
        <w:t>gada)</w:t>
      </w:r>
      <w:r w:rsidR="001437A0" w:rsidRPr="009769A6">
        <w:rPr>
          <w:rFonts w:ascii="Times New Roman" w:hAnsi="Times New Roman"/>
          <w:sz w:val="24"/>
          <w:szCs w:val="24"/>
        </w:rPr>
        <w:t>.</w:t>
      </w:r>
      <w:r w:rsidR="001437A0" w:rsidRPr="009769A6">
        <w:rPr>
          <w:sz w:val="24"/>
          <w:szCs w:val="24"/>
        </w:rPr>
        <w:t xml:space="preserve"> </w:t>
      </w:r>
      <w:r w:rsidR="001437A0" w:rsidRPr="009769A6">
        <w:rPr>
          <w:rFonts w:ascii="Times New Roman" w:hAnsi="Times New Roman"/>
          <w:sz w:val="24"/>
          <w:szCs w:val="24"/>
        </w:rPr>
        <w:t xml:space="preserve">Emisiju un piesaistes uzskaite </w:t>
      </w:r>
      <w:r w:rsidR="00DA3882">
        <w:rPr>
          <w:rFonts w:ascii="Times New Roman" w:hAnsi="Times New Roman"/>
          <w:sz w:val="24"/>
          <w:szCs w:val="24"/>
        </w:rPr>
        <w:t>veicama</w:t>
      </w:r>
      <w:r w:rsidR="001437A0" w:rsidRPr="009769A6">
        <w:rPr>
          <w:rFonts w:ascii="Times New Roman" w:hAnsi="Times New Roman"/>
          <w:sz w:val="24"/>
          <w:szCs w:val="24"/>
        </w:rPr>
        <w:t xml:space="preserve"> atbilstoši </w:t>
      </w:r>
      <w:r w:rsidR="00DA443D">
        <w:rPr>
          <w:rFonts w:ascii="Times New Roman" w:hAnsi="Times New Roman"/>
          <w:sz w:val="24"/>
          <w:szCs w:val="24"/>
        </w:rPr>
        <w:t>ZIZIMM regulas</w:t>
      </w:r>
      <w:r w:rsidR="000923AD">
        <w:rPr>
          <w:rFonts w:ascii="Times New Roman" w:hAnsi="Times New Roman"/>
          <w:sz w:val="24"/>
          <w:szCs w:val="24"/>
        </w:rPr>
        <w:t xml:space="preserve"> Nr. 2018/841</w:t>
      </w:r>
      <w:r w:rsidR="00412305">
        <w:rPr>
          <w:rFonts w:ascii="Times New Roman" w:hAnsi="Times New Roman"/>
          <w:sz w:val="24"/>
          <w:szCs w:val="24"/>
        </w:rPr>
        <w:t xml:space="preserve"> </w:t>
      </w:r>
      <w:r w:rsidR="004639FD">
        <w:rPr>
          <w:rFonts w:ascii="Times New Roman" w:hAnsi="Times New Roman"/>
          <w:sz w:val="24"/>
          <w:szCs w:val="24"/>
        </w:rPr>
        <w:t>5</w:t>
      </w:r>
      <w:r w:rsidR="00412305">
        <w:rPr>
          <w:rFonts w:ascii="Times New Roman" w:hAnsi="Times New Roman"/>
          <w:sz w:val="24"/>
          <w:szCs w:val="24"/>
        </w:rPr>
        <w:t>.</w:t>
      </w:r>
      <w:r w:rsidR="00A515BC">
        <w:rPr>
          <w:rFonts w:ascii="Times New Roman" w:hAnsi="Times New Roman"/>
          <w:sz w:val="24"/>
          <w:szCs w:val="24"/>
        </w:rPr>
        <w:t> </w:t>
      </w:r>
      <w:r w:rsidR="00412305">
        <w:rPr>
          <w:rFonts w:ascii="Times New Roman" w:hAnsi="Times New Roman"/>
          <w:sz w:val="24"/>
          <w:szCs w:val="24"/>
        </w:rPr>
        <w:t>panta</w:t>
      </w:r>
      <w:r w:rsidR="00DA443D">
        <w:rPr>
          <w:rFonts w:ascii="Times New Roman" w:hAnsi="Times New Roman"/>
          <w:sz w:val="24"/>
          <w:szCs w:val="24"/>
        </w:rPr>
        <w:t xml:space="preserve"> </w:t>
      </w:r>
      <w:r w:rsidR="001437A0" w:rsidRPr="009769A6">
        <w:rPr>
          <w:rFonts w:ascii="Times New Roman" w:hAnsi="Times New Roman"/>
          <w:sz w:val="24"/>
          <w:szCs w:val="24"/>
        </w:rPr>
        <w:t>nosacījumi</w:t>
      </w:r>
      <w:r w:rsidR="0000530C">
        <w:rPr>
          <w:rFonts w:ascii="Times New Roman" w:hAnsi="Times New Roman"/>
          <w:sz w:val="24"/>
          <w:szCs w:val="24"/>
        </w:rPr>
        <w:t xml:space="preserve">em, rēķinot SEG emisiju apjoma </w:t>
      </w:r>
      <w:r w:rsidR="001437A0" w:rsidRPr="009769A6">
        <w:rPr>
          <w:rFonts w:ascii="Times New Roman" w:hAnsi="Times New Roman"/>
          <w:sz w:val="24"/>
          <w:szCs w:val="24"/>
        </w:rPr>
        <w:t>vai CO</w:t>
      </w:r>
      <w:r w:rsidR="001437A0" w:rsidRPr="009769A6">
        <w:rPr>
          <w:rFonts w:ascii="Times New Roman" w:hAnsi="Times New Roman"/>
          <w:sz w:val="24"/>
          <w:szCs w:val="24"/>
          <w:vertAlign w:val="subscript"/>
        </w:rPr>
        <w:t>2</w:t>
      </w:r>
      <w:r w:rsidR="001437A0" w:rsidRPr="009769A6">
        <w:rPr>
          <w:rFonts w:ascii="Times New Roman" w:hAnsi="Times New Roman"/>
          <w:sz w:val="24"/>
          <w:szCs w:val="24"/>
        </w:rPr>
        <w:t xml:space="preserve"> piesaistes apjoma izmaiņas pret </w:t>
      </w:r>
      <w:r w:rsidR="00DA443D">
        <w:rPr>
          <w:rFonts w:ascii="Times New Roman" w:hAnsi="Times New Roman"/>
          <w:sz w:val="24"/>
          <w:szCs w:val="24"/>
        </w:rPr>
        <w:t xml:space="preserve">ZIZIMM regulā </w:t>
      </w:r>
      <w:r w:rsidR="002E6CA7">
        <w:rPr>
          <w:rFonts w:ascii="Times New Roman" w:hAnsi="Times New Roman"/>
          <w:sz w:val="24"/>
          <w:szCs w:val="24"/>
        </w:rPr>
        <w:t xml:space="preserve">Nr. 2018/841 </w:t>
      </w:r>
      <w:r w:rsidR="006970DE">
        <w:rPr>
          <w:rFonts w:ascii="Times New Roman" w:hAnsi="Times New Roman"/>
          <w:sz w:val="24"/>
          <w:szCs w:val="24"/>
        </w:rPr>
        <w:t>(</w:t>
      </w:r>
      <w:r w:rsidR="004639FD">
        <w:rPr>
          <w:rFonts w:ascii="Times New Roman" w:hAnsi="Times New Roman"/>
          <w:sz w:val="24"/>
          <w:szCs w:val="24"/>
        </w:rPr>
        <w:t xml:space="preserve">5., 6., </w:t>
      </w:r>
      <w:r w:rsidR="006970DE">
        <w:rPr>
          <w:rFonts w:ascii="Times New Roman" w:hAnsi="Times New Roman"/>
          <w:sz w:val="24"/>
          <w:szCs w:val="24"/>
        </w:rPr>
        <w:t>7.</w:t>
      </w:r>
      <w:r w:rsidR="004639FD">
        <w:rPr>
          <w:rFonts w:ascii="Times New Roman" w:hAnsi="Times New Roman"/>
          <w:sz w:val="24"/>
          <w:szCs w:val="24"/>
        </w:rPr>
        <w:t>, 8., 9., 10.</w:t>
      </w:r>
      <w:r w:rsidR="006970DE">
        <w:rPr>
          <w:rFonts w:ascii="Times New Roman" w:hAnsi="Times New Roman"/>
          <w:sz w:val="24"/>
          <w:szCs w:val="24"/>
        </w:rPr>
        <w:t xml:space="preserve"> pantā) </w:t>
      </w:r>
      <w:r w:rsidR="001437A0" w:rsidRPr="009769A6">
        <w:rPr>
          <w:rFonts w:ascii="Times New Roman" w:hAnsi="Times New Roman"/>
          <w:sz w:val="24"/>
          <w:szCs w:val="24"/>
        </w:rPr>
        <w:t>noteiktajiem atskaites līmeņiem, izņemot apmežotas un atmežotas zemes uzskaites kategorijas, kurām tiek piemērota “</w:t>
      </w:r>
      <w:proofErr w:type="spellStart"/>
      <w:r w:rsidR="001437A0" w:rsidRPr="009769A6">
        <w:rPr>
          <w:rFonts w:ascii="Times New Roman" w:hAnsi="Times New Roman"/>
          <w:i/>
          <w:sz w:val="24"/>
          <w:szCs w:val="24"/>
        </w:rPr>
        <w:t>gross</w:t>
      </w:r>
      <w:proofErr w:type="spellEnd"/>
      <w:r w:rsidR="001437A0" w:rsidRPr="009769A6">
        <w:rPr>
          <w:rFonts w:ascii="Times New Roman" w:hAnsi="Times New Roman"/>
          <w:i/>
          <w:sz w:val="24"/>
          <w:szCs w:val="24"/>
        </w:rPr>
        <w:t>-net</w:t>
      </w:r>
      <w:r w:rsidR="001437A0" w:rsidRPr="009769A6">
        <w:rPr>
          <w:rFonts w:ascii="Times New Roman" w:hAnsi="Times New Roman"/>
          <w:sz w:val="24"/>
          <w:szCs w:val="24"/>
        </w:rPr>
        <w:t>” pieeja, kur netiek noteikts atskaites līmenis, un uzskaitē tiek ietverts viss attiecīgajā periodā radītais SEG emisiju un CO</w:t>
      </w:r>
      <w:r w:rsidR="001437A0" w:rsidRPr="009769A6">
        <w:rPr>
          <w:rFonts w:ascii="Times New Roman" w:hAnsi="Times New Roman"/>
          <w:sz w:val="24"/>
          <w:szCs w:val="24"/>
          <w:vertAlign w:val="subscript"/>
        </w:rPr>
        <w:t>2</w:t>
      </w:r>
      <w:r w:rsidR="001437A0" w:rsidRPr="009769A6">
        <w:rPr>
          <w:rFonts w:ascii="Times New Roman" w:hAnsi="Times New Roman"/>
          <w:sz w:val="24"/>
          <w:szCs w:val="24"/>
        </w:rPr>
        <w:t xml:space="preserve"> piesaistes apjoms.  </w:t>
      </w:r>
    </w:p>
    <w:p w14:paraId="3F9C1538" w14:textId="14E83ECB" w:rsidR="00DC0D30" w:rsidRDefault="009802A6" w:rsidP="009769A6">
      <w:pPr>
        <w:spacing w:before="120" w:after="120" w:line="240" w:lineRule="auto"/>
        <w:jc w:val="both"/>
        <w:rPr>
          <w:rFonts w:ascii="Times New Roman" w:hAnsi="Times New Roman"/>
          <w:sz w:val="24"/>
          <w:szCs w:val="24"/>
        </w:rPr>
      </w:pPr>
      <w:r>
        <w:rPr>
          <w:rFonts w:ascii="Times New Roman" w:hAnsi="Times New Roman"/>
          <w:sz w:val="24"/>
          <w:szCs w:val="24"/>
        </w:rPr>
        <w:lastRenderedPageBreak/>
        <w:t>Latvijai noteikto</w:t>
      </w:r>
      <w:r w:rsidR="00D42490">
        <w:rPr>
          <w:rFonts w:ascii="Times New Roman" w:hAnsi="Times New Roman"/>
          <w:sz w:val="24"/>
          <w:szCs w:val="24"/>
        </w:rPr>
        <w:t xml:space="preserve"> SEG</w:t>
      </w:r>
      <w:r>
        <w:rPr>
          <w:rFonts w:ascii="Times New Roman" w:hAnsi="Times New Roman"/>
          <w:sz w:val="24"/>
          <w:szCs w:val="24"/>
        </w:rPr>
        <w:t xml:space="preserve"> mērķu kopsavilkums atspoguļots</w:t>
      </w:r>
      <w:r w:rsidR="00DA3882">
        <w:rPr>
          <w:rFonts w:ascii="Times New Roman" w:hAnsi="Times New Roman"/>
          <w:sz w:val="24"/>
          <w:szCs w:val="24"/>
        </w:rPr>
        <w:t xml:space="preserve"> </w:t>
      </w:r>
      <w:r>
        <w:rPr>
          <w:rFonts w:ascii="Times New Roman" w:hAnsi="Times New Roman"/>
          <w:sz w:val="24"/>
          <w:szCs w:val="24"/>
        </w:rPr>
        <w:t>1.tabulā.</w:t>
      </w:r>
    </w:p>
    <w:p w14:paraId="74F99EF3" w14:textId="19BA0F42" w:rsidR="00FE48AD" w:rsidRPr="004617A7" w:rsidRDefault="00DA3882" w:rsidP="004617A7">
      <w:pPr>
        <w:pStyle w:val="Caption"/>
        <w:rPr>
          <w:sz w:val="24"/>
        </w:rPr>
      </w:pPr>
      <w:r w:rsidRPr="004617A7">
        <w:rPr>
          <w:sz w:val="24"/>
        </w:rPr>
        <w:t xml:space="preserve">1. </w:t>
      </w:r>
      <w:r w:rsidR="009802A6" w:rsidRPr="004617A7">
        <w:rPr>
          <w:sz w:val="24"/>
        </w:rPr>
        <w:t xml:space="preserve">tabula. </w:t>
      </w:r>
      <w:r w:rsidR="00FE48AD" w:rsidRPr="004617A7">
        <w:rPr>
          <w:sz w:val="24"/>
        </w:rPr>
        <w:t xml:space="preserve">Latvijai noteikto </w:t>
      </w:r>
      <w:r>
        <w:rPr>
          <w:sz w:val="24"/>
        </w:rPr>
        <w:t xml:space="preserve">SEG </w:t>
      </w:r>
      <w:r w:rsidR="00FE48AD" w:rsidRPr="004617A7">
        <w:rPr>
          <w:sz w:val="24"/>
        </w:rPr>
        <w:t>mērķu kopsavilkums</w:t>
      </w:r>
      <w:r>
        <w:rPr>
          <w:sz w:val="24"/>
        </w:rPr>
        <w:t xml:space="preserve"> periodam līdz 2020.</w:t>
      </w:r>
      <w:r w:rsidR="006D110E">
        <w:rPr>
          <w:sz w:val="24"/>
        </w:rPr>
        <w:t> </w:t>
      </w:r>
      <w:r>
        <w:rPr>
          <w:sz w:val="24"/>
        </w:rPr>
        <w:t>gadam un periodam līdz 2030.</w:t>
      </w:r>
      <w:r w:rsidR="006D110E">
        <w:rPr>
          <w:sz w:val="24"/>
        </w:rPr>
        <w:t> </w:t>
      </w:r>
      <w:r>
        <w:rPr>
          <w:sz w:val="24"/>
        </w:rPr>
        <w:t>gadam</w:t>
      </w:r>
      <w:r w:rsidR="00FE48AD" w:rsidRPr="004617A7">
        <w:rPr>
          <w:rStyle w:val="FootnoteReference"/>
          <w:sz w:val="24"/>
        </w:rPr>
        <w:footnoteReference w:id="9"/>
      </w:r>
    </w:p>
    <w:tbl>
      <w:tblPr>
        <w:tblStyle w:val="TableGrid1"/>
        <w:tblpPr w:leftFromText="180" w:rightFromText="180" w:vertAnchor="text" w:horzAnchor="margin" w:tblpXSpec="center" w:tblpY="16"/>
        <w:tblW w:w="9072" w:type="dxa"/>
        <w:tblLayout w:type="fixed"/>
        <w:tblLook w:val="04A0" w:firstRow="1" w:lastRow="0" w:firstColumn="1" w:lastColumn="0" w:noHBand="0" w:noVBand="1"/>
      </w:tblPr>
      <w:tblGrid>
        <w:gridCol w:w="667"/>
        <w:gridCol w:w="2271"/>
        <w:gridCol w:w="2564"/>
        <w:gridCol w:w="1852"/>
        <w:gridCol w:w="1718"/>
      </w:tblGrid>
      <w:tr w:rsidR="00FE48AD" w:rsidRPr="008B628A" w14:paraId="601D1601" w14:textId="77777777" w:rsidTr="00D51B34">
        <w:trPr>
          <w:trHeight w:val="181"/>
        </w:trPr>
        <w:tc>
          <w:tcPr>
            <w:tcW w:w="2497" w:type="dxa"/>
            <w:gridSpan w:val="2"/>
            <w:shd w:val="clear" w:color="auto" w:fill="D9D9D9"/>
            <w:vAlign w:val="center"/>
          </w:tcPr>
          <w:p w14:paraId="2753B535" w14:textId="77777777" w:rsidR="00FE48AD" w:rsidRPr="008B628A" w:rsidRDefault="00FE48AD" w:rsidP="00315B21">
            <w:pPr>
              <w:spacing w:before="60" w:after="60"/>
              <w:jc w:val="center"/>
              <w:rPr>
                <w:rFonts w:ascii="Times New Roman" w:hAnsi="Times New Roman"/>
                <w:b/>
                <w:szCs w:val="20"/>
              </w:rPr>
            </w:pPr>
          </w:p>
        </w:tc>
        <w:tc>
          <w:tcPr>
            <w:tcW w:w="2179" w:type="dxa"/>
            <w:shd w:val="clear" w:color="auto" w:fill="D9D9D9"/>
            <w:vAlign w:val="center"/>
          </w:tcPr>
          <w:p w14:paraId="515B7F81" w14:textId="77777777" w:rsidR="00FE48AD" w:rsidRPr="008B628A" w:rsidRDefault="00FE48AD" w:rsidP="00315B21">
            <w:pPr>
              <w:spacing w:before="60" w:after="60"/>
              <w:jc w:val="center"/>
              <w:rPr>
                <w:rFonts w:ascii="Times New Roman" w:hAnsi="Times New Roman"/>
                <w:b/>
                <w:sz w:val="20"/>
                <w:szCs w:val="20"/>
              </w:rPr>
            </w:pPr>
            <w:r w:rsidRPr="008B628A">
              <w:rPr>
                <w:rFonts w:ascii="Times New Roman" w:hAnsi="Times New Roman"/>
                <w:b/>
                <w:sz w:val="20"/>
                <w:szCs w:val="20"/>
              </w:rPr>
              <w:t>2013 - 2020</w:t>
            </w:r>
          </w:p>
        </w:tc>
        <w:tc>
          <w:tcPr>
            <w:tcW w:w="1574" w:type="dxa"/>
            <w:shd w:val="clear" w:color="auto" w:fill="D9D9D9"/>
            <w:vAlign w:val="center"/>
          </w:tcPr>
          <w:p w14:paraId="3E375C1E" w14:textId="77777777" w:rsidR="00FE48AD" w:rsidRPr="008B628A" w:rsidRDefault="00FE48AD" w:rsidP="00315B21">
            <w:pPr>
              <w:spacing w:before="60" w:after="60"/>
              <w:jc w:val="center"/>
              <w:rPr>
                <w:rFonts w:ascii="Times New Roman" w:hAnsi="Times New Roman"/>
                <w:b/>
                <w:sz w:val="20"/>
                <w:szCs w:val="20"/>
              </w:rPr>
            </w:pPr>
            <w:r w:rsidRPr="008B628A">
              <w:rPr>
                <w:rFonts w:ascii="Times New Roman" w:hAnsi="Times New Roman"/>
                <w:b/>
                <w:sz w:val="20"/>
                <w:szCs w:val="20"/>
              </w:rPr>
              <w:t>2021-2025</w:t>
            </w:r>
          </w:p>
        </w:tc>
        <w:tc>
          <w:tcPr>
            <w:tcW w:w="1460" w:type="dxa"/>
            <w:shd w:val="clear" w:color="auto" w:fill="D9D9D9"/>
            <w:vAlign w:val="center"/>
          </w:tcPr>
          <w:p w14:paraId="6CD5C615" w14:textId="77777777" w:rsidR="00FE48AD" w:rsidRPr="008B628A" w:rsidRDefault="00FE48AD" w:rsidP="00315B21">
            <w:pPr>
              <w:spacing w:before="60" w:after="60"/>
              <w:jc w:val="center"/>
              <w:rPr>
                <w:rFonts w:ascii="Times New Roman" w:hAnsi="Times New Roman"/>
                <w:b/>
                <w:sz w:val="20"/>
                <w:szCs w:val="20"/>
              </w:rPr>
            </w:pPr>
            <w:r w:rsidRPr="008B628A">
              <w:rPr>
                <w:rFonts w:ascii="Times New Roman" w:hAnsi="Times New Roman"/>
                <w:b/>
                <w:sz w:val="20"/>
                <w:szCs w:val="20"/>
              </w:rPr>
              <w:t>2026 - 2030</w:t>
            </w:r>
          </w:p>
        </w:tc>
      </w:tr>
      <w:tr w:rsidR="00FE48AD" w:rsidRPr="008B628A" w14:paraId="3DB81FCC" w14:textId="77777777" w:rsidTr="00D51B34">
        <w:trPr>
          <w:trHeight w:val="1233"/>
        </w:trPr>
        <w:tc>
          <w:tcPr>
            <w:tcW w:w="567" w:type="dxa"/>
            <w:vMerge w:val="restart"/>
            <w:textDirection w:val="btLr"/>
            <w:vAlign w:val="center"/>
          </w:tcPr>
          <w:p w14:paraId="56E2004D" w14:textId="77777777" w:rsidR="00FE48AD" w:rsidRPr="008B628A" w:rsidRDefault="00FE48AD" w:rsidP="00315B21">
            <w:pPr>
              <w:spacing w:before="60" w:after="60"/>
              <w:ind w:left="113" w:right="113"/>
              <w:jc w:val="center"/>
              <w:rPr>
                <w:rFonts w:ascii="Times New Roman" w:hAnsi="Times New Roman"/>
                <w:sz w:val="20"/>
                <w:szCs w:val="20"/>
              </w:rPr>
            </w:pPr>
            <w:r>
              <w:rPr>
                <w:rFonts w:ascii="Times New Roman" w:hAnsi="Times New Roman"/>
                <w:sz w:val="20"/>
                <w:szCs w:val="20"/>
              </w:rPr>
              <w:t>SEG emisiju samazināšana</w:t>
            </w:r>
          </w:p>
        </w:tc>
        <w:tc>
          <w:tcPr>
            <w:tcW w:w="1930" w:type="dxa"/>
            <w:tcBorders>
              <w:bottom w:val="single" w:sz="4" w:space="0" w:color="auto"/>
            </w:tcBorders>
            <w:vAlign w:val="center"/>
          </w:tcPr>
          <w:p w14:paraId="37325EF1" w14:textId="77777777" w:rsidR="00FE48AD" w:rsidRPr="008B628A" w:rsidRDefault="00FE48AD" w:rsidP="00315B21">
            <w:pPr>
              <w:spacing w:before="60" w:after="60"/>
              <w:jc w:val="center"/>
              <w:rPr>
                <w:rFonts w:ascii="Times New Roman" w:hAnsi="Times New Roman"/>
                <w:sz w:val="20"/>
                <w:szCs w:val="20"/>
              </w:rPr>
            </w:pPr>
            <w:r w:rsidRPr="008B628A">
              <w:rPr>
                <w:rFonts w:ascii="Times New Roman" w:hAnsi="Times New Roman"/>
                <w:sz w:val="20"/>
                <w:szCs w:val="20"/>
              </w:rPr>
              <w:t>Latvijas ne-ETS emisijas</w:t>
            </w:r>
          </w:p>
        </w:tc>
        <w:tc>
          <w:tcPr>
            <w:tcW w:w="2179" w:type="dxa"/>
            <w:tcBorders>
              <w:bottom w:val="single" w:sz="4" w:space="0" w:color="auto"/>
            </w:tcBorders>
            <w:shd w:val="clear" w:color="auto" w:fill="FFFFFF"/>
            <w:vAlign w:val="center"/>
          </w:tcPr>
          <w:p w14:paraId="22711CA5" w14:textId="489882BE" w:rsidR="00FE48AD" w:rsidRPr="008B628A" w:rsidRDefault="00FE48AD" w:rsidP="00315B21">
            <w:pPr>
              <w:spacing w:before="60" w:after="60"/>
              <w:jc w:val="center"/>
              <w:rPr>
                <w:rFonts w:ascii="Times New Roman" w:eastAsia="Times New Roman" w:hAnsi="Times New Roman"/>
                <w:color w:val="000000"/>
                <w:kern w:val="24"/>
                <w:sz w:val="20"/>
                <w:szCs w:val="20"/>
                <w:vertAlign w:val="superscript"/>
                <w:lang w:eastAsia="lv-LV"/>
              </w:rPr>
            </w:pPr>
            <w:r w:rsidRPr="008B628A">
              <w:rPr>
                <w:rFonts w:ascii="Times New Roman" w:eastAsia="Times New Roman" w:hAnsi="Times New Roman"/>
                <w:b/>
                <w:bCs/>
                <w:color w:val="000000"/>
                <w:kern w:val="24"/>
                <w:sz w:val="20"/>
                <w:szCs w:val="20"/>
                <w:lang w:eastAsia="lv-LV"/>
              </w:rPr>
              <w:t>+17%</w:t>
            </w:r>
            <w:r w:rsidR="00DA3882">
              <w:rPr>
                <w:rFonts w:ascii="Times New Roman" w:eastAsia="Times New Roman" w:hAnsi="Times New Roman"/>
                <w:color w:val="000000"/>
                <w:kern w:val="24"/>
                <w:sz w:val="20"/>
                <w:szCs w:val="20"/>
                <w:vertAlign w:val="superscript"/>
                <w:lang w:eastAsia="lv-LV"/>
              </w:rPr>
              <w:t>a</w:t>
            </w:r>
          </w:p>
          <w:p w14:paraId="6864984B" w14:textId="1DDC8F1D" w:rsidR="00FE48AD" w:rsidRPr="008B628A" w:rsidRDefault="00FE48AD" w:rsidP="00EB3C89">
            <w:pPr>
              <w:spacing w:before="60" w:after="60"/>
              <w:jc w:val="center"/>
              <w:rPr>
                <w:rFonts w:ascii="Times New Roman" w:eastAsia="Times New Roman" w:hAnsi="Times New Roman"/>
                <w:sz w:val="20"/>
                <w:szCs w:val="20"/>
                <w:lang w:eastAsia="lv-LV"/>
              </w:rPr>
            </w:pPr>
            <w:r w:rsidRPr="008B628A">
              <w:rPr>
                <w:rFonts w:ascii="Times New Roman" w:eastAsia="Times New Roman" w:hAnsi="Times New Roman"/>
                <w:color w:val="000000"/>
                <w:kern w:val="24"/>
                <w:sz w:val="20"/>
                <w:szCs w:val="20"/>
                <w:lang w:eastAsia="lv-LV"/>
              </w:rPr>
              <w:t>(sadalīts arī ikgadējos mērķos)</w:t>
            </w:r>
            <w:r w:rsidR="00DA3882">
              <w:rPr>
                <w:rFonts w:ascii="Times New Roman" w:eastAsia="Times New Roman" w:hAnsi="Times New Roman"/>
                <w:color w:val="000000"/>
                <w:kern w:val="24"/>
                <w:sz w:val="20"/>
                <w:szCs w:val="20"/>
                <w:vertAlign w:val="superscript"/>
                <w:lang w:eastAsia="lv-LV"/>
              </w:rPr>
              <w:t>b</w:t>
            </w:r>
          </w:p>
        </w:tc>
        <w:tc>
          <w:tcPr>
            <w:tcW w:w="3034" w:type="dxa"/>
            <w:gridSpan w:val="2"/>
            <w:tcBorders>
              <w:bottom w:val="single" w:sz="4" w:space="0" w:color="auto"/>
            </w:tcBorders>
            <w:shd w:val="clear" w:color="auto" w:fill="FFFFFF"/>
            <w:vAlign w:val="center"/>
          </w:tcPr>
          <w:p w14:paraId="7633517B" w14:textId="316B0814" w:rsidR="00FE48AD" w:rsidRPr="008B628A" w:rsidRDefault="00FE48AD" w:rsidP="00315B21">
            <w:pPr>
              <w:spacing w:before="60" w:after="60"/>
              <w:jc w:val="center"/>
              <w:rPr>
                <w:rFonts w:ascii="Times New Roman" w:eastAsia="Times New Roman" w:hAnsi="Times New Roman"/>
                <w:sz w:val="20"/>
                <w:szCs w:val="20"/>
                <w:lang w:eastAsia="lv-LV"/>
              </w:rPr>
            </w:pPr>
            <w:r w:rsidRPr="008B628A">
              <w:rPr>
                <w:rFonts w:ascii="Times New Roman" w:eastAsia="Times New Roman" w:hAnsi="Times New Roman"/>
                <w:b/>
                <w:bCs/>
                <w:color w:val="000000"/>
                <w:kern w:val="24"/>
                <w:sz w:val="20"/>
                <w:szCs w:val="20"/>
                <w:lang w:eastAsia="lv-LV"/>
              </w:rPr>
              <w:t>-6%</w:t>
            </w:r>
            <w:r w:rsidR="00DA3882">
              <w:rPr>
                <w:rFonts w:ascii="Times New Roman" w:eastAsia="Times New Roman" w:hAnsi="Times New Roman"/>
                <w:color w:val="000000"/>
                <w:kern w:val="24"/>
                <w:sz w:val="20"/>
                <w:szCs w:val="20"/>
                <w:vertAlign w:val="superscript"/>
                <w:lang w:eastAsia="lv-LV"/>
              </w:rPr>
              <w:t>a</w:t>
            </w:r>
          </w:p>
          <w:p w14:paraId="29C9CC87" w14:textId="7221B81C" w:rsidR="00FE48AD" w:rsidRPr="008B628A" w:rsidRDefault="00FE48AD" w:rsidP="00EB3C89">
            <w:pPr>
              <w:spacing w:before="60" w:after="60"/>
              <w:jc w:val="center"/>
              <w:rPr>
                <w:rFonts w:ascii="Times New Roman" w:eastAsia="Times New Roman" w:hAnsi="Times New Roman"/>
                <w:color w:val="000000"/>
                <w:kern w:val="24"/>
                <w:sz w:val="20"/>
                <w:szCs w:val="20"/>
                <w:lang w:eastAsia="lv-LV"/>
              </w:rPr>
            </w:pPr>
            <w:r w:rsidRPr="008B628A">
              <w:rPr>
                <w:rFonts w:ascii="Times New Roman" w:eastAsia="Times New Roman" w:hAnsi="Times New Roman"/>
                <w:color w:val="000000"/>
                <w:kern w:val="24"/>
                <w:sz w:val="20"/>
                <w:szCs w:val="20"/>
                <w:lang w:eastAsia="lv-LV"/>
              </w:rPr>
              <w:t>(tiks sadalīts arī ikgadējos mērķos)</w:t>
            </w:r>
            <w:r w:rsidR="00DA3882">
              <w:rPr>
                <w:rFonts w:ascii="Times New Roman" w:eastAsia="Times New Roman" w:hAnsi="Times New Roman"/>
                <w:color w:val="000000"/>
                <w:kern w:val="24"/>
                <w:sz w:val="20"/>
                <w:szCs w:val="20"/>
                <w:vertAlign w:val="superscript"/>
                <w:lang w:eastAsia="lv-LV"/>
              </w:rPr>
              <w:t>f</w:t>
            </w:r>
          </w:p>
        </w:tc>
      </w:tr>
      <w:tr w:rsidR="00FE48AD" w:rsidRPr="008B628A" w14:paraId="0A31AB39" w14:textId="77777777" w:rsidTr="00D51B34">
        <w:trPr>
          <w:trHeight w:val="830"/>
        </w:trPr>
        <w:tc>
          <w:tcPr>
            <w:tcW w:w="567" w:type="dxa"/>
            <w:vMerge/>
            <w:vAlign w:val="center"/>
          </w:tcPr>
          <w:p w14:paraId="5BA8BD42" w14:textId="77777777" w:rsidR="00FE48AD" w:rsidRPr="008B628A" w:rsidRDefault="00FE48AD" w:rsidP="00315B21">
            <w:pPr>
              <w:spacing w:before="60" w:after="60"/>
              <w:jc w:val="center"/>
              <w:rPr>
                <w:rFonts w:ascii="Times New Roman" w:hAnsi="Times New Roman"/>
                <w:sz w:val="20"/>
                <w:szCs w:val="20"/>
              </w:rPr>
            </w:pPr>
          </w:p>
        </w:tc>
        <w:tc>
          <w:tcPr>
            <w:tcW w:w="1930" w:type="dxa"/>
            <w:vAlign w:val="center"/>
          </w:tcPr>
          <w:p w14:paraId="7371793F" w14:textId="77777777" w:rsidR="00FE48AD" w:rsidRPr="008B628A" w:rsidRDefault="00FE48AD" w:rsidP="00315B21">
            <w:pPr>
              <w:spacing w:before="60" w:after="60"/>
              <w:jc w:val="center"/>
              <w:rPr>
                <w:rFonts w:ascii="Times New Roman" w:hAnsi="Times New Roman"/>
                <w:sz w:val="20"/>
                <w:szCs w:val="20"/>
              </w:rPr>
            </w:pPr>
            <w:r w:rsidRPr="008B628A">
              <w:rPr>
                <w:rFonts w:ascii="Times New Roman" w:hAnsi="Times New Roman"/>
                <w:sz w:val="20"/>
                <w:szCs w:val="20"/>
              </w:rPr>
              <w:t>ES ETS emisijas</w:t>
            </w:r>
          </w:p>
        </w:tc>
        <w:tc>
          <w:tcPr>
            <w:tcW w:w="2179" w:type="dxa"/>
            <w:shd w:val="clear" w:color="auto" w:fill="FFFFFF"/>
            <w:vAlign w:val="center"/>
          </w:tcPr>
          <w:p w14:paraId="634551C8" w14:textId="12A10A01" w:rsidR="00FE48AD" w:rsidRPr="008B628A" w:rsidRDefault="00FE48AD" w:rsidP="00315B21">
            <w:pPr>
              <w:spacing w:before="60" w:after="60"/>
              <w:jc w:val="center"/>
              <w:rPr>
                <w:rFonts w:ascii="Times New Roman" w:eastAsia="Times New Roman" w:hAnsi="Times New Roman"/>
                <w:b/>
                <w:bCs/>
                <w:color w:val="000000"/>
                <w:kern w:val="24"/>
                <w:sz w:val="20"/>
                <w:szCs w:val="20"/>
                <w:vertAlign w:val="superscript"/>
                <w:lang w:eastAsia="lv-LV"/>
              </w:rPr>
            </w:pPr>
            <w:r w:rsidRPr="008B628A">
              <w:rPr>
                <w:rFonts w:ascii="Times New Roman" w:eastAsia="Times New Roman" w:hAnsi="Times New Roman"/>
                <w:b/>
                <w:bCs/>
                <w:color w:val="000000"/>
                <w:kern w:val="24"/>
                <w:sz w:val="20"/>
                <w:szCs w:val="20"/>
                <w:lang w:eastAsia="lv-LV"/>
              </w:rPr>
              <w:t>-21%</w:t>
            </w:r>
            <w:r w:rsidR="00DA3882">
              <w:rPr>
                <w:rFonts w:ascii="Times New Roman" w:eastAsia="Times New Roman" w:hAnsi="Times New Roman"/>
                <w:color w:val="000000"/>
                <w:kern w:val="24"/>
                <w:sz w:val="20"/>
                <w:szCs w:val="20"/>
                <w:vertAlign w:val="superscript"/>
                <w:lang w:eastAsia="lv-LV"/>
              </w:rPr>
              <w:t>a</w:t>
            </w:r>
          </w:p>
          <w:p w14:paraId="755F5512" w14:textId="47097758" w:rsidR="00FE48AD" w:rsidRPr="008B628A" w:rsidRDefault="00FE48AD" w:rsidP="00EB3C89">
            <w:pPr>
              <w:spacing w:before="60" w:after="60"/>
              <w:jc w:val="center"/>
              <w:rPr>
                <w:rFonts w:ascii="Times New Roman" w:eastAsia="Times New Roman" w:hAnsi="Times New Roman"/>
                <w:sz w:val="20"/>
                <w:szCs w:val="20"/>
                <w:lang w:eastAsia="lv-LV"/>
              </w:rPr>
            </w:pPr>
            <w:r w:rsidRPr="008B628A">
              <w:rPr>
                <w:rFonts w:ascii="Times New Roman" w:eastAsia="Times New Roman" w:hAnsi="Times New Roman"/>
                <w:color w:val="000000"/>
                <w:kern w:val="24"/>
                <w:sz w:val="20"/>
                <w:szCs w:val="20"/>
                <w:lang w:eastAsia="lv-LV"/>
              </w:rPr>
              <w:t>(sadalīts ikgadējos mērķos konkrētām iekārtām)</w:t>
            </w:r>
            <w:r w:rsidR="00DA3882">
              <w:rPr>
                <w:rFonts w:ascii="Times New Roman" w:eastAsia="Times New Roman" w:hAnsi="Times New Roman"/>
                <w:color w:val="000000"/>
                <w:kern w:val="24"/>
                <w:sz w:val="20"/>
                <w:szCs w:val="20"/>
                <w:vertAlign w:val="superscript"/>
                <w:lang w:eastAsia="lv-LV"/>
              </w:rPr>
              <w:t>c</w:t>
            </w:r>
          </w:p>
        </w:tc>
        <w:tc>
          <w:tcPr>
            <w:tcW w:w="3034" w:type="dxa"/>
            <w:gridSpan w:val="2"/>
            <w:shd w:val="clear" w:color="auto" w:fill="FFFFFF"/>
            <w:vAlign w:val="center"/>
          </w:tcPr>
          <w:p w14:paraId="654F9790" w14:textId="51344089" w:rsidR="00FE48AD" w:rsidRPr="008B628A" w:rsidRDefault="00FE48AD" w:rsidP="00315B21">
            <w:pPr>
              <w:spacing w:before="60" w:after="60"/>
              <w:jc w:val="center"/>
              <w:rPr>
                <w:rFonts w:ascii="Times New Roman" w:eastAsia="Times New Roman" w:hAnsi="Times New Roman"/>
                <w:sz w:val="20"/>
                <w:szCs w:val="20"/>
                <w:lang w:eastAsia="lv-LV"/>
              </w:rPr>
            </w:pPr>
            <w:r w:rsidRPr="008B628A">
              <w:rPr>
                <w:rFonts w:ascii="Times New Roman" w:eastAsia="Times New Roman" w:hAnsi="Times New Roman"/>
                <w:b/>
                <w:bCs/>
                <w:color w:val="000000"/>
                <w:kern w:val="24"/>
                <w:sz w:val="20"/>
                <w:szCs w:val="20"/>
                <w:lang w:eastAsia="lv-LV"/>
              </w:rPr>
              <w:t>-43%</w:t>
            </w:r>
            <w:r w:rsidR="00DA3882">
              <w:rPr>
                <w:rFonts w:ascii="Times New Roman" w:eastAsia="Times New Roman" w:hAnsi="Times New Roman"/>
                <w:color w:val="000000"/>
                <w:kern w:val="24"/>
                <w:sz w:val="20"/>
                <w:szCs w:val="20"/>
                <w:vertAlign w:val="superscript"/>
                <w:lang w:eastAsia="lv-LV"/>
              </w:rPr>
              <w:t>a</w:t>
            </w:r>
          </w:p>
          <w:p w14:paraId="39764B40" w14:textId="5C9CB23E" w:rsidR="00FE48AD" w:rsidRPr="008B628A" w:rsidRDefault="00FE48AD" w:rsidP="00EB3C89">
            <w:pPr>
              <w:spacing w:before="60" w:after="60"/>
              <w:jc w:val="center"/>
              <w:rPr>
                <w:rFonts w:ascii="Times New Roman" w:hAnsi="Times New Roman"/>
                <w:b/>
                <w:sz w:val="20"/>
                <w:szCs w:val="20"/>
              </w:rPr>
            </w:pPr>
            <w:r w:rsidRPr="008B628A">
              <w:rPr>
                <w:rFonts w:ascii="Times New Roman" w:eastAsia="Times New Roman" w:hAnsi="Times New Roman"/>
                <w:color w:val="000000"/>
                <w:kern w:val="24"/>
                <w:sz w:val="20"/>
                <w:szCs w:val="20"/>
                <w:lang w:eastAsia="lv-LV"/>
              </w:rPr>
              <w:t>(tiks sadalīts ikgadējos mērķos konkrētām iekārtām)</w:t>
            </w:r>
            <w:r w:rsidR="00DA3882">
              <w:rPr>
                <w:rFonts w:ascii="Times New Roman" w:eastAsia="Times New Roman" w:hAnsi="Times New Roman"/>
                <w:color w:val="000000"/>
                <w:kern w:val="24"/>
                <w:sz w:val="20"/>
                <w:szCs w:val="20"/>
                <w:vertAlign w:val="superscript"/>
                <w:lang w:eastAsia="lv-LV"/>
              </w:rPr>
              <w:t>g</w:t>
            </w:r>
          </w:p>
        </w:tc>
      </w:tr>
      <w:tr w:rsidR="00FE48AD" w:rsidRPr="008B628A" w14:paraId="196E2088" w14:textId="77777777" w:rsidTr="00D51B34">
        <w:trPr>
          <w:trHeight w:val="553"/>
        </w:trPr>
        <w:tc>
          <w:tcPr>
            <w:tcW w:w="567" w:type="dxa"/>
            <w:vMerge w:val="restart"/>
            <w:textDirection w:val="btLr"/>
            <w:vAlign w:val="center"/>
          </w:tcPr>
          <w:p w14:paraId="2E825C6F" w14:textId="77777777" w:rsidR="00FE48AD" w:rsidRPr="008B628A" w:rsidRDefault="00FE48AD" w:rsidP="00315B21">
            <w:pPr>
              <w:spacing w:before="60" w:after="60"/>
              <w:ind w:left="113" w:right="113"/>
              <w:jc w:val="center"/>
              <w:rPr>
                <w:rFonts w:ascii="Times New Roman" w:hAnsi="Times New Roman"/>
                <w:sz w:val="20"/>
                <w:szCs w:val="20"/>
              </w:rPr>
            </w:pPr>
            <w:r>
              <w:rPr>
                <w:rFonts w:ascii="Times New Roman" w:hAnsi="Times New Roman"/>
                <w:sz w:val="20"/>
                <w:szCs w:val="20"/>
              </w:rPr>
              <w:t>ZIZIMM</w:t>
            </w:r>
          </w:p>
        </w:tc>
        <w:tc>
          <w:tcPr>
            <w:tcW w:w="1930" w:type="dxa"/>
            <w:vAlign w:val="center"/>
          </w:tcPr>
          <w:p w14:paraId="5A20E70A" w14:textId="77777777" w:rsidR="00FE48AD" w:rsidRPr="008B628A" w:rsidRDefault="00FE48AD" w:rsidP="00315B21">
            <w:pPr>
              <w:spacing w:before="60" w:after="60"/>
              <w:jc w:val="center"/>
              <w:rPr>
                <w:rFonts w:ascii="Times New Roman" w:hAnsi="Times New Roman"/>
                <w:sz w:val="20"/>
                <w:szCs w:val="20"/>
              </w:rPr>
            </w:pPr>
            <w:r w:rsidRPr="008B628A">
              <w:rPr>
                <w:rFonts w:ascii="Times New Roman" w:hAnsi="Times New Roman"/>
                <w:sz w:val="20"/>
                <w:szCs w:val="20"/>
              </w:rPr>
              <w:t>Apmežota zeme</w:t>
            </w:r>
          </w:p>
        </w:tc>
        <w:tc>
          <w:tcPr>
            <w:tcW w:w="2179" w:type="dxa"/>
            <w:vMerge w:val="restart"/>
            <w:shd w:val="clear" w:color="auto" w:fill="FFFFFF"/>
            <w:vAlign w:val="center"/>
          </w:tcPr>
          <w:p w14:paraId="3B4C46DF" w14:textId="794D3568" w:rsidR="00FE48AD" w:rsidRPr="008B628A" w:rsidRDefault="00FE48AD" w:rsidP="00EB3C89">
            <w:pPr>
              <w:spacing w:before="60" w:after="60"/>
              <w:jc w:val="center"/>
              <w:rPr>
                <w:rFonts w:ascii="Times New Roman" w:eastAsia="Times New Roman" w:hAnsi="Times New Roman"/>
                <w:color w:val="000000"/>
                <w:kern w:val="24"/>
                <w:sz w:val="20"/>
                <w:szCs w:val="20"/>
                <w:lang w:eastAsia="lv-LV"/>
              </w:rPr>
            </w:pPr>
            <w:r w:rsidRPr="008B628A">
              <w:rPr>
                <w:rFonts w:ascii="Times New Roman" w:eastAsia="Times New Roman" w:hAnsi="Times New Roman"/>
                <w:color w:val="000000"/>
                <w:kern w:val="24"/>
                <w:sz w:val="20"/>
                <w:szCs w:val="20"/>
                <w:lang w:eastAsia="lv-LV"/>
              </w:rPr>
              <w:t xml:space="preserve">Uzskaitāmās SEG emisijas nepārsniedz uzskaitāmo SEG </w:t>
            </w:r>
            <w:proofErr w:type="spellStart"/>
            <w:r w:rsidRPr="008B628A">
              <w:rPr>
                <w:rFonts w:ascii="Times New Roman" w:eastAsia="Times New Roman" w:hAnsi="Times New Roman"/>
                <w:color w:val="000000"/>
                <w:kern w:val="24"/>
                <w:sz w:val="20"/>
                <w:szCs w:val="20"/>
                <w:lang w:eastAsia="lv-LV"/>
              </w:rPr>
              <w:t>piesaisti</w:t>
            </w:r>
            <w:r w:rsidR="00DA3882">
              <w:rPr>
                <w:rFonts w:ascii="Times New Roman" w:eastAsia="Times New Roman" w:hAnsi="Times New Roman"/>
                <w:color w:val="000000"/>
                <w:kern w:val="24"/>
                <w:sz w:val="20"/>
                <w:szCs w:val="20"/>
                <w:vertAlign w:val="superscript"/>
                <w:lang w:eastAsia="lv-LV"/>
              </w:rPr>
              <w:t>e</w:t>
            </w:r>
            <w:proofErr w:type="spellEnd"/>
          </w:p>
        </w:tc>
        <w:tc>
          <w:tcPr>
            <w:tcW w:w="1574" w:type="dxa"/>
            <w:vMerge w:val="restart"/>
            <w:shd w:val="clear" w:color="auto" w:fill="FFFFFF"/>
            <w:vAlign w:val="center"/>
          </w:tcPr>
          <w:p w14:paraId="7847A37D" w14:textId="633FD0A9" w:rsidR="00FE48AD" w:rsidRPr="008B628A" w:rsidRDefault="00FE48AD" w:rsidP="00B26B4D">
            <w:pPr>
              <w:spacing w:before="60" w:after="60"/>
              <w:jc w:val="center"/>
              <w:rPr>
                <w:rFonts w:ascii="Times New Roman" w:eastAsia="Times New Roman" w:hAnsi="Times New Roman"/>
                <w:color w:val="000000"/>
                <w:kern w:val="24"/>
                <w:sz w:val="20"/>
                <w:szCs w:val="20"/>
                <w:lang w:eastAsia="lv-LV"/>
              </w:rPr>
            </w:pPr>
            <w:r w:rsidRPr="008B628A">
              <w:rPr>
                <w:rFonts w:ascii="Times New Roman" w:eastAsia="Times New Roman" w:hAnsi="Times New Roman"/>
                <w:color w:val="000000"/>
                <w:kern w:val="24"/>
                <w:sz w:val="20"/>
                <w:szCs w:val="20"/>
                <w:lang w:eastAsia="lv-LV"/>
              </w:rPr>
              <w:t xml:space="preserve">Uzskaitāmās SEG emisijas nepārsniedz  uzskaitāmo SEG </w:t>
            </w:r>
            <w:proofErr w:type="spellStart"/>
            <w:r w:rsidR="00DA3882" w:rsidRPr="008B628A">
              <w:rPr>
                <w:rFonts w:ascii="Times New Roman" w:eastAsia="Times New Roman" w:hAnsi="Times New Roman"/>
                <w:color w:val="000000"/>
                <w:kern w:val="24"/>
                <w:sz w:val="20"/>
                <w:szCs w:val="20"/>
                <w:lang w:eastAsia="lv-LV"/>
              </w:rPr>
              <w:t>piesaisti</w:t>
            </w:r>
            <w:r w:rsidR="00DA3882">
              <w:rPr>
                <w:rFonts w:ascii="Times New Roman" w:eastAsia="Times New Roman" w:hAnsi="Times New Roman"/>
                <w:color w:val="000000"/>
                <w:kern w:val="24"/>
                <w:sz w:val="20"/>
                <w:szCs w:val="20"/>
                <w:vertAlign w:val="superscript"/>
                <w:lang w:eastAsia="lv-LV"/>
              </w:rPr>
              <w:t>h</w:t>
            </w:r>
            <w:proofErr w:type="spellEnd"/>
          </w:p>
        </w:tc>
        <w:tc>
          <w:tcPr>
            <w:tcW w:w="1460" w:type="dxa"/>
            <w:vMerge w:val="restart"/>
            <w:shd w:val="clear" w:color="auto" w:fill="FFFFFF"/>
            <w:vAlign w:val="center"/>
          </w:tcPr>
          <w:p w14:paraId="6F57E160" w14:textId="61377FD3" w:rsidR="00FE48AD" w:rsidRPr="008B628A" w:rsidRDefault="00FE48AD" w:rsidP="00B26B4D">
            <w:pPr>
              <w:spacing w:before="60" w:after="60"/>
              <w:jc w:val="center"/>
              <w:rPr>
                <w:rFonts w:ascii="Times New Roman" w:eastAsia="Times New Roman" w:hAnsi="Times New Roman"/>
                <w:color w:val="000000"/>
                <w:kern w:val="24"/>
                <w:sz w:val="20"/>
                <w:szCs w:val="20"/>
                <w:lang w:eastAsia="lv-LV"/>
              </w:rPr>
            </w:pPr>
            <w:r w:rsidRPr="008B628A">
              <w:rPr>
                <w:rFonts w:ascii="Times New Roman" w:eastAsia="Times New Roman" w:hAnsi="Times New Roman"/>
                <w:color w:val="000000"/>
                <w:kern w:val="24"/>
                <w:sz w:val="20"/>
                <w:szCs w:val="20"/>
                <w:lang w:eastAsia="lv-LV"/>
              </w:rPr>
              <w:t xml:space="preserve">Uzskaitāmās SEG emisijas nepārsniedz  uzskaitāmo SEG </w:t>
            </w:r>
            <w:proofErr w:type="spellStart"/>
            <w:r w:rsidR="00DA3882" w:rsidRPr="008B628A">
              <w:rPr>
                <w:rFonts w:ascii="Times New Roman" w:eastAsia="Times New Roman" w:hAnsi="Times New Roman"/>
                <w:color w:val="000000"/>
                <w:kern w:val="24"/>
                <w:sz w:val="20"/>
                <w:szCs w:val="20"/>
                <w:lang w:eastAsia="lv-LV"/>
              </w:rPr>
              <w:t>piesaisti</w:t>
            </w:r>
            <w:r w:rsidR="00DA3882">
              <w:rPr>
                <w:rFonts w:ascii="Times New Roman" w:eastAsia="Times New Roman" w:hAnsi="Times New Roman"/>
                <w:color w:val="000000"/>
                <w:kern w:val="24"/>
                <w:sz w:val="20"/>
                <w:szCs w:val="20"/>
                <w:vertAlign w:val="superscript"/>
                <w:lang w:eastAsia="lv-LV"/>
              </w:rPr>
              <w:t>h</w:t>
            </w:r>
            <w:proofErr w:type="spellEnd"/>
          </w:p>
        </w:tc>
      </w:tr>
      <w:tr w:rsidR="00FE48AD" w:rsidRPr="008B628A" w14:paraId="66EB2E08" w14:textId="77777777" w:rsidTr="00D51B34">
        <w:trPr>
          <w:trHeight w:val="553"/>
        </w:trPr>
        <w:tc>
          <w:tcPr>
            <w:tcW w:w="567" w:type="dxa"/>
            <w:vMerge/>
            <w:vAlign w:val="center"/>
          </w:tcPr>
          <w:p w14:paraId="30E2B03D" w14:textId="77777777" w:rsidR="00FE48AD" w:rsidRPr="008B628A" w:rsidRDefault="00FE48AD" w:rsidP="00315B21">
            <w:pPr>
              <w:spacing w:before="60" w:after="60"/>
              <w:jc w:val="center"/>
              <w:rPr>
                <w:rFonts w:ascii="Times New Roman" w:hAnsi="Times New Roman"/>
                <w:sz w:val="20"/>
                <w:szCs w:val="20"/>
              </w:rPr>
            </w:pPr>
          </w:p>
        </w:tc>
        <w:tc>
          <w:tcPr>
            <w:tcW w:w="1930" w:type="dxa"/>
            <w:vAlign w:val="center"/>
          </w:tcPr>
          <w:p w14:paraId="038FDBCC" w14:textId="77777777" w:rsidR="00FE48AD" w:rsidRPr="008B628A" w:rsidRDefault="00FE48AD" w:rsidP="00315B21">
            <w:pPr>
              <w:spacing w:before="60" w:after="60"/>
              <w:jc w:val="center"/>
              <w:rPr>
                <w:rFonts w:ascii="Times New Roman" w:hAnsi="Times New Roman"/>
                <w:sz w:val="20"/>
                <w:szCs w:val="20"/>
              </w:rPr>
            </w:pPr>
            <w:r w:rsidRPr="008B628A">
              <w:rPr>
                <w:rFonts w:ascii="Times New Roman" w:hAnsi="Times New Roman"/>
                <w:sz w:val="20"/>
                <w:szCs w:val="20"/>
              </w:rPr>
              <w:t>Atmežota zeme</w:t>
            </w:r>
          </w:p>
        </w:tc>
        <w:tc>
          <w:tcPr>
            <w:tcW w:w="2179" w:type="dxa"/>
            <w:vMerge/>
            <w:shd w:val="clear" w:color="auto" w:fill="FFFFFF"/>
            <w:vAlign w:val="center"/>
          </w:tcPr>
          <w:p w14:paraId="40EFC719" w14:textId="77777777" w:rsidR="00FE48AD" w:rsidRPr="008B628A" w:rsidRDefault="00FE48AD" w:rsidP="00315B21">
            <w:pPr>
              <w:spacing w:before="60" w:after="60"/>
              <w:jc w:val="center"/>
              <w:rPr>
                <w:rFonts w:ascii="Times New Roman" w:eastAsia="Times New Roman" w:hAnsi="Times New Roman"/>
                <w:b/>
                <w:bCs/>
                <w:color w:val="000000"/>
                <w:kern w:val="24"/>
                <w:sz w:val="20"/>
                <w:szCs w:val="20"/>
                <w:lang w:eastAsia="lv-LV"/>
              </w:rPr>
            </w:pPr>
          </w:p>
        </w:tc>
        <w:tc>
          <w:tcPr>
            <w:tcW w:w="1574" w:type="dxa"/>
            <w:vMerge/>
            <w:shd w:val="clear" w:color="auto" w:fill="FFFFFF"/>
            <w:vAlign w:val="center"/>
          </w:tcPr>
          <w:p w14:paraId="49B5E771" w14:textId="77777777" w:rsidR="00FE48AD" w:rsidRPr="008B628A" w:rsidRDefault="00FE48AD" w:rsidP="00315B21">
            <w:pPr>
              <w:spacing w:before="60" w:after="60"/>
              <w:jc w:val="center"/>
              <w:rPr>
                <w:rFonts w:ascii="Times New Roman" w:eastAsia="Times New Roman" w:hAnsi="Times New Roman"/>
                <w:b/>
                <w:bCs/>
                <w:color w:val="000000"/>
                <w:kern w:val="24"/>
                <w:sz w:val="20"/>
                <w:szCs w:val="20"/>
                <w:lang w:eastAsia="lv-LV"/>
              </w:rPr>
            </w:pPr>
          </w:p>
        </w:tc>
        <w:tc>
          <w:tcPr>
            <w:tcW w:w="1460" w:type="dxa"/>
            <w:vMerge/>
            <w:shd w:val="clear" w:color="auto" w:fill="FFFFFF"/>
            <w:vAlign w:val="center"/>
          </w:tcPr>
          <w:p w14:paraId="627CC053" w14:textId="77777777" w:rsidR="00FE48AD" w:rsidRPr="008B628A" w:rsidRDefault="00FE48AD" w:rsidP="00315B21">
            <w:pPr>
              <w:spacing w:before="60" w:after="60"/>
              <w:jc w:val="center"/>
              <w:rPr>
                <w:rFonts w:ascii="Times New Roman" w:eastAsia="Times New Roman" w:hAnsi="Times New Roman"/>
                <w:b/>
                <w:bCs/>
                <w:color w:val="000000"/>
                <w:kern w:val="24"/>
                <w:sz w:val="20"/>
                <w:szCs w:val="20"/>
                <w:lang w:eastAsia="lv-LV"/>
              </w:rPr>
            </w:pPr>
          </w:p>
        </w:tc>
      </w:tr>
      <w:tr w:rsidR="00FE48AD" w:rsidRPr="008B628A" w14:paraId="08C14942" w14:textId="77777777" w:rsidTr="00D51B34">
        <w:trPr>
          <w:trHeight w:val="553"/>
        </w:trPr>
        <w:tc>
          <w:tcPr>
            <w:tcW w:w="567" w:type="dxa"/>
            <w:vMerge/>
            <w:vAlign w:val="center"/>
          </w:tcPr>
          <w:p w14:paraId="6751C8BD" w14:textId="77777777" w:rsidR="00FE48AD" w:rsidRPr="008B628A" w:rsidRDefault="00FE48AD" w:rsidP="00315B21">
            <w:pPr>
              <w:spacing w:before="60" w:after="60"/>
              <w:jc w:val="center"/>
              <w:rPr>
                <w:rFonts w:ascii="Times New Roman" w:hAnsi="Times New Roman"/>
                <w:sz w:val="20"/>
                <w:szCs w:val="20"/>
              </w:rPr>
            </w:pPr>
          </w:p>
        </w:tc>
        <w:tc>
          <w:tcPr>
            <w:tcW w:w="1930" w:type="dxa"/>
            <w:vAlign w:val="center"/>
          </w:tcPr>
          <w:p w14:paraId="478EE0B6" w14:textId="77777777" w:rsidR="00FE48AD" w:rsidRPr="008B628A" w:rsidRDefault="00FE48AD" w:rsidP="00315B21">
            <w:pPr>
              <w:spacing w:before="60" w:after="60"/>
              <w:jc w:val="center"/>
              <w:rPr>
                <w:rFonts w:ascii="Times New Roman" w:hAnsi="Times New Roman"/>
                <w:sz w:val="20"/>
                <w:szCs w:val="20"/>
              </w:rPr>
            </w:pPr>
            <w:r w:rsidRPr="008B628A">
              <w:rPr>
                <w:rFonts w:ascii="Times New Roman" w:hAnsi="Times New Roman"/>
                <w:sz w:val="20"/>
                <w:szCs w:val="20"/>
              </w:rPr>
              <w:t>Apsaimniekota meža zeme</w:t>
            </w:r>
          </w:p>
          <w:p w14:paraId="4F4F8F17" w14:textId="292F9918" w:rsidR="00FE48AD" w:rsidRPr="008B628A" w:rsidRDefault="00FE48AD" w:rsidP="00EB3C89">
            <w:pPr>
              <w:spacing w:before="60" w:after="60"/>
              <w:jc w:val="center"/>
              <w:rPr>
                <w:rFonts w:ascii="Times New Roman" w:hAnsi="Times New Roman"/>
                <w:sz w:val="20"/>
                <w:szCs w:val="20"/>
              </w:rPr>
            </w:pPr>
            <w:r w:rsidRPr="008B628A">
              <w:rPr>
                <w:rFonts w:ascii="Times New Roman" w:hAnsi="Times New Roman"/>
                <w:sz w:val="20"/>
                <w:szCs w:val="20"/>
              </w:rPr>
              <w:t>(</w:t>
            </w:r>
            <w:r w:rsidRPr="008B628A">
              <w:rPr>
                <w:rFonts w:ascii="Times New Roman" w:hAnsi="Times New Roman"/>
                <w:i/>
                <w:iCs/>
                <w:sz w:val="20"/>
                <w:szCs w:val="20"/>
              </w:rPr>
              <w:t>Meža references līmenis</w:t>
            </w:r>
            <w:r w:rsidRPr="008B628A">
              <w:rPr>
                <w:rFonts w:ascii="Times New Roman" w:hAnsi="Times New Roman"/>
                <w:sz w:val="20"/>
                <w:szCs w:val="20"/>
              </w:rPr>
              <w:t>)</w:t>
            </w:r>
            <w:r w:rsidR="00DA3882">
              <w:rPr>
                <w:rFonts w:ascii="Times New Roman" w:hAnsi="Times New Roman"/>
                <w:sz w:val="20"/>
                <w:szCs w:val="20"/>
                <w:vertAlign w:val="superscript"/>
              </w:rPr>
              <w:t>d</w:t>
            </w:r>
          </w:p>
        </w:tc>
        <w:tc>
          <w:tcPr>
            <w:tcW w:w="2179" w:type="dxa"/>
            <w:vMerge/>
            <w:shd w:val="clear" w:color="auto" w:fill="FFFFFF"/>
            <w:vAlign w:val="center"/>
          </w:tcPr>
          <w:p w14:paraId="3A31518D" w14:textId="77777777" w:rsidR="00FE48AD" w:rsidRPr="008B628A" w:rsidRDefault="00FE48AD" w:rsidP="00315B21">
            <w:pPr>
              <w:spacing w:before="60" w:after="60"/>
              <w:jc w:val="center"/>
              <w:rPr>
                <w:rFonts w:ascii="Times New Roman" w:eastAsia="Times New Roman" w:hAnsi="Times New Roman"/>
                <w:b/>
                <w:bCs/>
                <w:color w:val="000000"/>
                <w:kern w:val="24"/>
                <w:sz w:val="20"/>
                <w:szCs w:val="20"/>
                <w:lang w:eastAsia="lv-LV"/>
              </w:rPr>
            </w:pPr>
          </w:p>
        </w:tc>
        <w:tc>
          <w:tcPr>
            <w:tcW w:w="1574" w:type="dxa"/>
            <w:vMerge/>
            <w:shd w:val="clear" w:color="auto" w:fill="FFFFFF"/>
            <w:vAlign w:val="center"/>
          </w:tcPr>
          <w:p w14:paraId="11127327" w14:textId="77777777" w:rsidR="00FE48AD" w:rsidRPr="008B628A" w:rsidRDefault="00FE48AD" w:rsidP="00315B21">
            <w:pPr>
              <w:spacing w:before="60" w:after="60"/>
              <w:jc w:val="center"/>
              <w:rPr>
                <w:rFonts w:ascii="Times New Roman" w:eastAsia="Times New Roman" w:hAnsi="Times New Roman"/>
                <w:b/>
                <w:bCs/>
                <w:color w:val="000000"/>
                <w:kern w:val="24"/>
                <w:sz w:val="20"/>
                <w:szCs w:val="20"/>
                <w:lang w:eastAsia="lv-LV"/>
              </w:rPr>
            </w:pPr>
          </w:p>
        </w:tc>
        <w:tc>
          <w:tcPr>
            <w:tcW w:w="1460" w:type="dxa"/>
            <w:vMerge/>
            <w:shd w:val="clear" w:color="auto" w:fill="FFFFFF"/>
            <w:vAlign w:val="center"/>
          </w:tcPr>
          <w:p w14:paraId="0BD86C59" w14:textId="77777777" w:rsidR="00FE48AD" w:rsidRPr="008B628A" w:rsidRDefault="00FE48AD" w:rsidP="00315B21">
            <w:pPr>
              <w:spacing w:before="60" w:after="60"/>
              <w:jc w:val="center"/>
              <w:rPr>
                <w:rFonts w:ascii="Times New Roman" w:eastAsia="Times New Roman" w:hAnsi="Times New Roman"/>
                <w:b/>
                <w:bCs/>
                <w:color w:val="000000"/>
                <w:kern w:val="24"/>
                <w:sz w:val="20"/>
                <w:szCs w:val="20"/>
                <w:lang w:eastAsia="lv-LV"/>
              </w:rPr>
            </w:pPr>
          </w:p>
        </w:tc>
      </w:tr>
      <w:tr w:rsidR="00FE48AD" w:rsidRPr="008B628A" w14:paraId="68FCE0C4" w14:textId="77777777" w:rsidTr="00D51B34">
        <w:trPr>
          <w:trHeight w:val="553"/>
        </w:trPr>
        <w:tc>
          <w:tcPr>
            <w:tcW w:w="567" w:type="dxa"/>
            <w:vMerge/>
            <w:vAlign w:val="center"/>
          </w:tcPr>
          <w:p w14:paraId="7A2421EB" w14:textId="77777777" w:rsidR="00FE48AD" w:rsidRPr="008B628A" w:rsidRDefault="00FE48AD" w:rsidP="00315B21">
            <w:pPr>
              <w:spacing w:before="60" w:after="60"/>
              <w:jc w:val="center"/>
              <w:rPr>
                <w:rFonts w:ascii="Times New Roman" w:hAnsi="Times New Roman"/>
                <w:sz w:val="20"/>
                <w:szCs w:val="20"/>
              </w:rPr>
            </w:pPr>
          </w:p>
        </w:tc>
        <w:tc>
          <w:tcPr>
            <w:tcW w:w="1930" w:type="dxa"/>
            <w:vAlign w:val="center"/>
          </w:tcPr>
          <w:p w14:paraId="5736365F" w14:textId="77777777" w:rsidR="00FE48AD" w:rsidRPr="008B628A" w:rsidRDefault="00FE48AD" w:rsidP="00315B21">
            <w:pPr>
              <w:spacing w:before="60" w:after="60"/>
              <w:jc w:val="center"/>
              <w:rPr>
                <w:rFonts w:ascii="Times New Roman" w:hAnsi="Times New Roman"/>
                <w:sz w:val="20"/>
                <w:szCs w:val="20"/>
              </w:rPr>
            </w:pPr>
            <w:r w:rsidRPr="008B628A">
              <w:rPr>
                <w:rFonts w:ascii="Times New Roman" w:hAnsi="Times New Roman"/>
                <w:sz w:val="20"/>
                <w:szCs w:val="20"/>
              </w:rPr>
              <w:t>Apsaimniekota aramzeme</w:t>
            </w:r>
          </w:p>
        </w:tc>
        <w:tc>
          <w:tcPr>
            <w:tcW w:w="2179" w:type="dxa"/>
            <w:shd w:val="clear" w:color="auto" w:fill="D9D9D9"/>
            <w:vAlign w:val="center"/>
          </w:tcPr>
          <w:p w14:paraId="55D0BA0B" w14:textId="77777777" w:rsidR="00FE48AD" w:rsidRPr="008B628A" w:rsidRDefault="00FE48AD" w:rsidP="00315B21">
            <w:pPr>
              <w:spacing w:before="60" w:after="60"/>
              <w:jc w:val="center"/>
              <w:rPr>
                <w:rFonts w:ascii="Times New Roman" w:eastAsia="Times New Roman" w:hAnsi="Times New Roman"/>
                <w:b/>
                <w:bCs/>
                <w:color w:val="000000"/>
                <w:kern w:val="24"/>
                <w:sz w:val="20"/>
                <w:szCs w:val="20"/>
                <w:lang w:eastAsia="lv-LV"/>
              </w:rPr>
            </w:pPr>
          </w:p>
        </w:tc>
        <w:tc>
          <w:tcPr>
            <w:tcW w:w="1574" w:type="dxa"/>
            <w:vMerge/>
            <w:shd w:val="clear" w:color="auto" w:fill="FFFFFF"/>
            <w:vAlign w:val="center"/>
          </w:tcPr>
          <w:p w14:paraId="437E288A" w14:textId="77777777" w:rsidR="00FE48AD" w:rsidRPr="008B628A" w:rsidRDefault="00FE48AD" w:rsidP="00315B21">
            <w:pPr>
              <w:spacing w:before="60" w:after="60"/>
              <w:jc w:val="center"/>
              <w:rPr>
                <w:rFonts w:ascii="Times New Roman" w:eastAsia="Times New Roman" w:hAnsi="Times New Roman"/>
                <w:b/>
                <w:bCs/>
                <w:color w:val="000000"/>
                <w:kern w:val="24"/>
                <w:sz w:val="20"/>
                <w:szCs w:val="20"/>
                <w:lang w:eastAsia="lv-LV"/>
              </w:rPr>
            </w:pPr>
          </w:p>
        </w:tc>
        <w:tc>
          <w:tcPr>
            <w:tcW w:w="1460" w:type="dxa"/>
            <w:vMerge/>
            <w:shd w:val="clear" w:color="auto" w:fill="FFFFFF"/>
            <w:vAlign w:val="center"/>
          </w:tcPr>
          <w:p w14:paraId="59E6093A" w14:textId="77777777" w:rsidR="00FE48AD" w:rsidRPr="008B628A" w:rsidRDefault="00FE48AD" w:rsidP="00315B21">
            <w:pPr>
              <w:spacing w:before="60" w:after="60"/>
              <w:jc w:val="center"/>
              <w:rPr>
                <w:rFonts w:ascii="Times New Roman" w:eastAsia="Times New Roman" w:hAnsi="Times New Roman"/>
                <w:b/>
                <w:bCs/>
                <w:color w:val="000000"/>
                <w:kern w:val="24"/>
                <w:sz w:val="20"/>
                <w:szCs w:val="20"/>
                <w:lang w:eastAsia="lv-LV"/>
              </w:rPr>
            </w:pPr>
          </w:p>
        </w:tc>
      </w:tr>
      <w:tr w:rsidR="00FE48AD" w:rsidRPr="008B628A" w14:paraId="3473C4E7" w14:textId="77777777" w:rsidTr="00D51B34">
        <w:trPr>
          <w:trHeight w:val="553"/>
        </w:trPr>
        <w:tc>
          <w:tcPr>
            <w:tcW w:w="567" w:type="dxa"/>
            <w:vMerge/>
            <w:vAlign w:val="center"/>
          </w:tcPr>
          <w:p w14:paraId="4847B238" w14:textId="77777777" w:rsidR="00FE48AD" w:rsidRPr="008B628A" w:rsidRDefault="00FE48AD" w:rsidP="00315B21">
            <w:pPr>
              <w:spacing w:before="60" w:after="60"/>
              <w:jc w:val="center"/>
              <w:rPr>
                <w:rFonts w:ascii="Times New Roman" w:hAnsi="Times New Roman"/>
                <w:sz w:val="20"/>
                <w:szCs w:val="20"/>
              </w:rPr>
            </w:pPr>
          </w:p>
        </w:tc>
        <w:tc>
          <w:tcPr>
            <w:tcW w:w="1930" w:type="dxa"/>
            <w:vAlign w:val="center"/>
          </w:tcPr>
          <w:p w14:paraId="018CE138" w14:textId="77777777" w:rsidR="00FE48AD" w:rsidRPr="008B628A" w:rsidRDefault="00FE48AD" w:rsidP="00315B21">
            <w:pPr>
              <w:spacing w:before="60" w:after="60"/>
              <w:jc w:val="center"/>
              <w:rPr>
                <w:rFonts w:ascii="Times New Roman" w:hAnsi="Times New Roman"/>
                <w:sz w:val="20"/>
                <w:szCs w:val="20"/>
              </w:rPr>
            </w:pPr>
            <w:r w:rsidRPr="008B628A">
              <w:rPr>
                <w:rFonts w:ascii="Times New Roman" w:hAnsi="Times New Roman"/>
                <w:sz w:val="20"/>
                <w:szCs w:val="20"/>
              </w:rPr>
              <w:t>Apsaimniekoti zālāji</w:t>
            </w:r>
          </w:p>
        </w:tc>
        <w:tc>
          <w:tcPr>
            <w:tcW w:w="2179" w:type="dxa"/>
            <w:shd w:val="clear" w:color="auto" w:fill="D9D9D9"/>
            <w:vAlign w:val="center"/>
          </w:tcPr>
          <w:p w14:paraId="14A8D0C7" w14:textId="77777777" w:rsidR="00FE48AD" w:rsidRPr="008B628A" w:rsidRDefault="00FE48AD" w:rsidP="00315B21">
            <w:pPr>
              <w:spacing w:before="60" w:after="60"/>
              <w:jc w:val="center"/>
              <w:rPr>
                <w:rFonts w:ascii="Times New Roman" w:eastAsia="Times New Roman" w:hAnsi="Times New Roman"/>
                <w:b/>
                <w:bCs/>
                <w:color w:val="000000"/>
                <w:kern w:val="24"/>
                <w:sz w:val="20"/>
                <w:szCs w:val="20"/>
                <w:lang w:eastAsia="lv-LV"/>
              </w:rPr>
            </w:pPr>
          </w:p>
        </w:tc>
        <w:tc>
          <w:tcPr>
            <w:tcW w:w="1574" w:type="dxa"/>
            <w:vMerge/>
            <w:shd w:val="clear" w:color="auto" w:fill="FFFFFF"/>
            <w:vAlign w:val="center"/>
          </w:tcPr>
          <w:p w14:paraId="2B5E14F2" w14:textId="77777777" w:rsidR="00FE48AD" w:rsidRPr="008B628A" w:rsidRDefault="00FE48AD" w:rsidP="00315B21">
            <w:pPr>
              <w:spacing w:before="60" w:after="60"/>
              <w:jc w:val="center"/>
              <w:rPr>
                <w:rFonts w:ascii="Times New Roman" w:eastAsia="Times New Roman" w:hAnsi="Times New Roman"/>
                <w:b/>
                <w:bCs/>
                <w:color w:val="000000"/>
                <w:kern w:val="24"/>
                <w:sz w:val="20"/>
                <w:szCs w:val="20"/>
                <w:lang w:eastAsia="lv-LV"/>
              </w:rPr>
            </w:pPr>
          </w:p>
        </w:tc>
        <w:tc>
          <w:tcPr>
            <w:tcW w:w="1460" w:type="dxa"/>
            <w:vMerge/>
            <w:shd w:val="clear" w:color="auto" w:fill="FFFFFF"/>
            <w:vAlign w:val="center"/>
          </w:tcPr>
          <w:p w14:paraId="53566529" w14:textId="77777777" w:rsidR="00FE48AD" w:rsidRPr="008B628A" w:rsidRDefault="00FE48AD" w:rsidP="00315B21">
            <w:pPr>
              <w:spacing w:before="60" w:after="60"/>
              <w:jc w:val="center"/>
              <w:rPr>
                <w:rFonts w:ascii="Times New Roman" w:eastAsia="Times New Roman" w:hAnsi="Times New Roman"/>
                <w:b/>
                <w:bCs/>
                <w:color w:val="000000"/>
                <w:kern w:val="24"/>
                <w:sz w:val="20"/>
                <w:szCs w:val="20"/>
                <w:lang w:eastAsia="lv-LV"/>
              </w:rPr>
            </w:pPr>
          </w:p>
        </w:tc>
      </w:tr>
      <w:tr w:rsidR="00FE48AD" w:rsidRPr="008B628A" w14:paraId="14C6DBCB" w14:textId="77777777" w:rsidTr="00D51B34">
        <w:trPr>
          <w:trHeight w:val="553"/>
        </w:trPr>
        <w:tc>
          <w:tcPr>
            <w:tcW w:w="567" w:type="dxa"/>
            <w:vMerge/>
            <w:tcBorders>
              <w:bottom w:val="single" w:sz="4" w:space="0" w:color="auto"/>
            </w:tcBorders>
            <w:vAlign w:val="center"/>
          </w:tcPr>
          <w:p w14:paraId="58559C65" w14:textId="77777777" w:rsidR="00FE48AD" w:rsidRPr="008B628A" w:rsidRDefault="00FE48AD" w:rsidP="00315B21">
            <w:pPr>
              <w:spacing w:before="60" w:after="60"/>
              <w:jc w:val="center"/>
              <w:rPr>
                <w:rFonts w:ascii="Times New Roman" w:hAnsi="Times New Roman"/>
                <w:sz w:val="20"/>
                <w:szCs w:val="20"/>
              </w:rPr>
            </w:pPr>
          </w:p>
        </w:tc>
        <w:tc>
          <w:tcPr>
            <w:tcW w:w="1930" w:type="dxa"/>
            <w:tcBorders>
              <w:bottom w:val="single" w:sz="4" w:space="0" w:color="auto"/>
            </w:tcBorders>
            <w:vAlign w:val="center"/>
          </w:tcPr>
          <w:p w14:paraId="675DBDA8" w14:textId="77777777" w:rsidR="00FE48AD" w:rsidRPr="008B628A" w:rsidRDefault="00FE48AD" w:rsidP="00315B21">
            <w:pPr>
              <w:spacing w:before="60" w:after="60"/>
              <w:jc w:val="center"/>
              <w:rPr>
                <w:rFonts w:ascii="Times New Roman" w:hAnsi="Times New Roman"/>
                <w:sz w:val="20"/>
                <w:szCs w:val="20"/>
              </w:rPr>
            </w:pPr>
            <w:r w:rsidRPr="008B628A">
              <w:rPr>
                <w:rFonts w:ascii="Times New Roman" w:hAnsi="Times New Roman"/>
                <w:sz w:val="20"/>
                <w:szCs w:val="20"/>
              </w:rPr>
              <w:t>Apsaimniekotas mitrzemes</w:t>
            </w:r>
          </w:p>
        </w:tc>
        <w:tc>
          <w:tcPr>
            <w:tcW w:w="2179" w:type="dxa"/>
            <w:tcBorders>
              <w:bottom w:val="single" w:sz="4" w:space="0" w:color="auto"/>
            </w:tcBorders>
            <w:shd w:val="clear" w:color="auto" w:fill="D9D9D9"/>
            <w:vAlign w:val="center"/>
          </w:tcPr>
          <w:p w14:paraId="1241D69C" w14:textId="77777777" w:rsidR="00FE48AD" w:rsidRPr="008B628A" w:rsidRDefault="00FE48AD" w:rsidP="00315B21">
            <w:pPr>
              <w:spacing w:before="60" w:after="60"/>
              <w:jc w:val="center"/>
              <w:rPr>
                <w:rFonts w:ascii="Times New Roman" w:eastAsia="Times New Roman" w:hAnsi="Times New Roman"/>
                <w:b/>
                <w:bCs/>
                <w:color w:val="000000"/>
                <w:kern w:val="24"/>
                <w:sz w:val="20"/>
                <w:szCs w:val="20"/>
                <w:lang w:eastAsia="lv-LV"/>
              </w:rPr>
            </w:pPr>
          </w:p>
        </w:tc>
        <w:tc>
          <w:tcPr>
            <w:tcW w:w="1574" w:type="dxa"/>
            <w:tcBorders>
              <w:bottom w:val="single" w:sz="4" w:space="0" w:color="auto"/>
            </w:tcBorders>
            <w:shd w:val="clear" w:color="auto" w:fill="D9D9D9"/>
            <w:vAlign w:val="center"/>
          </w:tcPr>
          <w:p w14:paraId="02D2ECD3" w14:textId="77777777" w:rsidR="00FE48AD" w:rsidRPr="008B628A" w:rsidRDefault="00FE48AD" w:rsidP="00315B21">
            <w:pPr>
              <w:spacing w:before="60" w:after="60"/>
              <w:jc w:val="center"/>
              <w:rPr>
                <w:rFonts w:ascii="Times New Roman" w:eastAsia="Times New Roman" w:hAnsi="Times New Roman"/>
                <w:b/>
                <w:bCs/>
                <w:color w:val="000000"/>
                <w:kern w:val="24"/>
                <w:sz w:val="20"/>
                <w:szCs w:val="20"/>
                <w:lang w:eastAsia="lv-LV"/>
              </w:rPr>
            </w:pPr>
          </w:p>
        </w:tc>
        <w:tc>
          <w:tcPr>
            <w:tcW w:w="1460" w:type="dxa"/>
            <w:vMerge/>
            <w:tcBorders>
              <w:bottom w:val="single" w:sz="4" w:space="0" w:color="auto"/>
            </w:tcBorders>
            <w:shd w:val="clear" w:color="auto" w:fill="FFFFFF"/>
            <w:vAlign w:val="center"/>
          </w:tcPr>
          <w:p w14:paraId="70D41F6F" w14:textId="77777777" w:rsidR="00FE48AD" w:rsidRPr="008B628A" w:rsidRDefault="00FE48AD" w:rsidP="00315B21">
            <w:pPr>
              <w:spacing w:before="60" w:after="60"/>
              <w:jc w:val="center"/>
              <w:rPr>
                <w:rFonts w:ascii="Times New Roman" w:eastAsia="Times New Roman" w:hAnsi="Times New Roman"/>
                <w:b/>
                <w:bCs/>
                <w:color w:val="000000"/>
                <w:kern w:val="24"/>
                <w:sz w:val="20"/>
                <w:szCs w:val="20"/>
                <w:lang w:eastAsia="lv-LV"/>
              </w:rPr>
            </w:pPr>
          </w:p>
        </w:tc>
      </w:tr>
    </w:tbl>
    <w:p w14:paraId="1A231927" w14:textId="77777777" w:rsidR="00C042C8" w:rsidRPr="005C652E" w:rsidRDefault="00C042C8" w:rsidP="005C652E">
      <w:pPr>
        <w:spacing w:before="120" w:after="120" w:line="240" w:lineRule="auto"/>
        <w:rPr>
          <w:rFonts w:ascii="Times New Roman" w:eastAsia="Times New Roman" w:hAnsi="Times New Roman"/>
          <w:b/>
          <w:bCs/>
          <w:caps/>
          <w:sz w:val="28"/>
          <w:szCs w:val="28"/>
          <w:lang w:eastAsia="lv-LV"/>
        </w:rPr>
      </w:pPr>
    </w:p>
    <w:p w14:paraId="4F889D6C" w14:textId="3E28F06B" w:rsidR="003346C4" w:rsidRPr="00E6086F" w:rsidRDefault="008940C8" w:rsidP="006E6929">
      <w:pPr>
        <w:pStyle w:val="Heading1"/>
        <w:ind w:left="357" w:hanging="357"/>
      </w:pPr>
      <w:bookmarkStart w:id="3" w:name="_Toc9326561"/>
      <w:r>
        <w:t>SEG</w:t>
      </w:r>
      <w:r w:rsidR="00003BFB">
        <w:t xml:space="preserve"> </w:t>
      </w:r>
      <w:r w:rsidR="00EC792E" w:rsidRPr="00E6086F">
        <w:t>MĒRĶU IZPILDES NOVĒRTĒJUMA METODISKĀ PIEEJA</w:t>
      </w:r>
      <w:bookmarkEnd w:id="3"/>
    </w:p>
    <w:p w14:paraId="470C112D" w14:textId="4FD34AD1" w:rsidR="003346C4" w:rsidRPr="00E6086F" w:rsidRDefault="003346C4" w:rsidP="00AD0CCD">
      <w:pPr>
        <w:pStyle w:val="Heading2"/>
      </w:pPr>
      <w:bookmarkStart w:id="4" w:name="_Toc9326562"/>
      <w:r w:rsidRPr="00E6086F">
        <w:t xml:space="preserve">SEG </w:t>
      </w:r>
      <w:r w:rsidR="00AD0CCD" w:rsidRPr="00AD0CCD">
        <w:t xml:space="preserve">mērķu </w:t>
      </w:r>
      <w:r w:rsidRPr="00E6086F">
        <w:t>izpildes vēsturiskā progresa novērtēšanas metodoloģija</w:t>
      </w:r>
      <w:bookmarkEnd w:id="4"/>
    </w:p>
    <w:p w14:paraId="34FBB621" w14:textId="1F4C6B81" w:rsidR="003346C4" w:rsidRPr="00E6086F" w:rsidRDefault="003346C4" w:rsidP="00E5037F">
      <w:pPr>
        <w:pStyle w:val="NormalWeb"/>
        <w:spacing w:before="120" w:after="120"/>
        <w:ind w:firstLine="567"/>
        <w:jc w:val="both"/>
        <w:rPr>
          <w:b/>
        </w:rPr>
      </w:pPr>
      <w:r w:rsidRPr="00E6086F">
        <w:t xml:space="preserve">Latvijas SEG </w:t>
      </w:r>
      <w:r w:rsidR="005F36FB" w:rsidRPr="005F36FB">
        <w:t>mērķu</w:t>
      </w:r>
      <w:r w:rsidR="003A4B64" w:rsidRPr="00E6086F">
        <w:t xml:space="preserve"> </w:t>
      </w:r>
      <w:r w:rsidRPr="00E6086F">
        <w:t xml:space="preserve">izpildes vēsturiskais progress novērtēts atbilstoši </w:t>
      </w:r>
      <w:r w:rsidR="00345FCF">
        <w:t>2018. gada</w:t>
      </w:r>
      <w:r w:rsidR="00345FCF" w:rsidRPr="00E6086F">
        <w:t xml:space="preserve"> </w:t>
      </w:r>
      <w:r w:rsidRPr="00E6086F">
        <w:t xml:space="preserve">SEG inventarizācijas rezultātiem. </w:t>
      </w:r>
      <w:r w:rsidR="00345FCF">
        <w:t>2018.</w:t>
      </w:r>
      <w:r w:rsidR="00922C7E">
        <w:t xml:space="preserve"> </w:t>
      </w:r>
      <w:r w:rsidR="00345FCF">
        <w:t>gada</w:t>
      </w:r>
      <w:r w:rsidR="00345FCF" w:rsidRPr="00E6086F">
        <w:t xml:space="preserve"> </w:t>
      </w:r>
      <w:r w:rsidRPr="00E6086F">
        <w:t xml:space="preserve">SEG inventarizācijas sagatavošanu koordinē VARAM, sadarbojoties ar Ekonomikas ministriju, Zemkopības ministriju un Satiksmes ministriju, kā arī </w:t>
      </w:r>
      <w:r w:rsidR="00C01ED0" w:rsidRPr="00E6086F">
        <w:t>valsts sabiedrību ar ierobežotu atbildību ,,</w:t>
      </w:r>
      <w:r w:rsidRPr="00E6086F">
        <w:t>Latvijas Vides, ģeoloģijas un meteoroloģijas centr</w:t>
      </w:r>
      <w:r w:rsidR="00C01ED0" w:rsidRPr="00E6086F">
        <w:t>s”</w:t>
      </w:r>
      <w:r w:rsidRPr="00E6086F">
        <w:t xml:space="preserve">, </w:t>
      </w:r>
      <w:r w:rsidR="00703485" w:rsidRPr="00E6086F">
        <w:t xml:space="preserve">Centrālās </w:t>
      </w:r>
      <w:r w:rsidR="00483E3B" w:rsidRPr="00E6086F">
        <w:t>s</w:t>
      </w:r>
      <w:r w:rsidR="00703485" w:rsidRPr="00E6086F">
        <w:t xml:space="preserve">tatistikas pārvaldi, </w:t>
      </w:r>
      <w:r w:rsidRPr="00E6086F">
        <w:t>Fizikālās enerģētikas institūtu, Latvijas Valsts mežzinātnes institūtu</w:t>
      </w:r>
      <w:r w:rsidR="009F4FB8">
        <w:t xml:space="preserve"> (turpmāk – LVMI)</w:t>
      </w:r>
      <w:r w:rsidRPr="00E6086F">
        <w:t xml:space="preserve"> </w:t>
      </w:r>
      <w:r w:rsidR="00C01ED0" w:rsidRPr="00E6086F">
        <w:t>,,</w:t>
      </w:r>
      <w:r w:rsidRPr="00E6086F">
        <w:t>Silava</w:t>
      </w:r>
      <w:r w:rsidR="00C01ED0" w:rsidRPr="00E6086F">
        <w:t>”</w:t>
      </w:r>
      <w:r w:rsidRPr="00E6086F">
        <w:t xml:space="preserve">, Latvijas Lauksaimniecības universitāti </w:t>
      </w:r>
      <w:r w:rsidRPr="00E6086F">
        <w:rPr>
          <w:sz w:val="22"/>
          <w:szCs w:val="22"/>
        </w:rPr>
        <w:t>u.c</w:t>
      </w:r>
      <w:r w:rsidRPr="00E6086F">
        <w:t xml:space="preserve">. Ikgadējās SEG </w:t>
      </w:r>
      <w:r w:rsidRPr="00E6086F">
        <w:lastRenderedPageBreak/>
        <w:t>inventarizācijas sagatavošanu</w:t>
      </w:r>
      <w:r w:rsidR="00C05840">
        <w:t xml:space="preserve"> veic saskaņā ar </w:t>
      </w:r>
      <w:r w:rsidR="003A305F">
        <w:t>Klimata k</w:t>
      </w:r>
      <w:r w:rsidRPr="00E6086F">
        <w:t xml:space="preserve">onvencijas, </w:t>
      </w:r>
      <w:r w:rsidR="003A305F">
        <w:t xml:space="preserve">tās </w:t>
      </w:r>
      <w:r w:rsidRPr="00E6086F">
        <w:t>Kioto protokola</w:t>
      </w:r>
      <w:r w:rsidR="007121AC">
        <w:t xml:space="preserve">, </w:t>
      </w:r>
      <w:r w:rsidR="003A305F">
        <w:t xml:space="preserve"> Klimata konvencijas</w:t>
      </w:r>
      <w:r w:rsidR="00D51B34">
        <w:t xml:space="preserve"> Līgumslēdzēju pušu konferencē pieņemt</w:t>
      </w:r>
      <w:r w:rsidR="003A305F">
        <w:t>ām ziņošanas vadlīnijām par Klimata konvencijas 1.</w:t>
      </w:r>
      <w:r w:rsidR="00A515BC">
        <w:t> </w:t>
      </w:r>
      <w:r w:rsidR="003A305F">
        <w:t xml:space="preserve">pielikuma Pušu ikgadējo inventarizāciju sagatavošanu (turpmāk </w:t>
      </w:r>
      <w:r w:rsidR="00A515BC">
        <w:t xml:space="preserve">– </w:t>
      </w:r>
      <w:r w:rsidR="007121AC" w:rsidRPr="003A305F">
        <w:t>Lēmum</w:t>
      </w:r>
      <w:r w:rsidR="003A305F" w:rsidRPr="003A305F">
        <w:t>s</w:t>
      </w:r>
      <w:r w:rsidR="007121AC" w:rsidRPr="003A305F">
        <w:t xml:space="preserve"> 24/CP.19</w:t>
      </w:r>
      <w:r w:rsidR="003A305F">
        <w:t>)</w:t>
      </w:r>
      <w:r w:rsidR="007121AC">
        <w:rPr>
          <w:rStyle w:val="FootnoteReference"/>
        </w:rPr>
        <w:footnoteReference w:id="10"/>
      </w:r>
      <w:r w:rsidRPr="00E6086F">
        <w:t xml:space="preserve"> un Regulas Nr.</w:t>
      </w:r>
      <w:r w:rsidR="00C01ED0" w:rsidRPr="00E6086F">
        <w:t> </w:t>
      </w:r>
      <w:r w:rsidRPr="00E6086F">
        <w:t>525/2013</w:t>
      </w:r>
      <w:r w:rsidRPr="00E6086F">
        <w:rPr>
          <w:rStyle w:val="FootnoteReference"/>
        </w:rPr>
        <w:footnoteReference w:id="11"/>
      </w:r>
      <w:r w:rsidRPr="00E6086F">
        <w:t xml:space="preserve"> prasīb</w:t>
      </w:r>
      <w:r w:rsidR="00C05840">
        <w:t>ām</w:t>
      </w:r>
      <w:r w:rsidRPr="00E6086F">
        <w:t>.</w:t>
      </w:r>
    </w:p>
    <w:p w14:paraId="3786CE1B" w14:textId="77777777" w:rsidR="003346C4" w:rsidRPr="00E6086F" w:rsidRDefault="003346C4" w:rsidP="00E5037F">
      <w:pPr>
        <w:pStyle w:val="NormalWeb"/>
        <w:spacing w:before="120" w:after="120"/>
        <w:ind w:firstLine="567"/>
        <w:jc w:val="both"/>
        <w:rPr>
          <w:b/>
        </w:rPr>
      </w:pPr>
      <w:r w:rsidRPr="00E6086F">
        <w:rPr>
          <w:rStyle w:val="Strong"/>
          <w:b w:val="0"/>
        </w:rPr>
        <w:t>Ikgadējais nacionālais SEG monitorings ietver:</w:t>
      </w:r>
    </w:p>
    <w:p w14:paraId="499DAB8A" w14:textId="51C4F5B9" w:rsidR="003346C4" w:rsidRPr="00E6086F" w:rsidRDefault="003346C4" w:rsidP="0086792D">
      <w:pPr>
        <w:pStyle w:val="NormalWeb"/>
        <w:numPr>
          <w:ilvl w:val="0"/>
          <w:numId w:val="3"/>
        </w:numPr>
        <w:spacing w:before="120" w:after="120"/>
        <w:ind w:left="284" w:hanging="284"/>
        <w:jc w:val="both"/>
      </w:pPr>
      <w:r w:rsidRPr="00E6086F">
        <w:t>SEG emisiju (oglekļa dioksīds (CO</w:t>
      </w:r>
      <w:r w:rsidRPr="00E6086F">
        <w:rPr>
          <w:vertAlign w:val="subscript"/>
        </w:rPr>
        <w:t>2</w:t>
      </w:r>
      <w:r w:rsidRPr="00E6086F">
        <w:t>); metāns (CH</w:t>
      </w:r>
      <w:r w:rsidRPr="00E6086F">
        <w:rPr>
          <w:vertAlign w:val="subscript"/>
        </w:rPr>
        <w:t>4</w:t>
      </w:r>
      <w:r w:rsidRPr="00E6086F">
        <w:t xml:space="preserve">), </w:t>
      </w:r>
      <w:proofErr w:type="spellStart"/>
      <w:r w:rsidRPr="00E6086F">
        <w:t>dislāpekļa</w:t>
      </w:r>
      <w:proofErr w:type="spellEnd"/>
      <w:r w:rsidRPr="00E6086F">
        <w:t xml:space="preserve"> oksīds (N</w:t>
      </w:r>
      <w:r w:rsidRPr="00E6086F">
        <w:rPr>
          <w:vertAlign w:val="subscript"/>
        </w:rPr>
        <w:t>2</w:t>
      </w:r>
      <w:r w:rsidRPr="00E6086F">
        <w:t xml:space="preserve">O), sēra </w:t>
      </w:r>
      <w:proofErr w:type="spellStart"/>
      <w:r w:rsidRPr="00E6086F">
        <w:t>heksafluorīds</w:t>
      </w:r>
      <w:proofErr w:type="spellEnd"/>
      <w:r w:rsidRPr="00E6086F">
        <w:t xml:space="preserve"> (SF</w:t>
      </w:r>
      <w:r w:rsidRPr="00E6086F">
        <w:rPr>
          <w:vertAlign w:val="subscript"/>
        </w:rPr>
        <w:t>6</w:t>
      </w:r>
      <w:r w:rsidRPr="00E6086F">
        <w:t xml:space="preserve">), slāpekļa </w:t>
      </w:r>
      <w:proofErr w:type="spellStart"/>
      <w:r w:rsidRPr="00E6086F">
        <w:t>trifluorīds</w:t>
      </w:r>
      <w:proofErr w:type="spellEnd"/>
      <w:r w:rsidRPr="00E6086F">
        <w:t xml:space="preserve"> (NF</w:t>
      </w:r>
      <w:r w:rsidRPr="00E6086F">
        <w:rPr>
          <w:vertAlign w:val="subscript"/>
        </w:rPr>
        <w:t>3</w:t>
      </w:r>
      <w:r w:rsidRPr="00E6086F">
        <w:t xml:space="preserve">), </w:t>
      </w:r>
      <w:proofErr w:type="spellStart"/>
      <w:r w:rsidRPr="00E6086F">
        <w:t>fluorogļūdeņraži</w:t>
      </w:r>
      <w:proofErr w:type="spellEnd"/>
      <w:r w:rsidRPr="00E6086F">
        <w:t xml:space="preserve"> (HFC) un </w:t>
      </w:r>
      <w:proofErr w:type="spellStart"/>
      <w:r w:rsidRPr="00E6086F">
        <w:t>perfluorogļūdeņraži</w:t>
      </w:r>
      <w:proofErr w:type="spellEnd"/>
      <w:r w:rsidRPr="00E6086F">
        <w:t xml:space="preserve"> (PFC)) un CO</w:t>
      </w:r>
      <w:r w:rsidRPr="00E6086F">
        <w:rPr>
          <w:vertAlign w:val="subscript"/>
        </w:rPr>
        <w:t>2</w:t>
      </w:r>
      <w:r w:rsidRPr="00E6086F">
        <w:t xml:space="preserve"> piesaistes aprēķinus, sākot no 1990.</w:t>
      </w:r>
      <w:r w:rsidR="00CC1CA0" w:rsidRPr="00E6086F">
        <w:t> </w:t>
      </w:r>
      <w:r w:rsidRPr="00E6086F">
        <w:t>gada</w:t>
      </w:r>
      <w:r w:rsidR="00377DFB" w:rsidRPr="00E6086F">
        <w:t>, k</w:t>
      </w:r>
      <w:r w:rsidR="00CC1CA0" w:rsidRPr="00E6086F">
        <w:t>as</w:t>
      </w:r>
      <w:r w:rsidR="00377DFB" w:rsidRPr="00E6086F">
        <w:t xml:space="preserve"> apkopoti kopējā ziņošanas formātā (</w:t>
      </w:r>
      <w:r w:rsidR="00D42490">
        <w:t xml:space="preserve">turpmāk </w:t>
      </w:r>
      <w:r w:rsidR="002403BE">
        <w:t xml:space="preserve">– </w:t>
      </w:r>
      <w:r w:rsidR="00377DFB" w:rsidRPr="00E6086F">
        <w:t>CRF)</w:t>
      </w:r>
      <w:r w:rsidRPr="00E6086F">
        <w:t>;</w:t>
      </w:r>
    </w:p>
    <w:p w14:paraId="40CA9CC8" w14:textId="064E9891" w:rsidR="003346C4" w:rsidRPr="005C652E" w:rsidRDefault="003346C4" w:rsidP="0086792D">
      <w:pPr>
        <w:pStyle w:val="NormalWeb"/>
        <w:numPr>
          <w:ilvl w:val="0"/>
          <w:numId w:val="3"/>
        </w:numPr>
        <w:spacing w:before="120" w:after="120"/>
        <w:ind w:left="284" w:hanging="284"/>
        <w:jc w:val="both"/>
      </w:pPr>
      <w:r w:rsidRPr="00E6086F">
        <w:t>SEG emisiju un CO</w:t>
      </w:r>
      <w:r w:rsidRPr="00E6086F">
        <w:rPr>
          <w:vertAlign w:val="subscript"/>
        </w:rPr>
        <w:t>2</w:t>
      </w:r>
      <w:r w:rsidRPr="00E6086F">
        <w:t xml:space="preserve"> piesaistes uzskaiti, sākot no 2008.</w:t>
      </w:r>
      <w:r w:rsidR="00CC1CA0" w:rsidRPr="00E6086F">
        <w:t> </w:t>
      </w:r>
      <w:r w:rsidRPr="00E6086F">
        <w:t>gada, par ZIZIMM aktivitātēm Kioto</w:t>
      </w:r>
      <w:r w:rsidRPr="005C652E">
        <w:t xml:space="preserve"> protokola 3.</w:t>
      </w:r>
      <w:r w:rsidR="00CC1CA0">
        <w:t> </w:t>
      </w:r>
      <w:r w:rsidRPr="005C652E">
        <w:t>panta 3. un 4.</w:t>
      </w:r>
      <w:r w:rsidR="00CC1CA0">
        <w:t> </w:t>
      </w:r>
      <w:r w:rsidRPr="005C652E">
        <w:t>punkta ietvaros</w:t>
      </w:r>
      <w:r w:rsidR="00377DFB" w:rsidRPr="005C652E">
        <w:t>, kuri apkopoti</w:t>
      </w:r>
      <w:r w:rsidR="002403BE">
        <w:t xml:space="preserve"> </w:t>
      </w:r>
      <w:r w:rsidR="00377DFB" w:rsidRPr="005C652E">
        <w:t>CRF</w:t>
      </w:r>
      <w:r w:rsidRPr="005C652E">
        <w:t>;</w:t>
      </w:r>
    </w:p>
    <w:p w14:paraId="37ED81B8" w14:textId="11CA6F9D" w:rsidR="00F64B4C" w:rsidRDefault="003346C4" w:rsidP="0086792D">
      <w:pPr>
        <w:pStyle w:val="NormalWeb"/>
        <w:numPr>
          <w:ilvl w:val="0"/>
          <w:numId w:val="3"/>
        </w:numPr>
        <w:spacing w:before="120" w:after="120"/>
        <w:ind w:left="284" w:hanging="284"/>
        <w:jc w:val="both"/>
      </w:pPr>
      <w:r w:rsidRPr="005C652E">
        <w:t>Nacionālā inventarizācijas ziņojuma</w:t>
      </w:r>
      <w:r w:rsidRPr="005C652E">
        <w:rPr>
          <w:rStyle w:val="FootnoteReference"/>
        </w:rPr>
        <w:footnoteReference w:id="12"/>
      </w:r>
      <w:r w:rsidRPr="005C652E">
        <w:t xml:space="preserve"> sagatavošanu</w:t>
      </w:r>
      <w:r w:rsidR="00C05840">
        <w:t>;</w:t>
      </w:r>
    </w:p>
    <w:p w14:paraId="2D963A40" w14:textId="7DB2DF3A" w:rsidR="003346C4" w:rsidRPr="005C652E" w:rsidRDefault="00F64B4C" w:rsidP="0086792D">
      <w:pPr>
        <w:pStyle w:val="NormalWeb"/>
        <w:numPr>
          <w:ilvl w:val="0"/>
          <w:numId w:val="3"/>
        </w:numPr>
        <w:spacing w:before="120" w:after="120"/>
        <w:ind w:left="284" w:hanging="284"/>
        <w:jc w:val="both"/>
      </w:pPr>
      <w:r>
        <w:t>u.c. Regul</w:t>
      </w:r>
      <w:r w:rsidR="00412305">
        <w:t>as</w:t>
      </w:r>
      <w:r>
        <w:t xml:space="preserve"> Nr. 525/2013 </w:t>
      </w:r>
      <w:r w:rsidR="00412305">
        <w:t xml:space="preserve">7. un 8.  pantā </w:t>
      </w:r>
      <w:r>
        <w:t>noteikto informāciju</w:t>
      </w:r>
      <w:r w:rsidR="003346C4" w:rsidRPr="005C652E">
        <w:t>.</w:t>
      </w:r>
    </w:p>
    <w:p w14:paraId="77456AE2" w14:textId="77777777" w:rsidR="003346C4" w:rsidRPr="005C652E" w:rsidRDefault="003346C4" w:rsidP="00E5037F">
      <w:pPr>
        <w:pStyle w:val="NormalWeb"/>
        <w:spacing w:before="120" w:after="120"/>
        <w:ind w:left="170" w:hanging="170"/>
        <w:jc w:val="both"/>
        <w:rPr>
          <w:b/>
        </w:rPr>
      </w:pPr>
      <w:r w:rsidRPr="005C652E">
        <w:rPr>
          <w:rStyle w:val="Strong"/>
          <w:b w:val="0"/>
        </w:rPr>
        <w:t>Lai aprēķinātu SEG emisijas un CO</w:t>
      </w:r>
      <w:r w:rsidRPr="005C652E">
        <w:rPr>
          <w:rStyle w:val="Strong"/>
          <w:b w:val="0"/>
          <w:vertAlign w:val="subscript"/>
        </w:rPr>
        <w:t>2</w:t>
      </w:r>
      <w:r w:rsidRPr="005C652E">
        <w:rPr>
          <w:rStyle w:val="Strong"/>
          <w:b w:val="0"/>
        </w:rPr>
        <w:t xml:space="preserve"> piesaisti, tiek izmantotas:</w:t>
      </w:r>
    </w:p>
    <w:p w14:paraId="3D2264CD" w14:textId="430109C6" w:rsidR="003346C4" w:rsidRPr="005C652E" w:rsidRDefault="003346C4" w:rsidP="0086792D">
      <w:pPr>
        <w:pStyle w:val="NormalWeb"/>
        <w:numPr>
          <w:ilvl w:val="0"/>
          <w:numId w:val="4"/>
        </w:numPr>
        <w:spacing w:before="120" w:after="120"/>
        <w:ind w:left="284" w:hanging="284"/>
        <w:jc w:val="both"/>
      </w:pPr>
      <w:r w:rsidRPr="005C652E">
        <w:t>Klimata pārmaiņu starpvaldību padomes (</w:t>
      </w:r>
      <w:r w:rsidR="00110BD3">
        <w:t xml:space="preserve">turpmāk - </w:t>
      </w:r>
      <w:r w:rsidRPr="005C652E">
        <w:t xml:space="preserve">IPCC) izstrādātās metodoloģijas, kuras apstiprinātas </w:t>
      </w:r>
      <w:r w:rsidR="00B726EB">
        <w:t>Klimata k</w:t>
      </w:r>
      <w:r w:rsidR="00CC74C4" w:rsidRPr="005C652E">
        <w:t>onvencijas un tās Kioto protokola l</w:t>
      </w:r>
      <w:r w:rsidRPr="005C652E">
        <w:t>īgumslēdzēju pušu konferencēs</w:t>
      </w:r>
      <w:r w:rsidR="00153116" w:rsidRPr="005C652E">
        <w:rPr>
          <w:rStyle w:val="FootnoteReference"/>
        </w:rPr>
        <w:footnoteReference w:id="13"/>
      </w:r>
      <w:r w:rsidRPr="005C652E">
        <w:t>;</w:t>
      </w:r>
    </w:p>
    <w:p w14:paraId="6B81DA52" w14:textId="6DC88D58" w:rsidR="003346C4" w:rsidRPr="005C652E" w:rsidRDefault="00B726EB" w:rsidP="0086792D">
      <w:pPr>
        <w:pStyle w:val="NormalWeb"/>
        <w:numPr>
          <w:ilvl w:val="0"/>
          <w:numId w:val="4"/>
        </w:numPr>
        <w:spacing w:before="120" w:after="120"/>
        <w:ind w:left="284" w:hanging="284"/>
        <w:jc w:val="both"/>
      </w:pPr>
      <w:r>
        <w:t xml:space="preserve">1972. gada </w:t>
      </w:r>
      <w:r w:rsidR="003346C4" w:rsidRPr="005C652E">
        <w:t xml:space="preserve">Ženēvas konvencijas par </w:t>
      </w:r>
      <w:proofErr w:type="spellStart"/>
      <w:r w:rsidR="003346C4" w:rsidRPr="005C652E">
        <w:t>robežšķērsojošo</w:t>
      </w:r>
      <w:proofErr w:type="spellEnd"/>
      <w:r w:rsidR="003346C4" w:rsidRPr="005C652E">
        <w:t xml:space="preserve"> gaisa piesārņošanu lielos attālumos Atmosfēras emisiju inventarizācijas vadlīnijas</w:t>
      </w:r>
      <w:r w:rsidR="000E57F2">
        <w:rPr>
          <w:rStyle w:val="FootnoteReference"/>
        </w:rPr>
        <w:footnoteReference w:id="14"/>
      </w:r>
      <w:r w:rsidR="003346C4" w:rsidRPr="005C652E">
        <w:t>.</w:t>
      </w:r>
    </w:p>
    <w:p w14:paraId="6FA1716D" w14:textId="7744A3CA" w:rsidR="003346C4" w:rsidRDefault="00C05840" w:rsidP="00E5037F">
      <w:pPr>
        <w:pStyle w:val="NormalWeb"/>
        <w:spacing w:before="120" w:after="120"/>
        <w:ind w:firstLine="567"/>
        <w:jc w:val="both"/>
      </w:pPr>
      <w:r>
        <w:t>Ikgadēji tiek sagatavota SEG inventarizācija par periodu no 1990.</w:t>
      </w:r>
      <w:r w:rsidR="002403BE">
        <w:t> </w:t>
      </w:r>
      <w:r>
        <w:t>gada līdz x-2 gadam, kur x ir gads, kad SEG inventarizācija</w:t>
      </w:r>
      <w:r w:rsidR="004C307A">
        <w:t xml:space="preserve"> tiek iesniegta EK</w:t>
      </w:r>
      <w:r>
        <w:t xml:space="preserve"> un </w:t>
      </w:r>
      <w:r w:rsidR="00B726EB">
        <w:t>Klimata k</w:t>
      </w:r>
      <w:r>
        <w:t xml:space="preserve">onvencijas sekretariātā. </w:t>
      </w:r>
      <w:r w:rsidR="0088657D">
        <w:t xml:space="preserve">Minētā </w:t>
      </w:r>
      <w:r>
        <w:t>inventarizācija tiek sagatavota, izmantojot precīzāk</w:t>
      </w:r>
      <w:r w:rsidR="00892DC0">
        <w:t>o</w:t>
      </w:r>
      <w:r>
        <w:t>s un jaunāk</w:t>
      </w:r>
      <w:r w:rsidR="00892DC0">
        <w:t>o</w:t>
      </w:r>
      <w:r>
        <w:t>s statistikas datus</w:t>
      </w:r>
      <w:r w:rsidR="00892DC0">
        <w:t xml:space="preserve"> visās norādītajās kategorijās</w:t>
      </w:r>
      <w:r>
        <w:t xml:space="preserve">. </w:t>
      </w:r>
      <w:r w:rsidR="00153116" w:rsidRPr="005C652E">
        <w:t>Katru gadu</w:t>
      </w:r>
      <w:r w:rsidR="00CC1CA0">
        <w:t>,</w:t>
      </w:r>
      <w:r w:rsidR="005A5FBD" w:rsidRPr="005C652E">
        <w:t xml:space="preserve"> </w:t>
      </w:r>
      <w:r w:rsidR="00153116" w:rsidRPr="005C652E">
        <w:t>sagatavojot SEG inventarizāciju</w:t>
      </w:r>
      <w:r w:rsidR="00CC1CA0">
        <w:t>,</w:t>
      </w:r>
      <w:r w:rsidR="00153116" w:rsidRPr="005C652E">
        <w:t xml:space="preserve"> tiek veiktas </w:t>
      </w:r>
      <w:r w:rsidR="004C307A">
        <w:t xml:space="preserve">arī </w:t>
      </w:r>
      <w:r w:rsidR="005A5FBD" w:rsidRPr="005C652E">
        <w:t>kvalitātes kontrole</w:t>
      </w:r>
      <w:r w:rsidR="00153116" w:rsidRPr="005C652E">
        <w:t xml:space="preserve">s un kvalitātes nodrošināšanas procedūras saskaņā ar IPCC metodoloģijām. SEG inventarizācija tiek </w:t>
      </w:r>
      <w:r w:rsidR="005A5FBD" w:rsidRPr="005C652E">
        <w:t xml:space="preserve">pārbaudīta nacionāli, </w:t>
      </w:r>
      <w:r w:rsidR="00483E3B">
        <w:t>ES</w:t>
      </w:r>
      <w:r w:rsidR="00BA7020" w:rsidRPr="005C652E">
        <w:t xml:space="preserve"> ietvaros (pārbaudi veic Eiropas Vides aģentūra)</w:t>
      </w:r>
      <w:r w:rsidR="00BA7020">
        <w:t xml:space="preserve"> un </w:t>
      </w:r>
      <w:r w:rsidR="005A5FBD" w:rsidRPr="005C652E">
        <w:t>starptautiski</w:t>
      </w:r>
      <w:r w:rsidR="00377DFB" w:rsidRPr="005C652E">
        <w:t xml:space="preserve"> saskaņā ar </w:t>
      </w:r>
      <w:r w:rsidR="007121AC">
        <w:t>K</w:t>
      </w:r>
      <w:r w:rsidR="00B726EB">
        <w:t>limata k</w:t>
      </w:r>
      <w:r w:rsidR="007121AC">
        <w:t xml:space="preserve">onvencijas </w:t>
      </w:r>
      <w:r w:rsidR="007121AC" w:rsidRPr="007121AC">
        <w:t>un tās Kioto protokola līgumslēdzēju pušu konferencēs</w:t>
      </w:r>
      <w:r w:rsidR="00377DFB" w:rsidRPr="005C652E">
        <w:t xml:space="preserve"> apstiprinātām pārbaudes vadlīnijām.</w:t>
      </w:r>
      <w:r w:rsidR="00BA7020">
        <w:t xml:space="preserve"> </w:t>
      </w:r>
      <w:r w:rsidR="00F64426">
        <w:t xml:space="preserve">Turklāt </w:t>
      </w:r>
      <w:r w:rsidR="00483E3B">
        <w:t>ES</w:t>
      </w:r>
      <w:r w:rsidR="00BA7020">
        <w:t xml:space="preserve"> pēc SEG inventarizācijas pārbaudes veikšanas apstiprina ne-ETS darbību SEG emisiju apjomu, attiecībā uz kuru Latvijai ir jānodrošina Saistību pārdales lēmumā noteiktā izpilde.</w:t>
      </w:r>
    </w:p>
    <w:p w14:paraId="1F894355" w14:textId="52692C9A" w:rsidR="00C05840" w:rsidRPr="005C652E" w:rsidRDefault="00C05840" w:rsidP="00E5037F">
      <w:pPr>
        <w:pStyle w:val="NormalWeb"/>
        <w:spacing w:before="120" w:after="120"/>
        <w:ind w:firstLine="567"/>
        <w:jc w:val="both"/>
      </w:pPr>
      <w:r>
        <w:t xml:space="preserve">Ikgadēji ES ietvaros dalībvalstis sagatavo </w:t>
      </w:r>
      <w:r w:rsidR="004C307A">
        <w:t xml:space="preserve">arī </w:t>
      </w:r>
      <w:r>
        <w:t xml:space="preserve">aptuveno SEG inventarizāciju </w:t>
      </w:r>
      <w:r w:rsidR="00D052C7">
        <w:t xml:space="preserve">(bez ZIZIMM sektora) </w:t>
      </w:r>
      <w:r>
        <w:t>par iepriekšējo kalendāro gadu</w:t>
      </w:r>
      <w:r w:rsidR="00892DC0">
        <w:t xml:space="preserve"> tajā iekļaujot pēc iespējas precīzākus statistikas datus, bet sektoros </w:t>
      </w:r>
      <w:r w:rsidR="009A6AA3">
        <w:t xml:space="preserve">un </w:t>
      </w:r>
      <w:proofErr w:type="spellStart"/>
      <w:r w:rsidR="00892DC0" w:rsidRPr="00892DC0">
        <w:t>apakšsektoros</w:t>
      </w:r>
      <w:proofErr w:type="spellEnd"/>
      <w:r w:rsidR="00892DC0" w:rsidRPr="00892DC0">
        <w:t xml:space="preserve">, kuros dati emisiju aprēķiniem </w:t>
      </w:r>
      <w:r w:rsidR="00892DC0">
        <w:t>uz aptuvenās SEG inventarizācijas sagatavošanas brīdi vēl nav pieejami, tiek</w:t>
      </w:r>
      <w:r w:rsidR="00892DC0" w:rsidRPr="00892DC0">
        <w:t xml:space="preserve"> veikta ekstrapolācija vai atstāts iepriekšējā gada emisiju rādītājs.</w:t>
      </w:r>
    </w:p>
    <w:p w14:paraId="6FE8DA89" w14:textId="49F778D5" w:rsidR="003346C4" w:rsidRPr="005C652E" w:rsidRDefault="003346C4" w:rsidP="00E5037F">
      <w:pPr>
        <w:pStyle w:val="Heading2"/>
      </w:pPr>
      <w:bookmarkStart w:id="5" w:name="_Toc9326563"/>
      <w:r w:rsidRPr="005C652E">
        <w:t xml:space="preserve">SEG emisiju samazināšanas un </w:t>
      </w:r>
      <w:r w:rsidR="004C307A">
        <w:t xml:space="preserve">ZIZIMM </w:t>
      </w:r>
      <w:r w:rsidR="00AD0CCD">
        <w:t xml:space="preserve">sektorā </w:t>
      </w:r>
      <w:r w:rsidR="004C307A">
        <w:t>noteiktu kategoriju</w:t>
      </w:r>
      <w:r w:rsidR="00BA7020" w:rsidRPr="00BA7020">
        <w:t xml:space="preserve"> </w:t>
      </w:r>
      <w:r w:rsidRPr="005C652E">
        <w:t>mērķu izpildes nākotnes prognožu sagatavošanas metodoloģija</w:t>
      </w:r>
      <w:bookmarkEnd w:id="5"/>
    </w:p>
    <w:p w14:paraId="0CFE42BE" w14:textId="66DE595A" w:rsidR="0039350A" w:rsidRPr="00CB3E4B" w:rsidRDefault="007E5ACD" w:rsidP="007E5ACD">
      <w:pPr>
        <w:spacing w:before="120" w:after="120" w:line="240" w:lineRule="auto"/>
        <w:ind w:firstLine="360"/>
        <w:jc w:val="both"/>
        <w:rPr>
          <w:rFonts w:ascii="Times New Roman" w:hAnsi="Times New Roman"/>
          <w:sz w:val="24"/>
          <w:szCs w:val="24"/>
        </w:rPr>
      </w:pPr>
      <w:r w:rsidRPr="004C307A">
        <w:rPr>
          <w:rFonts w:ascii="Times New Roman" w:hAnsi="Times New Roman"/>
          <w:sz w:val="24"/>
          <w:szCs w:val="24"/>
        </w:rPr>
        <w:t xml:space="preserve">Latvijas SEG emisiju samazināšanas un </w:t>
      </w:r>
      <w:r w:rsidR="004C307A">
        <w:rPr>
          <w:rFonts w:ascii="Times New Roman" w:hAnsi="Times New Roman"/>
          <w:sz w:val="24"/>
          <w:szCs w:val="24"/>
        </w:rPr>
        <w:t xml:space="preserve">ZIZIMM </w:t>
      </w:r>
      <w:r w:rsidR="00D052C7">
        <w:rPr>
          <w:rFonts w:ascii="Times New Roman" w:hAnsi="Times New Roman"/>
          <w:sz w:val="24"/>
          <w:szCs w:val="24"/>
        </w:rPr>
        <w:t xml:space="preserve">sektorā </w:t>
      </w:r>
      <w:r w:rsidR="004C307A">
        <w:rPr>
          <w:rFonts w:ascii="Times New Roman" w:hAnsi="Times New Roman"/>
          <w:sz w:val="24"/>
          <w:szCs w:val="24"/>
        </w:rPr>
        <w:t>noteiktu kategoriju</w:t>
      </w:r>
      <w:r w:rsidRPr="004C307A">
        <w:rPr>
          <w:rFonts w:ascii="Times New Roman" w:hAnsi="Times New Roman"/>
          <w:sz w:val="24"/>
          <w:szCs w:val="24"/>
        </w:rPr>
        <w:t xml:space="preserve"> izpildes novērtējums ir sagatavots, balstoties uz </w:t>
      </w:r>
      <w:r w:rsidR="004167AA" w:rsidRPr="00290BCF">
        <w:rPr>
          <w:rFonts w:ascii="Times New Roman" w:hAnsi="Times New Roman"/>
          <w:sz w:val="24"/>
          <w:szCs w:val="24"/>
        </w:rPr>
        <w:t xml:space="preserve">2017. gadā Eiropas Komisijā iesniegtā ziņojuma par SEG </w:t>
      </w:r>
      <w:r w:rsidR="004167AA" w:rsidRPr="00290BCF">
        <w:rPr>
          <w:rFonts w:ascii="Times New Roman" w:hAnsi="Times New Roman"/>
          <w:sz w:val="24"/>
          <w:szCs w:val="24"/>
        </w:rPr>
        <w:lastRenderedPageBreak/>
        <w:t>prognozēm, politiku un pasākumiem</w:t>
      </w:r>
      <w:r w:rsidR="00CA3A2F" w:rsidRPr="00CB3E4B">
        <w:rPr>
          <w:rStyle w:val="FootnoteReference"/>
          <w:rFonts w:ascii="Times New Roman" w:hAnsi="Times New Roman"/>
          <w:sz w:val="24"/>
          <w:szCs w:val="24"/>
        </w:rPr>
        <w:footnoteReference w:id="15"/>
      </w:r>
      <w:r w:rsidR="00D052C7" w:rsidRPr="00CB3E4B">
        <w:rPr>
          <w:rFonts w:ascii="Times New Roman" w:hAnsi="Times New Roman"/>
          <w:sz w:val="24"/>
          <w:szCs w:val="24"/>
        </w:rPr>
        <w:t xml:space="preserve">, kā arī </w:t>
      </w:r>
      <w:r w:rsidR="004C307A" w:rsidRPr="00CB3E4B">
        <w:rPr>
          <w:rFonts w:ascii="Times New Roman" w:hAnsi="Times New Roman"/>
          <w:sz w:val="24"/>
          <w:szCs w:val="24"/>
        </w:rPr>
        <w:t xml:space="preserve">LVMI “Silava” </w:t>
      </w:r>
      <w:r w:rsidR="00677125" w:rsidRPr="00CB3E4B">
        <w:rPr>
          <w:rFonts w:ascii="Times New Roman" w:hAnsi="Times New Roman"/>
          <w:sz w:val="24"/>
          <w:szCs w:val="24"/>
        </w:rPr>
        <w:t>sagatavot</w:t>
      </w:r>
      <w:r w:rsidR="00677125">
        <w:rPr>
          <w:rFonts w:ascii="Times New Roman" w:hAnsi="Times New Roman"/>
          <w:sz w:val="24"/>
          <w:szCs w:val="24"/>
        </w:rPr>
        <w:t>ajiem</w:t>
      </w:r>
      <w:r w:rsidR="00677125" w:rsidRPr="00CB3E4B">
        <w:rPr>
          <w:rFonts w:ascii="Times New Roman" w:hAnsi="Times New Roman"/>
          <w:sz w:val="24"/>
          <w:szCs w:val="24"/>
        </w:rPr>
        <w:t xml:space="preserve"> provizorisk</w:t>
      </w:r>
      <w:r w:rsidR="00677125">
        <w:rPr>
          <w:rFonts w:ascii="Times New Roman" w:hAnsi="Times New Roman"/>
          <w:sz w:val="24"/>
          <w:szCs w:val="24"/>
        </w:rPr>
        <w:t>ajiem</w:t>
      </w:r>
      <w:r w:rsidR="00677125" w:rsidRPr="00CB3E4B">
        <w:rPr>
          <w:rFonts w:ascii="Times New Roman" w:hAnsi="Times New Roman"/>
          <w:sz w:val="24"/>
          <w:szCs w:val="24"/>
        </w:rPr>
        <w:t xml:space="preserve"> </w:t>
      </w:r>
      <w:r w:rsidR="00677125">
        <w:rPr>
          <w:rFonts w:ascii="Times New Roman" w:hAnsi="Times New Roman"/>
          <w:sz w:val="24"/>
          <w:szCs w:val="24"/>
        </w:rPr>
        <w:t>aprēķiniem</w:t>
      </w:r>
      <w:r w:rsidR="00677125" w:rsidRPr="00CB3E4B">
        <w:rPr>
          <w:rFonts w:ascii="Times New Roman" w:hAnsi="Times New Roman"/>
          <w:sz w:val="24"/>
          <w:szCs w:val="24"/>
        </w:rPr>
        <w:t xml:space="preserve"> </w:t>
      </w:r>
      <w:r w:rsidR="004C307A" w:rsidRPr="00CB3E4B">
        <w:rPr>
          <w:rFonts w:ascii="Times New Roman" w:hAnsi="Times New Roman"/>
          <w:sz w:val="24"/>
          <w:szCs w:val="24"/>
        </w:rPr>
        <w:t xml:space="preserve">par ZIZIMM </w:t>
      </w:r>
      <w:r w:rsidR="00D052C7" w:rsidRPr="00CB3E4B">
        <w:rPr>
          <w:rFonts w:ascii="Times New Roman" w:hAnsi="Times New Roman"/>
          <w:sz w:val="24"/>
          <w:szCs w:val="24"/>
        </w:rPr>
        <w:t xml:space="preserve">sektorā </w:t>
      </w:r>
      <w:r w:rsidR="004C307A" w:rsidRPr="00CB3E4B">
        <w:rPr>
          <w:rFonts w:ascii="Times New Roman" w:hAnsi="Times New Roman"/>
          <w:sz w:val="24"/>
          <w:szCs w:val="24"/>
        </w:rPr>
        <w:t>noteikto kategoriju mērķu izpildi.</w:t>
      </w:r>
    </w:p>
    <w:p w14:paraId="480FE650" w14:textId="2F96225C" w:rsidR="007E5ACD" w:rsidRPr="00CB3E4B" w:rsidRDefault="0039350A" w:rsidP="007E5ACD">
      <w:pPr>
        <w:spacing w:before="120" w:after="120" w:line="240" w:lineRule="auto"/>
        <w:ind w:firstLine="360"/>
        <w:jc w:val="both"/>
        <w:rPr>
          <w:rFonts w:ascii="Times New Roman" w:hAnsi="Times New Roman"/>
          <w:sz w:val="24"/>
          <w:szCs w:val="24"/>
        </w:rPr>
      </w:pPr>
      <w:r w:rsidRPr="00CB3E4B">
        <w:rPr>
          <w:rFonts w:ascii="Times New Roman" w:hAnsi="Times New Roman"/>
          <w:sz w:val="24"/>
          <w:szCs w:val="24"/>
        </w:rPr>
        <w:t xml:space="preserve">Latvijā </w:t>
      </w:r>
      <w:r w:rsidR="004C307A" w:rsidRPr="00CB3E4B">
        <w:rPr>
          <w:rFonts w:ascii="Times New Roman" w:hAnsi="Times New Roman"/>
          <w:sz w:val="24"/>
          <w:szCs w:val="24"/>
        </w:rPr>
        <w:t xml:space="preserve">SEG </w:t>
      </w:r>
      <w:r w:rsidRPr="00CB3E4B">
        <w:rPr>
          <w:rFonts w:ascii="Times New Roman" w:hAnsi="Times New Roman"/>
          <w:sz w:val="24"/>
          <w:szCs w:val="24"/>
        </w:rPr>
        <w:t>p</w:t>
      </w:r>
      <w:r w:rsidR="007E5ACD" w:rsidRPr="00CB3E4B">
        <w:rPr>
          <w:rFonts w:ascii="Times New Roman" w:hAnsi="Times New Roman"/>
          <w:sz w:val="24"/>
          <w:szCs w:val="24"/>
        </w:rPr>
        <w:t xml:space="preserve">rognožu </w:t>
      </w:r>
      <w:r w:rsidR="004C307A" w:rsidRPr="00CB3E4B">
        <w:rPr>
          <w:rFonts w:ascii="Times New Roman" w:hAnsi="Times New Roman"/>
          <w:sz w:val="24"/>
          <w:szCs w:val="24"/>
        </w:rPr>
        <w:t>sa</w:t>
      </w:r>
      <w:r w:rsidR="007E5ACD" w:rsidRPr="00CB3E4B">
        <w:rPr>
          <w:rFonts w:ascii="Times New Roman" w:hAnsi="Times New Roman"/>
          <w:sz w:val="24"/>
          <w:szCs w:val="24"/>
        </w:rPr>
        <w:t xml:space="preserve">gatavošanu koordinē VARAM, sadarbojoties ar Ekonomikas ministriju, Zemkopības ministriju un Satiksmes ministriju, kā arī institūcijām, kas ir iesaistītas arī SEG inventarizācijas sagatavošanā. </w:t>
      </w:r>
      <w:r w:rsidR="004C307A" w:rsidRPr="00CB3E4B">
        <w:rPr>
          <w:rFonts w:ascii="Times New Roman" w:hAnsi="Times New Roman"/>
          <w:sz w:val="24"/>
          <w:szCs w:val="24"/>
        </w:rPr>
        <w:t>SEG p</w:t>
      </w:r>
      <w:r w:rsidR="007E5ACD" w:rsidRPr="00CB3E4B">
        <w:rPr>
          <w:rFonts w:ascii="Times New Roman" w:hAnsi="Times New Roman"/>
          <w:sz w:val="24"/>
          <w:szCs w:val="24"/>
        </w:rPr>
        <w:t xml:space="preserve">rognozes </w:t>
      </w:r>
      <w:r w:rsidR="007E5ACD" w:rsidRPr="00486DCF">
        <w:rPr>
          <w:rFonts w:ascii="Times New Roman" w:hAnsi="Times New Roman"/>
          <w:sz w:val="24"/>
          <w:szCs w:val="24"/>
        </w:rPr>
        <w:t xml:space="preserve">tiek </w:t>
      </w:r>
      <w:r w:rsidR="004C307A" w:rsidRPr="00486DCF">
        <w:rPr>
          <w:rFonts w:ascii="Times New Roman" w:hAnsi="Times New Roman"/>
          <w:sz w:val="24"/>
          <w:szCs w:val="24"/>
        </w:rPr>
        <w:t>sa</w:t>
      </w:r>
      <w:r w:rsidR="007E5ACD" w:rsidRPr="00486DCF">
        <w:rPr>
          <w:rFonts w:ascii="Times New Roman" w:hAnsi="Times New Roman"/>
          <w:sz w:val="24"/>
          <w:szCs w:val="24"/>
        </w:rPr>
        <w:t xml:space="preserve">gatavotas saskaņā ar </w:t>
      </w:r>
      <w:r w:rsidR="000E57F2" w:rsidRPr="00486DCF">
        <w:rPr>
          <w:rFonts w:ascii="Times New Roman" w:hAnsi="Times New Roman"/>
          <w:sz w:val="24"/>
          <w:szCs w:val="24"/>
        </w:rPr>
        <w:t>Klimata</w:t>
      </w:r>
      <w:r w:rsidR="000E57F2">
        <w:rPr>
          <w:rFonts w:ascii="Times New Roman" w:hAnsi="Times New Roman"/>
          <w:sz w:val="24"/>
          <w:szCs w:val="24"/>
        </w:rPr>
        <w:t xml:space="preserve"> konvencijas Līgumslēdzēju pušu </w:t>
      </w:r>
      <w:r w:rsidR="00486DCF">
        <w:rPr>
          <w:rFonts w:ascii="Times New Roman" w:hAnsi="Times New Roman"/>
          <w:sz w:val="24"/>
          <w:szCs w:val="24"/>
        </w:rPr>
        <w:t xml:space="preserve">lēmumiem 2/CP.17, 19/CP.18 (Klimata konvencijas divgadu ziņojumu sagatavošanas vadlīnijas attīstības valstīm) </w:t>
      </w:r>
      <w:r w:rsidR="007E5ACD" w:rsidRPr="00CB3E4B">
        <w:rPr>
          <w:rFonts w:ascii="Times New Roman" w:hAnsi="Times New Roman"/>
          <w:sz w:val="24"/>
          <w:szCs w:val="24"/>
        </w:rPr>
        <w:t>Regulu Nr.</w:t>
      </w:r>
      <w:r w:rsidR="007D0F45">
        <w:rPr>
          <w:rFonts w:ascii="Times New Roman" w:hAnsi="Times New Roman"/>
          <w:sz w:val="24"/>
          <w:szCs w:val="24"/>
        </w:rPr>
        <w:t> </w:t>
      </w:r>
      <w:r w:rsidR="007E5ACD" w:rsidRPr="00CB3E4B">
        <w:rPr>
          <w:rFonts w:ascii="Times New Roman" w:hAnsi="Times New Roman"/>
          <w:sz w:val="24"/>
          <w:szCs w:val="24"/>
        </w:rPr>
        <w:t>525/2013 un Vides politikas pamatnostādņu 2014.-2020</w:t>
      </w:r>
      <w:r w:rsidR="00D80171" w:rsidRPr="00CB3E4B">
        <w:rPr>
          <w:rFonts w:ascii="Times New Roman" w:hAnsi="Times New Roman"/>
          <w:sz w:val="24"/>
          <w:szCs w:val="24"/>
        </w:rPr>
        <w:t>.</w:t>
      </w:r>
      <w:r w:rsidR="00D80171">
        <w:rPr>
          <w:rFonts w:ascii="Times New Roman" w:hAnsi="Times New Roman"/>
          <w:sz w:val="24"/>
          <w:szCs w:val="24"/>
        </w:rPr>
        <w:t> </w:t>
      </w:r>
      <w:r w:rsidR="007E5ACD" w:rsidRPr="00CB3E4B">
        <w:rPr>
          <w:rFonts w:ascii="Times New Roman" w:hAnsi="Times New Roman"/>
          <w:sz w:val="24"/>
          <w:szCs w:val="24"/>
        </w:rPr>
        <w:t>gadam Vides monitoringa programmu 2015.-2020. gadam.</w:t>
      </w:r>
    </w:p>
    <w:p w14:paraId="25036919" w14:textId="06A31578" w:rsidR="007E5ACD" w:rsidRPr="00CB3E4B" w:rsidRDefault="004C307A" w:rsidP="007E5ACD">
      <w:pPr>
        <w:spacing w:before="120" w:after="120" w:line="240" w:lineRule="auto"/>
        <w:ind w:firstLine="360"/>
        <w:jc w:val="both"/>
        <w:rPr>
          <w:rFonts w:ascii="Times New Roman" w:hAnsi="Times New Roman"/>
          <w:sz w:val="24"/>
          <w:szCs w:val="24"/>
        </w:rPr>
      </w:pPr>
      <w:r w:rsidRPr="00CB3E4B">
        <w:rPr>
          <w:rFonts w:ascii="Times New Roman" w:hAnsi="Times New Roman"/>
          <w:sz w:val="24"/>
          <w:szCs w:val="24"/>
        </w:rPr>
        <w:t>Prognozes tiek sa</w:t>
      </w:r>
      <w:r w:rsidR="007E5ACD" w:rsidRPr="00CB3E4B">
        <w:rPr>
          <w:rFonts w:ascii="Times New Roman" w:hAnsi="Times New Roman"/>
          <w:sz w:val="24"/>
          <w:szCs w:val="24"/>
        </w:rPr>
        <w:t>gatavo</w:t>
      </w:r>
      <w:r w:rsidRPr="00CB3E4B">
        <w:rPr>
          <w:rFonts w:ascii="Times New Roman" w:hAnsi="Times New Roman"/>
          <w:sz w:val="24"/>
          <w:szCs w:val="24"/>
        </w:rPr>
        <w:t>tas</w:t>
      </w:r>
      <w:r w:rsidR="007E5ACD" w:rsidRPr="00CB3E4B">
        <w:rPr>
          <w:rFonts w:ascii="Times New Roman" w:hAnsi="Times New Roman"/>
          <w:sz w:val="24"/>
          <w:szCs w:val="24"/>
        </w:rPr>
        <w:t xml:space="preserve"> šādiem diviem iespējamiem scenārijiem:</w:t>
      </w:r>
    </w:p>
    <w:p w14:paraId="0EE3BC5A" w14:textId="2F348C2F" w:rsidR="007E5ACD" w:rsidRPr="00CB3E4B" w:rsidRDefault="007E5ACD" w:rsidP="007E5ACD">
      <w:pPr>
        <w:spacing w:before="120" w:after="120" w:line="240" w:lineRule="auto"/>
        <w:ind w:firstLine="360"/>
        <w:jc w:val="both"/>
        <w:rPr>
          <w:rFonts w:ascii="Times New Roman" w:hAnsi="Times New Roman"/>
          <w:sz w:val="24"/>
          <w:szCs w:val="24"/>
        </w:rPr>
      </w:pPr>
      <w:r w:rsidRPr="00CB3E4B">
        <w:rPr>
          <w:rFonts w:ascii="Times New Roman" w:hAnsi="Times New Roman"/>
          <w:sz w:val="24"/>
          <w:szCs w:val="24"/>
        </w:rPr>
        <w:t>•</w:t>
      </w:r>
      <w:r w:rsidRPr="00CB3E4B">
        <w:rPr>
          <w:rFonts w:ascii="Times New Roman" w:hAnsi="Times New Roman"/>
          <w:sz w:val="24"/>
          <w:szCs w:val="24"/>
        </w:rPr>
        <w:tab/>
      </w:r>
      <w:r w:rsidR="00D052C7" w:rsidRPr="00CB3E4B">
        <w:rPr>
          <w:rFonts w:ascii="Times New Roman" w:hAnsi="Times New Roman"/>
          <w:sz w:val="24"/>
          <w:szCs w:val="24"/>
        </w:rPr>
        <w:t xml:space="preserve">ar esošiem pasākumiem </w:t>
      </w:r>
      <w:r w:rsidRPr="00CB3E4B">
        <w:rPr>
          <w:rFonts w:ascii="Times New Roman" w:hAnsi="Times New Roman"/>
          <w:sz w:val="24"/>
          <w:szCs w:val="24"/>
        </w:rPr>
        <w:t>WEM (</w:t>
      </w:r>
      <w:proofErr w:type="spellStart"/>
      <w:r w:rsidRPr="00CB3E4B">
        <w:rPr>
          <w:rFonts w:ascii="Times New Roman" w:hAnsi="Times New Roman"/>
          <w:i/>
          <w:sz w:val="24"/>
          <w:szCs w:val="24"/>
        </w:rPr>
        <w:t>with</w:t>
      </w:r>
      <w:proofErr w:type="spellEnd"/>
      <w:r w:rsidRPr="00CB3E4B">
        <w:rPr>
          <w:rFonts w:ascii="Times New Roman" w:hAnsi="Times New Roman"/>
          <w:i/>
          <w:sz w:val="24"/>
          <w:szCs w:val="24"/>
        </w:rPr>
        <w:t xml:space="preserve"> </w:t>
      </w:r>
      <w:proofErr w:type="spellStart"/>
      <w:r w:rsidRPr="00CB3E4B">
        <w:rPr>
          <w:rFonts w:ascii="Times New Roman" w:hAnsi="Times New Roman"/>
          <w:i/>
          <w:sz w:val="24"/>
          <w:szCs w:val="24"/>
        </w:rPr>
        <w:t>existing</w:t>
      </w:r>
      <w:proofErr w:type="spellEnd"/>
      <w:r w:rsidRPr="00CB3E4B">
        <w:rPr>
          <w:rFonts w:ascii="Times New Roman" w:hAnsi="Times New Roman"/>
          <w:i/>
          <w:sz w:val="24"/>
          <w:szCs w:val="24"/>
        </w:rPr>
        <w:t xml:space="preserve"> </w:t>
      </w:r>
      <w:proofErr w:type="spellStart"/>
      <w:r w:rsidRPr="00CB3E4B">
        <w:rPr>
          <w:rFonts w:ascii="Times New Roman" w:hAnsi="Times New Roman"/>
          <w:i/>
          <w:sz w:val="24"/>
          <w:szCs w:val="24"/>
        </w:rPr>
        <w:t>measures</w:t>
      </w:r>
      <w:proofErr w:type="spellEnd"/>
      <w:r w:rsidRPr="00CB3E4B">
        <w:rPr>
          <w:rFonts w:ascii="Times New Roman" w:hAnsi="Times New Roman"/>
          <w:sz w:val="24"/>
          <w:szCs w:val="24"/>
        </w:rPr>
        <w:t>) – prognozējot SEG izmaiņas, tiek ņemti vērā tie SEG emisijas samazinošie pasākumi (tiešā vai netiešā veidā), kas jau ir īstenoti, šobrīd tiek īstenoti vai kuru īstenošana ir ieplānota un tiem ir noteikts finansējums;</w:t>
      </w:r>
    </w:p>
    <w:p w14:paraId="51BD7B1F" w14:textId="563F5D10" w:rsidR="007E5ACD" w:rsidRPr="004C307A" w:rsidRDefault="00D052C7" w:rsidP="007E5ACD">
      <w:pPr>
        <w:spacing w:before="120" w:after="120" w:line="240" w:lineRule="auto"/>
        <w:ind w:firstLine="360"/>
        <w:jc w:val="both"/>
        <w:rPr>
          <w:rFonts w:ascii="Times New Roman" w:hAnsi="Times New Roman"/>
          <w:sz w:val="24"/>
          <w:szCs w:val="24"/>
        </w:rPr>
      </w:pPr>
      <w:r w:rsidRPr="00CB3E4B">
        <w:rPr>
          <w:rFonts w:ascii="Times New Roman" w:hAnsi="Times New Roman"/>
          <w:sz w:val="24"/>
          <w:szCs w:val="24"/>
        </w:rPr>
        <w:t>•</w:t>
      </w:r>
      <w:r w:rsidRPr="00CB3E4B">
        <w:rPr>
          <w:rFonts w:ascii="Times New Roman" w:hAnsi="Times New Roman"/>
          <w:sz w:val="24"/>
          <w:szCs w:val="24"/>
        </w:rPr>
        <w:tab/>
        <w:t xml:space="preserve">ar papildus pasākumiem </w:t>
      </w:r>
      <w:r w:rsidR="007E5ACD" w:rsidRPr="00CB3E4B">
        <w:rPr>
          <w:rFonts w:ascii="Times New Roman" w:hAnsi="Times New Roman"/>
          <w:sz w:val="24"/>
          <w:szCs w:val="24"/>
        </w:rPr>
        <w:t>WAM (</w:t>
      </w:r>
      <w:proofErr w:type="spellStart"/>
      <w:r w:rsidR="007E5ACD" w:rsidRPr="00CB3E4B">
        <w:rPr>
          <w:rFonts w:ascii="Times New Roman" w:hAnsi="Times New Roman"/>
          <w:i/>
          <w:sz w:val="24"/>
          <w:szCs w:val="24"/>
        </w:rPr>
        <w:t>with</w:t>
      </w:r>
      <w:proofErr w:type="spellEnd"/>
      <w:r w:rsidR="007E5ACD" w:rsidRPr="00CB3E4B">
        <w:rPr>
          <w:rFonts w:ascii="Times New Roman" w:hAnsi="Times New Roman"/>
          <w:i/>
          <w:sz w:val="24"/>
          <w:szCs w:val="24"/>
        </w:rPr>
        <w:t xml:space="preserve"> </w:t>
      </w:r>
      <w:proofErr w:type="spellStart"/>
      <w:r w:rsidR="007E5ACD" w:rsidRPr="00CB3E4B">
        <w:rPr>
          <w:rFonts w:ascii="Times New Roman" w:hAnsi="Times New Roman"/>
          <w:i/>
          <w:sz w:val="24"/>
          <w:szCs w:val="24"/>
        </w:rPr>
        <w:t>additional</w:t>
      </w:r>
      <w:proofErr w:type="spellEnd"/>
      <w:r w:rsidR="007E5ACD" w:rsidRPr="00CB3E4B">
        <w:rPr>
          <w:rFonts w:ascii="Times New Roman" w:hAnsi="Times New Roman"/>
          <w:i/>
          <w:sz w:val="24"/>
          <w:szCs w:val="24"/>
        </w:rPr>
        <w:t xml:space="preserve"> </w:t>
      </w:r>
      <w:proofErr w:type="spellStart"/>
      <w:r w:rsidR="007E5ACD" w:rsidRPr="00CB3E4B">
        <w:rPr>
          <w:rFonts w:ascii="Times New Roman" w:hAnsi="Times New Roman"/>
          <w:i/>
          <w:sz w:val="24"/>
          <w:szCs w:val="24"/>
        </w:rPr>
        <w:t>measures</w:t>
      </w:r>
      <w:proofErr w:type="spellEnd"/>
      <w:r w:rsidR="007E5ACD" w:rsidRPr="00CB3E4B">
        <w:rPr>
          <w:rFonts w:ascii="Times New Roman" w:hAnsi="Times New Roman"/>
          <w:sz w:val="24"/>
          <w:szCs w:val="24"/>
        </w:rPr>
        <w:t xml:space="preserve">) – prognozējot SEG izmaiņas, tiek ņemti vērā tie SEG emisijas samazinošie pasākumi (tiešā vai netiešā veidā), kuru īstenošana vēl nav uzsākta un kuru īstenošana </w:t>
      </w:r>
      <w:r w:rsidRPr="00CB3E4B">
        <w:rPr>
          <w:rFonts w:ascii="Times New Roman" w:hAnsi="Times New Roman"/>
          <w:sz w:val="24"/>
          <w:szCs w:val="24"/>
        </w:rPr>
        <w:t>ir</w:t>
      </w:r>
      <w:r w:rsidR="007E5ACD" w:rsidRPr="00CB3E4B">
        <w:rPr>
          <w:rFonts w:ascii="Times New Roman" w:hAnsi="Times New Roman"/>
          <w:sz w:val="24"/>
          <w:szCs w:val="24"/>
        </w:rPr>
        <w:t xml:space="preserve"> ieplānota attīstības</w:t>
      </w:r>
      <w:r w:rsidR="007E5ACD" w:rsidRPr="004C307A">
        <w:rPr>
          <w:rFonts w:ascii="Times New Roman" w:hAnsi="Times New Roman"/>
          <w:sz w:val="24"/>
          <w:szCs w:val="24"/>
        </w:rPr>
        <w:t xml:space="preserve"> plānošanas do</w:t>
      </w:r>
      <w:r>
        <w:rPr>
          <w:rFonts w:ascii="Times New Roman" w:hAnsi="Times New Roman"/>
          <w:sz w:val="24"/>
          <w:szCs w:val="24"/>
        </w:rPr>
        <w:t>kumentos, t.sk. esošo pasākumu p</w:t>
      </w:r>
      <w:r w:rsidR="007E5ACD" w:rsidRPr="004C307A">
        <w:rPr>
          <w:rFonts w:ascii="Times New Roman" w:hAnsi="Times New Roman"/>
          <w:sz w:val="24"/>
          <w:szCs w:val="24"/>
        </w:rPr>
        <w:t>astiprināšana, proti, īstenošana lielākā apmērā nekā sākotnēji ieplānots.</w:t>
      </w:r>
    </w:p>
    <w:p w14:paraId="6D293777" w14:textId="48E4296C" w:rsidR="007E5ACD" w:rsidRPr="004C307A" w:rsidRDefault="007E5ACD" w:rsidP="007E5ACD">
      <w:pPr>
        <w:spacing w:before="120" w:after="120" w:line="240" w:lineRule="auto"/>
        <w:ind w:firstLine="360"/>
        <w:jc w:val="both"/>
        <w:rPr>
          <w:rFonts w:ascii="Times New Roman" w:hAnsi="Times New Roman"/>
          <w:sz w:val="24"/>
          <w:szCs w:val="24"/>
        </w:rPr>
      </w:pPr>
      <w:r w:rsidRPr="004C307A">
        <w:rPr>
          <w:rFonts w:ascii="Times New Roman" w:hAnsi="Times New Roman"/>
          <w:sz w:val="24"/>
          <w:szCs w:val="24"/>
        </w:rPr>
        <w:t>Eksperti, sagatavoj</w:t>
      </w:r>
      <w:r w:rsidR="004C307A">
        <w:rPr>
          <w:rFonts w:ascii="Times New Roman" w:hAnsi="Times New Roman"/>
          <w:sz w:val="24"/>
          <w:szCs w:val="24"/>
        </w:rPr>
        <w:t>ot SEG prognozes, izmanto</w:t>
      </w:r>
      <w:r w:rsidRPr="004C307A">
        <w:rPr>
          <w:rFonts w:ascii="Times New Roman" w:hAnsi="Times New Roman"/>
          <w:sz w:val="24"/>
          <w:szCs w:val="24"/>
        </w:rPr>
        <w:t xml:space="preserve"> pieejamās ilgtermiņa Latvijas makroekonomiskās prognozes un starptautiskā tirgus attīstības prognozes (piemēram, energoresursu cenas prognozes, oglekļa cenas prognozes u.tml.), kā arī pieejamo informāciju par Latvijas nozaru politikām un pasākumiem. SEG emisiju prognozes balstās uz Latvijas makroekonomisko rādītāju – IKP, pievienotā vērtība tautsaimniecības nozarēs, iedzīvotāju skaits u.c., ilgtermiņa prognozēm, ko Latvijā ikgadēji sagatavo Ekonomikas ministrija. </w:t>
      </w:r>
    </w:p>
    <w:p w14:paraId="6141BCF3" w14:textId="17FD7255" w:rsidR="007E5ACD" w:rsidRPr="004C307A" w:rsidRDefault="007E5ACD" w:rsidP="007E5ACD">
      <w:pPr>
        <w:spacing w:before="120" w:after="120" w:line="240" w:lineRule="auto"/>
        <w:ind w:firstLine="360"/>
        <w:jc w:val="both"/>
        <w:rPr>
          <w:rFonts w:ascii="Times New Roman" w:hAnsi="Times New Roman"/>
          <w:sz w:val="24"/>
          <w:szCs w:val="24"/>
        </w:rPr>
      </w:pPr>
      <w:r w:rsidRPr="004C307A">
        <w:rPr>
          <w:rFonts w:ascii="Times New Roman" w:hAnsi="Times New Roman"/>
          <w:sz w:val="24"/>
          <w:szCs w:val="24"/>
        </w:rPr>
        <w:t>2017</w:t>
      </w:r>
      <w:r w:rsidR="00D80171" w:rsidRPr="004C307A">
        <w:rPr>
          <w:rFonts w:ascii="Times New Roman" w:hAnsi="Times New Roman"/>
          <w:sz w:val="24"/>
          <w:szCs w:val="24"/>
        </w:rPr>
        <w:t>.</w:t>
      </w:r>
      <w:r w:rsidR="00D80171">
        <w:rPr>
          <w:rFonts w:ascii="Times New Roman" w:hAnsi="Times New Roman"/>
          <w:sz w:val="24"/>
          <w:szCs w:val="24"/>
        </w:rPr>
        <w:t> </w:t>
      </w:r>
      <w:r w:rsidRPr="004C307A">
        <w:rPr>
          <w:rFonts w:ascii="Times New Roman" w:hAnsi="Times New Roman"/>
          <w:sz w:val="24"/>
          <w:szCs w:val="24"/>
        </w:rPr>
        <w:t>gad</w:t>
      </w:r>
      <w:r w:rsidR="00677125">
        <w:rPr>
          <w:rFonts w:ascii="Times New Roman" w:hAnsi="Times New Roman"/>
          <w:sz w:val="24"/>
          <w:szCs w:val="24"/>
        </w:rPr>
        <w:t>ā</w:t>
      </w:r>
      <w:r w:rsidRPr="004C307A">
        <w:rPr>
          <w:rFonts w:ascii="Times New Roman" w:hAnsi="Times New Roman"/>
          <w:sz w:val="24"/>
          <w:szCs w:val="24"/>
        </w:rPr>
        <w:t xml:space="preserve"> Eiropas Komisijā iesniegtais </w:t>
      </w:r>
      <w:r w:rsidR="00A50852">
        <w:rPr>
          <w:rFonts w:ascii="Times New Roman" w:hAnsi="Times New Roman"/>
          <w:sz w:val="24"/>
          <w:szCs w:val="24"/>
        </w:rPr>
        <w:t>z</w:t>
      </w:r>
      <w:r w:rsidRPr="004C307A">
        <w:rPr>
          <w:rFonts w:ascii="Times New Roman" w:hAnsi="Times New Roman"/>
          <w:sz w:val="24"/>
          <w:szCs w:val="24"/>
        </w:rPr>
        <w:t>iņojums par SEG prog</w:t>
      </w:r>
      <w:r w:rsidR="00D263BE" w:rsidRPr="004C307A">
        <w:rPr>
          <w:rFonts w:ascii="Times New Roman" w:hAnsi="Times New Roman"/>
          <w:sz w:val="24"/>
          <w:szCs w:val="24"/>
        </w:rPr>
        <w:t>nozēm, politiku un pasākumiem tika sa</w:t>
      </w:r>
      <w:r w:rsidRPr="004C307A">
        <w:rPr>
          <w:rFonts w:ascii="Times New Roman" w:hAnsi="Times New Roman"/>
          <w:sz w:val="24"/>
          <w:szCs w:val="24"/>
        </w:rPr>
        <w:t>gatavots 2016.</w:t>
      </w:r>
      <w:r w:rsidR="00D263BE" w:rsidRPr="004C307A">
        <w:rPr>
          <w:rFonts w:ascii="Times New Roman" w:hAnsi="Times New Roman"/>
          <w:sz w:val="24"/>
          <w:szCs w:val="24"/>
        </w:rPr>
        <w:t xml:space="preserve"> </w:t>
      </w:r>
      <w:r w:rsidRPr="004C307A">
        <w:rPr>
          <w:rFonts w:ascii="Times New Roman" w:hAnsi="Times New Roman"/>
          <w:sz w:val="24"/>
          <w:szCs w:val="24"/>
        </w:rPr>
        <w:t>-</w:t>
      </w:r>
      <w:r w:rsidR="00D263BE" w:rsidRPr="004C307A">
        <w:rPr>
          <w:rFonts w:ascii="Times New Roman" w:hAnsi="Times New Roman"/>
          <w:sz w:val="24"/>
          <w:szCs w:val="24"/>
        </w:rPr>
        <w:t xml:space="preserve"> </w:t>
      </w:r>
      <w:r w:rsidRPr="004C307A">
        <w:rPr>
          <w:rFonts w:ascii="Times New Roman" w:hAnsi="Times New Roman"/>
          <w:sz w:val="24"/>
          <w:szCs w:val="24"/>
        </w:rPr>
        <w:t>2017. gadā, ņemot vērā SEG inventarizācijas datus (aktivitātes dati, radītais SEG emisiju apjoms) līdz 2015. gadam, kā arī ņemot vērā 2016. gada iedzīvotāju, makroekonomiskās un sektoru attīstības prognozes. SEG prognožu sagatavošanā tika izmantoti tādi IKP dati, kur periodā no 2015. gada līdz 2020. gada tika prognozēts 20,6% pieaugums, bet periodā no 2015. gada līdz 2030. gadam tika prognozēts apmēram 76% pieaugums.</w:t>
      </w:r>
    </w:p>
    <w:p w14:paraId="598272C5" w14:textId="2DBFAE22" w:rsidR="007E5ACD" w:rsidRPr="004C307A" w:rsidRDefault="007E5ACD" w:rsidP="009769A6">
      <w:pPr>
        <w:spacing w:before="120" w:after="120" w:line="240" w:lineRule="auto"/>
        <w:ind w:firstLine="360"/>
        <w:jc w:val="both"/>
        <w:rPr>
          <w:rFonts w:ascii="Times New Roman" w:hAnsi="Times New Roman"/>
          <w:sz w:val="24"/>
          <w:szCs w:val="24"/>
        </w:rPr>
      </w:pPr>
      <w:r w:rsidRPr="004C307A">
        <w:rPr>
          <w:rFonts w:ascii="Times New Roman" w:hAnsi="Times New Roman"/>
          <w:sz w:val="24"/>
          <w:szCs w:val="24"/>
        </w:rPr>
        <w:t>Sagatavotās SEG prognozes un informāciju par to sagatavošanā izmantotām politikām un pasākumiem pārbauda nozaru ministriju eksperti. Eksperti, sagatavojot SEG prognozes, veic kvalitātes kontroles un kvalitātes nodrošināšanas procedūras.</w:t>
      </w:r>
      <w:r w:rsidRPr="007E5ACD">
        <w:rPr>
          <w:rFonts w:asciiTheme="majorBidi" w:hAnsiTheme="majorBidi" w:cstheme="majorBidi"/>
          <w:sz w:val="24"/>
          <w:szCs w:val="24"/>
        </w:rPr>
        <w:t xml:space="preserve"> </w:t>
      </w:r>
      <w:r w:rsidRPr="004C307A">
        <w:rPr>
          <w:rFonts w:ascii="Times New Roman" w:hAnsi="Times New Roman"/>
          <w:sz w:val="24"/>
          <w:szCs w:val="24"/>
        </w:rPr>
        <w:t>Ziņojumus par SEG prognozēm, politiku un pasākumiem pārbauda ES ietvaros (pārbaudi veic Eiropas Vides aģentūra), gan K</w:t>
      </w:r>
      <w:r w:rsidR="00B726EB">
        <w:rPr>
          <w:rFonts w:ascii="Times New Roman" w:hAnsi="Times New Roman"/>
          <w:sz w:val="24"/>
          <w:szCs w:val="24"/>
        </w:rPr>
        <w:t>limata k</w:t>
      </w:r>
      <w:r w:rsidRPr="004C307A">
        <w:rPr>
          <w:rFonts w:ascii="Times New Roman" w:hAnsi="Times New Roman"/>
          <w:sz w:val="24"/>
          <w:szCs w:val="24"/>
        </w:rPr>
        <w:t>onvencijas ietvaros, kad pārbaudi veic starptautiskie auditori, un K</w:t>
      </w:r>
      <w:r w:rsidR="00B726EB">
        <w:rPr>
          <w:rFonts w:ascii="Times New Roman" w:hAnsi="Times New Roman"/>
          <w:sz w:val="24"/>
          <w:szCs w:val="24"/>
        </w:rPr>
        <w:t>limata k</w:t>
      </w:r>
      <w:r w:rsidRPr="004C307A">
        <w:rPr>
          <w:rFonts w:ascii="Times New Roman" w:hAnsi="Times New Roman"/>
          <w:sz w:val="24"/>
          <w:szCs w:val="24"/>
        </w:rPr>
        <w:t>onvencijas līgumslēdzējpuses divgadu daudzpusējās izvērtēšanas laikā.</w:t>
      </w:r>
    </w:p>
    <w:p w14:paraId="4183D16C" w14:textId="4DE29604" w:rsidR="001F3816" w:rsidRDefault="007E5ACD" w:rsidP="004C307A">
      <w:pPr>
        <w:spacing w:before="120" w:after="120" w:line="240" w:lineRule="auto"/>
        <w:ind w:firstLine="360"/>
        <w:jc w:val="both"/>
        <w:rPr>
          <w:rFonts w:ascii="Times New Roman" w:hAnsi="Times New Roman"/>
        </w:rPr>
      </w:pPr>
      <w:r w:rsidRPr="004C307A">
        <w:rPr>
          <w:rFonts w:ascii="Times New Roman" w:hAnsi="Times New Roman"/>
          <w:sz w:val="24"/>
          <w:szCs w:val="24"/>
        </w:rPr>
        <w:t xml:space="preserve">2018. gadā </w:t>
      </w:r>
      <w:r w:rsidR="000C745A" w:rsidRPr="004C307A">
        <w:rPr>
          <w:rFonts w:ascii="Times New Roman" w:hAnsi="Times New Roman"/>
          <w:sz w:val="24"/>
          <w:szCs w:val="24"/>
        </w:rPr>
        <w:t xml:space="preserve">saskaņā ar Ministru kabineta 2017. gada 12. decembra noteikumos Nr. 737 “Siltumnīcefekta gāzu inventarizācijas un prognožu sagatavošanas nacionālās sistēmas izveidošanas un uzturēšanas noteikumi” (turpmāk – MK noteikumi Nr. 737) </w:t>
      </w:r>
      <w:r w:rsidR="00D61B8A">
        <w:rPr>
          <w:rFonts w:ascii="Times New Roman" w:hAnsi="Times New Roman"/>
          <w:sz w:val="24"/>
          <w:szCs w:val="24"/>
        </w:rPr>
        <w:t>III</w:t>
      </w:r>
      <w:r w:rsidR="00275658">
        <w:rPr>
          <w:rFonts w:ascii="Times New Roman" w:hAnsi="Times New Roman"/>
          <w:sz w:val="24"/>
          <w:szCs w:val="24"/>
        </w:rPr>
        <w:t>.</w:t>
      </w:r>
      <w:r w:rsidR="00A50852">
        <w:rPr>
          <w:rFonts w:ascii="Times New Roman" w:hAnsi="Times New Roman"/>
          <w:sz w:val="24"/>
          <w:szCs w:val="24"/>
        </w:rPr>
        <w:t xml:space="preserve"> </w:t>
      </w:r>
      <w:r w:rsidR="00275658">
        <w:rPr>
          <w:rFonts w:ascii="Times New Roman" w:hAnsi="Times New Roman"/>
          <w:sz w:val="24"/>
          <w:szCs w:val="24"/>
        </w:rPr>
        <w:t xml:space="preserve">sadaļā </w:t>
      </w:r>
      <w:r w:rsidR="000C745A" w:rsidRPr="004C307A">
        <w:rPr>
          <w:rFonts w:ascii="Times New Roman" w:hAnsi="Times New Roman"/>
          <w:sz w:val="24"/>
          <w:szCs w:val="24"/>
        </w:rPr>
        <w:t xml:space="preserve">noteikto kārtību </w:t>
      </w:r>
      <w:r w:rsidRPr="004C307A">
        <w:rPr>
          <w:rFonts w:ascii="Times New Roman" w:hAnsi="Times New Roman"/>
          <w:sz w:val="24"/>
          <w:szCs w:val="24"/>
        </w:rPr>
        <w:t xml:space="preserve">tika uzsākts darbs pie </w:t>
      </w:r>
      <w:r w:rsidR="000C745A" w:rsidRPr="004C307A">
        <w:rPr>
          <w:rFonts w:ascii="Times New Roman" w:hAnsi="Times New Roman"/>
          <w:sz w:val="24"/>
          <w:szCs w:val="24"/>
        </w:rPr>
        <w:t xml:space="preserve">jauno </w:t>
      </w:r>
      <w:r w:rsidRPr="004C307A">
        <w:rPr>
          <w:rFonts w:ascii="Times New Roman" w:hAnsi="Times New Roman"/>
          <w:sz w:val="24"/>
          <w:szCs w:val="24"/>
        </w:rPr>
        <w:t xml:space="preserve">prognožu </w:t>
      </w:r>
      <w:r w:rsidR="00097507">
        <w:rPr>
          <w:rFonts w:ascii="Times New Roman" w:hAnsi="Times New Roman"/>
          <w:sz w:val="24"/>
          <w:szCs w:val="24"/>
        </w:rPr>
        <w:t>sagatavošanas</w:t>
      </w:r>
      <w:r w:rsidR="000C745A" w:rsidRPr="004C307A">
        <w:rPr>
          <w:rFonts w:ascii="Times New Roman" w:hAnsi="Times New Roman"/>
          <w:sz w:val="24"/>
          <w:szCs w:val="24"/>
        </w:rPr>
        <w:t xml:space="preserve">. </w:t>
      </w:r>
      <w:r w:rsidR="00B079A2" w:rsidRPr="004C307A">
        <w:rPr>
          <w:rFonts w:ascii="Times New Roman" w:hAnsi="Times New Roman"/>
          <w:sz w:val="24"/>
          <w:szCs w:val="24"/>
        </w:rPr>
        <w:t>SEG prognožu galīgā versija atbilstoši MK</w:t>
      </w:r>
      <w:r w:rsidR="000C745A" w:rsidRPr="004C307A">
        <w:rPr>
          <w:rFonts w:ascii="Times New Roman" w:hAnsi="Times New Roman"/>
          <w:sz w:val="24"/>
          <w:szCs w:val="24"/>
        </w:rPr>
        <w:t xml:space="preserve"> noteikumiem</w:t>
      </w:r>
      <w:r w:rsidR="00B079A2" w:rsidRPr="004C307A">
        <w:rPr>
          <w:rFonts w:ascii="Times New Roman" w:hAnsi="Times New Roman"/>
          <w:sz w:val="24"/>
          <w:szCs w:val="24"/>
        </w:rPr>
        <w:t xml:space="preserve"> Nr.</w:t>
      </w:r>
      <w:r w:rsidR="000C745A" w:rsidRPr="004C307A">
        <w:rPr>
          <w:rFonts w:ascii="Times New Roman" w:hAnsi="Times New Roman"/>
          <w:sz w:val="24"/>
          <w:szCs w:val="24"/>
        </w:rPr>
        <w:t xml:space="preserve"> </w:t>
      </w:r>
      <w:r w:rsidR="00B079A2" w:rsidRPr="004C307A">
        <w:rPr>
          <w:rFonts w:ascii="Times New Roman" w:hAnsi="Times New Roman"/>
          <w:sz w:val="24"/>
          <w:szCs w:val="24"/>
        </w:rPr>
        <w:t>737 būs pieejama ziņojumā, kas līdz</w:t>
      </w:r>
      <w:r w:rsidR="00B079A2" w:rsidRPr="007B0BDD">
        <w:rPr>
          <w:rFonts w:asciiTheme="majorBidi" w:hAnsiTheme="majorBidi" w:cstheme="majorBidi"/>
          <w:sz w:val="24"/>
          <w:szCs w:val="24"/>
        </w:rPr>
        <w:t xml:space="preserve"> </w:t>
      </w:r>
      <w:r w:rsidR="00B079A2" w:rsidRPr="004C307A">
        <w:rPr>
          <w:rFonts w:ascii="Times New Roman" w:hAnsi="Times New Roman"/>
          <w:sz w:val="24"/>
          <w:szCs w:val="24"/>
        </w:rPr>
        <w:t xml:space="preserve">2019. gada 15. martam tiks iesniegts EK saskaņā ar Eiropas Parlamenta un Padomes </w:t>
      </w:r>
      <w:r w:rsidR="00F51756" w:rsidRPr="004C307A">
        <w:rPr>
          <w:rFonts w:ascii="Times New Roman" w:hAnsi="Times New Roman"/>
          <w:sz w:val="24"/>
          <w:szCs w:val="24"/>
        </w:rPr>
        <w:t>Regul</w:t>
      </w:r>
      <w:r w:rsidR="00F51756">
        <w:rPr>
          <w:rFonts w:ascii="Times New Roman" w:hAnsi="Times New Roman"/>
          <w:sz w:val="24"/>
          <w:szCs w:val="24"/>
        </w:rPr>
        <w:t>as</w:t>
      </w:r>
      <w:r w:rsidR="00F51756" w:rsidRPr="004C307A">
        <w:rPr>
          <w:rFonts w:ascii="Times New Roman" w:hAnsi="Times New Roman"/>
          <w:sz w:val="24"/>
          <w:szCs w:val="24"/>
        </w:rPr>
        <w:t xml:space="preserve"> </w:t>
      </w:r>
      <w:r w:rsidR="00B079A2" w:rsidRPr="004C307A">
        <w:rPr>
          <w:rFonts w:ascii="Times New Roman" w:hAnsi="Times New Roman"/>
          <w:sz w:val="24"/>
          <w:szCs w:val="24"/>
        </w:rPr>
        <w:t xml:space="preserve">Nr. 525/2013 13. pantā noteiktajām prasībām. </w:t>
      </w:r>
    </w:p>
    <w:p w14:paraId="23FB09FC" w14:textId="77777777" w:rsidR="004C307A" w:rsidRPr="004C307A" w:rsidRDefault="004C307A" w:rsidP="004C307A">
      <w:pPr>
        <w:spacing w:before="120" w:after="120" w:line="240" w:lineRule="auto"/>
        <w:ind w:firstLine="360"/>
        <w:jc w:val="both"/>
        <w:rPr>
          <w:rFonts w:ascii="Times New Roman" w:hAnsi="Times New Roman"/>
        </w:rPr>
      </w:pPr>
    </w:p>
    <w:p w14:paraId="7905F76B" w14:textId="2B20CDE2" w:rsidR="00CF4225" w:rsidRPr="005C652E" w:rsidRDefault="00EC792E" w:rsidP="00D4581D">
      <w:pPr>
        <w:pStyle w:val="Heading1"/>
        <w:jc w:val="both"/>
      </w:pPr>
      <w:bookmarkStart w:id="6" w:name="_Toc9326564"/>
      <w:r w:rsidRPr="005C652E">
        <w:lastRenderedPageBreak/>
        <w:t xml:space="preserve">SEG EMISIJU SAMAZINĀŠANAS </w:t>
      </w:r>
      <w:r w:rsidR="00003BFB" w:rsidRPr="005C652E">
        <w:t>MĒRĶ</w:t>
      </w:r>
      <w:r w:rsidR="009975EA">
        <w:t>U</w:t>
      </w:r>
      <w:r w:rsidR="00003BFB" w:rsidRPr="005C652E">
        <w:t xml:space="preserve"> </w:t>
      </w:r>
      <w:r w:rsidRPr="005C652E">
        <w:t>IZPILDE</w:t>
      </w:r>
      <w:bookmarkEnd w:id="6"/>
      <w:r w:rsidR="000A490C" w:rsidRPr="005C652E">
        <w:t xml:space="preserve"> </w:t>
      </w:r>
    </w:p>
    <w:p w14:paraId="74F1C63E" w14:textId="167DD389" w:rsidR="0015003B" w:rsidRPr="00640C3B" w:rsidRDefault="0015003B" w:rsidP="00D4581D">
      <w:pPr>
        <w:pStyle w:val="Heading2"/>
        <w:jc w:val="both"/>
      </w:pPr>
      <w:bookmarkStart w:id="7" w:name="_Toc9326565"/>
      <w:r w:rsidRPr="00640C3B">
        <w:t>SEG emisiju samazināšanas mērķ</w:t>
      </w:r>
      <w:r w:rsidR="002307AD" w:rsidRPr="00640C3B">
        <w:t>a</w:t>
      </w:r>
      <w:r w:rsidR="00BE28E1" w:rsidRPr="00640C3B">
        <w:t xml:space="preserve"> </w:t>
      </w:r>
      <w:r w:rsidRPr="00640C3B">
        <w:t>izpilde</w:t>
      </w:r>
      <w:r w:rsidR="00B03AC7" w:rsidRPr="00640C3B">
        <w:t>s progresa novērtējums</w:t>
      </w:r>
      <w:bookmarkEnd w:id="7"/>
    </w:p>
    <w:p w14:paraId="50BD2D17" w14:textId="6470CAD0" w:rsidR="004C61A5" w:rsidRPr="004C61A5" w:rsidRDefault="00CE7F4B" w:rsidP="004C61A5">
      <w:pPr>
        <w:spacing w:before="120" w:after="120" w:line="240" w:lineRule="auto"/>
        <w:ind w:firstLine="567"/>
        <w:jc w:val="both"/>
      </w:pPr>
      <w:r w:rsidRPr="00D33828">
        <w:rPr>
          <w:rFonts w:ascii="Times New Roman" w:hAnsi="Times New Roman"/>
          <w:sz w:val="24"/>
          <w:szCs w:val="24"/>
        </w:rPr>
        <w:t>Atbilstoši 2018. gada SEG inventarizācijai par 1990.</w:t>
      </w:r>
      <w:r>
        <w:rPr>
          <w:rFonts w:ascii="Times New Roman" w:hAnsi="Times New Roman"/>
          <w:sz w:val="24"/>
          <w:szCs w:val="24"/>
        </w:rPr>
        <w:t xml:space="preserve"> </w:t>
      </w:r>
      <w:r w:rsidRPr="00D33828">
        <w:rPr>
          <w:rFonts w:ascii="Times New Roman" w:hAnsi="Times New Roman"/>
          <w:sz w:val="24"/>
          <w:szCs w:val="24"/>
        </w:rPr>
        <w:t>-</w:t>
      </w:r>
      <w:r>
        <w:rPr>
          <w:rFonts w:ascii="Times New Roman" w:hAnsi="Times New Roman"/>
          <w:sz w:val="24"/>
          <w:szCs w:val="24"/>
        </w:rPr>
        <w:t xml:space="preserve"> </w:t>
      </w:r>
      <w:r w:rsidRPr="00D33828">
        <w:rPr>
          <w:rFonts w:ascii="Times New Roman" w:hAnsi="Times New Roman"/>
          <w:sz w:val="24"/>
          <w:szCs w:val="24"/>
        </w:rPr>
        <w:t>2016. gadu</w:t>
      </w:r>
      <w:r>
        <w:rPr>
          <w:rStyle w:val="FootnoteReference"/>
          <w:rFonts w:ascii="Times New Roman" w:hAnsi="Times New Roman"/>
          <w:sz w:val="24"/>
          <w:szCs w:val="24"/>
        </w:rPr>
        <w:footnoteReference w:id="16"/>
      </w:r>
      <w:r w:rsidRPr="00D33828">
        <w:rPr>
          <w:rFonts w:ascii="Times New Roman" w:hAnsi="Times New Roman"/>
          <w:sz w:val="24"/>
          <w:szCs w:val="24"/>
        </w:rPr>
        <w:t xml:space="preserve">  (turpmāk – 2018. gada SEG inventarizācija) un aptuvenai SEG inventarizācijai par 2017. gadu</w:t>
      </w:r>
      <w:r>
        <w:rPr>
          <w:rStyle w:val="FootnoteReference"/>
          <w:rFonts w:ascii="Times New Roman" w:hAnsi="Times New Roman"/>
          <w:sz w:val="24"/>
          <w:szCs w:val="24"/>
        </w:rPr>
        <w:footnoteReference w:id="17"/>
      </w:r>
      <w:r w:rsidRPr="00D33828">
        <w:rPr>
          <w:rFonts w:ascii="Times New Roman" w:hAnsi="Times New Roman"/>
          <w:sz w:val="24"/>
          <w:szCs w:val="24"/>
        </w:rPr>
        <w:t xml:space="preserve"> Latvijas kopējās SEG emisijas no 1990.</w:t>
      </w:r>
      <w:r w:rsidR="00477A91">
        <w:rPr>
          <w:rFonts w:ascii="Times New Roman" w:hAnsi="Times New Roman"/>
          <w:sz w:val="24"/>
          <w:szCs w:val="24"/>
        </w:rPr>
        <w:t> </w:t>
      </w:r>
      <w:r w:rsidRPr="00D33828">
        <w:rPr>
          <w:rFonts w:ascii="Times New Roman" w:hAnsi="Times New Roman"/>
          <w:sz w:val="24"/>
          <w:szCs w:val="24"/>
        </w:rPr>
        <w:t>gada līdz 2016.</w:t>
      </w:r>
      <w:r w:rsidR="00477A91">
        <w:rPr>
          <w:rFonts w:ascii="Times New Roman" w:hAnsi="Times New Roman"/>
          <w:sz w:val="24"/>
          <w:szCs w:val="24"/>
        </w:rPr>
        <w:t> </w:t>
      </w:r>
      <w:r w:rsidRPr="00D33828">
        <w:rPr>
          <w:rFonts w:ascii="Times New Roman" w:hAnsi="Times New Roman"/>
          <w:sz w:val="24"/>
          <w:szCs w:val="24"/>
        </w:rPr>
        <w:t>gadam un līdz 2017. gadam ir samazi</w:t>
      </w:r>
      <w:r w:rsidR="001A371B">
        <w:rPr>
          <w:rFonts w:ascii="Times New Roman" w:hAnsi="Times New Roman"/>
          <w:sz w:val="24"/>
          <w:szCs w:val="24"/>
        </w:rPr>
        <w:t>nātas attiecīgi par 57.3% un 57.</w:t>
      </w:r>
      <w:r w:rsidRPr="00D33828">
        <w:rPr>
          <w:rFonts w:ascii="Times New Roman" w:hAnsi="Times New Roman"/>
          <w:sz w:val="24"/>
          <w:szCs w:val="24"/>
        </w:rPr>
        <w:t>4 %, savukārt laika posmā no 2005.</w:t>
      </w:r>
      <w:r>
        <w:rPr>
          <w:rFonts w:ascii="Times New Roman" w:hAnsi="Times New Roman"/>
          <w:sz w:val="24"/>
          <w:szCs w:val="24"/>
        </w:rPr>
        <w:t xml:space="preserve"> </w:t>
      </w:r>
      <w:r w:rsidRPr="00D33828">
        <w:rPr>
          <w:rFonts w:ascii="Times New Roman" w:hAnsi="Times New Roman"/>
          <w:sz w:val="24"/>
          <w:szCs w:val="24"/>
        </w:rPr>
        <w:t>gada līdz 2016.</w:t>
      </w:r>
      <w:r>
        <w:rPr>
          <w:rFonts w:ascii="Times New Roman" w:hAnsi="Times New Roman"/>
          <w:sz w:val="24"/>
          <w:szCs w:val="24"/>
        </w:rPr>
        <w:t xml:space="preserve"> </w:t>
      </w:r>
      <w:r w:rsidRPr="00D33828">
        <w:rPr>
          <w:rFonts w:ascii="Times New Roman" w:hAnsi="Times New Roman"/>
          <w:sz w:val="24"/>
          <w:szCs w:val="24"/>
        </w:rPr>
        <w:t>gadam un 2017.</w:t>
      </w:r>
      <w:r>
        <w:rPr>
          <w:rFonts w:ascii="Times New Roman" w:hAnsi="Times New Roman"/>
          <w:sz w:val="24"/>
          <w:szCs w:val="24"/>
        </w:rPr>
        <w:t xml:space="preserve"> </w:t>
      </w:r>
      <w:r w:rsidRPr="00D33828">
        <w:rPr>
          <w:rFonts w:ascii="Times New Roman" w:hAnsi="Times New Roman"/>
          <w:sz w:val="24"/>
          <w:szCs w:val="24"/>
        </w:rPr>
        <w:t>gadam attiecīgi Latvijas kopējās SE</w:t>
      </w:r>
      <w:r w:rsidR="001A371B">
        <w:rPr>
          <w:rFonts w:ascii="Times New Roman" w:hAnsi="Times New Roman"/>
          <w:sz w:val="24"/>
          <w:szCs w:val="24"/>
        </w:rPr>
        <w:t>G emisijas ir samazinātas par 1.3% un 1.</w:t>
      </w:r>
      <w:r w:rsidRPr="00D33828">
        <w:rPr>
          <w:rFonts w:ascii="Times New Roman" w:hAnsi="Times New Roman"/>
          <w:sz w:val="24"/>
          <w:szCs w:val="24"/>
        </w:rPr>
        <w:t>6 %.</w:t>
      </w:r>
      <w:r w:rsidRPr="00D33828">
        <w:t xml:space="preserve"> </w:t>
      </w:r>
      <w:r w:rsidR="004C61A5">
        <w:t xml:space="preserve"> </w:t>
      </w:r>
      <w:r w:rsidRPr="005C652E">
        <w:rPr>
          <w:rFonts w:ascii="Times New Roman" w:hAnsi="Times New Roman"/>
          <w:sz w:val="24"/>
          <w:szCs w:val="24"/>
        </w:rPr>
        <w:t>Kopējās Latvijas SEG emisijas 201</w:t>
      </w:r>
      <w:r>
        <w:rPr>
          <w:rFonts w:ascii="Times New Roman" w:hAnsi="Times New Roman"/>
          <w:sz w:val="24"/>
          <w:szCs w:val="24"/>
        </w:rPr>
        <w:t>6</w:t>
      </w:r>
      <w:r w:rsidR="00F51756">
        <w:rPr>
          <w:rFonts w:ascii="Times New Roman" w:hAnsi="Times New Roman"/>
          <w:sz w:val="24"/>
          <w:szCs w:val="24"/>
        </w:rPr>
        <w:t>.</w:t>
      </w:r>
      <w:r w:rsidR="00477A91">
        <w:rPr>
          <w:rFonts w:ascii="Times New Roman" w:hAnsi="Times New Roman"/>
          <w:sz w:val="24"/>
          <w:szCs w:val="24"/>
        </w:rPr>
        <w:t> </w:t>
      </w:r>
      <w:r w:rsidRPr="005C652E">
        <w:rPr>
          <w:rFonts w:ascii="Times New Roman" w:hAnsi="Times New Roman"/>
          <w:sz w:val="24"/>
          <w:szCs w:val="24"/>
        </w:rPr>
        <w:t>gadā bija 11</w:t>
      </w:r>
      <w:r w:rsidR="001A371B">
        <w:rPr>
          <w:rFonts w:ascii="Times New Roman" w:hAnsi="Times New Roman"/>
          <w:sz w:val="24"/>
          <w:szCs w:val="24"/>
        </w:rPr>
        <w:t>306.</w:t>
      </w:r>
      <w:r>
        <w:rPr>
          <w:rFonts w:ascii="Times New Roman" w:hAnsi="Times New Roman"/>
          <w:sz w:val="24"/>
          <w:szCs w:val="24"/>
        </w:rPr>
        <w:t>39</w:t>
      </w:r>
      <w:r w:rsidR="004C307A">
        <w:rPr>
          <w:rFonts w:ascii="Times New Roman" w:hAnsi="Times New Roman"/>
          <w:sz w:val="24"/>
          <w:szCs w:val="24"/>
        </w:rPr>
        <w:t xml:space="preserve"> </w:t>
      </w:r>
      <w:proofErr w:type="spellStart"/>
      <w:r w:rsidR="004C307A">
        <w:rPr>
          <w:rFonts w:ascii="Times New Roman" w:hAnsi="Times New Roman"/>
          <w:sz w:val="24"/>
          <w:szCs w:val="24"/>
        </w:rPr>
        <w:t>kt</w:t>
      </w:r>
      <w:proofErr w:type="spellEnd"/>
      <w:r w:rsidR="004C307A">
        <w:rPr>
          <w:rFonts w:ascii="Times New Roman" w:hAnsi="Times New Roman"/>
          <w:sz w:val="24"/>
          <w:szCs w:val="24"/>
        </w:rPr>
        <w:t xml:space="preserve"> </w:t>
      </w:r>
      <w:r w:rsidRPr="005C652E">
        <w:rPr>
          <w:rFonts w:ascii="Times New Roman" w:hAnsi="Times New Roman"/>
          <w:sz w:val="24"/>
          <w:szCs w:val="24"/>
        </w:rPr>
        <w:t>CO</w:t>
      </w:r>
      <w:r w:rsidRPr="005C652E">
        <w:rPr>
          <w:rFonts w:ascii="Times New Roman" w:hAnsi="Times New Roman"/>
          <w:sz w:val="24"/>
          <w:szCs w:val="24"/>
          <w:vertAlign w:val="subscript"/>
        </w:rPr>
        <w:t>2</w:t>
      </w:r>
      <w:r w:rsidRPr="005C652E">
        <w:rPr>
          <w:rFonts w:ascii="Times New Roman" w:hAnsi="Times New Roman"/>
          <w:sz w:val="24"/>
          <w:szCs w:val="24"/>
        </w:rPr>
        <w:t xml:space="preserve"> ekv</w:t>
      </w:r>
      <w:r w:rsidR="00A759F8">
        <w:rPr>
          <w:rFonts w:ascii="Times New Roman" w:hAnsi="Times New Roman"/>
          <w:sz w:val="24"/>
          <w:szCs w:val="24"/>
        </w:rPr>
        <w:t>ivalenti</w:t>
      </w:r>
      <w:r w:rsidRPr="005C652E">
        <w:rPr>
          <w:rFonts w:ascii="Times New Roman" w:hAnsi="Times New Roman"/>
          <w:sz w:val="24"/>
          <w:szCs w:val="24"/>
        </w:rPr>
        <w:t>, bet aptuvenās 201</w:t>
      </w:r>
      <w:r>
        <w:rPr>
          <w:rFonts w:ascii="Times New Roman" w:hAnsi="Times New Roman"/>
          <w:sz w:val="24"/>
          <w:szCs w:val="24"/>
        </w:rPr>
        <w:t>7</w:t>
      </w:r>
      <w:r w:rsidRPr="005C652E">
        <w:rPr>
          <w:rFonts w:ascii="Times New Roman" w:hAnsi="Times New Roman"/>
          <w:sz w:val="24"/>
          <w:szCs w:val="24"/>
        </w:rPr>
        <w:t>.</w:t>
      </w:r>
      <w:r>
        <w:rPr>
          <w:rFonts w:ascii="Times New Roman" w:hAnsi="Times New Roman"/>
          <w:sz w:val="24"/>
          <w:szCs w:val="24"/>
        </w:rPr>
        <w:t> </w:t>
      </w:r>
      <w:r w:rsidRPr="005C652E">
        <w:rPr>
          <w:rFonts w:ascii="Times New Roman" w:hAnsi="Times New Roman"/>
          <w:sz w:val="24"/>
          <w:szCs w:val="24"/>
        </w:rPr>
        <w:t>gada SEG emisijas – 11</w:t>
      </w:r>
      <w:r w:rsidR="001A371B">
        <w:rPr>
          <w:rFonts w:ascii="Times New Roman" w:hAnsi="Times New Roman"/>
          <w:sz w:val="24"/>
          <w:szCs w:val="24"/>
        </w:rPr>
        <w:t> </w:t>
      </w:r>
      <w:r>
        <w:rPr>
          <w:rFonts w:ascii="Times New Roman" w:hAnsi="Times New Roman"/>
          <w:sz w:val="24"/>
          <w:szCs w:val="24"/>
        </w:rPr>
        <w:t>275</w:t>
      </w:r>
      <w:r w:rsidR="001A371B">
        <w:rPr>
          <w:rFonts w:ascii="Times New Roman" w:hAnsi="Times New Roman"/>
          <w:sz w:val="24"/>
          <w:szCs w:val="24"/>
        </w:rPr>
        <w:t>.</w:t>
      </w:r>
      <w:r>
        <w:rPr>
          <w:rFonts w:ascii="Times New Roman" w:hAnsi="Times New Roman"/>
          <w:sz w:val="24"/>
          <w:szCs w:val="24"/>
        </w:rPr>
        <w:t>43</w:t>
      </w:r>
      <w:r w:rsidR="00F51756">
        <w:t> </w:t>
      </w:r>
      <w:proofErr w:type="spellStart"/>
      <w:r w:rsidRPr="005C652E">
        <w:rPr>
          <w:rFonts w:ascii="Times New Roman" w:hAnsi="Times New Roman"/>
          <w:sz w:val="24"/>
          <w:szCs w:val="24"/>
        </w:rPr>
        <w:t>kt</w:t>
      </w:r>
      <w:proofErr w:type="spellEnd"/>
      <w:r w:rsidRPr="005C652E">
        <w:rPr>
          <w:rFonts w:ascii="Times New Roman" w:hAnsi="Times New Roman"/>
          <w:sz w:val="24"/>
          <w:szCs w:val="24"/>
        </w:rPr>
        <w:t xml:space="preserve"> CO</w:t>
      </w:r>
      <w:r w:rsidRPr="005C652E">
        <w:rPr>
          <w:rFonts w:ascii="Times New Roman" w:hAnsi="Times New Roman"/>
          <w:sz w:val="24"/>
          <w:szCs w:val="24"/>
          <w:vertAlign w:val="subscript"/>
        </w:rPr>
        <w:t>2</w:t>
      </w:r>
      <w:r w:rsidRPr="005C652E">
        <w:rPr>
          <w:rFonts w:ascii="Times New Roman" w:hAnsi="Times New Roman"/>
          <w:sz w:val="24"/>
          <w:szCs w:val="24"/>
        </w:rPr>
        <w:t xml:space="preserve"> ekv</w:t>
      </w:r>
      <w:r w:rsidR="00A759F8">
        <w:rPr>
          <w:rFonts w:ascii="Times New Roman" w:hAnsi="Times New Roman"/>
          <w:sz w:val="24"/>
          <w:szCs w:val="24"/>
        </w:rPr>
        <w:t>ivalenti</w:t>
      </w:r>
      <w:r w:rsidR="004C61A5">
        <w:rPr>
          <w:rFonts w:ascii="Times New Roman" w:hAnsi="Times New Roman"/>
          <w:sz w:val="24"/>
          <w:szCs w:val="24"/>
        </w:rPr>
        <w:t xml:space="preserve"> </w:t>
      </w:r>
      <w:r w:rsidR="00315B21">
        <w:rPr>
          <w:rFonts w:ascii="Times New Roman" w:hAnsi="Times New Roman"/>
          <w:sz w:val="24"/>
          <w:szCs w:val="24"/>
        </w:rPr>
        <w:t xml:space="preserve">Kopējais </w:t>
      </w:r>
      <w:r w:rsidR="004C61A5" w:rsidRPr="004C61A5">
        <w:rPr>
          <w:rFonts w:ascii="Times New Roman" w:hAnsi="Times New Roman"/>
          <w:sz w:val="24"/>
          <w:szCs w:val="24"/>
        </w:rPr>
        <w:t>SEG emisiju sadalījums pa nozarēm 2016. gadā (neskaitot ZIZIMM)</w:t>
      </w:r>
      <w:r w:rsidR="004C61A5">
        <w:rPr>
          <w:rFonts w:ascii="Times New Roman" w:hAnsi="Times New Roman"/>
          <w:sz w:val="24"/>
          <w:szCs w:val="24"/>
        </w:rPr>
        <w:t xml:space="preserve"> atspoguļots 1.</w:t>
      </w:r>
      <w:r w:rsidR="00477A91">
        <w:rPr>
          <w:rFonts w:ascii="Times New Roman" w:hAnsi="Times New Roman"/>
          <w:sz w:val="24"/>
          <w:szCs w:val="24"/>
        </w:rPr>
        <w:t> </w:t>
      </w:r>
      <w:r w:rsidR="004C61A5">
        <w:rPr>
          <w:rFonts w:ascii="Times New Roman" w:hAnsi="Times New Roman"/>
          <w:sz w:val="24"/>
          <w:szCs w:val="24"/>
        </w:rPr>
        <w:t>attēlā</w:t>
      </w:r>
      <w:r w:rsidR="001A371B">
        <w:rPr>
          <w:rFonts w:ascii="Times New Roman" w:hAnsi="Times New Roman"/>
          <w:sz w:val="24"/>
          <w:szCs w:val="24"/>
        </w:rPr>
        <w:t>.</w:t>
      </w:r>
      <w:r w:rsidR="00315B21">
        <w:rPr>
          <w:rFonts w:ascii="Times New Roman" w:hAnsi="Times New Roman"/>
          <w:sz w:val="24"/>
          <w:szCs w:val="24"/>
        </w:rPr>
        <w:t xml:space="preserve"> </w:t>
      </w:r>
    </w:p>
    <w:p w14:paraId="0477A307" w14:textId="66FD8803" w:rsidR="004C61A5" w:rsidRDefault="00DC0D30" w:rsidP="00DC0D30">
      <w:pPr>
        <w:spacing w:before="120" w:after="120" w:line="240" w:lineRule="auto"/>
        <w:jc w:val="both"/>
        <w:rPr>
          <w:rFonts w:ascii="Times New Roman" w:hAnsi="Times New Roman"/>
          <w:sz w:val="24"/>
          <w:szCs w:val="24"/>
        </w:rPr>
      </w:pPr>
      <w:r>
        <w:rPr>
          <w:noProof/>
          <w:lang w:eastAsia="lv-LV"/>
        </w:rPr>
        <w:drawing>
          <wp:inline distT="0" distB="0" distL="0" distR="0" wp14:anchorId="2757C21E" wp14:editId="2D62BCAB">
            <wp:extent cx="6010275" cy="33147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7E2207A" w14:textId="59AFEA76" w:rsidR="00D052C7" w:rsidRDefault="004C61A5" w:rsidP="00D052C7">
      <w:pPr>
        <w:spacing w:after="0" w:line="240" w:lineRule="auto"/>
        <w:ind w:firstLine="567"/>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w:t>
      </w:r>
      <w:r w:rsidR="00477A91">
        <w:rPr>
          <w:rFonts w:ascii="Times New Roman" w:eastAsia="Times New Roman" w:hAnsi="Times New Roman"/>
          <w:b/>
          <w:bCs/>
          <w:color w:val="000000"/>
          <w:sz w:val="24"/>
          <w:szCs w:val="24"/>
        </w:rPr>
        <w:t> </w:t>
      </w:r>
      <w:r>
        <w:rPr>
          <w:rFonts w:ascii="Times New Roman" w:eastAsia="Times New Roman" w:hAnsi="Times New Roman"/>
          <w:b/>
          <w:bCs/>
          <w:color w:val="000000"/>
          <w:sz w:val="24"/>
          <w:szCs w:val="24"/>
        </w:rPr>
        <w:t xml:space="preserve">attēls. </w:t>
      </w:r>
      <w:r w:rsidRPr="004C61A5">
        <w:rPr>
          <w:rFonts w:ascii="Times New Roman" w:eastAsia="Times New Roman" w:hAnsi="Times New Roman"/>
          <w:b/>
          <w:bCs/>
          <w:color w:val="000000"/>
          <w:sz w:val="24"/>
          <w:szCs w:val="24"/>
        </w:rPr>
        <w:t xml:space="preserve">Latvijas SEG emisiju sadalījums pa nozarēm 2016. gadā </w:t>
      </w:r>
    </w:p>
    <w:p w14:paraId="61E6D0CB" w14:textId="13B71464" w:rsidR="00DC0D30" w:rsidRDefault="004C61A5" w:rsidP="005E7AA5">
      <w:pPr>
        <w:spacing w:after="120" w:line="240" w:lineRule="auto"/>
        <w:ind w:firstLine="567"/>
        <w:jc w:val="center"/>
        <w:rPr>
          <w:rFonts w:ascii="Times New Roman" w:eastAsia="Times New Roman" w:hAnsi="Times New Roman"/>
          <w:b/>
          <w:bCs/>
          <w:color w:val="000000"/>
          <w:sz w:val="24"/>
          <w:szCs w:val="24"/>
        </w:rPr>
      </w:pPr>
      <w:r w:rsidRPr="004C61A5">
        <w:rPr>
          <w:rFonts w:ascii="Times New Roman" w:eastAsia="Times New Roman" w:hAnsi="Times New Roman"/>
          <w:b/>
          <w:bCs/>
          <w:color w:val="000000"/>
          <w:sz w:val="24"/>
          <w:szCs w:val="24"/>
        </w:rPr>
        <w:t>(neskaitot ZIZIMM)</w:t>
      </w:r>
    </w:p>
    <w:p w14:paraId="740B8A43" w14:textId="692A3790" w:rsidR="005E7AA5" w:rsidRDefault="0065593D" w:rsidP="00477A91">
      <w:pPr>
        <w:spacing w:after="120" w:line="240" w:lineRule="auto"/>
        <w:ind w:firstLine="709"/>
        <w:jc w:val="both"/>
        <w:rPr>
          <w:rFonts w:ascii="Times New Roman" w:hAnsi="Times New Roman"/>
          <w:sz w:val="24"/>
          <w:szCs w:val="24"/>
        </w:rPr>
      </w:pPr>
      <w:r w:rsidRPr="002509EC">
        <w:rPr>
          <w:rFonts w:ascii="Times New Roman" w:hAnsi="Times New Roman"/>
          <w:sz w:val="24"/>
          <w:szCs w:val="24"/>
        </w:rPr>
        <w:t>Enerģētika (neskaitot transportu) ir lielākais SEG emisiju avots</w:t>
      </w:r>
      <w:r w:rsidR="00477A91">
        <w:rPr>
          <w:rFonts w:ascii="Times New Roman" w:hAnsi="Times New Roman"/>
          <w:sz w:val="24"/>
          <w:szCs w:val="24"/>
        </w:rPr>
        <w:t>,</w:t>
      </w:r>
      <w:r w:rsidRPr="002509EC">
        <w:rPr>
          <w:rFonts w:ascii="Times New Roman" w:hAnsi="Times New Roman"/>
          <w:sz w:val="24"/>
          <w:szCs w:val="24"/>
        </w:rPr>
        <w:t xml:space="preserve"> un</w:t>
      </w:r>
      <w:r w:rsidR="00652D72" w:rsidRPr="002509EC">
        <w:rPr>
          <w:rFonts w:ascii="Times New Roman" w:hAnsi="Times New Roman"/>
          <w:sz w:val="24"/>
          <w:szCs w:val="24"/>
        </w:rPr>
        <w:t xml:space="preserve"> </w:t>
      </w:r>
      <w:r w:rsidR="00477A91">
        <w:rPr>
          <w:rFonts w:ascii="Times New Roman" w:hAnsi="Times New Roman"/>
          <w:sz w:val="24"/>
          <w:szCs w:val="24"/>
        </w:rPr>
        <w:t xml:space="preserve">tas </w:t>
      </w:r>
      <w:r w:rsidR="00652D72" w:rsidRPr="002509EC">
        <w:rPr>
          <w:rFonts w:ascii="Times New Roman" w:hAnsi="Times New Roman"/>
          <w:sz w:val="24"/>
          <w:szCs w:val="24"/>
        </w:rPr>
        <w:t>radīja 35.</w:t>
      </w:r>
      <w:r w:rsidRPr="002509EC">
        <w:rPr>
          <w:rFonts w:ascii="Times New Roman" w:hAnsi="Times New Roman"/>
          <w:sz w:val="24"/>
          <w:szCs w:val="24"/>
        </w:rPr>
        <w:t>6</w:t>
      </w:r>
      <w:r w:rsidR="00DE14E6">
        <w:rPr>
          <w:rFonts w:ascii="Times New Roman" w:hAnsi="Times New Roman"/>
          <w:sz w:val="24"/>
          <w:szCs w:val="24"/>
        </w:rPr>
        <w:t> </w:t>
      </w:r>
      <w:r w:rsidRPr="002509EC">
        <w:rPr>
          <w:rFonts w:ascii="Times New Roman" w:hAnsi="Times New Roman"/>
          <w:sz w:val="24"/>
          <w:szCs w:val="24"/>
        </w:rPr>
        <w:t>%  no kopējām Latvijas 2016</w:t>
      </w:r>
      <w:r w:rsidR="00477A91" w:rsidRPr="002509EC">
        <w:rPr>
          <w:rFonts w:ascii="Times New Roman" w:hAnsi="Times New Roman"/>
          <w:sz w:val="24"/>
          <w:szCs w:val="24"/>
        </w:rPr>
        <w:t>.</w:t>
      </w:r>
      <w:r w:rsidR="00477A91">
        <w:rPr>
          <w:rFonts w:ascii="Times New Roman" w:hAnsi="Times New Roman"/>
          <w:sz w:val="24"/>
          <w:szCs w:val="24"/>
        </w:rPr>
        <w:t> </w:t>
      </w:r>
      <w:r w:rsidRPr="002509EC">
        <w:rPr>
          <w:rFonts w:ascii="Times New Roman" w:hAnsi="Times New Roman"/>
          <w:sz w:val="24"/>
          <w:szCs w:val="24"/>
        </w:rPr>
        <w:t>gada SEG emisijām</w:t>
      </w:r>
      <w:r w:rsidR="00477A91">
        <w:rPr>
          <w:rFonts w:ascii="Times New Roman" w:hAnsi="Times New Roman"/>
          <w:sz w:val="24"/>
          <w:szCs w:val="24"/>
        </w:rPr>
        <w:t>,</w:t>
      </w:r>
      <w:r w:rsidRPr="002509EC">
        <w:rPr>
          <w:rFonts w:ascii="Times New Roman" w:hAnsi="Times New Roman"/>
          <w:sz w:val="24"/>
          <w:szCs w:val="24"/>
        </w:rPr>
        <w:t xml:space="preserve"> neskaitot ZIZIMM. </w:t>
      </w:r>
      <w:r w:rsidR="004C61A5" w:rsidRPr="002509EC">
        <w:rPr>
          <w:rFonts w:ascii="Times New Roman" w:hAnsi="Times New Roman"/>
          <w:sz w:val="24"/>
          <w:szCs w:val="24"/>
        </w:rPr>
        <w:t>2016</w:t>
      </w:r>
      <w:r w:rsidR="00477A91" w:rsidRPr="002509EC">
        <w:rPr>
          <w:rFonts w:ascii="Times New Roman" w:hAnsi="Times New Roman"/>
          <w:sz w:val="24"/>
          <w:szCs w:val="24"/>
        </w:rPr>
        <w:t>.</w:t>
      </w:r>
      <w:r w:rsidR="00477A91">
        <w:rPr>
          <w:rFonts w:ascii="Times New Roman" w:hAnsi="Times New Roman"/>
          <w:sz w:val="24"/>
          <w:szCs w:val="24"/>
        </w:rPr>
        <w:t> </w:t>
      </w:r>
      <w:r w:rsidR="004C61A5" w:rsidRPr="002509EC">
        <w:rPr>
          <w:rFonts w:ascii="Times New Roman" w:hAnsi="Times New Roman"/>
          <w:sz w:val="24"/>
          <w:szCs w:val="24"/>
        </w:rPr>
        <w:t>gadā enerģētikas sektors ir visliel</w:t>
      </w:r>
      <w:r w:rsidR="005E7AA5" w:rsidRPr="002509EC">
        <w:rPr>
          <w:rFonts w:ascii="Times New Roman" w:hAnsi="Times New Roman"/>
          <w:sz w:val="24"/>
          <w:szCs w:val="24"/>
        </w:rPr>
        <w:t>ā</w:t>
      </w:r>
      <w:r w:rsidR="00652D72" w:rsidRPr="002509EC">
        <w:rPr>
          <w:rFonts w:ascii="Times New Roman" w:hAnsi="Times New Roman"/>
          <w:sz w:val="24"/>
          <w:szCs w:val="24"/>
        </w:rPr>
        <w:t>kais SEG emisiju avots radot 35.</w:t>
      </w:r>
      <w:r w:rsidR="005E7AA5" w:rsidRPr="002509EC">
        <w:rPr>
          <w:rFonts w:ascii="Times New Roman" w:hAnsi="Times New Roman"/>
          <w:sz w:val="24"/>
          <w:szCs w:val="24"/>
        </w:rPr>
        <w:t>6</w:t>
      </w:r>
      <w:r w:rsidR="00DE14E6">
        <w:rPr>
          <w:rFonts w:ascii="Times New Roman" w:hAnsi="Times New Roman"/>
          <w:sz w:val="24"/>
          <w:szCs w:val="24"/>
        </w:rPr>
        <w:t> </w:t>
      </w:r>
      <w:r w:rsidR="004C61A5" w:rsidRPr="002509EC">
        <w:rPr>
          <w:rFonts w:ascii="Times New Roman" w:hAnsi="Times New Roman"/>
          <w:sz w:val="24"/>
          <w:szCs w:val="24"/>
        </w:rPr>
        <w:t xml:space="preserve">% no kopējām. </w:t>
      </w:r>
      <w:r w:rsidRPr="002509EC">
        <w:rPr>
          <w:rFonts w:ascii="Times New Roman" w:hAnsi="Times New Roman"/>
          <w:sz w:val="24"/>
          <w:szCs w:val="24"/>
        </w:rPr>
        <w:t>Enerģētikas sektorā tiek uzskaitītas emisijas no sadedzināšanas procesiem visās tautsaimniecības nozarēs. Lielāko daļu no emisijām enerģētikas nozarē rada publiskā elektroenerģijas u</w:t>
      </w:r>
      <w:r w:rsidR="00652D72" w:rsidRPr="002509EC">
        <w:rPr>
          <w:rFonts w:ascii="Times New Roman" w:hAnsi="Times New Roman"/>
          <w:sz w:val="24"/>
          <w:szCs w:val="24"/>
        </w:rPr>
        <w:t>n siltumenerģijas ražošana – 45.</w:t>
      </w:r>
      <w:r w:rsidRPr="002509EC">
        <w:rPr>
          <w:rFonts w:ascii="Times New Roman" w:hAnsi="Times New Roman"/>
          <w:sz w:val="24"/>
          <w:szCs w:val="24"/>
        </w:rPr>
        <w:t>6</w:t>
      </w:r>
      <w:r w:rsidR="00DE14E6">
        <w:rPr>
          <w:rFonts w:ascii="Times New Roman" w:hAnsi="Times New Roman"/>
          <w:sz w:val="24"/>
          <w:szCs w:val="24"/>
        </w:rPr>
        <w:t> </w:t>
      </w:r>
      <w:r w:rsidRPr="002509EC">
        <w:rPr>
          <w:rFonts w:ascii="Times New Roman" w:hAnsi="Times New Roman"/>
          <w:sz w:val="24"/>
          <w:szCs w:val="24"/>
        </w:rPr>
        <w:t>%, tad seko komerciālais, institucionālais, mājsaimniecības, lauksaimniecības, mežsaimniecības</w:t>
      </w:r>
      <w:r w:rsidR="00652D72" w:rsidRPr="002509EC">
        <w:rPr>
          <w:rFonts w:ascii="Times New Roman" w:hAnsi="Times New Roman"/>
          <w:sz w:val="24"/>
          <w:szCs w:val="24"/>
        </w:rPr>
        <w:t xml:space="preserve"> un zivsaimniecības sektori (35.</w:t>
      </w:r>
      <w:r w:rsidRPr="002509EC">
        <w:rPr>
          <w:rFonts w:ascii="Times New Roman" w:hAnsi="Times New Roman"/>
          <w:sz w:val="24"/>
          <w:szCs w:val="24"/>
        </w:rPr>
        <w:t>7</w:t>
      </w:r>
      <w:r w:rsidR="00DE14E6">
        <w:rPr>
          <w:rFonts w:ascii="Times New Roman" w:hAnsi="Times New Roman"/>
          <w:sz w:val="24"/>
          <w:szCs w:val="24"/>
        </w:rPr>
        <w:t> </w:t>
      </w:r>
      <w:r w:rsidRPr="002509EC">
        <w:rPr>
          <w:rFonts w:ascii="Times New Roman" w:hAnsi="Times New Roman"/>
          <w:sz w:val="24"/>
          <w:szCs w:val="24"/>
        </w:rPr>
        <w:t xml:space="preserve">%), atlikušo daļu veido apstrādes rūpniecība un būvniecība, militārais transports un </w:t>
      </w:r>
      <w:proofErr w:type="spellStart"/>
      <w:r w:rsidRPr="002509EC">
        <w:rPr>
          <w:rFonts w:ascii="Times New Roman" w:hAnsi="Times New Roman"/>
          <w:sz w:val="24"/>
          <w:szCs w:val="24"/>
        </w:rPr>
        <w:t>difūzās</w:t>
      </w:r>
      <w:proofErr w:type="spellEnd"/>
      <w:r w:rsidRPr="002509EC">
        <w:rPr>
          <w:rFonts w:ascii="Times New Roman" w:hAnsi="Times New Roman"/>
          <w:sz w:val="24"/>
          <w:szCs w:val="24"/>
        </w:rPr>
        <w:t xml:space="preserve"> emisijas no naftas un dabasgāzes. Pēdējos gados enerģētikas sektora emisijas svārstās atkarībā no ekonomiskajām izmaiņām valstī un būtiski atšķirīgām ziemas vidējām temperatūrām. Savukārt </w:t>
      </w:r>
      <w:r w:rsidR="0010363D">
        <w:rPr>
          <w:rFonts w:ascii="Times New Roman" w:hAnsi="Times New Roman"/>
          <w:sz w:val="24"/>
          <w:szCs w:val="24"/>
        </w:rPr>
        <w:t>t</w:t>
      </w:r>
      <w:r w:rsidR="00652D72" w:rsidRPr="002509EC">
        <w:rPr>
          <w:rFonts w:ascii="Times New Roman" w:hAnsi="Times New Roman"/>
          <w:sz w:val="24"/>
          <w:szCs w:val="24"/>
        </w:rPr>
        <w:t>ransporta sektors radīja 28.</w:t>
      </w:r>
      <w:r w:rsidR="005E7AA5" w:rsidRPr="002509EC">
        <w:rPr>
          <w:rFonts w:ascii="Times New Roman" w:hAnsi="Times New Roman"/>
          <w:sz w:val="24"/>
          <w:szCs w:val="24"/>
        </w:rPr>
        <w:t>3%</w:t>
      </w:r>
      <w:r w:rsidR="007272BA" w:rsidRPr="002509EC">
        <w:rPr>
          <w:rFonts w:ascii="Times New Roman" w:hAnsi="Times New Roman"/>
          <w:sz w:val="24"/>
          <w:szCs w:val="24"/>
        </w:rPr>
        <w:t xml:space="preserve"> no kopējām </w:t>
      </w:r>
      <w:r w:rsidR="009D56FE" w:rsidRPr="002509EC">
        <w:rPr>
          <w:rFonts w:ascii="Times New Roman" w:hAnsi="Times New Roman"/>
          <w:sz w:val="24"/>
          <w:szCs w:val="24"/>
        </w:rPr>
        <w:t>2016.</w:t>
      </w:r>
      <w:r w:rsidR="00477A91">
        <w:rPr>
          <w:rFonts w:ascii="Times New Roman" w:hAnsi="Times New Roman"/>
          <w:sz w:val="24"/>
          <w:szCs w:val="24"/>
        </w:rPr>
        <w:t> </w:t>
      </w:r>
      <w:r w:rsidR="009D56FE" w:rsidRPr="002509EC">
        <w:rPr>
          <w:rFonts w:ascii="Times New Roman" w:hAnsi="Times New Roman"/>
          <w:sz w:val="24"/>
          <w:szCs w:val="24"/>
        </w:rPr>
        <w:t xml:space="preserve">gada </w:t>
      </w:r>
      <w:r w:rsidR="007272BA" w:rsidRPr="002509EC">
        <w:rPr>
          <w:rFonts w:ascii="Times New Roman" w:hAnsi="Times New Roman"/>
          <w:sz w:val="24"/>
          <w:szCs w:val="24"/>
        </w:rPr>
        <w:t xml:space="preserve">Latvijas </w:t>
      </w:r>
      <w:r w:rsidR="004C7158" w:rsidRPr="002509EC">
        <w:rPr>
          <w:rFonts w:ascii="Times New Roman" w:hAnsi="Times New Roman"/>
          <w:sz w:val="24"/>
          <w:szCs w:val="24"/>
        </w:rPr>
        <w:t>SEG emisijām, kur l</w:t>
      </w:r>
      <w:r w:rsidR="009D56FE" w:rsidRPr="002509EC">
        <w:rPr>
          <w:rFonts w:ascii="Times New Roman" w:hAnsi="Times New Roman"/>
          <w:sz w:val="24"/>
          <w:szCs w:val="24"/>
        </w:rPr>
        <w:t xml:space="preserve">ielāko daļu no emisijām </w:t>
      </w:r>
      <w:r w:rsidR="00652D72" w:rsidRPr="002509EC">
        <w:rPr>
          <w:rFonts w:ascii="Times New Roman" w:hAnsi="Times New Roman"/>
          <w:sz w:val="24"/>
          <w:szCs w:val="24"/>
        </w:rPr>
        <w:t>rada tieši ceļa transports – 93.</w:t>
      </w:r>
      <w:r w:rsidR="009D56FE" w:rsidRPr="002509EC">
        <w:rPr>
          <w:rFonts w:ascii="Times New Roman" w:hAnsi="Times New Roman"/>
          <w:sz w:val="24"/>
          <w:szCs w:val="24"/>
        </w:rPr>
        <w:t>4</w:t>
      </w:r>
      <w:r w:rsidR="00DE14E6">
        <w:rPr>
          <w:rFonts w:ascii="Times New Roman" w:hAnsi="Times New Roman"/>
          <w:sz w:val="24"/>
          <w:szCs w:val="24"/>
        </w:rPr>
        <w:t> </w:t>
      </w:r>
      <w:r w:rsidR="009D56FE" w:rsidRPr="002509EC">
        <w:rPr>
          <w:rFonts w:ascii="Times New Roman" w:hAnsi="Times New Roman"/>
          <w:sz w:val="24"/>
          <w:szCs w:val="24"/>
        </w:rPr>
        <w:t xml:space="preserve">%, tad seko </w:t>
      </w:r>
      <w:r w:rsidR="004C7158" w:rsidRPr="002509EC">
        <w:rPr>
          <w:rFonts w:ascii="Times New Roman" w:hAnsi="Times New Roman"/>
          <w:sz w:val="24"/>
          <w:szCs w:val="24"/>
        </w:rPr>
        <w:t>dzelz</w:t>
      </w:r>
      <w:r w:rsidR="009D56FE" w:rsidRPr="002509EC">
        <w:rPr>
          <w:rFonts w:ascii="Times New Roman" w:hAnsi="Times New Roman"/>
          <w:sz w:val="24"/>
          <w:szCs w:val="24"/>
        </w:rPr>
        <w:t>ce</w:t>
      </w:r>
      <w:r w:rsidR="009F3E3B" w:rsidRPr="002509EC">
        <w:rPr>
          <w:rFonts w:ascii="Times New Roman" w:hAnsi="Times New Roman"/>
          <w:sz w:val="24"/>
          <w:szCs w:val="24"/>
        </w:rPr>
        <w:t>ļa</w:t>
      </w:r>
      <w:r w:rsidR="004C7158" w:rsidRPr="002509EC">
        <w:rPr>
          <w:rFonts w:ascii="Times New Roman" w:hAnsi="Times New Roman"/>
          <w:sz w:val="24"/>
          <w:szCs w:val="24"/>
        </w:rPr>
        <w:t xml:space="preserve"> transports </w:t>
      </w:r>
      <w:r w:rsidR="00652D72" w:rsidRPr="002509EC">
        <w:rPr>
          <w:rFonts w:ascii="Times New Roman" w:hAnsi="Times New Roman"/>
          <w:sz w:val="24"/>
          <w:szCs w:val="24"/>
        </w:rPr>
        <w:t>– 6.</w:t>
      </w:r>
      <w:r w:rsidR="009F3E3B" w:rsidRPr="002509EC">
        <w:rPr>
          <w:rFonts w:ascii="Times New Roman" w:hAnsi="Times New Roman"/>
          <w:sz w:val="24"/>
          <w:szCs w:val="24"/>
        </w:rPr>
        <w:t>1</w:t>
      </w:r>
      <w:r w:rsidR="00DE14E6">
        <w:rPr>
          <w:rFonts w:ascii="Times New Roman" w:hAnsi="Times New Roman"/>
          <w:sz w:val="24"/>
          <w:szCs w:val="24"/>
        </w:rPr>
        <w:t> </w:t>
      </w:r>
      <w:r w:rsidR="009F3E3B" w:rsidRPr="002509EC">
        <w:rPr>
          <w:rFonts w:ascii="Times New Roman" w:hAnsi="Times New Roman"/>
          <w:sz w:val="24"/>
          <w:szCs w:val="24"/>
        </w:rPr>
        <w:t>%.</w:t>
      </w:r>
    </w:p>
    <w:p w14:paraId="1D45778F" w14:textId="6073820A" w:rsidR="004C61A5" w:rsidRDefault="005E7AA5" w:rsidP="00477A91">
      <w:pPr>
        <w:spacing w:after="120" w:line="240" w:lineRule="auto"/>
        <w:ind w:firstLine="709"/>
        <w:jc w:val="both"/>
        <w:rPr>
          <w:rFonts w:ascii="Trebuchet MS" w:hAnsi="Trebuchet MS"/>
          <w:sz w:val="24"/>
          <w:szCs w:val="24"/>
        </w:rPr>
      </w:pPr>
      <w:r>
        <w:rPr>
          <w:rFonts w:ascii="Times New Roman" w:hAnsi="Times New Roman"/>
          <w:sz w:val="24"/>
          <w:szCs w:val="24"/>
        </w:rPr>
        <w:t>Lauksaimniecība ir trešais</w:t>
      </w:r>
      <w:r w:rsidR="004C61A5" w:rsidRPr="004C61A5">
        <w:rPr>
          <w:rFonts w:ascii="Times New Roman" w:hAnsi="Times New Roman"/>
          <w:sz w:val="24"/>
          <w:szCs w:val="24"/>
        </w:rPr>
        <w:t xml:space="preserve"> lielākais emisiju sektors, kas radīja 23.6</w:t>
      </w:r>
      <w:r w:rsidR="00DE14E6">
        <w:rPr>
          <w:rFonts w:ascii="Times New Roman" w:hAnsi="Times New Roman"/>
          <w:sz w:val="24"/>
          <w:szCs w:val="24"/>
        </w:rPr>
        <w:t> </w:t>
      </w:r>
      <w:r w:rsidR="004C61A5" w:rsidRPr="004C61A5">
        <w:rPr>
          <w:rFonts w:ascii="Times New Roman" w:hAnsi="Times New Roman"/>
          <w:sz w:val="24"/>
          <w:szCs w:val="24"/>
        </w:rPr>
        <w:t>% no kopējām Latvijas SEG emisijām 2016.</w:t>
      </w:r>
      <w:r w:rsidR="00477A91">
        <w:rPr>
          <w:rFonts w:ascii="Times New Roman" w:hAnsi="Times New Roman"/>
          <w:sz w:val="24"/>
          <w:szCs w:val="24"/>
        </w:rPr>
        <w:t> </w:t>
      </w:r>
      <w:r w:rsidR="004C61A5" w:rsidRPr="004C61A5">
        <w:rPr>
          <w:rFonts w:ascii="Times New Roman" w:hAnsi="Times New Roman"/>
          <w:sz w:val="24"/>
          <w:szCs w:val="24"/>
        </w:rPr>
        <w:t xml:space="preserve">gadā neskaitot ZIZIMM. </w:t>
      </w:r>
      <w:r w:rsidR="00B82E47">
        <w:rPr>
          <w:rFonts w:ascii="Times New Roman" w:hAnsi="Times New Roman"/>
          <w:sz w:val="24"/>
          <w:szCs w:val="24"/>
        </w:rPr>
        <w:t>SEG e</w:t>
      </w:r>
      <w:r w:rsidR="004C61A5" w:rsidRPr="004C61A5">
        <w:rPr>
          <w:rFonts w:ascii="Times New Roman" w:hAnsi="Times New Roman"/>
          <w:sz w:val="24"/>
          <w:szCs w:val="24"/>
        </w:rPr>
        <w:t xml:space="preserve">misijas no lauksaimniecības augsnēm veidoja </w:t>
      </w:r>
      <w:r w:rsidR="004C61A5" w:rsidRPr="004C61A5">
        <w:rPr>
          <w:rFonts w:ascii="Times New Roman" w:hAnsi="Times New Roman"/>
          <w:sz w:val="24"/>
          <w:szCs w:val="24"/>
        </w:rPr>
        <w:lastRenderedPageBreak/>
        <w:t>lielāko daļu (59.5</w:t>
      </w:r>
      <w:r w:rsidR="00DE14E6">
        <w:rPr>
          <w:rFonts w:ascii="Times New Roman" w:hAnsi="Times New Roman"/>
          <w:sz w:val="24"/>
          <w:szCs w:val="24"/>
        </w:rPr>
        <w:t> </w:t>
      </w:r>
      <w:r w:rsidR="004C61A5" w:rsidRPr="004C61A5">
        <w:rPr>
          <w:rFonts w:ascii="Times New Roman" w:hAnsi="Times New Roman"/>
          <w:sz w:val="24"/>
          <w:szCs w:val="24"/>
        </w:rPr>
        <w:t xml:space="preserve">%) no </w:t>
      </w:r>
      <w:r w:rsidR="00252C71">
        <w:rPr>
          <w:rFonts w:ascii="Times New Roman" w:hAnsi="Times New Roman"/>
          <w:sz w:val="24"/>
          <w:szCs w:val="24"/>
        </w:rPr>
        <w:t xml:space="preserve">lauksaimniecības </w:t>
      </w:r>
      <w:r w:rsidR="004C61A5" w:rsidRPr="004C61A5">
        <w:rPr>
          <w:rFonts w:ascii="Times New Roman" w:hAnsi="Times New Roman"/>
          <w:sz w:val="24"/>
          <w:szCs w:val="24"/>
        </w:rPr>
        <w:t xml:space="preserve">sektora kopējām </w:t>
      </w:r>
      <w:r w:rsidR="00B82E47">
        <w:rPr>
          <w:rFonts w:ascii="Times New Roman" w:hAnsi="Times New Roman"/>
          <w:sz w:val="24"/>
          <w:szCs w:val="24"/>
        </w:rPr>
        <w:t>2016.</w:t>
      </w:r>
      <w:r w:rsidR="00DE14E6">
        <w:rPr>
          <w:rFonts w:ascii="Times New Roman" w:hAnsi="Times New Roman"/>
          <w:sz w:val="24"/>
          <w:szCs w:val="24"/>
        </w:rPr>
        <w:t> </w:t>
      </w:r>
      <w:r w:rsidR="00B82E47">
        <w:rPr>
          <w:rFonts w:ascii="Times New Roman" w:hAnsi="Times New Roman"/>
          <w:sz w:val="24"/>
          <w:szCs w:val="24"/>
        </w:rPr>
        <w:t>gada</w:t>
      </w:r>
      <w:r w:rsidR="00B82E47" w:rsidRPr="004C61A5">
        <w:rPr>
          <w:rFonts w:ascii="Times New Roman" w:hAnsi="Times New Roman"/>
          <w:sz w:val="24"/>
          <w:szCs w:val="24"/>
        </w:rPr>
        <w:t xml:space="preserve"> </w:t>
      </w:r>
      <w:r w:rsidR="004C61A5" w:rsidRPr="004C61A5">
        <w:rPr>
          <w:rFonts w:ascii="Times New Roman" w:hAnsi="Times New Roman"/>
          <w:sz w:val="24"/>
          <w:szCs w:val="24"/>
        </w:rPr>
        <w:t xml:space="preserve">emisijām, savukārt lauksaimniecības dzīvnieku zarnu fermentācijas procesu emisijas bija </w:t>
      </w:r>
      <w:r w:rsidR="00401E5D">
        <w:rPr>
          <w:rFonts w:ascii="Times New Roman" w:hAnsi="Times New Roman"/>
          <w:sz w:val="24"/>
          <w:szCs w:val="24"/>
        </w:rPr>
        <w:t>32.3</w:t>
      </w:r>
      <w:r w:rsidR="00DE14E6">
        <w:rPr>
          <w:rFonts w:ascii="Times New Roman" w:hAnsi="Times New Roman"/>
          <w:sz w:val="24"/>
          <w:szCs w:val="24"/>
        </w:rPr>
        <w:t> </w:t>
      </w:r>
      <w:r w:rsidR="00401E5D">
        <w:rPr>
          <w:rFonts w:ascii="Times New Roman" w:hAnsi="Times New Roman"/>
          <w:sz w:val="24"/>
          <w:szCs w:val="24"/>
        </w:rPr>
        <w:t>%, kūtsmēslu apsaimniekošana</w:t>
      </w:r>
      <w:r w:rsidR="004C61A5" w:rsidRPr="004C61A5">
        <w:rPr>
          <w:rFonts w:ascii="Times New Roman" w:hAnsi="Times New Roman"/>
          <w:sz w:val="24"/>
          <w:szCs w:val="24"/>
        </w:rPr>
        <w:t xml:space="preserve"> 7.1</w:t>
      </w:r>
      <w:r w:rsidR="00DE14E6">
        <w:rPr>
          <w:rFonts w:ascii="Times New Roman" w:hAnsi="Times New Roman"/>
          <w:sz w:val="24"/>
          <w:szCs w:val="24"/>
        </w:rPr>
        <w:t> </w:t>
      </w:r>
      <w:r w:rsidR="004C61A5" w:rsidRPr="004C61A5">
        <w:rPr>
          <w:rFonts w:ascii="Times New Roman" w:hAnsi="Times New Roman"/>
          <w:sz w:val="24"/>
          <w:szCs w:val="24"/>
        </w:rPr>
        <w:t>%, savukārt kaļķošana un karbamīda izmantošana kopā veidoja 1.1</w:t>
      </w:r>
      <w:r w:rsidR="00DE14E6">
        <w:rPr>
          <w:rFonts w:ascii="Times New Roman" w:hAnsi="Times New Roman"/>
          <w:sz w:val="24"/>
          <w:szCs w:val="24"/>
        </w:rPr>
        <w:t> </w:t>
      </w:r>
      <w:r w:rsidR="004C61A5" w:rsidRPr="004C61A5">
        <w:rPr>
          <w:rFonts w:ascii="Times New Roman" w:hAnsi="Times New Roman"/>
          <w:sz w:val="24"/>
          <w:szCs w:val="24"/>
        </w:rPr>
        <w:t>% no kopējām lau</w:t>
      </w:r>
      <w:r w:rsidR="004C307A">
        <w:rPr>
          <w:rFonts w:ascii="Times New Roman" w:hAnsi="Times New Roman"/>
          <w:sz w:val="24"/>
          <w:szCs w:val="24"/>
        </w:rPr>
        <w:t>ksaimniecības emisijām</w:t>
      </w:r>
      <w:r w:rsidR="004C61A5" w:rsidRPr="004C61A5">
        <w:rPr>
          <w:rFonts w:ascii="Times New Roman" w:hAnsi="Times New Roman"/>
          <w:sz w:val="24"/>
          <w:szCs w:val="24"/>
        </w:rPr>
        <w:t>.</w:t>
      </w:r>
      <w:r w:rsidR="00401E5D">
        <w:rPr>
          <w:rFonts w:ascii="Times New Roman" w:hAnsi="Times New Roman"/>
          <w:sz w:val="24"/>
          <w:szCs w:val="24"/>
        </w:rPr>
        <w:t xml:space="preserve"> Atkritumu apsaimniekošana un Rūpnieciskie procesi un produktu izmantošanas sektori radīja aptuveni 6% no kopējām emisijām.</w:t>
      </w:r>
    </w:p>
    <w:p w14:paraId="752D8781" w14:textId="0A0BDF93" w:rsidR="000B0D7F" w:rsidRDefault="002F6B8A" w:rsidP="000B0D7F">
      <w:pPr>
        <w:spacing w:before="80" w:after="80" w:line="240" w:lineRule="auto"/>
        <w:ind w:firstLine="720"/>
        <w:jc w:val="both"/>
        <w:rPr>
          <w:rFonts w:ascii="Times New Roman" w:hAnsi="Times New Roman"/>
          <w:sz w:val="24"/>
          <w:szCs w:val="24"/>
        </w:rPr>
      </w:pPr>
      <w:r w:rsidRPr="00B82E47">
        <w:rPr>
          <w:rFonts w:ascii="Times New Roman" w:hAnsi="Times New Roman"/>
          <w:sz w:val="24"/>
          <w:szCs w:val="24"/>
        </w:rPr>
        <w:t>2016. gadā Latvijas kopējā</w:t>
      </w:r>
      <w:r w:rsidRPr="003E6DA1">
        <w:rPr>
          <w:rFonts w:ascii="Times New Roman" w:hAnsi="Times New Roman"/>
          <w:sz w:val="24"/>
          <w:szCs w:val="24"/>
        </w:rPr>
        <w:t xml:space="preserve"> SEG emisiju apjomā dominēja ne-ETS </w:t>
      </w:r>
      <w:r w:rsidR="000B0D7F">
        <w:rPr>
          <w:rFonts w:ascii="Times New Roman" w:hAnsi="Times New Roman"/>
          <w:sz w:val="24"/>
          <w:szCs w:val="24"/>
        </w:rPr>
        <w:t>darbību SEG emisiju apjoms – 80.</w:t>
      </w:r>
      <w:r w:rsidRPr="003E6DA1">
        <w:rPr>
          <w:rFonts w:ascii="Times New Roman" w:hAnsi="Times New Roman"/>
          <w:sz w:val="24"/>
          <w:szCs w:val="24"/>
        </w:rPr>
        <w:t xml:space="preserve">6 %, </w:t>
      </w:r>
      <w:r w:rsidR="00252C71">
        <w:rPr>
          <w:rFonts w:ascii="Times New Roman" w:hAnsi="Times New Roman"/>
          <w:sz w:val="24"/>
          <w:szCs w:val="24"/>
        </w:rPr>
        <w:t>lai gan</w:t>
      </w:r>
      <w:r w:rsidR="00252C71" w:rsidRPr="003E6DA1">
        <w:rPr>
          <w:rFonts w:ascii="Times New Roman" w:hAnsi="Times New Roman"/>
          <w:sz w:val="24"/>
          <w:szCs w:val="24"/>
        </w:rPr>
        <w:t xml:space="preserve"> </w:t>
      </w:r>
      <w:r w:rsidRPr="003E6DA1">
        <w:rPr>
          <w:rFonts w:ascii="Times New Roman" w:hAnsi="Times New Roman"/>
          <w:sz w:val="24"/>
          <w:szCs w:val="24"/>
        </w:rPr>
        <w:t xml:space="preserve">2017. gada aptuvenais ne-ETS darbību SEG emisiju apjoma īpatsvars kopējā Latvijas SEG emisiju apjomā </w:t>
      </w:r>
      <w:r w:rsidR="00252C71">
        <w:rPr>
          <w:rFonts w:ascii="Times New Roman" w:hAnsi="Times New Roman"/>
          <w:sz w:val="24"/>
          <w:szCs w:val="24"/>
        </w:rPr>
        <w:t>bija</w:t>
      </w:r>
      <w:r w:rsidR="00252C71" w:rsidRPr="003E6DA1">
        <w:rPr>
          <w:rFonts w:ascii="Times New Roman" w:hAnsi="Times New Roman"/>
          <w:sz w:val="24"/>
          <w:szCs w:val="24"/>
        </w:rPr>
        <w:t xml:space="preserve"> </w:t>
      </w:r>
      <w:r w:rsidR="000B0D7F">
        <w:rPr>
          <w:rFonts w:ascii="Times New Roman" w:hAnsi="Times New Roman"/>
          <w:sz w:val="24"/>
          <w:szCs w:val="24"/>
        </w:rPr>
        <w:t>mazliet lielāks – 81.</w:t>
      </w:r>
      <w:r w:rsidRPr="003E6DA1">
        <w:rPr>
          <w:rFonts w:ascii="Times New Roman" w:hAnsi="Times New Roman"/>
          <w:sz w:val="24"/>
          <w:szCs w:val="24"/>
        </w:rPr>
        <w:t xml:space="preserve">8 %. </w:t>
      </w:r>
    </w:p>
    <w:p w14:paraId="3363B8B6" w14:textId="267E9A54" w:rsidR="002F6B8A" w:rsidRDefault="002F6B8A" w:rsidP="000B0D7F">
      <w:pPr>
        <w:spacing w:before="80" w:after="80" w:line="240" w:lineRule="auto"/>
        <w:ind w:firstLine="720"/>
        <w:jc w:val="both"/>
        <w:rPr>
          <w:rFonts w:ascii="Times New Roman" w:hAnsi="Times New Roman"/>
          <w:sz w:val="24"/>
          <w:szCs w:val="24"/>
        </w:rPr>
      </w:pPr>
      <w:r w:rsidRPr="003E6DA1">
        <w:rPr>
          <w:rFonts w:ascii="Times New Roman" w:hAnsi="Times New Roman"/>
          <w:sz w:val="24"/>
          <w:szCs w:val="24"/>
        </w:rPr>
        <w:t>Latvijas ETS operatoru radītais SEG e</w:t>
      </w:r>
      <w:r w:rsidR="00401E5D">
        <w:rPr>
          <w:rFonts w:ascii="Times New Roman" w:hAnsi="Times New Roman"/>
          <w:sz w:val="24"/>
          <w:szCs w:val="24"/>
        </w:rPr>
        <w:t>misiju apjoms 2016. gadā bija 2</w:t>
      </w:r>
      <w:r w:rsidRPr="003E6DA1">
        <w:rPr>
          <w:rFonts w:ascii="Times New Roman" w:hAnsi="Times New Roman"/>
          <w:sz w:val="24"/>
          <w:szCs w:val="24"/>
        </w:rPr>
        <w:t xml:space="preserve">197 </w:t>
      </w:r>
      <w:proofErr w:type="spellStart"/>
      <w:r w:rsidRPr="003E6DA1">
        <w:rPr>
          <w:rFonts w:ascii="Times New Roman" w:hAnsi="Times New Roman"/>
          <w:sz w:val="24"/>
          <w:szCs w:val="24"/>
        </w:rPr>
        <w:t>kt</w:t>
      </w:r>
      <w:proofErr w:type="spellEnd"/>
      <w:r w:rsidRPr="003E6DA1">
        <w:rPr>
          <w:rFonts w:ascii="Times New Roman" w:hAnsi="Times New Roman"/>
          <w:sz w:val="24"/>
          <w:szCs w:val="24"/>
        </w:rPr>
        <w:t xml:space="preserve"> CO</w:t>
      </w:r>
      <w:r w:rsidRPr="003E6DA1">
        <w:rPr>
          <w:rFonts w:ascii="Times New Roman" w:hAnsi="Times New Roman"/>
          <w:sz w:val="24"/>
          <w:szCs w:val="24"/>
          <w:vertAlign w:val="subscript"/>
        </w:rPr>
        <w:t>2</w:t>
      </w:r>
      <w:r w:rsidRPr="003E6DA1">
        <w:rPr>
          <w:rFonts w:ascii="Times New Roman" w:hAnsi="Times New Roman"/>
          <w:sz w:val="24"/>
          <w:szCs w:val="24"/>
        </w:rPr>
        <w:t xml:space="preserve"> ekv</w:t>
      </w:r>
      <w:r w:rsidR="00A759F8">
        <w:rPr>
          <w:rFonts w:ascii="Times New Roman" w:hAnsi="Times New Roman"/>
          <w:sz w:val="24"/>
          <w:szCs w:val="24"/>
        </w:rPr>
        <w:t>ivalenti</w:t>
      </w:r>
      <w:r w:rsidRPr="003E6DA1">
        <w:rPr>
          <w:rFonts w:ascii="Times New Roman" w:hAnsi="Times New Roman"/>
          <w:sz w:val="24"/>
          <w:szCs w:val="24"/>
        </w:rPr>
        <w:t>, bet 2</w:t>
      </w:r>
      <w:r w:rsidR="00401E5D">
        <w:rPr>
          <w:rFonts w:ascii="Times New Roman" w:hAnsi="Times New Roman"/>
          <w:sz w:val="24"/>
          <w:szCs w:val="24"/>
        </w:rPr>
        <w:t>017. gadā – 2</w:t>
      </w:r>
      <w:r w:rsidR="000B0D7F">
        <w:rPr>
          <w:rFonts w:ascii="Times New Roman" w:hAnsi="Times New Roman"/>
          <w:sz w:val="24"/>
          <w:szCs w:val="24"/>
        </w:rPr>
        <w:t>049.</w:t>
      </w:r>
      <w:r w:rsidRPr="003E6DA1">
        <w:rPr>
          <w:rFonts w:ascii="Times New Roman" w:hAnsi="Times New Roman"/>
          <w:sz w:val="24"/>
          <w:szCs w:val="24"/>
        </w:rPr>
        <w:t xml:space="preserve">8 </w:t>
      </w:r>
      <w:proofErr w:type="spellStart"/>
      <w:r w:rsidRPr="003E6DA1">
        <w:rPr>
          <w:rFonts w:ascii="Times New Roman" w:hAnsi="Times New Roman"/>
          <w:sz w:val="24"/>
          <w:szCs w:val="24"/>
        </w:rPr>
        <w:t>kt</w:t>
      </w:r>
      <w:proofErr w:type="spellEnd"/>
      <w:r w:rsidRPr="003E6DA1">
        <w:rPr>
          <w:rFonts w:ascii="Times New Roman" w:hAnsi="Times New Roman"/>
          <w:sz w:val="24"/>
          <w:szCs w:val="24"/>
        </w:rPr>
        <w:t xml:space="preserve"> CO</w:t>
      </w:r>
      <w:r w:rsidRPr="003E6DA1">
        <w:rPr>
          <w:rFonts w:ascii="Times New Roman" w:hAnsi="Times New Roman"/>
          <w:sz w:val="24"/>
          <w:szCs w:val="24"/>
          <w:vertAlign w:val="subscript"/>
        </w:rPr>
        <w:t>2</w:t>
      </w:r>
      <w:r w:rsidR="000B0D7F">
        <w:rPr>
          <w:rFonts w:ascii="Times New Roman" w:hAnsi="Times New Roman"/>
          <w:sz w:val="24"/>
          <w:szCs w:val="24"/>
        </w:rPr>
        <w:t xml:space="preserve"> ekv</w:t>
      </w:r>
      <w:r w:rsidR="00A759F8">
        <w:rPr>
          <w:rFonts w:ascii="Times New Roman" w:hAnsi="Times New Roman"/>
          <w:sz w:val="24"/>
          <w:szCs w:val="24"/>
        </w:rPr>
        <w:t>ivalenti</w:t>
      </w:r>
      <w:r w:rsidR="000B0D7F">
        <w:rPr>
          <w:rFonts w:ascii="Times New Roman" w:hAnsi="Times New Roman"/>
          <w:sz w:val="24"/>
          <w:szCs w:val="24"/>
        </w:rPr>
        <w:t xml:space="preserve"> jeb attiecīgi 19.</w:t>
      </w:r>
      <w:r w:rsidRPr="003E6DA1">
        <w:rPr>
          <w:rFonts w:ascii="Times New Roman" w:hAnsi="Times New Roman"/>
          <w:sz w:val="24"/>
          <w:szCs w:val="24"/>
        </w:rPr>
        <w:t>4 % vai 18,2 % no kopējā Latvijas SEG emisiju apjoma.</w:t>
      </w:r>
      <w:r w:rsidR="00C602C8" w:rsidRPr="00C602C8">
        <w:t xml:space="preserve"> </w:t>
      </w:r>
      <w:r w:rsidR="00C602C8" w:rsidRPr="00C602C8">
        <w:rPr>
          <w:rFonts w:ascii="Times New Roman" w:hAnsi="Times New Roman"/>
          <w:sz w:val="24"/>
          <w:szCs w:val="24"/>
        </w:rPr>
        <w:t>Salīdzinot ar 2005. gadu</w:t>
      </w:r>
      <w:r w:rsidR="00252C71">
        <w:rPr>
          <w:rFonts w:ascii="Times New Roman" w:hAnsi="Times New Roman"/>
          <w:sz w:val="24"/>
          <w:szCs w:val="24"/>
        </w:rPr>
        <w:t>,</w:t>
      </w:r>
      <w:r w:rsidR="00C602C8" w:rsidRPr="00C602C8">
        <w:rPr>
          <w:rFonts w:ascii="Times New Roman" w:hAnsi="Times New Roman"/>
          <w:sz w:val="24"/>
          <w:szCs w:val="24"/>
        </w:rPr>
        <w:t xml:space="preserve"> </w:t>
      </w:r>
      <w:r w:rsidR="00C602C8" w:rsidRPr="002509EC">
        <w:rPr>
          <w:rFonts w:ascii="Times New Roman" w:hAnsi="Times New Roman"/>
          <w:sz w:val="24"/>
          <w:szCs w:val="24"/>
        </w:rPr>
        <w:t>Latvijas ETS operatori līdz 2016. gadam bija samazinājuši savas SEG emisijas par 23 % u</w:t>
      </w:r>
      <w:r w:rsidR="000B0D7F" w:rsidRPr="002509EC">
        <w:rPr>
          <w:rFonts w:ascii="Times New Roman" w:hAnsi="Times New Roman"/>
          <w:sz w:val="24"/>
          <w:szCs w:val="24"/>
        </w:rPr>
        <w:t>n līdz 2017. gadam – par 28,2 %, skatīt 2. attēlā.</w:t>
      </w:r>
    </w:p>
    <w:p w14:paraId="4DE89368" w14:textId="24CE581A" w:rsidR="00652D72" w:rsidRDefault="000B0D7F" w:rsidP="000B0D7F">
      <w:pPr>
        <w:spacing w:before="80" w:after="80" w:line="240" w:lineRule="auto"/>
        <w:jc w:val="center"/>
        <w:rPr>
          <w:rFonts w:ascii="Times New Roman" w:hAnsi="Times New Roman"/>
          <w:sz w:val="24"/>
          <w:szCs w:val="24"/>
        </w:rPr>
      </w:pPr>
      <w:r w:rsidRPr="000B0D7F">
        <w:rPr>
          <w:rFonts w:ascii="Times New Roman" w:hAnsi="Times New Roman"/>
          <w:noProof/>
          <w:sz w:val="16"/>
          <w:szCs w:val="16"/>
          <w:lang w:eastAsia="lv-LV"/>
        </w:rPr>
        <w:drawing>
          <wp:inline distT="0" distB="0" distL="0" distR="0" wp14:anchorId="1B16B4AA" wp14:editId="269072CF">
            <wp:extent cx="4829175" cy="274320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E558056" w14:textId="4CC2A262" w:rsidR="00652D72" w:rsidRPr="000B0D7F" w:rsidRDefault="000B0D7F" w:rsidP="000B0D7F">
      <w:pPr>
        <w:spacing w:before="80" w:after="80" w:line="240" w:lineRule="auto"/>
        <w:ind w:firstLine="720"/>
        <w:jc w:val="center"/>
        <w:rPr>
          <w:rFonts w:ascii="Times New Roman" w:hAnsi="Times New Roman"/>
          <w:b/>
          <w:sz w:val="24"/>
          <w:szCs w:val="24"/>
        </w:rPr>
      </w:pPr>
      <w:r w:rsidRPr="000B0D7F">
        <w:rPr>
          <w:rFonts w:ascii="Times New Roman" w:hAnsi="Times New Roman"/>
          <w:b/>
          <w:sz w:val="24"/>
          <w:szCs w:val="24"/>
        </w:rPr>
        <w:t>2.</w:t>
      </w:r>
      <w:r w:rsidR="00477A91">
        <w:rPr>
          <w:rFonts w:ascii="Times New Roman" w:hAnsi="Times New Roman"/>
          <w:b/>
          <w:sz w:val="24"/>
          <w:szCs w:val="24"/>
        </w:rPr>
        <w:t> </w:t>
      </w:r>
      <w:r w:rsidRPr="000B0D7F">
        <w:rPr>
          <w:rFonts w:ascii="Times New Roman" w:hAnsi="Times New Roman"/>
          <w:b/>
          <w:sz w:val="24"/>
          <w:szCs w:val="24"/>
        </w:rPr>
        <w:t>attēls. SEG emisijas no ETS sektoriem 2005. – 2017. gadam (</w:t>
      </w:r>
      <w:proofErr w:type="spellStart"/>
      <w:r w:rsidRPr="000B0D7F">
        <w:rPr>
          <w:rFonts w:ascii="Times New Roman" w:hAnsi="Times New Roman"/>
          <w:b/>
          <w:sz w:val="24"/>
          <w:szCs w:val="24"/>
        </w:rPr>
        <w:t>kt</w:t>
      </w:r>
      <w:proofErr w:type="spellEnd"/>
      <w:r w:rsidRPr="000B0D7F">
        <w:rPr>
          <w:rFonts w:ascii="Times New Roman" w:hAnsi="Times New Roman"/>
          <w:b/>
          <w:sz w:val="24"/>
          <w:szCs w:val="24"/>
        </w:rPr>
        <w:t>)</w:t>
      </w:r>
    </w:p>
    <w:p w14:paraId="63A3DCFF" w14:textId="17333E52" w:rsidR="00652D72" w:rsidRDefault="000B0D7F" w:rsidP="000B0D7F">
      <w:pPr>
        <w:spacing w:before="80" w:after="80" w:line="240" w:lineRule="auto"/>
        <w:jc w:val="both"/>
        <w:rPr>
          <w:rFonts w:ascii="Times New Roman" w:hAnsi="Times New Roman"/>
          <w:sz w:val="24"/>
          <w:szCs w:val="24"/>
        </w:rPr>
      </w:pPr>
      <w:r w:rsidRPr="002509EC">
        <w:rPr>
          <w:rFonts w:ascii="Times New Roman" w:hAnsi="Times New Roman"/>
          <w:sz w:val="24"/>
          <w:szCs w:val="24"/>
        </w:rPr>
        <w:t>Lielāko daļu no kopējām ETS sektora emisijām tiek radīts enerģētikas sektorā, aptuveni 80%.</w:t>
      </w:r>
    </w:p>
    <w:p w14:paraId="6A090E28" w14:textId="34DD6155" w:rsidR="000B0D7F" w:rsidRPr="000B0D7F" w:rsidRDefault="000B0D7F" w:rsidP="000B0D7F">
      <w:pPr>
        <w:spacing w:before="80" w:after="80" w:line="240" w:lineRule="auto"/>
        <w:jc w:val="both"/>
        <w:rPr>
          <w:rFonts w:ascii="Times New Roman" w:hAnsi="Times New Roman"/>
          <w:sz w:val="24"/>
          <w:szCs w:val="24"/>
        </w:rPr>
      </w:pPr>
      <w:r w:rsidRPr="000B0D7F">
        <w:rPr>
          <w:rFonts w:ascii="Times New Roman" w:hAnsi="Times New Roman"/>
          <w:sz w:val="24"/>
          <w:szCs w:val="24"/>
        </w:rPr>
        <w:tab/>
        <w:t xml:space="preserve">Ne-ETS darbību SEG emisiju dinamika </w:t>
      </w:r>
      <w:r>
        <w:rPr>
          <w:rFonts w:ascii="Times New Roman" w:hAnsi="Times New Roman"/>
          <w:sz w:val="24"/>
          <w:szCs w:val="24"/>
        </w:rPr>
        <w:t>(3</w:t>
      </w:r>
      <w:r w:rsidRPr="000B0D7F">
        <w:rPr>
          <w:rFonts w:ascii="Times New Roman" w:hAnsi="Times New Roman"/>
          <w:sz w:val="24"/>
          <w:szCs w:val="24"/>
        </w:rPr>
        <w:t>.attēls) liecina par 5,9 % palielinājumu 2005.-2016. gadā un 7,2 % palielinājumu 2005. - 2017. gadā. Ne-ETS darbību SEG emisiju apjoma dinamika 2016. un 2017.</w:t>
      </w:r>
      <w:r w:rsidR="00A21C28">
        <w:rPr>
          <w:rFonts w:ascii="Times New Roman" w:hAnsi="Times New Roman"/>
          <w:sz w:val="24"/>
          <w:szCs w:val="24"/>
        </w:rPr>
        <w:t> </w:t>
      </w:r>
      <w:r w:rsidRPr="000B0D7F">
        <w:rPr>
          <w:rFonts w:ascii="Times New Roman" w:hAnsi="Times New Roman"/>
          <w:sz w:val="24"/>
          <w:szCs w:val="24"/>
        </w:rPr>
        <w:t>gadā</w:t>
      </w:r>
      <w:r w:rsidRPr="000B0D7F">
        <w:rPr>
          <w:rFonts w:ascii="Times New Roman" w:hAnsi="Times New Roman"/>
          <w:sz w:val="24"/>
          <w:szCs w:val="24"/>
          <w:vertAlign w:val="superscript"/>
        </w:rPr>
        <w:footnoteReference w:id="18"/>
      </w:r>
      <w:r w:rsidRPr="000B0D7F">
        <w:rPr>
          <w:rFonts w:ascii="Times New Roman" w:hAnsi="Times New Roman"/>
          <w:sz w:val="24"/>
          <w:szCs w:val="24"/>
        </w:rPr>
        <w:t>:</w:t>
      </w:r>
    </w:p>
    <w:p w14:paraId="7870FD34" w14:textId="2294111E" w:rsidR="000B0D7F" w:rsidRPr="000B0D7F" w:rsidRDefault="000B0D7F" w:rsidP="0086792D">
      <w:pPr>
        <w:numPr>
          <w:ilvl w:val="0"/>
          <w:numId w:val="9"/>
        </w:numPr>
        <w:spacing w:before="80" w:after="80" w:line="240" w:lineRule="auto"/>
        <w:jc w:val="both"/>
        <w:rPr>
          <w:rFonts w:ascii="Times New Roman" w:hAnsi="Times New Roman"/>
          <w:sz w:val="24"/>
          <w:szCs w:val="24"/>
        </w:rPr>
      </w:pPr>
      <w:r w:rsidRPr="000B0D7F">
        <w:rPr>
          <w:rFonts w:ascii="Times New Roman" w:hAnsi="Times New Roman"/>
          <w:sz w:val="24"/>
          <w:szCs w:val="24"/>
        </w:rPr>
        <w:t>Transports (35 % īpatsvars ne-ETS darbību SEG emisiju 2016.</w:t>
      </w:r>
      <w:r w:rsidR="00A21C28">
        <w:rPr>
          <w:rFonts w:ascii="Times New Roman" w:hAnsi="Times New Roman"/>
          <w:sz w:val="24"/>
          <w:szCs w:val="24"/>
        </w:rPr>
        <w:t> </w:t>
      </w:r>
      <w:r w:rsidRPr="000B0D7F">
        <w:rPr>
          <w:rFonts w:ascii="Times New Roman" w:hAnsi="Times New Roman"/>
          <w:sz w:val="24"/>
          <w:szCs w:val="24"/>
        </w:rPr>
        <w:t>g</w:t>
      </w:r>
      <w:r w:rsidR="009F4FB8">
        <w:rPr>
          <w:rFonts w:ascii="Times New Roman" w:hAnsi="Times New Roman"/>
          <w:sz w:val="24"/>
          <w:szCs w:val="24"/>
        </w:rPr>
        <w:t>ada</w:t>
      </w:r>
      <w:r w:rsidRPr="000B0D7F">
        <w:rPr>
          <w:rFonts w:ascii="Times New Roman" w:hAnsi="Times New Roman"/>
          <w:sz w:val="24"/>
          <w:szCs w:val="24"/>
        </w:rPr>
        <w:t xml:space="preserve"> apjomā) – 3 % palielinājums 2005.-2016.</w:t>
      </w:r>
      <w:r w:rsidR="00A21C28">
        <w:rPr>
          <w:rFonts w:ascii="Times New Roman" w:hAnsi="Times New Roman"/>
          <w:sz w:val="24"/>
          <w:szCs w:val="24"/>
        </w:rPr>
        <w:t> </w:t>
      </w:r>
      <w:r w:rsidRPr="000B0D7F">
        <w:rPr>
          <w:rFonts w:ascii="Times New Roman" w:hAnsi="Times New Roman"/>
          <w:sz w:val="24"/>
          <w:szCs w:val="24"/>
        </w:rPr>
        <w:t>g</w:t>
      </w:r>
      <w:r w:rsidR="00097507">
        <w:rPr>
          <w:rFonts w:ascii="Times New Roman" w:hAnsi="Times New Roman"/>
          <w:sz w:val="24"/>
          <w:szCs w:val="24"/>
        </w:rPr>
        <w:t>adā</w:t>
      </w:r>
      <w:r w:rsidRPr="000B0D7F">
        <w:rPr>
          <w:rFonts w:ascii="Times New Roman" w:hAnsi="Times New Roman"/>
          <w:sz w:val="24"/>
          <w:szCs w:val="24"/>
        </w:rPr>
        <w:t>; 7% palielinājums 2005.-2017.</w:t>
      </w:r>
      <w:r w:rsidR="00A21C28">
        <w:rPr>
          <w:rFonts w:ascii="Times New Roman" w:hAnsi="Times New Roman"/>
          <w:sz w:val="24"/>
          <w:szCs w:val="24"/>
        </w:rPr>
        <w:t> </w:t>
      </w:r>
      <w:r w:rsidRPr="000B0D7F">
        <w:rPr>
          <w:rFonts w:ascii="Times New Roman" w:hAnsi="Times New Roman"/>
          <w:sz w:val="24"/>
          <w:szCs w:val="24"/>
        </w:rPr>
        <w:t>g</w:t>
      </w:r>
      <w:r w:rsidR="00097507">
        <w:rPr>
          <w:rFonts w:ascii="Times New Roman" w:hAnsi="Times New Roman"/>
          <w:sz w:val="24"/>
          <w:szCs w:val="24"/>
        </w:rPr>
        <w:t>adā</w:t>
      </w:r>
      <w:r w:rsidRPr="000B0D7F">
        <w:rPr>
          <w:rFonts w:ascii="Times New Roman" w:hAnsi="Times New Roman"/>
          <w:sz w:val="24"/>
          <w:szCs w:val="24"/>
        </w:rPr>
        <w:t>;</w:t>
      </w:r>
    </w:p>
    <w:p w14:paraId="21AEAA94" w14:textId="7B4F93D5" w:rsidR="000B0D7F" w:rsidRPr="000B0D7F" w:rsidRDefault="000B0D7F" w:rsidP="0086792D">
      <w:pPr>
        <w:numPr>
          <w:ilvl w:val="0"/>
          <w:numId w:val="9"/>
        </w:numPr>
        <w:spacing w:before="80" w:after="80" w:line="240" w:lineRule="auto"/>
        <w:jc w:val="both"/>
        <w:rPr>
          <w:rFonts w:ascii="Times New Roman" w:hAnsi="Times New Roman"/>
          <w:sz w:val="24"/>
          <w:szCs w:val="24"/>
        </w:rPr>
      </w:pPr>
      <w:r w:rsidRPr="000B0D7F">
        <w:rPr>
          <w:rFonts w:ascii="Times New Roman" w:hAnsi="Times New Roman"/>
          <w:sz w:val="24"/>
          <w:szCs w:val="24"/>
        </w:rPr>
        <w:t>Lauksaimniecība (29 % īpatsvars ne-ETS darbību SEG emisiju 2016.</w:t>
      </w:r>
      <w:r w:rsidR="00A21C28">
        <w:rPr>
          <w:rFonts w:ascii="Times New Roman" w:hAnsi="Times New Roman"/>
          <w:sz w:val="24"/>
          <w:szCs w:val="24"/>
        </w:rPr>
        <w:t> </w:t>
      </w:r>
      <w:r w:rsidRPr="000B0D7F">
        <w:rPr>
          <w:rFonts w:ascii="Times New Roman" w:hAnsi="Times New Roman"/>
          <w:sz w:val="24"/>
          <w:szCs w:val="24"/>
        </w:rPr>
        <w:t>g</w:t>
      </w:r>
      <w:r w:rsidR="009F4FB8">
        <w:rPr>
          <w:rFonts w:ascii="Times New Roman" w:hAnsi="Times New Roman"/>
          <w:sz w:val="24"/>
          <w:szCs w:val="24"/>
        </w:rPr>
        <w:t>ada</w:t>
      </w:r>
      <w:r w:rsidRPr="000B0D7F">
        <w:rPr>
          <w:rFonts w:ascii="Times New Roman" w:hAnsi="Times New Roman"/>
          <w:sz w:val="24"/>
          <w:szCs w:val="24"/>
        </w:rPr>
        <w:t xml:space="preserve"> apjomā) – 14 % palielinājums 2005.-2016.</w:t>
      </w:r>
      <w:r w:rsidR="00A21C28">
        <w:rPr>
          <w:rFonts w:ascii="Times New Roman" w:hAnsi="Times New Roman"/>
          <w:sz w:val="24"/>
          <w:szCs w:val="24"/>
        </w:rPr>
        <w:t> </w:t>
      </w:r>
      <w:r w:rsidRPr="000B0D7F">
        <w:rPr>
          <w:rFonts w:ascii="Times New Roman" w:hAnsi="Times New Roman"/>
          <w:sz w:val="24"/>
          <w:szCs w:val="24"/>
        </w:rPr>
        <w:t>g</w:t>
      </w:r>
      <w:r w:rsidR="009F4FB8">
        <w:rPr>
          <w:rFonts w:ascii="Times New Roman" w:hAnsi="Times New Roman"/>
          <w:sz w:val="24"/>
          <w:szCs w:val="24"/>
        </w:rPr>
        <w:t>adā</w:t>
      </w:r>
      <w:r w:rsidRPr="000B0D7F">
        <w:rPr>
          <w:rFonts w:ascii="Times New Roman" w:hAnsi="Times New Roman"/>
          <w:sz w:val="24"/>
          <w:szCs w:val="24"/>
        </w:rPr>
        <w:t>; 12% palielinājums 2005.-2017.</w:t>
      </w:r>
      <w:r w:rsidR="00A21C28">
        <w:rPr>
          <w:rFonts w:ascii="Times New Roman" w:hAnsi="Times New Roman"/>
          <w:sz w:val="24"/>
          <w:szCs w:val="24"/>
        </w:rPr>
        <w:t> </w:t>
      </w:r>
      <w:r w:rsidRPr="000B0D7F">
        <w:rPr>
          <w:rFonts w:ascii="Times New Roman" w:hAnsi="Times New Roman"/>
          <w:sz w:val="24"/>
          <w:szCs w:val="24"/>
        </w:rPr>
        <w:t>g</w:t>
      </w:r>
      <w:r w:rsidR="009F4FB8">
        <w:rPr>
          <w:rFonts w:ascii="Times New Roman" w:hAnsi="Times New Roman"/>
          <w:sz w:val="24"/>
          <w:szCs w:val="24"/>
        </w:rPr>
        <w:t>adā</w:t>
      </w:r>
      <w:r w:rsidRPr="000B0D7F">
        <w:rPr>
          <w:rFonts w:ascii="Times New Roman" w:hAnsi="Times New Roman"/>
          <w:sz w:val="24"/>
          <w:szCs w:val="24"/>
        </w:rPr>
        <w:t>;</w:t>
      </w:r>
    </w:p>
    <w:p w14:paraId="44D2BED1" w14:textId="4142EE95" w:rsidR="000B0D7F" w:rsidRPr="000B0D7F" w:rsidRDefault="000B0D7F" w:rsidP="0086792D">
      <w:pPr>
        <w:numPr>
          <w:ilvl w:val="0"/>
          <w:numId w:val="9"/>
        </w:numPr>
        <w:spacing w:before="80" w:after="80" w:line="240" w:lineRule="auto"/>
        <w:jc w:val="both"/>
        <w:rPr>
          <w:rFonts w:ascii="Times New Roman" w:hAnsi="Times New Roman"/>
          <w:sz w:val="24"/>
          <w:szCs w:val="24"/>
        </w:rPr>
      </w:pPr>
      <w:r w:rsidRPr="000B0D7F">
        <w:rPr>
          <w:rFonts w:ascii="Times New Roman" w:hAnsi="Times New Roman"/>
          <w:sz w:val="24"/>
          <w:szCs w:val="24"/>
        </w:rPr>
        <w:t>Ne-ETS enerģētika (25% īpatsvars ne-ETS darbību SEG emisiju 2016.</w:t>
      </w:r>
      <w:r w:rsidR="00A21C28">
        <w:rPr>
          <w:rFonts w:ascii="Times New Roman" w:hAnsi="Times New Roman"/>
          <w:sz w:val="24"/>
          <w:szCs w:val="24"/>
        </w:rPr>
        <w:t> </w:t>
      </w:r>
      <w:r w:rsidRPr="000B0D7F">
        <w:rPr>
          <w:rFonts w:ascii="Times New Roman" w:hAnsi="Times New Roman"/>
          <w:sz w:val="24"/>
          <w:szCs w:val="24"/>
        </w:rPr>
        <w:t>g</w:t>
      </w:r>
      <w:r w:rsidR="00A21C28">
        <w:rPr>
          <w:rFonts w:ascii="Times New Roman" w:hAnsi="Times New Roman"/>
          <w:sz w:val="24"/>
          <w:szCs w:val="24"/>
        </w:rPr>
        <w:t>ada</w:t>
      </w:r>
      <w:r w:rsidR="00A21C28" w:rsidRPr="000B0D7F">
        <w:rPr>
          <w:rFonts w:ascii="Times New Roman" w:hAnsi="Times New Roman"/>
          <w:sz w:val="24"/>
          <w:szCs w:val="24"/>
        </w:rPr>
        <w:t xml:space="preserve"> </w:t>
      </w:r>
      <w:r w:rsidRPr="000B0D7F">
        <w:rPr>
          <w:rFonts w:ascii="Times New Roman" w:hAnsi="Times New Roman"/>
          <w:sz w:val="24"/>
          <w:szCs w:val="24"/>
        </w:rPr>
        <w:t>apjomā) – 4 % samazinājums 2005.-2016.</w:t>
      </w:r>
      <w:r w:rsidR="00A21C28">
        <w:rPr>
          <w:rFonts w:ascii="Times New Roman" w:hAnsi="Times New Roman"/>
          <w:sz w:val="24"/>
          <w:szCs w:val="24"/>
        </w:rPr>
        <w:t> </w:t>
      </w:r>
      <w:r w:rsidRPr="000B0D7F">
        <w:rPr>
          <w:rFonts w:ascii="Times New Roman" w:hAnsi="Times New Roman"/>
          <w:sz w:val="24"/>
          <w:szCs w:val="24"/>
        </w:rPr>
        <w:t>g</w:t>
      </w:r>
      <w:r w:rsidR="009F4FB8">
        <w:rPr>
          <w:rFonts w:ascii="Times New Roman" w:hAnsi="Times New Roman"/>
          <w:sz w:val="24"/>
          <w:szCs w:val="24"/>
        </w:rPr>
        <w:t>adā</w:t>
      </w:r>
      <w:r w:rsidRPr="000B0D7F">
        <w:rPr>
          <w:rFonts w:ascii="Times New Roman" w:hAnsi="Times New Roman"/>
          <w:sz w:val="24"/>
          <w:szCs w:val="24"/>
        </w:rPr>
        <w:t>; 2% samazinājums 2005.-2017.g</w:t>
      </w:r>
      <w:r w:rsidR="009F4FB8">
        <w:rPr>
          <w:rFonts w:ascii="Times New Roman" w:hAnsi="Times New Roman"/>
          <w:sz w:val="24"/>
          <w:szCs w:val="24"/>
        </w:rPr>
        <w:t>adā</w:t>
      </w:r>
      <w:r w:rsidRPr="000B0D7F">
        <w:rPr>
          <w:rFonts w:ascii="Times New Roman" w:hAnsi="Times New Roman"/>
          <w:sz w:val="24"/>
          <w:szCs w:val="24"/>
        </w:rPr>
        <w:t>;</w:t>
      </w:r>
    </w:p>
    <w:p w14:paraId="63EF239A" w14:textId="015F0ECA" w:rsidR="000B0D7F" w:rsidRPr="000B0D7F" w:rsidRDefault="000B0D7F" w:rsidP="0086792D">
      <w:pPr>
        <w:numPr>
          <w:ilvl w:val="0"/>
          <w:numId w:val="9"/>
        </w:numPr>
        <w:spacing w:before="80" w:after="80" w:line="240" w:lineRule="auto"/>
        <w:jc w:val="both"/>
        <w:rPr>
          <w:rFonts w:ascii="Times New Roman" w:hAnsi="Times New Roman"/>
          <w:sz w:val="24"/>
          <w:szCs w:val="24"/>
        </w:rPr>
      </w:pPr>
      <w:r w:rsidRPr="000B0D7F">
        <w:rPr>
          <w:rFonts w:ascii="Times New Roman" w:hAnsi="Times New Roman"/>
          <w:sz w:val="24"/>
          <w:szCs w:val="24"/>
        </w:rPr>
        <w:t>Atkritumu apsaimniekošana (8% īpatsvars ne-ETS darbību SEG emisiju 2016.g</w:t>
      </w:r>
      <w:r w:rsidR="00A21C28">
        <w:rPr>
          <w:rFonts w:ascii="Times New Roman" w:hAnsi="Times New Roman"/>
          <w:sz w:val="24"/>
          <w:szCs w:val="24"/>
        </w:rPr>
        <w:t>ada</w:t>
      </w:r>
      <w:r w:rsidR="00A21C28" w:rsidRPr="000B0D7F">
        <w:rPr>
          <w:rFonts w:ascii="Times New Roman" w:hAnsi="Times New Roman"/>
          <w:sz w:val="24"/>
          <w:szCs w:val="24"/>
        </w:rPr>
        <w:t xml:space="preserve"> </w:t>
      </w:r>
      <w:r w:rsidRPr="000B0D7F">
        <w:rPr>
          <w:rFonts w:ascii="Times New Roman" w:hAnsi="Times New Roman"/>
          <w:sz w:val="24"/>
          <w:szCs w:val="24"/>
        </w:rPr>
        <w:t>apjomā) – 0,6% palielinājums 2005.-2016.g</w:t>
      </w:r>
      <w:r w:rsidR="009F4FB8">
        <w:rPr>
          <w:rFonts w:ascii="Times New Roman" w:hAnsi="Times New Roman"/>
          <w:sz w:val="24"/>
          <w:szCs w:val="24"/>
        </w:rPr>
        <w:t>adā</w:t>
      </w:r>
      <w:r w:rsidRPr="000B0D7F">
        <w:rPr>
          <w:rFonts w:ascii="Times New Roman" w:hAnsi="Times New Roman"/>
          <w:sz w:val="24"/>
          <w:szCs w:val="24"/>
        </w:rPr>
        <w:t>; 3% samazinājums 2005.-2017.g</w:t>
      </w:r>
      <w:r w:rsidR="009F4FB8">
        <w:rPr>
          <w:rFonts w:ascii="Times New Roman" w:hAnsi="Times New Roman"/>
          <w:sz w:val="24"/>
          <w:szCs w:val="24"/>
        </w:rPr>
        <w:t>adā</w:t>
      </w:r>
      <w:r w:rsidRPr="000B0D7F">
        <w:rPr>
          <w:rFonts w:ascii="Times New Roman" w:hAnsi="Times New Roman"/>
          <w:sz w:val="24"/>
          <w:szCs w:val="24"/>
        </w:rPr>
        <w:t>;</w:t>
      </w:r>
    </w:p>
    <w:p w14:paraId="71AE27E7" w14:textId="0C24D006" w:rsidR="000B0D7F" w:rsidRPr="000B0D7F" w:rsidRDefault="000B0D7F" w:rsidP="0086792D">
      <w:pPr>
        <w:numPr>
          <w:ilvl w:val="0"/>
          <w:numId w:val="9"/>
        </w:numPr>
        <w:spacing w:before="80" w:after="80" w:line="240" w:lineRule="auto"/>
        <w:jc w:val="both"/>
        <w:rPr>
          <w:rFonts w:ascii="Times New Roman" w:hAnsi="Times New Roman"/>
          <w:sz w:val="24"/>
          <w:szCs w:val="24"/>
        </w:rPr>
      </w:pPr>
      <w:r w:rsidRPr="000B0D7F">
        <w:rPr>
          <w:rFonts w:ascii="Times New Roman" w:hAnsi="Times New Roman"/>
          <w:sz w:val="24"/>
          <w:szCs w:val="24"/>
        </w:rPr>
        <w:t>Ne-ETS rūpnieciskie procesi un produktu izmantošana (3 % īpatsvars ne-ETS darbību SEG emisiju 2016.g</w:t>
      </w:r>
      <w:r w:rsidR="009F4FB8">
        <w:rPr>
          <w:rFonts w:ascii="Times New Roman" w:hAnsi="Times New Roman"/>
          <w:sz w:val="24"/>
          <w:szCs w:val="24"/>
        </w:rPr>
        <w:t>ada</w:t>
      </w:r>
      <w:r w:rsidRPr="000B0D7F">
        <w:rPr>
          <w:rFonts w:ascii="Times New Roman" w:hAnsi="Times New Roman"/>
          <w:sz w:val="24"/>
          <w:szCs w:val="24"/>
        </w:rPr>
        <w:t xml:space="preserve"> apjomā) – 171 % palielinājums 2005.-2016.g</w:t>
      </w:r>
      <w:r w:rsidR="009F4FB8">
        <w:rPr>
          <w:rFonts w:ascii="Times New Roman" w:hAnsi="Times New Roman"/>
          <w:sz w:val="24"/>
          <w:szCs w:val="24"/>
        </w:rPr>
        <w:t>adā</w:t>
      </w:r>
      <w:r w:rsidRPr="000B0D7F">
        <w:rPr>
          <w:rFonts w:ascii="Times New Roman" w:hAnsi="Times New Roman"/>
          <w:sz w:val="24"/>
          <w:szCs w:val="24"/>
        </w:rPr>
        <w:t>; 171% palielinājums 2005.-2017.g</w:t>
      </w:r>
      <w:r w:rsidR="009F4FB8">
        <w:rPr>
          <w:rFonts w:ascii="Times New Roman" w:hAnsi="Times New Roman"/>
          <w:sz w:val="24"/>
          <w:szCs w:val="24"/>
        </w:rPr>
        <w:t>adā</w:t>
      </w:r>
      <w:r w:rsidRPr="000B0D7F">
        <w:rPr>
          <w:rFonts w:ascii="Times New Roman" w:hAnsi="Times New Roman"/>
          <w:sz w:val="24"/>
          <w:szCs w:val="24"/>
        </w:rPr>
        <w:t>.</w:t>
      </w:r>
    </w:p>
    <w:p w14:paraId="25F3F1E7" w14:textId="02B0E8E6" w:rsidR="00B82E47" w:rsidRPr="000B0D7F" w:rsidRDefault="00775B9D" w:rsidP="000B0D7F">
      <w:pPr>
        <w:spacing w:before="120" w:after="120" w:line="240" w:lineRule="auto"/>
        <w:jc w:val="both"/>
        <w:rPr>
          <w:rFonts w:asciiTheme="majorBidi" w:hAnsiTheme="majorBidi" w:cstheme="majorBidi"/>
          <w:szCs w:val="24"/>
        </w:rPr>
      </w:pPr>
      <w:r>
        <w:rPr>
          <w:noProof/>
          <w:lang w:eastAsia="lv-LV"/>
        </w:rPr>
        <w:lastRenderedPageBreak/>
        <w:drawing>
          <wp:inline distT="0" distB="0" distL="0" distR="0" wp14:anchorId="75039493" wp14:editId="5A261BB7">
            <wp:extent cx="5760720" cy="3041650"/>
            <wp:effectExtent l="0" t="0" r="11430"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14C06DD" w14:textId="5178915E" w:rsidR="006B42BF" w:rsidRDefault="000B0D7F" w:rsidP="002F6B8A">
      <w:pPr>
        <w:spacing w:after="0" w:line="240" w:lineRule="auto"/>
        <w:jc w:val="center"/>
        <w:rPr>
          <w:rFonts w:ascii="Times New Roman" w:hAnsi="Times New Roman"/>
          <w:b/>
          <w:sz w:val="24"/>
          <w:szCs w:val="24"/>
        </w:rPr>
      </w:pPr>
      <w:r>
        <w:rPr>
          <w:rFonts w:ascii="Times New Roman" w:eastAsia="Times New Roman" w:hAnsi="Times New Roman"/>
          <w:b/>
          <w:bCs/>
          <w:color w:val="000000"/>
          <w:sz w:val="24"/>
          <w:szCs w:val="24"/>
        </w:rPr>
        <w:t>3</w:t>
      </w:r>
      <w:r w:rsidR="00B82E47">
        <w:rPr>
          <w:rFonts w:ascii="Times New Roman" w:eastAsia="Times New Roman" w:hAnsi="Times New Roman"/>
          <w:b/>
          <w:bCs/>
          <w:color w:val="000000"/>
          <w:sz w:val="24"/>
          <w:szCs w:val="24"/>
        </w:rPr>
        <w:t>.</w:t>
      </w:r>
      <w:r w:rsidR="00477A91">
        <w:rPr>
          <w:rFonts w:ascii="Times New Roman" w:eastAsia="Times New Roman" w:hAnsi="Times New Roman"/>
          <w:b/>
          <w:bCs/>
          <w:color w:val="000000"/>
          <w:sz w:val="24"/>
          <w:szCs w:val="24"/>
        </w:rPr>
        <w:t> </w:t>
      </w:r>
      <w:r w:rsidR="00B82E47">
        <w:rPr>
          <w:rFonts w:ascii="Times New Roman" w:eastAsia="Times New Roman" w:hAnsi="Times New Roman"/>
          <w:b/>
          <w:bCs/>
          <w:color w:val="000000"/>
          <w:sz w:val="24"/>
          <w:szCs w:val="24"/>
        </w:rPr>
        <w:t xml:space="preserve">attēls. </w:t>
      </w:r>
      <w:r w:rsidR="002F6B8A">
        <w:rPr>
          <w:rFonts w:ascii="Times New Roman" w:hAnsi="Times New Roman"/>
          <w:b/>
          <w:sz w:val="24"/>
          <w:szCs w:val="24"/>
        </w:rPr>
        <w:t xml:space="preserve">SEG emisijas no </w:t>
      </w:r>
      <w:r w:rsidR="006B42BF" w:rsidRPr="002F6B8A">
        <w:rPr>
          <w:rFonts w:ascii="Times New Roman" w:hAnsi="Times New Roman"/>
          <w:b/>
          <w:sz w:val="24"/>
          <w:szCs w:val="24"/>
        </w:rPr>
        <w:t xml:space="preserve">ne-ETS </w:t>
      </w:r>
      <w:r w:rsidR="002F6B8A">
        <w:rPr>
          <w:rFonts w:ascii="Times New Roman" w:hAnsi="Times New Roman"/>
          <w:b/>
          <w:sz w:val="24"/>
          <w:szCs w:val="24"/>
        </w:rPr>
        <w:t xml:space="preserve">sektoriem 2005. – 2030. gadam </w:t>
      </w:r>
      <w:r w:rsidR="006B42BF" w:rsidRPr="002F6B8A">
        <w:rPr>
          <w:rFonts w:ascii="Times New Roman" w:hAnsi="Times New Roman"/>
          <w:b/>
          <w:sz w:val="24"/>
          <w:szCs w:val="24"/>
        </w:rPr>
        <w:t>(</w:t>
      </w:r>
      <w:proofErr w:type="spellStart"/>
      <w:r w:rsidR="006B42BF" w:rsidRPr="002F6B8A">
        <w:rPr>
          <w:rFonts w:ascii="Times New Roman" w:hAnsi="Times New Roman"/>
          <w:b/>
          <w:sz w:val="24"/>
          <w:szCs w:val="24"/>
        </w:rPr>
        <w:t>kt</w:t>
      </w:r>
      <w:proofErr w:type="spellEnd"/>
      <w:r w:rsidR="006B42BF" w:rsidRPr="002F6B8A">
        <w:rPr>
          <w:rFonts w:ascii="Times New Roman" w:hAnsi="Times New Roman"/>
          <w:b/>
          <w:sz w:val="24"/>
          <w:szCs w:val="24"/>
        </w:rPr>
        <w:t xml:space="preserve"> CO</w:t>
      </w:r>
      <w:r w:rsidR="006B42BF" w:rsidRPr="002F6B8A">
        <w:rPr>
          <w:rFonts w:ascii="Times New Roman" w:hAnsi="Times New Roman"/>
          <w:b/>
          <w:sz w:val="24"/>
          <w:szCs w:val="24"/>
          <w:vertAlign w:val="subscript"/>
        </w:rPr>
        <w:t>2</w:t>
      </w:r>
      <w:r w:rsidR="006B42BF" w:rsidRPr="002F6B8A">
        <w:rPr>
          <w:rFonts w:ascii="Times New Roman" w:hAnsi="Times New Roman"/>
          <w:b/>
          <w:sz w:val="24"/>
          <w:szCs w:val="24"/>
        </w:rPr>
        <w:t xml:space="preserve"> ekv</w:t>
      </w:r>
      <w:r w:rsidR="00A759F8">
        <w:rPr>
          <w:rFonts w:ascii="Times New Roman" w:hAnsi="Times New Roman"/>
          <w:b/>
          <w:sz w:val="24"/>
          <w:szCs w:val="24"/>
        </w:rPr>
        <w:t>ivalenti</w:t>
      </w:r>
      <w:r w:rsidR="006B42BF" w:rsidRPr="002F6B8A">
        <w:rPr>
          <w:rFonts w:ascii="Times New Roman" w:hAnsi="Times New Roman"/>
          <w:b/>
          <w:sz w:val="24"/>
          <w:szCs w:val="24"/>
        </w:rPr>
        <w:t>)</w:t>
      </w:r>
      <w:r w:rsidR="006B42BF" w:rsidRPr="002F6B8A">
        <w:rPr>
          <w:rStyle w:val="FootnoteReference"/>
          <w:rFonts w:ascii="Times New Roman" w:hAnsi="Times New Roman"/>
          <w:b/>
          <w:sz w:val="24"/>
          <w:szCs w:val="24"/>
        </w:rPr>
        <w:footnoteReference w:id="19"/>
      </w:r>
    </w:p>
    <w:p w14:paraId="5D2D449B" w14:textId="2E0AD81C" w:rsidR="004617A7" w:rsidRDefault="0034437C" w:rsidP="00477A91">
      <w:pPr>
        <w:spacing w:before="120" w:after="0" w:line="240" w:lineRule="auto"/>
        <w:ind w:firstLine="709"/>
        <w:jc w:val="both"/>
        <w:rPr>
          <w:rFonts w:ascii="Times New Roman" w:hAnsi="Times New Roman"/>
          <w:sz w:val="24"/>
          <w:szCs w:val="24"/>
        </w:rPr>
      </w:pPr>
      <w:r w:rsidRPr="004C307A">
        <w:rPr>
          <w:rFonts w:ascii="Times New Roman" w:hAnsi="Times New Roman"/>
          <w:sz w:val="24"/>
          <w:szCs w:val="24"/>
        </w:rPr>
        <w:t>Latvija kopumā līdz 2017. gadam ir iekļāvusies Latvijai ar Saistību pārdales lēmumu noteiktajos ne-ETS darbību ikgadējos mērķos</w:t>
      </w:r>
      <w:r w:rsidR="000B0D7F">
        <w:rPr>
          <w:rFonts w:ascii="Times New Roman" w:hAnsi="Times New Roman"/>
          <w:sz w:val="24"/>
          <w:szCs w:val="24"/>
        </w:rPr>
        <w:t xml:space="preserve">, </w:t>
      </w:r>
      <w:r w:rsidR="00C118F9">
        <w:rPr>
          <w:rFonts w:ascii="Times New Roman" w:hAnsi="Times New Roman"/>
          <w:sz w:val="24"/>
          <w:szCs w:val="24"/>
        </w:rPr>
        <w:t xml:space="preserve">skatīt </w:t>
      </w:r>
      <w:r w:rsidR="00252C71">
        <w:rPr>
          <w:rFonts w:ascii="Times New Roman" w:hAnsi="Times New Roman"/>
          <w:sz w:val="24"/>
          <w:szCs w:val="24"/>
        </w:rPr>
        <w:t>2</w:t>
      </w:r>
      <w:r w:rsidR="000B0D7F">
        <w:rPr>
          <w:rFonts w:ascii="Times New Roman" w:hAnsi="Times New Roman"/>
          <w:sz w:val="24"/>
          <w:szCs w:val="24"/>
        </w:rPr>
        <w:t>.tabulā</w:t>
      </w:r>
      <w:r w:rsidRPr="004C307A">
        <w:rPr>
          <w:rFonts w:ascii="Times New Roman" w:hAnsi="Times New Roman"/>
          <w:sz w:val="24"/>
          <w:szCs w:val="24"/>
        </w:rPr>
        <w:t>.</w:t>
      </w:r>
    </w:p>
    <w:p w14:paraId="7B1D3ED7" w14:textId="2CADD0EA" w:rsidR="00C118F9" w:rsidRPr="00C118F9" w:rsidRDefault="00252C71" w:rsidP="004617A7">
      <w:pPr>
        <w:spacing w:before="120" w:after="0" w:line="240" w:lineRule="auto"/>
        <w:ind w:firstLine="1134"/>
        <w:jc w:val="center"/>
        <w:rPr>
          <w:rFonts w:ascii="Times New Roman" w:hAnsi="Times New Roman"/>
          <w:b/>
          <w:sz w:val="24"/>
          <w:szCs w:val="24"/>
        </w:rPr>
      </w:pPr>
      <w:r>
        <w:rPr>
          <w:rFonts w:ascii="Times New Roman" w:hAnsi="Times New Roman"/>
          <w:b/>
          <w:sz w:val="24"/>
          <w:szCs w:val="24"/>
        </w:rPr>
        <w:t>2</w:t>
      </w:r>
      <w:r w:rsidR="00C118F9" w:rsidRPr="00C118F9">
        <w:rPr>
          <w:rFonts w:ascii="Times New Roman" w:hAnsi="Times New Roman"/>
          <w:b/>
          <w:sz w:val="24"/>
          <w:szCs w:val="24"/>
        </w:rPr>
        <w:t>.tabula</w:t>
      </w:r>
      <w:r w:rsidR="00401E5D">
        <w:rPr>
          <w:rFonts w:ascii="Times New Roman" w:hAnsi="Times New Roman"/>
          <w:b/>
          <w:sz w:val="24"/>
          <w:szCs w:val="24"/>
        </w:rPr>
        <w:t>.</w:t>
      </w:r>
      <w:r w:rsidR="00C118F9" w:rsidRPr="00C118F9">
        <w:rPr>
          <w:rFonts w:ascii="Times New Roman" w:hAnsi="Times New Roman"/>
          <w:b/>
          <w:sz w:val="24"/>
          <w:szCs w:val="24"/>
        </w:rPr>
        <w:t xml:space="preserve"> Kopsavilkums par Latvijas ne-ETS mērķu faktisko un prognozēto izpildi</w:t>
      </w:r>
      <w:r w:rsidR="00C118F9">
        <w:rPr>
          <w:rFonts w:ascii="Times New Roman" w:hAnsi="Times New Roman"/>
          <w:b/>
          <w:sz w:val="24"/>
          <w:szCs w:val="24"/>
        </w:rPr>
        <w:t xml:space="preserve"> </w:t>
      </w:r>
      <w:r w:rsidR="00C118F9" w:rsidRPr="00C118F9">
        <w:rPr>
          <w:rFonts w:ascii="Times New Roman" w:hAnsi="Times New Roman"/>
          <w:b/>
          <w:sz w:val="24"/>
          <w:szCs w:val="24"/>
        </w:rPr>
        <w:t>2013.-2020.gadam</w:t>
      </w:r>
    </w:p>
    <w:tbl>
      <w:tblPr>
        <w:tblW w:w="9290" w:type="dxa"/>
        <w:tblLook w:val="04A0" w:firstRow="1" w:lastRow="0" w:firstColumn="1" w:lastColumn="0" w:noHBand="0" w:noVBand="1"/>
      </w:tblPr>
      <w:tblGrid>
        <w:gridCol w:w="1302"/>
        <w:gridCol w:w="972"/>
        <w:gridCol w:w="972"/>
        <w:gridCol w:w="972"/>
        <w:gridCol w:w="972"/>
        <w:gridCol w:w="972"/>
        <w:gridCol w:w="299"/>
        <w:gridCol w:w="945"/>
        <w:gridCol w:w="945"/>
        <w:gridCol w:w="945"/>
      </w:tblGrid>
      <w:tr w:rsidR="00C118F9" w:rsidRPr="007D5BAD" w14:paraId="61AFD45A" w14:textId="77777777" w:rsidTr="00401E5D">
        <w:trPr>
          <w:trHeight w:val="286"/>
          <w:tblHead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0C55A" w14:textId="77777777" w:rsidR="00C118F9" w:rsidRPr="007D5BAD" w:rsidRDefault="00C118F9" w:rsidP="005F36FB">
            <w:pPr>
              <w:spacing w:after="0" w:line="240" w:lineRule="auto"/>
              <w:rPr>
                <w:rFonts w:ascii="Times New Roman" w:eastAsia="Times New Roman" w:hAnsi="Times New Roman"/>
                <w:b/>
                <w:color w:val="000000"/>
                <w:sz w:val="20"/>
                <w:szCs w:val="20"/>
                <w:lang w:eastAsia="lv-LV"/>
              </w:rPr>
            </w:pPr>
            <w:r w:rsidRPr="007D5BAD">
              <w:rPr>
                <w:rFonts w:ascii="Times New Roman" w:eastAsia="Times New Roman" w:hAnsi="Times New Roman"/>
                <w:b/>
                <w:color w:val="000000"/>
                <w:sz w:val="20"/>
                <w:szCs w:val="20"/>
                <w:lang w:eastAsia="lv-LV"/>
              </w:rPr>
              <w:t> </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14:paraId="349FE24A" w14:textId="77777777" w:rsidR="00C118F9" w:rsidRPr="007D5BAD" w:rsidRDefault="00C118F9" w:rsidP="005F36FB">
            <w:pPr>
              <w:spacing w:after="0" w:line="240" w:lineRule="auto"/>
              <w:jc w:val="center"/>
              <w:rPr>
                <w:rFonts w:ascii="Times New Roman" w:eastAsia="Times New Roman" w:hAnsi="Times New Roman"/>
                <w:b/>
                <w:color w:val="000000"/>
                <w:sz w:val="20"/>
                <w:szCs w:val="20"/>
                <w:lang w:eastAsia="lv-LV"/>
              </w:rPr>
            </w:pPr>
            <w:r w:rsidRPr="007D5BAD">
              <w:rPr>
                <w:rFonts w:ascii="Times New Roman" w:eastAsia="Times New Roman" w:hAnsi="Times New Roman"/>
                <w:b/>
                <w:color w:val="000000"/>
                <w:sz w:val="20"/>
                <w:szCs w:val="20"/>
                <w:lang w:eastAsia="lv-LV"/>
              </w:rPr>
              <w:t>2013</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14:paraId="74B90D7E" w14:textId="77777777" w:rsidR="00C118F9" w:rsidRPr="007D5BAD" w:rsidRDefault="00C118F9" w:rsidP="005F36FB">
            <w:pPr>
              <w:spacing w:after="0" w:line="240" w:lineRule="auto"/>
              <w:jc w:val="center"/>
              <w:rPr>
                <w:rFonts w:ascii="Times New Roman" w:eastAsia="Times New Roman" w:hAnsi="Times New Roman"/>
                <w:b/>
                <w:color w:val="000000"/>
                <w:sz w:val="20"/>
                <w:szCs w:val="20"/>
                <w:lang w:eastAsia="lv-LV"/>
              </w:rPr>
            </w:pPr>
            <w:r w:rsidRPr="007D5BAD">
              <w:rPr>
                <w:rFonts w:ascii="Times New Roman" w:eastAsia="Times New Roman" w:hAnsi="Times New Roman"/>
                <w:b/>
                <w:color w:val="000000"/>
                <w:sz w:val="20"/>
                <w:szCs w:val="20"/>
                <w:lang w:eastAsia="lv-LV"/>
              </w:rPr>
              <w:t>2014</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14:paraId="7A478817" w14:textId="77777777" w:rsidR="00C118F9" w:rsidRPr="007D5BAD" w:rsidRDefault="00C118F9" w:rsidP="005F36FB">
            <w:pPr>
              <w:spacing w:after="0" w:line="240" w:lineRule="auto"/>
              <w:jc w:val="center"/>
              <w:rPr>
                <w:rFonts w:ascii="Times New Roman" w:eastAsia="Times New Roman" w:hAnsi="Times New Roman"/>
                <w:b/>
                <w:color w:val="000000"/>
                <w:sz w:val="20"/>
                <w:szCs w:val="20"/>
                <w:lang w:eastAsia="lv-LV"/>
              </w:rPr>
            </w:pPr>
            <w:r w:rsidRPr="007D5BAD">
              <w:rPr>
                <w:rFonts w:ascii="Times New Roman" w:eastAsia="Times New Roman" w:hAnsi="Times New Roman"/>
                <w:b/>
                <w:color w:val="000000"/>
                <w:sz w:val="20"/>
                <w:szCs w:val="20"/>
                <w:lang w:eastAsia="lv-LV"/>
              </w:rPr>
              <w:t>2015</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14:paraId="253CDB29" w14:textId="77777777" w:rsidR="00C118F9" w:rsidRPr="007D5BAD" w:rsidRDefault="00C118F9" w:rsidP="005F36FB">
            <w:pPr>
              <w:spacing w:after="0" w:line="240" w:lineRule="auto"/>
              <w:jc w:val="center"/>
              <w:rPr>
                <w:rFonts w:ascii="Times New Roman" w:eastAsia="Times New Roman" w:hAnsi="Times New Roman"/>
                <w:b/>
                <w:color w:val="000000"/>
                <w:sz w:val="20"/>
                <w:szCs w:val="20"/>
                <w:lang w:eastAsia="lv-LV"/>
              </w:rPr>
            </w:pPr>
            <w:r w:rsidRPr="007D5BAD">
              <w:rPr>
                <w:rFonts w:ascii="Times New Roman" w:eastAsia="Times New Roman" w:hAnsi="Times New Roman"/>
                <w:b/>
                <w:color w:val="000000"/>
                <w:sz w:val="20"/>
                <w:szCs w:val="20"/>
                <w:lang w:eastAsia="lv-LV"/>
              </w:rPr>
              <w:t>2016</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14:paraId="2AB070AA" w14:textId="77777777" w:rsidR="00C118F9" w:rsidRPr="007D5BAD" w:rsidRDefault="00C118F9" w:rsidP="005F36FB">
            <w:pPr>
              <w:spacing w:after="0" w:line="240" w:lineRule="auto"/>
              <w:jc w:val="center"/>
              <w:rPr>
                <w:rFonts w:ascii="Times New Roman" w:eastAsia="Times New Roman" w:hAnsi="Times New Roman"/>
                <w:b/>
                <w:color w:val="000000"/>
                <w:sz w:val="20"/>
                <w:szCs w:val="20"/>
                <w:lang w:eastAsia="lv-LV"/>
              </w:rPr>
            </w:pPr>
            <w:r w:rsidRPr="007D5BAD">
              <w:rPr>
                <w:rFonts w:ascii="Times New Roman" w:eastAsia="Times New Roman" w:hAnsi="Times New Roman"/>
                <w:b/>
                <w:color w:val="000000"/>
                <w:sz w:val="20"/>
                <w:szCs w:val="20"/>
                <w:lang w:eastAsia="lv-LV"/>
              </w:rPr>
              <w:t>2017</w:t>
            </w:r>
          </w:p>
        </w:tc>
        <w:tc>
          <w:tcPr>
            <w:tcW w:w="299" w:type="dxa"/>
            <w:tcBorders>
              <w:top w:val="nil"/>
              <w:left w:val="nil"/>
              <w:bottom w:val="nil"/>
              <w:right w:val="nil"/>
            </w:tcBorders>
            <w:shd w:val="clear" w:color="auto" w:fill="auto"/>
            <w:noWrap/>
            <w:vAlign w:val="bottom"/>
            <w:hideMark/>
          </w:tcPr>
          <w:p w14:paraId="4DDEE926" w14:textId="77777777" w:rsidR="00C118F9" w:rsidRPr="007D5BAD" w:rsidRDefault="00C118F9" w:rsidP="005F36FB">
            <w:pPr>
              <w:spacing w:after="0" w:line="240" w:lineRule="auto"/>
              <w:jc w:val="center"/>
              <w:rPr>
                <w:rFonts w:ascii="Times New Roman" w:eastAsia="Times New Roman" w:hAnsi="Times New Roman"/>
                <w:b/>
                <w:color w:val="000000"/>
                <w:sz w:val="20"/>
                <w:szCs w:val="20"/>
                <w:lang w:eastAsia="lv-LV"/>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323E7" w14:textId="77777777" w:rsidR="00C118F9" w:rsidRPr="007D5BAD" w:rsidRDefault="00C118F9" w:rsidP="005F36FB">
            <w:pPr>
              <w:spacing w:after="0" w:line="240" w:lineRule="auto"/>
              <w:jc w:val="center"/>
              <w:rPr>
                <w:rFonts w:ascii="Times New Roman" w:eastAsia="Times New Roman" w:hAnsi="Times New Roman"/>
                <w:b/>
                <w:color w:val="000000"/>
                <w:sz w:val="20"/>
                <w:szCs w:val="20"/>
                <w:lang w:eastAsia="lv-LV"/>
              </w:rPr>
            </w:pPr>
            <w:r w:rsidRPr="007D5BAD">
              <w:rPr>
                <w:rFonts w:ascii="Times New Roman" w:eastAsia="Times New Roman" w:hAnsi="Times New Roman"/>
                <w:b/>
                <w:color w:val="000000"/>
                <w:sz w:val="20"/>
                <w:szCs w:val="20"/>
                <w:lang w:eastAsia="lv-LV"/>
              </w:rPr>
              <w:t>2018</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14:paraId="3CA55199" w14:textId="77777777" w:rsidR="00C118F9" w:rsidRPr="007D5BAD" w:rsidRDefault="00C118F9" w:rsidP="005F36FB">
            <w:pPr>
              <w:spacing w:after="0" w:line="240" w:lineRule="auto"/>
              <w:jc w:val="center"/>
              <w:rPr>
                <w:rFonts w:ascii="Times New Roman" w:eastAsia="Times New Roman" w:hAnsi="Times New Roman"/>
                <w:b/>
                <w:color w:val="000000"/>
                <w:sz w:val="20"/>
                <w:szCs w:val="20"/>
                <w:lang w:eastAsia="lv-LV"/>
              </w:rPr>
            </w:pPr>
            <w:r w:rsidRPr="007D5BAD">
              <w:rPr>
                <w:rFonts w:ascii="Times New Roman" w:eastAsia="Times New Roman" w:hAnsi="Times New Roman"/>
                <w:b/>
                <w:color w:val="000000"/>
                <w:sz w:val="20"/>
                <w:szCs w:val="20"/>
                <w:lang w:eastAsia="lv-LV"/>
              </w:rPr>
              <w:t>2019</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14:paraId="2D383E03" w14:textId="77777777" w:rsidR="00C118F9" w:rsidRPr="007D5BAD" w:rsidRDefault="00C118F9" w:rsidP="005F36FB">
            <w:pPr>
              <w:spacing w:after="0" w:line="240" w:lineRule="auto"/>
              <w:jc w:val="center"/>
              <w:rPr>
                <w:rFonts w:ascii="Times New Roman" w:eastAsia="Times New Roman" w:hAnsi="Times New Roman"/>
                <w:b/>
                <w:color w:val="000000"/>
                <w:sz w:val="20"/>
                <w:szCs w:val="20"/>
                <w:lang w:eastAsia="lv-LV"/>
              </w:rPr>
            </w:pPr>
            <w:r w:rsidRPr="007D5BAD">
              <w:rPr>
                <w:rFonts w:ascii="Times New Roman" w:eastAsia="Times New Roman" w:hAnsi="Times New Roman"/>
                <w:b/>
                <w:color w:val="000000"/>
                <w:sz w:val="20"/>
                <w:szCs w:val="20"/>
                <w:lang w:eastAsia="lv-LV"/>
              </w:rPr>
              <w:t>2020</w:t>
            </w:r>
          </w:p>
        </w:tc>
      </w:tr>
      <w:tr w:rsidR="00C118F9" w:rsidRPr="007D5BAD" w14:paraId="129732FC" w14:textId="77777777" w:rsidTr="00401E5D">
        <w:trPr>
          <w:trHeight w:val="515"/>
        </w:trPr>
        <w:tc>
          <w:tcPr>
            <w:tcW w:w="1296" w:type="dxa"/>
            <w:tcBorders>
              <w:top w:val="nil"/>
              <w:left w:val="single" w:sz="4" w:space="0" w:color="auto"/>
              <w:bottom w:val="single" w:sz="4" w:space="0" w:color="auto"/>
              <w:right w:val="single" w:sz="4" w:space="0" w:color="auto"/>
            </w:tcBorders>
            <w:shd w:val="clear" w:color="auto" w:fill="auto"/>
            <w:vAlign w:val="center"/>
            <w:hideMark/>
          </w:tcPr>
          <w:p w14:paraId="317263AD" w14:textId="101B2470" w:rsidR="00C118F9" w:rsidRPr="007D5BAD" w:rsidRDefault="00C118F9" w:rsidP="005F36FB">
            <w:pPr>
              <w:spacing w:after="0" w:line="240" w:lineRule="auto"/>
              <w:jc w:val="center"/>
              <w:rPr>
                <w:rFonts w:ascii="Times New Roman" w:eastAsia="Times New Roman" w:hAnsi="Times New Roman"/>
                <w:color w:val="000000"/>
                <w:sz w:val="20"/>
                <w:szCs w:val="20"/>
                <w:lang w:eastAsia="lv-LV"/>
              </w:rPr>
            </w:pPr>
            <w:r w:rsidRPr="007D5BAD">
              <w:rPr>
                <w:rFonts w:ascii="Times New Roman" w:eastAsia="Times New Roman" w:hAnsi="Times New Roman"/>
                <w:color w:val="000000"/>
                <w:sz w:val="20"/>
                <w:szCs w:val="20"/>
                <w:lang w:eastAsia="lv-LV"/>
              </w:rPr>
              <w:t>ne-ETS mērķis        (</w:t>
            </w:r>
            <w:proofErr w:type="spellStart"/>
            <w:r w:rsidRPr="007D5BAD">
              <w:rPr>
                <w:rFonts w:ascii="Times New Roman" w:eastAsia="Times New Roman" w:hAnsi="Times New Roman"/>
                <w:color w:val="000000"/>
                <w:sz w:val="20"/>
                <w:szCs w:val="20"/>
                <w:lang w:eastAsia="lv-LV"/>
              </w:rPr>
              <w:t>kt</w:t>
            </w:r>
            <w:proofErr w:type="spellEnd"/>
            <w:r w:rsidRPr="007D5BAD">
              <w:rPr>
                <w:rFonts w:ascii="Times New Roman" w:eastAsia="Times New Roman" w:hAnsi="Times New Roman"/>
                <w:color w:val="000000"/>
                <w:sz w:val="20"/>
                <w:szCs w:val="20"/>
                <w:lang w:eastAsia="lv-LV"/>
              </w:rPr>
              <w:t xml:space="preserve"> CO</w:t>
            </w:r>
            <w:r w:rsidRPr="007D5BAD">
              <w:rPr>
                <w:rFonts w:ascii="Times New Roman" w:eastAsia="Times New Roman" w:hAnsi="Times New Roman"/>
                <w:color w:val="000000"/>
                <w:sz w:val="20"/>
                <w:szCs w:val="20"/>
                <w:vertAlign w:val="subscript"/>
                <w:lang w:eastAsia="lv-LV"/>
              </w:rPr>
              <w:t>2</w:t>
            </w:r>
            <w:r w:rsidRPr="007D5BAD">
              <w:rPr>
                <w:rFonts w:ascii="Times New Roman" w:eastAsia="Times New Roman" w:hAnsi="Times New Roman"/>
                <w:color w:val="000000"/>
                <w:sz w:val="20"/>
                <w:szCs w:val="20"/>
                <w:lang w:eastAsia="lv-LV"/>
              </w:rPr>
              <w:t xml:space="preserve"> ekv</w:t>
            </w:r>
            <w:r w:rsidR="00A759F8">
              <w:rPr>
                <w:rFonts w:ascii="Times New Roman" w:eastAsia="Times New Roman" w:hAnsi="Times New Roman"/>
                <w:color w:val="000000"/>
                <w:sz w:val="20"/>
                <w:szCs w:val="20"/>
                <w:lang w:eastAsia="lv-LV"/>
              </w:rPr>
              <w:t>ivalenti</w:t>
            </w:r>
            <w:r w:rsidRPr="007D5BAD">
              <w:rPr>
                <w:rFonts w:ascii="Times New Roman" w:eastAsia="Times New Roman" w:hAnsi="Times New Roman"/>
                <w:color w:val="000000"/>
                <w:sz w:val="20"/>
                <w:szCs w:val="20"/>
                <w:lang w:eastAsia="lv-LV"/>
              </w:rPr>
              <w:t>)</w:t>
            </w:r>
            <w:r>
              <w:rPr>
                <w:rStyle w:val="FootnoteReference"/>
                <w:rFonts w:ascii="Times New Roman" w:eastAsia="Times New Roman" w:hAnsi="Times New Roman"/>
                <w:color w:val="000000"/>
                <w:sz w:val="20"/>
                <w:szCs w:val="20"/>
                <w:lang w:eastAsia="lv-LV"/>
              </w:rPr>
              <w:footnoteReference w:id="20"/>
            </w:r>
          </w:p>
        </w:tc>
        <w:tc>
          <w:tcPr>
            <w:tcW w:w="972" w:type="dxa"/>
            <w:tcBorders>
              <w:top w:val="nil"/>
              <w:left w:val="nil"/>
              <w:bottom w:val="single" w:sz="4" w:space="0" w:color="auto"/>
              <w:right w:val="single" w:sz="4" w:space="0" w:color="auto"/>
            </w:tcBorders>
            <w:shd w:val="clear" w:color="auto" w:fill="auto"/>
            <w:noWrap/>
            <w:vAlign w:val="center"/>
            <w:hideMark/>
          </w:tcPr>
          <w:p w14:paraId="0C66BBAB" w14:textId="77777777" w:rsidR="00C118F9" w:rsidRPr="007D5BAD" w:rsidRDefault="00C118F9" w:rsidP="005F36FB">
            <w:pPr>
              <w:spacing w:after="0" w:line="240" w:lineRule="auto"/>
              <w:jc w:val="center"/>
              <w:rPr>
                <w:rFonts w:ascii="Times New Roman" w:eastAsia="Times New Roman" w:hAnsi="Times New Roman"/>
                <w:color w:val="000000"/>
                <w:sz w:val="20"/>
                <w:szCs w:val="20"/>
                <w:lang w:eastAsia="lv-LV"/>
              </w:rPr>
            </w:pPr>
            <w:r w:rsidRPr="007D5BAD">
              <w:rPr>
                <w:rFonts w:ascii="Times New Roman" w:eastAsia="Times New Roman" w:hAnsi="Times New Roman"/>
                <w:color w:val="000000"/>
                <w:sz w:val="20"/>
                <w:szCs w:val="20"/>
                <w:lang w:eastAsia="lv-LV"/>
              </w:rPr>
              <w:t>9260062</w:t>
            </w:r>
          </w:p>
        </w:tc>
        <w:tc>
          <w:tcPr>
            <w:tcW w:w="972" w:type="dxa"/>
            <w:tcBorders>
              <w:top w:val="nil"/>
              <w:left w:val="nil"/>
              <w:bottom w:val="single" w:sz="4" w:space="0" w:color="auto"/>
              <w:right w:val="single" w:sz="4" w:space="0" w:color="auto"/>
            </w:tcBorders>
            <w:shd w:val="clear" w:color="auto" w:fill="auto"/>
            <w:noWrap/>
            <w:vAlign w:val="center"/>
            <w:hideMark/>
          </w:tcPr>
          <w:p w14:paraId="5C3A3E1A" w14:textId="77777777" w:rsidR="00C118F9" w:rsidRPr="007D5BAD" w:rsidRDefault="00C118F9" w:rsidP="005F36FB">
            <w:pPr>
              <w:spacing w:after="0" w:line="240" w:lineRule="auto"/>
              <w:jc w:val="center"/>
              <w:rPr>
                <w:rFonts w:ascii="Times New Roman" w:eastAsia="Times New Roman" w:hAnsi="Times New Roman"/>
                <w:color w:val="000000"/>
                <w:sz w:val="20"/>
                <w:szCs w:val="20"/>
                <w:lang w:eastAsia="lv-LV"/>
              </w:rPr>
            </w:pPr>
            <w:r w:rsidRPr="007D5BAD">
              <w:rPr>
                <w:rFonts w:ascii="Times New Roman" w:eastAsia="Times New Roman" w:hAnsi="Times New Roman"/>
                <w:color w:val="000000"/>
                <w:sz w:val="20"/>
                <w:szCs w:val="20"/>
                <w:lang w:eastAsia="lv-LV"/>
              </w:rPr>
              <w:t>9351238</w:t>
            </w:r>
          </w:p>
        </w:tc>
        <w:tc>
          <w:tcPr>
            <w:tcW w:w="972" w:type="dxa"/>
            <w:tcBorders>
              <w:top w:val="nil"/>
              <w:left w:val="nil"/>
              <w:bottom w:val="single" w:sz="4" w:space="0" w:color="auto"/>
              <w:right w:val="single" w:sz="4" w:space="0" w:color="auto"/>
            </w:tcBorders>
            <w:shd w:val="clear" w:color="auto" w:fill="auto"/>
            <w:noWrap/>
            <w:vAlign w:val="center"/>
            <w:hideMark/>
          </w:tcPr>
          <w:p w14:paraId="416D4103" w14:textId="77777777" w:rsidR="00C118F9" w:rsidRPr="007D5BAD" w:rsidRDefault="00C118F9" w:rsidP="005F36FB">
            <w:pPr>
              <w:spacing w:after="0" w:line="240" w:lineRule="auto"/>
              <w:jc w:val="center"/>
              <w:rPr>
                <w:rFonts w:ascii="Times New Roman" w:eastAsia="Times New Roman" w:hAnsi="Times New Roman"/>
                <w:color w:val="000000"/>
                <w:sz w:val="20"/>
                <w:szCs w:val="20"/>
                <w:lang w:eastAsia="lv-LV"/>
              </w:rPr>
            </w:pPr>
            <w:r w:rsidRPr="007D5BAD">
              <w:rPr>
                <w:rFonts w:ascii="Times New Roman" w:eastAsia="Times New Roman" w:hAnsi="Times New Roman"/>
                <w:color w:val="000000"/>
                <w:sz w:val="20"/>
                <w:szCs w:val="20"/>
                <w:lang w:eastAsia="lv-LV"/>
              </w:rPr>
              <w:t>9442415</w:t>
            </w:r>
          </w:p>
        </w:tc>
        <w:tc>
          <w:tcPr>
            <w:tcW w:w="972" w:type="dxa"/>
            <w:tcBorders>
              <w:top w:val="nil"/>
              <w:left w:val="nil"/>
              <w:bottom w:val="single" w:sz="4" w:space="0" w:color="auto"/>
              <w:right w:val="single" w:sz="4" w:space="0" w:color="auto"/>
            </w:tcBorders>
            <w:shd w:val="clear" w:color="auto" w:fill="auto"/>
            <w:noWrap/>
            <w:vAlign w:val="center"/>
            <w:hideMark/>
          </w:tcPr>
          <w:p w14:paraId="1763FA91" w14:textId="77777777" w:rsidR="00C118F9" w:rsidRPr="007D5BAD" w:rsidRDefault="00C118F9" w:rsidP="005F36FB">
            <w:pPr>
              <w:spacing w:after="0" w:line="240" w:lineRule="auto"/>
              <w:jc w:val="center"/>
              <w:rPr>
                <w:rFonts w:ascii="Times New Roman" w:eastAsia="Times New Roman" w:hAnsi="Times New Roman"/>
                <w:color w:val="000000"/>
                <w:sz w:val="20"/>
                <w:szCs w:val="20"/>
                <w:lang w:eastAsia="lv-LV"/>
              </w:rPr>
            </w:pPr>
            <w:r w:rsidRPr="007D5BAD">
              <w:rPr>
                <w:rFonts w:ascii="Times New Roman" w:eastAsia="Times New Roman" w:hAnsi="Times New Roman"/>
                <w:color w:val="000000"/>
                <w:sz w:val="20"/>
                <w:szCs w:val="20"/>
                <w:lang w:eastAsia="lv-LV"/>
              </w:rPr>
              <w:t>9533591</w:t>
            </w:r>
          </w:p>
        </w:tc>
        <w:tc>
          <w:tcPr>
            <w:tcW w:w="972" w:type="dxa"/>
            <w:tcBorders>
              <w:top w:val="nil"/>
              <w:left w:val="nil"/>
              <w:bottom w:val="single" w:sz="4" w:space="0" w:color="auto"/>
              <w:right w:val="single" w:sz="4" w:space="0" w:color="auto"/>
            </w:tcBorders>
            <w:shd w:val="clear" w:color="auto" w:fill="auto"/>
            <w:noWrap/>
            <w:vAlign w:val="center"/>
            <w:hideMark/>
          </w:tcPr>
          <w:p w14:paraId="7190446B" w14:textId="77777777" w:rsidR="00C118F9" w:rsidRPr="007D5BAD" w:rsidRDefault="00C118F9" w:rsidP="005F36FB">
            <w:pPr>
              <w:spacing w:after="0" w:line="240" w:lineRule="auto"/>
              <w:jc w:val="center"/>
              <w:rPr>
                <w:rFonts w:ascii="Times New Roman" w:eastAsia="Times New Roman" w:hAnsi="Times New Roman"/>
                <w:color w:val="000000"/>
                <w:sz w:val="20"/>
                <w:szCs w:val="20"/>
                <w:lang w:eastAsia="lv-LV"/>
              </w:rPr>
            </w:pPr>
            <w:r w:rsidRPr="007D5BAD">
              <w:rPr>
                <w:rFonts w:ascii="Times New Roman" w:eastAsia="Times New Roman" w:hAnsi="Times New Roman"/>
                <w:color w:val="000000"/>
                <w:sz w:val="20"/>
                <w:szCs w:val="20"/>
                <w:lang w:eastAsia="lv-LV"/>
              </w:rPr>
              <w:t>9729357</w:t>
            </w:r>
          </w:p>
        </w:tc>
        <w:tc>
          <w:tcPr>
            <w:tcW w:w="299" w:type="dxa"/>
            <w:tcBorders>
              <w:top w:val="nil"/>
              <w:left w:val="nil"/>
              <w:bottom w:val="nil"/>
              <w:right w:val="nil"/>
            </w:tcBorders>
            <w:shd w:val="clear" w:color="auto" w:fill="auto"/>
            <w:noWrap/>
            <w:vAlign w:val="center"/>
            <w:hideMark/>
          </w:tcPr>
          <w:p w14:paraId="469DC278" w14:textId="77777777" w:rsidR="00C118F9" w:rsidRPr="007D5BAD" w:rsidRDefault="00C118F9" w:rsidP="005F36FB">
            <w:pPr>
              <w:spacing w:after="0" w:line="240" w:lineRule="auto"/>
              <w:jc w:val="center"/>
              <w:rPr>
                <w:rFonts w:ascii="Times New Roman" w:eastAsia="Times New Roman" w:hAnsi="Times New Roman"/>
                <w:color w:val="000000"/>
                <w:sz w:val="20"/>
                <w:szCs w:val="20"/>
                <w:lang w:eastAsia="lv-LV"/>
              </w:rPr>
            </w:pPr>
          </w:p>
        </w:tc>
        <w:tc>
          <w:tcPr>
            <w:tcW w:w="945" w:type="dxa"/>
            <w:tcBorders>
              <w:top w:val="nil"/>
              <w:left w:val="single" w:sz="4" w:space="0" w:color="auto"/>
              <w:bottom w:val="single" w:sz="4" w:space="0" w:color="auto"/>
              <w:right w:val="single" w:sz="4" w:space="0" w:color="auto"/>
            </w:tcBorders>
            <w:shd w:val="clear" w:color="auto" w:fill="auto"/>
            <w:noWrap/>
            <w:vAlign w:val="center"/>
            <w:hideMark/>
          </w:tcPr>
          <w:p w14:paraId="2D3A4A57" w14:textId="77777777" w:rsidR="00C118F9" w:rsidRPr="007D5BAD" w:rsidRDefault="00C118F9" w:rsidP="005F36FB">
            <w:pPr>
              <w:spacing w:after="0" w:line="240" w:lineRule="auto"/>
              <w:jc w:val="center"/>
              <w:rPr>
                <w:rFonts w:ascii="Times New Roman" w:eastAsia="Times New Roman" w:hAnsi="Times New Roman"/>
                <w:color w:val="000000"/>
                <w:sz w:val="20"/>
                <w:szCs w:val="20"/>
                <w:lang w:eastAsia="lv-LV"/>
              </w:rPr>
            </w:pPr>
            <w:r w:rsidRPr="007D5BAD">
              <w:rPr>
                <w:rFonts w:ascii="Times New Roman" w:eastAsia="Times New Roman" w:hAnsi="Times New Roman"/>
                <w:color w:val="000000"/>
                <w:sz w:val="20"/>
                <w:szCs w:val="20"/>
                <w:lang w:eastAsia="lv-LV"/>
              </w:rPr>
              <w:t>9816847</w:t>
            </w:r>
          </w:p>
        </w:tc>
        <w:tc>
          <w:tcPr>
            <w:tcW w:w="945" w:type="dxa"/>
            <w:tcBorders>
              <w:top w:val="nil"/>
              <w:left w:val="nil"/>
              <w:bottom w:val="single" w:sz="4" w:space="0" w:color="auto"/>
              <w:right w:val="single" w:sz="4" w:space="0" w:color="auto"/>
            </w:tcBorders>
            <w:shd w:val="clear" w:color="auto" w:fill="auto"/>
            <w:noWrap/>
            <w:vAlign w:val="center"/>
            <w:hideMark/>
          </w:tcPr>
          <w:p w14:paraId="3042AFCB" w14:textId="77777777" w:rsidR="00C118F9" w:rsidRPr="007D5BAD" w:rsidRDefault="00C118F9" w:rsidP="005F36FB">
            <w:pPr>
              <w:spacing w:after="0" w:line="240" w:lineRule="auto"/>
              <w:jc w:val="center"/>
              <w:rPr>
                <w:rFonts w:ascii="Times New Roman" w:eastAsia="Times New Roman" w:hAnsi="Times New Roman"/>
                <w:color w:val="000000"/>
                <w:sz w:val="20"/>
                <w:szCs w:val="20"/>
                <w:lang w:eastAsia="lv-LV"/>
              </w:rPr>
            </w:pPr>
            <w:r w:rsidRPr="007D5BAD">
              <w:rPr>
                <w:rFonts w:ascii="Times New Roman" w:eastAsia="Times New Roman" w:hAnsi="Times New Roman"/>
                <w:color w:val="000000"/>
                <w:sz w:val="20"/>
                <w:szCs w:val="20"/>
                <w:lang w:eastAsia="lv-LV"/>
              </w:rPr>
              <w:t>9904339</w:t>
            </w:r>
          </w:p>
        </w:tc>
        <w:tc>
          <w:tcPr>
            <w:tcW w:w="945" w:type="dxa"/>
            <w:tcBorders>
              <w:top w:val="nil"/>
              <w:left w:val="nil"/>
              <w:bottom w:val="single" w:sz="4" w:space="0" w:color="auto"/>
              <w:right w:val="single" w:sz="4" w:space="0" w:color="auto"/>
            </w:tcBorders>
            <w:shd w:val="clear" w:color="auto" w:fill="auto"/>
            <w:noWrap/>
            <w:vAlign w:val="center"/>
            <w:hideMark/>
          </w:tcPr>
          <w:p w14:paraId="095EBD77" w14:textId="77777777" w:rsidR="00C118F9" w:rsidRPr="007D5BAD" w:rsidRDefault="00C118F9" w:rsidP="005F36FB">
            <w:pPr>
              <w:spacing w:after="0" w:line="240" w:lineRule="auto"/>
              <w:jc w:val="center"/>
              <w:rPr>
                <w:rFonts w:ascii="Times New Roman" w:eastAsia="Times New Roman" w:hAnsi="Times New Roman"/>
                <w:color w:val="000000"/>
                <w:sz w:val="20"/>
                <w:szCs w:val="20"/>
                <w:lang w:eastAsia="lv-LV"/>
              </w:rPr>
            </w:pPr>
            <w:r w:rsidRPr="007D5BAD">
              <w:rPr>
                <w:rFonts w:ascii="Times New Roman" w:eastAsia="Times New Roman" w:hAnsi="Times New Roman"/>
                <w:color w:val="000000"/>
                <w:sz w:val="20"/>
                <w:szCs w:val="20"/>
                <w:lang w:eastAsia="lv-LV"/>
              </w:rPr>
              <w:t>9991829</w:t>
            </w:r>
          </w:p>
        </w:tc>
      </w:tr>
      <w:tr w:rsidR="00C118F9" w:rsidRPr="007D5BAD" w14:paraId="16EB8543" w14:textId="77777777" w:rsidTr="00401E5D">
        <w:trPr>
          <w:trHeight w:val="1002"/>
        </w:trPr>
        <w:tc>
          <w:tcPr>
            <w:tcW w:w="1296" w:type="dxa"/>
            <w:tcBorders>
              <w:top w:val="nil"/>
              <w:left w:val="single" w:sz="4" w:space="0" w:color="auto"/>
              <w:bottom w:val="single" w:sz="4" w:space="0" w:color="auto"/>
              <w:right w:val="single" w:sz="4" w:space="0" w:color="auto"/>
            </w:tcBorders>
            <w:shd w:val="clear" w:color="auto" w:fill="auto"/>
            <w:vAlign w:val="center"/>
            <w:hideMark/>
          </w:tcPr>
          <w:p w14:paraId="4D8B9C3A" w14:textId="7C519AE0" w:rsidR="00C118F9" w:rsidRPr="007D5BAD" w:rsidRDefault="00C118F9" w:rsidP="005F36FB">
            <w:pPr>
              <w:spacing w:after="0" w:line="240" w:lineRule="auto"/>
              <w:jc w:val="center"/>
              <w:rPr>
                <w:rFonts w:ascii="Times New Roman" w:eastAsia="Times New Roman" w:hAnsi="Times New Roman"/>
                <w:color w:val="000000"/>
                <w:sz w:val="20"/>
                <w:szCs w:val="20"/>
                <w:lang w:eastAsia="lv-LV"/>
              </w:rPr>
            </w:pPr>
            <w:r w:rsidRPr="007D5BAD">
              <w:rPr>
                <w:rFonts w:ascii="Times New Roman" w:eastAsia="Times New Roman" w:hAnsi="Times New Roman"/>
                <w:color w:val="000000"/>
                <w:sz w:val="20"/>
                <w:szCs w:val="20"/>
                <w:lang w:eastAsia="lv-LV"/>
              </w:rPr>
              <w:t>ne-ETS darbību SEG emisijas                (t CO</w:t>
            </w:r>
            <w:r w:rsidRPr="007D5BAD">
              <w:rPr>
                <w:rFonts w:ascii="Times New Roman" w:eastAsia="Times New Roman" w:hAnsi="Times New Roman"/>
                <w:color w:val="000000"/>
                <w:sz w:val="20"/>
                <w:szCs w:val="20"/>
                <w:vertAlign w:val="subscript"/>
                <w:lang w:eastAsia="lv-LV"/>
              </w:rPr>
              <w:t>2</w:t>
            </w:r>
            <w:r w:rsidRPr="007D5BAD">
              <w:rPr>
                <w:rFonts w:ascii="Times New Roman" w:eastAsia="Times New Roman" w:hAnsi="Times New Roman"/>
                <w:color w:val="000000"/>
                <w:sz w:val="20"/>
                <w:szCs w:val="20"/>
                <w:lang w:eastAsia="lv-LV"/>
              </w:rPr>
              <w:t xml:space="preserve"> ekv</w:t>
            </w:r>
            <w:r w:rsidR="00A759F8">
              <w:rPr>
                <w:rFonts w:ascii="Times New Roman" w:eastAsia="Times New Roman" w:hAnsi="Times New Roman"/>
                <w:color w:val="000000"/>
                <w:sz w:val="20"/>
                <w:szCs w:val="20"/>
                <w:lang w:eastAsia="lv-LV"/>
              </w:rPr>
              <w:t>ivalenti</w:t>
            </w:r>
            <w:r w:rsidRPr="007D5BAD">
              <w:rPr>
                <w:rFonts w:ascii="Times New Roman" w:eastAsia="Times New Roman" w:hAnsi="Times New Roman"/>
                <w:color w:val="000000"/>
                <w:sz w:val="20"/>
                <w:szCs w:val="20"/>
                <w:lang w:eastAsia="lv-LV"/>
              </w:rPr>
              <w:t>)</w:t>
            </w:r>
          </w:p>
        </w:tc>
        <w:tc>
          <w:tcPr>
            <w:tcW w:w="972" w:type="dxa"/>
            <w:tcBorders>
              <w:top w:val="nil"/>
              <w:left w:val="nil"/>
              <w:bottom w:val="single" w:sz="4" w:space="0" w:color="auto"/>
              <w:right w:val="single" w:sz="4" w:space="0" w:color="auto"/>
            </w:tcBorders>
            <w:shd w:val="clear" w:color="auto" w:fill="auto"/>
            <w:noWrap/>
            <w:vAlign w:val="center"/>
            <w:hideMark/>
          </w:tcPr>
          <w:p w14:paraId="7FF53D20" w14:textId="77777777" w:rsidR="00C118F9" w:rsidRPr="008C32A4" w:rsidRDefault="00C118F9" w:rsidP="005F36FB">
            <w:pPr>
              <w:spacing w:after="0" w:line="240" w:lineRule="auto"/>
              <w:jc w:val="center"/>
              <w:rPr>
                <w:rFonts w:ascii="Times New Roman" w:eastAsia="Times New Roman" w:hAnsi="Times New Roman"/>
                <w:color w:val="000000"/>
                <w:sz w:val="18"/>
                <w:szCs w:val="18"/>
                <w:lang w:eastAsia="lv-LV"/>
              </w:rPr>
            </w:pPr>
            <w:r w:rsidRPr="008C32A4">
              <w:rPr>
                <w:rFonts w:ascii="Times New Roman" w:eastAsia="Times New Roman" w:hAnsi="Times New Roman"/>
                <w:color w:val="000000"/>
                <w:sz w:val="18"/>
                <w:szCs w:val="18"/>
                <w:lang w:eastAsia="lv-LV"/>
              </w:rPr>
              <w:t>8776857</w:t>
            </w:r>
            <w:r w:rsidRPr="008C32A4">
              <w:rPr>
                <w:rStyle w:val="FootnoteReference"/>
                <w:rFonts w:ascii="Times New Roman" w:eastAsia="Times New Roman" w:hAnsi="Times New Roman"/>
                <w:color w:val="000000"/>
                <w:sz w:val="18"/>
                <w:szCs w:val="18"/>
                <w:lang w:eastAsia="lv-LV"/>
              </w:rPr>
              <w:footnoteReference w:id="21"/>
            </w:r>
          </w:p>
        </w:tc>
        <w:tc>
          <w:tcPr>
            <w:tcW w:w="972" w:type="dxa"/>
            <w:tcBorders>
              <w:top w:val="nil"/>
              <w:left w:val="nil"/>
              <w:bottom w:val="single" w:sz="4" w:space="0" w:color="auto"/>
              <w:right w:val="single" w:sz="4" w:space="0" w:color="auto"/>
            </w:tcBorders>
            <w:shd w:val="clear" w:color="auto" w:fill="auto"/>
            <w:noWrap/>
            <w:vAlign w:val="center"/>
            <w:hideMark/>
          </w:tcPr>
          <w:p w14:paraId="7E36EF94" w14:textId="77777777" w:rsidR="00C118F9" w:rsidRPr="008C32A4" w:rsidRDefault="00C118F9" w:rsidP="005F36FB">
            <w:pPr>
              <w:spacing w:after="0" w:line="240" w:lineRule="auto"/>
              <w:jc w:val="center"/>
              <w:rPr>
                <w:rFonts w:ascii="Times New Roman" w:eastAsia="Times New Roman" w:hAnsi="Times New Roman"/>
                <w:color w:val="000000"/>
                <w:sz w:val="18"/>
                <w:szCs w:val="18"/>
                <w:lang w:eastAsia="lv-LV"/>
              </w:rPr>
            </w:pPr>
            <w:r w:rsidRPr="008C32A4">
              <w:rPr>
                <w:rFonts w:ascii="Times New Roman" w:eastAsia="Times New Roman" w:hAnsi="Times New Roman"/>
                <w:color w:val="000000"/>
                <w:sz w:val="18"/>
                <w:szCs w:val="18"/>
                <w:lang w:eastAsia="lv-LV"/>
              </w:rPr>
              <w:t>9017595</w:t>
            </w:r>
            <w:r w:rsidRPr="008C32A4">
              <w:rPr>
                <w:rStyle w:val="FootnoteReference"/>
                <w:rFonts w:ascii="Times New Roman" w:eastAsia="Times New Roman" w:hAnsi="Times New Roman"/>
                <w:color w:val="000000"/>
                <w:sz w:val="18"/>
                <w:szCs w:val="18"/>
                <w:lang w:eastAsia="lv-LV"/>
              </w:rPr>
              <w:footnoteReference w:id="22"/>
            </w:r>
          </w:p>
        </w:tc>
        <w:tc>
          <w:tcPr>
            <w:tcW w:w="972" w:type="dxa"/>
            <w:tcBorders>
              <w:top w:val="nil"/>
              <w:left w:val="nil"/>
              <w:bottom w:val="single" w:sz="4" w:space="0" w:color="auto"/>
              <w:right w:val="single" w:sz="4" w:space="0" w:color="auto"/>
            </w:tcBorders>
            <w:shd w:val="clear" w:color="auto" w:fill="auto"/>
            <w:noWrap/>
            <w:vAlign w:val="center"/>
            <w:hideMark/>
          </w:tcPr>
          <w:p w14:paraId="1C9203D1" w14:textId="77777777" w:rsidR="00C118F9" w:rsidRPr="008C32A4" w:rsidRDefault="00C118F9" w:rsidP="005F36FB">
            <w:pPr>
              <w:spacing w:after="0" w:line="240" w:lineRule="auto"/>
              <w:jc w:val="center"/>
              <w:rPr>
                <w:rFonts w:ascii="Times New Roman" w:eastAsia="Times New Roman" w:hAnsi="Times New Roman"/>
                <w:color w:val="000000"/>
                <w:sz w:val="18"/>
                <w:szCs w:val="18"/>
                <w:lang w:eastAsia="lv-LV"/>
              </w:rPr>
            </w:pPr>
            <w:r w:rsidRPr="008C32A4">
              <w:rPr>
                <w:rFonts w:ascii="Times New Roman" w:eastAsia="Times New Roman" w:hAnsi="Times New Roman"/>
                <w:color w:val="000000"/>
                <w:sz w:val="18"/>
                <w:szCs w:val="18"/>
                <w:lang w:eastAsia="lv-LV"/>
              </w:rPr>
              <w:t>9005121</w:t>
            </w:r>
            <w:r w:rsidRPr="008C32A4">
              <w:rPr>
                <w:rStyle w:val="FootnoteReference"/>
                <w:rFonts w:ascii="Times New Roman" w:eastAsia="Times New Roman" w:hAnsi="Times New Roman"/>
                <w:color w:val="000000"/>
                <w:sz w:val="18"/>
                <w:szCs w:val="18"/>
                <w:lang w:eastAsia="lv-LV"/>
              </w:rPr>
              <w:footnoteReference w:id="23"/>
            </w:r>
          </w:p>
        </w:tc>
        <w:tc>
          <w:tcPr>
            <w:tcW w:w="972" w:type="dxa"/>
            <w:tcBorders>
              <w:top w:val="nil"/>
              <w:left w:val="nil"/>
              <w:bottom w:val="single" w:sz="4" w:space="0" w:color="auto"/>
              <w:right w:val="single" w:sz="4" w:space="0" w:color="auto"/>
            </w:tcBorders>
            <w:shd w:val="clear" w:color="auto" w:fill="auto"/>
            <w:noWrap/>
            <w:vAlign w:val="center"/>
            <w:hideMark/>
          </w:tcPr>
          <w:p w14:paraId="28A936EE" w14:textId="77777777" w:rsidR="00C118F9" w:rsidRPr="008C32A4" w:rsidRDefault="00C118F9" w:rsidP="005F36FB">
            <w:pPr>
              <w:spacing w:after="0" w:line="240" w:lineRule="auto"/>
              <w:jc w:val="center"/>
              <w:rPr>
                <w:rFonts w:ascii="Times New Roman" w:eastAsia="Times New Roman" w:hAnsi="Times New Roman"/>
                <w:color w:val="000000"/>
                <w:sz w:val="18"/>
                <w:szCs w:val="18"/>
                <w:lang w:eastAsia="lv-LV"/>
              </w:rPr>
            </w:pPr>
            <w:r w:rsidRPr="008C32A4">
              <w:rPr>
                <w:rFonts w:ascii="Times New Roman" w:eastAsia="Times New Roman" w:hAnsi="Times New Roman"/>
                <w:color w:val="000000"/>
                <w:sz w:val="18"/>
                <w:szCs w:val="18"/>
                <w:lang w:eastAsia="lv-LV"/>
              </w:rPr>
              <w:t>9107440</w:t>
            </w:r>
            <w:r w:rsidRPr="008C32A4">
              <w:rPr>
                <w:rStyle w:val="FootnoteReference"/>
                <w:rFonts w:ascii="Times New Roman" w:eastAsia="Times New Roman" w:hAnsi="Times New Roman"/>
                <w:color w:val="000000"/>
                <w:sz w:val="18"/>
                <w:szCs w:val="18"/>
                <w:lang w:eastAsia="lv-LV"/>
              </w:rPr>
              <w:footnoteReference w:id="24"/>
            </w:r>
          </w:p>
        </w:tc>
        <w:tc>
          <w:tcPr>
            <w:tcW w:w="972" w:type="dxa"/>
            <w:tcBorders>
              <w:top w:val="nil"/>
              <w:left w:val="nil"/>
              <w:bottom w:val="single" w:sz="4" w:space="0" w:color="auto"/>
              <w:right w:val="single" w:sz="4" w:space="0" w:color="auto"/>
            </w:tcBorders>
            <w:shd w:val="clear" w:color="auto" w:fill="auto"/>
            <w:noWrap/>
            <w:vAlign w:val="center"/>
            <w:hideMark/>
          </w:tcPr>
          <w:p w14:paraId="7EACFF4E" w14:textId="77777777" w:rsidR="00C118F9" w:rsidRPr="008C32A4" w:rsidRDefault="00C118F9" w:rsidP="005F36FB">
            <w:pPr>
              <w:spacing w:after="0" w:line="240" w:lineRule="auto"/>
              <w:jc w:val="center"/>
              <w:rPr>
                <w:rFonts w:ascii="Times New Roman" w:eastAsia="Times New Roman" w:hAnsi="Times New Roman"/>
                <w:color w:val="000000"/>
                <w:sz w:val="18"/>
                <w:szCs w:val="18"/>
                <w:lang w:eastAsia="lv-LV"/>
              </w:rPr>
            </w:pPr>
            <w:r w:rsidRPr="008C32A4">
              <w:rPr>
                <w:rFonts w:ascii="Times New Roman" w:eastAsia="Times New Roman" w:hAnsi="Times New Roman"/>
                <w:color w:val="000000"/>
                <w:sz w:val="18"/>
                <w:szCs w:val="18"/>
                <w:lang w:eastAsia="lv-LV"/>
              </w:rPr>
              <w:t>9225629</w:t>
            </w:r>
            <w:r w:rsidRPr="008C32A4">
              <w:rPr>
                <w:rStyle w:val="FootnoteReference"/>
                <w:rFonts w:ascii="Times New Roman" w:eastAsia="Times New Roman" w:hAnsi="Times New Roman"/>
                <w:color w:val="000000"/>
                <w:sz w:val="18"/>
                <w:szCs w:val="18"/>
                <w:lang w:eastAsia="lv-LV"/>
              </w:rPr>
              <w:footnoteReference w:id="25"/>
            </w:r>
          </w:p>
        </w:tc>
        <w:tc>
          <w:tcPr>
            <w:tcW w:w="299" w:type="dxa"/>
            <w:tcBorders>
              <w:top w:val="nil"/>
              <w:left w:val="nil"/>
              <w:bottom w:val="nil"/>
              <w:right w:val="nil"/>
            </w:tcBorders>
            <w:shd w:val="clear" w:color="auto" w:fill="auto"/>
            <w:noWrap/>
            <w:vAlign w:val="center"/>
            <w:hideMark/>
          </w:tcPr>
          <w:p w14:paraId="4DCB520A" w14:textId="77777777" w:rsidR="00C118F9" w:rsidRPr="008C32A4" w:rsidRDefault="00C118F9" w:rsidP="005F36FB">
            <w:pPr>
              <w:spacing w:after="0" w:line="240" w:lineRule="auto"/>
              <w:jc w:val="center"/>
              <w:rPr>
                <w:rFonts w:ascii="Times New Roman" w:eastAsia="Times New Roman" w:hAnsi="Times New Roman"/>
                <w:color w:val="000000"/>
                <w:sz w:val="18"/>
                <w:szCs w:val="18"/>
                <w:lang w:eastAsia="lv-LV"/>
              </w:rPr>
            </w:pPr>
          </w:p>
        </w:tc>
        <w:tc>
          <w:tcPr>
            <w:tcW w:w="945" w:type="dxa"/>
            <w:tcBorders>
              <w:top w:val="nil"/>
              <w:left w:val="single" w:sz="4" w:space="0" w:color="auto"/>
              <w:bottom w:val="single" w:sz="4" w:space="0" w:color="auto"/>
              <w:right w:val="single" w:sz="4" w:space="0" w:color="auto"/>
            </w:tcBorders>
            <w:shd w:val="clear" w:color="auto" w:fill="auto"/>
            <w:noWrap/>
            <w:vAlign w:val="center"/>
            <w:hideMark/>
          </w:tcPr>
          <w:p w14:paraId="0C172978" w14:textId="77777777" w:rsidR="00C118F9" w:rsidRPr="008C32A4" w:rsidRDefault="00C118F9" w:rsidP="005F36FB">
            <w:pPr>
              <w:spacing w:after="0" w:line="240" w:lineRule="auto"/>
              <w:jc w:val="center"/>
              <w:rPr>
                <w:rFonts w:ascii="Times New Roman" w:eastAsia="Times New Roman" w:hAnsi="Times New Roman"/>
                <w:color w:val="000000"/>
                <w:sz w:val="18"/>
                <w:szCs w:val="18"/>
                <w:lang w:eastAsia="lv-LV"/>
              </w:rPr>
            </w:pPr>
            <w:r w:rsidRPr="008C32A4">
              <w:rPr>
                <w:rFonts w:ascii="Times New Roman" w:eastAsia="Times New Roman" w:hAnsi="Times New Roman"/>
                <w:color w:val="000000"/>
                <w:sz w:val="18"/>
                <w:szCs w:val="18"/>
                <w:lang w:eastAsia="lv-LV"/>
              </w:rPr>
              <w:t>9118932*</w:t>
            </w:r>
          </w:p>
        </w:tc>
        <w:tc>
          <w:tcPr>
            <w:tcW w:w="945" w:type="dxa"/>
            <w:tcBorders>
              <w:top w:val="nil"/>
              <w:left w:val="nil"/>
              <w:bottom w:val="single" w:sz="4" w:space="0" w:color="auto"/>
              <w:right w:val="single" w:sz="4" w:space="0" w:color="auto"/>
            </w:tcBorders>
            <w:shd w:val="clear" w:color="auto" w:fill="auto"/>
            <w:noWrap/>
            <w:vAlign w:val="center"/>
            <w:hideMark/>
          </w:tcPr>
          <w:p w14:paraId="6F9EA048" w14:textId="77777777" w:rsidR="00C118F9" w:rsidRPr="008C32A4" w:rsidRDefault="00C118F9" w:rsidP="005F36FB">
            <w:pPr>
              <w:spacing w:after="0" w:line="240" w:lineRule="auto"/>
              <w:jc w:val="center"/>
              <w:rPr>
                <w:rFonts w:ascii="Times New Roman" w:eastAsia="Times New Roman" w:hAnsi="Times New Roman"/>
                <w:color w:val="000000"/>
                <w:sz w:val="18"/>
                <w:szCs w:val="18"/>
                <w:lang w:eastAsia="lv-LV"/>
              </w:rPr>
            </w:pPr>
            <w:r w:rsidRPr="008C32A4">
              <w:rPr>
                <w:rFonts w:ascii="Times New Roman" w:eastAsia="Times New Roman" w:hAnsi="Times New Roman"/>
                <w:color w:val="000000"/>
                <w:sz w:val="18"/>
                <w:szCs w:val="18"/>
                <w:lang w:eastAsia="lv-LV"/>
              </w:rPr>
              <w:t>9179730*</w:t>
            </w:r>
          </w:p>
        </w:tc>
        <w:tc>
          <w:tcPr>
            <w:tcW w:w="945" w:type="dxa"/>
            <w:tcBorders>
              <w:top w:val="nil"/>
              <w:left w:val="nil"/>
              <w:bottom w:val="single" w:sz="4" w:space="0" w:color="auto"/>
              <w:right w:val="single" w:sz="4" w:space="0" w:color="auto"/>
            </w:tcBorders>
            <w:shd w:val="clear" w:color="auto" w:fill="auto"/>
            <w:noWrap/>
            <w:vAlign w:val="center"/>
            <w:hideMark/>
          </w:tcPr>
          <w:p w14:paraId="3377D322" w14:textId="77777777" w:rsidR="00C118F9" w:rsidRPr="008C32A4" w:rsidRDefault="00C118F9" w:rsidP="005F36FB">
            <w:pPr>
              <w:spacing w:after="0" w:line="240" w:lineRule="auto"/>
              <w:jc w:val="center"/>
              <w:rPr>
                <w:rFonts w:ascii="Times New Roman" w:eastAsia="Times New Roman" w:hAnsi="Times New Roman"/>
                <w:color w:val="000000"/>
                <w:sz w:val="18"/>
                <w:szCs w:val="18"/>
                <w:lang w:eastAsia="lv-LV"/>
              </w:rPr>
            </w:pPr>
            <w:r w:rsidRPr="008C32A4">
              <w:rPr>
                <w:rFonts w:ascii="Times New Roman" w:eastAsia="Times New Roman" w:hAnsi="Times New Roman"/>
                <w:color w:val="000000"/>
                <w:sz w:val="18"/>
                <w:szCs w:val="18"/>
                <w:lang w:eastAsia="lv-LV"/>
              </w:rPr>
              <w:t>9207596*</w:t>
            </w:r>
          </w:p>
        </w:tc>
      </w:tr>
      <w:tr w:rsidR="00C118F9" w:rsidRPr="007D5BAD" w14:paraId="3FEEA4FB" w14:textId="77777777" w:rsidTr="00401E5D">
        <w:trPr>
          <w:trHeight w:val="758"/>
        </w:trPr>
        <w:tc>
          <w:tcPr>
            <w:tcW w:w="1296" w:type="dxa"/>
            <w:tcBorders>
              <w:top w:val="nil"/>
              <w:left w:val="single" w:sz="4" w:space="0" w:color="auto"/>
              <w:bottom w:val="single" w:sz="4" w:space="0" w:color="auto"/>
              <w:right w:val="single" w:sz="4" w:space="0" w:color="auto"/>
            </w:tcBorders>
            <w:shd w:val="clear" w:color="auto" w:fill="auto"/>
            <w:vAlign w:val="center"/>
            <w:hideMark/>
          </w:tcPr>
          <w:p w14:paraId="646420DF" w14:textId="61AF7A6F" w:rsidR="00C118F9" w:rsidRPr="007D5BAD" w:rsidRDefault="00C118F9" w:rsidP="005F36FB">
            <w:pPr>
              <w:spacing w:after="0" w:line="240" w:lineRule="auto"/>
              <w:jc w:val="center"/>
              <w:rPr>
                <w:rFonts w:ascii="Times New Roman" w:eastAsia="Times New Roman" w:hAnsi="Times New Roman"/>
                <w:color w:val="000000"/>
                <w:sz w:val="20"/>
                <w:szCs w:val="20"/>
                <w:lang w:eastAsia="lv-LV"/>
              </w:rPr>
            </w:pPr>
            <w:r w:rsidRPr="007D5BAD">
              <w:rPr>
                <w:rFonts w:ascii="Times New Roman" w:eastAsia="Times New Roman" w:hAnsi="Times New Roman"/>
                <w:color w:val="000000"/>
                <w:sz w:val="20"/>
                <w:szCs w:val="20"/>
                <w:lang w:eastAsia="lv-LV"/>
              </w:rPr>
              <w:t xml:space="preserve">Mērķa </w:t>
            </w:r>
            <w:proofErr w:type="spellStart"/>
            <w:r w:rsidRPr="007D5BAD">
              <w:rPr>
                <w:rFonts w:ascii="Times New Roman" w:eastAsia="Times New Roman" w:hAnsi="Times New Roman"/>
                <w:color w:val="000000"/>
                <w:sz w:val="20"/>
                <w:szCs w:val="20"/>
                <w:lang w:eastAsia="lv-LV"/>
              </w:rPr>
              <w:t>pārpilde</w:t>
            </w:r>
            <w:proofErr w:type="spellEnd"/>
            <w:r w:rsidRPr="007D5BAD">
              <w:rPr>
                <w:rFonts w:ascii="Times New Roman" w:eastAsia="Times New Roman" w:hAnsi="Times New Roman"/>
                <w:color w:val="000000"/>
                <w:sz w:val="20"/>
                <w:szCs w:val="20"/>
                <w:lang w:eastAsia="lv-LV"/>
              </w:rPr>
              <w:t xml:space="preserve">           (t CO</w:t>
            </w:r>
            <w:r w:rsidRPr="007D5BAD">
              <w:rPr>
                <w:rFonts w:ascii="Times New Roman" w:eastAsia="Times New Roman" w:hAnsi="Times New Roman"/>
                <w:color w:val="000000"/>
                <w:sz w:val="20"/>
                <w:szCs w:val="20"/>
                <w:vertAlign w:val="subscript"/>
                <w:lang w:eastAsia="lv-LV"/>
              </w:rPr>
              <w:t>2</w:t>
            </w:r>
            <w:r w:rsidRPr="007D5BAD">
              <w:rPr>
                <w:rFonts w:ascii="Times New Roman" w:eastAsia="Times New Roman" w:hAnsi="Times New Roman"/>
                <w:color w:val="000000"/>
                <w:sz w:val="20"/>
                <w:szCs w:val="20"/>
                <w:lang w:eastAsia="lv-LV"/>
              </w:rPr>
              <w:t xml:space="preserve"> ekv</w:t>
            </w:r>
            <w:r w:rsidR="00A759F8">
              <w:rPr>
                <w:rFonts w:ascii="Times New Roman" w:eastAsia="Times New Roman" w:hAnsi="Times New Roman"/>
                <w:color w:val="000000"/>
                <w:sz w:val="20"/>
                <w:szCs w:val="20"/>
                <w:lang w:eastAsia="lv-LV"/>
              </w:rPr>
              <w:t>ivalenti</w:t>
            </w:r>
            <w:r w:rsidRPr="007D5BAD">
              <w:rPr>
                <w:rFonts w:ascii="Times New Roman" w:eastAsia="Times New Roman" w:hAnsi="Times New Roman"/>
                <w:color w:val="000000"/>
                <w:sz w:val="20"/>
                <w:szCs w:val="20"/>
                <w:lang w:eastAsia="lv-LV"/>
              </w:rPr>
              <w:t>)</w:t>
            </w:r>
          </w:p>
        </w:tc>
        <w:tc>
          <w:tcPr>
            <w:tcW w:w="972" w:type="dxa"/>
            <w:tcBorders>
              <w:top w:val="nil"/>
              <w:left w:val="nil"/>
              <w:bottom w:val="single" w:sz="4" w:space="0" w:color="auto"/>
              <w:right w:val="single" w:sz="4" w:space="0" w:color="auto"/>
            </w:tcBorders>
            <w:shd w:val="clear" w:color="auto" w:fill="auto"/>
            <w:noWrap/>
            <w:vAlign w:val="center"/>
            <w:hideMark/>
          </w:tcPr>
          <w:p w14:paraId="704DFA6D" w14:textId="77777777" w:rsidR="00C118F9" w:rsidRPr="007D5BAD" w:rsidRDefault="00C118F9" w:rsidP="005F36FB">
            <w:pPr>
              <w:spacing w:after="0" w:line="240" w:lineRule="auto"/>
              <w:jc w:val="center"/>
              <w:rPr>
                <w:rFonts w:ascii="Times New Roman" w:eastAsia="Times New Roman" w:hAnsi="Times New Roman"/>
                <w:color w:val="000000"/>
                <w:sz w:val="20"/>
                <w:szCs w:val="20"/>
                <w:lang w:eastAsia="lv-LV"/>
              </w:rPr>
            </w:pPr>
            <w:r w:rsidRPr="007D5BAD">
              <w:rPr>
                <w:rFonts w:ascii="Times New Roman" w:eastAsia="Times New Roman" w:hAnsi="Times New Roman"/>
                <w:color w:val="000000"/>
                <w:sz w:val="20"/>
                <w:szCs w:val="20"/>
                <w:lang w:eastAsia="lv-LV"/>
              </w:rPr>
              <w:t>483205</w:t>
            </w:r>
          </w:p>
        </w:tc>
        <w:tc>
          <w:tcPr>
            <w:tcW w:w="972" w:type="dxa"/>
            <w:tcBorders>
              <w:top w:val="nil"/>
              <w:left w:val="nil"/>
              <w:bottom w:val="single" w:sz="4" w:space="0" w:color="auto"/>
              <w:right w:val="single" w:sz="4" w:space="0" w:color="auto"/>
            </w:tcBorders>
            <w:shd w:val="clear" w:color="auto" w:fill="auto"/>
            <w:noWrap/>
            <w:vAlign w:val="center"/>
            <w:hideMark/>
          </w:tcPr>
          <w:p w14:paraId="7A8D2B9E" w14:textId="77777777" w:rsidR="00C118F9" w:rsidRPr="007D5BAD" w:rsidRDefault="00C118F9" w:rsidP="005F36FB">
            <w:pPr>
              <w:spacing w:after="0" w:line="240" w:lineRule="auto"/>
              <w:jc w:val="center"/>
              <w:rPr>
                <w:rFonts w:ascii="Times New Roman" w:eastAsia="Times New Roman" w:hAnsi="Times New Roman"/>
                <w:color w:val="000000"/>
                <w:sz w:val="20"/>
                <w:szCs w:val="20"/>
                <w:lang w:eastAsia="lv-LV"/>
              </w:rPr>
            </w:pPr>
            <w:r w:rsidRPr="007D5BAD">
              <w:rPr>
                <w:rFonts w:ascii="Times New Roman" w:eastAsia="Times New Roman" w:hAnsi="Times New Roman"/>
                <w:color w:val="000000"/>
                <w:sz w:val="20"/>
                <w:szCs w:val="20"/>
                <w:lang w:eastAsia="lv-LV"/>
              </w:rPr>
              <w:t>333643</w:t>
            </w:r>
          </w:p>
        </w:tc>
        <w:tc>
          <w:tcPr>
            <w:tcW w:w="972" w:type="dxa"/>
            <w:tcBorders>
              <w:top w:val="nil"/>
              <w:left w:val="nil"/>
              <w:bottom w:val="single" w:sz="4" w:space="0" w:color="auto"/>
              <w:right w:val="single" w:sz="4" w:space="0" w:color="auto"/>
            </w:tcBorders>
            <w:shd w:val="clear" w:color="auto" w:fill="auto"/>
            <w:noWrap/>
            <w:vAlign w:val="center"/>
            <w:hideMark/>
          </w:tcPr>
          <w:p w14:paraId="14CF4EB4" w14:textId="77777777" w:rsidR="00C118F9" w:rsidRPr="007D5BAD" w:rsidRDefault="00C118F9" w:rsidP="005F36FB">
            <w:pPr>
              <w:spacing w:after="0" w:line="240" w:lineRule="auto"/>
              <w:jc w:val="center"/>
              <w:rPr>
                <w:rFonts w:ascii="Times New Roman" w:eastAsia="Times New Roman" w:hAnsi="Times New Roman"/>
                <w:color w:val="000000"/>
                <w:sz w:val="20"/>
                <w:szCs w:val="20"/>
                <w:lang w:eastAsia="lv-LV"/>
              </w:rPr>
            </w:pPr>
            <w:r w:rsidRPr="007D5BAD">
              <w:rPr>
                <w:rFonts w:ascii="Times New Roman" w:eastAsia="Times New Roman" w:hAnsi="Times New Roman"/>
                <w:color w:val="000000"/>
                <w:sz w:val="20"/>
                <w:szCs w:val="20"/>
                <w:lang w:eastAsia="lv-LV"/>
              </w:rPr>
              <w:t>437294</w:t>
            </w:r>
          </w:p>
        </w:tc>
        <w:tc>
          <w:tcPr>
            <w:tcW w:w="972" w:type="dxa"/>
            <w:tcBorders>
              <w:top w:val="nil"/>
              <w:left w:val="nil"/>
              <w:bottom w:val="single" w:sz="4" w:space="0" w:color="auto"/>
              <w:right w:val="single" w:sz="4" w:space="0" w:color="auto"/>
            </w:tcBorders>
            <w:shd w:val="clear" w:color="auto" w:fill="auto"/>
            <w:noWrap/>
            <w:vAlign w:val="center"/>
            <w:hideMark/>
          </w:tcPr>
          <w:p w14:paraId="700AFE11" w14:textId="77777777" w:rsidR="00C118F9" w:rsidRPr="007D5BAD" w:rsidRDefault="00C118F9" w:rsidP="005F36FB">
            <w:pPr>
              <w:spacing w:after="0" w:line="240" w:lineRule="auto"/>
              <w:jc w:val="center"/>
              <w:rPr>
                <w:rFonts w:ascii="Times New Roman" w:eastAsia="Times New Roman" w:hAnsi="Times New Roman"/>
                <w:color w:val="000000"/>
                <w:sz w:val="20"/>
                <w:szCs w:val="20"/>
                <w:lang w:eastAsia="lv-LV"/>
              </w:rPr>
            </w:pPr>
            <w:r w:rsidRPr="007D5BAD">
              <w:rPr>
                <w:rFonts w:ascii="Times New Roman" w:eastAsia="Times New Roman" w:hAnsi="Times New Roman"/>
                <w:color w:val="000000"/>
                <w:sz w:val="20"/>
                <w:szCs w:val="20"/>
                <w:lang w:eastAsia="lv-LV"/>
              </w:rPr>
              <w:t>426151</w:t>
            </w:r>
          </w:p>
        </w:tc>
        <w:tc>
          <w:tcPr>
            <w:tcW w:w="972" w:type="dxa"/>
            <w:tcBorders>
              <w:top w:val="nil"/>
              <w:left w:val="nil"/>
              <w:bottom w:val="single" w:sz="4" w:space="0" w:color="auto"/>
              <w:right w:val="single" w:sz="4" w:space="0" w:color="auto"/>
            </w:tcBorders>
            <w:shd w:val="clear" w:color="auto" w:fill="auto"/>
            <w:noWrap/>
            <w:vAlign w:val="center"/>
            <w:hideMark/>
          </w:tcPr>
          <w:p w14:paraId="70C1D898" w14:textId="77777777" w:rsidR="00C118F9" w:rsidRPr="007D5BAD" w:rsidRDefault="00C118F9" w:rsidP="005F36FB">
            <w:pPr>
              <w:spacing w:after="0" w:line="240" w:lineRule="auto"/>
              <w:jc w:val="center"/>
              <w:rPr>
                <w:rFonts w:ascii="Times New Roman" w:eastAsia="Times New Roman" w:hAnsi="Times New Roman"/>
                <w:color w:val="000000"/>
                <w:sz w:val="20"/>
                <w:szCs w:val="20"/>
                <w:lang w:eastAsia="lv-LV"/>
              </w:rPr>
            </w:pPr>
            <w:r w:rsidRPr="007D5BAD">
              <w:rPr>
                <w:rFonts w:ascii="Times New Roman" w:eastAsia="Times New Roman" w:hAnsi="Times New Roman"/>
                <w:color w:val="000000"/>
                <w:sz w:val="20"/>
                <w:szCs w:val="20"/>
                <w:lang w:eastAsia="lv-LV"/>
              </w:rPr>
              <w:t>503728</w:t>
            </w:r>
          </w:p>
        </w:tc>
        <w:tc>
          <w:tcPr>
            <w:tcW w:w="299" w:type="dxa"/>
            <w:tcBorders>
              <w:top w:val="nil"/>
              <w:left w:val="nil"/>
              <w:bottom w:val="nil"/>
              <w:right w:val="nil"/>
            </w:tcBorders>
            <w:shd w:val="clear" w:color="auto" w:fill="auto"/>
            <w:noWrap/>
            <w:vAlign w:val="center"/>
            <w:hideMark/>
          </w:tcPr>
          <w:p w14:paraId="579F3A53" w14:textId="77777777" w:rsidR="00C118F9" w:rsidRPr="007D5BAD" w:rsidRDefault="00C118F9" w:rsidP="005F36FB">
            <w:pPr>
              <w:spacing w:after="0" w:line="240" w:lineRule="auto"/>
              <w:jc w:val="center"/>
              <w:rPr>
                <w:rFonts w:ascii="Times New Roman" w:eastAsia="Times New Roman" w:hAnsi="Times New Roman"/>
                <w:color w:val="000000"/>
                <w:sz w:val="20"/>
                <w:szCs w:val="20"/>
                <w:lang w:eastAsia="lv-LV"/>
              </w:rPr>
            </w:pPr>
          </w:p>
        </w:tc>
        <w:tc>
          <w:tcPr>
            <w:tcW w:w="945" w:type="dxa"/>
            <w:tcBorders>
              <w:top w:val="nil"/>
              <w:left w:val="single" w:sz="4" w:space="0" w:color="auto"/>
              <w:bottom w:val="single" w:sz="4" w:space="0" w:color="auto"/>
              <w:right w:val="single" w:sz="4" w:space="0" w:color="auto"/>
            </w:tcBorders>
            <w:shd w:val="clear" w:color="auto" w:fill="auto"/>
            <w:noWrap/>
            <w:vAlign w:val="center"/>
            <w:hideMark/>
          </w:tcPr>
          <w:p w14:paraId="128D6CC7" w14:textId="77777777" w:rsidR="00C118F9" w:rsidRPr="007D5BAD" w:rsidRDefault="00C118F9" w:rsidP="005F36FB">
            <w:pPr>
              <w:spacing w:after="0" w:line="240" w:lineRule="auto"/>
              <w:jc w:val="center"/>
              <w:rPr>
                <w:rFonts w:ascii="Times New Roman" w:eastAsia="Times New Roman" w:hAnsi="Times New Roman"/>
                <w:color w:val="000000"/>
                <w:sz w:val="20"/>
                <w:szCs w:val="20"/>
                <w:lang w:eastAsia="lv-LV"/>
              </w:rPr>
            </w:pPr>
            <w:r w:rsidRPr="007D5BAD">
              <w:rPr>
                <w:rFonts w:ascii="Times New Roman" w:eastAsia="Times New Roman" w:hAnsi="Times New Roman"/>
                <w:color w:val="000000"/>
                <w:sz w:val="20"/>
                <w:szCs w:val="20"/>
                <w:lang w:eastAsia="lv-LV"/>
              </w:rPr>
              <w:t>697915</w:t>
            </w:r>
          </w:p>
        </w:tc>
        <w:tc>
          <w:tcPr>
            <w:tcW w:w="945" w:type="dxa"/>
            <w:tcBorders>
              <w:top w:val="nil"/>
              <w:left w:val="nil"/>
              <w:bottom w:val="single" w:sz="4" w:space="0" w:color="auto"/>
              <w:right w:val="single" w:sz="4" w:space="0" w:color="auto"/>
            </w:tcBorders>
            <w:shd w:val="clear" w:color="auto" w:fill="auto"/>
            <w:noWrap/>
            <w:vAlign w:val="center"/>
            <w:hideMark/>
          </w:tcPr>
          <w:p w14:paraId="5692D3FA" w14:textId="77777777" w:rsidR="00C118F9" w:rsidRPr="007D5BAD" w:rsidRDefault="00C118F9" w:rsidP="005F36FB">
            <w:pPr>
              <w:spacing w:after="0" w:line="240" w:lineRule="auto"/>
              <w:jc w:val="center"/>
              <w:rPr>
                <w:rFonts w:ascii="Times New Roman" w:eastAsia="Times New Roman" w:hAnsi="Times New Roman"/>
                <w:color w:val="000000"/>
                <w:sz w:val="20"/>
                <w:szCs w:val="20"/>
                <w:lang w:eastAsia="lv-LV"/>
              </w:rPr>
            </w:pPr>
            <w:r w:rsidRPr="007D5BAD">
              <w:rPr>
                <w:rFonts w:ascii="Times New Roman" w:eastAsia="Times New Roman" w:hAnsi="Times New Roman"/>
                <w:color w:val="000000"/>
                <w:sz w:val="20"/>
                <w:szCs w:val="20"/>
                <w:lang w:eastAsia="lv-LV"/>
              </w:rPr>
              <w:t>724609</w:t>
            </w:r>
          </w:p>
        </w:tc>
        <w:tc>
          <w:tcPr>
            <w:tcW w:w="945" w:type="dxa"/>
            <w:tcBorders>
              <w:top w:val="nil"/>
              <w:left w:val="nil"/>
              <w:bottom w:val="single" w:sz="4" w:space="0" w:color="auto"/>
              <w:right w:val="single" w:sz="4" w:space="0" w:color="auto"/>
            </w:tcBorders>
            <w:shd w:val="clear" w:color="auto" w:fill="auto"/>
            <w:noWrap/>
            <w:vAlign w:val="center"/>
            <w:hideMark/>
          </w:tcPr>
          <w:p w14:paraId="59DAF4D0" w14:textId="77777777" w:rsidR="00C118F9" w:rsidRPr="007D5BAD" w:rsidRDefault="00C118F9" w:rsidP="005F36FB">
            <w:pPr>
              <w:spacing w:after="0" w:line="240" w:lineRule="auto"/>
              <w:jc w:val="center"/>
              <w:rPr>
                <w:rFonts w:ascii="Times New Roman" w:eastAsia="Times New Roman" w:hAnsi="Times New Roman"/>
                <w:color w:val="000000"/>
                <w:sz w:val="20"/>
                <w:szCs w:val="20"/>
                <w:lang w:eastAsia="lv-LV"/>
              </w:rPr>
            </w:pPr>
            <w:r w:rsidRPr="007D5BAD">
              <w:rPr>
                <w:rFonts w:ascii="Times New Roman" w:eastAsia="Times New Roman" w:hAnsi="Times New Roman"/>
                <w:color w:val="000000"/>
                <w:sz w:val="20"/>
                <w:szCs w:val="20"/>
                <w:lang w:eastAsia="lv-LV"/>
              </w:rPr>
              <w:t>784233</w:t>
            </w:r>
          </w:p>
        </w:tc>
      </w:tr>
      <w:tr w:rsidR="00C118F9" w:rsidRPr="007D5BAD" w14:paraId="02C4B543" w14:textId="77777777" w:rsidTr="00401E5D">
        <w:trPr>
          <w:trHeight w:val="974"/>
        </w:trPr>
        <w:tc>
          <w:tcPr>
            <w:tcW w:w="1296" w:type="dxa"/>
            <w:tcBorders>
              <w:top w:val="nil"/>
              <w:left w:val="single" w:sz="4" w:space="0" w:color="auto"/>
              <w:bottom w:val="single" w:sz="4" w:space="0" w:color="auto"/>
              <w:right w:val="single" w:sz="4" w:space="0" w:color="auto"/>
            </w:tcBorders>
            <w:shd w:val="clear" w:color="auto" w:fill="auto"/>
            <w:vAlign w:val="center"/>
            <w:hideMark/>
          </w:tcPr>
          <w:p w14:paraId="413C0DB8" w14:textId="77777777" w:rsidR="00C118F9" w:rsidRPr="007D5BAD" w:rsidRDefault="00C118F9" w:rsidP="005F36FB">
            <w:pPr>
              <w:spacing w:after="0" w:line="240" w:lineRule="auto"/>
              <w:jc w:val="center"/>
              <w:rPr>
                <w:rFonts w:ascii="Times New Roman" w:eastAsia="Times New Roman" w:hAnsi="Times New Roman"/>
                <w:color w:val="000000"/>
                <w:sz w:val="20"/>
                <w:szCs w:val="20"/>
                <w:lang w:eastAsia="lv-LV"/>
              </w:rPr>
            </w:pPr>
            <w:r w:rsidRPr="007D5BAD">
              <w:rPr>
                <w:rFonts w:ascii="Times New Roman" w:eastAsia="Times New Roman" w:hAnsi="Times New Roman"/>
                <w:color w:val="000000"/>
                <w:sz w:val="20"/>
                <w:szCs w:val="20"/>
                <w:lang w:eastAsia="lv-LV"/>
              </w:rPr>
              <w:lastRenderedPageBreak/>
              <w:t>Mērķu izpildes novērtējums (%)</w:t>
            </w:r>
          </w:p>
        </w:tc>
        <w:tc>
          <w:tcPr>
            <w:tcW w:w="972" w:type="dxa"/>
            <w:tcBorders>
              <w:top w:val="nil"/>
              <w:left w:val="nil"/>
              <w:bottom w:val="single" w:sz="4" w:space="0" w:color="auto"/>
              <w:right w:val="single" w:sz="4" w:space="0" w:color="auto"/>
            </w:tcBorders>
            <w:shd w:val="clear" w:color="auto" w:fill="auto"/>
            <w:noWrap/>
            <w:vAlign w:val="center"/>
            <w:hideMark/>
          </w:tcPr>
          <w:p w14:paraId="37E73232" w14:textId="0183EA2D" w:rsidR="00C118F9" w:rsidRPr="007D5BAD" w:rsidRDefault="00BF6A20" w:rsidP="005F36FB">
            <w:pPr>
              <w:spacing w:after="0"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5.</w:t>
            </w:r>
            <w:r w:rsidR="00C118F9" w:rsidRPr="007D5BAD">
              <w:rPr>
                <w:rFonts w:ascii="Times New Roman" w:eastAsia="Times New Roman" w:hAnsi="Times New Roman"/>
                <w:color w:val="000000"/>
                <w:sz w:val="20"/>
                <w:szCs w:val="20"/>
                <w:lang w:eastAsia="lv-LV"/>
              </w:rPr>
              <w:t>2</w:t>
            </w:r>
          </w:p>
        </w:tc>
        <w:tc>
          <w:tcPr>
            <w:tcW w:w="972" w:type="dxa"/>
            <w:tcBorders>
              <w:top w:val="nil"/>
              <w:left w:val="nil"/>
              <w:bottom w:val="single" w:sz="4" w:space="0" w:color="auto"/>
              <w:right w:val="single" w:sz="4" w:space="0" w:color="auto"/>
            </w:tcBorders>
            <w:shd w:val="clear" w:color="auto" w:fill="auto"/>
            <w:noWrap/>
            <w:vAlign w:val="center"/>
            <w:hideMark/>
          </w:tcPr>
          <w:p w14:paraId="3B7D86A6" w14:textId="7CE46801" w:rsidR="00C118F9" w:rsidRPr="007D5BAD" w:rsidRDefault="00BF6A20" w:rsidP="005F36FB">
            <w:pPr>
              <w:spacing w:after="0"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3.</w:t>
            </w:r>
            <w:r w:rsidR="00C118F9" w:rsidRPr="007D5BAD">
              <w:rPr>
                <w:rFonts w:ascii="Times New Roman" w:eastAsia="Times New Roman" w:hAnsi="Times New Roman"/>
                <w:color w:val="000000"/>
                <w:sz w:val="20"/>
                <w:szCs w:val="20"/>
                <w:lang w:eastAsia="lv-LV"/>
              </w:rPr>
              <w:t>6</w:t>
            </w:r>
          </w:p>
        </w:tc>
        <w:tc>
          <w:tcPr>
            <w:tcW w:w="972" w:type="dxa"/>
            <w:tcBorders>
              <w:top w:val="nil"/>
              <w:left w:val="nil"/>
              <w:bottom w:val="single" w:sz="4" w:space="0" w:color="auto"/>
              <w:right w:val="single" w:sz="4" w:space="0" w:color="auto"/>
            </w:tcBorders>
            <w:shd w:val="clear" w:color="auto" w:fill="auto"/>
            <w:noWrap/>
            <w:vAlign w:val="center"/>
            <w:hideMark/>
          </w:tcPr>
          <w:p w14:paraId="59A36A04" w14:textId="2B7FB8DB" w:rsidR="00C118F9" w:rsidRPr="007D5BAD" w:rsidRDefault="00BF6A20" w:rsidP="005F36FB">
            <w:pPr>
              <w:spacing w:after="0"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4.</w:t>
            </w:r>
            <w:r w:rsidR="00C118F9" w:rsidRPr="007D5BAD">
              <w:rPr>
                <w:rFonts w:ascii="Times New Roman" w:eastAsia="Times New Roman" w:hAnsi="Times New Roman"/>
                <w:color w:val="000000"/>
                <w:sz w:val="20"/>
                <w:szCs w:val="20"/>
                <w:lang w:eastAsia="lv-LV"/>
              </w:rPr>
              <w:t>6</w:t>
            </w:r>
          </w:p>
        </w:tc>
        <w:tc>
          <w:tcPr>
            <w:tcW w:w="972" w:type="dxa"/>
            <w:tcBorders>
              <w:top w:val="nil"/>
              <w:left w:val="nil"/>
              <w:bottom w:val="single" w:sz="4" w:space="0" w:color="auto"/>
              <w:right w:val="single" w:sz="4" w:space="0" w:color="auto"/>
            </w:tcBorders>
            <w:shd w:val="clear" w:color="auto" w:fill="auto"/>
            <w:noWrap/>
            <w:vAlign w:val="center"/>
            <w:hideMark/>
          </w:tcPr>
          <w:p w14:paraId="6D2701E1" w14:textId="77B9C553" w:rsidR="00C118F9" w:rsidRPr="007D5BAD" w:rsidRDefault="00BF6A20" w:rsidP="005F36FB">
            <w:pPr>
              <w:spacing w:after="0"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4.</w:t>
            </w:r>
            <w:r w:rsidR="00C118F9" w:rsidRPr="007D5BAD">
              <w:rPr>
                <w:rFonts w:ascii="Times New Roman" w:eastAsia="Times New Roman" w:hAnsi="Times New Roman"/>
                <w:color w:val="000000"/>
                <w:sz w:val="20"/>
                <w:szCs w:val="20"/>
                <w:lang w:eastAsia="lv-LV"/>
              </w:rPr>
              <w:t>5</w:t>
            </w:r>
          </w:p>
        </w:tc>
        <w:tc>
          <w:tcPr>
            <w:tcW w:w="972" w:type="dxa"/>
            <w:tcBorders>
              <w:top w:val="nil"/>
              <w:left w:val="nil"/>
              <w:bottom w:val="single" w:sz="4" w:space="0" w:color="auto"/>
              <w:right w:val="single" w:sz="4" w:space="0" w:color="auto"/>
            </w:tcBorders>
            <w:shd w:val="clear" w:color="auto" w:fill="auto"/>
            <w:noWrap/>
            <w:vAlign w:val="center"/>
            <w:hideMark/>
          </w:tcPr>
          <w:p w14:paraId="0C7FFA32" w14:textId="5B677BD6" w:rsidR="00C118F9" w:rsidRPr="007D5BAD" w:rsidRDefault="00BF6A20" w:rsidP="005F36FB">
            <w:pPr>
              <w:spacing w:after="0"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5.</w:t>
            </w:r>
            <w:r w:rsidR="00C118F9" w:rsidRPr="007D5BAD">
              <w:rPr>
                <w:rFonts w:ascii="Times New Roman" w:eastAsia="Times New Roman" w:hAnsi="Times New Roman"/>
                <w:color w:val="000000"/>
                <w:sz w:val="20"/>
                <w:szCs w:val="20"/>
                <w:lang w:eastAsia="lv-LV"/>
              </w:rPr>
              <w:t>2</w:t>
            </w:r>
          </w:p>
        </w:tc>
        <w:tc>
          <w:tcPr>
            <w:tcW w:w="299" w:type="dxa"/>
            <w:tcBorders>
              <w:top w:val="nil"/>
              <w:left w:val="nil"/>
              <w:bottom w:val="nil"/>
              <w:right w:val="nil"/>
            </w:tcBorders>
            <w:shd w:val="clear" w:color="auto" w:fill="auto"/>
            <w:noWrap/>
            <w:vAlign w:val="center"/>
            <w:hideMark/>
          </w:tcPr>
          <w:p w14:paraId="24AE018B" w14:textId="77777777" w:rsidR="00C118F9" w:rsidRPr="007D5BAD" w:rsidRDefault="00C118F9" w:rsidP="005F36FB">
            <w:pPr>
              <w:spacing w:after="0" w:line="240" w:lineRule="auto"/>
              <w:jc w:val="center"/>
              <w:rPr>
                <w:rFonts w:ascii="Times New Roman" w:eastAsia="Times New Roman" w:hAnsi="Times New Roman"/>
                <w:color w:val="000000"/>
                <w:sz w:val="20"/>
                <w:szCs w:val="20"/>
                <w:lang w:eastAsia="lv-LV"/>
              </w:rPr>
            </w:pPr>
          </w:p>
        </w:tc>
        <w:tc>
          <w:tcPr>
            <w:tcW w:w="945" w:type="dxa"/>
            <w:tcBorders>
              <w:top w:val="nil"/>
              <w:left w:val="single" w:sz="4" w:space="0" w:color="auto"/>
              <w:bottom w:val="single" w:sz="4" w:space="0" w:color="auto"/>
              <w:right w:val="single" w:sz="4" w:space="0" w:color="auto"/>
            </w:tcBorders>
            <w:shd w:val="clear" w:color="auto" w:fill="auto"/>
            <w:noWrap/>
            <w:vAlign w:val="center"/>
            <w:hideMark/>
          </w:tcPr>
          <w:p w14:paraId="427DFFDF" w14:textId="17FA0E8C" w:rsidR="00C118F9" w:rsidRPr="007D5BAD" w:rsidRDefault="00BF6A20" w:rsidP="005F36FB">
            <w:pPr>
              <w:spacing w:after="0"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7.</w:t>
            </w:r>
            <w:r w:rsidR="00C118F9" w:rsidRPr="007D5BAD">
              <w:rPr>
                <w:rFonts w:ascii="Times New Roman" w:eastAsia="Times New Roman" w:hAnsi="Times New Roman"/>
                <w:color w:val="000000"/>
                <w:sz w:val="20"/>
                <w:szCs w:val="20"/>
                <w:lang w:eastAsia="lv-LV"/>
              </w:rPr>
              <w:t>1</w:t>
            </w:r>
          </w:p>
        </w:tc>
        <w:tc>
          <w:tcPr>
            <w:tcW w:w="945" w:type="dxa"/>
            <w:tcBorders>
              <w:top w:val="nil"/>
              <w:left w:val="nil"/>
              <w:bottom w:val="single" w:sz="4" w:space="0" w:color="auto"/>
              <w:right w:val="single" w:sz="4" w:space="0" w:color="auto"/>
            </w:tcBorders>
            <w:shd w:val="clear" w:color="auto" w:fill="auto"/>
            <w:noWrap/>
            <w:vAlign w:val="center"/>
            <w:hideMark/>
          </w:tcPr>
          <w:p w14:paraId="76CDE7B3" w14:textId="5BF99931" w:rsidR="00C118F9" w:rsidRPr="007D5BAD" w:rsidRDefault="00C118F9" w:rsidP="00BF6A20">
            <w:pPr>
              <w:spacing w:after="0" w:line="240" w:lineRule="auto"/>
              <w:jc w:val="center"/>
              <w:rPr>
                <w:rFonts w:ascii="Times New Roman" w:eastAsia="Times New Roman" w:hAnsi="Times New Roman"/>
                <w:color w:val="000000"/>
                <w:sz w:val="20"/>
                <w:szCs w:val="20"/>
                <w:lang w:eastAsia="lv-LV"/>
              </w:rPr>
            </w:pPr>
            <w:r w:rsidRPr="007D5BAD">
              <w:rPr>
                <w:rFonts w:ascii="Times New Roman" w:eastAsia="Times New Roman" w:hAnsi="Times New Roman"/>
                <w:color w:val="000000"/>
                <w:sz w:val="20"/>
                <w:szCs w:val="20"/>
                <w:lang w:eastAsia="lv-LV"/>
              </w:rPr>
              <w:t>7</w:t>
            </w:r>
            <w:r w:rsidR="00BF6A20">
              <w:rPr>
                <w:rFonts w:ascii="Times New Roman" w:eastAsia="Times New Roman" w:hAnsi="Times New Roman"/>
                <w:color w:val="000000"/>
                <w:sz w:val="20"/>
                <w:szCs w:val="20"/>
                <w:lang w:eastAsia="lv-LV"/>
              </w:rPr>
              <w:t>.</w:t>
            </w:r>
            <w:r w:rsidRPr="007D5BAD">
              <w:rPr>
                <w:rFonts w:ascii="Times New Roman" w:eastAsia="Times New Roman" w:hAnsi="Times New Roman"/>
                <w:color w:val="000000"/>
                <w:sz w:val="20"/>
                <w:szCs w:val="20"/>
                <w:lang w:eastAsia="lv-LV"/>
              </w:rPr>
              <w:t>3</w:t>
            </w:r>
          </w:p>
        </w:tc>
        <w:tc>
          <w:tcPr>
            <w:tcW w:w="945" w:type="dxa"/>
            <w:tcBorders>
              <w:top w:val="nil"/>
              <w:left w:val="nil"/>
              <w:bottom w:val="single" w:sz="4" w:space="0" w:color="auto"/>
              <w:right w:val="single" w:sz="4" w:space="0" w:color="auto"/>
            </w:tcBorders>
            <w:shd w:val="clear" w:color="auto" w:fill="auto"/>
            <w:noWrap/>
            <w:vAlign w:val="center"/>
            <w:hideMark/>
          </w:tcPr>
          <w:p w14:paraId="543EA820" w14:textId="16B4BBF9" w:rsidR="00C118F9" w:rsidRPr="007D5BAD" w:rsidRDefault="00C118F9" w:rsidP="005F36FB">
            <w:pPr>
              <w:spacing w:after="0" w:line="240" w:lineRule="auto"/>
              <w:jc w:val="center"/>
              <w:rPr>
                <w:rFonts w:ascii="Times New Roman" w:eastAsia="Times New Roman" w:hAnsi="Times New Roman"/>
                <w:color w:val="000000"/>
                <w:sz w:val="20"/>
                <w:szCs w:val="20"/>
                <w:lang w:eastAsia="lv-LV"/>
              </w:rPr>
            </w:pPr>
            <w:r w:rsidRPr="007D5BAD">
              <w:rPr>
                <w:rFonts w:ascii="Times New Roman" w:eastAsia="Times New Roman" w:hAnsi="Times New Roman"/>
                <w:color w:val="000000"/>
                <w:sz w:val="20"/>
                <w:szCs w:val="20"/>
                <w:lang w:eastAsia="lv-LV"/>
              </w:rPr>
              <w:t>7</w:t>
            </w:r>
            <w:r w:rsidR="00BF6A20">
              <w:rPr>
                <w:rFonts w:ascii="Times New Roman" w:eastAsia="Times New Roman" w:hAnsi="Times New Roman"/>
                <w:color w:val="000000"/>
                <w:sz w:val="20"/>
                <w:szCs w:val="20"/>
                <w:lang w:eastAsia="lv-LV"/>
              </w:rPr>
              <w:t>.</w:t>
            </w:r>
            <w:r w:rsidRPr="007D5BAD">
              <w:rPr>
                <w:rFonts w:ascii="Times New Roman" w:eastAsia="Times New Roman" w:hAnsi="Times New Roman"/>
                <w:color w:val="000000"/>
                <w:sz w:val="20"/>
                <w:szCs w:val="20"/>
                <w:lang w:eastAsia="lv-LV"/>
              </w:rPr>
              <w:t>8</w:t>
            </w:r>
          </w:p>
        </w:tc>
      </w:tr>
    </w:tbl>
    <w:p w14:paraId="4F6A7274" w14:textId="441DA98F" w:rsidR="00C118F9" w:rsidRDefault="00C118F9" w:rsidP="00C118F9">
      <w:pPr>
        <w:spacing w:after="0" w:line="240" w:lineRule="auto"/>
        <w:jc w:val="both"/>
        <w:rPr>
          <w:rFonts w:ascii="Times New Roman" w:hAnsi="Times New Roman"/>
          <w:sz w:val="20"/>
          <w:szCs w:val="20"/>
        </w:rPr>
      </w:pPr>
      <w:r>
        <w:rPr>
          <w:rFonts w:ascii="Times New Roman" w:hAnsi="Times New Roman"/>
          <w:sz w:val="20"/>
          <w:szCs w:val="20"/>
        </w:rPr>
        <w:t>*</w:t>
      </w:r>
      <w:r w:rsidRPr="008A4CD0">
        <w:rPr>
          <w:rFonts w:ascii="Times New Roman" w:hAnsi="Times New Roman"/>
          <w:sz w:val="20"/>
          <w:szCs w:val="20"/>
        </w:rPr>
        <w:t xml:space="preserve">2017. gada </w:t>
      </w:r>
      <w:r w:rsidR="00412305">
        <w:rPr>
          <w:rFonts w:ascii="Times New Roman" w:hAnsi="Times New Roman"/>
          <w:sz w:val="20"/>
          <w:szCs w:val="20"/>
        </w:rPr>
        <w:t>z</w:t>
      </w:r>
      <w:r>
        <w:rPr>
          <w:rFonts w:ascii="Times New Roman" w:hAnsi="Times New Roman"/>
          <w:sz w:val="20"/>
          <w:szCs w:val="20"/>
        </w:rPr>
        <w:t>iņojumu</w:t>
      </w:r>
      <w:r w:rsidRPr="00F25C99">
        <w:rPr>
          <w:rFonts w:ascii="Times New Roman" w:hAnsi="Times New Roman"/>
          <w:sz w:val="20"/>
          <w:szCs w:val="20"/>
        </w:rPr>
        <w:t xml:space="preserve"> par SEG prognozēm, politiku un pasākumiem</w:t>
      </w:r>
      <w:r>
        <w:rPr>
          <w:rFonts w:ascii="Times New Roman" w:hAnsi="Times New Roman"/>
          <w:sz w:val="20"/>
          <w:szCs w:val="20"/>
        </w:rPr>
        <w:t>.</w:t>
      </w:r>
    </w:p>
    <w:p w14:paraId="2BCE2929" w14:textId="77777777" w:rsidR="00C118F9" w:rsidRPr="004C307A" w:rsidRDefault="00C118F9" w:rsidP="004C307A">
      <w:pPr>
        <w:spacing w:after="0" w:line="240" w:lineRule="auto"/>
        <w:jc w:val="both"/>
        <w:rPr>
          <w:rFonts w:ascii="Times New Roman" w:hAnsi="Times New Roman"/>
          <w:sz w:val="24"/>
          <w:szCs w:val="24"/>
        </w:rPr>
      </w:pPr>
    </w:p>
    <w:p w14:paraId="6CB68A72" w14:textId="65472A41" w:rsidR="00F25C99" w:rsidRPr="004C307A" w:rsidRDefault="00C118F9" w:rsidP="00554347">
      <w:pPr>
        <w:spacing w:after="0" w:line="240" w:lineRule="auto"/>
        <w:ind w:firstLine="567"/>
        <w:jc w:val="both"/>
        <w:rPr>
          <w:rFonts w:ascii="Times New Roman" w:hAnsi="Times New Roman"/>
          <w:sz w:val="24"/>
          <w:szCs w:val="24"/>
        </w:rPr>
      </w:pPr>
      <w:r w:rsidRPr="003E6DA1">
        <w:rPr>
          <w:rFonts w:ascii="Times New Roman" w:hAnsi="Times New Roman"/>
          <w:sz w:val="24"/>
          <w:szCs w:val="24"/>
        </w:rPr>
        <w:t xml:space="preserve">SEG emisiju prognozes </w:t>
      </w:r>
      <w:r>
        <w:rPr>
          <w:rFonts w:ascii="Times New Roman" w:hAnsi="Times New Roman"/>
          <w:sz w:val="24"/>
          <w:szCs w:val="24"/>
        </w:rPr>
        <w:t>scenārijā ar esošiem pasākumiem laika posmam līdz 202</w:t>
      </w:r>
      <w:r w:rsidRPr="003E6DA1">
        <w:rPr>
          <w:rFonts w:ascii="Times New Roman" w:hAnsi="Times New Roman"/>
          <w:sz w:val="24"/>
          <w:szCs w:val="24"/>
        </w:rPr>
        <w:t>0. gadam</w:t>
      </w:r>
      <w:r w:rsidRPr="00E77DC2">
        <w:rPr>
          <w:rFonts w:ascii="Times New Roman" w:hAnsi="Times New Roman"/>
          <w:sz w:val="24"/>
          <w:szCs w:val="24"/>
        </w:rPr>
        <w:t xml:space="preserve"> liecina</w:t>
      </w:r>
      <w:r w:rsidRPr="003E6DA1">
        <w:rPr>
          <w:rFonts w:ascii="Times New Roman" w:hAnsi="Times New Roman"/>
          <w:sz w:val="24"/>
          <w:szCs w:val="24"/>
        </w:rPr>
        <w:t xml:space="preserve">, ka Latvija varēs izpildīt savu 2020. gada ne-ETS mērķi – ne vairāk kā 17 % ne-ETS </w:t>
      </w:r>
      <w:r w:rsidRPr="00E77DC2">
        <w:rPr>
          <w:rFonts w:ascii="Times New Roman" w:hAnsi="Times New Roman"/>
          <w:sz w:val="24"/>
          <w:szCs w:val="24"/>
        </w:rPr>
        <w:t xml:space="preserve">darbību SEG emisiju pieaugums 2005.-2020.g. </w:t>
      </w:r>
      <w:r w:rsidR="00252C71">
        <w:rPr>
          <w:rFonts w:ascii="Times New Roman" w:hAnsi="Times New Roman"/>
          <w:sz w:val="24"/>
          <w:szCs w:val="24"/>
        </w:rPr>
        <w:t>N</w:t>
      </w:r>
      <w:r w:rsidRPr="007C3A60">
        <w:rPr>
          <w:rFonts w:ascii="Times New Roman" w:hAnsi="Times New Roman"/>
          <w:sz w:val="24"/>
          <w:szCs w:val="24"/>
        </w:rPr>
        <w:t xml:space="preserve">e-ETS mērķa ikgadējā </w:t>
      </w:r>
      <w:proofErr w:type="spellStart"/>
      <w:r w:rsidRPr="007C3A60">
        <w:rPr>
          <w:rFonts w:ascii="Times New Roman" w:hAnsi="Times New Roman"/>
          <w:sz w:val="24"/>
          <w:szCs w:val="24"/>
        </w:rPr>
        <w:t>pārpilde</w:t>
      </w:r>
      <w:proofErr w:type="spellEnd"/>
      <w:r w:rsidRPr="007C3A60">
        <w:rPr>
          <w:rFonts w:ascii="Times New Roman" w:hAnsi="Times New Roman"/>
          <w:sz w:val="24"/>
          <w:szCs w:val="24"/>
        </w:rPr>
        <w:t xml:space="preserve"> ir pietiekama, lai Latvija iekļautos </w:t>
      </w:r>
      <w:r w:rsidR="00A50852">
        <w:rPr>
          <w:rFonts w:ascii="Times New Roman" w:hAnsi="Times New Roman"/>
          <w:sz w:val="24"/>
          <w:szCs w:val="24"/>
        </w:rPr>
        <w:t xml:space="preserve"> šo</w:t>
      </w:r>
      <w:r w:rsidRPr="007C3A60">
        <w:rPr>
          <w:rFonts w:ascii="Times New Roman" w:hAnsi="Times New Roman"/>
          <w:sz w:val="24"/>
          <w:szCs w:val="24"/>
        </w:rPr>
        <w:t xml:space="preserve"> mērķ</w:t>
      </w:r>
      <w:r w:rsidR="00A50852">
        <w:rPr>
          <w:rFonts w:ascii="Times New Roman" w:hAnsi="Times New Roman"/>
          <w:sz w:val="24"/>
          <w:szCs w:val="24"/>
        </w:rPr>
        <w:t>u</w:t>
      </w:r>
      <w:r w:rsidRPr="007C3A60">
        <w:rPr>
          <w:rFonts w:ascii="Times New Roman" w:hAnsi="Times New Roman"/>
          <w:sz w:val="24"/>
          <w:szCs w:val="24"/>
        </w:rPr>
        <w:t xml:space="preserve"> izpildē.</w:t>
      </w:r>
    </w:p>
    <w:p w14:paraId="52077040" w14:textId="3C6D16F0" w:rsidR="00C118F9" w:rsidRDefault="00F25C99" w:rsidP="00C118F9">
      <w:pPr>
        <w:spacing w:after="120" w:line="240" w:lineRule="auto"/>
        <w:ind w:firstLine="567"/>
        <w:jc w:val="both"/>
        <w:rPr>
          <w:rFonts w:ascii="Times New Roman" w:hAnsi="Times New Roman"/>
          <w:sz w:val="24"/>
          <w:szCs w:val="24"/>
        </w:rPr>
      </w:pPr>
      <w:r w:rsidRPr="004C307A">
        <w:rPr>
          <w:rFonts w:ascii="Times New Roman" w:hAnsi="Times New Roman"/>
          <w:sz w:val="24"/>
          <w:szCs w:val="24"/>
        </w:rPr>
        <w:t xml:space="preserve">SEG emisiju prognoze </w:t>
      </w:r>
      <w:r w:rsidR="00C118F9">
        <w:rPr>
          <w:rFonts w:ascii="Times New Roman" w:hAnsi="Times New Roman"/>
          <w:sz w:val="24"/>
          <w:szCs w:val="24"/>
        </w:rPr>
        <w:t xml:space="preserve">scenārijā ar esošiem pasākumiem </w:t>
      </w:r>
      <w:r w:rsidRPr="004C307A">
        <w:rPr>
          <w:rFonts w:ascii="Times New Roman" w:hAnsi="Times New Roman"/>
          <w:sz w:val="24"/>
          <w:szCs w:val="24"/>
        </w:rPr>
        <w:t>liecina, ka ne-ETS darbību SEG emisiju apjoma palielinājumu visvairāk ietekmē tieši lauksaimniecības sektors, kas izskaidrojams ar prognozēto būtisko lauksaimniecības sektora attīstību. Ne-ETS enerģētikas un transporta sektorā</w:t>
      </w:r>
      <w:r>
        <w:rPr>
          <w:rFonts w:ascii="Times New Roman" w:hAnsi="Times New Roman"/>
          <w:sz w:val="24"/>
          <w:szCs w:val="24"/>
        </w:rPr>
        <w:t xml:space="preserve"> savukārt tiek prognozēts SEG emisiju samazinājums, ņemot vērā atjaunojamo energoresursu izmantošanas veicināšanas un energoefektivitātes uzlabošanas pasākumu īstenošanu, kā arī ņemot vērā transporta sektora tehnoloģisko attīstību un ES kopējo politiku CO</w:t>
      </w:r>
      <w:r w:rsidRPr="006706BE">
        <w:rPr>
          <w:rFonts w:ascii="Times New Roman" w:hAnsi="Times New Roman"/>
          <w:sz w:val="24"/>
          <w:szCs w:val="24"/>
          <w:vertAlign w:val="subscript"/>
        </w:rPr>
        <w:t>2</w:t>
      </w:r>
      <w:r>
        <w:rPr>
          <w:rFonts w:ascii="Times New Roman" w:hAnsi="Times New Roman"/>
          <w:sz w:val="24"/>
          <w:szCs w:val="24"/>
        </w:rPr>
        <w:t xml:space="preserve"> no ceļu transportlīdzekļiem ierobežošanā. </w:t>
      </w:r>
    </w:p>
    <w:p w14:paraId="5090D8A9" w14:textId="5FF7C6DA" w:rsidR="00F25C99" w:rsidRPr="00F25C99" w:rsidRDefault="00F25C99" w:rsidP="00C118F9">
      <w:pPr>
        <w:spacing w:after="120" w:line="240" w:lineRule="auto"/>
        <w:jc w:val="both"/>
        <w:rPr>
          <w:rFonts w:asciiTheme="majorBidi" w:hAnsiTheme="majorBidi" w:cstheme="majorBidi"/>
          <w:sz w:val="24"/>
          <w:szCs w:val="24"/>
        </w:rPr>
      </w:pPr>
      <w:r>
        <w:rPr>
          <w:rFonts w:ascii="Times New Roman" w:hAnsi="Times New Roman"/>
          <w:sz w:val="24"/>
          <w:szCs w:val="24"/>
        </w:rPr>
        <w:t xml:space="preserve">Ne-ETS darbību esošo pasākumu scenārijā SEG </w:t>
      </w:r>
      <w:r w:rsidRPr="00400E0C">
        <w:rPr>
          <w:rFonts w:ascii="Times New Roman" w:hAnsi="Times New Roman"/>
          <w:sz w:val="24"/>
          <w:szCs w:val="24"/>
        </w:rPr>
        <w:t>emisiju prognozētā apjoma dinamika</w:t>
      </w:r>
      <w:r w:rsidRPr="00400E0C">
        <w:rPr>
          <w:rStyle w:val="FootnoteReference"/>
          <w:rFonts w:ascii="Times New Roman" w:hAnsi="Times New Roman"/>
          <w:sz w:val="24"/>
          <w:szCs w:val="24"/>
        </w:rPr>
        <w:footnoteReference w:id="26"/>
      </w:r>
      <w:r w:rsidRPr="00400E0C">
        <w:rPr>
          <w:rFonts w:ascii="Times New Roman" w:hAnsi="Times New Roman"/>
          <w:sz w:val="24"/>
          <w:szCs w:val="24"/>
        </w:rPr>
        <w:t>:</w:t>
      </w:r>
    </w:p>
    <w:p w14:paraId="5FD49A4B" w14:textId="538FEF03" w:rsidR="00F25C99" w:rsidRPr="00400E0C" w:rsidRDefault="00F25C99" w:rsidP="00D01F73">
      <w:pPr>
        <w:pStyle w:val="ListParagraph"/>
        <w:numPr>
          <w:ilvl w:val="0"/>
          <w:numId w:val="9"/>
        </w:numPr>
        <w:spacing w:after="120" w:line="240" w:lineRule="auto"/>
        <w:ind w:left="426"/>
        <w:contextualSpacing w:val="0"/>
        <w:jc w:val="both"/>
        <w:rPr>
          <w:rFonts w:ascii="Times New Roman" w:hAnsi="Times New Roman"/>
          <w:sz w:val="24"/>
          <w:szCs w:val="24"/>
        </w:rPr>
      </w:pPr>
      <w:r w:rsidRPr="00400E0C">
        <w:rPr>
          <w:rFonts w:ascii="Times New Roman" w:hAnsi="Times New Roman"/>
          <w:sz w:val="24"/>
          <w:szCs w:val="24"/>
        </w:rPr>
        <w:t xml:space="preserve">Lauksaimniecība – </w:t>
      </w:r>
      <w:r w:rsidR="00B86762">
        <w:rPr>
          <w:rFonts w:ascii="Times New Roman" w:hAnsi="Times New Roman"/>
          <w:sz w:val="24"/>
          <w:szCs w:val="24"/>
        </w:rPr>
        <w:t>32</w:t>
      </w:r>
      <w:r w:rsidRPr="00400E0C">
        <w:rPr>
          <w:rFonts w:ascii="Times New Roman" w:hAnsi="Times New Roman"/>
          <w:sz w:val="24"/>
          <w:szCs w:val="24"/>
        </w:rPr>
        <w:t>% palielinājums 2005.-2020.g</w:t>
      </w:r>
      <w:r w:rsidR="00C04E69">
        <w:rPr>
          <w:rFonts w:ascii="Times New Roman" w:hAnsi="Times New Roman"/>
          <w:sz w:val="24"/>
          <w:szCs w:val="24"/>
        </w:rPr>
        <w:t>adā</w:t>
      </w:r>
      <w:r w:rsidRPr="00400E0C">
        <w:rPr>
          <w:rFonts w:ascii="Times New Roman" w:hAnsi="Times New Roman"/>
          <w:sz w:val="24"/>
          <w:szCs w:val="24"/>
        </w:rPr>
        <w:t>, 1</w:t>
      </w:r>
      <w:r w:rsidR="00B86762">
        <w:rPr>
          <w:rFonts w:ascii="Times New Roman" w:hAnsi="Times New Roman"/>
          <w:sz w:val="24"/>
          <w:szCs w:val="24"/>
        </w:rPr>
        <w:t>6</w:t>
      </w:r>
      <w:r w:rsidRPr="00400E0C">
        <w:rPr>
          <w:rFonts w:ascii="Times New Roman" w:hAnsi="Times New Roman"/>
          <w:sz w:val="24"/>
          <w:szCs w:val="24"/>
        </w:rPr>
        <w:t>% palielinājums 201</w:t>
      </w:r>
      <w:r w:rsidRPr="002E0DAA">
        <w:rPr>
          <w:rFonts w:ascii="Times New Roman" w:hAnsi="Times New Roman"/>
          <w:sz w:val="24"/>
          <w:szCs w:val="24"/>
        </w:rPr>
        <w:t>6</w:t>
      </w:r>
      <w:r w:rsidRPr="00400E0C">
        <w:rPr>
          <w:rFonts w:ascii="Times New Roman" w:hAnsi="Times New Roman"/>
          <w:sz w:val="24"/>
          <w:szCs w:val="24"/>
        </w:rPr>
        <w:t>.-2020.</w:t>
      </w:r>
      <w:r w:rsidR="003B6E38">
        <w:rPr>
          <w:rFonts w:ascii="Times New Roman" w:hAnsi="Times New Roman"/>
          <w:sz w:val="24"/>
          <w:szCs w:val="24"/>
        </w:rPr>
        <w:t> </w:t>
      </w:r>
      <w:r w:rsidRPr="00400E0C">
        <w:rPr>
          <w:rFonts w:ascii="Times New Roman" w:hAnsi="Times New Roman"/>
          <w:sz w:val="24"/>
          <w:szCs w:val="24"/>
        </w:rPr>
        <w:t>g</w:t>
      </w:r>
      <w:r w:rsidR="00C04E69">
        <w:rPr>
          <w:rFonts w:ascii="Times New Roman" w:hAnsi="Times New Roman"/>
          <w:sz w:val="24"/>
          <w:szCs w:val="24"/>
        </w:rPr>
        <w:t>adā</w:t>
      </w:r>
      <w:r w:rsidRPr="00400E0C">
        <w:rPr>
          <w:rFonts w:ascii="Times New Roman" w:hAnsi="Times New Roman"/>
          <w:sz w:val="24"/>
          <w:szCs w:val="24"/>
        </w:rPr>
        <w:t>;</w:t>
      </w:r>
    </w:p>
    <w:p w14:paraId="7A301359" w14:textId="195B1848" w:rsidR="00F25C99" w:rsidRPr="00400E0C" w:rsidRDefault="00B86762" w:rsidP="00D01F73">
      <w:pPr>
        <w:pStyle w:val="ListParagraph"/>
        <w:numPr>
          <w:ilvl w:val="0"/>
          <w:numId w:val="9"/>
        </w:numPr>
        <w:spacing w:after="120" w:line="240" w:lineRule="auto"/>
        <w:ind w:left="426"/>
        <w:contextualSpacing w:val="0"/>
        <w:jc w:val="both"/>
        <w:rPr>
          <w:rFonts w:ascii="Times New Roman" w:hAnsi="Times New Roman"/>
          <w:sz w:val="24"/>
          <w:szCs w:val="24"/>
        </w:rPr>
      </w:pPr>
      <w:r>
        <w:rPr>
          <w:rFonts w:ascii="Times New Roman" w:hAnsi="Times New Roman"/>
          <w:sz w:val="24"/>
          <w:szCs w:val="24"/>
        </w:rPr>
        <w:t xml:space="preserve">Ne-ETS </w:t>
      </w:r>
      <w:r w:rsidR="00F25C99" w:rsidRPr="002E0DAA">
        <w:rPr>
          <w:rFonts w:ascii="Times New Roman" w:hAnsi="Times New Roman"/>
          <w:sz w:val="24"/>
          <w:szCs w:val="24"/>
        </w:rPr>
        <w:t>R</w:t>
      </w:r>
      <w:r w:rsidR="00F25C99" w:rsidRPr="00400E0C">
        <w:rPr>
          <w:rFonts w:ascii="Times New Roman" w:hAnsi="Times New Roman"/>
          <w:sz w:val="24"/>
          <w:szCs w:val="24"/>
        </w:rPr>
        <w:t>ūpnieciskie procesi</w:t>
      </w:r>
      <w:r>
        <w:rPr>
          <w:rFonts w:ascii="Times New Roman" w:hAnsi="Times New Roman"/>
          <w:sz w:val="24"/>
          <w:szCs w:val="24"/>
        </w:rPr>
        <w:t xml:space="preserve"> un</w:t>
      </w:r>
      <w:r w:rsidR="00F25C99" w:rsidRPr="002E0DAA">
        <w:rPr>
          <w:rFonts w:ascii="Times New Roman" w:hAnsi="Times New Roman"/>
          <w:sz w:val="24"/>
          <w:szCs w:val="24"/>
        </w:rPr>
        <w:t xml:space="preserve"> produktu</w:t>
      </w:r>
      <w:r w:rsidR="00F25C99" w:rsidRPr="00400E0C">
        <w:rPr>
          <w:rFonts w:ascii="Times New Roman" w:hAnsi="Times New Roman"/>
          <w:sz w:val="24"/>
          <w:szCs w:val="24"/>
        </w:rPr>
        <w:t xml:space="preserve"> izmantošana – </w:t>
      </w:r>
      <w:r>
        <w:rPr>
          <w:rFonts w:ascii="Times New Roman" w:hAnsi="Times New Roman"/>
          <w:sz w:val="24"/>
          <w:szCs w:val="24"/>
        </w:rPr>
        <w:t>134</w:t>
      </w:r>
      <w:r w:rsidR="00F25C99" w:rsidRPr="00400E0C">
        <w:rPr>
          <w:rFonts w:ascii="Times New Roman" w:hAnsi="Times New Roman"/>
          <w:sz w:val="24"/>
          <w:szCs w:val="24"/>
        </w:rPr>
        <w:t>% palielinājums 2005.-2020.</w:t>
      </w:r>
      <w:r w:rsidR="003B6E38">
        <w:rPr>
          <w:rFonts w:ascii="Times New Roman" w:hAnsi="Times New Roman"/>
          <w:sz w:val="24"/>
          <w:szCs w:val="24"/>
        </w:rPr>
        <w:t> </w:t>
      </w:r>
      <w:r w:rsidR="00F25C99" w:rsidRPr="00400E0C">
        <w:rPr>
          <w:rFonts w:ascii="Times New Roman" w:hAnsi="Times New Roman"/>
          <w:sz w:val="24"/>
          <w:szCs w:val="24"/>
        </w:rPr>
        <w:t>g</w:t>
      </w:r>
      <w:r w:rsidR="00C04E69">
        <w:rPr>
          <w:rFonts w:ascii="Times New Roman" w:hAnsi="Times New Roman"/>
          <w:sz w:val="24"/>
          <w:szCs w:val="24"/>
        </w:rPr>
        <w:t>adā</w:t>
      </w:r>
      <w:r w:rsidR="00F25C99" w:rsidRPr="00400E0C">
        <w:rPr>
          <w:rFonts w:ascii="Times New Roman" w:hAnsi="Times New Roman"/>
          <w:sz w:val="24"/>
          <w:szCs w:val="24"/>
        </w:rPr>
        <w:t xml:space="preserve">, </w:t>
      </w:r>
      <w:r>
        <w:rPr>
          <w:rFonts w:ascii="Times New Roman" w:hAnsi="Times New Roman"/>
          <w:sz w:val="24"/>
          <w:szCs w:val="24"/>
        </w:rPr>
        <w:t>13</w:t>
      </w:r>
      <w:r w:rsidR="00F25C99" w:rsidRPr="00400E0C">
        <w:rPr>
          <w:rFonts w:ascii="Times New Roman" w:hAnsi="Times New Roman"/>
          <w:sz w:val="24"/>
          <w:szCs w:val="24"/>
        </w:rPr>
        <w:t>% samazinājums 201</w:t>
      </w:r>
      <w:r w:rsidR="00F25C99" w:rsidRPr="002E0DAA">
        <w:rPr>
          <w:rFonts w:ascii="Times New Roman" w:hAnsi="Times New Roman"/>
          <w:sz w:val="24"/>
          <w:szCs w:val="24"/>
        </w:rPr>
        <w:t>6</w:t>
      </w:r>
      <w:r w:rsidR="00F25C99" w:rsidRPr="00400E0C">
        <w:rPr>
          <w:rFonts w:ascii="Times New Roman" w:hAnsi="Times New Roman"/>
          <w:sz w:val="24"/>
          <w:szCs w:val="24"/>
        </w:rPr>
        <w:t>.-2020.g</w:t>
      </w:r>
      <w:r w:rsidR="00C04E69">
        <w:rPr>
          <w:rFonts w:ascii="Times New Roman" w:hAnsi="Times New Roman"/>
          <w:sz w:val="24"/>
          <w:szCs w:val="24"/>
        </w:rPr>
        <w:t>adā</w:t>
      </w:r>
      <w:r w:rsidR="00F25C99" w:rsidRPr="00400E0C">
        <w:rPr>
          <w:rFonts w:ascii="Times New Roman" w:hAnsi="Times New Roman"/>
          <w:sz w:val="24"/>
          <w:szCs w:val="24"/>
        </w:rPr>
        <w:t>;</w:t>
      </w:r>
    </w:p>
    <w:p w14:paraId="216330F3" w14:textId="022B6600" w:rsidR="00F25C99" w:rsidRPr="00400E0C" w:rsidRDefault="00B86762" w:rsidP="00D01F73">
      <w:pPr>
        <w:pStyle w:val="ListParagraph"/>
        <w:numPr>
          <w:ilvl w:val="0"/>
          <w:numId w:val="9"/>
        </w:numPr>
        <w:spacing w:after="120" w:line="240" w:lineRule="auto"/>
        <w:ind w:left="426"/>
        <w:contextualSpacing w:val="0"/>
        <w:jc w:val="both"/>
        <w:rPr>
          <w:rFonts w:ascii="Times New Roman" w:hAnsi="Times New Roman"/>
          <w:sz w:val="24"/>
          <w:szCs w:val="24"/>
        </w:rPr>
      </w:pPr>
      <w:r>
        <w:rPr>
          <w:rFonts w:ascii="Times New Roman" w:hAnsi="Times New Roman"/>
          <w:sz w:val="24"/>
          <w:szCs w:val="24"/>
        </w:rPr>
        <w:t xml:space="preserve">Ne-ETS </w:t>
      </w:r>
      <w:r w:rsidR="00F25C99" w:rsidRPr="002E0DAA">
        <w:rPr>
          <w:rFonts w:ascii="Times New Roman" w:hAnsi="Times New Roman"/>
          <w:sz w:val="24"/>
          <w:szCs w:val="24"/>
        </w:rPr>
        <w:t>E</w:t>
      </w:r>
      <w:r w:rsidR="00F25C99" w:rsidRPr="00400E0C">
        <w:rPr>
          <w:rFonts w:ascii="Times New Roman" w:hAnsi="Times New Roman"/>
          <w:sz w:val="24"/>
          <w:szCs w:val="24"/>
        </w:rPr>
        <w:t>nerģētika</w:t>
      </w:r>
      <w:r w:rsidR="00F25C99" w:rsidRPr="002E0DAA">
        <w:rPr>
          <w:rFonts w:ascii="Times New Roman" w:hAnsi="Times New Roman"/>
          <w:sz w:val="24"/>
          <w:szCs w:val="24"/>
        </w:rPr>
        <w:t xml:space="preserve"> – 7</w:t>
      </w:r>
      <w:r w:rsidR="00F25C99" w:rsidRPr="00400E0C">
        <w:rPr>
          <w:rFonts w:ascii="Times New Roman" w:hAnsi="Times New Roman"/>
          <w:sz w:val="24"/>
          <w:szCs w:val="24"/>
        </w:rPr>
        <w:t>% samazinājums 2005.-2020.g</w:t>
      </w:r>
      <w:r w:rsidR="00C04E69">
        <w:rPr>
          <w:rFonts w:ascii="Times New Roman" w:hAnsi="Times New Roman"/>
          <w:sz w:val="24"/>
          <w:szCs w:val="24"/>
        </w:rPr>
        <w:t>adā</w:t>
      </w:r>
      <w:r w:rsidR="00F25C99" w:rsidRPr="00400E0C">
        <w:rPr>
          <w:rFonts w:ascii="Times New Roman" w:hAnsi="Times New Roman"/>
          <w:sz w:val="24"/>
          <w:szCs w:val="24"/>
        </w:rPr>
        <w:t xml:space="preserve">, </w:t>
      </w:r>
      <w:r>
        <w:rPr>
          <w:rFonts w:ascii="Times New Roman" w:hAnsi="Times New Roman"/>
          <w:sz w:val="24"/>
          <w:szCs w:val="24"/>
        </w:rPr>
        <w:t>3</w:t>
      </w:r>
      <w:r w:rsidR="00F25C99" w:rsidRPr="00400E0C">
        <w:rPr>
          <w:rFonts w:ascii="Times New Roman" w:hAnsi="Times New Roman"/>
          <w:sz w:val="24"/>
          <w:szCs w:val="24"/>
        </w:rPr>
        <w:t>% samazinājums 201</w:t>
      </w:r>
      <w:r w:rsidR="00F25C99" w:rsidRPr="002E0DAA">
        <w:rPr>
          <w:rFonts w:ascii="Times New Roman" w:hAnsi="Times New Roman"/>
          <w:sz w:val="24"/>
          <w:szCs w:val="24"/>
        </w:rPr>
        <w:t>6</w:t>
      </w:r>
      <w:r w:rsidR="00F25C99" w:rsidRPr="00400E0C">
        <w:rPr>
          <w:rFonts w:ascii="Times New Roman" w:hAnsi="Times New Roman"/>
          <w:sz w:val="24"/>
          <w:szCs w:val="24"/>
        </w:rPr>
        <w:t>.-2020.</w:t>
      </w:r>
      <w:r w:rsidR="003B6E38">
        <w:rPr>
          <w:rFonts w:ascii="Times New Roman" w:hAnsi="Times New Roman"/>
          <w:sz w:val="24"/>
          <w:szCs w:val="24"/>
        </w:rPr>
        <w:t> </w:t>
      </w:r>
      <w:r w:rsidR="00F25C99" w:rsidRPr="00400E0C">
        <w:rPr>
          <w:rFonts w:ascii="Times New Roman" w:hAnsi="Times New Roman"/>
          <w:sz w:val="24"/>
          <w:szCs w:val="24"/>
        </w:rPr>
        <w:t>g</w:t>
      </w:r>
      <w:r w:rsidR="00C04E69">
        <w:rPr>
          <w:rFonts w:ascii="Times New Roman" w:hAnsi="Times New Roman"/>
          <w:sz w:val="24"/>
          <w:szCs w:val="24"/>
        </w:rPr>
        <w:t>adā</w:t>
      </w:r>
      <w:r w:rsidR="00F25C99" w:rsidRPr="00400E0C">
        <w:rPr>
          <w:rFonts w:ascii="Times New Roman" w:hAnsi="Times New Roman"/>
          <w:sz w:val="24"/>
          <w:szCs w:val="24"/>
        </w:rPr>
        <w:t xml:space="preserve">; </w:t>
      </w:r>
    </w:p>
    <w:p w14:paraId="7559983D" w14:textId="28592663" w:rsidR="00F25C99" w:rsidRPr="00400E0C" w:rsidRDefault="00F25C99" w:rsidP="00D01F73">
      <w:pPr>
        <w:pStyle w:val="ListParagraph"/>
        <w:numPr>
          <w:ilvl w:val="0"/>
          <w:numId w:val="9"/>
        </w:numPr>
        <w:spacing w:after="120" w:line="240" w:lineRule="auto"/>
        <w:ind w:left="426"/>
        <w:contextualSpacing w:val="0"/>
        <w:jc w:val="both"/>
        <w:rPr>
          <w:rFonts w:ascii="Times New Roman" w:hAnsi="Times New Roman"/>
          <w:sz w:val="24"/>
          <w:szCs w:val="24"/>
        </w:rPr>
      </w:pPr>
      <w:r w:rsidRPr="00400E0C">
        <w:rPr>
          <w:rFonts w:ascii="Times New Roman" w:hAnsi="Times New Roman"/>
          <w:sz w:val="24"/>
          <w:szCs w:val="24"/>
        </w:rPr>
        <w:t xml:space="preserve">Atkritumu apsaimniekošana – </w:t>
      </w:r>
      <w:r w:rsidRPr="002E0DAA">
        <w:rPr>
          <w:rFonts w:ascii="Times New Roman" w:hAnsi="Times New Roman"/>
          <w:sz w:val="24"/>
          <w:szCs w:val="24"/>
        </w:rPr>
        <w:t>8</w:t>
      </w:r>
      <w:r w:rsidRPr="00400E0C">
        <w:rPr>
          <w:rFonts w:ascii="Times New Roman" w:hAnsi="Times New Roman"/>
          <w:sz w:val="24"/>
          <w:szCs w:val="24"/>
        </w:rPr>
        <w:t>% samazinājums 2005.-2020.</w:t>
      </w:r>
      <w:r w:rsidR="003B6E38">
        <w:rPr>
          <w:rFonts w:ascii="Times New Roman" w:hAnsi="Times New Roman"/>
          <w:sz w:val="24"/>
          <w:szCs w:val="24"/>
        </w:rPr>
        <w:t> </w:t>
      </w:r>
      <w:r w:rsidRPr="00400E0C">
        <w:rPr>
          <w:rFonts w:ascii="Times New Roman" w:hAnsi="Times New Roman"/>
          <w:sz w:val="24"/>
          <w:szCs w:val="24"/>
        </w:rPr>
        <w:t>g</w:t>
      </w:r>
      <w:r w:rsidR="00C04E69">
        <w:rPr>
          <w:rFonts w:ascii="Times New Roman" w:hAnsi="Times New Roman"/>
          <w:sz w:val="24"/>
          <w:szCs w:val="24"/>
        </w:rPr>
        <w:t>adā</w:t>
      </w:r>
      <w:r w:rsidRPr="00400E0C">
        <w:rPr>
          <w:rFonts w:ascii="Times New Roman" w:hAnsi="Times New Roman"/>
          <w:sz w:val="24"/>
          <w:szCs w:val="24"/>
        </w:rPr>
        <w:t xml:space="preserve">, </w:t>
      </w:r>
      <w:r w:rsidRPr="002E0DAA">
        <w:rPr>
          <w:rFonts w:ascii="Times New Roman" w:hAnsi="Times New Roman"/>
          <w:sz w:val="24"/>
          <w:szCs w:val="24"/>
        </w:rPr>
        <w:t>8,5</w:t>
      </w:r>
      <w:r w:rsidRPr="00400E0C">
        <w:rPr>
          <w:rFonts w:ascii="Times New Roman" w:hAnsi="Times New Roman"/>
          <w:sz w:val="24"/>
          <w:szCs w:val="24"/>
        </w:rPr>
        <w:t>% samazinājums 201</w:t>
      </w:r>
      <w:r w:rsidRPr="002E0DAA">
        <w:rPr>
          <w:rFonts w:ascii="Times New Roman" w:hAnsi="Times New Roman"/>
          <w:sz w:val="24"/>
          <w:szCs w:val="24"/>
        </w:rPr>
        <w:t>6</w:t>
      </w:r>
      <w:r w:rsidRPr="00400E0C">
        <w:rPr>
          <w:rFonts w:ascii="Times New Roman" w:hAnsi="Times New Roman"/>
          <w:sz w:val="24"/>
          <w:szCs w:val="24"/>
        </w:rPr>
        <w:t>.-2020.</w:t>
      </w:r>
      <w:r w:rsidR="003B6E38">
        <w:rPr>
          <w:rFonts w:ascii="Times New Roman" w:hAnsi="Times New Roman"/>
          <w:sz w:val="24"/>
          <w:szCs w:val="24"/>
        </w:rPr>
        <w:t> </w:t>
      </w:r>
      <w:r w:rsidRPr="00400E0C">
        <w:rPr>
          <w:rFonts w:ascii="Times New Roman" w:hAnsi="Times New Roman"/>
          <w:sz w:val="24"/>
          <w:szCs w:val="24"/>
        </w:rPr>
        <w:t>g</w:t>
      </w:r>
      <w:r w:rsidR="00C04E69">
        <w:rPr>
          <w:rFonts w:ascii="Times New Roman" w:hAnsi="Times New Roman"/>
          <w:sz w:val="24"/>
          <w:szCs w:val="24"/>
        </w:rPr>
        <w:t>adā</w:t>
      </w:r>
      <w:r w:rsidR="00C118F9">
        <w:rPr>
          <w:rFonts w:ascii="Times New Roman" w:hAnsi="Times New Roman"/>
          <w:sz w:val="24"/>
          <w:szCs w:val="24"/>
        </w:rPr>
        <w:t>;</w:t>
      </w:r>
    </w:p>
    <w:p w14:paraId="093264AF" w14:textId="7F2265AC" w:rsidR="00F25C99" w:rsidRDefault="00F25C99" w:rsidP="00D01F73">
      <w:pPr>
        <w:pStyle w:val="ListParagraph"/>
        <w:numPr>
          <w:ilvl w:val="0"/>
          <w:numId w:val="9"/>
        </w:numPr>
        <w:spacing w:after="120" w:line="240" w:lineRule="auto"/>
        <w:ind w:left="426"/>
        <w:contextualSpacing w:val="0"/>
        <w:jc w:val="both"/>
        <w:rPr>
          <w:rFonts w:ascii="Times New Roman" w:hAnsi="Times New Roman"/>
          <w:sz w:val="24"/>
          <w:szCs w:val="24"/>
        </w:rPr>
      </w:pPr>
      <w:r w:rsidRPr="00400E0C">
        <w:rPr>
          <w:rFonts w:ascii="Times New Roman" w:hAnsi="Times New Roman"/>
          <w:sz w:val="24"/>
          <w:szCs w:val="24"/>
        </w:rPr>
        <w:t xml:space="preserve">Transports – </w:t>
      </w:r>
      <w:r w:rsidR="000A4E1D">
        <w:rPr>
          <w:rFonts w:ascii="Times New Roman" w:hAnsi="Times New Roman"/>
          <w:sz w:val="24"/>
          <w:szCs w:val="24"/>
        </w:rPr>
        <w:t>2,5</w:t>
      </w:r>
      <w:r w:rsidRPr="00400E0C">
        <w:rPr>
          <w:rFonts w:ascii="Times New Roman" w:hAnsi="Times New Roman"/>
          <w:sz w:val="24"/>
          <w:szCs w:val="24"/>
        </w:rPr>
        <w:t>% samazinājums 2005.-2020.g</w:t>
      </w:r>
      <w:r w:rsidR="00C04E69">
        <w:rPr>
          <w:rFonts w:ascii="Times New Roman" w:hAnsi="Times New Roman"/>
          <w:sz w:val="24"/>
          <w:szCs w:val="24"/>
        </w:rPr>
        <w:t>adā</w:t>
      </w:r>
      <w:r w:rsidRPr="00400E0C">
        <w:rPr>
          <w:rFonts w:ascii="Times New Roman" w:hAnsi="Times New Roman"/>
          <w:sz w:val="24"/>
          <w:szCs w:val="24"/>
        </w:rPr>
        <w:t>,</w:t>
      </w:r>
      <w:r w:rsidRPr="002E0DAA">
        <w:rPr>
          <w:rFonts w:ascii="Times New Roman" w:hAnsi="Times New Roman"/>
          <w:sz w:val="24"/>
          <w:szCs w:val="24"/>
        </w:rPr>
        <w:t xml:space="preserve"> 4,9</w:t>
      </w:r>
      <w:r w:rsidRPr="00400E0C">
        <w:rPr>
          <w:rFonts w:ascii="Times New Roman" w:hAnsi="Times New Roman"/>
          <w:sz w:val="24"/>
          <w:szCs w:val="24"/>
        </w:rPr>
        <w:t>% samazinājums 201</w:t>
      </w:r>
      <w:r w:rsidRPr="002E0DAA">
        <w:rPr>
          <w:rFonts w:ascii="Times New Roman" w:hAnsi="Times New Roman"/>
          <w:sz w:val="24"/>
          <w:szCs w:val="24"/>
        </w:rPr>
        <w:t>6</w:t>
      </w:r>
      <w:r w:rsidR="00C118F9">
        <w:rPr>
          <w:rFonts w:ascii="Times New Roman" w:hAnsi="Times New Roman"/>
          <w:sz w:val="24"/>
          <w:szCs w:val="24"/>
        </w:rPr>
        <w:t>.-2020.g</w:t>
      </w:r>
      <w:r w:rsidR="00C04E69">
        <w:rPr>
          <w:rFonts w:ascii="Times New Roman" w:hAnsi="Times New Roman"/>
          <w:sz w:val="24"/>
          <w:szCs w:val="24"/>
        </w:rPr>
        <w:t>adā</w:t>
      </w:r>
      <w:r w:rsidR="00C118F9">
        <w:rPr>
          <w:rFonts w:ascii="Times New Roman" w:hAnsi="Times New Roman"/>
          <w:sz w:val="24"/>
          <w:szCs w:val="24"/>
        </w:rPr>
        <w:t>.</w:t>
      </w:r>
    </w:p>
    <w:p w14:paraId="316AE561" w14:textId="47888BA4" w:rsidR="00B03AC7" w:rsidRPr="005C652E" w:rsidRDefault="00B03AC7" w:rsidP="00D4581D">
      <w:pPr>
        <w:pStyle w:val="Heading2"/>
        <w:jc w:val="both"/>
      </w:pPr>
      <w:bookmarkStart w:id="8" w:name="_Toc535941193"/>
      <w:bookmarkStart w:id="9" w:name="_Toc535941195"/>
      <w:bookmarkStart w:id="10" w:name="_Toc535941201"/>
      <w:bookmarkStart w:id="11" w:name="_Toc535941266"/>
      <w:bookmarkStart w:id="12" w:name="_Toc9326566"/>
      <w:bookmarkEnd w:id="8"/>
      <w:bookmarkEnd w:id="9"/>
      <w:bookmarkEnd w:id="10"/>
      <w:bookmarkEnd w:id="11"/>
      <w:r w:rsidRPr="005C652E">
        <w:t>SEG emisiju samazināšanas mērķa izpildei nepieciešamie papildus pasākumi</w:t>
      </w:r>
      <w:bookmarkEnd w:id="12"/>
    </w:p>
    <w:p w14:paraId="6CEE99EB" w14:textId="33349F1C" w:rsidR="008F7B86" w:rsidRPr="005C652E" w:rsidRDefault="00252C71" w:rsidP="0086761B">
      <w:pPr>
        <w:spacing w:before="120" w:after="120" w:line="240" w:lineRule="auto"/>
        <w:ind w:firstLine="567"/>
        <w:jc w:val="both"/>
        <w:rPr>
          <w:rFonts w:ascii="Times New Roman" w:hAnsi="Times New Roman"/>
          <w:sz w:val="24"/>
          <w:szCs w:val="24"/>
        </w:rPr>
      </w:pPr>
      <w:r>
        <w:rPr>
          <w:rFonts w:ascii="Times New Roman" w:hAnsi="Times New Roman"/>
          <w:sz w:val="24"/>
          <w:szCs w:val="24"/>
        </w:rPr>
        <w:t>Ņemot vērā</w:t>
      </w:r>
      <w:r w:rsidR="004047FA" w:rsidRPr="009769A6">
        <w:rPr>
          <w:rFonts w:ascii="Times New Roman" w:hAnsi="Times New Roman"/>
          <w:sz w:val="24"/>
          <w:szCs w:val="24"/>
        </w:rPr>
        <w:t xml:space="preserve"> </w:t>
      </w:r>
      <w:r w:rsidR="00401E5D">
        <w:rPr>
          <w:rFonts w:ascii="Times New Roman" w:hAnsi="Times New Roman"/>
          <w:sz w:val="24"/>
          <w:szCs w:val="24"/>
        </w:rPr>
        <w:t xml:space="preserve">2017. gada </w:t>
      </w:r>
      <w:r w:rsidR="00412305">
        <w:rPr>
          <w:rFonts w:ascii="Times New Roman" w:hAnsi="Times New Roman"/>
          <w:sz w:val="24"/>
          <w:szCs w:val="24"/>
        </w:rPr>
        <w:t>z</w:t>
      </w:r>
      <w:r w:rsidR="004047FA" w:rsidRPr="00DF2E7E">
        <w:rPr>
          <w:rFonts w:ascii="Times New Roman" w:hAnsi="Times New Roman"/>
          <w:sz w:val="24"/>
          <w:szCs w:val="24"/>
        </w:rPr>
        <w:t>iņojumu</w:t>
      </w:r>
      <w:r w:rsidR="004047FA" w:rsidRPr="009769A6">
        <w:rPr>
          <w:rFonts w:ascii="Times New Roman" w:hAnsi="Times New Roman"/>
          <w:sz w:val="24"/>
          <w:szCs w:val="24"/>
        </w:rPr>
        <w:t xml:space="preserve"> par SEG prognozēm, politiku un pasākumiem</w:t>
      </w:r>
      <w:r w:rsidR="00401E5D">
        <w:rPr>
          <w:rFonts w:ascii="Times New Roman" w:hAnsi="Times New Roman"/>
          <w:sz w:val="24"/>
          <w:szCs w:val="24"/>
        </w:rPr>
        <w:t xml:space="preserve"> </w:t>
      </w:r>
      <w:r w:rsidR="004047FA" w:rsidRPr="009769A6">
        <w:rPr>
          <w:rFonts w:ascii="Times New Roman" w:hAnsi="Times New Roman"/>
          <w:sz w:val="24"/>
          <w:szCs w:val="24"/>
        </w:rPr>
        <w:t>secināms, ka</w:t>
      </w:r>
      <w:r w:rsidR="004047FA" w:rsidRPr="005C652E">
        <w:rPr>
          <w:rFonts w:ascii="Times New Roman" w:hAnsi="Times New Roman"/>
          <w:sz w:val="24"/>
          <w:szCs w:val="24"/>
        </w:rPr>
        <w:t xml:space="preserve"> Latvija ar Saistību pārdales lēmumu noteiktos ikgadējos mērķus 2013.-2020.</w:t>
      </w:r>
      <w:r w:rsidR="00426E9D">
        <w:rPr>
          <w:rFonts w:ascii="Times New Roman" w:hAnsi="Times New Roman"/>
          <w:sz w:val="24"/>
          <w:szCs w:val="24"/>
        </w:rPr>
        <w:t> </w:t>
      </w:r>
      <w:r w:rsidR="004047FA" w:rsidRPr="005C652E">
        <w:rPr>
          <w:rFonts w:ascii="Times New Roman" w:hAnsi="Times New Roman"/>
          <w:sz w:val="24"/>
          <w:szCs w:val="24"/>
        </w:rPr>
        <w:t>gada periodā izpildīs. Līdz ar to 2020.</w:t>
      </w:r>
      <w:r w:rsidR="00426E9D">
        <w:rPr>
          <w:rFonts w:ascii="Times New Roman" w:hAnsi="Times New Roman"/>
          <w:sz w:val="24"/>
          <w:szCs w:val="24"/>
        </w:rPr>
        <w:t> </w:t>
      </w:r>
      <w:r w:rsidR="004047FA" w:rsidRPr="005C652E">
        <w:rPr>
          <w:rFonts w:ascii="Times New Roman" w:hAnsi="Times New Roman"/>
          <w:sz w:val="24"/>
          <w:szCs w:val="24"/>
        </w:rPr>
        <w:t>gada ne-ETS darbību SEG emisiju samazināšanas mērķa izpildei nebūs nepieciešami papildus SEG emisiju samazināšanas pasākumi</w:t>
      </w:r>
      <w:r w:rsidR="00826D21" w:rsidRPr="005C652E">
        <w:rPr>
          <w:rFonts w:ascii="Times New Roman" w:hAnsi="Times New Roman"/>
          <w:sz w:val="24"/>
          <w:szCs w:val="24"/>
        </w:rPr>
        <w:t xml:space="preserve">. </w:t>
      </w:r>
      <w:r>
        <w:rPr>
          <w:rFonts w:ascii="Times New Roman" w:hAnsi="Times New Roman"/>
          <w:sz w:val="24"/>
          <w:szCs w:val="24"/>
        </w:rPr>
        <w:t xml:space="preserve">Taču </w:t>
      </w:r>
      <w:r w:rsidR="0086761B">
        <w:rPr>
          <w:rFonts w:ascii="Times New Roman" w:hAnsi="Times New Roman"/>
          <w:sz w:val="24"/>
          <w:szCs w:val="24"/>
        </w:rPr>
        <w:t>ir svarīgi nodrošināt, ka netiek uzsākts īstenot tādus pasākumus, kas ne-ETS darbību SEG emisiju samazināšanas mērķa izpildi varētu negat</w:t>
      </w:r>
      <w:r w:rsidR="00CB3E4B">
        <w:rPr>
          <w:rFonts w:ascii="Times New Roman" w:hAnsi="Times New Roman"/>
          <w:sz w:val="24"/>
          <w:szCs w:val="24"/>
        </w:rPr>
        <w:t xml:space="preserve">īvi </w:t>
      </w:r>
      <w:r w:rsidR="00CB3E4B" w:rsidRPr="00CB3E4B">
        <w:rPr>
          <w:rFonts w:ascii="Times New Roman" w:hAnsi="Times New Roman"/>
          <w:sz w:val="24"/>
          <w:szCs w:val="24"/>
        </w:rPr>
        <w:t xml:space="preserve">ietekmēt </w:t>
      </w:r>
      <w:r w:rsidR="0086761B" w:rsidRPr="00CB3E4B">
        <w:rPr>
          <w:rFonts w:ascii="Times New Roman" w:hAnsi="Times New Roman"/>
          <w:sz w:val="24"/>
          <w:szCs w:val="24"/>
        </w:rPr>
        <w:t xml:space="preserve">vai kādu no SEG emisiju samazināšanas īstenošanas pasākumiem pārtrauktu īstenot. </w:t>
      </w:r>
      <w:r w:rsidR="00AF2B42" w:rsidRPr="00CB3E4B">
        <w:rPr>
          <w:rFonts w:ascii="Times New Roman" w:hAnsi="Times New Roman"/>
          <w:sz w:val="24"/>
          <w:szCs w:val="24"/>
        </w:rPr>
        <w:t>Šo nosacījum</w:t>
      </w:r>
      <w:r w:rsidR="00426E9D" w:rsidRPr="00CB3E4B">
        <w:rPr>
          <w:rFonts w:ascii="Times New Roman" w:hAnsi="Times New Roman"/>
          <w:sz w:val="24"/>
          <w:szCs w:val="24"/>
        </w:rPr>
        <w:t>u</w:t>
      </w:r>
      <w:r w:rsidR="00AF2B42" w:rsidRPr="00CB3E4B">
        <w:rPr>
          <w:rFonts w:ascii="Times New Roman" w:hAnsi="Times New Roman"/>
          <w:sz w:val="24"/>
          <w:szCs w:val="24"/>
        </w:rPr>
        <w:t xml:space="preserve"> ir būtiski ņemt vērā, jo Latvijas ne-ETS darbību SEG emisiju mērķa </w:t>
      </w:r>
      <w:proofErr w:type="spellStart"/>
      <w:r w:rsidR="00AF2B42" w:rsidRPr="00CB3E4B">
        <w:rPr>
          <w:rFonts w:ascii="Times New Roman" w:hAnsi="Times New Roman"/>
          <w:sz w:val="24"/>
          <w:szCs w:val="24"/>
        </w:rPr>
        <w:t>pārpilde</w:t>
      </w:r>
      <w:proofErr w:type="spellEnd"/>
      <w:r w:rsidR="00AF2B42" w:rsidRPr="00CB3E4B">
        <w:rPr>
          <w:rFonts w:ascii="Times New Roman" w:hAnsi="Times New Roman"/>
          <w:sz w:val="24"/>
          <w:szCs w:val="24"/>
        </w:rPr>
        <w:t xml:space="preserve"> periodā</w:t>
      </w:r>
      <w:r w:rsidR="00AF2B42" w:rsidRPr="005C652E">
        <w:rPr>
          <w:rFonts w:ascii="Times New Roman" w:hAnsi="Times New Roman"/>
          <w:sz w:val="24"/>
          <w:szCs w:val="24"/>
        </w:rPr>
        <w:t xml:space="preserve"> no 2013.-201</w:t>
      </w:r>
      <w:r w:rsidR="00A926DF">
        <w:rPr>
          <w:rFonts w:ascii="Times New Roman" w:hAnsi="Times New Roman"/>
          <w:sz w:val="24"/>
          <w:szCs w:val="24"/>
        </w:rPr>
        <w:t>6</w:t>
      </w:r>
      <w:r w:rsidR="00AF2B42" w:rsidRPr="005C652E">
        <w:rPr>
          <w:rFonts w:ascii="Times New Roman" w:hAnsi="Times New Roman"/>
          <w:sz w:val="24"/>
          <w:szCs w:val="24"/>
        </w:rPr>
        <w:t>.</w:t>
      </w:r>
      <w:r w:rsidR="00426E9D">
        <w:rPr>
          <w:rFonts w:ascii="Times New Roman" w:hAnsi="Times New Roman"/>
          <w:sz w:val="24"/>
          <w:szCs w:val="24"/>
        </w:rPr>
        <w:t> </w:t>
      </w:r>
      <w:r w:rsidR="00AF2B42" w:rsidRPr="005C652E">
        <w:rPr>
          <w:rFonts w:ascii="Times New Roman" w:hAnsi="Times New Roman"/>
          <w:sz w:val="24"/>
          <w:szCs w:val="24"/>
        </w:rPr>
        <w:t xml:space="preserve">gadam </w:t>
      </w:r>
      <w:r w:rsidR="008F7B86">
        <w:rPr>
          <w:rFonts w:ascii="Times New Roman" w:hAnsi="Times New Roman"/>
          <w:sz w:val="24"/>
          <w:szCs w:val="24"/>
        </w:rPr>
        <w:t>nav liela</w:t>
      </w:r>
      <w:r>
        <w:rPr>
          <w:rFonts w:ascii="Times New Roman" w:hAnsi="Times New Roman"/>
          <w:sz w:val="24"/>
          <w:szCs w:val="24"/>
        </w:rPr>
        <w:t xml:space="preserve"> un </w:t>
      </w:r>
      <w:r w:rsidR="008F7B86">
        <w:rPr>
          <w:rFonts w:ascii="Times New Roman" w:hAnsi="Times New Roman"/>
          <w:sz w:val="24"/>
          <w:szCs w:val="24"/>
        </w:rPr>
        <w:t>ne-ETS darbību SEG emisiju apjom</w:t>
      </w:r>
      <w:r>
        <w:rPr>
          <w:rFonts w:ascii="Times New Roman" w:hAnsi="Times New Roman"/>
          <w:sz w:val="24"/>
          <w:szCs w:val="24"/>
        </w:rPr>
        <w:t>am ir tendence</w:t>
      </w:r>
      <w:r w:rsidR="008F7B86">
        <w:rPr>
          <w:rFonts w:ascii="Times New Roman" w:hAnsi="Times New Roman"/>
          <w:sz w:val="24"/>
          <w:szCs w:val="24"/>
        </w:rPr>
        <w:t xml:space="preserve"> palielināt</w:t>
      </w:r>
      <w:r>
        <w:rPr>
          <w:rFonts w:ascii="Times New Roman" w:hAnsi="Times New Roman"/>
          <w:sz w:val="24"/>
          <w:szCs w:val="24"/>
        </w:rPr>
        <w:t>ie</w:t>
      </w:r>
      <w:r w:rsidR="008F7B86">
        <w:rPr>
          <w:rFonts w:ascii="Times New Roman" w:hAnsi="Times New Roman"/>
          <w:sz w:val="24"/>
          <w:szCs w:val="24"/>
        </w:rPr>
        <w:t>s nevis samazināt</w:t>
      </w:r>
      <w:r>
        <w:rPr>
          <w:rFonts w:ascii="Times New Roman" w:hAnsi="Times New Roman"/>
          <w:sz w:val="24"/>
          <w:szCs w:val="24"/>
        </w:rPr>
        <w:t>ie</w:t>
      </w:r>
      <w:r w:rsidR="008F7B86">
        <w:rPr>
          <w:rFonts w:ascii="Times New Roman" w:hAnsi="Times New Roman"/>
          <w:sz w:val="24"/>
          <w:szCs w:val="24"/>
        </w:rPr>
        <w:t>s, kā to nosaka ilgtermiņa mērķi</w:t>
      </w:r>
      <w:r w:rsidR="00AF2B42" w:rsidRPr="005C652E">
        <w:rPr>
          <w:rFonts w:ascii="Times New Roman" w:hAnsi="Times New Roman"/>
          <w:sz w:val="24"/>
          <w:szCs w:val="24"/>
        </w:rPr>
        <w:t>. Latvijas SEG</w:t>
      </w:r>
      <w:r w:rsidR="00B40320">
        <w:rPr>
          <w:rFonts w:ascii="Times New Roman" w:hAnsi="Times New Roman"/>
          <w:sz w:val="24"/>
          <w:szCs w:val="24"/>
        </w:rPr>
        <w:t xml:space="preserve"> prognozes ir sagatavotas </w:t>
      </w:r>
      <w:r w:rsidR="00AF2B42" w:rsidRPr="005C652E">
        <w:rPr>
          <w:rFonts w:ascii="Times New Roman" w:hAnsi="Times New Roman"/>
          <w:sz w:val="24"/>
          <w:szCs w:val="24"/>
        </w:rPr>
        <w:t xml:space="preserve">ar pieņēmumu, ka esošie SEG emisiju samazinošie pasākumi tiek īstenoti visā periodā, kā arī ar pieņēmumu, ka </w:t>
      </w:r>
      <w:r w:rsidR="00003BFB">
        <w:rPr>
          <w:rFonts w:ascii="Times New Roman" w:hAnsi="Times New Roman"/>
          <w:sz w:val="24"/>
          <w:szCs w:val="24"/>
        </w:rPr>
        <w:t xml:space="preserve">politikās </w:t>
      </w:r>
      <w:r w:rsidR="00AF2B42" w:rsidRPr="005C652E">
        <w:rPr>
          <w:rFonts w:ascii="Times New Roman" w:hAnsi="Times New Roman"/>
          <w:sz w:val="24"/>
          <w:szCs w:val="24"/>
        </w:rPr>
        <w:t>ieplānotie pasākumi</w:t>
      </w:r>
      <w:r w:rsidR="00003BFB" w:rsidRPr="00003BFB">
        <w:rPr>
          <w:rFonts w:ascii="Times New Roman" w:hAnsi="Times New Roman"/>
          <w:sz w:val="24"/>
          <w:szCs w:val="24"/>
        </w:rPr>
        <w:t xml:space="preserve"> </w:t>
      </w:r>
      <w:r w:rsidR="00003BFB" w:rsidRPr="005C652E">
        <w:rPr>
          <w:rFonts w:ascii="Times New Roman" w:hAnsi="Times New Roman"/>
          <w:sz w:val="24"/>
          <w:szCs w:val="24"/>
        </w:rPr>
        <w:t>tiek īstenoti</w:t>
      </w:r>
      <w:r w:rsidR="00AF2B42" w:rsidRPr="005C652E">
        <w:rPr>
          <w:rFonts w:ascii="Times New Roman" w:hAnsi="Times New Roman"/>
          <w:sz w:val="24"/>
          <w:szCs w:val="24"/>
        </w:rPr>
        <w:t xml:space="preserve">. </w:t>
      </w:r>
    </w:p>
    <w:p w14:paraId="3AE7F84B" w14:textId="77777777" w:rsidR="00D91DFD" w:rsidRDefault="00826D21" w:rsidP="000B0D7F">
      <w:pPr>
        <w:spacing w:before="120" w:after="120" w:line="240" w:lineRule="auto"/>
        <w:ind w:firstLine="567"/>
        <w:jc w:val="both"/>
        <w:rPr>
          <w:rFonts w:ascii="Times New Roman" w:hAnsi="Times New Roman"/>
          <w:sz w:val="24"/>
          <w:szCs w:val="24"/>
        </w:rPr>
      </w:pPr>
      <w:r w:rsidRPr="005C652E">
        <w:rPr>
          <w:rFonts w:ascii="Times New Roman" w:hAnsi="Times New Roman"/>
          <w:sz w:val="24"/>
          <w:szCs w:val="24"/>
        </w:rPr>
        <w:t>Tomēr</w:t>
      </w:r>
      <w:r w:rsidR="00003BFB">
        <w:rPr>
          <w:rFonts w:ascii="Times New Roman" w:hAnsi="Times New Roman"/>
          <w:sz w:val="24"/>
          <w:szCs w:val="24"/>
        </w:rPr>
        <w:t>,</w:t>
      </w:r>
      <w:r w:rsidR="005B5747">
        <w:rPr>
          <w:rFonts w:ascii="Times New Roman" w:hAnsi="Times New Roman"/>
          <w:sz w:val="24"/>
          <w:szCs w:val="24"/>
        </w:rPr>
        <w:t xml:space="preserve"> ņ</w:t>
      </w:r>
      <w:r w:rsidR="005B5747" w:rsidRPr="005B5747">
        <w:rPr>
          <w:rFonts w:ascii="Times New Roman" w:hAnsi="Times New Roman"/>
          <w:sz w:val="24"/>
          <w:szCs w:val="24"/>
        </w:rPr>
        <w:t xml:space="preserve">emot vērā </w:t>
      </w:r>
      <w:r w:rsidR="00401E5D">
        <w:rPr>
          <w:rFonts w:ascii="Times New Roman" w:hAnsi="Times New Roman"/>
          <w:sz w:val="24"/>
          <w:szCs w:val="24"/>
        </w:rPr>
        <w:t xml:space="preserve">2017. gada </w:t>
      </w:r>
      <w:r w:rsidR="00412305">
        <w:rPr>
          <w:rFonts w:ascii="Times New Roman" w:hAnsi="Times New Roman"/>
          <w:sz w:val="24"/>
          <w:szCs w:val="24"/>
        </w:rPr>
        <w:t>z</w:t>
      </w:r>
      <w:r w:rsidR="005B5747" w:rsidRPr="005B5747">
        <w:rPr>
          <w:rFonts w:ascii="Times New Roman" w:hAnsi="Times New Roman"/>
          <w:sz w:val="24"/>
          <w:szCs w:val="24"/>
        </w:rPr>
        <w:t>iņojumu par SEG pr</w:t>
      </w:r>
      <w:r w:rsidR="00401E5D">
        <w:rPr>
          <w:rFonts w:ascii="Times New Roman" w:hAnsi="Times New Roman"/>
          <w:sz w:val="24"/>
          <w:szCs w:val="24"/>
        </w:rPr>
        <w:t xml:space="preserve">ognozēm, politiku un pasākumiem </w:t>
      </w:r>
      <w:r w:rsidR="005B5747" w:rsidRPr="005B5747">
        <w:rPr>
          <w:rFonts w:ascii="Times New Roman" w:hAnsi="Times New Roman"/>
          <w:sz w:val="24"/>
          <w:szCs w:val="24"/>
        </w:rPr>
        <w:t xml:space="preserve">ir </w:t>
      </w:r>
      <w:r w:rsidR="00003BFB">
        <w:rPr>
          <w:rFonts w:ascii="Times New Roman" w:hAnsi="Times New Roman"/>
          <w:sz w:val="24"/>
          <w:szCs w:val="24"/>
        </w:rPr>
        <w:t xml:space="preserve">arī </w:t>
      </w:r>
      <w:r w:rsidR="005B5747" w:rsidRPr="005B5747">
        <w:rPr>
          <w:rFonts w:ascii="Times New Roman" w:hAnsi="Times New Roman"/>
          <w:sz w:val="24"/>
          <w:szCs w:val="24"/>
        </w:rPr>
        <w:t>secināms</w:t>
      </w:r>
      <w:r w:rsidR="00773001">
        <w:rPr>
          <w:rFonts w:ascii="Times New Roman" w:hAnsi="Times New Roman"/>
          <w:sz w:val="24"/>
          <w:szCs w:val="24"/>
        </w:rPr>
        <w:t>, ka</w:t>
      </w:r>
      <w:r w:rsidR="005B5747" w:rsidRPr="005B5747">
        <w:rPr>
          <w:rFonts w:ascii="Times New Roman" w:hAnsi="Times New Roman"/>
          <w:sz w:val="24"/>
          <w:szCs w:val="24"/>
        </w:rPr>
        <w:t xml:space="preserve"> </w:t>
      </w:r>
      <w:r w:rsidRPr="005C652E">
        <w:rPr>
          <w:rFonts w:ascii="Times New Roman" w:hAnsi="Times New Roman"/>
          <w:sz w:val="24"/>
          <w:szCs w:val="24"/>
        </w:rPr>
        <w:t>2030.</w:t>
      </w:r>
      <w:r w:rsidR="00426E9D">
        <w:rPr>
          <w:rFonts w:ascii="Times New Roman" w:hAnsi="Times New Roman"/>
          <w:sz w:val="24"/>
          <w:szCs w:val="24"/>
        </w:rPr>
        <w:t> </w:t>
      </w:r>
      <w:r w:rsidRPr="005C652E">
        <w:rPr>
          <w:rFonts w:ascii="Times New Roman" w:hAnsi="Times New Roman"/>
          <w:sz w:val="24"/>
          <w:szCs w:val="24"/>
        </w:rPr>
        <w:t>gada ne-ETS darbību SEG emisiju samazināšanas mērķa īstenošanai</w:t>
      </w:r>
      <w:r w:rsidR="00404C00" w:rsidRPr="005C652E">
        <w:rPr>
          <w:rFonts w:ascii="Times New Roman" w:hAnsi="Times New Roman"/>
          <w:sz w:val="24"/>
          <w:szCs w:val="24"/>
        </w:rPr>
        <w:t xml:space="preserve"> </w:t>
      </w:r>
      <w:r w:rsidR="00915397">
        <w:rPr>
          <w:rFonts w:ascii="Times New Roman" w:hAnsi="Times New Roman"/>
          <w:sz w:val="24"/>
          <w:szCs w:val="24"/>
        </w:rPr>
        <w:t xml:space="preserve">būs nepieciešams īstenot papildus </w:t>
      </w:r>
      <w:r w:rsidR="00915397" w:rsidRPr="00CB3E4B">
        <w:rPr>
          <w:rFonts w:ascii="Times New Roman" w:hAnsi="Times New Roman"/>
          <w:sz w:val="24"/>
          <w:szCs w:val="24"/>
        </w:rPr>
        <w:t>pasākumus</w:t>
      </w:r>
      <w:r w:rsidR="005B5747" w:rsidRPr="00CB3E4B">
        <w:rPr>
          <w:rFonts w:ascii="Times New Roman" w:hAnsi="Times New Roman"/>
          <w:sz w:val="24"/>
          <w:szCs w:val="24"/>
        </w:rPr>
        <w:t>.</w:t>
      </w:r>
      <w:r w:rsidR="00404C00" w:rsidRPr="00CB3E4B">
        <w:rPr>
          <w:rFonts w:ascii="Times New Roman" w:hAnsi="Times New Roman"/>
          <w:sz w:val="24"/>
          <w:szCs w:val="24"/>
        </w:rPr>
        <w:t xml:space="preserve"> </w:t>
      </w:r>
      <w:r w:rsidR="00401E5D" w:rsidRPr="00CB3E4B">
        <w:rPr>
          <w:rFonts w:ascii="Times New Roman" w:hAnsi="Times New Roman"/>
          <w:sz w:val="24"/>
          <w:szCs w:val="24"/>
        </w:rPr>
        <w:t xml:space="preserve">Ņemot vērā iepriekš norādīto informāciju </w:t>
      </w:r>
      <w:r w:rsidR="00404C00" w:rsidRPr="00CB3E4B">
        <w:rPr>
          <w:rFonts w:ascii="Times New Roman" w:hAnsi="Times New Roman"/>
          <w:sz w:val="24"/>
          <w:szCs w:val="24"/>
        </w:rPr>
        <w:t xml:space="preserve">SEG emisiju samazināšanas turpināšanai un turpmākai nodrošināšanai ir būtiski </w:t>
      </w:r>
      <w:r w:rsidR="00B96BF0" w:rsidRPr="00CB3E4B">
        <w:rPr>
          <w:rFonts w:ascii="Times New Roman" w:hAnsi="Times New Roman"/>
          <w:sz w:val="24"/>
          <w:szCs w:val="24"/>
        </w:rPr>
        <w:t xml:space="preserve">turpināt īstenot </w:t>
      </w:r>
      <w:r w:rsidR="00404C00" w:rsidRPr="00CB3E4B">
        <w:rPr>
          <w:rFonts w:ascii="Times New Roman" w:hAnsi="Times New Roman"/>
          <w:sz w:val="24"/>
          <w:szCs w:val="24"/>
        </w:rPr>
        <w:t>esošo</w:t>
      </w:r>
      <w:r w:rsidR="00B96BF0" w:rsidRPr="00CB3E4B">
        <w:rPr>
          <w:rFonts w:ascii="Times New Roman" w:hAnsi="Times New Roman"/>
          <w:sz w:val="24"/>
          <w:szCs w:val="24"/>
        </w:rPr>
        <w:t>s</w:t>
      </w:r>
      <w:r w:rsidR="00404C00" w:rsidRPr="00CB3E4B">
        <w:rPr>
          <w:rFonts w:ascii="Times New Roman" w:hAnsi="Times New Roman"/>
          <w:sz w:val="24"/>
          <w:szCs w:val="24"/>
        </w:rPr>
        <w:t xml:space="preserve"> pasākumu</w:t>
      </w:r>
      <w:r w:rsidR="00B96BF0" w:rsidRPr="00CB3E4B">
        <w:rPr>
          <w:rFonts w:ascii="Times New Roman" w:hAnsi="Times New Roman"/>
          <w:sz w:val="24"/>
          <w:szCs w:val="24"/>
        </w:rPr>
        <w:t>s</w:t>
      </w:r>
      <w:r w:rsidR="00404C00" w:rsidRPr="00CB3E4B">
        <w:rPr>
          <w:rFonts w:ascii="Times New Roman" w:hAnsi="Times New Roman"/>
          <w:sz w:val="24"/>
          <w:szCs w:val="24"/>
        </w:rPr>
        <w:t xml:space="preserve"> un tuvākajā laikā uzsākt ieplānoto pasākumu</w:t>
      </w:r>
      <w:r w:rsidR="00CB3E4B" w:rsidRPr="00CB3E4B">
        <w:rPr>
          <w:rFonts w:ascii="Times New Roman" w:hAnsi="Times New Roman"/>
          <w:sz w:val="24"/>
          <w:szCs w:val="24"/>
        </w:rPr>
        <w:t xml:space="preserve"> īstenošanu</w:t>
      </w:r>
      <w:r w:rsidR="00404C00" w:rsidRPr="00CB3E4B">
        <w:rPr>
          <w:rFonts w:ascii="Times New Roman" w:hAnsi="Times New Roman"/>
          <w:sz w:val="24"/>
          <w:szCs w:val="24"/>
        </w:rPr>
        <w:t>.</w:t>
      </w:r>
      <w:r w:rsidR="00323A08" w:rsidRPr="00CB3E4B">
        <w:rPr>
          <w:rFonts w:ascii="Times New Roman" w:hAnsi="Times New Roman"/>
          <w:sz w:val="24"/>
          <w:szCs w:val="24"/>
        </w:rPr>
        <w:t xml:space="preserve"> Ir </w:t>
      </w:r>
      <w:r w:rsidR="00B96BF0" w:rsidRPr="00CB3E4B">
        <w:rPr>
          <w:rFonts w:ascii="Times New Roman" w:hAnsi="Times New Roman"/>
          <w:sz w:val="24"/>
          <w:szCs w:val="24"/>
        </w:rPr>
        <w:t xml:space="preserve">nepieciešams noteikt SEG </w:t>
      </w:r>
      <w:r w:rsidR="00B96BF0" w:rsidRPr="00CB3E4B">
        <w:rPr>
          <w:rFonts w:ascii="Times New Roman" w:hAnsi="Times New Roman"/>
          <w:sz w:val="24"/>
          <w:szCs w:val="24"/>
        </w:rPr>
        <w:lastRenderedPageBreak/>
        <w:t>emisiju samazināšanai nepieciešamos papildus pasākumus, nodrošināt finansējumu</w:t>
      </w:r>
      <w:r w:rsidR="00B96BF0" w:rsidRPr="005C652E">
        <w:rPr>
          <w:rFonts w:ascii="Times New Roman" w:hAnsi="Times New Roman"/>
          <w:sz w:val="24"/>
          <w:szCs w:val="24"/>
        </w:rPr>
        <w:t xml:space="preserve"> tiem un uzsākt to īstenošanu, īpaši ņemot vērā, ka pasākumu agrīnāka īstenošana nodrošina to izmaksu efektīvāku īstenošanu</w:t>
      </w:r>
      <w:r w:rsidR="00773001">
        <w:rPr>
          <w:rFonts w:ascii="Times New Roman" w:hAnsi="Times New Roman"/>
          <w:sz w:val="24"/>
          <w:szCs w:val="24"/>
        </w:rPr>
        <w:t>.</w:t>
      </w:r>
      <w:r w:rsidR="005B5747">
        <w:rPr>
          <w:rFonts w:ascii="Times New Roman" w:hAnsi="Times New Roman"/>
          <w:sz w:val="24"/>
          <w:szCs w:val="24"/>
        </w:rPr>
        <w:t xml:space="preserve"> </w:t>
      </w:r>
    </w:p>
    <w:p w14:paraId="7E30DDF4" w14:textId="702D1CE0" w:rsidR="001F3816" w:rsidRDefault="00003BFB" w:rsidP="000B0D7F">
      <w:pPr>
        <w:spacing w:before="120" w:after="120" w:line="240" w:lineRule="auto"/>
        <w:ind w:firstLine="567"/>
        <w:jc w:val="both"/>
        <w:rPr>
          <w:rFonts w:ascii="Times New Roman" w:hAnsi="Times New Roman"/>
          <w:sz w:val="24"/>
          <w:szCs w:val="24"/>
        </w:rPr>
      </w:pPr>
      <w:r>
        <w:rPr>
          <w:rFonts w:ascii="Times New Roman" w:hAnsi="Times New Roman"/>
          <w:sz w:val="24"/>
          <w:szCs w:val="24"/>
        </w:rPr>
        <w:t>P</w:t>
      </w:r>
      <w:r w:rsidRPr="00CB3E4B">
        <w:rPr>
          <w:rFonts w:ascii="Times New Roman" w:hAnsi="Times New Roman"/>
          <w:sz w:val="24"/>
          <w:szCs w:val="24"/>
        </w:rPr>
        <w:t xml:space="preserve">asākumu sarakstu SEG samazināšanai </w:t>
      </w:r>
      <w:r>
        <w:rPr>
          <w:rFonts w:ascii="Times New Roman" w:hAnsi="Times New Roman"/>
          <w:sz w:val="24"/>
          <w:szCs w:val="24"/>
        </w:rPr>
        <w:t>2021-</w:t>
      </w:r>
      <w:r w:rsidRPr="00CB3E4B">
        <w:rPr>
          <w:rFonts w:ascii="Times New Roman" w:hAnsi="Times New Roman"/>
          <w:sz w:val="24"/>
          <w:szCs w:val="24"/>
        </w:rPr>
        <w:t>2030. gada mērķu sasniegšanai</w:t>
      </w:r>
      <w:r>
        <w:rPr>
          <w:rFonts w:ascii="Times New Roman" w:hAnsi="Times New Roman"/>
          <w:sz w:val="24"/>
          <w:szCs w:val="24"/>
        </w:rPr>
        <w:t xml:space="preserve"> plānots noteikt </w:t>
      </w:r>
      <w:r w:rsidR="001A371B">
        <w:rPr>
          <w:rFonts w:ascii="Times New Roman" w:hAnsi="Times New Roman"/>
          <w:sz w:val="24"/>
          <w:szCs w:val="24"/>
        </w:rPr>
        <w:t>2019</w:t>
      </w:r>
      <w:r w:rsidR="001F5ABA">
        <w:rPr>
          <w:rFonts w:ascii="Times New Roman" w:hAnsi="Times New Roman"/>
          <w:sz w:val="24"/>
          <w:szCs w:val="24"/>
        </w:rPr>
        <w:t>. </w:t>
      </w:r>
      <w:r w:rsidR="00D3214E" w:rsidRPr="00CB3E4B">
        <w:rPr>
          <w:rFonts w:ascii="Times New Roman" w:hAnsi="Times New Roman"/>
          <w:sz w:val="24"/>
          <w:szCs w:val="24"/>
        </w:rPr>
        <w:t xml:space="preserve">gadā </w:t>
      </w:r>
      <w:r>
        <w:rPr>
          <w:rFonts w:ascii="Times New Roman" w:hAnsi="Times New Roman"/>
          <w:sz w:val="24"/>
          <w:szCs w:val="24"/>
        </w:rPr>
        <w:t xml:space="preserve">Latvijas </w:t>
      </w:r>
      <w:r w:rsidR="00D3214E" w:rsidRPr="00CB3E4B">
        <w:rPr>
          <w:rFonts w:ascii="Times New Roman" w:hAnsi="Times New Roman"/>
          <w:sz w:val="24"/>
          <w:szCs w:val="24"/>
        </w:rPr>
        <w:t xml:space="preserve">Nacionālā enerģētikas un klimata plāna </w:t>
      </w:r>
      <w:r>
        <w:rPr>
          <w:rFonts w:ascii="Times New Roman" w:hAnsi="Times New Roman"/>
          <w:sz w:val="24"/>
          <w:szCs w:val="24"/>
        </w:rPr>
        <w:t>2021-2030.</w:t>
      </w:r>
      <w:r w:rsidR="001F5ABA">
        <w:rPr>
          <w:rFonts w:ascii="Times New Roman" w:hAnsi="Times New Roman"/>
          <w:sz w:val="24"/>
          <w:szCs w:val="24"/>
        </w:rPr>
        <w:t> </w:t>
      </w:r>
      <w:r>
        <w:rPr>
          <w:rFonts w:ascii="Times New Roman" w:hAnsi="Times New Roman"/>
          <w:sz w:val="24"/>
          <w:szCs w:val="24"/>
        </w:rPr>
        <w:t xml:space="preserve">gadam </w:t>
      </w:r>
      <w:r w:rsidR="00D3214E" w:rsidRPr="00CB3E4B">
        <w:rPr>
          <w:rFonts w:ascii="Times New Roman" w:hAnsi="Times New Roman"/>
          <w:sz w:val="24"/>
          <w:szCs w:val="24"/>
        </w:rPr>
        <w:t>sagatavošanas ietvaros</w:t>
      </w:r>
      <w:r w:rsidR="00B40320" w:rsidRPr="00CB3E4B">
        <w:rPr>
          <w:rFonts w:ascii="Times New Roman" w:hAnsi="Times New Roman"/>
          <w:sz w:val="24"/>
          <w:szCs w:val="24"/>
        </w:rPr>
        <w:t>.</w:t>
      </w:r>
    </w:p>
    <w:p w14:paraId="73124A4D" w14:textId="0D9B8963" w:rsidR="00290BCF" w:rsidRDefault="00290BCF" w:rsidP="000B0D7F">
      <w:pPr>
        <w:spacing w:before="120" w:after="120" w:line="240" w:lineRule="auto"/>
        <w:ind w:firstLine="567"/>
        <w:jc w:val="both"/>
        <w:rPr>
          <w:rFonts w:ascii="Times New Roman" w:hAnsi="Times New Roman"/>
          <w:sz w:val="24"/>
          <w:szCs w:val="24"/>
        </w:rPr>
      </w:pPr>
      <w:r>
        <w:rPr>
          <w:rFonts w:ascii="Times New Roman" w:hAnsi="Times New Roman"/>
          <w:sz w:val="24"/>
          <w:szCs w:val="24"/>
        </w:rPr>
        <w:t>2019. gad</w:t>
      </w:r>
      <w:r w:rsidR="00840C52">
        <w:rPr>
          <w:rFonts w:ascii="Times New Roman" w:hAnsi="Times New Roman"/>
          <w:sz w:val="24"/>
          <w:szCs w:val="24"/>
        </w:rPr>
        <w:t>a 10. aprīlī</w:t>
      </w:r>
      <w:r w:rsidR="005413D4">
        <w:rPr>
          <w:rFonts w:ascii="Times New Roman" w:hAnsi="Times New Roman"/>
          <w:sz w:val="24"/>
          <w:szCs w:val="24"/>
        </w:rPr>
        <w:t xml:space="preserve"> EK ir iesniegts jaunākais</w:t>
      </w:r>
      <w:r>
        <w:rPr>
          <w:rFonts w:ascii="Times New Roman" w:hAnsi="Times New Roman"/>
          <w:sz w:val="24"/>
          <w:szCs w:val="24"/>
        </w:rPr>
        <w:t xml:space="preserve"> </w:t>
      </w:r>
      <w:r w:rsidRPr="0008257F">
        <w:rPr>
          <w:rFonts w:ascii="Times New Roman" w:hAnsi="Times New Roman"/>
          <w:bCs/>
          <w:sz w:val="24"/>
          <w:szCs w:val="24"/>
        </w:rPr>
        <w:t xml:space="preserve">SEG prognožu, politikas un pasākumu ziņojums, </w:t>
      </w:r>
      <w:r w:rsidR="005413D4">
        <w:rPr>
          <w:rFonts w:ascii="Times New Roman" w:hAnsi="Times New Roman"/>
          <w:bCs/>
          <w:sz w:val="24"/>
          <w:szCs w:val="24"/>
        </w:rPr>
        <w:t xml:space="preserve">kuru </w:t>
      </w:r>
      <w:r w:rsidR="00650C36">
        <w:rPr>
          <w:rFonts w:ascii="Times New Roman" w:hAnsi="Times New Roman"/>
          <w:bCs/>
          <w:sz w:val="24"/>
          <w:szCs w:val="24"/>
        </w:rPr>
        <w:t xml:space="preserve">līdz </w:t>
      </w:r>
      <w:r w:rsidR="00EF4681">
        <w:rPr>
          <w:rFonts w:ascii="Times New Roman" w:hAnsi="Times New Roman"/>
          <w:bCs/>
          <w:sz w:val="24"/>
          <w:szCs w:val="24"/>
        </w:rPr>
        <w:t>š.g. 15.maijam</w:t>
      </w:r>
      <w:r w:rsidR="00840C52">
        <w:rPr>
          <w:rFonts w:ascii="Times New Roman" w:hAnsi="Times New Roman"/>
          <w:bCs/>
          <w:sz w:val="24"/>
          <w:szCs w:val="24"/>
        </w:rPr>
        <w:t xml:space="preserve"> </w:t>
      </w:r>
      <w:r w:rsidR="005413D4">
        <w:rPr>
          <w:rFonts w:ascii="Times New Roman" w:hAnsi="Times New Roman"/>
          <w:bCs/>
          <w:sz w:val="24"/>
          <w:szCs w:val="24"/>
        </w:rPr>
        <w:t>pārbaud</w:t>
      </w:r>
      <w:r w:rsidR="00650C36">
        <w:rPr>
          <w:rFonts w:ascii="Times New Roman" w:hAnsi="Times New Roman"/>
          <w:bCs/>
          <w:sz w:val="24"/>
          <w:szCs w:val="24"/>
        </w:rPr>
        <w:t>īs</w:t>
      </w:r>
      <w:r w:rsidR="005413D4">
        <w:rPr>
          <w:rFonts w:ascii="Times New Roman" w:hAnsi="Times New Roman"/>
          <w:bCs/>
          <w:sz w:val="24"/>
          <w:szCs w:val="24"/>
        </w:rPr>
        <w:t xml:space="preserve"> Eiropas Vides aģentūra</w:t>
      </w:r>
      <w:r w:rsidRPr="0008257F">
        <w:rPr>
          <w:rFonts w:ascii="Times New Roman" w:hAnsi="Times New Roman"/>
          <w:bCs/>
          <w:sz w:val="24"/>
          <w:szCs w:val="24"/>
        </w:rPr>
        <w:t>.</w:t>
      </w:r>
      <w:r w:rsidR="005413D4">
        <w:rPr>
          <w:rFonts w:ascii="Times New Roman" w:hAnsi="Times New Roman"/>
          <w:bCs/>
          <w:sz w:val="24"/>
          <w:szCs w:val="24"/>
        </w:rPr>
        <w:t xml:space="preserve">  Balstoties uz iepriekš minēto ziņojumu </w:t>
      </w:r>
      <w:r w:rsidR="00840C52">
        <w:rPr>
          <w:rFonts w:ascii="Times New Roman" w:hAnsi="Times New Roman"/>
          <w:bCs/>
          <w:sz w:val="24"/>
          <w:szCs w:val="24"/>
        </w:rPr>
        <w:t xml:space="preserve">gada otrā pusē </w:t>
      </w:r>
      <w:r w:rsidR="005413D4">
        <w:rPr>
          <w:rFonts w:ascii="Times New Roman" w:hAnsi="Times New Roman"/>
          <w:bCs/>
          <w:sz w:val="24"/>
          <w:szCs w:val="24"/>
        </w:rPr>
        <w:t xml:space="preserve">tiks sagatavots 2019. gada </w:t>
      </w:r>
      <w:r w:rsidR="005413D4" w:rsidRPr="00D274EE">
        <w:rPr>
          <w:rFonts w:ascii="Times New Roman" w:hAnsi="Times New Roman"/>
          <w:sz w:val="24"/>
          <w:szCs w:val="24"/>
        </w:rPr>
        <w:t>Informatīvais ziņojums “Par siltumnīcefekta gāzu emisiju samazināšanas un oglekļa dioksīda piesaistes saistību izpildi”</w:t>
      </w:r>
      <w:r w:rsidR="005413D4">
        <w:rPr>
          <w:rFonts w:ascii="Times New Roman" w:hAnsi="Times New Roman"/>
          <w:bCs/>
          <w:sz w:val="24"/>
          <w:szCs w:val="24"/>
        </w:rPr>
        <w:t>.</w:t>
      </w:r>
    </w:p>
    <w:p w14:paraId="06CCD50C" w14:textId="77777777" w:rsidR="000B0D7F" w:rsidRPr="000B0D7F" w:rsidRDefault="000B0D7F" w:rsidP="000B0D7F">
      <w:pPr>
        <w:spacing w:before="120" w:after="120" w:line="240" w:lineRule="auto"/>
        <w:ind w:firstLine="567"/>
        <w:jc w:val="both"/>
        <w:rPr>
          <w:rFonts w:ascii="Times New Roman" w:hAnsi="Times New Roman"/>
          <w:sz w:val="24"/>
          <w:szCs w:val="24"/>
        </w:rPr>
      </w:pPr>
    </w:p>
    <w:p w14:paraId="33BFDDF7" w14:textId="73C4B3C7" w:rsidR="009A783D" w:rsidRPr="00CB3E4B" w:rsidRDefault="00DB0B6B" w:rsidP="00945D70">
      <w:pPr>
        <w:pStyle w:val="Heading1"/>
        <w:tabs>
          <w:tab w:val="left" w:pos="2127"/>
        </w:tabs>
        <w:jc w:val="both"/>
      </w:pPr>
      <w:bookmarkStart w:id="13" w:name="_Toc9326567"/>
      <w:r w:rsidRPr="00CB3E4B">
        <w:t xml:space="preserve">ZIZIMM </w:t>
      </w:r>
      <w:r w:rsidR="00945D70">
        <w:t>SEKTORĀ NOTEIKTO KATEGORIJU MĒRĶU IZPILDE</w:t>
      </w:r>
      <w:bookmarkEnd w:id="13"/>
      <w:r w:rsidR="00945D70">
        <w:t xml:space="preserve"> </w:t>
      </w:r>
    </w:p>
    <w:p w14:paraId="62B31E2D" w14:textId="46CCC79D" w:rsidR="00763A1B" w:rsidRPr="00CB3E4B" w:rsidRDefault="00DB0B6B" w:rsidP="008F6570">
      <w:pPr>
        <w:pStyle w:val="Heading2"/>
        <w:ind w:hanging="624"/>
        <w:jc w:val="both"/>
      </w:pPr>
      <w:bookmarkStart w:id="14" w:name="_Toc9326568"/>
      <w:r w:rsidRPr="00CB3E4B">
        <w:t>ZIZIMM sektorā noteikto kategoriju</w:t>
      </w:r>
      <w:r w:rsidR="00FC2D48" w:rsidRPr="00CB3E4B" w:rsidDel="00FC2D48">
        <w:t xml:space="preserve"> </w:t>
      </w:r>
      <w:r w:rsidR="00945D70" w:rsidRPr="00CB3E4B">
        <w:t>mērķ</w:t>
      </w:r>
      <w:r w:rsidR="00945D70">
        <w:t>u</w:t>
      </w:r>
      <w:r w:rsidR="00945D70" w:rsidRPr="00CB3E4B">
        <w:t xml:space="preserve"> </w:t>
      </w:r>
      <w:r w:rsidR="00763A1B" w:rsidRPr="00CB3E4B">
        <w:t>izpilde</w:t>
      </w:r>
      <w:r w:rsidR="00B03AC7" w:rsidRPr="00CB3E4B">
        <w:t>s</w:t>
      </w:r>
      <w:r w:rsidR="00BE28E1" w:rsidRPr="00CB3E4B">
        <w:t xml:space="preserve"> </w:t>
      </w:r>
      <w:r w:rsidR="00B03AC7" w:rsidRPr="00CB3E4B">
        <w:t>progresa novērtējums</w:t>
      </w:r>
      <w:bookmarkEnd w:id="14"/>
    </w:p>
    <w:p w14:paraId="2C4C612A" w14:textId="0F780A93" w:rsidR="00BD51AC" w:rsidRPr="009769A6" w:rsidRDefault="00BD51AC" w:rsidP="009769A6">
      <w:pPr>
        <w:spacing w:before="120" w:after="120" w:line="240" w:lineRule="auto"/>
        <w:ind w:firstLine="454"/>
        <w:jc w:val="both"/>
        <w:rPr>
          <w:rFonts w:ascii="Times New Roman" w:hAnsi="Times New Roman"/>
          <w:sz w:val="24"/>
          <w:szCs w:val="24"/>
        </w:rPr>
      </w:pPr>
      <w:r w:rsidRPr="009769A6">
        <w:rPr>
          <w:rFonts w:ascii="Times New Roman" w:hAnsi="Times New Roman"/>
          <w:sz w:val="24"/>
          <w:szCs w:val="24"/>
        </w:rPr>
        <w:t xml:space="preserve">Saskaņā ar 2006. gada IPCC vadlīnijām ZIZIMM </w:t>
      </w:r>
      <w:r w:rsidR="00B40320">
        <w:rPr>
          <w:rFonts w:ascii="Times New Roman" w:hAnsi="Times New Roman"/>
          <w:sz w:val="24"/>
          <w:szCs w:val="24"/>
        </w:rPr>
        <w:t>sektorā tiek iedalītas</w:t>
      </w:r>
      <w:r w:rsidRPr="009769A6">
        <w:rPr>
          <w:rFonts w:ascii="Times New Roman" w:hAnsi="Times New Roman"/>
          <w:sz w:val="24"/>
          <w:szCs w:val="24"/>
        </w:rPr>
        <w:t xml:space="preserve"> sešās zemes lietojuma kategorijās – meža zeme, aramzeme, pļavas, mitrāji, apbūves un citas. Latvijā ZIZIMM sektors ietver </w:t>
      </w:r>
      <w:r w:rsidR="00003BFB">
        <w:rPr>
          <w:rFonts w:ascii="Times New Roman" w:hAnsi="Times New Roman"/>
          <w:sz w:val="24"/>
          <w:szCs w:val="24"/>
        </w:rPr>
        <w:t xml:space="preserve">SEG </w:t>
      </w:r>
      <w:r w:rsidRPr="009769A6">
        <w:rPr>
          <w:rFonts w:ascii="Times New Roman" w:hAnsi="Times New Roman"/>
          <w:sz w:val="24"/>
          <w:szCs w:val="24"/>
        </w:rPr>
        <w:t>emisijas un CO</w:t>
      </w:r>
      <w:r w:rsidRPr="009769A6">
        <w:rPr>
          <w:rFonts w:ascii="Times New Roman" w:hAnsi="Times New Roman"/>
          <w:sz w:val="24"/>
          <w:szCs w:val="24"/>
          <w:vertAlign w:val="subscript"/>
        </w:rPr>
        <w:t>2</w:t>
      </w:r>
      <w:r w:rsidRPr="009769A6">
        <w:rPr>
          <w:rFonts w:ascii="Times New Roman" w:hAnsi="Times New Roman"/>
          <w:sz w:val="24"/>
          <w:szCs w:val="24"/>
        </w:rPr>
        <w:t xml:space="preserve"> piesaisti no augstāk </w:t>
      </w:r>
      <w:r w:rsidR="008F41FB" w:rsidRPr="009769A6">
        <w:rPr>
          <w:rFonts w:ascii="Times New Roman" w:hAnsi="Times New Roman"/>
          <w:sz w:val="24"/>
          <w:szCs w:val="24"/>
        </w:rPr>
        <w:t>minētām kategorijām, kuras tiek</w:t>
      </w:r>
      <w:r w:rsidRPr="009769A6">
        <w:rPr>
          <w:rFonts w:ascii="Times New Roman" w:hAnsi="Times New Roman"/>
          <w:sz w:val="24"/>
          <w:szCs w:val="24"/>
        </w:rPr>
        <w:t xml:space="preserve"> sadalītas </w:t>
      </w:r>
      <w:r w:rsidR="008F41FB" w:rsidRPr="009769A6">
        <w:rPr>
          <w:rFonts w:ascii="Times New Roman" w:hAnsi="Times New Roman"/>
          <w:sz w:val="24"/>
          <w:szCs w:val="24"/>
        </w:rPr>
        <w:t xml:space="preserve">vēl </w:t>
      </w:r>
      <w:r w:rsidRPr="009769A6">
        <w:rPr>
          <w:rFonts w:ascii="Times New Roman" w:hAnsi="Times New Roman"/>
          <w:sz w:val="24"/>
          <w:szCs w:val="24"/>
        </w:rPr>
        <w:t xml:space="preserve">sīkākās </w:t>
      </w:r>
      <w:proofErr w:type="spellStart"/>
      <w:r w:rsidRPr="009769A6">
        <w:rPr>
          <w:rFonts w:ascii="Times New Roman" w:hAnsi="Times New Roman"/>
          <w:sz w:val="24"/>
          <w:szCs w:val="24"/>
        </w:rPr>
        <w:t>apakškategorijās</w:t>
      </w:r>
      <w:proofErr w:type="spellEnd"/>
      <w:r w:rsidRPr="009769A6">
        <w:rPr>
          <w:rFonts w:ascii="Times New Roman" w:hAnsi="Times New Roman"/>
          <w:sz w:val="24"/>
          <w:szCs w:val="24"/>
        </w:rPr>
        <w:t xml:space="preserve"> “zeme, kas nav </w:t>
      </w:r>
      <w:r w:rsidR="006212A4" w:rsidRPr="009769A6">
        <w:rPr>
          <w:rFonts w:ascii="Times New Roman" w:hAnsi="Times New Roman"/>
          <w:sz w:val="24"/>
          <w:szCs w:val="24"/>
        </w:rPr>
        <w:t>mainīj</w:t>
      </w:r>
      <w:r w:rsidR="006212A4">
        <w:rPr>
          <w:rFonts w:ascii="Times New Roman" w:hAnsi="Times New Roman"/>
          <w:sz w:val="24"/>
          <w:szCs w:val="24"/>
        </w:rPr>
        <w:t>usi</w:t>
      </w:r>
      <w:r w:rsidR="006212A4" w:rsidRPr="009769A6">
        <w:rPr>
          <w:rFonts w:ascii="Times New Roman" w:hAnsi="Times New Roman"/>
          <w:sz w:val="24"/>
          <w:szCs w:val="24"/>
        </w:rPr>
        <w:t xml:space="preserve"> </w:t>
      </w:r>
      <w:r w:rsidRPr="009769A6">
        <w:rPr>
          <w:rFonts w:ascii="Times New Roman" w:hAnsi="Times New Roman"/>
          <w:sz w:val="24"/>
          <w:szCs w:val="24"/>
        </w:rPr>
        <w:t>zemes lietojuma veidu pēdējo 20 gadu laikā” un “zem</w:t>
      </w:r>
      <w:r w:rsidR="0007414F">
        <w:rPr>
          <w:rFonts w:ascii="Times New Roman" w:hAnsi="Times New Roman"/>
          <w:sz w:val="24"/>
          <w:szCs w:val="24"/>
        </w:rPr>
        <w:t>i</w:t>
      </w:r>
      <w:r w:rsidRPr="009769A6">
        <w:rPr>
          <w:rFonts w:ascii="Times New Roman" w:hAnsi="Times New Roman"/>
          <w:sz w:val="24"/>
          <w:szCs w:val="24"/>
        </w:rPr>
        <w:t xml:space="preserve"> kas ir </w:t>
      </w:r>
      <w:r w:rsidR="006212A4" w:rsidRPr="009769A6">
        <w:rPr>
          <w:rFonts w:ascii="Times New Roman" w:hAnsi="Times New Roman"/>
          <w:sz w:val="24"/>
          <w:szCs w:val="24"/>
        </w:rPr>
        <w:t>mainīju</w:t>
      </w:r>
      <w:r w:rsidR="006212A4">
        <w:rPr>
          <w:rFonts w:ascii="Times New Roman" w:hAnsi="Times New Roman"/>
          <w:sz w:val="24"/>
          <w:szCs w:val="24"/>
        </w:rPr>
        <w:t>si</w:t>
      </w:r>
      <w:r w:rsidR="006212A4" w:rsidRPr="009769A6">
        <w:rPr>
          <w:rFonts w:ascii="Times New Roman" w:hAnsi="Times New Roman"/>
          <w:sz w:val="24"/>
          <w:szCs w:val="24"/>
        </w:rPr>
        <w:t xml:space="preserve"> </w:t>
      </w:r>
      <w:r w:rsidRPr="009769A6">
        <w:rPr>
          <w:rFonts w:ascii="Times New Roman" w:hAnsi="Times New Roman"/>
          <w:sz w:val="24"/>
          <w:szCs w:val="24"/>
        </w:rPr>
        <w:t xml:space="preserve">zemes lietojuma veidu pēdējo 20 gadu laikā”. Kategorijā “Citas” tiek ieskaitīta zeme, kas nav apsaimniekota un nesatur ievērojamu organiskā oglekļa daudzumu, tādēļ emisijas no </w:t>
      </w:r>
      <w:r w:rsidR="006212A4" w:rsidRPr="009769A6">
        <w:rPr>
          <w:rFonts w:ascii="Times New Roman" w:hAnsi="Times New Roman"/>
          <w:sz w:val="24"/>
          <w:szCs w:val="24"/>
        </w:rPr>
        <w:t>tā</w:t>
      </w:r>
      <w:r w:rsidR="006212A4">
        <w:rPr>
          <w:rFonts w:ascii="Times New Roman" w:hAnsi="Times New Roman"/>
          <w:sz w:val="24"/>
          <w:szCs w:val="24"/>
        </w:rPr>
        <w:t>s</w:t>
      </w:r>
      <w:r w:rsidR="006212A4" w:rsidRPr="009769A6">
        <w:rPr>
          <w:rFonts w:ascii="Times New Roman" w:hAnsi="Times New Roman"/>
          <w:sz w:val="24"/>
          <w:szCs w:val="24"/>
        </w:rPr>
        <w:t xml:space="preserve"> </w:t>
      </w:r>
      <w:r w:rsidRPr="009769A6">
        <w:rPr>
          <w:rFonts w:ascii="Times New Roman" w:hAnsi="Times New Roman"/>
          <w:sz w:val="24"/>
          <w:szCs w:val="24"/>
        </w:rPr>
        <w:t xml:space="preserve">netiek ziņotas. ZIZIMM </w:t>
      </w:r>
      <w:r w:rsidR="008F41FB" w:rsidRPr="009769A6">
        <w:rPr>
          <w:rFonts w:ascii="Times New Roman" w:hAnsi="Times New Roman"/>
          <w:sz w:val="24"/>
          <w:szCs w:val="24"/>
        </w:rPr>
        <w:t>sektorā</w:t>
      </w:r>
      <w:r w:rsidRPr="009769A6">
        <w:rPr>
          <w:rFonts w:ascii="Times New Roman" w:hAnsi="Times New Roman"/>
          <w:sz w:val="24"/>
          <w:szCs w:val="24"/>
        </w:rPr>
        <w:t xml:space="preserve"> tiek ierēķinātas arī emisijas </w:t>
      </w:r>
      <w:r w:rsidR="00B40320">
        <w:rPr>
          <w:rFonts w:ascii="Times New Roman" w:hAnsi="Times New Roman"/>
          <w:sz w:val="24"/>
          <w:szCs w:val="24"/>
        </w:rPr>
        <w:t>un CO</w:t>
      </w:r>
      <w:r w:rsidR="00B40320" w:rsidRPr="004617A7">
        <w:rPr>
          <w:rFonts w:ascii="Times New Roman" w:hAnsi="Times New Roman"/>
          <w:sz w:val="24"/>
          <w:szCs w:val="24"/>
          <w:vertAlign w:val="subscript"/>
        </w:rPr>
        <w:t>2</w:t>
      </w:r>
      <w:r w:rsidR="00B40320">
        <w:rPr>
          <w:rFonts w:ascii="Times New Roman" w:hAnsi="Times New Roman"/>
          <w:sz w:val="24"/>
          <w:szCs w:val="24"/>
        </w:rPr>
        <w:t xml:space="preserve"> piesaiste </w:t>
      </w:r>
      <w:r w:rsidRPr="009769A6">
        <w:rPr>
          <w:rFonts w:ascii="Times New Roman" w:hAnsi="Times New Roman"/>
          <w:sz w:val="24"/>
          <w:szCs w:val="24"/>
        </w:rPr>
        <w:t>no koksnes produktiem.</w:t>
      </w:r>
    </w:p>
    <w:p w14:paraId="481B41CC" w14:textId="0B3A75D5" w:rsidR="00B40320" w:rsidRDefault="00BD51AC" w:rsidP="00A66F56">
      <w:pPr>
        <w:spacing w:before="120" w:after="120" w:line="240" w:lineRule="auto"/>
        <w:ind w:firstLine="454"/>
        <w:jc w:val="both"/>
        <w:rPr>
          <w:rFonts w:ascii="Times New Roman" w:hAnsi="Times New Roman"/>
          <w:sz w:val="24"/>
          <w:szCs w:val="24"/>
        </w:rPr>
      </w:pPr>
      <w:r w:rsidRPr="009769A6">
        <w:rPr>
          <w:rFonts w:ascii="Times New Roman" w:hAnsi="Times New Roman"/>
          <w:sz w:val="24"/>
          <w:szCs w:val="24"/>
        </w:rPr>
        <w:t>Saskaņā ar 2018. gada SEG inventarizāciju ZIZIMM sektors kopumā 2016. gadā nav SEG emisiju avots</w:t>
      </w:r>
      <w:r w:rsidR="008F41FB" w:rsidRPr="009769A6">
        <w:rPr>
          <w:rFonts w:ascii="Times New Roman" w:hAnsi="Times New Roman"/>
          <w:sz w:val="24"/>
          <w:szCs w:val="24"/>
        </w:rPr>
        <w:t xml:space="preserve"> </w:t>
      </w:r>
      <w:r w:rsidR="00260FB2">
        <w:rPr>
          <w:rFonts w:ascii="Times New Roman" w:hAnsi="Times New Roman"/>
          <w:sz w:val="24"/>
          <w:szCs w:val="24"/>
        </w:rPr>
        <w:t>–</w:t>
      </w:r>
      <w:r w:rsidR="00260FB2" w:rsidRPr="009769A6">
        <w:rPr>
          <w:rFonts w:ascii="Times New Roman" w:hAnsi="Times New Roman"/>
          <w:sz w:val="24"/>
          <w:szCs w:val="24"/>
        </w:rPr>
        <w:t xml:space="preserve"> </w:t>
      </w:r>
      <w:r w:rsidRPr="009769A6">
        <w:rPr>
          <w:rFonts w:ascii="Times New Roman" w:hAnsi="Times New Roman"/>
          <w:sz w:val="24"/>
          <w:szCs w:val="24"/>
        </w:rPr>
        <w:t>CO</w:t>
      </w:r>
      <w:r w:rsidRPr="009769A6">
        <w:rPr>
          <w:rFonts w:ascii="Times New Roman" w:hAnsi="Times New Roman"/>
          <w:sz w:val="24"/>
          <w:szCs w:val="24"/>
          <w:vertAlign w:val="subscript"/>
        </w:rPr>
        <w:t xml:space="preserve">2 </w:t>
      </w:r>
      <w:r w:rsidRPr="009769A6">
        <w:rPr>
          <w:rFonts w:ascii="Times New Roman" w:hAnsi="Times New Roman"/>
          <w:sz w:val="24"/>
          <w:szCs w:val="24"/>
        </w:rPr>
        <w:t>piesaiste ir lielāka nekā vi</w:t>
      </w:r>
      <w:r w:rsidR="008F41FB" w:rsidRPr="009769A6">
        <w:rPr>
          <w:rFonts w:ascii="Times New Roman" w:hAnsi="Times New Roman"/>
          <w:sz w:val="24"/>
          <w:szCs w:val="24"/>
        </w:rPr>
        <w:t>sā sektorā radītās SEG emisijas</w:t>
      </w:r>
      <w:r w:rsidR="00662597">
        <w:rPr>
          <w:rFonts w:ascii="Times New Roman" w:hAnsi="Times New Roman"/>
          <w:sz w:val="24"/>
          <w:szCs w:val="24"/>
        </w:rPr>
        <w:t>. K</w:t>
      </w:r>
      <w:r w:rsidRPr="009769A6">
        <w:rPr>
          <w:rFonts w:ascii="Times New Roman" w:hAnsi="Times New Roman"/>
          <w:sz w:val="24"/>
          <w:szCs w:val="24"/>
        </w:rPr>
        <w:t xml:space="preserve">opējais ZIZIMM sektora </w:t>
      </w:r>
      <w:r w:rsidRPr="00CB3E4B">
        <w:rPr>
          <w:rFonts w:ascii="Times New Roman" w:hAnsi="Times New Roman"/>
          <w:sz w:val="24"/>
          <w:szCs w:val="24"/>
        </w:rPr>
        <w:t>radītais CO</w:t>
      </w:r>
      <w:r w:rsidRPr="00CB3E4B">
        <w:rPr>
          <w:rFonts w:ascii="Times New Roman" w:hAnsi="Times New Roman"/>
          <w:sz w:val="24"/>
          <w:szCs w:val="24"/>
          <w:vertAlign w:val="subscript"/>
        </w:rPr>
        <w:t>2</w:t>
      </w:r>
      <w:r w:rsidRPr="00CB3E4B">
        <w:rPr>
          <w:rFonts w:ascii="Times New Roman" w:hAnsi="Times New Roman"/>
          <w:sz w:val="24"/>
          <w:szCs w:val="24"/>
        </w:rPr>
        <w:t xml:space="preserve"> piesais</w:t>
      </w:r>
      <w:r w:rsidR="00BF6A20">
        <w:rPr>
          <w:rFonts w:ascii="Times New Roman" w:hAnsi="Times New Roman"/>
          <w:sz w:val="24"/>
          <w:szCs w:val="24"/>
        </w:rPr>
        <w:t>tes apjoms 2016. gadā bija -925.</w:t>
      </w:r>
      <w:r w:rsidRPr="00CB3E4B">
        <w:rPr>
          <w:rFonts w:ascii="Times New Roman" w:hAnsi="Times New Roman"/>
          <w:sz w:val="24"/>
          <w:szCs w:val="24"/>
        </w:rPr>
        <w:t xml:space="preserve">3 </w:t>
      </w:r>
      <w:proofErr w:type="spellStart"/>
      <w:r w:rsidRPr="00CB3E4B">
        <w:rPr>
          <w:rFonts w:ascii="Times New Roman" w:hAnsi="Times New Roman"/>
          <w:sz w:val="24"/>
          <w:szCs w:val="24"/>
        </w:rPr>
        <w:t>kt</w:t>
      </w:r>
      <w:proofErr w:type="spellEnd"/>
      <w:r w:rsidRPr="00CB3E4B">
        <w:rPr>
          <w:rFonts w:ascii="Times New Roman" w:hAnsi="Times New Roman"/>
          <w:sz w:val="24"/>
          <w:szCs w:val="24"/>
        </w:rPr>
        <w:t xml:space="preserve"> CO</w:t>
      </w:r>
      <w:r w:rsidRPr="00CB3E4B">
        <w:rPr>
          <w:rFonts w:ascii="Times New Roman" w:hAnsi="Times New Roman"/>
          <w:sz w:val="24"/>
          <w:szCs w:val="24"/>
          <w:vertAlign w:val="subscript"/>
        </w:rPr>
        <w:t>2</w:t>
      </w:r>
      <w:r w:rsidRPr="00CB3E4B">
        <w:rPr>
          <w:rFonts w:ascii="Times New Roman" w:hAnsi="Times New Roman"/>
          <w:sz w:val="24"/>
          <w:szCs w:val="24"/>
        </w:rPr>
        <w:t xml:space="preserve"> ekv</w:t>
      </w:r>
      <w:r w:rsidR="00A759F8">
        <w:rPr>
          <w:rFonts w:ascii="Times New Roman" w:hAnsi="Times New Roman"/>
          <w:sz w:val="24"/>
          <w:szCs w:val="24"/>
        </w:rPr>
        <w:t>ivalenti</w:t>
      </w:r>
      <w:r w:rsidRPr="00CB3E4B">
        <w:rPr>
          <w:rFonts w:ascii="Times New Roman" w:hAnsi="Times New Roman"/>
          <w:sz w:val="24"/>
          <w:szCs w:val="24"/>
        </w:rPr>
        <w:t xml:space="preserve">, </w:t>
      </w:r>
      <w:r w:rsidR="00662597" w:rsidRPr="00CB3E4B">
        <w:rPr>
          <w:rFonts w:ascii="Times New Roman" w:hAnsi="Times New Roman"/>
          <w:sz w:val="24"/>
          <w:szCs w:val="24"/>
        </w:rPr>
        <w:t xml:space="preserve">kas </w:t>
      </w:r>
      <w:r w:rsidRPr="00CB3E4B">
        <w:rPr>
          <w:rFonts w:ascii="Times New Roman" w:hAnsi="Times New Roman"/>
          <w:sz w:val="24"/>
          <w:szCs w:val="24"/>
        </w:rPr>
        <w:t xml:space="preserve">salīdzinot ar </w:t>
      </w:r>
      <w:r w:rsidR="00662597" w:rsidRPr="00CB3E4B">
        <w:rPr>
          <w:rFonts w:ascii="Times New Roman" w:hAnsi="Times New Roman"/>
          <w:sz w:val="24"/>
          <w:szCs w:val="24"/>
        </w:rPr>
        <w:t>1990.gadu (</w:t>
      </w:r>
      <w:r w:rsidR="00515764" w:rsidRPr="00CB3E4B">
        <w:rPr>
          <w:rFonts w:ascii="Times New Roman" w:hAnsi="Times New Roman"/>
          <w:sz w:val="24"/>
          <w:szCs w:val="24"/>
        </w:rPr>
        <w:t xml:space="preserve">-10696.68 </w:t>
      </w:r>
      <w:proofErr w:type="spellStart"/>
      <w:r w:rsidR="00515764" w:rsidRPr="00CB3E4B">
        <w:rPr>
          <w:rFonts w:ascii="Times New Roman" w:hAnsi="Times New Roman"/>
          <w:sz w:val="24"/>
          <w:szCs w:val="24"/>
        </w:rPr>
        <w:t>kt</w:t>
      </w:r>
      <w:proofErr w:type="spellEnd"/>
      <w:r w:rsidR="00515764" w:rsidRPr="00CB3E4B">
        <w:rPr>
          <w:rFonts w:ascii="Times New Roman" w:hAnsi="Times New Roman"/>
          <w:sz w:val="24"/>
          <w:szCs w:val="24"/>
        </w:rPr>
        <w:t xml:space="preserve"> </w:t>
      </w:r>
      <w:r w:rsidRPr="00CB3E4B">
        <w:rPr>
          <w:rFonts w:ascii="Times New Roman" w:hAnsi="Times New Roman"/>
          <w:sz w:val="24"/>
          <w:szCs w:val="24"/>
        </w:rPr>
        <w:t>CO</w:t>
      </w:r>
      <w:r w:rsidR="00515764" w:rsidRPr="00CB3E4B">
        <w:rPr>
          <w:rFonts w:ascii="Times New Roman" w:hAnsi="Times New Roman"/>
          <w:sz w:val="24"/>
          <w:szCs w:val="24"/>
          <w:vertAlign w:val="subscript"/>
        </w:rPr>
        <w:t xml:space="preserve">2 </w:t>
      </w:r>
      <w:r w:rsidRPr="00CB3E4B">
        <w:rPr>
          <w:rFonts w:ascii="Times New Roman" w:hAnsi="Times New Roman"/>
          <w:sz w:val="24"/>
          <w:szCs w:val="24"/>
        </w:rPr>
        <w:t>ekv</w:t>
      </w:r>
      <w:r w:rsidR="00A759F8">
        <w:rPr>
          <w:rFonts w:ascii="Times New Roman" w:hAnsi="Times New Roman"/>
          <w:sz w:val="24"/>
          <w:szCs w:val="24"/>
        </w:rPr>
        <w:t>ivalenti</w:t>
      </w:r>
      <w:r w:rsidR="00662597" w:rsidRPr="00CB3E4B">
        <w:rPr>
          <w:rFonts w:ascii="Times New Roman" w:hAnsi="Times New Roman"/>
          <w:sz w:val="24"/>
          <w:szCs w:val="24"/>
        </w:rPr>
        <w:t>) ir ievērojami samazinājies (par 91</w:t>
      </w:r>
      <w:r w:rsidR="00003BFB" w:rsidRPr="00CB3E4B">
        <w:rPr>
          <w:rFonts w:ascii="Times New Roman" w:hAnsi="Times New Roman"/>
          <w:sz w:val="24"/>
          <w:szCs w:val="24"/>
        </w:rPr>
        <w:t>%)</w:t>
      </w:r>
      <w:r w:rsidR="00003BFB">
        <w:rPr>
          <w:rFonts w:ascii="Times New Roman" w:hAnsi="Times New Roman"/>
          <w:sz w:val="24"/>
          <w:szCs w:val="24"/>
        </w:rPr>
        <w:t>. ZIZIMM sektora dinamika attēlota</w:t>
      </w:r>
      <w:r w:rsidR="00003BFB" w:rsidRPr="00CB3E4B">
        <w:rPr>
          <w:rFonts w:ascii="Times New Roman" w:hAnsi="Times New Roman"/>
          <w:sz w:val="24"/>
          <w:szCs w:val="24"/>
        </w:rPr>
        <w:t xml:space="preserve"> </w:t>
      </w:r>
      <w:r w:rsidR="00B40320" w:rsidRPr="00CB3E4B">
        <w:rPr>
          <w:rFonts w:ascii="Times New Roman" w:hAnsi="Times New Roman"/>
          <w:sz w:val="24"/>
          <w:szCs w:val="24"/>
        </w:rPr>
        <w:t>3.</w:t>
      </w:r>
      <w:r w:rsidR="006212A4">
        <w:rPr>
          <w:rFonts w:ascii="Times New Roman" w:hAnsi="Times New Roman"/>
          <w:sz w:val="24"/>
          <w:szCs w:val="24"/>
        </w:rPr>
        <w:t> </w:t>
      </w:r>
      <w:r w:rsidR="00B40320" w:rsidRPr="00CB3E4B">
        <w:rPr>
          <w:rFonts w:ascii="Times New Roman" w:hAnsi="Times New Roman"/>
          <w:sz w:val="24"/>
          <w:szCs w:val="24"/>
        </w:rPr>
        <w:t>attēl</w:t>
      </w:r>
      <w:r w:rsidR="00003BFB">
        <w:rPr>
          <w:rFonts w:ascii="Times New Roman" w:hAnsi="Times New Roman"/>
          <w:sz w:val="24"/>
          <w:szCs w:val="24"/>
        </w:rPr>
        <w:t>ā</w:t>
      </w:r>
      <w:r w:rsidR="00B40320" w:rsidRPr="00CB3E4B">
        <w:rPr>
          <w:rFonts w:ascii="Times New Roman" w:hAnsi="Times New Roman"/>
          <w:sz w:val="24"/>
          <w:szCs w:val="24"/>
        </w:rPr>
        <w:t>.</w:t>
      </w:r>
      <w:r w:rsidR="00515764" w:rsidRPr="00CB3E4B">
        <w:rPr>
          <w:rFonts w:ascii="Times New Roman" w:hAnsi="Times New Roman"/>
          <w:sz w:val="24"/>
          <w:szCs w:val="24"/>
        </w:rPr>
        <w:t xml:space="preserve"> Balstoties uz 2017. gada </w:t>
      </w:r>
      <w:r w:rsidR="00412305">
        <w:rPr>
          <w:rFonts w:ascii="Times New Roman" w:hAnsi="Times New Roman"/>
          <w:sz w:val="24"/>
          <w:szCs w:val="24"/>
        </w:rPr>
        <w:t>z</w:t>
      </w:r>
      <w:r w:rsidR="00515764" w:rsidRPr="00DF2E7E">
        <w:rPr>
          <w:rFonts w:ascii="Times New Roman" w:hAnsi="Times New Roman"/>
          <w:sz w:val="24"/>
          <w:szCs w:val="24"/>
        </w:rPr>
        <w:t>iņojumu</w:t>
      </w:r>
      <w:r w:rsidR="00515764" w:rsidRPr="00CB3E4B">
        <w:rPr>
          <w:rFonts w:ascii="Times New Roman" w:hAnsi="Times New Roman"/>
          <w:sz w:val="24"/>
          <w:szCs w:val="24"/>
        </w:rPr>
        <w:t xml:space="preserve"> par SEG prognozēm, politiku un pasākumiem</w:t>
      </w:r>
      <w:r w:rsidR="00003BFB">
        <w:rPr>
          <w:rFonts w:ascii="Times New Roman" w:hAnsi="Times New Roman"/>
          <w:sz w:val="24"/>
          <w:szCs w:val="24"/>
        </w:rPr>
        <w:t xml:space="preserve">, secināms, ka </w:t>
      </w:r>
      <w:r w:rsidR="00515764" w:rsidRPr="00CB3E4B">
        <w:rPr>
          <w:rFonts w:ascii="Times New Roman" w:hAnsi="Times New Roman"/>
          <w:sz w:val="24"/>
          <w:szCs w:val="24"/>
        </w:rPr>
        <w:t xml:space="preserve"> ZIZIMM </w:t>
      </w:r>
      <w:r w:rsidR="00003BFB" w:rsidRPr="00CB3E4B">
        <w:rPr>
          <w:rFonts w:ascii="Times New Roman" w:hAnsi="Times New Roman"/>
          <w:sz w:val="24"/>
          <w:szCs w:val="24"/>
        </w:rPr>
        <w:t>sektor</w:t>
      </w:r>
      <w:r w:rsidR="00003BFB">
        <w:rPr>
          <w:rFonts w:ascii="Times New Roman" w:hAnsi="Times New Roman"/>
          <w:sz w:val="24"/>
          <w:szCs w:val="24"/>
        </w:rPr>
        <w:t>s</w:t>
      </w:r>
      <w:r w:rsidR="00003BFB" w:rsidRPr="00CB3E4B">
        <w:rPr>
          <w:rFonts w:ascii="Times New Roman" w:hAnsi="Times New Roman"/>
          <w:sz w:val="24"/>
          <w:szCs w:val="24"/>
        </w:rPr>
        <w:t xml:space="preserve"> </w:t>
      </w:r>
      <w:r w:rsidR="00C36F11">
        <w:rPr>
          <w:rFonts w:ascii="Times New Roman" w:hAnsi="Times New Roman"/>
          <w:sz w:val="24"/>
          <w:szCs w:val="24"/>
        </w:rPr>
        <w:t>rada SEG emisijas (4</w:t>
      </w:r>
      <w:r w:rsidR="00515764" w:rsidRPr="00CB3E4B">
        <w:rPr>
          <w:rFonts w:ascii="Times New Roman" w:hAnsi="Times New Roman"/>
          <w:sz w:val="24"/>
          <w:szCs w:val="24"/>
        </w:rPr>
        <w:t>.</w:t>
      </w:r>
      <w:r w:rsidR="006212A4">
        <w:rPr>
          <w:rFonts w:ascii="Times New Roman" w:hAnsi="Times New Roman"/>
          <w:sz w:val="24"/>
          <w:szCs w:val="24"/>
        </w:rPr>
        <w:t> </w:t>
      </w:r>
      <w:r w:rsidR="00515764" w:rsidRPr="00CB3E4B">
        <w:rPr>
          <w:rFonts w:ascii="Times New Roman" w:hAnsi="Times New Roman"/>
          <w:sz w:val="24"/>
          <w:szCs w:val="24"/>
        </w:rPr>
        <w:t>attēls).</w:t>
      </w:r>
    </w:p>
    <w:p w14:paraId="7B214C48" w14:textId="77777777" w:rsidR="00B40320" w:rsidRPr="00D3214E" w:rsidRDefault="00B40320" w:rsidP="00B40320">
      <w:pPr>
        <w:spacing w:before="120" w:after="120" w:line="240" w:lineRule="auto"/>
        <w:ind w:firstLine="567"/>
        <w:jc w:val="both"/>
        <w:rPr>
          <w:rFonts w:ascii="Times New Roman" w:hAnsi="Times New Roman"/>
          <w:sz w:val="24"/>
          <w:szCs w:val="24"/>
        </w:rPr>
      </w:pPr>
      <w:r w:rsidRPr="00D3214E">
        <w:rPr>
          <w:noProof/>
          <w:lang w:eastAsia="lv-LV"/>
        </w:rPr>
        <w:drawing>
          <wp:inline distT="0" distB="0" distL="0" distR="0" wp14:anchorId="719CA1EC" wp14:editId="7492DF98">
            <wp:extent cx="5372100" cy="34290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835C3CC" w14:textId="480BD3FA" w:rsidR="00B40320" w:rsidRPr="00B40320" w:rsidRDefault="00C36F11" w:rsidP="00B40320">
      <w:pPr>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lastRenderedPageBreak/>
        <w:t>4</w:t>
      </w:r>
      <w:r w:rsidR="00B40320" w:rsidRPr="00D3214E">
        <w:rPr>
          <w:rFonts w:ascii="Times New Roman" w:hAnsi="Times New Roman"/>
          <w:b/>
          <w:sz w:val="24"/>
          <w:szCs w:val="24"/>
        </w:rPr>
        <w:t>. attēls Latvijas ZIZIMM faktiskais (1990.-2016.</w:t>
      </w:r>
      <w:r w:rsidR="006212A4">
        <w:rPr>
          <w:rFonts w:ascii="Times New Roman" w:hAnsi="Times New Roman"/>
          <w:b/>
          <w:sz w:val="24"/>
          <w:szCs w:val="24"/>
        </w:rPr>
        <w:t> </w:t>
      </w:r>
      <w:r w:rsidR="00B40320" w:rsidRPr="00D3214E">
        <w:rPr>
          <w:rFonts w:ascii="Times New Roman" w:hAnsi="Times New Roman"/>
          <w:b/>
          <w:sz w:val="24"/>
          <w:szCs w:val="24"/>
        </w:rPr>
        <w:t>g</w:t>
      </w:r>
      <w:r w:rsidR="006212A4">
        <w:rPr>
          <w:rFonts w:ascii="Times New Roman" w:hAnsi="Times New Roman"/>
          <w:b/>
          <w:sz w:val="24"/>
          <w:szCs w:val="24"/>
        </w:rPr>
        <w:t>adā</w:t>
      </w:r>
      <w:r w:rsidR="00B40320" w:rsidRPr="00D3214E">
        <w:rPr>
          <w:rFonts w:ascii="Times New Roman" w:hAnsi="Times New Roman"/>
          <w:b/>
          <w:sz w:val="24"/>
          <w:szCs w:val="24"/>
        </w:rPr>
        <w:t>) un prognozētais (2017.-2030.</w:t>
      </w:r>
      <w:r w:rsidR="006212A4">
        <w:rPr>
          <w:rFonts w:ascii="Times New Roman" w:hAnsi="Times New Roman"/>
          <w:b/>
          <w:sz w:val="24"/>
          <w:szCs w:val="24"/>
        </w:rPr>
        <w:t> </w:t>
      </w:r>
      <w:r w:rsidR="00B40320" w:rsidRPr="00D3214E">
        <w:rPr>
          <w:rFonts w:ascii="Times New Roman" w:hAnsi="Times New Roman"/>
          <w:b/>
          <w:sz w:val="24"/>
          <w:szCs w:val="24"/>
        </w:rPr>
        <w:t>g</w:t>
      </w:r>
      <w:r w:rsidR="006212A4">
        <w:rPr>
          <w:rFonts w:ascii="Times New Roman" w:hAnsi="Times New Roman"/>
          <w:b/>
          <w:sz w:val="24"/>
          <w:szCs w:val="24"/>
        </w:rPr>
        <w:t>adā</w:t>
      </w:r>
      <w:r w:rsidR="00B40320" w:rsidRPr="00D3214E">
        <w:rPr>
          <w:rFonts w:ascii="Times New Roman" w:hAnsi="Times New Roman"/>
          <w:b/>
          <w:sz w:val="24"/>
          <w:szCs w:val="24"/>
        </w:rPr>
        <w:t>) SEG emisiju un CO</w:t>
      </w:r>
      <w:r w:rsidR="00B40320" w:rsidRPr="00D3214E">
        <w:rPr>
          <w:rFonts w:ascii="Times New Roman" w:hAnsi="Times New Roman"/>
          <w:b/>
          <w:sz w:val="24"/>
          <w:szCs w:val="24"/>
          <w:vertAlign w:val="subscript"/>
        </w:rPr>
        <w:t xml:space="preserve">2 </w:t>
      </w:r>
      <w:r w:rsidR="00B40320" w:rsidRPr="00D3214E">
        <w:rPr>
          <w:rFonts w:ascii="Times New Roman" w:hAnsi="Times New Roman"/>
          <w:b/>
          <w:sz w:val="24"/>
          <w:szCs w:val="24"/>
        </w:rPr>
        <w:t>neto piesaistes apjoms  (</w:t>
      </w:r>
      <w:proofErr w:type="spellStart"/>
      <w:r w:rsidR="00B40320" w:rsidRPr="00D3214E">
        <w:rPr>
          <w:rFonts w:ascii="Times New Roman" w:hAnsi="Times New Roman"/>
          <w:b/>
          <w:sz w:val="24"/>
          <w:szCs w:val="24"/>
        </w:rPr>
        <w:t>kt</w:t>
      </w:r>
      <w:proofErr w:type="spellEnd"/>
      <w:r w:rsidR="00B40320" w:rsidRPr="00D3214E">
        <w:rPr>
          <w:rFonts w:ascii="Times New Roman" w:hAnsi="Times New Roman"/>
          <w:b/>
          <w:sz w:val="24"/>
          <w:szCs w:val="24"/>
        </w:rPr>
        <w:t xml:space="preserve"> CO</w:t>
      </w:r>
      <w:r w:rsidR="00B40320" w:rsidRPr="00D3214E">
        <w:rPr>
          <w:rFonts w:ascii="Times New Roman" w:hAnsi="Times New Roman"/>
          <w:b/>
          <w:sz w:val="24"/>
          <w:szCs w:val="24"/>
          <w:vertAlign w:val="subscript"/>
        </w:rPr>
        <w:t xml:space="preserve">2 </w:t>
      </w:r>
      <w:r w:rsidR="00B40320" w:rsidRPr="00D3214E">
        <w:rPr>
          <w:rFonts w:ascii="Times New Roman" w:hAnsi="Times New Roman"/>
          <w:b/>
          <w:sz w:val="24"/>
          <w:szCs w:val="24"/>
        </w:rPr>
        <w:t>ekv</w:t>
      </w:r>
      <w:r w:rsidR="00A759F8">
        <w:rPr>
          <w:rFonts w:ascii="Times New Roman" w:hAnsi="Times New Roman"/>
          <w:b/>
          <w:sz w:val="24"/>
          <w:szCs w:val="24"/>
        </w:rPr>
        <w:t>ivalenti</w:t>
      </w:r>
      <w:r w:rsidR="00B40320" w:rsidRPr="00D3214E">
        <w:rPr>
          <w:rFonts w:ascii="Times New Roman" w:hAnsi="Times New Roman"/>
          <w:b/>
          <w:sz w:val="24"/>
          <w:szCs w:val="24"/>
        </w:rPr>
        <w:t>)</w:t>
      </w:r>
      <w:r w:rsidR="00B40320" w:rsidRPr="00D3214E">
        <w:rPr>
          <w:rFonts w:ascii="Times New Roman" w:hAnsi="Times New Roman"/>
          <w:b/>
          <w:sz w:val="24"/>
          <w:szCs w:val="24"/>
          <w:vertAlign w:val="superscript"/>
        </w:rPr>
        <w:footnoteReference w:id="27"/>
      </w:r>
    </w:p>
    <w:p w14:paraId="4C6912ED" w14:textId="43F8754C" w:rsidR="007B0BDD" w:rsidRDefault="00BD51AC" w:rsidP="000B63D6">
      <w:pPr>
        <w:spacing w:before="120" w:after="120" w:line="240" w:lineRule="auto"/>
        <w:ind w:firstLine="709"/>
        <w:jc w:val="both"/>
        <w:rPr>
          <w:rFonts w:ascii="Times New Roman" w:hAnsi="Times New Roman"/>
          <w:sz w:val="24"/>
          <w:szCs w:val="24"/>
        </w:rPr>
      </w:pPr>
      <w:r w:rsidRPr="009769A6">
        <w:rPr>
          <w:rFonts w:ascii="Times New Roman" w:hAnsi="Times New Roman"/>
          <w:sz w:val="24"/>
          <w:szCs w:val="24"/>
        </w:rPr>
        <w:t>CO</w:t>
      </w:r>
      <w:r w:rsidRPr="009769A6">
        <w:rPr>
          <w:rFonts w:ascii="Times New Roman" w:hAnsi="Times New Roman"/>
          <w:sz w:val="24"/>
          <w:szCs w:val="24"/>
          <w:vertAlign w:val="subscript"/>
        </w:rPr>
        <w:t>2</w:t>
      </w:r>
      <w:r w:rsidR="008A54A5">
        <w:rPr>
          <w:rFonts w:ascii="Times New Roman" w:hAnsi="Times New Roman"/>
          <w:sz w:val="24"/>
          <w:szCs w:val="24"/>
        </w:rPr>
        <w:t xml:space="preserve"> piesaistes samazinājums </w:t>
      </w:r>
      <w:r w:rsidRPr="009769A6">
        <w:rPr>
          <w:rFonts w:ascii="Times New Roman" w:hAnsi="Times New Roman"/>
          <w:sz w:val="24"/>
          <w:szCs w:val="24"/>
        </w:rPr>
        <w:t xml:space="preserve">saistāms ar mežistrādes </w:t>
      </w:r>
      <w:r w:rsidR="00A66F56" w:rsidRPr="009769A6">
        <w:rPr>
          <w:rFonts w:ascii="Times New Roman" w:hAnsi="Times New Roman"/>
          <w:sz w:val="24"/>
          <w:szCs w:val="24"/>
        </w:rPr>
        <w:t xml:space="preserve">apjoma </w:t>
      </w:r>
      <w:r w:rsidRPr="009769A6">
        <w:rPr>
          <w:rFonts w:ascii="Times New Roman" w:hAnsi="Times New Roman"/>
          <w:sz w:val="24"/>
          <w:szCs w:val="24"/>
        </w:rPr>
        <w:t>pieaugumu meža zemēs</w:t>
      </w:r>
      <w:r w:rsidR="00A66F56">
        <w:rPr>
          <w:rFonts w:ascii="Times New Roman" w:hAnsi="Times New Roman"/>
          <w:sz w:val="24"/>
          <w:szCs w:val="24"/>
        </w:rPr>
        <w:t xml:space="preserve"> </w:t>
      </w:r>
      <w:r w:rsidR="00A66F56" w:rsidRPr="009769A6">
        <w:rPr>
          <w:rFonts w:ascii="Times New Roman" w:hAnsi="Times New Roman"/>
          <w:sz w:val="24"/>
          <w:szCs w:val="24"/>
        </w:rPr>
        <w:t>(vairāk nekā divas reizes)</w:t>
      </w:r>
      <w:r w:rsidRPr="009769A6">
        <w:rPr>
          <w:rFonts w:ascii="Times New Roman" w:hAnsi="Times New Roman"/>
          <w:sz w:val="24"/>
          <w:szCs w:val="24"/>
        </w:rPr>
        <w:t>, lielāku atmirumu un mazāku dzīvās biomasas pieaugumu meža zemēs, kas tiek noteikts saskaņā ar Nacionālā meža monitoringa datiem,</w:t>
      </w:r>
      <w:r w:rsidRPr="009769A6">
        <w:rPr>
          <w:sz w:val="24"/>
          <w:szCs w:val="24"/>
        </w:rPr>
        <w:t xml:space="preserve"> </w:t>
      </w:r>
      <w:r w:rsidRPr="009769A6">
        <w:rPr>
          <w:rFonts w:ascii="Times New Roman" w:hAnsi="Times New Roman"/>
          <w:sz w:val="24"/>
          <w:szCs w:val="24"/>
        </w:rPr>
        <w:t xml:space="preserve">kurus apkopo </w:t>
      </w:r>
      <w:r w:rsidR="009F4FB8">
        <w:rPr>
          <w:rFonts w:ascii="Times New Roman" w:hAnsi="Times New Roman"/>
          <w:sz w:val="24"/>
          <w:szCs w:val="24"/>
        </w:rPr>
        <w:t xml:space="preserve">LVMI </w:t>
      </w:r>
      <w:r w:rsidR="00A66F56">
        <w:rPr>
          <w:rFonts w:ascii="Times New Roman" w:hAnsi="Times New Roman"/>
          <w:sz w:val="24"/>
          <w:szCs w:val="24"/>
        </w:rPr>
        <w:t xml:space="preserve"> “Silava”</w:t>
      </w:r>
      <w:r w:rsidRPr="009769A6">
        <w:rPr>
          <w:rFonts w:ascii="Times New Roman" w:hAnsi="Times New Roman"/>
          <w:sz w:val="24"/>
          <w:szCs w:val="24"/>
        </w:rPr>
        <w:t xml:space="preserve">. </w:t>
      </w:r>
      <w:r w:rsidR="00A66F56">
        <w:rPr>
          <w:rFonts w:ascii="Times New Roman" w:hAnsi="Times New Roman"/>
          <w:sz w:val="24"/>
          <w:szCs w:val="24"/>
        </w:rPr>
        <w:t xml:space="preserve"> I</w:t>
      </w:r>
      <w:r w:rsidRPr="009769A6">
        <w:rPr>
          <w:rFonts w:ascii="Times New Roman" w:hAnsi="Times New Roman"/>
          <w:sz w:val="24"/>
          <w:szCs w:val="24"/>
        </w:rPr>
        <w:t>evērojama nozīme SEG emisiju palielināšanā</w:t>
      </w:r>
      <w:r w:rsidR="00A66F56">
        <w:rPr>
          <w:rFonts w:ascii="Times New Roman" w:hAnsi="Times New Roman"/>
          <w:sz w:val="24"/>
          <w:szCs w:val="24"/>
        </w:rPr>
        <w:t xml:space="preserve"> un CO</w:t>
      </w:r>
      <w:r w:rsidR="00A66F56" w:rsidRPr="00A66F56">
        <w:rPr>
          <w:rFonts w:ascii="Times New Roman" w:hAnsi="Times New Roman"/>
          <w:sz w:val="24"/>
          <w:szCs w:val="24"/>
          <w:vertAlign w:val="subscript"/>
        </w:rPr>
        <w:t>2</w:t>
      </w:r>
      <w:r w:rsidR="00A66F56">
        <w:rPr>
          <w:rFonts w:ascii="Times New Roman" w:hAnsi="Times New Roman"/>
          <w:sz w:val="24"/>
          <w:szCs w:val="24"/>
        </w:rPr>
        <w:t xml:space="preserve"> piesaistes samazināšanai</w:t>
      </w:r>
      <w:r w:rsidRPr="009769A6">
        <w:rPr>
          <w:rFonts w:ascii="Times New Roman" w:hAnsi="Times New Roman"/>
          <w:sz w:val="24"/>
          <w:szCs w:val="24"/>
        </w:rPr>
        <w:t xml:space="preserve"> ir meža zemju transformēšanai par apdzīvotām vietām, kā arī dabiski apmežojušos zemju transformācijai par aramzemēm un pļavām, atgriežot tās lauksaimnieciskā apsaimniekošanā.</w:t>
      </w:r>
      <w:r w:rsidR="008A54A5">
        <w:rPr>
          <w:rFonts w:ascii="Times New Roman" w:hAnsi="Times New Roman"/>
          <w:sz w:val="24"/>
          <w:szCs w:val="24"/>
        </w:rPr>
        <w:t xml:space="preserve"> </w:t>
      </w:r>
      <w:r w:rsidRPr="009769A6">
        <w:rPr>
          <w:rFonts w:ascii="Times New Roman" w:hAnsi="Times New Roman"/>
          <w:sz w:val="24"/>
          <w:szCs w:val="24"/>
        </w:rPr>
        <w:t>Zemes lietojuma veida maiņa uz aramzemi ir galvenokārt saistīta ar kokaugu biomasas izvākšanu no dabiski ar kokiem aizaugušām  lauksaimniecības zemēm, kurās lauksaimnieciskās darbības izbeigtas  1980. un 1990.</w:t>
      </w:r>
      <w:r w:rsidR="006212A4">
        <w:rPr>
          <w:rFonts w:ascii="Times New Roman" w:hAnsi="Times New Roman"/>
          <w:sz w:val="24"/>
          <w:szCs w:val="24"/>
        </w:rPr>
        <w:t> </w:t>
      </w:r>
      <w:r w:rsidRPr="009769A6">
        <w:rPr>
          <w:rFonts w:ascii="Times New Roman" w:hAnsi="Times New Roman"/>
          <w:sz w:val="24"/>
          <w:szCs w:val="24"/>
        </w:rPr>
        <w:t>gad</w:t>
      </w:r>
      <w:r w:rsidR="006212A4">
        <w:rPr>
          <w:rFonts w:ascii="Times New Roman" w:hAnsi="Times New Roman"/>
          <w:sz w:val="24"/>
          <w:szCs w:val="24"/>
        </w:rPr>
        <w:t>ā</w:t>
      </w:r>
      <w:r w:rsidRPr="009769A6">
        <w:rPr>
          <w:rFonts w:ascii="Times New Roman" w:hAnsi="Times New Roman"/>
          <w:sz w:val="24"/>
          <w:szCs w:val="24"/>
        </w:rPr>
        <w:t>. Dzīvās biomasas pieaugums meža zemēs, kas nemaina lietojuma veidu, un apmežotās zemēs joprojām ir lielāks par oglekļa zudumiem komerciālās ciršanas un dabiskā atmiruma dēļ, līdz ar to kopējā dzīvās biomasas kr</w:t>
      </w:r>
      <w:r w:rsidR="008A54A5">
        <w:rPr>
          <w:rFonts w:ascii="Times New Roman" w:hAnsi="Times New Roman"/>
          <w:sz w:val="24"/>
          <w:szCs w:val="24"/>
        </w:rPr>
        <w:t xml:space="preserve">āja meža zemēs joprojām pieaug. </w:t>
      </w:r>
      <w:r w:rsidRPr="009769A6">
        <w:rPr>
          <w:rFonts w:ascii="Times New Roman" w:hAnsi="Times New Roman"/>
          <w:sz w:val="24"/>
          <w:szCs w:val="24"/>
        </w:rPr>
        <w:t xml:space="preserve">Meža apsaimniekošana un meža produktu izmantošana dod būtisku ieguldījumu Latvijas kopējās klimata politikas īstenošanā un Latvijas starptautisko SEG emisiju samazināšanas  saistību izpildē, kā arī veicina efektīvu un videi draudzīgu vietējo energoresursu izmantošanas izaugsmi. </w:t>
      </w:r>
    </w:p>
    <w:p w14:paraId="2E9C0BF6" w14:textId="3BE49B57" w:rsidR="00BF6A20" w:rsidRPr="0010363D" w:rsidRDefault="00BF6A20" w:rsidP="000B63D6">
      <w:pPr>
        <w:spacing w:before="120" w:after="120" w:line="240" w:lineRule="auto"/>
        <w:ind w:firstLine="709"/>
        <w:jc w:val="both"/>
        <w:rPr>
          <w:rFonts w:ascii="Times New Roman" w:hAnsi="Times New Roman"/>
          <w:sz w:val="24"/>
          <w:szCs w:val="24"/>
        </w:rPr>
      </w:pPr>
      <w:r w:rsidRPr="00602C19">
        <w:rPr>
          <w:rFonts w:ascii="Times New Roman" w:hAnsi="Times New Roman"/>
          <w:sz w:val="24"/>
          <w:szCs w:val="24"/>
        </w:rPr>
        <w:t xml:space="preserve">Kā jau iepriekš tika minēts tehniskā saistību izpilde attiecībā uz ZIZIMM mērķiem </w:t>
      </w:r>
      <w:r w:rsidR="006212A4">
        <w:rPr>
          <w:rFonts w:ascii="Times New Roman" w:hAnsi="Times New Roman"/>
          <w:sz w:val="24"/>
          <w:szCs w:val="24"/>
        </w:rPr>
        <w:t xml:space="preserve">(skat. 1. tabulā) </w:t>
      </w:r>
      <w:r w:rsidRPr="00602C19">
        <w:rPr>
          <w:rFonts w:ascii="Times New Roman" w:hAnsi="Times New Roman"/>
          <w:sz w:val="24"/>
          <w:szCs w:val="24"/>
        </w:rPr>
        <w:t>notiks tikai pēc 2020. gada, kad Latvijai vajadzēs nodrošināt, ka katra gada mērķis 2013.-2020. gada periodā nav pārsniegts.</w:t>
      </w:r>
      <w:r w:rsidR="00354956" w:rsidRPr="00602C19">
        <w:t xml:space="preserve"> </w:t>
      </w:r>
      <w:r w:rsidR="00354956" w:rsidRPr="00602C19">
        <w:rPr>
          <w:rFonts w:ascii="Times New Roman" w:hAnsi="Times New Roman"/>
          <w:sz w:val="24"/>
          <w:szCs w:val="24"/>
        </w:rPr>
        <w:t xml:space="preserve">Apkopojums par ZIZIMM mērķu izpildi saskaņā ar 2018. gada </w:t>
      </w:r>
      <w:r w:rsidR="00354956" w:rsidRPr="0010363D">
        <w:rPr>
          <w:rFonts w:ascii="Times New Roman" w:hAnsi="Times New Roman"/>
          <w:sz w:val="24"/>
          <w:szCs w:val="24"/>
        </w:rPr>
        <w:t xml:space="preserve">SEG inventarizāciju laika posmam no 2013. – 2016. gadam atspoguļots 3. tabulā. </w:t>
      </w:r>
    </w:p>
    <w:p w14:paraId="1D4D5D93" w14:textId="2DB8BE4D" w:rsidR="00BF6A20" w:rsidRPr="0010363D" w:rsidRDefault="00BF6A20" w:rsidP="00BF6A20">
      <w:pPr>
        <w:spacing w:before="120" w:after="120" w:line="240" w:lineRule="auto"/>
        <w:ind w:firstLine="567"/>
        <w:jc w:val="center"/>
        <w:rPr>
          <w:rFonts w:ascii="Times New Roman" w:hAnsi="Times New Roman"/>
          <w:b/>
          <w:sz w:val="24"/>
          <w:szCs w:val="24"/>
        </w:rPr>
      </w:pPr>
      <w:r w:rsidRPr="0010363D">
        <w:rPr>
          <w:rFonts w:ascii="Times New Roman" w:hAnsi="Times New Roman"/>
          <w:b/>
          <w:sz w:val="24"/>
          <w:szCs w:val="24"/>
        </w:rPr>
        <w:t>3. tabula</w:t>
      </w:r>
      <w:r w:rsidR="00354956" w:rsidRPr="0010363D">
        <w:rPr>
          <w:rFonts w:ascii="Times New Roman" w:hAnsi="Times New Roman"/>
          <w:b/>
          <w:sz w:val="24"/>
          <w:szCs w:val="24"/>
        </w:rPr>
        <w:t>.</w:t>
      </w:r>
      <w:r w:rsidRPr="0010363D">
        <w:rPr>
          <w:rFonts w:ascii="Times New Roman" w:hAnsi="Times New Roman"/>
          <w:b/>
          <w:sz w:val="24"/>
          <w:szCs w:val="24"/>
        </w:rPr>
        <w:t xml:space="preserve"> Latvijas </w:t>
      </w:r>
      <w:r w:rsidR="00354956" w:rsidRPr="0010363D">
        <w:rPr>
          <w:rFonts w:ascii="Times New Roman" w:hAnsi="Times New Roman"/>
          <w:b/>
          <w:sz w:val="24"/>
          <w:szCs w:val="24"/>
        </w:rPr>
        <w:t xml:space="preserve">ZIZIMM mērķu </w:t>
      </w:r>
      <w:r w:rsidRPr="0010363D">
        <w:rPr>
          <w:rFonts w:ascii="Times New Roman" w:hAnsi="Times New Roman"/>
          <w:b/>
          <w:sz w:val="24"/>
          <w:szCs w:val="24"/>
        </w:rPr>
        <w:t>izpilde 2013.-2016. g.</w:t>
      </w:r>
      <w:r w:rsidR="00E04C13" w:rsidRPr="0010363D">
        <w:rPr>
          <w:rFonts w:ascii="Times New Roman" w:hAnsi="Times New Roman"/>
          <w:b/>
          <w:sz w:val="24"/>
          <w:szCs w:val="24"/>
        </w:rPr>
        <w:t>, (</w:t>
      </w:r>
      <w:proofErr w:type="spellStart"/>
      <w:r w:rsidR="00E04C13" w:rsidRPr="0010363D">
        <w:rPr>
          <w:rFonts w:ascii="Times New Roman" w:hAnsi="Times New Roman"/>
          <w:b/>
          <w:sz w:val="24"/>
          <w:szCs w:val="24"/>
        </w:rPr>
        <w:t>kt</w:t>
      </w:r>
      <w:proofErr w:type="spellEnd"/>
      <w:r w:rsidR="00E04C13" w:rsidRPr="0010363D">
        <w:rPr>
          <w:rFonts w:ascii="Times New Roman" w:hAnsi="Times New Roman"/>
          <w:b/>
          <w:sz w:val="24"/>
          <w:szCs w:val="24"/>
        </w:rPr>
        <w:t xml:space="preserve"> CO</w:t>
      </w:r>
      <w:r w:rsidR="00E04C13" w:rsidRPr="0010363D">
        <w:rPr>
          <w:rFonts w:ascii="Times New Roman" w:hAnsi="Times New Roman"/>
          <w:b/>
          <w:sz w:val="24"/>
          <w:szCs w:val="24"/>
          <w:vertAlign w:val="subscript"/>
        </w:rPr>
        <w:t>2</w:t>
      </w:r>
      <w:r w:rsidR="00E04C13" w:rsidRPr="0010363D">
        <w:rPr>
          <w:rFonts w:ascii="Times New Roman" w:hAnsi="Times New Roman"/>
          <w:b/>
          <w:sz w:val="24"/>
          <w:szCs w:val="24"/>
        </w:rPr>
        <w:t xml:space="preserve"> ekv</w:t>
      </w:r>
      <w:r w:rsidR="00A759F8" w:rsidRPr="0010363D">
        <w:rPr>
          <w:rFonts w:ascii="Times New Roman" w:hAnsi="Times New Roman"/>
          <w:b/>
          <w:sz w:val="24"/>
          <w:szCs w:val="24"/>
        </w:rPr>
        <w:t>ivalenti</w:t>
      </w:r>
      <w:r w:rsidR="00E04C13" w:rsidRPr="0010363D">
        <w:rPr>
          <w:rFonts w:ascii="Times New Roman" w:hAnsi="Times New Roman"/>
          <w:b/>
          <w:sz w:val="24"/>
          <w:szCs w:val="24"/>
        </w:rPr>
        <w:t>)</w:t>
      </w:r>
      <w:r w:rsidR="00354956" w:rsidRPr="0010363D">
        <w:rPr>
          <w:rStyle w:val="FootnoteReference"/>
          <w:rFonts w:ascii="Times New Roman" w:hAnsi="Times New Roman"/>
          <w:b/>
          <w:sz w:val="24"/>
          <w:szCs w:val="24"/>
        </w:rPr>
        <w:footnoteReference w:id="28"/>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362"/>
        <w:gridCol w:w="1321"/>
        <w:gridCol w:w="1089"/>
        <w:gridCol w:w="1417"/>
        <w:gridCol w:w="1276"/>
        <w:gridCol w:w="850"/>
        <w:gridCol w:w="993"/>
        <w:gridCol w:w="992"/>
      </w:tblGrid>
      <w:tr w:rsidR="00354956" w:rsidRPr="00602C19" w14:paraId="08E826DD" w14:textId="1D24B569" w:rsidTr="00354956">
        <w:trPr>
          <w:cantSplit/>
          <w:trHeight w:val="1493"/>
          <w:tblHeader/>
          <w:jc w:val="center"/>
        </w:trPr>
        <w:tc>
          <w:tcPr>
            <w:tcW w:w="618" w:type="dxa"/>
            <w:shd w:val="clear" w:color="auto" w:fill="auto"/>
            <w:noWrap/>
            <w:vAlign w:val="center"/>
            <w:hideMark/>
          </w:tcPr>
          <w:p w14:paraId="3C0B99FC" w14:textId="77777777" w:rsidR="00354956" w:rsidRPr="00602C19" w:rsidRDefault="00354956" w:rsidP="00BF6A20">
            <w:pPr>
              <w:spacing w:after="0" w:line="240" w:lineRule="auto"/>
              <w:jc w:val="center"/>
              <w:rPr>
                <w:rFonts w:ascii="Times New Roman" w:eastAsia="Times New Roman" w:hAnsi="Times New Roman"/>
                <w:bCs/>
                <w:sz w:val="20"/>
                <w:szCs w:val="20"/>
                <w:lang w:eastAsia="lv-LV"/>
              </w:rPr>
            </w:pPr>
            <w:r w:rsidRPr="00602C19">
              <w:rPr>
                <w:rFonts w:ascii="Times New Roman" w:eastAsia="Times New Roman" w:hAnsi="Times New Roman"/>
                <w:bCs/>
                <w:sz w:val="20"/>
                <w:szCs w:val="20"/>
                <w:lang w:eastAsia="lv-LV"/>
              </w:rPr>
              <w:t> </w:t>
            </w:r>
          </w:p>
        </w:tc>
        <w:tc>
          <w:tcPr>
            <w:tcW w:w="1362" w:type="dxa"/>
            <w:shd w:val="clear" w:color="auto" w:fill="auto"/>
            <w:textDirection w:val="tbRl"/>
            <w:vAlign w:val="center"/>
            <w:hideMark/>
          </w:tcPr>
          <w:p w14:paraId="241F1A43" w14:textId="67B0127F" w:rsidR="00354956" w:rsidRPr="00602C19" w:rsidRDefault="00354956" w:rsidP="00354956">
            <w:pPr>
              <w:spacing w:after="0" w:line="240" w:lineRule="auto"/>
              <w:ind w:left="113" w:right="113"/>
              <w:rPr>
                <w:rFonts w:ascii="Times New Roman" w:eastAsia="Times New Roman" w:hAnsi="Times New Roman"/>
                <w:bCs/>
                <w:sz w:val="20"/>
                <w:szCs w:val="20"/>
                <w:lang w:eastAsia="lv-LV"/>
              </w:rPr>
            </w:pPr>
            <w:r w:rsidRPr="00602C19">
              <w:rPr>
                <w:rFonts w:ascii="Times New Roman" w:eastAsia="Times New Roman" w:hAnsi="Times New Roman"/>
                <w:bCs/>
                <w:sz w:val="20"/>
                <w:szCs w:val="20"/>
                <w:lang w:eastAsia="lv-LV"/>
              </w:rPr>
              <w:t>Meža apsaimniekošanas SEG emisijas/CO</w:t>
            </w:r>
            <w:r w:rsidRPr="00602C19">
              <w:rPr>
                <w:rFonts w:ascii="Times New Roman" w:eastAsia="Times New Roman" w:hAnsi="Times New Roman"/>
                <w:bCs/>
                <w:sz w:val="20"/>
                <w:szCs w:val="20"/>
                <w:vertAlign w:val="subscript"/>
                <w:lang w:eastAsia="lv-LV"/>
              </w:rPr>
              <w:t>2</w:t>
            </w:r>
            <w:r w:rsidRPr="00602C19">
              <w:rPr>
                <w:rFonts w:ascii="Times New Roman" w:eastAsia="Times New Roman" w:hAnsi="Times New Roman"/>
                <w:bCs/>
                <w:sz w:val="20"/>
                <w:szCs w:val="20"/>
                <w:lang w:eastAsia="lv-LV"/>
              </w:rPr>
              <w:t xml:space="preserve"> piesaiste</w:t>
            </w:r>
          </w:p>
        </w:tc>
        <w:tc>
          <w:tcPr>
            <w:tcW w:w="1321" w:type="dxa"/>
            <w:shd w:val="clear" w:color="auto" w:fill="auto"/>
            <w:textDirection w:val="tbRl"/>
            <w:vAlign w:val="center"/>
            <w:hideMark/>
          </w:tcPr>
          <w:p w14:paraId="583F3B47" w14:textId="0B01EA74" w:rsidR="00354956" w:rsidRPr="00602C19" w:rsidRDefault="00354956" w:rsidP="00354956">
            <w:pPr>
              <w:spacing w:after="0" w:line="240" w:lineRule="auto"/>
              <w:ind w:left="113" w:right="113"/>
              <w:jc w:val="center"/>
              <w:rPr>
                <w:rFonts w:ascii="Times New Roman" w:eastAsia="Times New Roman" w:hAnsi="Times New Roman"/>
                <w:bCs/>
                <w:sz w:val="20"/>
                <w:szCs w:val="20"/>
                <w:lang w:eastAsia="lv-LV"/>
              </w:rPr>
            </w:pPr>
            <w:r w:rsidRPr="00602C19">
              <w:rPr>
                <w:rFonts w:ascii="Times New Roman" w:hAnsi="Times New Roman"/>
                <w:sz w:val="20"/>
                <w:szCs w:val="20"/>
              </w:rPr>
              <w:t>Meža apsaimniekošanas CO</w:t>
            </w:r>
            <w:r w:rsidRPr="00602C19">
              <w:rPr>
                <w:rFonts w:ascii="Times New Roman" w:hAnsi="Times New Roman"/>
                <w:sz w:val="20"/>
                <w:szCs w:val="20"/>
                <w:vertAlign w:val="subscript"/>
              </w:rPr>
              <w:t>2</w:t>
            </w:r>
            <w:r w:rsidRPr="00602C19">
              <w:rPr>
                <w:rFonts w:ascii="Times New Roman" w:hAnsi="Times New Roman"/>
                <w:sz w:val="20"/>
                <w:szCs w:val="20"/>
              </w:rPr>
              <w:t xml:space="preserve"> bilances mērķis</w:t>
            </w:r>
          </w:p>
        </w:tc>
        <w:tc>
          <w:tcPr>
            <w:tcW w:w="1089" w:type="dxa"/>
            <w:shd w:val="clear" w:color="auto" w:fill="auto"/>
            <w:textDirection w:val="tbRl"/>
            <w:vAlign w:val="center"/>
            <w:hideMark/>
          </w:tcPr>
          <w:p w14:paraId="0CD202D0" w14:textId="3E318D42" w:rsidR="00354956" w:rsidRPr="00602C19" w:rsidRDefault="00354956" w:rsidP="00354956">
            <w:pPr>
              <w:spacing w:after="0" w:line="240" w:lineRule="auto"/>
              <w:ind w:left="113" w:right="113"/>
              <w:jc w:val="center"/>
              <w:rPr>
                <w:rFonts w:ascii="Times New Roman" w:eastAsia="Times New Roman" w:hAnsi="Times New Roman"/>
                <w:b/>
                <w:bCs/>
                <w:sz w:val="20"/>
                <w:szCs w:val="20"/>
                <w:lang w:eastAsia="lv-LV"/>
              </w:rPr>
            </w:pPr>
            <w:r w:rsidRPr="00602C19">
              <w:rPr>
                <w:rFonts w:ascii="Times New Roman" w:eastAsia="Times New Roman" w:hAnsi="Times New Roman"/>
                <w:b/>
                <w:bCs/>
                <w:sz w:val="20"/>
                <w:szCs w:val="20"/>
                <w:lang w:eastAsia="lv-LV"/>
              </w:rPr>
              <w:t>Pārpalikums</w:t>
            </w:r>
            <w:r w:rsidR="002C16A2">
              <w:rPr>
                <w:rFonts w:ascii="Times New Roman" w:eastAsia="Times New Roman" w:hAnsi="Times New Roman"/>
                <w:b/>
                <w:bCs/>
                <w:sz w:val="20"/>
                <w:szCs w:val="20"/>
                <w:lang w:eastAsia="lv-LV"/>
              </w:rPr>
              <w:t xml:space="preserve"> (+)</w:t>
            </w:r>
            <w:r w:rsidRPr="00602C19">
              <w:rPr>
                <w:rFonts w:ascii="Times New Roman" w:eastAsia="Times New Roman" w:hAnsi="Times New Roman"/>
                <w:b/>
                <w:bCs/>
                <w:sz w:val="20"/>
                <w:szCs w:val="20"/>
                <w:lang w:eastAsia="lv-LV"/>
              </w:rPr>
              <w:t xml:space="preserve"> vai iztrūkums</w:t>
            </w:r>
            <w:r w:rsidR="002C16A2">
              <w:rPr>
                <w:rFonts w:ascii="Times New Roman" w:eastAsia="Times New Roman" w:hAnsi="Times New Roman"/>
                <w:b/>
                <w:bCs/>
                <w:sz w:val="20"/>
                <w:szCs w:val="20"/>
                <w:lang w:eastAsia="lv-LV"/>
              </w:rPr>
              <w:t xml:space="preserve"> (-)</w:t>
            </w:r>
          </w:p>
        </w:tc>
        <w:tc>
          <w:tcPr>
            <w:tcW w:w="1417" w:type="dxa"/>
            <w:shd w:val="clear" w:color="auto" w:fill="auto"/>
            <w:textDirection w:val="tbRl"/>
            <w:vAlign w:val="center"/>
            <w:hideMark/>
          </w:tcPr>
          <w:p w14:paraId="6FC2AE3E" w14:textId="5B05099E" w:rsidR="00354956" w:rsidRPr="00602C19" w:rsidRDefault="00354956" w:rsidP="00354956">
            <w:pPr>
              <w:spacing w:after="0" w:line="240" w:lineRule="auto"/>
              <w:ind w:left="113" w:right="113"/>
              <w:jc w:val="center"/>
              <w:rPr>
                <w:rFonts w:ascii="Times New Roman" w:eastAsia="Times New Roman" w:hAnsi="Times New Roman"/>
                <w:bCs/>
                <w:sz w:val="20"/>
                <w:szCs w:val="20"/>
                <w:lang w:eastAsia="lv-LV"/>
              </w:rPr>
            </w:pPr>
            <w:r w:rsidRPr="00602C19">
              <w:rPr>
                <w:rFonts w:ascii="Times New Roman" w:eastAsia="Times New Roman" w:hAnsi="Times New Roman"/>
                <w:bCs/>
                <w:sz w:val="20"/>
                <w:szCs w:val="20"/>
                <w:lang w:eastAsia="lv-LV"/>
              </w:rPr>
              <w:t xml:space="preserve">Pārrēķinātais </w:t>
            </w:r>
            <w:r w:rsidRPr="00602C19">
              <w:rPr>
                <w:rFonts w:ascii="Times New Roman" w:hAnsi="Times New Roman"/>
                <w:sz w:val="20"/>
                <w:szCs w:val="20"/>
              </w:rPr>
              <w:t>meža apsaimniekošanas CO</w:t>
            </w:r>
            <w:r w:rsidRPr="00602C19">
              <w:rPr>
                <w:rFonts w:ascii="Times New Roman" w:hAnsi="Times New Roman"/>
                <w:sz w:val="20"/>
                <w:szCs w:val="20"/>
                <w:vertAlign w:val="subscript"/>
              </w:rPr>
              <w:t>2</w:t>
            </w:r>
            <w:r w:rsidRPr="00602C19">
              <w:rPr>
                <w:rFonts w:ascii="Times New Roman" w:hAnsi="Times New Roman"/>
                <w:sz w:val="20"/>
                <w:szCs w:val="20"/>
              </w:rPr>
              <w:t xml:space="preserve"> bilances mērķis</w:t>
            </w:r>
          </w:p>
        </w:tc>
        <w:tc>
          <w:tcPr>
            <w:tcW w:w="1276" w:type="dxa"/>
            <w:shd w:val="clear" w:color="auto" w:fill="auto"/>
            <w:textDirection w:val="tbRl"/>
            <w:vAlign w:val="center"/>
            <w:hideMark/>
          </w:tcPr>
          <w:p w14:paraId="1AA361B5" w14:textId="7404A3B2" w:rsidR="00354956" w:rsidRPr="00602C19" w:rsidRDefault="00354956" w:rsidP="00354956">
            <w:pPr>
              <w:spacing w:after="0" w:line="240" w:lineRule="auto"/>
              <w:ind w:left="113" w:right="113"/>
              <w:jc w:val="center"/>
              <w:rPr>
                <w:rFonts w:ascii="Times New Roman" w:eastAsia="Times New Roman" w:hAnsi="Times New Roman"/>
                <w:b/>
                <w:bCs/>
                <w:sz w:val="20"/>
                <w:szCs w:val="20"/>
                <w:lang w:eastAsia="lv-LV"/>
              </w:rPr>
            </w:pPr>
            <w:r w:rsidRPr="00602C19">
              <w:rPr>
                <w:rFonts w:ascii="Times New Roman" w:eastAsia="Times New Roman" w:hAnsi="Times New Roman"/>
                <w:b/>
                <w:bCs/>
                <w:sz w:val="20"/>
                <w:szCs w:val="20"/>
                <w:lang w:eastAsia="lv-LV"/>
              </w:rPr>
              <w:t xml:space="preserve">Pārpalikums </w:t>
            </w:r>
            <w:r w:rsidR="00B24205">
              <w:rPr>
                <w:rFonts w:ascii="Times New Roman" w:eastAsia="Times New Roman" w:hAnsi="Times New Roman"/>
                <w:b/>
                <w:bCs/>
                <w:sz w:val="20"/>
                <w:szCs w:val="20"/>
                <w:lang w:eastAsia="lv-LV"/>
              </w:rPr>
              <w:t>(+)</w:t>
            </w:r>
            <w:r w:rsidRPr="00602C19">
              <w:rPr>
                <w:rFonts w:ascii="Times New Roman" w:eastAsia="Times New Roman" w:hAnsi="Times New Roman"/>
                <w:b/>
                <w:bCs/>
                <w:sz w:val="20"/>
                <w:szCs w:val="20"/>
                <w:lang w:eastAsia="lv-LV"/>
              </w:rPr>
              <w:t>vai iztrūkums</w:t>
            </w:r>
            <w:r w:rsidR="00B24205">
              <w:rPr>
                <w:rFonts w:ascii="Times New Roman" w:eastAsia="Times New Roman" w:hAnsi="Times New Roman"/>
                <w:b/>
                <w:bCs/>
                <w:sz w:val="20"/>
                <w:szCs w:val="20"/>
                <w:lang w:eastAsia="lv-LV"/>
              </w:rPr>
              <w:t>(-)</w:t>
            </w:r>
          </w:p>
        </w:tc>
        <w:tc>
          <w:tcPr>
            <w:tcW w:w="850" w:type="dxa"/>
            <w:textDirection w:val="tbRl"/>
          </w:tcPr>
          <w:p w14:paraId="09311320" w14:textId="481394C5" w:rsidR="00354956" w:rsidRPr="00602C19" w:rsidRDefault="00354956" w:rsidP="00354956">
            <w:pPr>
              <w:spacing w:after="0" w:line="240" w:lineRule="auto"/>
              <w:ind w:left="113" w:right="113"/>
              <w:jc w:val="center"/>
              <w:rPr>
                <w:rFonts w:ascii="Times New Roman" w:eastAsia="Times New Roman" w:hAnsi="Times New Roman"/>
                <w:bCs/>
                <w:sz w:val="20"/>
                <w:szCs w:val="20"/>
                <w:lang w:eastAsia="lv-LV"/>
              </w:rPr>
            </w:pPr>
            <w:r w:rsidRPr="00602C19">
              <w:rPr>
                <w:rFonts w:ascii="Times New Roman" w:eastAsia="Times New Roman" w:hAnsi="Times New Roman"/>
                <w:bCs/>
                <w:sz w:val="20"/>
                <w:szCs w:val="20"/>
                <w:lang w:eastAsia="lv-LV"/>
              </w:rPr>
              <w:t>Apmežošana</w:t>
            </w:r>
          </w:p>
        </w:tc>
        <w:tc>
          <w:tcPr>
            <w:tcW w:w="993" w:type="dxa"/>
            <w:textDirection w:val="tbRl"/>
          </w:tcPr>
          <w:p w14:paraId="419B5157" w14:textId="4EB61B1D" w:rsidR="00354956" w:rsidRPr="00602C19" w:rsidRDefault="00354956" w:rsidP="00354956">
            <w:pPr>
              <w:spacing w:after="0" w:line="240" w:lineRule="auto"/>
              <w:ind w:left="113" w:right="113"/>
              <w:jc w:val="center"/>
              <w:rPr>
                <w:rFonts w:ascii="Times New Roman" w:eastAsia="Times New Roman" w:hAnsi="Times New Roman"/>
                <w:bCs/>
                <w:sz w:val="20"/>
                <w:szCs w:val="20"/>
                <w:lang w:eastAsia="lv-LV"/>
              </w:rPr>
            </w:pPr>
            <w:r w:rsidRPr="00602C19">
              <w:rPr>
                <w:rFonts w:ascii="Times New Roman" w:eastAsia="Times New Roman" w:hAnsi="Times New Roman"/>
                <w:bCs/>
                <w:sz w:val="20"/>
                <w:szCs w:val="20"/>
                <w:lang w:eastAsia="lv-LV"/>
              </w:rPr>
              <w:t>Atmežošana</w:t>
            </w:r>
          </w:p>
        </w:tc>
        <w:tc>
          <w:tcPr>
            <w:tcW w:w="992" w:type="dxa"/>
            <w:textDirection w:val="tbRl"/>
          </w:tcPr>
          <w:p w14:paraId="24504933" w14:textId="345EB2A9" w:rsidR="00354956" w:rsidRPr="00602C19" w:rsidRDefault="00354956" w:rsidP="00354956">
            <w:pPr>
              <w:spacing w:after="0" w:line="240" w:lineRule="auto"/>
              <w:ind w:left="113" w:right="113"/>
              <w:jc w:val="center"/>
              <w:rPr>
                <w:rFonts w:ascii="Times New Roman" w:eastAsia="Times New Roman" w:hAnsi="Times New Roman"/>
                <w:b/>
                <w:bCs/>
                <w:sz w:val="20"/>
                <w:szCs w:val="20"/>
                <w:lang w:eastAsia="lv-LV"/>
              </w:rPr>
            </w:pPr>
            <w:r w:rsidRPr="00602C19">
              <w:rPr>
                <w:rFonts w:ascii="Times New Roman" w:eastAsia="Times New Roman" w:hAnsi="Times New Roman"/>
                <w:b/>
                <w:bCs/>
                <w:sz w:val="20"/>
                <w:szCs w:val="20"/>
                <w:lang w:eastAsia="lv-LV"/>
              </w:rPr>
              <w:t xml:space="preserve">Pārpalikums </w:t>
            </w:r>
            <w:r w:rsidR="00B24205">
              <w:rPr>
                <w:rFonts w:ascii="Times New Roman" w:eastAsia="Times New Roman" w:hAnsi="Times New Roman"/>
                <w:b/>
                <w:bCs/>
                <w:sz w:val="20"/>
                <w:szCs w:val="20"/>
                <w:lang w:eastAsia="lv-LV"/>
              </w:rPr>
              <w:t xml:space="preserve">(+) </w:t>
            </w:r>
            <w:r w:rsidRPr="00602C19">
              <w:rPr>
                <w:rFonts w:ascii="Times New Roman" w:eastAsia="Times New Roman" w:hAnsi="Times New Roman"/>
                <w:b/>
                <w:bCs/>
                <w:sz w:val="20"/>
                <w:szCs w:val="20"/>
                <w:lang w:eastAsia="lv-LV"/>
              </w:rPr>
              <w:t>vai iztrūkums</w:t>
            </w:r>
            <w:r w:rsidR="00B24205">
              <w:rPr>
                <w:rFonts w:ascii="Times New Roman" w:eastAsia="Times New Roman" w:hAnsi="Times New Roman"/>
                <w:b/>
                <w:bCs/>
                <w:sz w:val="20"/>
                <w:szCs w:val="20"/>
                <w:lang w:eastAsia="lv-LV"/>
              </w:rPr>
              <w:t>(-)</w:t>
            </w:r>
          </w:p>
        </w:tc>
      </w:tr>
      <w:tr w:rsidR="00354956" w:rsidRPr="00602C19" w14:paraId="0D6AB29C" w14:textId="3714EB04" w:rsidTr="00354956">
        <w:trPr>
          <w:trHeight w:val="299"/>
          <w:jc w:val="center"/>
        </w:trPr>
        <w:tc>
          <w:tcPr>
            <w:tcW w:w="618" w:type="dxa"/>
            <w:shd w:val="clear" w:color="auto" w:fill="auto"/>
            <w:noWrap/>
            <w:vAlign w:val="center"/>
            <w:hideMark/>
          </w:tcPr>
          <w:p w14:paraId="4D27920C" w14:textId="77777777" w:rsidR="00354956" w:rsidRPr="00602C19" w:rsidRDefault="00354956" w:rsidP="00BF6A20">
            <w:pPr>
              <w:spacing w:after="0" w:line="240" w:lineRule="auto"/>
              <w:rPr>
                <w:rFonts w:ascii="Times New Roman" w:hAnsi="Times New Roman"/>
                <w:sz w:val="20"/>
                <w:szCs w:val="20"/>
              </w:rPr>
            </w:pPr>
            <w:r w:rsidRPr="00602C19">
              <w:rPr>
                <w:rFonts w:ascii="Times New Roman" w:hAnsi="Times New Roman"/>
                <w:sz w:val="20"/>
                <w:szCs w:val="20"/>
              </w:rPr>
              <w:t>2013</w:t>
            </w:r>
          </w:p>
        </w:tc>
        <w:tc>
          <w:tcPr>
            <w:tcW w:w="1362" w:type="dxa"/>
            <w:shd w:val="clear" w:color="auto" w:fill="auto"/>
            <w:noWrap/>
            <w:vAlign w:val="center"/>
            <w:hideMark/>
          </w:tcPr>
          <w:p w14:paraId="021AC52F" w14:textId="2CCDBED6" w:rsidR="00354956" w:rsidRPr="00602C19" w:rsidRDefault="00354956" w:rsidP="00BF6A20">
            <w:pPr>
              <w:spacing w:after="0" w:line="240" w:lineRule="auto"/>
              <w:jc w:val="center"/>
              <w:rPr>
                <w:rFonts w:ascii="Times New Roman" w:hAnsi="Times New Roman"/>
                <w:sz w:val="20"/>
                <w:szCs w:val="20"/>
              </w:rPr>
            </w:pPr>
            <w:r w:rsidRPr="00602C19">
              <w:rPr>
                <w:rFonts w:ascii="Times New Roman" w:hAnsi="Times New Roman"/>
                <w:sz w:val="20"/>
                <w:szCs w:val="20"/>
              </w:rPr>
              <w:t>-6377.11</w:t>
            </w:r>
          </w:p>
        </w:tc>
        <w:tc>
          <w:tcPr>
            <w:tcW w:w="1321" w:type="dxa"/>
            <w:shd w:val="clear" w:color="auto" w:fill="auto"/>
            <w:noWrap/>
            <w:vAlign w:val="center"/>
            <w:hideMark/>
          </w:tcPr>
          <w:p w14:paraId="580B41FD" w14:textId="162C2290" w:rsidR="00354956" w:rsidRPr="00602C19" w:rsidRDefault="00354956" w:rsidP="00BF6A20">
            <w:pPr>
              <w:spacing w:after="0" w:line="240" w:lineRule="auto"/>
              <w:jc w:val="center"/>
              <w:rPr>
                <w:rFonts w:ascii="Times New Roman" w:hAnsi="Times New Roman"/>
                <w:sz w:val="20"/>
                <w:szCs w:val="20"/>
              </w:rPr>
            </w:pPr>
            <w:r w:rsidRPr="00602C19">
              <w:rPr>
                <w:rFonts w:ascii="Times New Roman" w:hAnsi="Times New Roman"/>
                <w:sz w:val="20"/>
                <w:szCs w:val="20"/>
              </w:rPr>
              <w:t xml:space="preserve">-16302 </w:t>
            </w:r>
          </w:p>
        </w:tc>
        <w:tc>
          <w:tcPr>
            <w:tcW w:w="1089" w:type="dxa"/>
            <w:shd w:val="clear" w:color="auto" w:fill="auto"/>
            <w:noWrap/>
            <w:vAlign w:val="center"/>
            <w:hideMark/>
          </w:tcPr>
          <w:p w14:paraId="42EF5D4E" w14:textId="0EE511CB" w:rsidR="00354956" w:rsidRPr="00602C19" w:rsidRDefault="00354956" w:rsidP="00A2076F">
            <w:pPr>
              <w:spacing w:after="0" w:line="240" w:lineRule="auto"/>
              <w:jc w:val="center"/>
              <w:rPr>
                <w:rFonts w:ascii="Times New Roman" w:hAnsi="Times New Roman"/>
                <w:b/>
                <w:sz w:val="20"/>
                <w:szCs w:val="20"/>
              </w:rPr>
            </w:pPr>
            <w:r w:rsidRPr="00602C19">
              <w:rPr>
                <w:rFonts w:ascii="Times New Roman" w:hAnsi="Times New Roman"/>
                <w:b/>
                <w:sz w:val="20"/>
                <w:szCs w:val="20"/>
              </w:rPr>
              <w:t>-9924.89</w:t>
            </w:r>
          </w:p>
        </w:tc>
        <w:tc>
          <w:tcPr>
            <w:tcW w:w="1417" w:type="dxa"/>
            <w:shd w:val="clear" w:color="auto" w:fill="auto"/>
            <w:noWrap/>
            <w:vAlign w:val="center"/>
            <w:hideMark/>
          </w:tcPr>
          <w:p w14:paraId="73DB545F" w14:textId="7EFB50C1" w:rsidR="00354956" w:rsidRPr="00602C19" w:rsidRDefault="00354956" w:rsidP="00BF6A20">
            <w:pPr>
              <w:spacing w:after="0" w:line="240" w:lineRule="auto"/>
              <w:jc w:val="center"/>
              <w:rPr>
                <w:rFonts w:ascii="Times New Roman" w:hAnsi="Times New Roman"/>
                <w:sz w:val="20"/>
                <w:szCs w:val="20"/>
              </w:rPr>
            </w:pPr>
            <w:r w:rsidRPr="00602C19">
              <w:rPr>
                <w:rFonts w:ascii="Times New Roman" w:hAnsi="Times New Roman"/>
                <w:sz w:val="20"/>
                <w:szCs w:val="20"/>
              </w:rPr>
              <w:t>-4598.608</w:t>
            </w:r>
          </w:p>
        </w:tc>
        <w:tc>
          <w:tcPr>
            <w:tcW w:w="1276" w:type="dxa"/>
            <w:shd w:val="clear" w:color="auto" w:fill="auto"/>
            <w:noWrap/>
            <w:vAlign w:val="center"/>
            <w:hideMark/>
          </w:tcPr>
          <w:p w14:paraId="4040B4F3" w14:textId="2F77A74E" w:rsidR="00354956" w:rsidRPr="00602C19" w:rsidRDefault="00354956" w:rsidP="00A2076F">
            <w:pPr>
              <w:spacing w:after="0" w:line="240" w:lineRule="auto"/>
              <w:jc w:val="center"/>
              <w:rPr>
                <w:rFonts w:ascii="Times New Roman" w:hAnsi="Times New Roman"/>
                <w:b/>
                <w:sz w:val="20"/>
                <w:szCs w:val="20"/>
              </w:rPr>
            </w:pPr>
            <w:r w:rsidRPr="00602C19">
              <w:rPr>
                <w:rFonts w:ascii="Times New Roman" w:hAnsi="Times New Roman"/>
                <w:b/>
                <w:sz w:val="20"/>
                <w:szCs w:val="20"/>
              </w:rPr>
              <w:t>1778.502</w:t>
            </w:r>
          </w:p>
        </w:tc>
        <w:tc>
          <w:tcPr>
            <w:tcW w:w="850" w:type="dxa"/>
          </w:tcPr>
          <w:p w14:paraId="29D1B9BD" w14:textId="638C228E" w:rsidR="00354956" w:rsidRPr="00602C19" w:rsidRDefault="00354956" w:rsidP="00BF6A20">
            <w:pPr>
              <w:spacing w:after="0" w:line="240" w:lineRule="auto"/>
              <w:jc w:val="center"/>
              <w:rPr>
                <w:rFonts w:ascii="Times New Roman" w:hAnsi="Times New Roman"/>
                <w:sz w:val="20"/>
                <w:szCs w:val="20"/>
              </w:rPr>
            </w:pPr>
            <w:r w:rsidRPr="00602C19">
              <w:rPr>
                <w:rFonts w:ascii="Times New Roman" w:hAnsi="Times New Roman"/>
                <w:sz w:val="20"/>
                <w:szCs w:val="20"/>
              </w:rPr>
              <w:t>-138.70</w:t>
            </w:r>
          </w:p>
        </w:tc>
        <w:tc>
          <w:tcPr>
            <w:tcW w:w="993" w:type="dxa"/>
          </w:tcPr>
          <w:p w14:paraId="696126CA" w14:textId="1DAEFC91" w:rsidR="00354956" w:rsidRPr="00602C19" w:rsidRDefault="00354956" w:rsidP="00BF6A20">
            <w:pPr>
              <w:spacing w:after="0" w:line="240" w:lineRule="auto"/>
              <w:jc w:val="center"/>
              <w:rPr>
                <w:rFonts w:ascii="Times New Roman" w:hAnsi="Times New Roman"/>
                <w:sz w:val="20"/>
                <w:szCs w:val="20"/>
              </w:rPr>
            </w:pPr>
            <w:r w:rsidRPr="00602C19">
              <w:rPr>
                <w:rFonts w:ascii="Times New Roman" w:hAnsi="Times New Roman"/>
                <w:sz w:val="20"/>
                <w:szCs w:val="20"/>
              </w:rPr>
              <w:t>190.29</w:t>
            </w:r>
          </w:p>
        </w:tc>
        <w:tc>
          <w:tcPr>
            <w:tcW w:w="992" w:type="dxa"/>
          </w:tcPr>
          <w:p w14:paraId="3888C8DA" w14:textId="06184061" w:rsidR="00354956" w:rsidRPr="00602C19" w:rsidRDefault="00B24205" w:rsidP="00BF6A20">
            <w:pPr>
              <w:spacing w:after="0" w:line="240" w:lineRule="auto"/>
              <w:jc w:val="center"/>
              <w:rPr>
                <w:rFonts w:ascii="Times New Roman" w:hAnsi="Times New Roman"/>
                <w:b/>
                <w:sz w:val="20"/>
                <w:szCs w:val="20"/>
              </w:rPr>
            </w:pPr>
            <w:r>
              <w:rPr>
                <w:rFonts w:ascii="Times New Roman" w:hAnsi="Times New Roman"/>
                <w:b/>
                <w:sz w:val="20"/>
                <w:szCs w:val="20"/>
              </w:rPr>
              <w:t>-</w:t>
            </w:r>
            <w:r w:rsidR="00354956" w:rsidRPr="00602C19">
              <w:rPr>
                <w:rFonts w:ascii="Times New Roman" w:hAnsi="Times New Roman"/>
                <w:b/>
                <w:sz w:val="20"/>
                <w:szCs w:val="20"/>
              </w:rPr>
              <w:t>51.59</w:t>
            </w:r>
          </w:p>
        </w:tc>
      </w:tr>
      <w:tr w:rsidR="00354956" w:rsidRPr="00602C19" w14:paraId="4723D69A" w14:textId="728E2936" w:rsidTr="00354956">
        <w:trPr>
          <w:trHeight w:val="299"/>
          <w:jc w:val="center"/>
        </w:trPr>
        <w:tc>
          <w:tcPr>
            <w:tcW w:w="618" w:type="dxa"/>
            <w:shd w:val="clear" w:color="auto" w:fill="auto"/>
            <w:noWrap/>
            <w:vAlign w:val="center"/>
            <w:hideMark/>
          </w:tcPr>
          <w:p w14:paraId="5152C677" w14:textId="77777777" w:rsidR="00354956" w:rsidRPr="00602C19" w:rsidRDefault="00354956" w:rsidP="00BF6A20">
            <w:pPr>
              <w:spacing w:after="0" w:line="240" w:lineRule="auto"/>
              <w:rPr>
                <w:rFonts w:ascii="Times New Roman" w:hAnsi="Times New Roman"/>
                <w:sz w:val="20"/>
                <w:szCs w:val="20"/>
              </w:rPr>
            </w:pPr>
            <w:r w:rsidRPr="00602C19">
              <w:rPr>
                <w:rFonts w:ascii="Times New Roman" w:hAnsi="Times New Roman"/>
                <w:sz w:val="20"/>
                <w:szCs w:val="20"/>
              </w:rPr>
              <w:t>2014</w:t>
            </w:r>
          </w:p>
        </w:tc>
        <w:tc>
          <w:tcPr>
            <w:tcW w:w="1362" w:type="dxa"/>
            <w:shd w:val="clear" w:color="auto" w:fill="auto"/>
            <w:noWrap/>
            <w:vAlign w:val="center"/>
            <w:hideMark/>
          </w:tcPr>
          <w:p w14:paraId="6F949B1E" w14:textId="761061DF" w:rsidR="00354956" w:rsidRPr="00602C19" w:rsidRDefault="00354956" w:rsidP="00BF6A20">
            <w:pPr>
              <w:spacing w:after="0" w:line="240" w:lineRule="auto"/>
              <w:jc w:val="center"/>
              <w:rPr>
                <w:rFonts w:ascii="Times New Roman" w:hAnsi="Times New Roman"/>
                <w:sz w:val="20"/>
                <w:szCs w:val="20"/>
              </w:rPr>
            </w:pPr>
            <w:r w:rsidRPr="00602C19">
              <w:rPr>
                <w:rFonts w:ascii="Times New Roman" w:hAnsi="Times New Roman"/>
                <w:sz w:val="20"/>
                <w:szCs w:val="20"/>
              </w:rPr>
              <w:t>-633.17</w:t>
            </w:r>
          </w:p>
        </w:tc>
        <w:tc>
          <w:tcPr>
            <w:tcW w:w="1321" w:type="dxa"/>
            <w:shd w:val="clear" w:color="auto" w:fill="auto"/>
            <w:noWrap/>
            <w:vAlign w:val="center"/>
            <w:hideMark/>
          </w:tcPr>
          <w:p w14:paraId="330FD093" w14:textId="4CF6C701" w:rsidR="00354956" w:rsidRPr="00602C19" w:rsidRDefault="00354956" w:rsidP="00BF6A20">
            <w:pPr>
              <w:spacing w:after="0" w:line="240" w:lineRule="auto"/>
              <w:jc w:val="center"/>
              <w:rPr>
                <w:rFonts w:ascii="Times New Roman" w:hAnsi="Times New Roman"/>
                <w:sz w:val="20"/>
                <w:szCs w:val="20"/>
              </w:rPr>
            </w:pPr>
            <w:r w:rsidRPr="00602C19">
              <w:rPr>
                <w:rFonts w:ascii="Times New Roman" w:hAnsi="Times New Roman"/>
                <w:sz w:val="20"/>
                <w:szCs w:val="20"/>
              </w:rPr>
              <w:t xml:space="preserve">-16302 </w:t>
            </w:r>
          </w:p>
        </w:tc>
        <w:tc>
          <w:tcPr>
            <w:tcW w:w="1089" w:type="dxa"/>
            <w:shd w:val="clear" w:color="auto" w:fill="auto"/>
            <w:noWrap/>
            <w:vAlign w:val="center"/>
            <w:hideMark/>
          </w:tcPr>
          <w:p w14:paraId="00C168DB" w14:textId="5DE3A256" w:rsidR="00354956" w:rsidRPr="00602C19" w:rsidRDefault="00354956" w:rsidP="00A2076F">
            <w:pPr>
              <w:spacing w:after="0" w:line="240" w:lineRule="auto"/>
              <w:jc w:val="center"/>
              <w:rPr>
                <w:rFonts w:ascii="Times New Roman" w:hAnsi="Times New Roman"/>
                <w:b/>
                <w:sz w:val="20"/>
                <w:szCs w:val="20"/>
              </w:rPr>
            </w:pPr>
            <w:r w:rsidRPr="00602C19">
              <w:rPr>
                <w:rFonts w:ascii="Times New Roman" w:hAnsi="Times New Roman"/>
                <w:b/>
                <w:sz w:val="20"/>
                <w:szCs w:val="20"/>
              </w:rPr>
              <w:t>-15668.83</w:t>
            </w:r>
          </w:p>
        </w:tc>
        <w:tc>
          <w:tcPr>
            <w:tcW w:w="1417" w:type="dxa"/>
            <w:shd w:val="clear" w:color="auto" w:fill="auto"/>
            <w:noWrap/>
            <w:vAlign w:val="center"/>
            <w:hideMark/>
          </w:tcPr>
          <w:p w14:paraId="16E037AF" w14:textId="0A55EA43" w:rsidR="00354956" w:rsidRPr="00602C19" w:rsidRDefault="00354956" w:rsidP="00BF6A20">
            <w:pPr>
              <w:spacing w:after="0" w:line="240" w:lineRule="auto"/>
              <w:jc w:val="center"/>
              <w:rPr>
                <w:rFonts w:ascii="Times New Roman" w:hAnsi="Times New Roman"/>
                <w:sz w:val="20"/>
                <w:szCs w:val="20"/>
              </w:rPr>
            </w:pPr>
            <w:r w:rsidRPr="00602C19">
              <w:rPr>
                <w:rFonts w:ascii="Times New Roman" w:hAnsi="Times New Roman"/>
                <w:sz w:val="20"/>
                <w:szCs w:val="20"/>
              </w:rPr>
              <w:t>-4598.608</w:t>
            </w:r>
          </w:p>
        </w:tc>
        <w:tc>
          <w:tcPr>
            <w:tcW w:w="1276" w:type="dxa"/>
            <w:shd w:val="clear" w:color="auto" w:fill="auto"/>
            <w:noWrap/>
            <w:vAlign w:val="center"/>
          </w:tcPr>
          <w:p w14:paraId="32C4E8CD" w14:textId="61C17380" w:rsidR="00354956" w:rsidRPr="00602C19" w:rsidRDefault="00354956" w:rsidP="00BF6A20">
            <w:pPr>
              <w:spacing w:after="0" w:line="240" w:lineRule="auto"/>
              <w:jc w:val="center"/>
              <w:rPr>
                <w:rFonts w:ascii="Times New Roman" w:hAnsi="Times New Roman"/>
                <w:b/>
                <w:sz w:val="20"/>
                <w:szCs w:val="20"/>
              </w:rPr>
            </w:pPr>
            <w:r w:rsidRPr="00602C19">
              <w:rPr>
                <w:rFonts w:ascii="Times New Roman" w:hAnsi="Times New Roman"/>
                <w:b/>
                <w:sz w:val="20"/>
                <w:szCs w:val="20"/>
              </w:rPr>
              <w:t>-3965.44</w:t>
            </w:r>
          </w:p>
        </w:tc>
        <w:tc>
          <w:tcPr>
            <w:tcW w:w="850" w:type="dxa"/>
          </w:tcPr>
          <w:p w14:paraId="45301BF4" w14:textId="12168731" w:rsidR="00354956" w:rsidRPr="00602C19" w:rsidRDefault="00354956" w:rsidP="00BF6A20">
            <w:pPr>
              <w:spacing w:after="0" w:line="240" w:lineRule="auto"/>
              <w:jc w:val="center"/>
              <w:rPr>
                <w:rFonts w:ascii="Times New Roman" w:hAnsi="Times New Roman"/>
                <w:sz w:val="20"/>
                <w:szCs w:val="20"/>
              </w:rPr>
            </w:pPr>
            <w:r w:rsidRPr="00602C19">
              <w:rPr>
                <w:rFonts w:ascii="Times New Roman" w:hAnsi="Times New Roman"/>
                <w:sz w:val="20"/>
                <w:szCs w:val="20"/>
              </w:rPr>
              <w:t>-147.68</w:t>
            </w:r>
          </w:p>
        </w:tc>
        <w:tc>
          <w:tcPr>
            <w:tcW w:w="993" w:type="dxa"/>
          </w:tcPr>
          <w:p w14:paraId="33495760" w14:textId="4F2A5FBD" w:rsidR="00354956" w:rsidRPr="00602C19" w:rsidRDefault="00354956" w:rsidP="00BF6A20">
            <w:pPr>
              <w:spacing w:after="0" w:line="240" w:lineRule="auto"/>
              <w:jc w:val="center"/>
              <w:rPr>
                <w:rFonts w:ascii="Times New Roman" w:hAnsi="Times New Roman"/>
                <w:sz w:val="20"/>
                <w:szCs w:val="20"/>
              </w:rPr>
            </w:pPr>
            <w:r w:rsidRPr="00602C19">
              <w:rPr>
                <w:rFonts w:ascii="Times New Roman" w:hAnsi="Times New Roman"/>
                <w:sz w:val="20"/>
                <w:szCs w:val="20"/>
              </w:rPr>
              <w:t>194.99</w:t>
            </w:r>
          </w:p>
        </w:tc>
        <w:tc>
          <w:tcPr>
            <w:tcW w:w="992" w:type="dxa"/>
          </w:tcPr>
          <w:p w14:paraId="52CFEA89" w14:textId="6B6A6F99" w:rsidR="00354956" w:rsidRPr="00602C19" w:rsidRDefault="00B24205" w:rsidP="00BF6A20">
            <w:pPr>
              <w:spacing w:after="0" w:line="240" w:lineRule="auto"/>
              <w:jc w:val="center"/>
              <w:rPr>
                <w:rFonts w:ascii="Times New Roman" w:hAnsi="Times New Roman"/>
                <w:b/>
                <w:sz w:val="20"/>
                <w:szCs w:val="20"/>
              </w:rPr>
            </w:pPr>
            <w:r>
              <w:rPr>
                <w:rFonts w:ascii="Times New Roman" w:hAnsi="Times New Roman"/>
                <w:b/>
                <w:sz w:val="20"/>
                <w:szCs w:val="20"/>
              </w:rPr>
              <w:t>-</w:t>
            </w:r>
            <w:r w:rsidR="00354956" w:rsidRPr="00602C19">
              <w:rPr>
                <w:rFonts w:ascii="Times New Roman" w:hAnsi="Times New Roman"/>
                <w:b/>
                <w:sz w:val="20"/>
                <w:szCs w:val="20"/>
              </w:rPr>
              <w:t>47.31</w:t>
            </w:r>
          </w:p>
        </w:tc>
      </w:tr>
      <w:tr w:rsidR="00354956" w:rsidRPr="00602C19" w14:paraId="18EB0EBB" w14:textId="0D657598" w:rsidTr="00354956">
        <w:trPr>
          <w:trHeight w:val="299"/>
          <w:jc w:val="center"/>
        </w:trPr>
        <w:tc>
          <w:tcPr>
            <w:tcW w:w="618" w:type="dxa"/>
            <w:shd w:val="clear" w:color="auto" w:fill="auto"/>
            <w:noWrap/>
            <w:vAlign w:val="center"/>
          </w:tcPr>
          <w:p w14:paraId="44ECB723" w14:textId="77777777" w:rsidR="00354956" w:rsidRPr="00602C19" w:rsidRDefault="00354956" w:rsidP="00BF6A20">
            <w:pPr>
              <w:spacing w:after="0" w:line="240" w:lineRule="auto"/>
              <w:rPr>
                <w:rFonts w:ascii="Times New Roman" w:hAnsi="Times New Roman"/>
                <w:sz w:val="20"/>
                <w:szCs w:val="20"/>
              </w:rPr>
            </w:pPr>
            <w:r w:rsidRPr="00602C19">
              <w:rPr>
                <w:rFonts w:ascii="Times New Roman" w:hAnsi="Times New Roman"/>
                <w:sz w:val="20"/>
                <w:szCs w:val="20"/>
              </w:rPr>
              <w:t>2015</w:t>
            </w:r>
          </w:p>
        </w:tc>
        <w:tc>
          <w:tcPr>
            <w:tcW w:w="1362" w:type="dxa"/>
            <w:shd w:val="clear" w:color="auto" w:fill="auto"/>
            <w:noWrap/>
            <w:vAlign w:val="center"/>
          </w:tcPr>
          <w:p w14:paraId="483A8C23" w14:textId="08D71186" w:rsidR="00354956" w:rsidRPr="00602C19" w:rsidRDefault="00354956" w:rsidP="00BF6A20">
            <w:pPr>
              <w:spacing w:after="0" w:line="240" w:lineRule="auto"/>
              <w:jc w:val="center"/>
              <w:rPr>
                <w:rFonts w:ascii="Times New Roman" w:hAnsi="Times New Roman"/>
                <w:sz w:val="20"/>
                <w:szCs w:val="20"/>
              </w:rPr>
            </w:pPr>
            <w:r w:rsidRPr="00602C19">
              <w:rPr>
                <w:rFonts w:ascii="Times New Roman" w:hAnsi="Times New Roman"/>
                <w:sz w:val="20"/>
                <w:szCs w:val="20"/>
              </w:rPr>
              <w:t>-2452.25</w:t>
            </w:r>
          </w:p>
        </w:tc>
        <w:tc>
          <w:tcPr>
            <w:tcW w:w="1321" w:type="dxa"/>
            <w:shd w:val="clear" w:color="auto" w:fill="auto"/>
            <w:noWrap/>
            <w:vAlign w:val="center"/>
          </w:tcPr>
          <w:p w14:paraId="091EED11" w14:textId="41F87A63" w:rsidR="00354956" w:rsidRPr="00602C19" w:rsidRDefault="00354956" w:rsidP="00E04C13">
            <w:pPr>
              <w:spacing w:after="0" w:line="240" w:lineRule="auto"/>
              <w:jc w:val="center"/>
              <w:rPr>
                <w:rFonts w:ascii="Times New Roman" w:hAnsi="Times New Roman"/>
                <w:sz w:val="20"/>
                <w:szCs w:val="20"/>
              </w:rPr>
            </w:pPr>
            <w:r w:rsidRPr="00602C19">
              <w:rPr>
                <w:rFonts w:ascii="Times New Roman" w:hAnsi="Times New Roman"/>
                <w:sz w:val="20"/>
                <w:szCs w:val="20"/>
              </w:rPr>
              <w:t xml:space="preserve">-16302 </w:t>
            </w:r>
          </w:p>
        </w:tc>
        <w:tc>
          <w:tcPr>
            <w:tcW w:w="1089" w:type="dxa"/>
            <w:shd w:val="clear" w:color="auto" w:fill="auto"/>
            <w:noWrap/>
            <w:vAlign w:val="center"/>
          </w:tcPr>
          <w:p w14:paraId="02794A32" w14:textId="6B4A2119" w:rsidR="00354956" w:rsidRPr="00602C19" w:rsidRDefault="00354956" w:rsidP="00BF6A20">
            <w:pPr>
              <w:spacing w:after="0" w:line="240" w:lineRule="auto"/>
              <w:jc w:val="center"/>
              <w:rPr>
                <w:rFonts w:ascii="Times New Roman" w:hAnsi="Times New Roman"/>
                <w:b/>
                <w:sz w:val="20"/>
                <w:szCs w:val="20"/>
              </w:rPr>
            </w:pPr>
            <w:r w:rsidRPr="00602C19">
              <w:rPr>
                <w:rFonts w:ascii="Times New Roman" w:hAnsi="Times New Roman"/>
                <w:b/>
                <w:sz w:val="20"/>
                <w:szCs w:val="20"/>
              </w:rPr>
              <w:t>-13849.75</w:t>
            </w:r>
          </w:p>
        </w:tc>
        <w:tc>
          <w:tcPr>
            <w:tcW w:w="1417" w:type="dxa"/>
            <w:shd w:val="clear" w:color="auto" w:fill="auto"/>
            <w:noWrap/>
            <w:vAlign w:val="center"/>
          </w:tcPr>
          <w:p w14:paraId="0220094E" w14:textId="1D08C06B" w:rsidR="00354956" w:rsidRPr="00602C19" w:rsidRDefault="00354956" w:rsidP="00BF6A20">
            <w:pPr>
              <w:spacing w:after="0" w:line="240" w:lineRule="auto"/>
              <w:jc w:val="center"/>
              <w:rPr>
                <w:rFonts w:ascii="Times New Roman" w:hAnsi="Times New Roman"/>
                <w:sz w:val="20"/>
                <w:szCs w:val="20"/>
              </w:rPr>
            </w:pPr>
            <w:r w:rsidRPr="00602C19">
              <w:rPr>
                <w:rFonts w:ascii="Times New Roman" w:hAnsi="Times New Roman"/>
                <w:sz w:val="20"/>
                <w:szCs w:val="20"/>
              </w:rPr>
              <w:t>-4598.608</w:t>
            </w:r>
          </w:p>
        </w:tc>
        <w:tc>
          <w:tcPr>
            <w:tcW w:w="1276" w:type="dxa"/>
            <w:shd w:val="clear" w:color="auto" w:fill="auto"/>
            <w:noWrap/>
            <w:vAlign w:val="center"/>
          </w:tcPr>
          <w:p w14:paraId="22119E1A" w14:textId="5578D87B" w:rsidR="00354956" w:rsidRPr="00602C19" w:rsidRDefault="00354956" w:rsidP="00BF6A20">
            <w:pPr>
              <w:spacing w:after="0" w:line="240" w:lineRule="auto"/>
              <w:jc w:val="center"/>
              <w:rPr>
                <w:rFonts w:ascii="Times New Roman" w:hAnsi="Times New Roman"/>
                <w:b/>
                <w:sz w:val="20"/>
                <w:szCs w:val="20"/>
              </w:rPr>
            </w:pPr>
            <w:r w:rsidRPr="00602C19">
              <w:rPr>
                <w:rFonts w:ascii="Times New Roman" w:hAnsi="Times New Roman"/>
                <w:b/>
                <w:sz w:val="20"/>
                <w:szCs w:val="20"/>
              </w:rPr>
              <w:t>-2146.36</w:t>
            </w:r>
          </w:p>
        </w:tc>
        <w:tc>
          <w:tcPr>
            <w:tcW w:w="850" w:type="dxa"/>
          </w:tcPr>
          <w:p w14:paraId="4AF392D7" w14:textId="054D21F8" w:rsidR="00354956" w:rsidRPr="00602C19" w:rsidRDefault="00354956" w:rsidP="00BF6A20">
            <w:pPr>
              <w:spacing w:after="0" w:line="240" w:lineRule="auto"/>
              <w:jc w:val="center"/>
              <w:rPr>
                <w:rFonts w:ascii="Times New Roman" w:hAnsi="Times New Roman"/>
                <w:sz w:val="20"/>
                <w:szCs w:val="20"/>
              </w:rPr>
            </w:pPr>
            <w:r w:rsidRPr="00602C19">
              <w:rPr>
                <w:rFonts w:ascii="Times New Roman" w:hAnsi="Times New Roman"/>
                <w:sz w:val="20"/>
                <w:szCs w:val="20"/>
              </w:rPr>
              <w:t>-155.23</w:t>
            </w:r>
          </w:p>
        </w:tc>
        <w:tc>
          <w:tcPr>
            <w:tcW w:w="993" w:type="dxa"/>
          </w:tcPr>
          <w:p w14:paraId="522714C1" w14:textId="27A7BD5D" w:rsidR="00354956" w:rsidRPr="00602C19" w:rsidRDefault="00354956" w:rsidP="00BF6A20">
            <w:pPr>
              <w:spacing w:after="0" w:line="240" w:lineRule="auto"/>
              <w:jc w:val="center"/>
              <w:rPr>
                <w:rFonts w:ascii="Times New Roman" w:hAnsi="Times New Roman"/>
                <w:sz w:val="20"/>
                <w:szCs w:val="20"/>
              </w:rPr>
            </w:pPr>
            <w:r w:rsidRPr="00602C19">
              <w:rPr>
                <w:rFonts w:ascii="Times New Roman" w:hAnsi="Times New Roman"/>
                <w:sz w:val="20"/>
                <w:szCs w:val="20"/>
              </w:rPr>
              <w:t>199.38</w:t>
            </w:r>
          </w:p>
        </w:tc>
        <w:tc>
          <w:tcPr>
            <w:tcW w:w="992" w:type="dxa"/>
          </w:tcPr>
          <w:p w14:paraId="085D0A4F" w14:textId="6D4840C8" w:rsidR="00354956" w:rsidRPr="00602C19" w:rsidRDefault="00B24205" w:rsidP="00BF6A20">
            <w:pPr>
              <w:spacing w:after="0" w:line="240" w:lineRule="auto"/>
              <w:jc w:val="center"/>
              <w:rPr>
                <w:rFonts w:ascii="Times New Roman" w:hAnsi="Times New Roman"/>
                <w:b/>
                <w:sz w:val="20"/>
                <w:szCs w:val="20"/>
              </w:rPr>
            </w:pPr>
            <w:r>
              <w:rPr>
                <w:rFonts w:ascii="Times New Roman" w:hAnsi="Times New Roman"/>
                <w:b/>
                <w:sz w:val="20"/>
                <w:szCs w:val="20"/>
              </w:rPr>
              <w:t>-</w:t>
            </w:r>
            <w:r w:rsidR="00354956" w:rsidRPr="00602C19">
              <w:rPr>
                <w:rFonts w:ascii="Times New Roman" w:hAnsi="Times New Roman"/>
                <w:b/>
                <w:sz w:val="20"/>
                <w:szCs w:val="20"/>
              </w:rPr>
              <w:t>44.15</w:t>
            </w:r>
          </w:p>
        </w:tc>
      </w:tr>
      <w:tr w:rsidR="00354956" w:rsidRPr="00602C19" w14:paraId="29E4F1BE" w14:textId="7461341D" w:rsidTr="00354956">
        <w:trPr>
          <w:trHeight w:val="299"/>
          <w:jc w:val="center"/>
        </w:trPr>
        <w:tc>
          <w:tcPr>
            <w:tcW w:w="618" w:type="dxa"/>
            <w:shd w:val="clear" w:color="auto" w:fill="auto"/>
            <w:noWrap/>
            <w:vAlign w:val="center"/>
          </w:tcPr>
          <w:p w14:paraId="2B38B156" w14:textId="3B2BD02B" w:rsidR="00354956" w:rsidRPr="00602C19" w:rsidRDefault="00354956" w:rsidP="00BF6A20">
            <w:pPr>
              <w:spacing w:after="0" w:line="240" w:lineRule="auto"/>
              <w:rPr>
                <w:rFonts w:ascii="Times New Roman" w:hAnsi="Times New Roman"/>
                <w:sz w:val="20"/>
                <w:szCs w:val="20"/>
              </w:rPr>
            </w:pPr>
            <w:r w:rsidRPr="00602C19">
              <w:rPr>
                <w:rFonts w:ascii="Times New Roman" w:hAnsi="Times New Roman"/>
                <w:sz w:val="20"/>
                <w:szCs w:val="20"/>
              </w:rPr>
              <w:t>2016</w:t>
            </w:r>
          </w:p>
        </w:tc>
        <w:tc>
          <w:tcPr>
            <w:tcW w:w="1362" w:type="dxa"/>
            <w:shd w:val="clear" w:color="auto" w:fill="auto"/>
            <w:noWrap/>
            <w:vAlign w:val="center"/>
          </w:tcPr>
          <w:p w14:paraId="38F7EA9D" w14:textId="3DC7F5C1" w:rsidR="00354956" w:rsidRPr="00602C19" w:rsidRDefault="00354956" w:rsidP="00BF6A20">
            <w:pPr>
              <w:spacing w:after="0" w:line="240" w:lineRule="auto"/>
              <w:jc w:val="center"/>
              <w:rPr>
                <w:rFonts w:ascii="Times New Roman" w:hAnsi="Times New Roman"/>
                <w:sz w:val="20"/>
                <w:szCs w:val="20"/>
              </w:rPr>
            </w:pPr>
            <w:r w:rsidRPr="00602C19">
              <w:rPr>
                <w:rFonts w:ascii="Times New Roman" w:hAnsi="Times New Roman"/>
                <w:sz w:val="20"/>
                <w:szCs w:val="20"/>
              </w:rPr>
              <w:t>-3553.15</w:t>
            </w:r>
          </w:p>
        </w:tc>
        <w:tc>
          <w:tcPr>
            <w:tcW w:w="1321" w:type="dxa"/>
            <w:shd w:val="clear" w:color="auto" w:fill="auto"/>
            <w:noWrap/>
            <w:vAlign w:val="center"/>
          </w:tcPr>
          <w:p w14:paraId="19F04F9F" w14:textId="470852AA" w:rsidR="00354956" w:rsidRPr="00602C19" w:rsidRDefault="00354956" w:rsidP="00BF6A20">
            <w:pPr>
              <w:spacing w:after="0" w:line="240" w:lineRule="auto"/>
              <w:jc w:val="center"/>
              <w:rPr>
                <w:rFonts w:ascii="Times New Roman" w:hAnsi="Times New Roman"/>
                <w:sz w:val="20"/>
                <w:szCs w:val="20"/>
              </w:rPr>
            </w:pPr>
            <w:r w:rsidRPr="00602C19">
              <w:rPr>
                <w:rFonts w:ascii="Times New Roman" w:hAnsi="Times New Roman"/>
                <w:sz w:val="20"/>
                <w:szCs w:val="20"/>
              </w:rPr>
              <w:t>-16302</w:t>
            </w:r>
          </w:p>
        </w:tc>
        <w:tc>
          <w:tcPr>
            <w:tcW w:w="1089" w:type="dxa"/>
            <w:shd w:val="clear" w:color="auto" w:fill="auto"/>
            <w:noWrap/>
            <w:vAlign w:val="center"/>
          </w:tcPr>
          <w:p w14:paraId="332B3E49" w14:textId="15E4B0D3" w:rsidR="00354956" w:rsidRPr="00602C19" w:rsidRDefault="00354956" w:rsidP="00BF6A20">
            <w:pPr>
              <w:spacing w:after="0" w:line="240" w:lineRule="auto"/>
              <w:jc w:val="center"/>
              <w:rPr>
                <w:rFonts w:ascii="Times New Roman" w:hAnsi="Times New Roman"/>
                <w:b/>
                <w:sz w:val="20"/>
                <w:szCs w:val="20"/>
              </w:rPr>
            </w:pPr>
            <w:r w:rsidRPr="00602C19">
              <w:rPr>
                <w:rFonts w:ascii="Times New Roman" w:hAnsi="Times New Roman"/>
                <w:b/>
                <w:sz w:val="20"/>
                <w:szCs w:val="20"/>
              </w:rPr>
              <w:t>-12748.85</w:t>
            </w:r>
          </w:p>
        </w:tc>
        <w:tc>
          <w:tcPr>
            <w:tcW w:w="1417" w:type="dxa"/>
            <w:shd w:val="clear" w:color="auto" w:fill="auto"/>
            <w:noWrap/>
            <w:vAlign w:val="center"/>
          </w:tcPr>
          <w:p w14:paraId="1D0140DA" w14:textId="094F9A27" w:rsidR="00354956" w:rsidRPr="00602C19" w:rsidRDefault="00354956" w:rsidP="00BF6A20">
            <w:pPr>
              <w:spacing w:after="0" w:line="240" w:lineRule="auto"/>
              <w:jc w:val="center"/>
              <w:rPr>
                <w:rFonts w:ascii="Times New Roman" w:hAnsi="Times New Roman"/>
                <w:sz w:val="20"/>
                <w:szCs w:val="20"/>
              </w:rPr>
            </w:pPr>
            <w:r w:rsidRPr="00602C19">
              <w:rPr>
                <w:rFonts w:ascii="Times New Roman" w:hAnsi="Times New Roman"/>
                <w:sz w:val="20"/>
                <w:szCs w:val="20"/>
              </w:rPr>
              <w:t>-4598.608</w:t>
            </w:r>
          </w:p>
        </w:tc>
        <w:tc>
          <w:tcPr>
            <w:tcW w:w="1276" w:type="dxa"/>
            <w:shd w:val="clear" w:color="auto" w:fill="auto"/>
            <w:noWrap/>
            <w:vAlign w:val="center"/>
          </w:tcPr>
          <w:p w14:paraId="5421A5DD" w14:textId="1815BE81" w:rsidR="00354956" w:rsidRPr="00602C19" w:rsidRDefault="00354956" w:rsidP="00BF6A20">
            <w:pPr>
              <w:spacing w:after="0" w:line="240" w:lineRule="auto"/>
              <w:jc w:val="center"/>
              <w:rPr>
                <w:rFonts w:ascii="Times New Roman" w:hAnsi="Times New Roman"/>
                <w:b/>
                <w:sz w:val="20"/>
                <w:szCs w:val="20"/>
              </w:rPr>
            </w:pPr>
            <w:r w:rsidRPr="00602C19">
              <w:rPr>
                <w:rFonts w:ascii="Times New Roman" w:hAnsi="Times New Roman"/>
                <w:b/>
                <w:sz w:val="20"/>
                <w:szCs w:val="20"/>
              </w:rPr>
              <w:t>-1045.46</w:t>
            </w:r>
          </w:p>
        </w:tc>
        <w:tc>
          <w:tcPr>
            <w:tcW w:w="850" w:type="dxa"/>
          </w:tcPr>
          <w:p w14:paraId="47E104C6" w14:textId="7B1CDF49" w:rsidR="00354956" w:rsidRPr="00602C19" w:rsidRDefault="00354956" w:rsidP="00BF6A20">
            <w:pPr>
              <w:spacing w:after="0" w:line="240" w:lineRule="auto"/>
              <w:jc w:val="center"/>
              <w:rPr>
                <w:rFonts w:ascii="Times New Roman" w:hAnsi="Times New Roman"/>
                <w:sz w:val="20"/>
                <w:szCs w:val="20"/>
              </w:rPr>
            </w:pPr>
            <w:r w:rsidRPr="00602C19">
              <w:rPr>
                <w:rFonts w:ascii="Times New Roman" w:hAnsi="Times New Roman"/>
                <w:sz w:val="20"/>
                <w:szCs w:val="20"/>
              </w:rPr>
              <w:t>-165.83</w:t>
            </w:r>
          </w:p>
        </w:tc>
        <w:tc>
          <w:tcPr>
            <w:tcW w:w="993" w:type="dxa"/>
          </w:tcPr>
          <w:p w14:paraId="74FD1111" w14:textId="691869A1" w:rsidR="00354956" w:rsidRPr="00602C19" w:rsidRDefault="00354956" w:rsidP="00BF6A20">
            <w:pPr>
              <w:spacing w:after="0" w:line="240" w:lineRule="auto"/>
              <w:jc w:val="center"/>
              <w:rPr>
                <w:rFonts w:ascii="Times New Roman" w:hAnsi="Times New Roman"/>
                <w:sz w:val="20"/>
                <w:szCs w:val="20"/>
              </w:rPr>
            </w:pPr>
            <w:r w:rsidRPr="00602C19">
              <w:rPr>
                <w:rFonts w:ascii="Times New Roman" w:hAnsi="Times New Roman"/>
                <w:sz w:val="20"/>
                <w:szCs w:val="20"/>
              </w:rPr>
              <w:t>203.95</w:t>
            </w:r>
          </w:p>
        </w:tc>
        <w:tc>
          <w:tcPr>
            <w:tcW w:w="992" w:type="dxa"/>
          </w:tcPr>
          <w:p w14:paraId="50193E4F" w14:textId="07EA30C5" w:rsidR="00354956" w:rsidRPr="00602C19" w:rsidRDefault="00B24205" w:rsidP="00BF6A20">
            <w:pPr>
              <w:spacing w:after="0" w:line="240" w:lineRule="auto"/>
              <w:jc w:val="center"/>
              <w:rPr>
                <w:rFonts w:ascii="Times New Roman" w:hAnsi="Times New Roman"/>
                <w:b/>
                <w:sz w:val="20"/>
                <w:szCs w:val="20"/>
              </w:rPr>
            </w:pPr>
            <w:r>
              <w:rPr>
                <w:rFonts w:ascii="Times New Roman" w:hAnsi="Times New Roman"/>
                <w:b/>
                <w:sz w:val="20"/>
                <w:szCs w:val="20"/>
              </w:rPr>
              <w:t>-</w:t>
            </w:r>
            <w:r w:rsidR="00354956" w:rsidRPr="00602C19">
              <w:rPr>
                <w:rFonts w:ascii="Times New Roman" w:hAnsi="Times New Roman"/>
                <w:b/>
                <w:sz w:val="20"/>
                <w:szCs w:val="20"/>
              </w:rPr>
              <w:t>38.12</w:t>
            </w:r>
          </w:p>
        </w:tc>
      </w:tr>
    </w:tbl>
    <w:p w14:paraId="17C5BAB8" w14:textId="218225F2" w:rsidR="00BF6A20" w:rsidRPr="00602C19" w:rsidRDefault="00354956" w:rsidP="000B63D6">
      <w:pPr>
        <w:spacing w:before="120" w:after="120" w:line="240" w:lineRule="auto"/>
        <w:ind w:firstLine="709"/>
        <w:jc w:val="both"/>
        <w:rPr>
          <w:rFonts w:ascii="Times New Roman" w:hAnsi="Times New Roman"/>
          <w:sz w:val="24"/>
          <w:szCs w:val="24"/>
        </w:rPr>
      </w:pPr>
      <w:r w:rsidRPr="00602C19">
        <w:rPr>
          <w:rFonts w:ascii="Times New Roman" w:hAnsi="Times New Roman"/>
          <w:sz w:val="24"/>
          <w:szCs w:val="24"/>
        </w:rPr>
        <w:t>Pēc 3. tabulā apkopotās informācijas secināms, ka ZIZIMM mērķu izpilde</w:t>
      </w:r>
      <w:r w:rsidR="00B62EB5" w:rsidRPr="00602C19">
        <w:rPr>
          <w:rFonts w:ascii="Times New Roman" w:hAnsi="Times New Roman"/>
          <w:sz w:val="24"/>
          <w:szCs w:val="24"/>
        </w:rPr>
        <w:t>, tas ir, meža apsaimniekošanas CO</w:t>
      </w:r>
      <w:r w:rsidR="00B62EB5" w:rsidRPr="00602C19">
        <w:rPr>
          <w:rFonts w:ascii="Times New Roman" w:hAnsi="Times New Roman"/>
          <w:sz w:val="24"/>
          <w:szCs w:val="24"/>
          <w:vertAlign w:val="subscript"/>
        </w:rPr>
        <w:t>2</w:t>
      </w:r>
      <w:r w:rsidR="00B62EB5" w:rsidRPr="00602C19">
        <w:rPr>
          <w:rFonts w:ascii="Times New Roman" w:hAnsi="Times New Roman"/>
          <w:sz w:val="24"/>
          <w:szCs w:val="24"/>
        </w:rPr>
        <w:t xml:space="preserve"> bilances mērķis (Kioto protokola 3. </w:t>
      </w:r>
      <w:r w:rsidR="00261516" w:rsidRPr="00602C19">
        <w:rPr>
          <w:rFonts w:ascii="Times New Roman" w:hAnsi="Times New Roman"/>
          <w:sz w:val="24"/>
          <w:szCs w:val="24"/>
        </w:rPr>
        <w:t>pant</w:t>
      </w:r>
      <w:r w:rsidR="00261516">
        <w:rPr>
          <w:rFonts w:ascii="Times New Roman" w:hAnsi="Times New Roman"/>
          <w:sz w:val="24"/>
          <w:szCs w:val="24"/>
        </w:rPr>
        <w:t xml:space="preserve">a </w:t>
      </w:r>
      <w:r w:rsidR="008B52BF" w:rsidRPr="00602C19">
        <w:rPr>
          <w:rFonts w:ascii="Times New Roman" w:hAnsi="Times New Roman"/>
          <w:sz w:val="24"/>
          <w:szCs w:val="24"/>
        </w:rPr>
        <w:t>4.</w:t>
      </w:r>
      <w:r w:rsidR="00261516">
        <w:rPr>
          <w:rFonts w:ascii="Times New Roman" w:hAnsi="Times New Roman"/>
          <w:sz w:val="24"/>
          <w:szCs w:val="24"/>
        </w:rPr>
        <w:t> </w:t>
      </w:r>
      <w:r w:rsidR="008B52BF">
        <w:rPr>
          <w:rFonts w:ascii="Times New Roman" w:hAnsi="Times New Roman"/>
          <w:sz w:val="24"/>
          <w:szCs w:val="24"/>
        </w:rPr>
        <w:t>punkts</w:t>
      </w:r>
      <w:r w:rsidR="00B62EB5" w:rsidRPr="00602C19">
        <w:rPr>
          <w:rFonts w:ascii="Times New Roman" w:hAnsi="Times New Roman"/>
          <w:sz w:val="24"/>
          <w:szCs w:val="24"/>
        </w:rPr>
        <w:t>) un K</w:t>
      </w:r>
      <w:r w:rsidR="00B726EB">
        <w:rPr>
          <w:rFonts w:ascii="Times New Roman" w:hAnsi="Times New Roman"/>
          <w:sz w:val="24"/>
          <w:szCs w:val="24"/>
        </w:rPr>
        <w:t>limata k</w:t>
      </w:r>
      <w:r w:rsidR="00B62EB5" w:rsidRPr="00602C19">
        <w:rPr>
          <w:rFonts w:ascii="Times New Roman" w:hAnsi="Times New Roman"/>
          <w:sz w:val="24"/>
          <w:szCs w:val="24"/>
        </w:rPr>
        <w:t>onvencijas Kioto protokola 3. panta 3. punktā noteiktais nosacījums, ka ir arī jānodrošina, lai atmežošanas rezultātā radušās CO</w:t>
      </w:r>
      <w:r w:rsidR="00B62EB5" w:rsidRPr="00602C19">
        <w:rPr>
          <w:rFonts w:ascii="Times New Roman" w:hAnsi="Times New Roman"/>
          <w:sz w:val="24"/>
          <w:szCs w:val="24"/>
          <w:vertAlign w:val="subscript"/>
        </w:rPr>
        <w:t>2</w:t>
      </w:r>
      <w:r w:rsidR="00B62EB5" w:rsidRPr="00602C19">
        <w:rPr>
          <w:rFonts w:ascii="Times New Roman" w:hAnsi="Times New Roman"/>
          <w:sz w:val="24"/>
          <w:szCs w:val="24"/>
        </w:rPr>
        <w:t xml:space="preserve"> emisijas nepārsniedz apmežošanas un atkārtotas apmežošanas rezultātā radušos CO</w:t>
      </w:r>
      <w:r w:rsidR="00B62EB5" w:rsidRPr="00602C19">
        <w:rPr>
          <w:rFonts w:ascii="Times New Roman" w:hAnsi="Times New Roman"/>
          <w:sz w:val="24"/>
          <w:szCs w:val="24"/>
          <w:vertAlign w:val="subscript"/>
        </w:rPr>
        <w:t>2</w:t>
      </w:r>
      <w:r w:rsidR="00B62EB5" w:rsidRPr="00602C19">
        <w:rPr>
          <w:rFonts w:ascii="Times New Roman" w:hAnsi="Times New Roman"/>
          <w:sz w:val="24"/>
          <w:szCs w:val="24"/>
        </w:rPr>
        <w:t xml:space="preserve"> piesaisti, </w:t>
      </w:r>
      <w:r w:rsidRPr="00602C19">
        <w:rPr>
          <w:rFonts w:ascii="Times New Roman" w:hAnsi="Times New Roman"/>
          <w:sz w:val="24"/>
          <w:szCs w:val="24"/>
        </w:rPr>
        <w:t>uz šo brīdi netiek nodrošināta.</w:t>
      </w:r>
      <w:r w:rsidR="00B62EB5" w:rsidRPr="00602C19">
        <w:rPr>
          <w:rFonts w:ascii="Times New Roman" w:hAnsi="Times New Roman"/>
          <w:sz w:val="24"/>
          <w:szCs w:val="24"/>
        </w:rPr>
        <w:t xml:space="preserve"> </w:t>
      </w:r>
    </w:p>
    <w:p w14:paraId="5A59F15A" w14:textId="5EFD499D" w:rsidR="0052578A" w:rsidRPr="0052578A" w:rsidRDefault="00A16D5F" w:rsidP="0052578A">
      <w:pPr>
        <w:spacing w:before="120" w:after="120"/>
        <w:ind w:firstLine="720"/>
        <w:jc w:val="both"/>
        <w:rPr>
          <w:rFonts w:ascii="Times New Roman" w:hAnsi="Times New Roman"/>
          <w:b/>
          <w:bCs/>
          <w:sz w:val="24"/>
          <w:szCs w:val="24"/>
        </w:rPr>
      </w:pPr>
      <w:r w:rsidRPr="0052578A">
        <w:rPr>
          <w:rFonts w:ascii="Times New Roman" w:hAnsi="Times New Roman"/>
          <w:sz w:val="24"/>
          <w:szCs w:val="24"/>
        </w:rPr>
        <w:t xml:space="preserve">Lai novērtētu </w:t>
      </w:r>
      <w:r w:rsidR="002E0DAA" w:rsidRPr="0052578A">
        <w:rPr>
          <w:rFonts w:ascii="Times New Roman" w:hAnsi="Times New Roman"/>
          <w:sz w:val="24"/>
          <w:szCs w:val="24"/>
        </w:rPr>
        <w:t xml:space="preserve">Latvijas </w:t>
      </w:r>
      <w:r w:rsidR="00515764" w:rsidRPr="0052578A">
        <w:rPr>
          <w:rFonts w:ascii="Times New Roman" w:hAnsi="Times New Roman"/>
          <w:sz w:val="24"/>
          <w:szCs w:val="24"/>
        </w:rPr>
        <w:t>m</w:t>
      </w:r>
      <w:r w:rsidR="00C36F11" w:rsidRPr="0052578A">
        <w:rPr>
          <w:rFonts w:ascii="Times New Roman" w:hAnsi="Times New Roman"/>
          <w:sz w:val="24"/>
          <w:szCs w:val="24"/>
        </w:rPr>
        <w:t>ērķu</w:t>
      </w:r>
      <w:r w:rsidR="00515764" w:rsidRPr="0052578A">
        <w:rPr>
          <w:rFonts w:ascii="Times New Roman" w:hAnsi="Times New Roman"/>
          <w:sz w:val="24"/>
          <w:szCs w:val="24"/>
        </w:rPr>
        <w:t xml:space="preserve"> </w:t>
      </w:r>
      <w:r w:rsidR="00C36F11" w:rsidRPr="0052578A">
        <w:rPr>
          <w:rFonts w:ascii="Times New Roman" w:hAnsi="Times New Roman"/>
          <w:sz w:val="24"/>
          <w:szCs w:val="24"/>
        </w:rPr>
        <w:t>izpildi periodā no 2013. – 2020. gadam</w:t>
      </w:r>
      <w:r w:rsidR="00003BFB" w:rsidRPr="0052578A">
        <w:rPr>
          <w:rFonts w:ascii="Times New Roman" w:hAnsi="Times New Roman"/>
          <w:sz w:val="24"/>
          <w:szCs w:val="24"/>
        </w:rPr>
        <w:t>,</w:t>
      </w:r>
      <w:r w:rsidR="00515764" w:rsidRPr="0052578A">
        <w:rPr>
          <w:rFonts w:ascii="Times New Roman" w:hAnsi="Times New Roman"/>
          <w:sz w:val="24"/>
          <w:szCs w:val="24"/>
        </w:rPr>
        <w:t xml:space="preserve"> ZIZIMM sektorā</w:t>
      </w:r>
      <w:r w:rsidR="008A54A5" w:rsidRPr="0052578A">
        <w:rPr>
          <w:rFonts w:ascii="Times New Roman" w:hAnsi="Times New Roman"/>
          <w:sz w:val="24"/>
          <w:szCs w:val="24"/>
        </w:rPr>
        <w:t xml:space="preserve"> noteiktām kategorijām</w:t>
      </w:r>
      <w:r w:rsidR="001A371B" w:rsidRPr="0052578A">
        <w:rPr>
          <w:rFonts w:ascii="Times New Roman" w:hAnsi="Times New Roman"/>
          <w:sz w:val="24"/>
          <w:szCs w:val="24"/>
        </w:rPr>
        <w:t>,</w:t>
      </w:r>
      <w:r w:rsidR="008A54A5" w:rsidRPr="0052578A">
        <w:rPr>
          <w:rFonts w:ascii="Times New Roman" w:hAnsi="Times New Roman"/>
          <w:sz w:val="24"/>
          <w:szCs w:val="24"/>
        </w:rPr>
        <w:t xml:space="preserve"> </w:t>
      </w:r>
      <w:r w:rsidRPr="0052578A">
        <w:rPr>
          <w:rFonts w:ascii="Times New Roman" w:hAnsi="Times New Roman"/>
          <w:sz w:val="24"/>
          <w:szCs w:val="24"/>
        </w:rPr>
        <w:t xml:space="preserve">LVMI </w:t>
      </w:r>
      <w:r w:rsidR="008A54A5" w:rsidRPr="0052578A">
        <w:rPr>
          <w:rFonts w:ascii="Times New Roman" w:hAnsi="Times New Roman"/>
          <w:sz w:val="24"/>
          <w:szCs w:val="24"/>
        </w:rPr>
        <w:t>“</w:t>
      </w:r>
      <w:r w:rsidRPr="0052578A">
        <w:rPr>
          <w:rFonts w:ascii="Times New Roman" w:hAnsi="Times New Roman"/>
          <w:sz w:val="24"/>
          <w:szCs w:val="24"/>
        </w:rPr>
        <w:t>Silava</w:t>
      </w:r>
      <w:r w:rsidR="008A54A5" w:rsidRPr="0052578A">
        <w:rPr>
          <w:rFonts w:ascii="Times New Roman" w:hAnsi="Times New Roman"/>
          <w:sz w:val="24"/>
          <w:szCs w:val="24"/>
        </w:rPr>
        <w:t>”</w:t>
      </w:r>
      <w:r w:rsidRPr="0052578A">
        <w:rPr>
          <w:rFonts w:ascii="Times New Roman" w:hAnsi="Times New Roman"/>
          <w:sz w:val="24"/>
          <w:szCs w:val="24"/>
        </w:rPr>
        <w:t xml:space="preserve"> </w:t>
      </w:r>
      <w:r w:rsidR="001A371B" w:rsidRPr="0052578A">
        <w:rPr>
          <w:rFonts w:ascii="Times New Roman" w:hAnsi="Times New Roman"/>
          <w:sz w:val="24"/>
          <w:szCs w:val="24"/>
        </w:rPr>
        <w:t xml:space="preserve">pēc </w:t>
      </w:r>
      <w:r w:rsidR="008B52BF">
        <w:rPr>
          <w:rFonts w:ascii="Times New Roman" w:hAnsi="Times New Roman"/>
          <w:sz w:val="24"/>
          <w:szCs w:val="24"/>
        </w:rPr>
        <w:t>VARAM</w:t>
      </w:r>
      <w:r w:rsidR="001A371B" w:rsidRPr="0052578A">
        <w:rPr>
          <w:rFonts w:ascii="Times New Roman" w:hAnsi="Times New Roman"/>
          <w:sz w:val="24"/>
          <w:szCs w:val="24"/>
        </w:rPr>
        <w:t xml:space="preserve"> lūguma </w:t>
      </w:r>
      <w:r w:rsidR="008A54A5" w:rsidRPr="0052578A">
        <w:rPr>
          <w:rFonts w:ascii="Times New Roman" w:hAnsi="Times New Roman"/>
          <w:sz w:val="24"/>
          <w:szCs w:val="24"/>
        </w:rPr>
        <w:t xml:space="preserve">2018. gadā </w:t>
      </w:r>
      <w:r w:rsidR="00003BFB" w:rsidRPr="0052578A">
        <w:rPr>
          <w:rFonts w:ascii="Times New Roman" w:hAnsi="Times New Roman"/>
          <w:sz w:val="24"/>
          <w:szCs w:val="24"/>
        </w:rPr>
        <w:t xml:space="preserve">aprēķināja </w:t>
      </w:r>
      <w:r w:rsidR="00B62EB5" w:rsidRPr="0052578A">
        <w:rPr>
          <w:rFonts w:ascii="Times New Roman" w:hAnsi="Times New Roman"/>
          <w:sz w:val="24"/>
          <w:szCs w:val="24"/>
        </w:rPr>
        <w:t>ZIZIMM mērķu</w:t>
      </w:r>
      <w:r w:rsidR="00D3214E" w:rsidRPr="0052578A">
        <w:rPr>
          <w:rFonts w:ascii="Times New Roman" w:hAnsi="Times New Roman"/>
          <w:sz w:val="24"/>
          <w:szCs w:val="24"/>
        </w:rPr>
        <w:t xml:space="preserve"> </w:t>
      </w:r>
      <w:r w:rsidR="008A54A5" w:rsidRPr="0052578A">
        <w:rPr>
          <w:rFonts w:ascii="Times New Roman" w:hAnsi="Times New Roman"/>
          <w:sz w:val="24"/>
          <w:szCs w:val="24"/>
        </w:rPr>
        <w:t xml:space="preserve">provizoriskās </w:t>
      </w:r>
      <w:r w:rsidR="00D3214E" w:rsidRPr="0052578A">
        <w:rPr>
          <w:rFonts w:ascii="Times New Roman" w:hAnsi="Times New Roman"/>
          <w:sz w:val="24"/>
          <w:szCs w:val="24"/>
        </w:rPr>
        <w:t>prognozes</w:t>
      </w:r>
      <w:r w:rsidR="00B62EB5" w:rsidRPr="0052578A">
        <w:rPr>
          <w:rFonts w:ascii="Times New Roman" w:hAnsi="Times New Roman"/>
          <w:sz w:val="24"/>
          <w:szCs w:val="24"/>
        </w:rPr>
        <w:t xml:space="preserve">, </w:t>
      </w:r>
      <w:r w:rsidR="00D3214E" w:rsidRPr="0052578A">
        <w:rPr>
          <w:rFonts w:ascii="Times New Roman" w:hAnsi="Times New Roman"/>
          <w:sz w:val="24"/>
          <w:szCs w:val="24"/>
        </w:rPr>
        <w:t xml:space="preserve">skatīt </w:t>
      </w:r>
      <w:r w:rsidR="00B62EB5" w:rsidRPr="0052578A">
        <w:rPr>
          <w:rFonts w:ascii="Times New Roman" w:hAnsi="Times New Roman"/>
          <w:sz w:val="24"/>
          <w:szCs w:val="24"/>
        </w:rPr>
        <w:t>4</w:t>
      </w:r>
      <w:r w:rsidR="00D3214E" w:rsidRPr="0052578A">
        <w:rPr>
          <w:rFonts w:ascii="Times New Roman" w:hAnsi="Times New Roman"/>
          <w:sz w:val="24"/>
          <w:szCs w:val="24"/>
        </w:rPr>
        <w:t>.</w:t>
      </w:r>
      <w:r w:rsidR="000B63D6">
        <w:rPr>
          <w:rFonts w:ascii="Times New Roman" w:hAnsi="Times New Roman"/>
          <w:sz w:val="24"/>
          <w:szCs w:val="24"/>
        </w:rPr>
        <w:t> </w:t>
      </w:r>
      <w:r w:rsidR="00D3214E" w:rsidRPr="0052578A">
        <w:rPr>
          <w:rFonts w:ascii="Times New Roman" w:hAnsi="Times New Roman"/>
          <w:sz w:val="24"/>
          <w:szCs w:val="24"/>
        </w:rPr>
        <w:t>tabulā.</w:t>
      </w:r>
      <w:r w:rsidR="002B59F1" w:rsidRPr="00CB3E4B">
        <w:t xml:space="preserve"> </w:t>
      </w:r>
      <w:r w:rsidR="002B59F1" w:rsidRPr="0052578A">
        <w:rPr>
          <w:rFonts w:ascii="Times New Roman" w:hAnsi="Times New Roman"/>
          <w:sz w:val="24"/>
          <w:szCs w:val="24"/>
        </w:rPr>
        <w:t>Provizoriskās prognozes balstītas uz 2018.</w:t>
      </w:r>
      <w:r w:rsidR="00261516">
        <w:rPr>
          <w:rFonts w:ascii="Times New Roman" w:hAnsi="Times New Roman"/>
          <w:sz w:val="24"/>
          <w:szCs w:val="24"/>
        </w:rPr>
        <w:t> </w:t>
      </w:r>
      <w:r w:rsidR="002B59F1" w:rsidRPr="0052578A">
        <w:rPr>
          <w:rFonts w:ascii="Times New Roman" w:hAnsi="Times New Roman"/>
          <w:sz w:val="24"/>
          <w:szCs w:val="24"/>
        </w:rPr>
        <w:t>gada SEG inventarizācijā pielietoto metodiku, pieņemot, ka līdz 2020.</w:t>
      </w:r>
      <w:r w:rsidR="00261516">
        <w:rPr>
          <w:rFonts w:ascii="Times New Roman" w:hAnsi="Times New Roman"/>
          <w:sz w:val="24"/>
          <w:szCs w:val="24"/>
        </w:rPr>
        <w:t> </w:t>
      </w:r>
      <w:r w:rsidR="002B59F1" w:rsidRPr="0052578A">
        <w:rPr>
          <w:rFonts w:ascii="Times New Roman" w:hAnsi="Times New Roman"/>
          <w:sz w:val="24"/>
          <w:szCs w:val="24"/>
        </w:rPr>
        <w:t>gadam tiek īstenoti pasākumi, kas iekļauti ZIZIMM rīcības plānā</w:t>
      </w:r>
      <w:r w:rsidR="00C36F11">
        <w:rPr>
          <w:rStyle w:val="FootnoteReference"/>
          <w:rFonts w:ascii="Times New Roman" w:hAnsi="Times New Roman"/>
          <w:sz w:val="24"/>
          <w:szCs w:val="24"/>
        </w:rPr>
        <w:footnoteReference w:id="29"/>
      </w:r>
      <w:r w:rsidR="002B59F1" w:rsidRPr="0052578A">
        <w:rPr>
          <w:rFonts w:ascii="Times New Roman" w:hAnsi="Times New Roman"/>
          <w:sz w:val="24"/>
          <w:szCs w:val="24"/>
        </w:rPr>
        <w:t>. Aprēķinā nav ņemta vērā iespējamā apmežoto platību “legalizācijas” (oficiāla transformācijas procesa) un saimnieciskās darbības iespējamā ietekme uz ziņoto vienību dau</w:t>
      </w:r>
      <w:r w:rsidR="008A54A5" w:rsidRPr="0052578A">
        <w:rPr>
          <w:rFonts w:ascii="Times New Roman" w:hAnsi="Times New Roman"/>
          <w:sz w:val="24"/>
          <w:szCs w:val="24"/>
        </w:rPr>
        <w:t>dzumu. Saskaņā ar provizoriskām prognozēm</w:t>
      </w:r>
      <w:r w:rsidR="002B59F1" w:rsidRPr="0052578A">
        <w:rPr>
          <w:rFonts w:ascii="Times New Roman" w:hAnsi="Times New Roman"/>
          <w:sz w:val="24"/>
          <w:szCs w:val="24"/>
        </w:rPr>
        <w:t xml:space="preserve"> iespējama noteikto saistību neizpilde, galvenokārt, meža apsaimniekošanas darbībā</w:t>
      </w:r>
      <w:r w:rsidR="008A54A5" w:rsidRPr="0052578A">
        <w:rPr>
          <w:rFonts w:ascii="Times New Roman" w:hAnsi="Times New Roman"/>
          <w:sz w:val="24"/>
          <w:szCs w:val="24"/>
        </w:rPr>
        <w:t>m</w:t>
      </w:r>
      <w:r w:rsidR="002B59F1" w:rsidRPr="0052578A">
        <w:rPr>
          <w:rFonts w:ascii="Times New Roman" w:hAnsi="Times New Roman"/>
          <w:sz w:val="24"/>
          <w:szCs w:val="24"/>
        </w:rPr>
        <w:t xml:space="preserve"> (</w:t>
      </w:r>
      <w:r w:rsidR="002B59F1" w:rsidRPr="0052578A">
        <w:rPr>
          <w:rFonts w:ascii="Times New Roman" w:hAnsi="Times New Roman"/>
          <w:i/>
          <w:iCs/>
          <w:sz w:val="24"/>
          <w:szCs w:val="24"/>
        </w:rPr>
        <w:t xml:space="preserve">Meža apsaimniekošanas references </w:t>
      </w:r>
      <w:r w:rsidR="002B59F1" w:rsidRPr="0052578A">
        <w:rPr>
          <w:rFonts w:ascii="Times New Roman" w:hAnsi="Times New Roman"/>
          <w:i/>
          <w:iCs/>
          <w:sz w:val="24"/>
          <w:szCs w:val="24"/>
        </w:rPr>
        <w:lastRenderedPageBreak/>
        <w:t>līmenis</w:t>
      </w:r>
      <w:r w:rsidR="00515764" w:rsidRPr="0052578A">
        <w:rPr>
          <w:rFonts w:ascii="Times New Roman" w:hAnsi="Times New Roman"/>
          <w:i/>
          <w:iCs/>
          <w:sz w:val="24"/>
          <w:szCs w:val="24"/>
        </w:rPr>
        <w:t>, jeb</w:t>
      </w:r>
      <w:r w:rsidR="00515764" w:rsidRPr="0052578A">
        <w:rPr>
          <w:rFonts w:ascii="Times New Roman" w:hAnsi="Times New Roman"/>
          <w:sz w:val="24"/>
          <w:szCs w:val="24"/>
        </w:rPr>
        <w:t xml:space="preserve"> meža apsaimniekošanas CO</w:t>
      </w:r>
      <w:r w:rsidR="00515764" w:rsidRPr="0052578A">
        <w:rPr>
          <w:rFonts w:ascii="Times New Roman" w:hAnsi="Times New Roman"/>
          <w:sz w:val="24"/>
          <w:szCs w:val="24"/>
          <w:vertAlign w:val="subscript"/>
        </w:rPr>
        <w:t>2</w:t>
      </w:r>
      <w:r w:rsidR="00515764" w:rsidRPr="0052578A">
        <w:rPr>
          <w:rFonts w:ascii="Times New Roman" w:hAnsi="Times New Roman"/>
          <w:sz w:val="24"/>
          <w:szCs w:val="24"/>
        </w:rPr>
        <w:t xml:space="preserve"> bilances mērķis</w:t>
      </w:r>
      <w:r w:rsidR="002B59F1" w:rsidRPr="0052578A">
        <w:rPr>
          <w:rFonts w:ascii="Times New Roman" w:hAnsi="Times New Roman"/>
          <w:sz w:val="24"/>
          <w:szCs w:val="24"/>
        </w:rPr>
        <w:t>), kas, neveicot papildus tehniskās korekcijas, var sasniegt 10.1 milj. tonnas CO</w:t>
      </w:r>
      <w:r w:rsidR="002B59F1" w:rsidRPr="0052578A">
        <w:rPr>
          <w:rFonts w:ascii="Times New Roman" w:hAnsi="Times New Roman"/>
          <w:sz w:val="24"/>
          <w:szCs w:val="24"/>
          <w:vertAlign w:val="subscript"/>
        </w:rPr>
        <w:t>2</w:t>
      </w:r>
      <w:r w:rsidR="008A54A5" w:rsidRPr="0052578A">
        <w:rPr>
          <w:rFonts w:ascii="Times New Roman" w:hAnsi="Times New Roman"/>
          <w:sz w:val="24"/>
          <w:szCs w:val="24"/>
        </w:rPr>
        <w:t xml:space="preserve"> ekv</w:t>
      </w:r>
      <w:r w:rsidR="00A759F8">
        <w:rPr>
          <w:rFonts w:ascii="Times New Roman" w:hAnsi="Times New Roman"/>
          <w:sz w:val="24"/>
          <w:szCs w:val="24"/>
        </w:rPr>
        <w:t>ivalenti</w:t>
      </w:r>
      <w:r w:rsidR="008A54A5" w:rsidRPr="0052578A">
        <w:rPr>
          <w:rFonts w:ascii="Times New Roman" w:hAnsi="Times New Roman"/>
          <w:sz w:val="24"/>
          <w:szCs w:val="24"/>
        </w:rPr>
        <w:t xml:space="preserve">/gadā. </w:t>
      </w:r>
      <w:r w:rsidR="00515764" w:rsidRPr="0052578A">
        <w:rPr>
          <w:rFonts w:ascii="Times New Roman" w:hAnsi="Times New Roman"/>
          <w:sz w:val="24"/>
          <w:szCs w:val="24"/>
        </w:rPr>
        <w:t>Meža apsaimniekošanas CO</w:t>
      </w:r>
      <w:r w:rsidR="00515764" w:rsidRPr="0052578A">
        <w:rPr>
          <w:rFonts w:ascii="Times New Roman" w:hAnsi="Times New Roman"/>
          <w:sz w:val="24"/>
          <w:szCs w:val="24"/>
          <w:vertAlign w:val="subscript"/>
        </w:rPr>
        <w:t>2</w:t>
      </w:r>
      <w:r w:rsidR="00515764" w:rsidRPr="0052578A">
        <w:rPr>
          <w:rFonts w:ascii="Times New Roman" w:hAnsi="Times New Roman"/>
          <w:sz w:val="24"/>
          <w:szCs w:val="24"/>
        </w:rPr>
        <w:t xml:space="preserve"> bilances mērķa</w:t>
      </w:r>
      <w:r w:rsidR="002B59F1" w:rsidRPr="0052578A">
        <w:rPr>
          <w:rFonts w:ascii="Times New Roman" w:hAnsi="Times New Roman"/>
          <w:sz w:val="24"/>
          <w:szCs w:val="24"/>
        </w:rPr>
        <w:t xml:space="preserve"> aprēķinā nav </w:t>
      </w:r>
      <w:r w:rsidR="004160C2" w:rsidRPr="0052578A">
        <w:rPr>
          <w:rFonts w:ascii="Times New Roman" w:hAnsi="Times New Roman"/>
          <w:sz w:val="24"/>
          <w:szCs w:val="24"/>
        </w:rPr>
        <w:t>iestrādāti pieņēmumi, ka ar noteiktu regularitāti notiks vētras</w:t>
      </w:r>
      <w:r w:rsidR="000E69D4" w:rsidRPr="0052578A">
        <w:rPr>
          <w:rFonts w:ascii="Times New Roman" w:hAnsi="Times New Roman"/>
          <w:sz w:val="24"/>
          <w:szCs w:val="24"/>
        </w:rPr>
        <w:t xml:space="preserve"> (nav ņemta vērā 2005.gada vētras ietekme, kas būtiski samazināja mežizstrādes apjomu galvenajā cirtē valsts un privātajos mežos 2005. un 2006.</w:t>
      </w:r>
      <w:r w:rsidR="000B63D6">
        <w:rPr>
          <w:rFonts w:ascii="Times New Roman" w:hAnsi="Times New Roman"/>
          <w:sz w:val="24"/>
          <w:szCs w:val="24"/>
        </w:rPr>
        <w:t> </w:t>
      </w:r>
      <w:r w:rsidR="000E69D4" w:rsidRPr="0052578A">
        <w:rPr>
          <w:rFonts w:ascii="Times New Roman" w:hAnsi="Times New Roman"/>
          <w:sz w:val="24"/>
          <w:szCs w:val="24"/>
        </w:rPr>
        <w:t xml:space="preserve">gadā) </w:t>
      </w:r>
      <w:r w:rsidR="004160C2" w:rsidRPr="0052578A">
        <w:rPr>
          <w:rFonts w:ascii="Times New Roman" w:hAnsi="Times New Roman"/>
          <w:sz w:val="24"/>
          <w:szCs w:val="24"/>
        </w:rPr>
        <w:t xml:space="preserve">un </w:t>
      </w:r>
      <w:r w:rsidR="000E69D4" w:rsidRPr="0052578A">
        <w:rPr>
          <w:rFonts w:ascii="Times New Roman" w:hAnsi="Times New Roman"/>
          <w:sz w:val="24"/>
          <w:szCs w:val="24"/>
        </w:rPr>
        <w:t>ekonomiskās krīzes (piemēram,</w:t>
      </w:r>
      <w:r w:rsidR="000E69D4" w:rsidRPr="000E69D4">
        <w:t xml:space="preserve"> </w:t>
      </w:r>
      <w:r w:rsidR="000E69D4" w:rsidRPr="0052578A">
        <w:rPr>
          <w:rFonts w:ascii="Times New Roman" w:hAnsi="Times New Roman"/>
          <w:sz w:val="24"/>
          <w:szCs w:val="24"/>
        </w:rPr>
        <w:t>tās rezultātā 2008.</w:t>
      </w:r>
      <w:r w:rsidR="000B63D6">
        <w:rPr>
          <w:rFonts w:ascii="Times New Roman" w:hAnsi="Times New Roman"/>
          <w:sz w:val="24"/>
          <w:szCs w:val="24"/>
        </w:rPr>
        <w:t> </w:t>
      </w:r>
      <w:r w:rsidR="000E69D4" w:rsidRPr="0052578A">
        <w:rPr>
          <w:rFonts w:ascii="Times New Roman" w:hAnsi="Times New Roman"/>
          <w:sz w:val="24"/>
          <w:szCs w:val="24"/>
        </w:rPr>
        <w:t xml:space="preserve">gadā būtiski samazinājās mežizstrādes apjoms privātajos mežos, ko daļēji kompensēja mežizstrādes pieaugums valsts mežos), kas ar noteiktu periodiskumu samazina </w:t>
      </w:r>
      <w:r w:rsidR="004160C2" w:rsidRPr="0052578A">
        <w:rPr>
          <w:rFonts w:ascii="Times New Roman" w:hAnsi="Times New Roman"/>
          <w:sz w:val="24"/>
          <w:szCs w:val="24"/>
        </w:rPr>
        <w:t>koksnes pieprasījumu</w:t>
      </w:r>
      <w:r w:rsidR="000E69D4" w:rsidRPr="0052578A">
        <w:rPr>
          <w:rFonts w:ascii="Times New Roman" w:hAnsi="Times New Roman"/>
          <w:sz w:val="24"/>
          <w:szCs w:val="24"/>
        </w:rPr>
        <w:t xml:space="preserve"> un izmainītu mežizstrādes struktūru. Šādu pieņēmumu izmantošana ir grūti pamatojama un nav izmantojama modeļa verificēšanai.</w:t>
      </w:r>
      <w:r w:rsidR="002B59F1" w:rsidRPr="0052578A">
        <w:rPr>
          <w:rFonts w:ascii="Times New Roman" w:hAnsi="Times New Roman"/>
          <w:sz w:val="24"/>
          <w:szCs w:val="24"/>
        </w:rPr>
        <w:t xml:space="preserve"> Veicot turpmākās </w:t>
      </w:r>
      <w:r w:rsidR="00515764" w:rsidRPr="0052578A">
        <w:rPr>
          <w:rFonts w:ascii="Times New Roman" w:hAnsi="Times New Roman"/>
          <w:sz w:val="24"/>
          <w:szCs w:val="24"/>
        </w:rPr>
        <w:t>meža apsaimniekošanas CO</w:t>
      </w:r>
      <w:r w:rsidR="00515764" w:rsidRPr="0052578A">
        <w:rPr>
          <w:rFonts w:ascii="Times New Roman" w:hAnsi="Times New Roman"/>
          <w:sz w:val="24"/>
          <w:szCs w:val="24"/>
          <w:vertAlign w:val="subscript"/>
        </w:rPr>
        <w:t>2</w:t>
      </w:r>
      <w:r w:rsidR="00515764" w:rsidRPr="0052578A">
        <w:rPr>
          <w:rFonts w:ascii="Times New Roman" w:hAnsi="Times New Roman"/>
          <w:sz w:val="24"/>
          <w:szCs w:val="24"/>
        </w:rPr>
        <w:t xml:space="preserve"> bilances mērķa </w:t>
      </w:r>
      <w:r w:rsidR="002B59F1" w:rsidRPr="0052578A">
        <w:rPr>
          <w:rFonts w:ascii="Times New Roman" w:hAnsi="Times New Roman"/>
          <w:sz w:val="24"/>
          <w:szCs w:val="24"/>
        </w:rPr>
        <w:t xml:space="preserve">korekcijas, ir nepieciešama mežizstrādes prognožu aprēķināšanas metodes pilnveidošana, ņemot vērā vētras un ekonomiskās krīzes sekas un neizmantojot tādus pieņēmumus mežizstrādes prognozei, kuru rezultātā </w:t>
      </w:r>
      <w:r w:rsidR="000E69D4" w:rsidRPr="0052578A">
        <w:rPr>
          <w:rFonts w:ascii="Times New Roman" w:hAnsi="Times New Roman"/>
          <w:sz w:val="24"/>
          <w:szCs w:val="24"/>
        </w:rPr>
        <w:t>varētu samazināties</w:t>
      </w:r>
      <w:r w:rsidR="002B59F1" w:rsidRPr="0052578A">
        <w:rPr>
          <w:rFonts w:ascii="Times New Roman" w:hAnsi="Times New Roman"/>
          <w:sz w:val="24"/>
          <w:szCs w:val="24"/>
        </w:rPr>
        <w:t xml:space="preserve"> meža vērtība.</w:t>
      </w:r>
      <w:r w:rsidR="006E6F6A" w:rsidRPr="006E6F6A">
        <w:t xml:space="preserve"> </w:t>
      </w:r>
      <w:r w:rsidR="006E6F6A" w:rsidRPr="0052578A">
        <w:rPr>
          <w:rFonts w:ascii="Times New Roman" w:hAnsi="Times New Roman"/>
          <w:sz w:val="24"/>
          <w:szCs w:val="24"/>
        </w:rPr>
        <w:t>Saskaņā ar LVMI “Silava” iesniegtām provizoriskajām prognozēm arī CO</w:t>
      </w:r>
      <w:r w:rsidR="006E6F6A" w:rsidRPr="0052578A">
        <w:rPr>
          <w:rFonts w:ascii="Times New Roman" w:hAnsi="Times New Roman"/>
          <w:sz w:val="24"/>
          <w:szCs w:val="24"/>
          <w:vertAlign w:val="subscript"/>
        </w:rPr>
        <w:t>2</w:t>
      </w:r>
      <w:r w:rsidR="006E6F6A" w:rsidRPr="0052578A">
        <w:rPr>
          <w:rFonts w:ascii="Times New Roman" w:hAnsi="Times New Roman"/>
          <w:sz w:val="24"/>
          <w:szCs w:val="24"/>
        </w:rPr>
        <w:t xml:space="preserve"> emisijas atmežošanas rezultātā pārsniedz apmežošanas radīto piesaisti.</w:t>
      </w:r>
    </w:p>
    <w:p w14:paraId="4686A7BB" w14:textId="34C5089E" w:rsidR="009802A6" w:rsidRPr="008A54A5" w:rsidRDefault="00B62EB5" w:rsidP="00B62EB5">
      <w:pPr>
        <w:pStyle w:val="ListParagraph"/>
        <w:jc w:val="center"/>
        <w:rPr>
          <w:rFonts w:ascii="Times New Roman" w:hAnsi="Times New Roman"/>
          <w:b/>
          <w:bCs/>
          <w:sz w:val="24"/>
          <w:szCs w:val="24"/>
        </w:rPr>
      </w:pPr>
      <w:r>
        <w:rPr>
          <w:rFonts w:ascii="Times New Roman" w:hAnsi="Times New Roman"/>
          <w:b/>
          <w:bCs/>
          <w:sz w:val="24"/>
          <w:szCs w:val="24"/>
        </w:rPr>
        <w:t>4</w:t>
      </w:r>
      <w:r w:rsidR="00003BFB">
        <w:rPr>
          <w:rFonts w:ascii="Times New Roman" w:hAnsi="Times New Roman"/>
          <w:b/>
          <w:bCs/>
          <w:sz w:val="24"/>
          <w:szCs w:val="24"/>
        </w:rPr>
        <w:t xml:space="preserve">. </w:t>
      </w:r>
      <w:r w:rsidR="00D3214E" w:rsidRPr="008A54A5">
        <w:rPr>
          <w:rFonts w:ascii="Times New Roman" w:hAnsi="Times New Roman"/>
          <w:b/>
          <w:bCs/>
          <w:sz w:val="24"/>
          <w:szCs w:val="24"/>
        </w:rPr>
        <w:t xml:space="preserve">tabula. </w:t>
      </w:r>
      <w:r w:rsidR="00DB0B6B">
        <w:rPr>
          <w:rFonts w:ascii="Times New Roman" w:hAnsi="Times New Roman"/>
          <w:b/>
          <w:bCs/>
          <w:sz w:val="24"/>
          <w:szCs w:val="24"/>
        </w:rPr>
        <w:t xml:space="preserve">ZIZIMM </w:t>
      </w:r>
      <w:r>
        <w:rPr>
          <w:rFonts w:ascii="Times New Roman" w:hAnsi="Times New Roman"/>
          <w:b/>
          <w:bCs/>
          <w:sz w:val="24"/>
          <w:szCs w:val="24"/>
        </w:rPr>
        <w:t>mērķu</w:t>
      </w:r>
      <w:r w:rsidR="009802A6" w:rsidRPr="008A54A5">
        <w:rPr>
          <w:rFonts w:ascii="Times New Roman" w:hAnsi="Times New Roman"/>
          <w:b/>
          <w:bCs/>
          <w:sz w:val="24"/>
          <w:szCs w:val="24"/>
        </w:rPr>
        <w:t xml:space="preserve"> izpildes </w:t>
      </w:r>
      <w:r w:rsidR="008A54A5" w:rsidRPr="008A54A5">
        <w:rPr>
          <w:rFonts w:ascii="Times New Roman" w:hAnsi="Times New Roman"/>
          <w:b/>
          <w:bCs/>
          <w:sz w:val="24"/>
          <w:szCs w:val="24"/>
        </w:rPr>
        <w:t xml:space="preserve">provizoriskā </w:t>
      </w:r>
      <w:r w:rsidR="008A54A5">
        <w:rPr>
          <w:rFonts w:ascii="Times New Roman" w:hAnsi="Times New Roman"/>
          <w:b/>
          <w:bCs/>
          <w:sz w:val="24"/>
          <w:szCs w:val="24"/>
        </w:rPr>
        <w:t>prognoze KP</w:t>
      </w:r>
      <w:r w:rsidR="009802A6" w:rsidRPr="008A54A5">
        <w:rPr>
          <w:rFonts w:ascii="Times New Roman" w:hAnsi="Times New Roman"/>
          <w:b/>
          <w:bCs/>
          <w:sz w:val="24"/>
          <w:szCs w:val="24"/>
        </w:rPr>
        <w:t xml:space="preserve"> 2. </w:t>
      </w:r>
      <w:r w:rsidR="00DB0B6B">
        <w:rPr>
          <w:rFonts w:ascii="Times New Roman" w:hAnsi="Times New Roman"/>
          <w:b/>
          <w:bCs/>
          <w:sz w:val="24"/>
          <w:szCs w:val="24"/>
        </w:rPr>
        <w:t xml:space="preserve">saistību </w:t>
      </w:r>
      <w:r w:rsidR="009802A6" w:rsidRPr="008A54A5">
        <w:rPr>
          <w:rFonts w:ascii="Times New Roman" w:hAnsi="Times New Roman"/>
          <w:b/>
          <w:bCs/>
          <w:sz w:val="24"/>
          <w:szCs w:val="24"/>
        </w:rPr>
        <w:t>periodā (2013.- 2020.</w:t>
      </w:r>
      <w:r w:rsidR="00102BBD">
        <w:rPr>
          <w:rFonts w:ascii="Times New Roman" w:hAnsi="Times New Roman"/>
          <w:b/>
          <w:bCs/>
          <w:sz w:val="24"/>
          <w:szCs w:val="24"/>
        </w:rPr>
        <w:t> </w:t>
      </w:r>
      <w:r w:rsidR="009802A6" w:rsidRPr="008A54A5">
        <w:rPr>
          <w:rFonts w:ascii="Times New Roman" w:hAnsi="Times New Roman"/>
          <w:b/>
          <w:bCs/>
          <w:sz w:val="24"/>
          <w:szCs w:val="24"/>
        </w:rPr>
        <w:t>g</w:t>
      </w:r>
      <w:r w:rsidR="00102BBD">
        <w:rPr>
          <w:rFonts w:ascii="Times New Roman" w:hAnsi="Times New Roman"/>
          <w:b/>
          <w:bCs/>
          <w:sz w:val="24"/>
          <w:szCs w:val="24"/>
        </w:rPr>
        <w:t>adā</w:t>
      </w:r>
      <w:r w:rsidR="00102BBD" w:rsidRPr="008A54A5">
        <w:rPr>
          <w:rFonts w:ascii="Times New Roman" w:hAnsi="Times New Roman"/>
          <w:b/>
          <w:bCs/>
          <w:sz w:val="24"/>
          <w:szCs w:val="24"/>
        </w:rPr>
        <w:t>)</w:t>
      </w:r>
      <w:r w:rsidR="00102BBD" w:rsidRPr="00602C19">
        <w:rPr>
          <w:rStyle w:val="FootnoteReference"/>
          <w:rFonts w:ascii="Times New Roman" w:hAnsi="Times New Roman"/>
          <w:b/>
          <w:bCs/>
          <w:sz w:val="24"/>
          <w:szCs w:val="24"/>
        </w:rPr>
        <w:footnoteReference w:id="30"/>
      </w:r>
    </w:p>
    <w:tbl>
      <w:tblPr>
        <w:tblW w:w="932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209"/>
        <w:gridCol w:w="586"/>
        <w:gridCol w:w="586"/>
        <w:gridCol w:w="586"/>
        <w:gridCol w:w="586"/>
        <w:gridCol w:w="586"/>
        <w:gridCol w:w="586"/>
        <w:gridCol w:w="586"/>
        <w:gridCol w:w="586"/>
        <w:gridCol w:w="742"/>
        <w:gridCol w:w="6"/>
        <w:gridCol w:w="833"/>
        <w:gridCol w:w="6"/>
        <w:gridCol w:w="834"/>
        <w:gridCol w:w="8"/>
      </w:tblGrid>
      <w:tr w:rsidR="00DB0B6B" w:rsidRPr="00155659" w14:paraId="2D047939" w14:textId="77777777" w:rsidTr="00140234">
        <w:trPr>
          <w:trHeight w:val="374"/>
          <w:tblHeader/>
        </w:trPr>
        <w:tc>
          <w:tcPr>
            <w:tcW w:w="2209" w:type="dxa"/>
            <w:vMerge w:val="restart"/>
            <w:shd w:val="clear" w:color="auto" w:fill="auto"/>
          </w:tcPr>
          <w:p w14:paraId="36DD847B" w14:textId="05E8710A" w:rsidR="00DB0B6B" w:rsidRPr="009802A6" w:rsidRDefault="00DB0B6B" w:rsidP="006D616A">
            <w:pPr>
              <w:spacing w:after="0"/>
              <w:rPr>
                <w:rFonts w:ascii="Times New Roman" w:hAnsi="Times New Roman"/>
                <w:b/>
                <w:bCs/>
                <w:sz w:val="20"/>
                <w:szCs w:val="20"/>
              </w:rPr>
            </w:pPr>
            <w:r w:rsidRPr="009802A6">
              <w:rPr>
                <w:rFonts w:ascii="Times New Roman" w:hAnsi="Times New Roman"/>
                <w:b/>
                <w:bCs/>
                <w:sz w:val="20"/>
                <w:szCs w:val="20"/>
              </w:rPr>
              <w:t>Z</w:t>
            </w:r>
            <w:r>
              <w:rPr>
                <w:rFonts w:ascii="Times New Roman" w:hAnsi="Times New Roman"/>
                <w:b/>
                <w:bCs/>
                <w:sz w:val="20"/>
                <w:szCs w:val="20"/>
              </w:rPr>
              <w:t>iņotā K</w:t>
            </w:r>
            <w:r w:rsidR="00A759F8">
              <w:rPr>
                <w:rFonts w:ascii="Times New Roman" w:hAnsi="Times New Roman"/>
                <w:b/>
                <w:bCs/>
                <w:sz w:val="20"/>
                <w:szCs w:val="20"/>
              </w:rPr>
              <w:t>ioto protokola</w:t>
            </w:r>
            <w:r w:rsidRPr="009802A6">
              <w:rPr>
                <w:rFonts w:ascii="Times New Roman" w:hAnsi="Times New Roman"/>
                <w:b/>
                <w:bCs/>
                <w:sz w:val="20"/>
                <w:szCs w:val="20"/>
              </w:rPr>
              <w:t xml:space="preserve"> darbība un uzskaites kategorija</w:t>
            </w:r>
          </w:p>
        </w:tc>
        <w:tc>
          <w:tcPr>
            <w:tcW w:w="5436" w:type="dxa"/>
            <w:gridSpan w:val="10"/>
            <w:shd w:val="clear" w:color="auto" w:fill="auto"/>
          </w:tcPr>
          <w:p w14:paraId="6B302A76" w14:textId="414545BA" w:rsidR="00DB0B6B" w:rsidRPr="00DB0B6B" w:rsidRDefault="00DB0B6B" w:rsidP="006D616A">
            <w:pPr>
              <w:spacing w:after="0"/>
              <w:jc w:val="center"/>
              <w:rPr>
                <w:rFonts w:ascii="Times New Roman" w:hAnsi="Times New Roman"/>
                <w:b/>
                <w:bCs/>
                <w:sz w:val="20"/>
                <w:szCs w:val="20"/>
              </w:rPr>
            </w:pPr>
            <w:r w:rsidRPr="00DB0B6B">
              <w:rPr>
                <w:rFonts w:ascii="Times New Roman" w:hAnsi="Times New Roman"/>
                <w:b/>
                <w:bCs/>
                <w:sz w:val="20"/>
                <w:szCs w:val="20"/>
              </w:rPr>
              <w:t>Neto emisijas (</w:t>
            </w:r>
            <w:proofErr w:type="spellStart"/>
            <w:r w:rsidRPr="00DB0B6B">
              <w:rPr>
                <w:rFonts w:ascii="Times New Roman" w:hAnsi="Times New Roman"/>
                <w:b/>
                <w:bCs/>
                <w:sz w:val="20"/>
                <w:szCs w:val="20"/>
              </w:rPr>
              <w:t>kt</w:t>
            </w:r>
            <w:proofErr w:type="spellEnd"/>
            <w:r w:rsidRPr="00DB0B6B">
              <w:rPr>
                <w:rFonts w:ascii="Times New Roman" w:hAnsi="Times New Roman"/>
                <w:b/>
                <w:bCs/>
                <w:sz w:val="20"/>
                <w:szCs w:val="20"/>
              </w:rPr>
              <w:t xml:space="preserve"> CO</w:t>
            </w:r>
            <w:r w:rsidRPr="00DB0B6B">
              <w:rPr>
                <w:rFonts w:ascii="Times New Roman" w:hAnsi="Times New Roman"/>
                <w:b/>
                <w:bCs/>
                <w:sz w:val="20"/>
                <w:szCs w:val="20"/>
                <w:vertAlign w:val="subscript"/>
              </w:rPr>
              <w:t>2</w:t>
            </w:r>
            <w:r w:rsidRPr="00DB0B6B">
              <w:rPr>
                <w:rFonts w:ascii="Times New Roman" w:hAnsi="Times New Roman"/>
                <w:b/>
                <w:bCs/>
                <w:sz w:val="20"/>
                <w:szCs w:val="20"/>
              </w:rPr>
              <w:t xml:space="preserve"> ekv</w:t>
            </w:r>
            <w:r w:rsidR="00A759F8">
              <w:rPr>
                <w:rFonts w:ascii="Times New Roman" w:hAnsi="Times New Roman"/>
                <w:b/>
                <w:bCs/>
                <w:sz w:val="20"/>
                <w:szCs w:val="20"/>
              </w:rPr>
              <w:t>ivalenti</w:t>
            </w:r>
            <w:r w:rsidRPr="00DB0B6B">
              <w:rPr>
                <w:rFonts w:ascii="Times New Roman" w:hAnsi="Times New Roman"/>
                <w:b/>
                <w:bCs/>
                <w:sz w:val="20"/>
                <w:szCs w:val="20"/>
              </w:rPr>
              <w:t>)</w:t>
            </w:r>
          </w:p>
        </w:tc>
        <w:tc>
          <w:tcPr>
            <w:tcW w:w="839" w:type="dxa"/>
            <w:gridSpan w:val="2"/>
            <w:shd w:val="clear" w:color="auto" w:fill="auto"/>
          </w:tcPr>
          <w:p w14:paraId="31D9F185" w14:textId="0B0C7911" w:rsidR="00DB0B6B" w:rsidRPr="00DB0B6B" w:rsidRDefault="00DB0B6B" w:rsidP="006D616A">
            <w:pPr>
              <w:spacing w:after="0"/>
              <w:rPr>
                <w:rFonts w:ascii="Times New Roman" w:hAnsi="Times New Roman"/>
                <w:b/>
                <w:bCs/>
                <w:sz w:val="16"/>
                <w:szCs w:val="16"/>
              </w:rPr>
            </w:pPr>
            <w:r w:rsidRPr="00DB0B6B">
              <w:rPr>
                <w:rFonts w:ascii="Times New Roman" w:hAnsi="Times New Roman"/>
                <w:b/>
                <w:bCs/>
                <w:sz w:val="16"/>
                <w:szCs w:val="16"/>
              </w:rPr>
              <w:t>Ziņošanas parametri</w:t>
            </w:r>
          </w:p>
        </w:tc>
        <w:tc>
          <w:tcPr>
            <w:tcW w:w="840" w:type="dxa"/>
            <w:gridSpan w:val="2"/>
            <w:shd w:val="clear" w:color="auto" w:fill="auto"/>
          </w:tcPr>
          <w:p w14:paraId="11135083" w14:textId="77777777" w:rsidR="00DB0B6B" w:rsidRPr="00DB0B6B" w:rsidRDefault="00DB0B6B" w:rsidP="006D616A">
            <w:pPr>
              <w:spacing w:after="0"/>
              <w:rPr>
                <w:rFonts w:ascii="Times New Roman" w:hAnsi="Times New Roman"/>
                <w:b/>
                <w:bCs/>
                <w:sz w:val="16"/>
                <w:szCs w:val="16"/>
              </w:rPr>
            </w:pPr>
            <w:r w:rsidRPr="00DB0B6B">
              <w:rPr>
                <w:rFonts w:ascii="Times New Roman" w:hAnsi="Times New Roman"/>
                <w:b/>
                <w:bCs/>
                <w:sz w:val="16"/>
                <w:szCs w:val="16"/>
              </w:rPr>
              <w:t>Noziņotās vienības</w:t>
            </w:r>
          </w:p>
        </w:tc>
      </w:tr>
      <w:tr w:rsidR="00DB0B6B" w:rsidRPr="00155659" w14:paraId="2CCB92F6" w14:textId="77777777" w:rsidTr="00140234">
        <w:trPr>
          <w:gridAfter w:val="1"/>
          <w:wAfter w:w="8" w:type="dxa"/>
          <w:trHeight w:val="387"/>
          <w:tblHeader/>
        </w:trPr>
        <w:tc>
          <w:tcPr>
            <w:tcW w:w="2209" w:type="dxa"/>
            <w:vMerge/>
            <w:shd w:val="clear" w:color="auto" w:fill="auto"/>
          </w:tcPr>
          <w:p w14:paraId="1FAB4C10" w14:textId="77777777" w:rsidR="00DB0B6B" w:rsidRPr="009802A6" w:rsidRDefault="00DB0B6B" w:rsidP="006D616A">
            <w:pPr>
              <w:spacing w:after="0"/>
              <w:rPr>
                <w:rFonts w:ascii="Times New Roman" w:hAnsi="Times New Roman"/>
                <w:sz w:val="20"/>
                <w:szCs w:val="20"/>
              </w:rPr>
            </w:pPr>
          </w:p>
        </w:tc>
        <w:tc>
          <w:tcPr>
            <w:tcW w:w="586" w:type="dxa"/>
            <w:shd w:val="clear" w:color="auto" w:fill="auto"/>
          </w:tcPr>
          <w:p w14:paraId="0991B8D0" w14:textId="77777777" w:rsidR="00DB0B6B" w:rsidRPr="009802A6" w:rsidRDefault="00DB0B6B" w:rsidP="006D616A">
            <w:pPr>
              <w:spacing w:after="0"/>
              <w:rPr>
                <w:rFonts w:ascii="Times New Roman" w:hAnsi="Times New Roman"/>
                <w:b/>
                <w:bCs/>
                <w:sz w:val="16"/>
                <w:szCs w:val="16"/>
              </w:rPr>
            </w:pPr>
            <w:r w:rsidRPr="009802A6">
              <w:rPr>
                <w:rFonts w:ascii="Times New Roman" w:hAnsi="Times New Roman"/>
                <w:b/>
                <w:bCs/>
                <w:sz w:val="16"/>
                <w:szCs w:val="16"/>
              </w:rPr>
              <w:t>2013</w:t>
            </w:r>
          </w:p>
        </w:tc>
        <w:tc>
          <w:tcPr>
            <w:tcW w:w="586" w:type="dxa"/>
            <w:shd w:val="clear" w:color="auto" w:fill="auto"/>
          </w:tcPr>
          <w:p w14:paraId="366BC37A" w14:textId="77777777" w:rsidR="00DB0B6B" w:rsidRPr="009802A6" w:rsidRDefault="00DB0B6B" w:rsidP="006D616A">
            <w:pPr>
              <w:spacing w:after="0"/>
              <w:rPr>
                <w:rFonts w:ascii="Times New Roman" w:hAnsi="Times New Roman"/>
                <w:b/>
                <w:bCs/>
                <w:sz w:val="16"/>
                <w:szCs w:val="16"/>
              </w:rPr>
            </w:pPr>
            <w:r w:rsidRPr="009802A6">
              <w:rPr>
                <w:rFonts w:ascii="Times New Roman" w:hAnsi="Times New Roman"/>
                <w:b/>
                <w:bCs/>
                <w:sz w:val="16"/>
                <w:szCs w:val="16"/>
              </w:rPr>
              <w:t>2014</w:t>
            </w:r>
          </w:p>
        </w:tc>
        <w:tc>
          <w:tcPr>
            <w:tcW w:w="586" w:type="dxa"/>
            <w:shd w:val="clear" w:color="auto" w:fill="auto"/>
          </w:tcPr>
          <w:p w14:paraId="5F36F6D6" w14:textId="77777777" w:rsidR="00DB0B6B" w:rsidRPr="009802A6" w:rsidRDefault="00DB0B6B" w:rsidP="006D616A">
            <w:pPr>
              <w:spacing w:after="0"/>
              <w:rPr>
                <w:rFonts w:ascii="Times New Roman" w:hAnsi="Times New Roman"/>
                <w:b/>
                <w:bCs/>
                <w:sz w:val="16"/>
                <w:szCs w:val="16"/>
              </w:rPr>
            </w:pPr>
            <w:r w:rsidRPr="009802A6">
              <w:rPr>
                <w:rFonts w:ascii="Times New Roman" w:hAnsi="Times New Roman"/>
                <w:b/>
                <w:bCs/>
                <w:sz w:val="16"/>
                <w:szCs w:val="16"/>
              </w:rPr>
              <w:t>2015</w:t>
            </w:r>
          </w:p>
        </w:tc>
        <w:tc>
          <w:tcPr>
            <w:tcW w:w="586" w:type="dxa"/>
            <w:shd w:val="clear" w:color="auto" w:fill="auto"/>
          </w:tcPr>
          <w:p w14:paraId="5AA84F93" w14:textId="77777777" w:rsidR="00DB0B6B" w:rsidRPr="009802A6" w:rsidRDefault="00DB0B6B" w:rsidP="006D616A">
            <w:pPr>
              <w:spacing w:after="0"/>
              <w:rPr>
                <w:rFonts w:ascii="Times New Roman" w:hAnsi="Times New Roman"/>
                <w:b/>
                <w:bCs/>
                <w:sz w:val="16"/>
                <w:szCs w:val="16"/>
              </w:rPr>
            </w:pPr>
            <w:r w:rsidRPr="009802A6">
              <w:rPr>
                <w:rFonts w:ascii="Times New Roman" w:hAnsi="Times New Roman"/>
                <w:b/>
                <w:bCs/>
                <w:sz w:val="16"/>
                <w:szCs w:val="16"/>
              </w:rPr>
              <w:t>2016</w:t>
            </w:r>
          </w:p>
        </w:tc>
        <w:tc>
          <w:tcPr>
            <w:tcW w:w="586" w:type="dxa"/>
            <w:shd w:val="clear" w:color="auto" w:fill="auto"/>
          </w:tcPr>
          <w:p w14:paraId="0601A075" w14:textId="77777777" w:rsidR="00DB0B6B" w:rsidRPr="009802A6" w:rsidRDefault="00DB0B6B" w:rsidP="006D616A">
            <w:pPr>
              <w:spacing w:after="0"/>
              <w:rPr>
                <w:rFonts w:ascii="Times New Roman" w:hAnsi="Times New Roman"/>
                <w:b/>
                <w:bCs/>
                <w:sz w:val="16"/>
                <w:szCs w:val="16"/>
              </w:rPr>
            </w:pPr>
            <w:r w:rsidRPr="009802A6">
              <w:rPr>
                <w:rFonts w:ascii="Times New Roman" w:hAnsi="Times New Roman"/>
                <w:b/>
                <w:bCs/>
                <w:sz w:val="16"/>
                <w:szCs w:val="16"/>
              </w:rPr>
              <w:t>2017</w:t>
            </w:r>
          </w:p>
        </w:tc>
        <w:tc>
          <w:tcPr>
            <w:tcW w:w="586" w:type="dxa"/>
            <w:shd w:val="clear" w:color="auto" w:fill="auto"/>
          </w:tcPr>
          <w:p w14:paraId="07756B1E" w14:textId="77777777" w:rsidR="00DB0B6B" w:rsidRPr="009802A6" w:rsidRDefault="00DB0B6B" w:rsidP="006D616A">
            <w:pPr>
              <w:spacing w:after="0"/>
              <w:rPr>
                <w:rFonts w:ascii="Times New Roman" w:hAnsi="Times New Roman"/>
                <w:b/>
                <w:bCs/>
                <w:sz w:val="16"/>
                <w:szCs w:val="16"/>
              </w:rPr>
            </w:pPr>
            <w:r w:rsidRPr="009802A6">
              <w:rPr>
                <w:rFonts w:ascii="Times New Roman" w:hAnsi="Times New Roman"/>
                <w:b/>
                <w:bCs/>
                <w:sz w:val="16"/>
                <w:szCs w:val="16"/>
              </w:rPr>
              <w:t>2018</w:t>
            </w:r>
          </w:p>
        </w:tc>
        <w:tc>
          <w:tcPr>
            <w:tcW w:w="586" w:type="dxa"/>
            <w:shd w:val="clear" w:color="auto" w:fill="auto"/>
          </w:tcPr>
          <w:p w14:paraId="3E9B23BB" w14:textId="77777777" w:rsidR="00DB0B6B" w:rsidRPr="009802A6" w:rsidRDefault="00DB0B6B" w:rsidP="006D616A">
            <w:pPr>
              <w:spacing w:after="0"/>
              <w:rPr>
                <w:rFonts w:ascii="Times New Roman" w:hAnsi="Times New Roman"/>
                <w:b/>
                <w:bCs/>
                <w:sz w:val="16"/>
                <w:szCs w:val="16"/>
              </w:rPr>
            </w:pPr>
            <w:r w:rsidRPr="009802A6">
              <w:rPr>
                <w:rFonts w:ascii="Times New Roman" w:hAnsi="Times New Roman"/>
                <w:b/>
                <w:bCs/>
                <w:sz w:val="16"/>
                <w:szCs w:val="16"/>
              </w:rPr>
              <w:t>2019</w:t>
            </w:r>
          </w:p>
        </w:tc>
        <w:tc>
          <w:tcPr>
            <w:tcW w:w="586" w:type="dxa"/>
            <w:shd w:val="clear" w:color="auto" w:fill="auto"/>
          </w:tcPr>
          <w:p w14:paraId="60B6A1DC" w14:textId="77777777" w:rsidR="00DB0B6B" w:rsidRPr="009802A6" w:rsidRDefault="00DB0B6B" w:rsidP="006D616A">
            <w:pPr>
              <w:spacing w:after="0"/>
              <w:rPr>
                <w:rFonts w:ascii="Times New Roman" w:hAnsi="Times New Roman"/>
                <w:b/>
                <w:bCs/>
                <w:sz w:val="16"/>
                <w:szCs w:val="16"/>
              </w:rPr>
            </w:pPr>
            <w:r w:rsidRPr="009802A6">
              <w:rPr>
                <w:rFonts w:ascii="Times New Roman" w:hAnsi="Times New Roman"/>
                <w:b/>
                <w:bCs/>
                <w:sz w:val="16"/>
                <w:szCs w:val="16"/>
              </w:rPr>
              <w:t>2020</w:t>
            </w:r>
          </w:p>
        </w:tc>
        <w:tc>
          <w:tcPr>
            <w:tcW w:w="742" w:type="dxa"/>
            <w:shd w:val="clear" w:color="auto" w:fill="auto"/>
          </w:tcPr>
          <w:p w14:paraId="596C6876" w14:textId="77777777" w:rsidR="00DB0B6B" w:rsidRPr="009802A6" w:rsidRDefault="00DB0B6B" w:rsidP="006D616A">
            <w:pPr>
              <w:spacing w:after="0"/>
              <w:rPr>
                <w:rFonts w:ascii="Times New Roman" w:hAnsi="Times New Roman"/>
                <w:b/>
                <w:bCs/>
                <w:sz w:val="16"/>
                <w:szCs w:val="16"/>
              </w:rPr>
            </w:pPr>
            <w:r w:rsidRPr="009802A6">
              <w:rPr>
                <w:rFonts w:ascii="Times New Roman" w:hAnsi="Times New Roman"/>
                <w:b/>
                <w:bCs/>
                <w:sz w:val="16"/>
                <w:szCs w:val="16"/>
              </w:rPr>
              <w:t>Kopā</w:t>
            </w:r>
          </w:p>
        </w:tc>
        <w:tc>
          <w:tcPr>
            <w:tcW w:w="839" w:type="dxa"/>
            <w:gridSpan w:val="2"/>
            <w:shd w:val="clear" w:color="auto" w:fill="auto"/>
          </w:tcPr>
          <w:p w14:paraId="2EF05427" w14:textId="5AD96B78" w:rsidR="00DB0B6B" w:rsidRPr="009802A6" w:rsidRDefault="00DB0B6B" w:rsidP="006D616A">
            <w:pPr>
              <w:spacing w:after="0"/>
              <w:rPr>
                <w:rFonts w:ascii="Times New Roman" w:hAnsi="Times New Roman"/>
                <w:sz w:val="16"/>
                <w:szCs w:val="16"/>
              </w:rPr>
            </w:pPr>
          </w:p>
        </w:tc>
        <w:tc>
          <w:tcPr>
            <w:tcW w:w="840" w:type="dxa"/>
            <w:gridSpan w:val="2"/>
            <w:shd w:val="clear" w:color="auto" w:fill="auto"/>
          </w:tcPr>
          <w:p w14:paraId="54D93B7A" w14:textId="77777777" w:rsidR="00DB0B6B" w:rsidRPr="009802A6" w:rsidRDefault="00DB0B6B" w:rsidP="006D616A">
            <w:pPr>
              <w:spacing w:after="0"/>
              <w:rPr>
                <w:rFonts w:ascii="Times New Roman" w:hAnsi="Times New Roman"/>
                <w:sz w:val="16"/>
                <w:szCs w:val="16"/>
              </w:rPr>
            </w:pPr>
          </w:p>
        </w:tc>
      </w:tr>
      <w:tr w:rsidR="00DB0B6B" w:rsidRPr="00155659" w14:paraId="3471F4AC" w14:textId="77777777" w:rsidTr="00140234">
        <w:trPr>
          <w:trHeight w:val="196"/>
        </w:trPr>
        <w:tc>
          <w:tcPr>
            <w:tcW w:w="9326" w:type="dxa"/>
            <w:gridSpan w:val="15"/>
            <w:shd w:val="clear" w:color="auto" w:fill="auto"/>
          </w:tcPr>
          <w:p w14:paraId="2A9515CC" w14:textId="650D94A8" w:rsidR="00DB0B6B" w:rsidRPr="00DB0B6B" w:rsidRDefault="00DB0B6B" w:rsidP="006D616A">
            <w:pPr>
              <w:spacing w:after="0"/>
              <w:rPr>
                <w:rFonts w:ascii="Times New Roman" w:hAnsi="Times New Roman"/>
                <w:b/>
                <w:bCs/>
                <w:sz w:val="20"/>
                <w:szCs w:val="20"/>
              </w:rPr>
            </w:pPr>
            <w:proofErr w:type="spellStart"/>
            <w:r w:rsidRPr="00DB0B6B">
              <w:rPr>
                <w:rFonts w:ascii="Times New Roman" w:hAnsi="Times New Roman"/>
                <w:b/>
                <w:bCs/>
                <w:sz w:val="20"/>
                <w:szCs w:val="20"/>
              </w:rPr>
              <w:t>A.K</w:t>
            </w:r>
            <w:r w:rsidR="00A759F8">
              <w:rPr>
                <w:rFonts w:ascii="Times New Roman" w:hAnsi="Times New Roman"/>
                <w:b/>
                <w:bCs/>
                <w:sz w:val="20"/>
                <w:szCs w:val="20"/>
              </w:rPr>
              <w:t>ioto</w:t>
            </w:r>
            <w:proofErr w:type="spellEnd"/>
            <w:r w:rsidR="00A759F8">
              <w:rPr>
                <w:rFonts w:ascii="Times New Roman" w:hAnsi="Times New Roman"/>
                <w:b/>
                <w:bCs/>
                <w:sz w:val="20"/>
                <w:szCs w:val="20"/>
              </w:rPr>
              <w:t xml:space="preserve"> protokola</w:t>
            </w:r>
            <w:r w:rsidRPr="00DB0B6B">
              <w:rPr>
                <w:rFonts w:ascii="Times New Roman" w:hAnsi="Times New Roman"/>
                <w:b/>
                <w:bCs/>
                <w:sz w:val="20"/>
                <w:szCs w:val="20"/>
              </w:rPr>
              <w:t xml:space="preserve"> 3.panta</w:t>
            </w:r>
            <w:r w:rsidR="00A759F8">
              <w:rPr>
                <w:rFonts w:ascii="Times New Roman" w:hAnsi="Times New Roman"/>
                <w:b/>
                <w:bCs/>
                <w:sz w:val="20"/>
                <w:szCs w:val="20"/>
              </w:rPr>
              <w:t xml:space="preserve"> 3. punkta</w:t>
            </w:r>
            <w:r w:rsidRPr="00DB0B6B">
              <w:rPr>
                <w:rFonts w:ascii="Times New Roman" w:hAnsi="Times New Roman"/>
                <w:b/>
                <w:bCs/>
                <w:sz w:val="20"/>
                <w:szCs w:val="20"/>
              </w:rPr>
              <w:t xml:space="preserve"> uzskaitītās kategorijas darbības</w:t>
            </w:r>
          </w:p>
        </w:tc>
      </w:tr>
      <w:tr w:rsidR="00DB0B6B" w:rsidRPr="00155659" w14:paraId="1E365A0F" w14:textId="77777777" w:rsidTr="00140234">
        <w:trPr>
          <w:gridAfter w:val="1"/>
          <w:wAfter w:w="8" w:type="dxa"/>
          <w:trHeight w:val="325"/>
        </w:trPr>
        <w:tc>
          <w:tcPr>
            <w:tcW w:w="2209" w:type="dxa"/>
            <w:shd w:val="clear" w:color="auto" w:fill="auto"/>
          </w:tcPr>
          <w:p w14:paraId="1F819E45" w14:textId="77777777" w:rsidR="00DB0B6B" w:rsidRPr="009802A6" w:rsidRDefault="00DB0B6B" w:rsidP="006D616A">
            <w:pPr>
              <w:spacing w:after="0"/>
              <w:rPr>
                <w:rFonts w:ascii="Times New Roman" w:hAnsi="Times New Roman"/>
                <w:sz w:val="20"/>
                <w:szCs w:val="20"/>
              </w:rPr>
            </w:pPr>
            <w:r w:rsidRPr="009802A6">
              <w:rPr>
                <w:rFonts w:ascii="Times New Roman" w:hAnsi="Times New Roman"/>
                <w:sz w:val="20"/>
                <w:szCs w:val="20"/>
              </w:rPr>
              <w:t>A.1. Apmežošana</w:t>
            </w:r>
          </w:p>
        </w:tc>
        <w:tc>
          <w:tcPr>
            <w:tcW w:w="586" w:type="dxa"/>
            <w:shd w:val="clear" w:color="auto" w:fill="auto"/>
          </w:tcPr>
          <w:p w14:paraId="4AA18107" w14:textId="77777777" w:rsidR="00DB0B6B" w:rsidRPr="00DB0B6B" w:rsidRDefault="00DB0B6B" w:rsidP="006D616A">
            <w:pPr>
              <w:spacing w:after="0"/>
              <w:rPr>
                <w:rFonts w:ascii="Times New Roman" w:hAnsi="Times New Roman"/>
                <w:sz w:val="14"/>
                <w:szCs w:val="14"/>
              </w:rPr>
            </w:pPr>
            <w:r w:rsidRPr="00DB0B6B">
              <w:rPr>
                <w:rFonts w:ascii="Times New Roman" w:hAnsi="Times New Roman"/>
                <w:sz w:val="14"/>
                <w:szCs w:val="14"/>
              </w:rPr>
              <w:t>-228.81</w:t>
            </w:r>
          </w:p>
        </w:tc>
        <w:tc>
          <w:tcPr>
            <w:tcW w:w="586" w:type="dxa"/>
            <w:shd w:val="clear" w:color="auto" w:fill="auto"/>
          </w:tcPr>
          <w:p w14:paraId="30DFB9B8" w14:textId="77777777" w:rsidR="00DB0B6B" w:rsidRPr="00DB0B6B" w:rsidRDefault="00DB0B6B" w:rsidP="006D616A">
            <w:pPr>
              <w:spacing w:after="0"/>
              <w:rPr>
                <w:rFonts w:ascii="Times New Roman" w:hAnsi="Times New Roman"/>
                <w:sz w:val="14"/>
                <w:szCs w:val="14"/>
              </w:rPr>
            </w:pPr>
            <w:r w:rsidRPr="00DB0B6B">
              <w:rPr>
                <w:rFonts w:ascii="Times New Roman" w:hAnsi="Times New Roman"/>
                <w:sz w:val="14"/>
                <w:szCs w:val="14"/>
              </w:rPr>
              <w:t>-246.81</w:t>
            </w:r>
          </w:p>
        </w:tc>
        <w:tc>
          <w:tcPr>
            <w:tcW w:w="586" w:type="dxa"/>
            <w:shd w:val="clear" w:color="auto" w:fill="auto"/>
          </w:tcPr>
          <w:p w14:paraId="11E488F6" w14:textId="77777777" w:rsidR="00DB0B6B" w:rsidRPr="00DB0B6B" w:rsidRDefault="00DB0B6B" w:rsidP="006D616A">
            <w:pPr>
              <w:spacing w:after="0"/>
              <w:rPr>
                <w:rFonts w:ascii="Times New Roman" w:hAnsi="Times New Roman"/>
                <w:sz w:val="14"/>
                <w:szCs w:val="14"/>
              </w:rPr>
            </w:pPr>
            <w:r w:rsidRPr="00DB0B6B">
              <w:rPr>
                <w:rFonts w:ascii="Times New Roman" w:hAnsi="Times New Roman"/>
                <w:sz w:val="14"/>
                <w:szCs w:val="14"/>
              </w:rPr>
              <w:t>-266.28</w:t>
            </w:r>
          </w:p>
        </w:tc>
        <w:tc>
          <w:tcPr>
            <w:tcW w:w="586" w:type="dxa"/>
            <w:shd w:val="clear" w:color="auto" w:fill="auto"/>
          </w:tcPr>
          <w:p w14:paraId="0766F2ED" w14:textId="77777777" w:rsidR="00DB0B6B" w:rsidRPr="00DB0B6B" w:rsidRDefault="00DB0B6B" w:rsidP="006D616A">
            <w:pPr>
              <w:spacing w:after="0"/>
              <w:rPr>
                <w:rFonts w:ascii="Times New Roman" w:hAnsi="Times New Roman"/>
                <w:sz w:val="14"/>
                <w:szCs w:val="14"/>
              </w:rPr>
            </w:pPr>
            <w:r w:rsidRPr="00DB0B6B">
              <w:rPr>
                <w:rFonts w:ascii="Times New Roman" w:hAnsi="Times New Roman"/>
                <w:sz w:val="14"/>
                <w:szCs w:val="14"/>
              </w:rPr>
              <w:t>-285.02</w:t>
            </w:r>
          </w:p>
        </w:tc>
        <w:tc>
          <w:tcPr>
            <w:tcW w:w="586" w:type="dxa"/>
            <w:shd w:val="clear" w:color="auto" w:fill="auto"/>
          </w:tcPr>
          <w:p w14:paraId="1382325C" w14:textId="77777777" w:rsidR="00DB0B6B" w:rsidRPr="00DB0B6B" w:rsidRDefault="00DB0B6B" w:rsidP="006D616A">
            <w:pPr>
              <w:spacing w:after="0"/>
              <w:rPr>
                <w:rFonts w:ascii="Times New Roman" w:hAnsi="Times New Roman"/>
                <w:sz w:val="14"/>
                <w:szCs w:val="14"/>
              </w:rPr>
            </w:pPr>
            <w:r w:rsidRPr="00DB0B6B">
              <w:rPr>
                <w:rFonts w:ascii="Times New Roman" w:hAnsi="Times New Roman"/>
                <w:sz w:val="14"/>
                <w:szCs w:val="14"/>
              </w:rPr>
              <w:t>-309.34</w:t>
            </w:r>
          </w:p>
        </w:tc>
        <w:tc>
          <w:tcPr>
            <w:tcW w:w="586" w:type="dxa"/>
            <w:shd w:val="clear" w:color="auto" w:fill="auto"/>
          </w:tcPr>
          <w:p w14:paraId="04D2B91C" w14:textId="77777777" w:rsidR="00DB0B6B" w:rsidRPr="00DB0B6B" w:rsidRDefault="00DB0B6B" w:rsidP="006D616A">
            <w:pPr>
              <w:spacing w:after="0"/>
              <w:rPr>
                <w:rFonts w:ascii="Times New Roman" w:hAnsi="Times New Roman"/>
                <w:sz w:val="14"/>
                <w:szCs w:val="14"/>
              </w:rPr>
            </w:pPr>
            <w:r w:rsidRPr="00DB0B6B">
              <w:rPr>
                <w:rFonts w:ascii="Times New Roman" w:hAnsi="Times New Roman"/>
                <w:sz w:val="14"/>
                <w:szCs w:val="14"/>
              </w:rPr>
              <w:t>-330.47</w:t>
            </w:r>
          </w:p>
        </w:tc>
        <w:tc>
          <w:tcPr>
            <w:tcW w:w="586" w:type="dxa"/>
            <w:shd w:val="clear" w:color="auto" w:fill="auto"/>
          </w:tcPr>
          <w:p w14:paraId="231417CD" w14:textId="77777777" w:rsidR="00DB0B6B" w:rsidRPr="00DB0B6B" w:rsidRDefault="00DB0B6B" w:rsidP="006D616A">
            <w:pPr>
              <w:spacing w:after="0"/>
              <w:rPr>
                <w:rFonts w:ascii="Times New Roman" w:hAnsi="Times New Roman"/>
                <w:sz w:val="14"/>
                <w:szCs w:val="14"/>
              </w:rPr>
            </w:pPr>
            <w:r w:rsidRPr="00DB0B6B">
              <w:rPr>
                <w:rFonts w:ascii="Times New Roman" w:hAnsi="Times New Roman"/>
                <w:sz w:val="14"/>
                <w:szCs w:val="14"/>
              </w:rPr>
              <w:t>-352.34</w:t>
            </w:r>
          </w:p>
        </w:tc>
        <w:tc>
          <w:tcPr>
            <w:tcW w:w="586" w:type="dxa"/>
            <w:shd w:val="clear" w:color="auto" w:fill="auto"/>
          </w:tcPr>
          <w:p w14:paraId="54E1E8E4" w14:textId="77777777" w:rsidR="00DB0B6B" w:rsidRPr="00DB0B6B" w:rsidRDefault="00DB0B6B" w:rsidP="006D616A">
            <w:pPr>
              <w:spacing w:after="0"/>
              <w:rPr>
                <w:rFonts w:ascii="Times New Roman" w:hAnsi="Times New Roman"/>
                <w:sz w:val="14"/>
                <w:szCs w:val="14"/>
              </w:rPr>
            </w:pPr>
            <w:r w:rsidRPr="00DB0B6B">
              <w:rPr>
                <w:rFonts w:ascii="Times New Roman" w:hAnsi="Times New Roman"/>
                <w:sz w:val="14"/>
                <w:szCs w:val="14"/>
              </w:rPr>
              <w:t>-374.95</w:t>
            </w:r>
          </w:p>
        </w:tc>
        <w:tc>
          <w:tcPr>
            <w:tcW w:w="742" w:type="dxa"/>
            <w:shd w:val="clear" w:color="auto" w:fill="auto"/>
          </w:tcPr>
          <w:p w14:paraId="79B04F5D" w14:textId="77777777" w:rsidR="00DB0B6B" w:rsidRPr="00DB0B6B" w:rsidRDefault="00DB0B6B" w:rsidP="006D616A">
            <w:pPr>
              <w:spacing w:after="0"/>
              <w:rPr>
                <w:rFonts w:ascii="Times New Roman" w:hAnsi="Times New Roman"/>
                <w:sz w:val="14"/>
                <w:szCs w:val="14"/>
              </w:rPr>
            </w:pPr>
            <w:r w:rsidRPr="00DB0B6B">
              <w:rPr>
                <w:rFonts w:ascii="Times New Roman" w:hAnsi="Times New Roman"/>
                <w:sz w:val="14"/>
                <w:szCs w:val="14"/>
              </w:rPr>
              <w:t>-2394.03</w:t>
            </w:r>
          </w:p>
        </w:tc>
        <w:tc>
          <w:tcPr>
            <w:tcW w:w="839" w:type="dxa"/>
            <w:gridSpan w:val="2"/>
            <w:shd w:val="clear" w:color="auto" w:fill="DDDDDD"/>
          </w:tcPr>
          <w:p w14:paraId="7BE18922" w14:textId="47D213C2" w:rsidR="00DB0B6B" w:rsidRPr="00DB0B6B" w:rsidRDefault="00DB0B6B" w:rsidP="006D616A">
            <w:pPr>
              <w:spacing w:after="0"/>
              <w:rPr>
                <w:rFonts w:ascii="Times New Roman" w:hAnsi="Times New Roman"/>
                <w:sz w:val="14"/>
                <w:szCs w:val="14"/>
              </w:rPr>
            </w:pPr>
          </w:p>
        </w:tc>
        <w:tc>
          <w:tcPr>
            <w:tcW w:w="840" w:type="dxa"/>
            <w:gridSpan w:val="2"/>
            <w:shd w:val="clear" w:color="auto" w:fill="auto"/>
          </w:tcPr>
          <w:p w14:paraId="1656E25A" w14:textId="77777777" w:rsidR="00DB0B6B" w:rsidRPr="00DB0B6B" w:rsidRDefault="00DB0B6B" w:rsidP="006D616A">
            <w:pPr>
              <w:spacing w:after="0"/>
              <w:rPr>
                <w:rFonts w:ascii="Times New Roman" w:hAnsi="Times New Roman"/>
                <w:sz w:val="14"/>
                <w:szCs w:val="14"/>
              </w:rPr>
            </w:pPr>
            <w:r w:rsidRPr="00DB0B6B">
              <w:rPr>
                <w:rFonts w:ascii="Times New Roman" w:hAnsi="Times New Roman"/>
                <w:sz w:val="14"/>
                <w:szCs w:val="14"/>
              </w:rPr>
              <w:t>-2394.03</w:t>
            </w:r>
          </w:p>
        </w:tc>
      </w:tr>
      <w:tr w:rsidR="00DB0B6B" w:rsidRPr="00155659" w14:paraId="36E41425" w14:textId="77777777" w:rsidTr="00140234">
        <w:trPr>
          <w:gridAfter w:val="1"/>
          <w:wAfter w:w="8" w:type="dxa"/>
          <w:trHeight w:val="337"/>
        </w:trPr>
        <w:tc>
          <w:tcPr>
            <w:tcW w:w="2209" w:type="dxa"/>
            <w:shd w:val="clear" w:color="auto" w:fill="auto"/>
          </w:tcPr>
          <w:p w14:paraId="2629B03E" w14:textId="77777777" w:rsidR="00DB0B6B" w:rsidRPr="009802A6" w:rsidRDefault="00DB0B6B" w:rsidP="006D616A">
            <w:pPr>
              <w:spacing w:after="0"/>
              <w:rPr>
                <w:rFonts w:ascii="Times New Roman" w:hAnsi="Times New Roman"/>
                <w:sz w:val="20"/>
                <w:szCs w:val="20"/>
              </w:rPr>
            </w:pPr>
            <w:r w:rsidRPr="009802A6">
              <w:rPr>
                <w:rFonts w:ascii="Times New Roman" w:hAnsi="Times New Roman"/>
                <w:sz w:val="20"/>
                <w:szCs w:val="20"/>
              </w:rPr>
              <w:t>A.2. Atmežošana</w:t>
            </w:r>
          </w:p>
        </w:tc>
        <w:tc>
          <w:tcPr>
            <w:tcW w:w="586" w:type="dxa"/>
            <w:shd w:val="clear" w:color="auto" w:fill="auto"/>
          </w:tcPr>
          <w:p w14:paraId="285AF63E" w14:textId="77777777" w:rsidR="00DB0B6B" w:rsidRPr="00DB0B6B" w:rsidRDefault="00DB0B6B" w:rsidP="006D616A">
            <w:pPr>
              <w:spacing w:after="0"/>
              <w:rPr>
                <w:rFonts w:ascii="Times New Roman" w:hAnsi="Times New Roman"/>
                <w:sz w:val="14"/>
                <w:szCs w:val="14"/>
              </w:rPr>
            </w:pPr>
            <w:r w:rsidRPr="00DB0B6B">
              <w:rPr>
                <w:rFonts w:ascii="Times New Roman" w:hAnsi="Times New Roman"/>
                <w:sz w:val="14"/>
                <w:szCs w:val="14"/>
              </w:rPr>
              <w:t>301.29</w:t>
            </w:r>
          </w:p>
        </w:tc>
        <w:tc>
          <w:tcPr>
            <w:tcW w:w="586" w:type="dxa"/>
            <w:shd w:val="clear" w:color="auto" w:fill="auto"/>
          </w:tcPr>
          <w:p w14:paraId="44A57972" w14:textId="77777777" w:rsidR="00DB0B6B" w:rsidRPr="00DB0B6B" w:rsidRDefault="00DB0B6B" w:rsidP="006D616A">
            <w:pPr>
              <w:spacing w:after="0"/>
              <w:rPr>
                <w:rFonts w:ascii="Times New Roman" w:hAnsi="Times New Roman"/>
                <w:sz w:val="14"/>
                <w:szCs w:val="14"/>
              </w:rPr>
            </w:pPr>
            <w:r w:rsidRPr="00DB0B6B">
              <w:rPr>
                <w:rFonts w:ascii="Times New Roman" w:hAnsi="Times New Roman"/>
                <w:sz w:val="14"/>
                <w:szCs w:val="14"/>
              </w:rPr>
              <w:t>307.14</w:t>
            </w:r>
          </w:p>
        </w:tc>
        <w:tc>
          <w:tcPr>
            <w:tcW w:w="586" w:type="dxa"/>
            <w:shd w:val="clear" w:color="auto" w:fill="auto"/>
          </w:tcPr>
          <w:p w14:paraId="1B30EAD9" w14:textId="77777777" w:rsidR="00DB0B6B" w:rsidRPr="00DB0B6B" w:rsidRDefault="00DB0B6B" w:rsidP="006D616A">
            <w:pPr>
              <w:spacing w:after="0"/>
              <w:rPr>
                <w:rFonts w:ascii="Times New Roman" w:hAnsi="Times New Roman"/>
                <w:sz w:val="14"/>
                <w:szCs w:val="14"/>
              </w:rPr>
            </w:pPr>
            <w:r w:rsidRPr="00DB0B6B">
              <w:rPr>
                <w:rFonts w:ascii="Times New Roman" w:hAnsi="Times New Roman"/>
                <w:sz w:val="14"/>
                <w:szCs w:val="14"/>
              </w:rPr>
              <w:t>313.12</w:t>
            </w:r>
          </w:p>
        </w:tc>
        <w:tc>
          <w:tcPr>
            <w:tcW w:w="586" w:type="dxa"/>
            <w:shd w:val="clear" w:color="auto" w:fill="auto"/>
          </w:tcPr>
          <w:p w14:paraId="3EAE57E8" w14:textId="77777777" w:rsidR="00DB0B6B" w:rsidRPr="00DB0B6B" w:rsidRDefault="00DB0B6B" w:rsidP="006D616A">
            <w:pPr>
              <w:spacing w:after="0"/>
              <w:rPr>
                <w:rFonts w:ascii="Times New Roman" w:hAnsi="Times New Roman"/>
                <w:sz w:val="14"/>
                <w:szCs w:val="14"/>
              </w:rPr>
            </w:pPr>
            <w:r w:rsidRPr="00DB0B6B">
              <w:rPr>
                <w:rFonts w:ascii="Times New Roman" w:hAnsi="Times New Roman"/>
                <w:sz w:val="14"/>
                <w:szCs w:val="14"/>
              </w:rPr>
              <w:t>319.10</w:t>
            </w:r>
          </w:p>
        </w:tc>
        <w:tc>
          <w:tcPr>
            <w:tcW w:w="586" w:type="dxa"/>
            <w:shd w:val="clear" w:color="auto" w:fill="auto"/>
          </w:tcPr>
          <w:p w14:paraId="416F274A" w14:textId="77777777" w:rsidR="00DB0B6B" w:rsidRPr="00DB0B6B" w:rsidRDefault="00DB0B6B" w:rsidP="006D616A">
            <w:pPr>
              <w:spacing w:after="0"/>
              <w:rPr>
                <w:rFonts w:ascii="Times New Roman" w:hAnsi="Times New Roman"/>
                <w:sz w:val="14"/>
                <w:szCs w:val="14"/>
              </w:rPr>
            </w:pPr>
            <w:r w:rsidRPr="00DB0B6B">
              <w:rPr>
                <w:rFonts w:ascii="Times New Roman" w:hAnsi="Times New Roman"/>
                <w:sz w:val="14"/>
                <w:szCs w:val="14"/>
              </w:rPr>
              <w:t>325.14</w:t>
            </w:r>
          </w:p>
        </w:tc>
        <w:tc>
          <w:tcPr>
            <w:tcW w:w="586" w:type="dxa"/>
            <w:shd w:val="clear" w:color="auto" w:fill="auto"/>
          </w:tcPr>
          <w:p w14:paraId="60430AB6" w14:textId="77777777" w:rsidR="00DB0B6B" w:rsidRPr="00DB0B6B" w:rsidRDefault="00DB0B6B" w:rsidP="006D616A">
            <w:pPr>
              <w:spacing w:after="0"/>
              <w:rPr>
                <w:rFonts w:ascii="Times New Roman" w:hAnsi="Times New Roman"/>
                <w:sz w:val="14"/>
                <w:szCs w:val="14"/>
              </w:rPr>
            </w:pPr>
            <w:r w:rsidRPr="00DB0B6B">
              <w:rPr>
                <w:rFonts w:ascii="Times New Roman" w:hAnsi="Times New Roman"/>
                <w:sz w:val="14"/>
                <w:szCs w:val="14"/>
              </w:rPr>
              <w:t>331.13</w:t>
            </w:r>
          </w:p>
        </w:tc>
        <w:tc>
          <w:tcPr>
            <w:tcW w:w="586" w:type="dxa"/>
            <w:shd w:val="clear" w:color="auto" w:fill="auto"/>
          </w:tcPr>
          <w:p w14:paraId="06FED73D" w14:textId="77777777" w:rsidR="00DB0B6B" w:rsidRPr="00DB0B6B" w:rsidRDefault="00DB0B6B" w:rsidP="006D616A">
            <w:pPr>
              <w:spacing w:after="0"/>
              <w:rPr>
                <w:rFonts w:ascii="Times New Roman" w:hAnsi="Times New Roman"/>
                <w:sz w:val="14"/>
                <w:szCs w:val="14"/>
              </w:rPr>
            </w:pPr>
            <w:r w:rsidRPr="00DB0B6B">
              <w:rPr>
                <w:rFonts w:ascii="Times New Roman" w:hAnsi="Times New Roman"/>
                <w:sz w:val="14"/>
                <w:szCs w:val="14"/>
              </w:rPr>
              <w:t>337.11</w:t>
            </w:r>
          </w:p>
        </w:tc>
        <w:tc>
          <w:tcPr>
            <w:tcW w:w="586" w:type="dxa"/>
            <w:shd w:val="clear" w:color="auto" w:fill="auto"/>
          </w:tcPr>
          <w:p w14:paraId="799400F2" w14:textId="77777777" w:rsidR="00DB0B6B" w:rsidRPr="00DB0B6B" w:rsidRDefault="00DB0B6B" w:rsidP="006D616A">
            <w:pPr>
              <w:spacing w:after="0"/>
              <w:rPr>
                <w:rFonts w:ascii="Times New Roman" w:hAnsi="Times New Roman"/>
                <w:sz w:val="14"/>
                <w:szCs w:val="14"/>
              </w:rPr>
            </w:pPr>
            <w:r w:rsidRPr="00DB0B6B">
              <w:rPr>
                <w:rFonts w:ascii="Times New Roman" w:hAnsi="Times New Roman"/>
                <w:sz w:val="14"/>
                <w:szCs w:val="14"/>
              </w:rPr>
              <w:t>341.81</w:t>
            </w:r>
          </w:p>
        </w:tc>
        <w:tc>
          <w:tcPr>
            <w:tcW w:w="742" w:type="dxa"/>
            <w:shd w:val="clear" w:color="auto" w:fill="auto"/>
          </w:tcPr>
          <w:p w14:paraId="3DF53030" w14:textId="77777777" w:rsidR="00DB0B6B" w:rsidRPr="00DB0B6B" w:rsidRDefault="00DB0B6B" w:rsidP="006D616A">
            <w:pPr>
              <w:spacing w:after="0"/>
              <w:rPr>
                <w:rFonts w:ascii="Times New Roman" w:hAnsi="Times New Roman"/>
                <w:sz w:val="14"/>
                <w:szCs w:val="14"/>
              </w:rPr>
            </w:pPr>
            <w:r w:rsidRPr="00DB0B6B">
              <w:rPr>
                <w:rFonts w:ascii="Times New Roman" w:hAnsi="Times New Roman"/>
                <w:sz w:val="14"/>
                <w:szCs w:val="14"/>
              </w:rPr>
              <w:t>2575.84</w:t>
            </w:r>
          </w:p>
        </w:tc>
        <w:tc>
          <w:tcPr>
            <w:tcW w:w="839" w:type="dxa"/>
            <w:gridSpan w:val="2"/>
            <w:shd w:val="clear" w:color="auto" w:fill="DDDDDD"/>
          </w:tcPr>
          <w:p w14:paraId="0246670D" w14:textId="5D814302" w:rsidR="00DB0B6B" w:rsidRPr="00DB0B6B" w:rsidRDefault="00DB0B6B" w:rsidP="006D616A">
            <w:pPr>
              <w:spacing w:after="0"/>
              <w:rPr>
                <w:rFonts w:ascii="Times New Roman" w:hAnsi="Times New Roman"/>
                <w:sz w:val="14"/>
                <w:szCs w:val="14"/>
              </w:rPr>
            </w:pPr>
          </w:p>
        </w:tc>
        <w:tc>
          <w:tcPr>
            <w:tcW w:w="840" w:type="dxa"/>
            <w:gridSpan w:val="2"/>
            <w:shd w:val="clear" w:color="auto" w:fill="auto"/>
          </w:tcPr>
          <w:p w14:paraId="61EC0762" w14:textId="77777777" w:rsidR="00DB0B6B" w:rsidRPr="00DB0B6B" w:rsidRDefault="00DB0B6B" w:rsidP="006D616A">
            <w:pPr>
              <w:spacing w:after="0"/>
              <w:rPr>
                <w:rFonts w:ascii="Times New Roman" w:hAnsi="Times New Roman"/>
                <w:sz w:val="14"/>
                <w:szCs w:val="14"/>
              </w:rPr>
            </w:pPr>
            <w:r w:rsidRPr="00DB0B6B">
              <w:rPr>
                <w:rFonts w:ascii="Times New Roman" w:hAnsi="Times New Roman"/>
                <w:sz w:val="14"/>
                <w:szCs w:val="14"/>
              </w:rPr>
              <w:t>2575.84</w:t>
            </w:r>
          </w:p>
        </w:tc>
      </w:tr>
      <w:tr w:rsidR="00DB0B6B" w:rsidRPr="00155659" w14:paraId="19CF2C60" w14:textId="77777777" w:rsidTr="00140234">
        <w:trPr>
          <w:trHeight w:val="168"/>
        </w:trPr>
        <w:tc>
          <w:tcPr>
            <w:tcW w:w="9326" w:type="dxa"/>
            <w:gridSpan w:val="15"/>
            <w:shd w:val="clear" w:color="auto" w:fill="auto"/>
          </w:tcPr>
          <w:p w14:paraId="67B8061B" w14:textId="6948023B" w:rsidR="00DB0B6B" w:rsidRPr="00DB0B6B" w:rsidRDefault="00DB0B6B" w:rsidP="006D616A">
            <w:pPr>
              <w:spacing w:after="0"/>
              <w:rPr>
                <w:rFonts w:ascii="Times New Roman" w:hAnsi="Times New Roman"/>
                <w:b/>
                <w:bCs/>
                <w:sz w:val="20"/>
                <w:szCs w:val="20"/>
              </w:rPr>
            </w:pPr>
            <w:proofErr w:type="spellStart"/>
            <w:r w:rsidRPr="00DB0B6B">
              <w:rPr>
                <w:rFonts w:ascii="Times New Roman" w:hAnsi="Times New Roman"/>
                <w:b/>
                <w:bCs/>
                <w:sz w:val="20"/>
                <w:szCs w:val="20"/>
              </w:rPr>
              <w:t>B.K</w:t>
            </w:r>
            <w:r w:rsidR="00A759F8">
              <w:rPr>
                <w:rFonts w:ascii="Times New Roman" w:hAnsi="Times New Roman"/>
                <w:b/>
                <w:bCs/>
                <w:sz w:val="20"/>
                <w:szCs w:val="20"/>
              </w:rPr>
              <w:t>ioto</w:t>
            </w:r>
            <w:proofErr w:type="spellEnd"/>
            <w:r w:rsidR="00A759F8">
              <w:rPr>
                <w:rFonts w:ascii="Times New Roman" w:hAnsi="Times New Roman"/>
                <w:b/>
                <w:bCs/>
                <w:sz w:val="20"/>
                <w:szCs w:val="20"/>
              </w:rPr>
              <w:t xml:space="preserve"> protokola</w:t>
            </w:r>
            <w:r w:rsidRPr="00DB0B6B">
              <w:rPr>
                <w:rFonts w:ascii="Times New Roman" w:hAnsi="Times New Roman"/>
                <w:b/>
                <w:bCs/>
                <w:sz w:val="20"/>
                <w:szCs w:val="20"/>
              </w:rPr>
              <w:t xml:space="preserve"> 3.panta </w:t>
            </w:r>
            <w:r w:rsidR="00A759F8">
              <w:rPr>
                <w:rFonts w:ascii="Times New Roman" w:hAnsi="Times New Roman"/>
                <w:b/>
                <w:bCs/>
                <w:sz w:val="20"/>
                <w:szCs w:val="20"/>
              </w:rPr>
              <w:t xml:space="preserve">4.punkta </w:t>
            </w:r>
            <w:r w:rsidRPr="00DB0B6B">
              <w:rPr>
                <w:rFonts w:ascii="Times New Roman" w:hAnsi="Times New Roman"/>
                <w:b/>
                <w:bCs/>
                <w:sz w:val="20"/>
                <w:szCs w:val="20"/>
              </w:rPr>
              <w:t>uzskaitītās kategorijas darbības</w:t>
            </w:r>
          </w:p>
        </w:tc>
      </w:tr>
      <w:tr w:rsidR="00DB0B6B" w:rsidRPr="00155659" w14:paraId="7D383A84" w14:textId="77777777" w:rsidTr="00140234">
        <w:trPr>
          <w:gridAfter w:val="1"/>
          <w:wAfter w:w="8" w:type="dxa"/>
          <w:trHeight w:val="424"/>
        </w:trPr>
        <w:tc>
          <w:tcPr>
            <w:tcW w:w="2209" w:type="dxa"/>
            <w:shd w:val="clear" w:color="auto" w:fill="auto"/>
          </w:tcPr>
          <w:p w14:paraId="6EFCA56D" w14:textId="77777777" w:rsidR="00DB0B6B" w:rsidRPr="009802A6" w:rsidRDefault="00DB0B6B" w:rsidP="006D616A">
            <w:pPr>
              <w:spacing w:after="0"/>
              <w:rPr>
                <w:rFonts w:ascii="Times New Roman" w:hAnsi="Times New Roman"/>
                <w:sz w:val="20"/>
                <w:szCs w:val="20"/>
              </w:rPr>
            </w:pPr>
            <w:r w:rsidRPr="009802A6">
              <w:rPr>
                <w:rFonts w:ascii="Times New Roman" w:hAnsi="Times New Roman"/>
                <w:sz w:val="20"/>
                <w:szCs w:val="20"/>
              </w:rPr>
              <w:t>B.1. Meža apsaimniekošana</w:t>
            </w:r>
          </w:p>
        </w:tc>
        <w:tc>
          <w:tcPr>
            <w:tcW w:w="586" w:type="dxa"/>
            <w:shd w:val="clear" w:color="auto" w:fill="auto"/>
          </w:tcPr>
          <w:p w14:paraId="6D6346B9" w14:textId="77777777" w:rsidR="00DB0B6B" w:rsidRPr="00DB0B6B" w:rsidRDefault="00DB0B6B" w:rsidP="006D616A">
            <w:pPr>
              <w:spacing w:after="0"/>
              <w:rPr>
                <w:rFonts w:ascii="Times New Roman" w:hAnsi="Times New Roman"/>
                <w:sz w:val="13"/>
                <w:szCs w:val="13"/>
              </w:rPr>
            </w:pPr>
            <w:r w:rsidRPr="00DB0B6B">
              <w:rPr>
                <w:rFonts w:ascii="Times New Roman" w:hAnsi="Times New Roman"/>
                <w:sz w:val="13"/>
                <w:szCs w:val="13"/>
              </w:rPr>
              <w:t>-6472.68</w:t>
            </w:r>
          </w:p>
        </w:tc>
        <w:tc>
          <w:tcPr>
            <w:tcW w:w="586" w:type="dxa"/>
            <w:shd w:val="clear" w:color="auto" w:fill="auto"/>
          </w:tcPr>
          <w:p w14:paraId="149D186D" w14:textId="77777777" w:rsidR="00DB0B6B" w:rsidRPr="00DB0B6B" w:rsidRDefault="00DB0B6B" w:rsidP="006D616A">
            <w:pPr>
              <w:spacing w:after="0"/>
              <w:rPr>
                <w:rFonts w:ascii="Times New Roman" w:hAnsi="Times New Roman"/>
                <w:sz w:val="13"/>
                <w:szCs w:val="13"/>
              </w:rPr>
            </w:pPr>
            <w:r w:rsidRPr="00DB0B6B">
              <w:rPr>
                <w:rFonts w:ascii="Times New Roman" w:hAnsi="Times New Roman"/>
                <w:sz w:val="13"/>
                <w:szCs w:val="13"/>
              </w:rPr>
              <w:t>-1800.12</w:t>
            </w:r>
          </w:p>
        </w:tc>
        <w:tc>
          <w:tcPr>
            <w:tcW w:w="586" w:type="dxa"/>
            <w:shd w:val="clear" w:color="auto" w:fill="auto"/>
          </w:tcPr>
          <w:p w14:paraId="69BED2C1" w14:textId="77777777" w:rsidR="00DB0B6B" w:rsidRPr="00DB0B6B" w:rsidRDefault="00DB0B6B" w:rsidP="006D616A">
            <w:pPr>
              <w:spacing w:after="0"/>
              <w:rPr>
                <w:rFonts w:ascii="Times New Roman" w:hAnsi="Times New Roman"/>
                <w:sz w:val="13"/>
                <w:szCs w:val="13"/>
              </w:rPr>
            </w:pPr>
            <w:r w:rsidRPr="00DB0B6B">
              <w:rPr>
                <w:rFonts w:ascii="Times New Roman" w:hAnsi="Times New Roman"/>
                <w:sz w:val="13"/>
                <w:szCs w:val="13"/>
              </w:rPr>
              <w:t>-3445.31</w:t>
            </w:r>
          </w:p>
        </w:tc>
        <w:tc>
          <w:tcPr>
            <w:tcW w:w="586" w:type="dxa"/>
            <w:shd w:val="clear" w:color="auto" w:fill="auto"/>
          </w:tcPr>
          <w:p w14:paraId="58A8290D" w14:textId="77777777" w:rsidR="00DB0B6B" w:rsidRPr="00DB0B6B" w:rsidRDefault="00DB0B6B" w:rsidP="006D616A">
            <w:pPr>
              <w:spacing w:after="0"/>
              <w:rPr>
                <w:rFonts w:ascii="Times New Roman" w:hAnsi="Times New Roman"/>
                <w:sz w:val="13"/>
                <w:szCs w:val="13"/>
              </w:rPr>
            </w:pPr>
            <w:r w:rsidRPr="00DB0B6B">
              <w:rPr>
                <w:rFonts w:ascii="Times New Roman" w:hAnsi="Times New Roman"/>
                <w:sz w:val="13"/>
                <w:szCs w:val="13"/>
              </w:rPr>
              <w:t>-4777.37</w:t>
            </w:r>
          </w:p>
        </w:tc>
        <w:tc>
          <w:tcPr>
            <w:tcW w:w="586" w:type="dxa"/>
            <w:shd w:val="clear" w:color="auto" w:fill="auto"/>
          </w:tcPr>
          <w:p w14:paraId="463BC9FD" w14:textId="77777777" w:rsidR="00DB0B6B" w:rsidRPr="00DB0B6B" w:rsidRDefault="00DB0B6B" w:rsidP="006D616A">
            <w:pPr>
              <w:spacing w:after="0"/>
              <w:rPr>
                <w:rFonts w:ascii="Times New Roman" w:hAnsi="Times New Roman"/>
                <w:sz w:val="13"/>
                <w:szCs w:val="13"/>
              </w:rPr>
            </w:pPr>
            <w:r w:rsidRPr="00DB0B6B">
              <w:rPr>
                <w:rFonts w:ascii="Times New Roman" w:hAnsi="Times New Roman"/>
                <w:sz w:val="13"/>
                <w:szCs w:val="13"/>
              </w:rPr>
              <w:t>-2980.06</w:t>
            </w:r>
          </w:p>
        </w:tc>
        <w:tc>
          <w:tcPr>
            <w:tcW w:w="586" w:type="dxa"/>
            <w:shd w:val="clear" w:color="auto" w:fill="auto"/>
          </w:tcPr>
          <w:p w14:paraId="7EC0C8D2" w14:textId="77777777" w:rsidR="00DB0B6B" w:rsidRPr="00DB0B6B" w:rsidRDefault="00DB0B6B" w:rsidP="006D616A">
            <w:pPr>
              <w:spacing w:after="0"/>
              <w:rPr>
                <w:rFonts w:ascii="Times New Roman" w:hAnsi="Times New Roman"/>
                <w:sz w:val="13"/>
                <w:szCs w:val="13"/>
              </w:rPr>
            </w:pPr>
            <w:r w:rsidRPr="00DB0B6B">
              <w:rPr>
                <w:rFonts w:ascii="Times New Roman" w:hAnsi="Times New Roman"/>
                <w:sz w:val="13"/>
                <w:szCs w:val="13"/>
              </w:rPr>
              <w:t>-2637.52</w:t>
            </w:r>
          </w:p>
        </w:tc>
        <w:tc>
          <w:tcPr>
            <w:tcW w:w="586" w:type="dxa"/>
            <w:shd w:val="clear" w:color="auto" w:fill="auto"/>
          </w:tcPr>
          <w:p w14:paraId="44E51F4B" w14:textId="77777777" w:rsidR="00DB0B6B" w:rsidRPr="00DB0B6B" w:rsidRDefault="00DB0B6B" w:rsidP="006D616A">
            <w:pPr>
              <w:spacing w:after="0"/>
              <w:rPr>
                <w:rFonts w:ascii="Times New Roman" w:hAnsi="Times New Roman"/>
                <w:sz w:val="13"/>
                <w:szCs w:val="13"/>
              </w:rPr>
            </w:pPr>
            <w:r w:rsidRPr="00DB0B6B">
              <w:rPr>
                <w:rFonts w:ascii="Times New Roman" w:hAnsi="Times New Roman"/>
                <w:sz w:val="13"/>
                <w:szCs w:val="13"/>
              </w:rPr>
              <w:t>-2470.03</w:t>
            </w:r>
          </w:p>
        </w:tc>
        <w:tc>
          <w:tcPr>
            <w:tcW w:w="586" w:type="dxa"/>
            <w:shd w:val="clear" w:color="auto" w:fill="auto"/>
          </w:tcPr>
          <w:p w14:paraId="24EE5597" w14:textId="77777777" w:rsidR="00DB0B6B" w:rsidRPr="00DB0B6B" w:rsidRDefault="00DB0B6B" w:rsidP="006D616A">
            <w:pPr>
              <w:spacing w:after="0"/>
              <w:rPr>
                <w:rFonts w:ascii="Times New Roman" w:hAnsi="Times New Roman"/>
                <w:sz w:val="13"/>
                <w:szCs w:val="13"/>
              </w:rPr>
            </w:pPr>
            <w:r w:rsidRPr="00DB0B6B">
              <w:rPr>
                <w:rFonts w:ascii="Times New Roman" w:hAnsi="Times New Roman"/>
                <w:sz w:val="13"/>
                <w:szCs w:val="13"/>
              </w:rPr>
              <w:t>-2244.14</w:t>
            </w:r>
          </w:p>
        </w:tc>
        <w:tc>
          <w:tcPr>
            <w:tcW w:w="742" w:type="dxa"/>
            <w:shd w:val="clear" w:color="auto" w:fill="auto"/>
          </w:tcPr>
          <w:p w14:paraId="6656576C" w14:textId="28FE3392" w:rsidR="00DB0B6B" w:rsidRPr="00DB0B6B" w:rsidRDefault="00DB0B6B" w:rsidP="006D616A">
            <w:pPr>
              <w:spacing w:after="0"/>
              <w:rPr>
                <w:rFonts w:ascii="Times New Roman" w:hAnsi="Times New Roman"/>
                <w:sz w:val="13"/>
                <w:szCs w:val="13"/>
              </w:rPr>
            </w:pPr>
            <w:r w:rsidRPr="00DB0B6B">
              <w:rPr>
                <w:rFonts w:ascii="Times New Roman" w:hAnsi="Times New Roman"/>
                <w:sz w:val="13"/>
                <w:szCs w:val="13"/>
              </w:rPr>
              <w:t>-26827.25</w:t>
            </w:r>
          </w:p>
        </w:tc>
        <w:tc>
          <w:tcPr>
            <w:tcW w:w="839" w:type="dxa"/>
            <w:gridSpan w:val="2"/>
            <w:shd w:val="clear" w:color="auto" w:fill="DDDDDD"/>
          </w:tcPr>
          <w:p w14:paraId="1964B4B6" w14:textId="6C37C6D7" w:rsidR="00DB0B6B" w:rsidRPr="00DB0B6B" w:rsidRDefault="00DB0B6B" w:rsidP="006D616A">
            <w:pPr>
              <w:spacing w:after="0"/>
              <w:rPr>
                <w:rFonts w:ascii="Times New Roman" w:hAnsi="Times New Roman"/>
                <w:sz w:val="14"/>
                <w:szCs w:val="14"/>
              </w:rPr>
            </w:pPr>
          </w:p>
        </w:tc>
        <w:tc>
          <w:tcPr>
            <w:tcW w:w="840" w:type="dxa"/>
            <w:gridSpan w:val="2"/>
            <w:shd w:val="clear" w:color="auto" w:fill="auto"/>
          </w:tcPr>
          <w:p w14:paraId="477561DD" w14:textId="77777777" w:rsidR="00DB0B6B" w:rsidRPr="00DB0B6B" w:rsidRDefault="00DB0B6B" w:rsidP="006D616A">
            <w:pPr>
              <w:spacing w:after="0"/>
              <w:rPr>
                <w:rFonts w:ascii="Times New Roman" w:hAnsi="Times New Roman"/>
                <w:sz w:val="14"/>
                <w:szCs w:val="14"/>
              </w:rPr>
            </w:pPr>
            <w:r w:rsidRPr="00DB0B6B">
              <w:rPr>
                <w:rFonts w:ascii="Times New Roman" w:hAnsi="Times New Roman"/>
                <w:sz w:val="14"/>
                <w:szCs w:val="14"/>
              </w:rPr>
              <w:t>9961.62</w:t>
            </w:r>
          </w:p>
        </w:tc>
      </w:tr>
      <w:tr w:rsidR="00DB0B6B" w:rsidRPr="00155659" w14:paraId="27666306" w14:textId="77777777" w:rsidTr="00140234">
        <w:trPr>
          <w:gridAfter w:val="1"/>
          <w:wAfter w:w="8" w:type="dxa"/>
          <w:trHeight w:val="325"/>
        </w:trPr>
        <w:tc>
          <w:tcPr>
            <w:tcW w:w="2209" w:type="dxa"/>
            <w:shd w:val="clear" w:color="auto" w:fill="auto"/>
          </w:tcPr>
          <w:p w14:paraId="7129D4FC" w14:textId="77777777" w:rsidR="00DB0B6B" w:rsidRPr="009802A6" w:rsidRDefault="00DB0B6B" w:rsidP="006D616A">
            <w:pPr>
              <w:spacing w:after="0"/>
              <w:rPr>
                <w:rFonts w:ascii="Times New Roman" w:hAnsi="Times New Roman"/>
                <w:sz w:val="20"/>
                <w:szCs w:val="20"/>
              </w:rPr>
            </w:pPr>
            <w:r w:rsidRPr="009802A6">
              <w:rPr>
                <w:rFonts w:ascii="Times New Roman" w:hAnsi="Times New Roman"/>
                <w:sz w:val="20"/>
                <w:szCs w:val="20"/>
              </w:rPr>
              <w:t>Meža apsaimniekošanas references līmenis</w:t>
            </w:r>
            <w:r w:rsidRPr="009802A6">
              <w:rPr>
                <w:rFonts w:ascii="Times New Roman" w:hAnsi="Times New Roman"/>
                <w:sz w:val="20"/>
                <w:szCs w:val="20"/>
                <w:vertAlign w:val="superscript"/>
              </w:rPr>
              <w:footnoteReference w:id="31"/>
            </w:r>
          </w:p>
        </w:tc>
        <w:tc>
          <w:tcPr>
            <w:tcW w:w="586" w:type="dxa"/>
            <w:shd w:val="clear" w:color="auto" w:fill="DDDDDD"/>
          </w:tcPr>
          <w:p w14:paraId="6CDCAB46" w14:textId="77777777" w:rsidR="00DB0B6B" w:rsidRPr="00DB0B6B" w:rsidRDefault="00DB0B6B" w:rsidP="006D616A">
            <w:pPr>
              <w:spacing w:after="0"/>
              <w:rPr>
                <w:rFonts w:ascii="Times New Roman" w:hAnsi="Times New Roman"/>
                <w:sz w:val="14"/>
                <w:szCs w:val="14"/>
              </w:rPr>
            </w:pPr>
          </w:p>
        </w:tc>
        <w:tc>
          <w:tcPr>
            <w:tcW w:w="586" w:type="dxa"/>
            <w:shd w:val="clear" w:color="auto" w:fill="DDDDDD"/>
          </w:tcPr>
          <w:p w14:paraId="68A393A3" w14:textId="77777777" w:rsidR="00DB0B6B" w:rsidRPr="00DB0B6B" w:rsidRDefault="00DB0B6B" w:rsidP="006D616A">
            <w:pPr>
              <w:spacing w:after="0"/>
              <w:rPr>
                <w:rFonts w:ascii="Times New Roman" w:hAnsi="Times New Roman"/>
                <w:sz w:val="14"/>
                <w:szCs w:val="14"/>
              </w:rPr>
            </w:pPr>
          </w:p>
        </w:tc>
        <w:tc>
          <w:tcPr>
            <w:tcW w:w="586" w:type="dxa"/>
            <w:shd w:val="clear" w:color="auto" w:fill="DDDDDD"/>
          </w:tcPr>
          <w:p w14:paraId="6663D41E" w14:textId="77777777" w:rsidR="00DB0B6B" w:rsidRPr="00DB0B6B" w:rsidRDefault="00DB0B6B" w:rsidP="006D616A">
            <w:pPr>
              <w:spacing w:after="0"/>
              <w:rPr>
                <w:rFonts w:ascii="Times New Roman" w:hAnsi="Times New Roman"/>
                <w:sz w:val="14"/>
                <w:szCs w:val="14"/>
              </w:rPr>
            </w:pPr>
          </w:p>
        </w:tc>
        <w:tc>
          <w:tcPr>
            <w:tcW w:w="586" w:type="dxa"/>
            <w:shd w:val="clear" w:color="auto" w:fill="DDDDDD"/>
          </w:tcPr>
          <w:p w14:paraId="1ECD5F10" w14:textId="77777777" w:rsidR="00DB0B6B" w:rsidRPr="00DB0B6B" w:rsidRDefault="00DB0B6B" w:rsidP="006D616A">
            <w:pPr>
              <w:spacing w:after="0"/>
              <w:rPr>
                <w:rFonts w:ascii="Times New Roman" w:hAnsi="Times New Roman"/>
                <w:sz w:val="14"/>
                <w:szCs w:val="14"/>
              </w:rPr>
            </w:pPr>
          </w:p>
        </w:tc>
        <w:tc>
          <w:tcPr>
            <w:tcW w:w="586" w:type="dxa"/>
            <w:shd w:val="clear" w:color="auto" w:fill="DDDDDD"/>
          </w:tcPr>
          <w:p w14:paraId="47C4AC53" w14:textId="77777777" w:rsidR="00DB0B6B" w:rsidRPr="00DB0B6B" w:rsidRDefault="00DB0B6B" w:rsidP="006D616A">
            <w:pPr>
              <w:spacing w:after="0"/>
              <w:rPr>
                <w:rFonts w:ascii="Times New Roman" w:hAnsi="Times New Roman"/>
                <w:sz w:val="14"/>
                <w:szCs w:val="14"/>
              </w:rPr>
            </w:pPr>
          </w:p>
        </w:tc>
        <w:tc>
          <w:tcPr>
            <w:tcW w:w="586" w:type="dxa"/>
            <w:shd w:val="clear" w:color="auto" w:fill="DDDDDD"/>
          </w:tcPr>
          <w:p w14:paraId="5F13B8E1" w14:textId="77777777" w:rsidR="00DB0B6B" w:rsidRPr="00DB0B6B" w:rsidRDefault="00DB0B6B" w:rsidP="006D616A">
            <w:pPr>
              <w:spacing w:after="0"/>
              <w:rPr>
                <w:rFonts w:ascii="Times New Roman" w:hAnsi="Times New Roman"/>
                <w:sz w:val="14"/>
                <w:szCs w:val="14"/>
              </w:rPr>
            </w:pPr>
          </w:p>
        </w:tc>
        <w:tc>
          <w:tcPr>
            <w:tcW w:w="586" w:type="dxa"/>
            <w:shd w:val="clear" w:color="auto" w:fill="DDDDDD"/>
          </w:tcPr>
          <w:p w14:paraId="12A86995" w14:textId="77777777" w:rsidR="00DB0B6B" w:rsidRPr="00DB0B6B" w:rsidRDefault="00DB0B6B" w:rsidP="006D616A">
            <w:pPr>
              <w:spacing w:after="0"/>
              <w:rPr>
                <w:rFonts w:ascii="Times New Roman" w:hAnsi="Times New Roman"/>
                <w:sz w:val="14"/>
                <w:szCs w:val="14"/>
              </w:rPr>
            </w:pPr>
          </w:p>
        </w:tc>
        <w:tc>
          <w:tcPr>
            <w:tcW w:w="586" w:type="dxa"/>
            <w:shd w:val="clear" w:color="auto" w:fill="DDDDDD"/>
          </w:tcPr>
          <w:p w14:paraId="61E72470" w14:textId="77777777" w:rsidR="00DB0B6B" w:rsidRPr="00DB0B6B" w:rsidRDefault="00DB0B6B" w:rsidP="006D616A">
            <w:pPr>
              <w:spacing w:after="0"/>
              <w:rPr>
                <w:rFonts w:ascii="Times New Roman" w:hAnsi="Times New Roman"/>
                <w:sz w:val="14"/>
                <w:szCs w:val="14"/>
              </w:rPr>
            </w:pPr>
          </w:p>
        </w:tc>
        <w:tc>
          <w:tcPr>
            <w:tcW w:w="742" w:type="dxa"/>
            <w:shd w:val="clear" w:color="auto" w:fill="DDDDDD"/>
          </w:tcPr>
          <w:p w14:paraId="7B6DB613" w14:textId="77777777" w:rsidR="00DB0B6B" w:rsidRPr="00DB0B6B" w:rsidRDefault="00DB0B6B" w:rsidP="006D616A">
            <w:pPr>
              <w:spacing w:after="0"/>
              <w:rPr>
                <w:rFonts w:ascii="Times New Roman" w:hAnsi="Times New Roman"/>
                <w:sz w:val="14"/>
                <w:szCs w:val="14"/>
              </w:rPr>
            </w:pPr>
          </w:p>
        </w:tc>
        <w:tc>
          <w:tcPr>
            <w:tcW w:w="839" w:type="dxa"/>
            <w:gridSpan w:val="2"/>
            <w:shd w:val="clear" w:color="auto" w:fill="auto"/>
          </w:tcPr>
          <w:p w14:paraId="3AEEEB7E" w14:textId="0DD48D36" w:rsidR="00DB0B6B" w:rsidRPr="00DB0B6B" w:rsidRDefault="00DB0B6B" w:rsidP="006D616A">
            <w:pPr>
              <w:spacing w:after="0"/>
              <w:rPr>
                <w:rFonts w:ascii="Times New Roman" w:hAnsi="Times New Roman"/>
                <w:sz w:val="14"/>
                <w:szCs w:val="14"/>
              </w:rPr>
            </w:pPr>
            <w:r w:rsidRPr="00DB0B6B">
              <w:rPr>
                <w:rFonts w:ascii="Times New Roman" w:hAnsi="Times New Roman"/>
                <w:sz w:val="14"/>
                <w:szCs w:val="14"/>
              </w:rPr>
              <w:t>-16302.00</w:t>
            </w:r>
          </w:p>
        </w:tc>
        <w:tc>
          <w:tcPr>
            <w:tcW w:w="840" w:type="dxa"/>
            <w:gridSpan w:val="2"/>
            <w:shd w:val="clear" w:color="auto" w:fill="DDDDDD"/>
          </w:tcPr>
          <w:p w14:paraId="7ACD0C86" w14:textId="77777777" w:rsidR="00DB0B6B" w:rsidRPr="00DB0B6B" w:rsidRDefault="00DB0B6B" w:rsidP="006D616A">
            <w:pPr>
              <w:spacing w:after="0"/>
              <w:rPr>
                <w:rFonts w:ascii="Times New Roman" w:hAnsi="Times New Roman"/>
                <w:sz w:val="14"/>
                <w:szCs w:val="14"/>
              </w:rPr>
            </w:pPr>
          </w:p>
        </w:tc>
      </w:tr>
      <w:tr w:rsidR="00DB0B6B" w:rsidRPr="00155659" w14:paraId="7A87219E" w14:textId="77777777" w:rsidTr="00140234">
        <w:trPr>
          <w:gridAfter w:val="1"/>
          <w:wAfter w:w="8" w:type="dxa"/>
          <w:trHeight w:val="693"/>
        </w:trPr>
        <w:tc>
          <w:tcPr>
            <w:tcW w:w="2209" w:type="dxa"/>
            <w:shd w:val="clear" w:color="auto" w:fill="auto"/>
          </w:tcPr>
          <w:p w14:paraId="1DF197DA" w14:textId="77777777" w:rsidR="00DB0B6B" w:rsidRPr="009802A6" w:rsidRDefault="00DB0B6B" w:rsidP="006D616A">
            <w:pPr>
              <w:spacing w:after="0"/>
              <w:rPr>
                <w:rFonts w:ascii="Times New Roman" w:hAnsi="Times New Roman"/>
                <w:sz w:val="20"/>
                <w:szCs w:val="20"/>
              </w:rPr>
            </w:pPr>
            <w:r w:rsidRPr="009802A6">
              <w:rPr>
                <w:rFonts w:ascii="Times New Roman" w:hAnsi="Times New Roman"/>
                <w:sz w:val="20"/>
                <w:szCs w:val="20"/>
              </w:rPr>
              <w:t>Meža apsaimniekošanas references līmeņa tehniskā korekcija</w:t>
            </w:r>
            <w:r w:rsidRPr="009802A6">
              <w:rPr>
                <w:rFonts w:ascii="Times New Roman" w:hAnsi="Times New Roman"/>
                <w:sz w:val="20"/>
                <w:szCs w:val="20"/>
                <w:vertAlign w:val="superscript"/>
              </w:rPr>
              <w:footnoteReference w:id="32"/>
            </w:r>
          </w:p>
        </w:tc>
        <w:tc>
          <w:tcPr>
            <w:tcW w:w="586" w:type="dxa"/>
            <w:shd w:val="clear" w:color="auto" w:fill="DDDDDD"/>
          </w:tcPr>
          <w:p w14:paraId="585B4249" w14:textId="77777777" w:rsidR="00DB0B6B" w:rsidRPr="00DB0B6B" w:rsidRDefault="00DB0B6B" w:rsidP="006D616A">
            <w:pPr>
              <w:spacing w:after="0"/>
              <w:rPr>
                <w:rFonts w:ascii="Times New Roman" w:hAnsi="Times New Roman"/>
                <w:sz w:val="14"/>
                <w:szCs w:val="14"/>
              </w:rPr>
            </w:pPr>
          </w:p>
        </w:tc>
        <w:tc>
          <w:tcPr>
            <w:tcW w:w="586" w:type="dxa"/>
            <w:shd w:val="clear" w:color="auto" w:fill="DDDDDD"/>
          </w:tcPr>
          <w:p w14:paraId="400ADE49" w14:textId="77777777" w:rsidR="00DB0B6B" w:rsidRPr="00DB0B6B" w:rsidRDefault="00DB0B6B" w:rsidP="006D616A">
            <w:pPr>
              <w:spacing w:after="0"/>
              <w:rPr>
                <w:rFonts w:ascii="Times New Roman" w:hAnsi="Times New Roman"/>
                <w:sz w:val="14"/>
                <w:szCs w:val="14"/>
              </w:rPr>
            </w:pPr>
          </w:p>
        </w:tc>
        <w:tc>
          <w:tcPr>
            <w:tcW w:w="586" w:type="dxa"/>
            <w:shd w:val="clear" w:color="auto" w:fill="DDDDDD"/>
          </w:tcPr>
          <w:p w14:paraId="7BFE6258" w14:textId="77777777" w:rsidR="00DB0B6B" w:rsidRPr="00DB0B6B" w:rsidRDefault="00DB0B6B" w:rsidP="006D616A">
            <w:pPr>
              <w:spacing w:after="0"/>
              <w:rPr>
                <w:rFonts w:ascii="Times New Roman" w:hAnsi="Times New Roman"/>
                <w:sz w:val="14"/>
                <w:szCs w:val="14"/>
              </w:rPr>
            </w:pPr>
          </w:p>
        </w:tc>
        <w:tc>
          <w:tcPr>
            <w:tcW w:w="586" w:type="dxa"/>
            <w:shd w:val="clear" w:color="auto" w:fill="DDDDDD"/>
          </w:tcPr>
          <w:p w14:paraId="690FC347" w14:textId="77777777" w:rsidR="00DB0B6B" w:rsidRPr="00DB0B6B" w:rsidRDefault="00DB0B6B" w:rsidP="006D616A">
            <w:pPr>
              <w:spacing w:after="0"/>
              <w:rPr>
                <w:rFonts w:ascii="Times New Roman" w:hAnsi="Times New Roman"/>
                <w:sz w:val="14"/>
                <w:szCs w:val="14"/>
              </w:rPr>
            </w:pPr>
          </w:p>
        </w:tc>
        <w:tc>
          <w:tcPr>
            <w:tcW w:w="586" w:type="dxa"/>
            <w:shd w:val="clear" w:color="auto" w:fill="DDDDDD"/>
          </w:tcPr>
          <w:p w14:paraId="1CC357A2" w14:textId="77777777" w:rsidR="00DB0B6B" w:rsidRPr="00DB0B6B" w:rsidRDefault="00DB0B6B" w:rsidP="006D616A">
            <w:pPr>
              <w:spacing w:after="0"/>
              <w:rPr>
                <w:rFonts w:ascii="Times New Roman" w:hAnsi="Times New Roman"/>
                <w:sz w:val="14"/>
                <w:szCs w:val="14"/>
              </w:rPr>
            </w:pPr>
          </w:p>
        </w:tc>
        <w:tc>
          <w:tcPr>
            <w:tcW w:w="586" w:type="dxa"/>
            <w:shd w:val="clear" w:color="auto" w:fill="DDDDDD"/>
          </w:tcPr>
          <w:p w14:paraId="0D05975B" w14:textId="77777777" w:rsidR="00DB0B6B" w:rsidRPr="00DB0B6B" w:rsidRDefault="00DB0B6B" w:rsidP="006D616A">
            <w:pPr>
              <w:spacing w:after="0"/>
              <w:rPr>
                <w:rFonts w:ascii="Times New Roman" w:hAnsi="Times New Roman"/>
                <w:sz w:val="14"/>
                <w:szCs w:val="14"/>
              </w:rPr>
            </w:pPr>
          </w:p>
        </w:tc>
        <w:tc>
          <w:tcPr>
            <w:tcW w:w="586" w:type="dxa"/>
            <w:shd w:val="clear" w:color="auto" w:fill="DDDDDD"/>
          </w:tcPr>
          <w:p w14:paraId="2A8C25B3" w14:textId="77777777" w:rsidR="00DB0B6B" w:rsidRPr="00DB0B6B" w:rsidRDefault="00DB0B6B" w:rsidP="006D616A">
            <w:pPr>
              <w:spacing w:after="0"/>
              <w:rPr>
                <w:rFonts w:ascii="Times New Roman" w:hAnsi="Times New Roman"/>
                <w:sz w:val="14"/>
                <w:szCs w:val="14"/>
              </w:rPr>
            </w:pPr>
          </w:p>
        </w:tc>
        <w:tc>
          <w:tcPr>
            <w:tcW w:w="586" w:type="dxa"/>
            <w:shd w:val="clear" w:color="auto" w:fill="DDDDDD"/>
          </w:tcPr>
          <w:p w14:paraId="5D8EFAE0" w14:textId="77777777" w:rsidR="00DB0B6B" w:rsidRPr="00DB0B6B" w:rsidRDefault="00DB0B6B" w:rsidP="006D616A">
            <w:pPr>
              <w:spacing w:after="0"/>
              <w:rPr>
                <w:rFonts w:ascii="Times New Roman" w:hAnsi="Times New Roman"/>
                <w:sz w:val="14"/>
                <w:szCs w:val="14"/>
              </w:rPr>
            </w:pPr>
          </w:p>
        </w:tc>
        <w:tc>
          <w:tcPr>
            <w:tcW w:w="742" w:type="dxa"/>
            <w:shd w:val="clear" w:color="auto" w:fill="DDDDDD"/>
          </w:tcPr>
          <w:p w14:paraId="513B3BB7" w14:textId="77777777" w:rsidR="00DB0B6B" w:rsidRPr="00DB0B6B" w:rsidRDefault="00DB0B6B" w:rsidP="006D616A">
            <w:pPr>
              <w:spacing w:after="0"/>
              <w:rPr>
                <w:rFonts w:ascii="Times New Roman" w:hAnsi="Times New Roman"/>
                <w:sz w:val="14"/>
                <w:szCs w:val="14"/>
              </w:rPr>
            </w:pPr>
          </w:p>
        </w:tc>
        <w:tc>
          <w:tcPr>
            <w:tcW w:w="839" w:type="dxa"/>
            <w:gridSpan w:val="2"/>
            <w:shd w:val="clear" w:color="auto" w:fill="auto"/>
          </w:tcPr>
          <w:p w14:paraId="686EBB3D" w14:textId="032BF95A" w:rsidR="00DB0B6B" w:rsidRPr="00DB0B6B" w:rsidRDefault="00DB0B6B" w:rsidP="006D616A">
            <w:pPr>
              <w:spacing w:after="0"/>
              <w:rPr>
                <w:rFonts w:ascii="Times New Roman" w:hAnsi="Times New Roman"/>
                <w:sz w:val="14"/>
                <w:szCs w:val="14"/>
              </w:rPr>
            </w:pPr>
            <w:r w:rsidRPr="00DB0B6B">
              <w:rPr>
                <w:rFonts w:ascii="Times New Roman" w:hAnsi="Times New Roman"/>
                <w:sz w:val="14"/>
                <w:szCs w:val="14"/>
              </w:rPr>
              <w:t>11703.39</w:t>
            </w:r>
          </w:p>
        </w:tc>
        <w:tc>
          <w:tcPr>
            <w:tcW w:w="840" w:type="dxa"/>
            <w:gridSpan w:val="2"/>
            <w:shd w:val="clear" w:color="auto" w:fill="DDDDDD"/>
          </w:tcPr>
          <w:p w14:paraId="7B11F23E" w14:textId="77777777" w:rsidR="00DB0B6B" w:rsidRPr="00DB0B6B" w:rsidRDefault="00DB0B6B" w:rsidP="006D616A">
            <w:pPr>
              <w:spacing w:after="0"/>
              <w:rPr>
                <w:rFonts w:ascii="Times New Roman" w:hAnsi="Times New Roman"/>
                <w:sz w:val="14"/>
                <w:szCs w:val="14"/>
              </w:rPr>
            </w:pPr>
          </w:p>
        </w:tc>
      </w:tr>
    </w:tbl>
    <w:p w14:paraId="3485188C" w14:textId="5B0A1369" w:rsidR="002E0DAA" w:rsidRPr="00CB3E4B" w:rsidRDefault="002E0DAA" w:rsidP="002E0DAA">
      <w:pPr>
        <w:spacing w:before="120" w:after="120" w:line="240" w:lineRule="auto"/>
        <w:ind w:firstLine="567"/>
        <w:jc w:val="both"/>
        <w:rPr>
          <w:rFonts w:ascii="Times New Roman" w:hAnsi="Times New Roman"/>
          <w:sz w:val="24"/>
          <w:szCs w:val="24"/>
        </w:rPr>
      </w:pPr>
      <w:r w:rsidRPr="00CB3E4B">
        <w:rPr>
          <w:rFonts w:ascii="Times New Roman" w:hAnsi="Times New Roman"/>
          <w:sz w:val="24"/>
          <w:szCs w:val="24"/>
        </w:rPr>
        <w:t>Līdz ar to jau šobrīd ir jāizvērtē</w:t>
      </w:r>
      <w:r w:rsidR="008A54A5" w:rsidRPr="00CB3E4B">
        <w:rPr>
          <w:rFonts w:ascii="Times New Roman" w:hAnsi="Times New Roman"/>
          <w:sz w:val="24"/>
          <w:szCs w:val="24"/>
        </w:rPr>
        <w:t xml:space="preserve"> K</w:t>
      </w:r>
      <w:r w:rsidR="00A759F8">
        <w:rPr>
          <w:rFonts w:ascii="Times New Roman" w:hAnsi="Times New Roman"/>
          <w:sz w:val="24"/>
          <w:szCs w:val="24"/>
        </w:rPr>
        <w:t>ioto protokola</w:t>
      </w:r>
      <w:r w:rsidR="008A54A5" w:rsidRPr="00CB3E4B">
        <w:rPr>
          <w:rFonts w:ascii="Times New Roman" w:hAnsi="Times New Roman"/>
          <w:sz w:val="24"/>
          <w:szCs w:val="24"/>
        </w:rPr>
        <w:t xml:space="preserve"> otrā </w:t>
      </w:r>
      <w:r w:rsidRPr="00CB3E4B">
        <w:rPr>
          <w:rFonts w:ascii="Times New Roman" w:hAnsi="Times New Roman"/>
          <w:sz w:val="24"/>
          <w:szCs w:val="24"/>
        </w:rPr>
        <w:t xml:space="preserve">saistību </w:t>
      </w:r>
      <w:r w:rsidR="008A54A5" w:rsidRPr="00CB3E4B">
        <w:rPr>
          <w:rFonts w:ascii="Times New Roman" w:hAnsi="Times New Roman"/>
          <w:sz w:val="24"/>
          <w:szCs w:val="24"/>
        </w:rPr>
        <w:t xml:space="preserve">perioda </w:t>
      </w:r>
      <w:r w:rsidR="00102BBD">
        <w:rPr>
          <w:rFonts w:ascii="Times New Roman" w:hAnsi="Times New Roman"/>
          <w:sz w:val="24"/>
          <w:szCs w:val="24"/>
        </w:rPr>
        <w:t xml:space="preserve">(2013. – 2020. gads) </w:t>
      </w:r>
      <w:r w:rsidRPr="00CB3E4B">
        <w:rPr>
          <w:rFonts w:ascii="Times New Roman" w:hAnsi="Times New Roman"/>
          <w:sz w:val="24"/>
          <w:szCs w:val="24"/>
        </w:rPr>
        <w:t>izpildes iespējas, kā arī nepieciešamos papildus pa</w:t>
      </w:r>
      <w:r w:rsidR="008A54A5" w:rsidRPr="00CB3E4B">
        <w:rPr>
          <w:rFonts w:ascii="Times New Roman" w:hAnsi="Times New Roman"/>
          <w:sz w:val="24"/>
          <w:szCs w:val="24"/>
        </w:rPr>
        <w:t>sākumus, lai</w:t>
      </w:r>
      <w:r w:rsidR="0025711F">
        <w:rPr>
          <w:rFonts w:ascii="Times New Roman" w:hAnsi="Times New Roman"/>
          <w:sz w:val="24"/>
          <w:szCs w:val="24"/>
        </w:rPr>
        <w:t xml:space="preserve">, ņemot vērā gan </w:t>
      </w:r>
      <w:r w:rsidR="0025711F" w:rsidRPr="00CB3E4B">
        <w:rPr>
          <w:rFonts w:ascii="Times New Roman" w:hAnsi="Times New Roman"/>
          <w:sz w:val="24"/>
          <w:szCs w:val="24"/>
        </w:rPr>
        <w:t>K</w:t>
      </w:r>
      <w:r w:rsidR="0025711F">
        <w:rPr>
          <w:rFonts w:ascii="Times New Roman" w:hAnsi="Times New Roman"/>
          <w:sz w:val="24"/>
          <w:szCs w:val="24"/>
        </w:rPr>
        <w:t>ioto protokola</w:t>
      </w:r>
      <w:r w:rsidR="0025711F" w:rsidRPr="00CB3E4B">
        <w:rPr>
          <w:rFonts w:ascii="Times New Roman" w:hAnsi="Times New Roman"/>
          <w:sz w:val="24"/>
          <w:szCs w:val="24"/>
        </w:rPr>
        <w:t xml:space="preserve"> otrā saistību perioda</w:t>
      </w:r>
      <w:r w:rsidR="0025711F">
        <w:rPr>
          <w:rFonts w:ascii="Times New Roman" w:hAnsi="Times New Roman"/>
          <w:sz w:val="24"/>
          <w:szCs w:val="24"/>
        </w:rPr>
        <w:t xml:space="preserve"> mērķus, gan arī turpmākajam periodam ES ietvaros noteiktos mērķus,</w:t>
      </w:r>
      <w:r w:rsidR="008A54A5" w:rsidRPr="00CB3E4B">
        <w:rPr>
          <w:rFonts w:ascii="Times New Roman" w:hAnsi="Times New Roman"/>
          <w:sz w:val="24"/>
          <w:szCs w:val="24"/>
        </w:rPr>
        <w:t xml:space="preserve"> nodrošinātu </w:t>
      </w:r>
      <w:r w:rsidRPr="00CB3E4B">
        <w:rPr>
          <w:rFonts w:ascii="Times New Roman" w:hAnsi="Times New Roman"/>
          <w:sz w:val="24"/>
          <w:szCs w:val="24"/>
        </w:rPr>
        <w:t xml:space="preserve">saistību izpildi. </w:t>
      </w:r>
    </w:p>
    <w:p w14:paraId="65BE3195" w14:textId="45CE5F49" w:rsidR="008A54A5" w:rsidRPr="00CB3E4B" w:rsidRDefault="0025711F" w:rsidP="002E0DAA">
      <w:pPr>
        <w:spacing w:before="120" w:after="120" w:line="240" w:lineRule="auto"/>
        <w:ind w:firstLine="567"/>
        <w:jc w:val="both"/>
        <w:rPr>
          <w:rFonts w:ascii="Times New Roman" w:hAnsi="Times New Roman"/>
          <w:sz w:val="24"/>
          <w:szCs w:val="24"/>
        </w:rPr>
      </w:pPr>
      <w:r>
        <w:rPr>
          <w:rFonts w:ascii="Times New Roman" w:hAnsi="Times New Roman"/>
          <w:sz w:val="24"/>
          <w:szCs w:val="24"/>
        </w:rPr>
        <w:t>Papildus jāatzīmē, ka p</w:t>
      </w:r>
      <w:r w:rsidR="00481147" w:rsidRPr="005C1A12">
        <w:rPr>
          <w:rFonts w:ascii="Times New Roman" w:hAnsi="Times New Roman"/>
          <w:sz w:val="24"/>
          <w:szCs w:val="24"/>
        </w:rPr>
        <w:t>ēc Kioto protokola pirmā perioda saistību izpildes Latvijai pāri palikušas 28 249 726 noteiktā daudzuma vienības (turpmāk - NDV), kas atrodas Kioto reģistra Latvijas valsts kontā, taču ar tām rīcība šobrīd ir apturēta, jo Kioto protokola Dohas grozījumi šobrīd nav spēkā saistībā ar vairāku Kioto protokola līgumslēdzējpušu kavēšanos ratificēt Kioto protokola Dohas grozījumus</w:t>
      </w:r>
      <w:r w:rsidR="00481147" w:rsidRPr="005C1A12">
        <w:rPr>
          <w:rStyle w:val="FootnoteReference"/>
          <w:rFonts w:ascii="Times New Roman" w:hAnsi="Times New Roman"/>
          <w:sz w:val="24"/>
          <w:szCs w:val="24"/>
        </w:rPr>
        <w:footnoteReference w:id="33"/>
      </w:r>
      <w:r w:rsidR="00481147" w:rsidRPr="005C1A12">
        <w:rPr>
          <w:rFonts w:ascii="Times New Roman" w:hAnsi="Times New Roman"/>
          <w:sz w:val="24"/>
          <w:szCs w:val="24"/>
        </w:rPr>
        <w:t xml:space="preserve">. </w:t>
      </w:r>
      <w:r w:rsidRPr="005C1A12">
        <w:rPr>
          <w:rFonts w:ascii="Times New Roman" w:hAnsi="Times New Roman"/>
          <w:color w:val="000000"/>
          <w:sz w:val="24"/>
          <w:szCs w:val="24"/>
        </w:rPr>
        <w:t xml:space="preserve">Saskaņā ar likuma “Par Latvijas Republikas dalību Kioto protokola </w:t>
      </w:r>
      <w:r w:rsidRPr="005C1A12">
        <w:rPr>
          <w:rFonts w:ascii="Times New Roman" w:hAnsi="Times New Roman"/>
          <w:color w:val="000000"/>
          <w:sz w:val="24"/>
          <w:szCs w:val="24"/>
        </w:rPr>
        <w:lastRenderedPageBreak/>
        <w:t xml:space="preserve">elastīgajos mehānismos” 5.panta 1. daļu Latvija var pārdot tās Kioto vienības, kuras nav vai potenciāli netiks izmantotas, lai nodrošinātu Latvijas Republikas siltumnīcefekta gāzu emisiju samazināšanas saistību izpildi. Ņemot vērā iepriekš minēto, NDV vienības, kas varētu būt pārnestas no Kioto protokola pirmā saistību perioda netiks pārdotas un nepieciešamas gadījumā </w:t>
      </w:r>
      <w:r>
        <w:rPr>
          <w:rFonts w:ascii="Times New Roman" w:hAnsi="Times New Roman"/>
          <w:color w:val="000000"/>
          <w:sz w:val="24"/>
          <w:szCs w:val="24"/>
        </w:rPr>
        <w:t xml:space="preserve">kā īstermiņa risinājums varētu </w:t>
      </w:r>
      <w:r w:rsidRPr="005C1A12">
        <w:rPr>
          <w:rFonts w:ascii="Times New Roman" w:hAnsi="Times New Roman"/>
          <w:color w:val="000000"/>
          <w:sz w:val="24"/>
          <w:szCs w:val="24"/>
        </w:rPr>
        <w:t>tik</w:t>
      </w:r>
      <w:r>
        <w:rPr>
          <w:rFonts w:ascii="Times New Roman" w:hAnsi="Times New Roman"/>
          <w:color w:val="000000"/>
          <w:sz w:val="24"/>
          <w:szCs w:val="24"/>
        </w:rPr>
        <w:t>t</w:t>
      </w:r>
      <w:r w:rsidRPr="005C1A12">
        <w:rPr>
          <w:rFonts w:ascii="Times New Roman" w:hAnsi="Times New Roman"/>
          <w:color w:val="000000"/>
          <w:sz w:val="24"/>
          <w:szCs w:val="24"/>
        </w:rPr>
        <w:t xml:space="preserve"> novirzītas SEG saistību izpildei kādā no sektoriem, t.sk. ZIZIMM.</w:t>
      </w:r>
      <w:r>
        <w:rPr>
          <w:rFonts w:ascii="Times New Roman" w:hAnsi="Times New Roman"/>
          <w:color w:val="000000"/>
          <w:sz w:val="24"/>
          <w:szCs w:val="24"/>
        </w:rPr>
        <w:t xml:space="preserve"> Taču vēlreiz jāuzsver, ka n</w:t>
      </w:r>
      <w:r w:rsidR="00481147" w:rsidRPr="005C1A12">
        <w:rPr>
          <w:rFonts w:ascii="Times New Roman" w:hAnsi="Times New Roman"/>
          <w:sz w:val="24"/>
          <w:szCs w:val="24"/>
        </w:rPr>
        <w:t>o Kioto protokola pirmā saistību perioda pārpalikušo NDV vienību izmantošana un papildu v</w:t>
      </w:r>
      <w:r w:rsidR="00481147" w:rsidRPr="005C1A12">
        <w:rPr>
          <w:rFonts w:ascii="Times New Roman" w:hAnsi="Times New Roman"/>
          <w:bCs/>
          <w:sz w:val="24"/>
          <w:szCs w:val="24"/>
        </w:rPr>
        <w:t xml:space="preserve">ienību pirkšana SEG saistību izpildei </w:t>
      </w:r>
      <w:r>
        <w:rPr>
          <w:rFonts w:ascii="Times New Roman" w:hAnsi="Times New Roman"/>
          <w:bCs/>
          <w:sz w:val="24"/>
          <w:szCs w:val="24"/>
        </w:rPr>
        <w:t>būtu</w:t>
      </w:r>
      <w:r w:rsidR="00481147" w:rsidRPr="005C1A12">
        <w:rPr>
          <w:rFonts w:ascii="Times New Roman" w:hAnsi="Times New Roman"/>
          <w:bCs/>
          <w:sz w:val="24"/>
          <w:szCs w:val="24"/>
        </w:rPr>
        <w:t xml:space="preserve"> tikai īstermiņa risinājums, jo nākotnē mērķu nodrošināšanas pienākums būs jāizpilda tāpat.</w:t>
      </w:r>
      <w:r w:rsidR="00481147" w:rsidRPr="005C1A12">
        <w:rPr>
          <w:rFonts w:ascii="Times New Roman" w:hAnsi="Times New Roman"/>
          <w:sz w:val="24"/>
          <w:szCs w:val="24"/>
        </w:rPr>
        <w:t xml:space="preserve"> </w:t>
      </w:r>
      <w:r>
        <w:rPr>
          <w:rFonts w:ascii="Times New Roman" w:hAnsi="Times New Roman"/>
          <w:sz w:val="24"/>
          <w:szCs w:val="24"/>
        </w:rPr>
        <w:t>S</w:t>
      </w:r>
      <w:r w:rsidR="00481147" w:rsidRPr="005C1A12">
        <w:rPr>
          <w:rFonts w:ascii="Times New Roman" w:hAnsi="Times New Roman"/>
          <w:sz w:val="24"/>
          <w:szCs w:val="24"/>
        </w:rPr>
        <w:t xml:space="preserve">aistību izpilde būtu jānodrošina ar pārdomātu un saprātīgu SEG samazinošu un piesaisti veicinošu pasākumu ieviešanu, nevis īstermiņa risinājumiem, kas </w:t>
      </w:r>
      <w:r w:rsidR="00481147" w:rsidRPr="005C1A12">
        <w:rPr>
          <w:rFonts w:ascii="Times New Roman" w:hAnsi="Times New Roman"/>
          <w:bCs/>
          <w:sz w:val="24"/>
          <w:szCs w:val="24"/>
        </w:rPr>
        <w:t xml:space="preserve">atliek tikai pasākumu ieviešanu uz vēlāku laiku. </w:t>
      </w:r>
    </w:p>
    <w:p w14:paraId="1801F3FE" w14:textId="52A894B0" w:rsidR="0008720B" w:rsidRPr="001A2FF3" w:rsidRDefault="008A54A5" w:rsidP="00D47D4C">
      <w:pPr>
        <w:pStyle w:val="Heading2"/>
      </w:pPr>
      <w:bookmarkStart w:id="15" w:name="_Toc500836546"/>
      <w:bookmarkStart w:id="16" w:name="_Toc9326569"/>
      <w:r w:rsidRPr="001A2FF3">
        <w:t xml:space="preserve">ZIZIMM sektorā noteikto kategoriju </w:t>
      </w:r>
      <w:r w:rsidR="0008720B" w:rsidRPr="001A2FF3">
        <w:t>mērķa izpildei nepieciešamie papildus pasākumi</w:t>
      </w:r>
      <w:bookmarkEnd w:id="15"/>
      <w:bookmarkEnd w:id="16"/>
    </w:p>
    <w:p w14:paraId="1DFA1AA3" w14:textId="6AFD01EA" w:rsidR="0008720B" w:rsidRPr="0008720B" w:rsidRDefault="0008720B" w:rsidP="0008720B">
      <w:pPr>
        <w:spacing w:before="120" w:after="120" w:line="240" w:lineRule="auto"/>
        <w:ind w:firstLine="567"/>
        <w:jc w:val="both"/>
        <w:rPr>
          <w:rFonts w:ascii="Times New Roman" w:eastAsia="Times New Roman" w:hAnsi="Times New Roman"/>
          <w:sz w:val="24"/>
          <w:szCs w:val="24"/>
          <w:lang w:eastAsia="lv-LV"/>
        </w:rPr>
      </w:pPr>
      <w:r w:rsidRPr="00CB3E4B">
        <w:rPr>
          <w:rFonts w:ascii="Times New Roman" w:hAnsi="Times New Roman"/>
          <w:sz w:val="24"/>
          <w:szCs w:val="24"/>
        </w:rPr>
        <w:t xml:space="preserve">Ņemot vērā faktu, ka Latvija 2013.-2016. gadā nav izpildījusi ikgadējos </w:t>
      </w:r>
      <w:r w:rsidR="008A54A5" w:rsidRPr="00CB3E4B">
        <w:rPr>
          <w:rFonts w:ascii="Times New Roman" w:hAnsi="Times New Roman"/>
          <w:sz w:val="24"/>
          <w:szCs w:val="24"/>
        </w:rPr>
        <w:t>ZIZIMM sektorā noteikto kategoriju</w:t>
      </w:r>
      <w:r w:rsidR="00DB0B6B" w:rsidRPr="00CB3E4B">
        <w:rPr>
          <w:rFonts w:ascii="Times New Roman" w:hAnsi="Times New Roman"/>
          <w:sz w:val="24"/>
          <w:szCs w:val="24"/>
        </w:rPr>
        <w:t xml:space="preserve"> (apmežota, atmežota zeme, apsaimniekota meža zeme) mērķi (uzskaitāmās SEG emisijas nepārsniedz uzskaitāmo CO</w:t>
      </w:r>
      <w:r w:rsidR="00DB0B6B" w:rsidRPr="00CB3E4B">
        <w:rPr>
          <w:rFonts w:ascii="Times New Roman" w:hAnsi="Times New Roman"/>
          <w:sz w:val="24"/>
          <w:szCs w:val="24"/>
          <w:vertAlign w:val="subscript"/>
        </w:rPr>
        <w:t>2</w:t>
      </w:r>
      <w:r w:rsidR="00DB0B6B" w:rsidRPr="00CB3E4B">
        <w:rPr>
          <w:rFonts w:ascii="Times New Roman" w:hAnsi="Times New Roman"/>
          <w:sz w:val="24"/>
          <w:szCs w:val="24"/>
        </w:rPr>
        <w:t xml:space="preserve"> piesaisti)</w:t>
      </w:r>
      <w:r w:rsidRPr="00CB3E4B">
        <w:rPr>
          <w:rFonts w:ascii="Times New Roman" w:hAnsi="Times New Roman"/>
          <w:sz w:val="24"/>
          <w:szCs w:val="24"/>
        </w:rPr>
        <w:t>, nepieciešams apsvērt un pēc iespējas īstenot papildus pasākumus CO</w:t>
      </w:r>
      <w:r w:rsidRPr="00CB3E4B">
        <w:rPr>
          <w:rFonts w:ascii="Times New Roman" w:hAnsi="Times New Roman"/>
          <w:sz w:val="24"/>
          <w:szCs w:val="24"/>
          <w:vertAlign w:val="subscript"/>
        </w:rPr>
        <w:t>2</w:t>
      </w:r>
      <w:r w:rsidRPr="00CB3E4B">
        <w:rPr>
          <w:rFonts w:ascii="Times New Roman" w:hAnsi="Times New Roman"/>
          <w:sz w:val="24"/>
          <w:szCs w:val="24"/>
        </w:rPr>
        <w:t xml:space="preserve"> piesaistes apjoma palielināšanai</w:t>
      </w:r>
      <w:r w:rsidR="008A54A5" w:rsidRPr="00CB3E4B">
        <w:rPr>
          <w:rFonts w:ascii="Times New Roman" w:hAnsi="Times New Roman"/>
          <w:sz w:val="24"/>
          <w:szCs w:val="24"/>
        </w:rPr>
        <w:t>, lai nodrošinātu šo mērķu izpildi atskaites brīdī – 2020. gadā</w:t>
      </w:r>
      <w:r w:rsidRPr="0008720B">
        <w:rPr>
          <w:rFonts w:ascii="Times New Roman" w:hAnsi="Times New Roman"/>
          <w:sz w:val="24"/>
          <w:szCs w:val="24"/>
        </w:rPr>
        <w:t>. 2016.</w:t>
      </w:r>
      <w:r w:rsidR="00102BBD">
        <w:rPr>
          <w:rFonts w:ascii="Times New Roman" w:hAnsi="Times New Roman"/>
          <w:sz w:val="24"/>
          <w:szCs w:val="24"/>
        </w:rPr>
        <w:t> </w:t>
      </w:r>
      <w:r w:rsidRPr="0008720B">
        <w:rPr>
          <w:rFonts w:ascii="Times New Roman" w:hAnsi="Times New Roman"/>
          <w:sz w:val="24"/>
          <w:szCs w:val="24"/>
        </w:rPr>
        <w:t>gada Ministru kabineta 2015.</w:t>
      </w:r>
      <w:r w:rsidR="00102BBD">
        <w:rPr>
          <w:rFonts w:ascii="Times New Roman" w:hAnsi="Times New Roman"/>
          <w:sz w:val="24"/>
          <w:szCs w:val="24"/>
        </w:rPr>
        <w:t> </w:t>
      </w:r>
      <w:r w:rsidRPr="0008720B">
        <w:rPr>
          <w:rFonts w:ascii="Times New Roman" w:hAnsi="Times New Roman"/>
          <w:sz w:val="24"/>
          <w:szCs w:val="24"/>
        </w:rPr>
        <w:t>gada 1.</w:t>
      </w:r>
      <w:r w:rsidR="00102BBD">
        <w:rPr>
          <w:rFonts w:ascii="Times New Roman" w:hAnsi="Times New Roman"/>
          <w:sz w:val="24"/>
          <w:szCs w:val="24"/>
        </w:rPr>
        <w:t> </w:t>
      </w:r>
      <w:r w:rsidRPr="0008720B">
        <w:rPr>
          <w:rFonts w:ascii="Times New Roman" w:hAnsi="Times New Roman"/>
          <w:sz w:val="24"/>
          <w:szCs w:val="24"/>
        </w:rPr>
        <w:t>decembra protokola Nr.</w:t>
      </w:r>
      <w:r w:rsidR="000B63D6">
        <w:rPr>
          <w:rFonts w:ascii="Times New Roman" w:hAnsi="Times New Roman"/>
          <w:sz w:val="24"/>
          <w:szCs w:val="24"/>
        </w:rPr>
        <w:t> </w:t>
      </w:r>
      <w:r w:rsidRPr="0008720B">
        <w:rPr>
          <w:rFonts w:ascii="Times New Roman" w:hAnsi="Times New Roman"/>
          <w:sz w:val="24"/>
          <w:szCs w:val="24"/>
        </w:rPr>
        <w:t>64 45.§ „Informatīvais ziņojums „Par Klimata un enerģētikas politikas satvara laikposmam no 2020.</w:t>
      </w:r>
      <w:r w:rsidR="00102BBD">
        <w:rPr>
          <w:rFonts w:ascii="Times New Roman" w:hAnsi="Times New Roman"/>
          <w:sz w:val="24"/>
          <w:szCs w:val="24"/>
        </w:rPr>
        <w:t> </w:t>
      </w:r>
      <w:r w:rsidRPr="0008720B">
        <w:rPr>
          <w:rFonts w:ascii="Times New Roman" w:hAnsi="Times New Roman"/>
          <w:sz w:val="24"/>
          <w:szCs w:val="24"/>
        </w:rPr>
        <w:t>gada līdz 2030.</w:t>
      </w:r>
      <w:r w:rsidR="00102BBD">
        <w:rPr>
          <w:rFonts w:ascii="Times New Roman" w:hAnsi="Times New Roman"/>
          <w:sz w:val="24"/>
          <w:szCs w:val="24"/>
        </w:rPr>
        <w:t> </w:t>
      </w:r>
      <w:r w:rsidRPr="0008720B">
        <w:rPr>
          <w:rFonts w:ascii="Times New Roman" w:hAnsi="Times New Roman"/>
          <w:sz w:val="24"/>
          <w:szCs w:val="24"/>
        </w:rPr>
        <w:t xml:space="preserve">gadam ieviešanu”” (turpmāk – </w:t>
      </w:r>
      <w:proofErr w:type="spellStart"/>
      <w:r w:rsidRPr="0008720B">
        <w:rPr>
          <w:rFonts w:ascii="Times New Roman" w:hAnsi="Times New Roman"/>
          <w:sz w:val="24"/>
          <w:szCs w:val="24"/>
        </w:rPr>
        <w:t>protokollēmums</w:t>
      </w:r>
      <w:proofErr w:type="spellEnd"/>
      <w:r w:rsidRPr="0008720B">
        <w:rPr>
          <w:rFonts w:ascii="Times New Roman" w:hAnsi="Times New Roman"/>
          <w:sz w:val="24"/>
          <w:szCs w:val="24"/>
        </w:rPr>
        <w:t>) 7.</w:t>
      </w:r>
      <w:r w:rsidR="000B63D6">
        <w:rPr>
          <w:rFonts w:ascii="Times New Roman" w:hAnsi="Times New Roman"/>
          <w:sz w:val="24"/>
          <w:szCs w:val="24"/>
        </w:rPr>
        <w:t> </w:t>
      </w:r>
      <w:r w:rsidRPr="0008720B">
        <w:rPr>
          <w:rFonts w:ascii="Times New Roman" w:hAnsi="Times New Roman"/>
          <w:sz w:val="24"/>
          <w:szCs w:val="24"/>
        </w:rPr>
        <w:t>punktā tika noteikts, ka, l</w:t>
      </w:r>
      <w:r w:rsidRPr="0008720B">
        <w:rPr>
          <w:rFonts w:ascii="Times New Roman" w:eastAsia="Times New Roman" w:hAnsi="Times New Roman"/>
          <w:sz w:val="24"/>
          <w:szCs w:val="24"/>
          <w:lang w:eastAsia="lv-LV"/>
        </w:rPr>
        <w:t>ai nodrošinātu Latvijas SEG emisiju samazinājumu ne-ETS darbībām laika posmā pēc 2020.</w:t>
      </w:r>
      <w:r w:rsidR="00102BBD">
        <w:rPr>
          <w:rFonts w:ascii="Times New Roman" w:eastAsia="Times New Roman" w:hAnsi="Times New Roman"/>
          <w:sz w:val="24"/>
          <w:szCs w:val="24"/>
          <w:lang w:eastAsia="lv-LV"/>
        </w:rPr>
        <w:t> </w:t>
      </w:r>
      <w:r w:rsidRPr="0008720B">
        <w:rPr>
          <w:rFonts w:ascii="Times New Roman" w:eastAsia="Times New Roman" w:hAnsi="Times New Roman"/>
          <w:sz w:val="24"/>
          <w:szCs w:val="24"/>
          <w:lang w:eastAsia="lv-LV"/>
        </w:rPr>
        <w:t xml:space="preserve">gada, Zemkopības ministrija iesniedz VARAM informāciju par </w:t>
      </w:r>
      <w:r w:rsidRPr="0008720B">
        <w:rPr>
          <w:rFonts w:ascii="Times New Roman" w:eastAsia="Times New Roman" w:hAnsi="Times New Roman"/>
          <w:sz w:val="24"/>
          <w:szCs w:val="24"/>
          <w:u w:val="single"/>
          <w:lang w:eastAsia="lv-LV"/>
        </w:rPr>
        <w:t>indikatīviem izmaksu efektīviem pasākumiem</w:t>
      </w:r>
      <w:r w:rsidRPr="0008720B">
        <w:rPr>
          <w:rFonts w:ascii="Times New Roman" w:eastAsia="Times New Roman" w:hAnsi="Times New Roman"/>
          <w:sz w:val="24"/>
          <w:szCs w:val="24"/>
          <w:lang w:eastAsia="lv-LV"/>
        </w:rPr>
        <w:t>, kuru īstenošana uzsākta, vai papildu pasākumiem SEG emisiju samazināšanai no lauksaimniecības darbībām, kas sekmē nozares ilgtspējīgu attīstību un potenciālo SEG emisiju samazināšanas un piesaistes mērķu izpildi 2030.</w:t>
      </w:r>
      <w:r w:rsidR="000B63D6">
        <w:rPr>
          <w:rFonts w:ascii="Times New Roman" w:eastAsia="Times New Roman" w:hAnsi="Times New Roman"/>
          <w:sz w:val="24"/>
          <w:szCs w:val="24"/>
          <w:lang w:eastAsia="lv-LV"/>
        </w:rPr>
        <w:t> </w:t>
      </w:r>
      <w:r w:rsidRPr="0008720B">
        <w:rPr>
          <w:rFonts w:ascii="Times New Roman" w:eastAsia="Times New Roman" w:hAnsi="Times New Roman"/>
          <w:sz w:val="24"/>
          <w:szCs w:val="24"/>
          <w:lang w:eastAsia="lv-LV"/>
        </w:rPr>
        <w:t xml:space="preserve">gadam, kas nepieciešama Latvijas potenciālo SEG emisiju samazināšanas mērķu </w:t>
      </w:r>
      <w:proofErr w:type="spellStart"/>
      <w:r w:rsidRPr="0008720B">
        <w:rPr>
          <w:rFonts w:ascii="Times New Roman" w:eastAsia="Times New Roman" w:hAnsi="Times New Roman"/>
          <w:sz w:val="24"/>
          <w:szCs w:val="24"/>
          <w:lang w:eastAsia="lv-LV"/>
        </w:rPr>
        <w:t>laikaposmam</w:t>
      </w:r>
      <w:proofErr w:type="spellEnd"/>
      <w:r w:rsidRPr="0008720B">
        <w:rPr>
          <w:rFonts w:ascii="Times New Roman" w:eastAsia="Times New Roman" w:hAnsi="Times New Roman"/>
          <w:sz w:val="24"/>
          <w:szCs w:val="24"/>
          <w:lang w:eastAsia="lv-LV"/>
        </w:rPr>
        <w:t xml:space="preserve"> no 2020.</w:t>
      </w:r>
      <w:r w:rsidR="00F17A1A">
        <w:rPr>
          <w:rFonts w:ascii="Times New Roman" w:eastAsia="Times New Roman" w:hAnsi="Times New Roman"/>
          <w:sz w:val="24"/>
          <w:szCs w:val="24"/>
          <w:lang w:eastAsia="lv-LV"/>
        </w:rPr>
        <w:t> </w:t>
      </w:r>
      <w:r w:rsidRPr="0008720B">
        <w:rPr>
          <w:rFonts w:ascii="Times New Roman" w:eastAsia="Times New Roman" w:hAnsi="Times New Roman"/>
          <w:sz w:val="24"/>
          <w:szCs w:val="24"/>
          <w:lang w:eastAsia="lv-LV"/>
        </w:rPr>
        <w:t>gada līdz 2030.</w:t>
      </w:r>
      <w:r w:rsidR="00F17A1A">
        <w:rPr>
          <w:rFonts w:ascii="Times New Roman" w:eastAsia="Times New Roman" w:hAnsi="Times New Roman"/>
          <w:sz w:val="24"/>
          <w:szCs w:val="24"/>
          <w:lang w:eastAsia="lv-LV"/>
        </w:rPr>
        <w:t> </w:t>
      </w:r>
      <w:r w:rsidRPr="0008720B">
        <w:rPr>
          <w:rFonts w:ascii="Times New Roman" w:eastAsia="Times New Roman" w:hAnsi="Times New Roman"/>
          <w:sz w:val="24"/>
          <w:szCs w:val="24"/>
          <w:lang w:eastAsia="lv-LV"/>
        </w:rPr>
        <w:t xml:space="preserve">gadam izpildes nodrošināšanas plānošanai.  </w:t>
      </w:r>
    </w:p>
    <w:p w14:paraId="1EDC9E02" w14:textId="77777777" w:rsidR="0008720B" w:rsidRPr="0008720B" w:rsidRDefault="0008720B" w:rsidP="0008720B">
      <w:pPr>
        <w:spacing w:before="120" w:after="120" w:line="240" w:lineRule="auto"/>
        <w:ind w:firstLine="567"/>
        <w:jc w:val="both"/>
        <w:rPr>
          <w:rFonts w:ascii="Times New Roman" w:hAnsi="Times New Roman"/>
          <w:sz w:val="24"/>
          <w:szCs w:val="24"/>
        </w:rPr>
      </w:pPr>
      <w:r w:rsidRPr="006C55E5">
        <w:rPr>
          <w:rFonts w:ascii="Times New Roman" w:hAnsi="Times New Roman"/>
          <w:sz w:val="24"/>
          <w:szCs w:val="24"/>
        </w:rPr>
        <w:t>Saskaņā ar iepriekšminēto uzdevumu, Zemkopības ministrijas iesniedza šādu informāciju par šobrīd īstenojamiem pasākumiem, kas varētu uzlabot Latvijas meža apsaimniekošanas CO</w:t>
      </w:r>
      <w:r w:rsidRPr="006C55E5">
        <w:rPr>
          <w:rFonts w:ascii="Times New Roman" w:hAnsi="Times New Roman"/>
          <w:sz w:val="24"/>
          <w:szCs w:val="24"/>
          <w:vertAlign w:val="subscript"/>
        </w:rPr>
        <w:t>2</w:t>
      </w:r>
      <w:r w:rsidRPr="006C55E5">
        <w:rPr>
          <w:rFonts w:ascii="Times New Roman" w:hAnsi="Times New Roman"/>
          <w:sz w:val="24"/>
          <w:szCs w:val="24"/>
        </w:rPr>
        <w:t xml:space="preserve"> bilances mērķu izpildi:</w:t>
      </w:r>
    </w:p>
    <w:p w14:paraId="10A66E73" w14:textId="72D63995" w:rsidR="0008720B" w:rsidRPr="0008720B" w:rsidRDefault="0008720B" w:rsidP="00D01F73">
      <w:pPr>
        <w:numPr>
          <w:ilvl w:val="0"/>
          <w:numId w:val="8"/>
        </w:numPr>
        <w:spacing w:before="120" w:after="120" w:line="240" w:lineRule="auto"/>
        <w:ind w:left="340" w:hanging="340"/>
        <w:jc w:val="both"/>
        <w:rPr>
          <w:rFonts w:ascii="Times New Roman" w:eastAsiaTheme="minorHAnsi" w:hAnsi="Times New Roman" w:cstheme="minorBidi"/>
          <w:sz w:val="24"/>
          <w:szCs w:val="24"/>
        </w:rPr>
      </w:pPr>
      <w:r w:rsidRPr="0008720B">
        <w:rPr>
          <w:rFonts w:ascii="Times New Roman" w:eastAsiaTheme="minorHAnsi" w:hAnsi="Times New Roman" w:cstheme="minorBidi"/>
          <w:sz w:val="24"/>
          <w:szCs w:val="24"/>
        </w:rPr>
        <w:t>Maksājums par klimatam un videi labvēlīgu lauksaimniecības praksi jeb “</w:t>
      </w:r>
      <w:proofErr w:type="spellStart"/>
      <w:r w:rsidRPr="0008720B">
        <w:rPr>
          <w:rFonts w:ascii="Times New Roman" w:eastAsiaTheme="minorHAnsi" w:hAnsi="Times New Roman" w:cstheme="minorBidi"/>
          <w:sz w:val="24"/>
          <w:szCs w:val="24"/>
        </w:rPr>
        <w:t>zaļināšanas</w:t>
      </w:r>
      <w:proofErr w:type="spellEnd"/>
      <w:r w:rsidRPr="0008720B">
        <w:rPr>
          <w:rFonts w:ascii="Times New Roman" w:eastAsiaTheme="minorHAnsi" w:hAnsi="Times New Roman" w:cstheme="minorBidi"/>
          <w:sz w:val="24"/>
          <w:szCs w:val="24"/>
        </w:rPr>
        <w:t xml:space="preserve">” maksājums – kultūraugu dažādošana; </w:t>
      </w:r>
      <w:r w:rsidR="0007414F">
        <w:rPr>
          <w:rFonts w:ascii="Times New Roman" w:eastAsia="Times New Roman" w:hAnsi="Times New Roman" w:cstheme="minorBidi"/>
          <w:sz w:val="24"/>
          <w:szCs w:val="24"/>
          <w:lang w:eastAsia="lv-LV"/>
        </w:rPr>
        <w:t>i</w:t>
      </w:r>
      <w:r w:rsidRPr="0008720B">
        <w:rPr>
          <w:rFonts w:ascii="Times New Roman" w:eastAsia="Times New Roman" w:hAnsi="Times New Roman" w:cstheme="minorBidi"/>
          <w:sz w:val="24"/>
          <w:szCs w:val="24"/>
          <w:lang w:eastAsia="lv-LV"/>
        </w:rPr>
        <w:t>lggadīgo zālāju saglabāšana; ekoloģiski nozīmīgas platības;</w:t>
      </w:r>
    </w:p>
    <w:p w14:paraId="5BE7DC56" w14:textId="77777777" w:rsidR="0008720B" w:rsidRPr="0008720B" w:rsidRDefault="0008720B" w:rsidP="00D01F73">
      <w:pPr>
        <w:numPr>
          <w:ilvl w:val="0"/>
          <w:numId w:val="8"/>
        </w:numPr>
        <w:spacing w:before="120" w:after="120" w:line="240" w:lineRule="auto"/>
        <w:ind w:left="340" w:hanging="340"/>
        <w:jc w:val="both"/>
        <w:rPr>
          <w:rFonts w:ascii="Times New Roman" w:eastAsia="Times New Roman" w:hAnsi="Times New Roman" w:cstheme="minorBidi"/>
          <w:sz w:val="24"/>
          <w:szCs w:val="24"/>
          <w:lang w:eastAsia="lv-LV"/>
        </w:rPr>
      </w:pPr>
      <w:r w:rsidRPr="0008720B">
        <w:rPr>
          <w:rFonts w:ascii="Times New Roman" w:eastAsia="Times New Roman" w:hAnsi="Times New Roman" w:cstheme="minorBidi"/>
          <w:sz w:val="24"/>
          <w:szCs w:val="24"/>
          <w:lang w:eastAsia="lv-LV"/>
        </w:rPr>
        <w:t>Tieša organiskā mēslojuma iestrāde augsnē, mēslošanas plānošana un skābu augšņu kaļķošana un mežaudžu mēslošana (tai skaitā no kurināmās koksnes iegūto pelnu izmantošana);</w:t>
      </w:r>
    </w:p>
    <w:p w14:paraId="68FCAFAC" w14:textId="77777777" w:rsidR="0008720B" w:rsidRPr="0008720B" w:rsidRDefault="0008720B" w:rsidP="00D01F73">
      <w:pPr>
        <w:numPr>
          <w:ilvl w:val="0"/>
          <w:numId w:val="8"/>
        </w:numPr>
        <w:spacing w:before="120" w:after="120" w:line="240" w:lineRule="auto"/>
        <w:ind w:left="340" w:hanging="340"/>
        <w:jc w:val="both"/>
        <w:rPr>
          <w:rFonts w:ascii="Times New Roman" w:eastAsia="Times New Roman" w:hAnsi="Times New Roman" w:cstheme="minorBidi"/>
          <w:sz w:val="24"/>
          <w:szCs w:val="24"/>
          <w:lang w:eastAsia="lv-LV"/>
        </w:rPr>
      </w:pPr>
      <w:r w:rsidRPr="0008720B">
        <w:rPr>
          <w:rFonts w:ascii="Times New Roman" w:eastAsia="Times New Roman" w:hAnsi="Times New Roman" w:cstheme="minorBidi"/>
          <w:sz w:val="24"/>
          <w:szCs w:val="24"/>
          <w:lang w:eastAsia="lv-LV"/>
        </w:rPr>
        <w:t>Meliorācijas sistēmu uzturēšana, jaunu meža meliorācijas sistēmu būvniecība;</w:t>
      </w:r>
    </w:p>
    <w:p w14:paraId="40EC50EC" w14:textId="77777777" w:rsidR="0008720B" w:rsidRPr="0008720B" w:rsidRDefault="0008720B" w:rsidP="00D01F73">
      <w:pPr>
        <w:numPr>
          <w:ilvl w:val="0"/>
          <w:numId w:val="8"/>
        </w:numPr>
        <w:spacing w:before="120" w:after="120" w:line="240" w:lineRule="auto"/>
        <w:ind w:left="340" w:hanging="340"/>
        <w:jc w:val="both"/>
        <w:rPr>
          <w:rFonts w:ascii="Times New Roman" w:eastAsia="Times New Roman" w:hAnsi="Times New Roman" w:cstheme="minorBidi"/>
          <w:sz w:val="24"/>
          <w:szCs w:val="24"/>
          <w:lang w:eastAsia="lv-LV"/>
        </w:rPr>
      </w:pPr>
      <w:r w:rsidRPr="0008720B">
        <w:rPr>
          <w:rFonts w:ascii="Times New Roman" w:eastAsia="Times New Roman" w:hAnsi="Times New Roman" w:cstheme="minorBidi"/>
          <w:sz w:val="24"/>
          <w:szCs w:val="24"/>
          <w:lang w:eastAsia="lv-LV"/>
        </w:rPr>
        <w:t>Zaļmēslojuma augu audzēšana un ilggadīgo zālāju ierīkošana organiskajās augsnēs;</w:t>
      </w:r>
    </w:p>
    <w:p w14:paraId="44E935BE" w14:textId="77777777" w:rsidR="0008720B" w:rsidRPr="0008720B" w:rsidRDefault="0008720B" w:rsidP="00D01F73">
      <w:pPr>
        <w:numPr>
          <w:ilvl w:val="0"/>
          <w:numId w:val="8"/>
        </w:numPr>
        <w:spacing w:before="120" w:after="120" w:line="240" w:lineRule="auto"/>
        <w:ind w:left="340" w:hanging="340"/>
        <w:jc w:val="both"/>
        <w:rPr>
          <w:rFonts w:ascii="Times New Roman" w:eastAsia="Times New Roman" w:hAnsi="Times New Roman" w:cstheme="minorBidi"/>
          <w:sz w:val="24"/>
          <w:szCs w:val="24"/>
          <w:lang w:eastAsia="lv-LV"/>
        </w:rPr>
      </w:pPr>
      <w:r w:rsidRPr="0008720B">
        <w:rPr>
          <w:rFonts w:ascii="Times New Roman" w:eastAsiaTheme="minorHAnsi" w:hAnsi="Times New Roman" w:cstheme="minorBidi"/>
          <w:sz w:val="24"/>
          <w:szCs w:val="24"/>
        </w:rPr>
        <w:t xml:space="preserve">Nitrifikācijas inhibitoru lietošana, </w:t>
      </w:r>
      <w:r w:rsidRPr="0008720B">
        <w:rPr>
          <w:rFonts w:ascii="Times New Roman" w:eastAsia="Times New Roman" w:hAnsi="Times New Roman" w:cstheme="minorBidi"/>
          <w:sz w:val="24"/>
          <w:szCs w:val="24"/>
          <w:lang w:eastAsia="lv-LV"/>
        </w:rPr>
        <w:t>barības bagātināšana ar taukvielām, barības devu plānošana, barības kvalitātes uzlabošana;</w:t>
      </w:r>
    </w:p>
    <w:p w14:paraId="41BF82DB" w14:textId="77777777" w:rsidR="0008720B" w:rsidRPr="0008720B" w:rsidRDefault="0008720B" w:rsidP="00D01F73">
      <w:pPr>
        <w:numPr>
          <w:ilvl w:val="0"/>
          <w:numId w:val="8"/>
        </w:numPr>
        <w:spacing w:before="120" w:after="120" w:line="240" w:lineRule="auto"/>
        <w:ind w:left="340" w:hanging="340"/>
        <w:jc w:val="both"/>
        <w:rPr>
          <w:rFonts w:ascii="Times New Roman" w:eastAsia="Times New Roman" w:hAnsi="Times New Roman" w:cstheme="minorBidi"/>
          <w:sz w:val="24"/>
          <w:szCs w:val="24"/>
          <w:lang w:eastAsia="lv-LV"/>
        </w:rPr>
      </w:pPr>
      <w:r w:rsidRPr="0008720B">
        <w:rPr>
          <w:rFonts w:ascii="Times New Roman" w:eastAsia="Times New Roman" w:hAnsi="Times New Roman" w:cstheme="minorBidi"/>
          <w:sz w:val="24"/>
          <w:szCs w:val="24"/>
          <w:lang w:eastAsia="lv-LV"/>
        </w:rPr>
        <w:t>Intensīvas ganīšanas (notiek bieža liellopu rotācija pa ganībām) ieviešana, ganību sezonas pagarināšana;</w:t>
      </w:r>
    </w:p>
    <w:p w14:paraId="6B0BD450" w14:textId="77777777" w:rsidR="0008720B" w:rsidRPr="0008720B" w:rsidRDefault="0008720B" w:rsidP="00D01F73">
      <w:pPr>
        <w:numPr>
          <w:ilvl w:val="0"/>
          <w:numId w:val="8"/>
        </w:numPr>
        <w:spacing w:before="120" w:after="120" w:line="240" w:lineRule="auto"/>
        <w:ind w:left="340" w:hanging="340"/>
        <w:jc w:val="both"/>
        <w:rPr>
          <w:rFonts w:ascii="Times New Roman" w:eastAsia="Times New Roman" w:hAnsi="Times New Roman" w:cstheme="minorBidi"/>
          <w:sz w:val="24"/>
          <w:szCs w:val="24"/>
          <w:lang w:eastAsia="lv-LV"/>
        </w:rPr>
      </w:pPr>
      <w:r w:rsidRPr="0008720B">
        <w:rPr>
          <w:rFonts w:ascii="Times New Roman" w:eastAsia="Times New Roman" w:hAnsi="Times New Roman" w:cstheme="minorBidi"/>
          <w:sz w:val="24"/>
          <w:szCs w:val="24"/>
          <w:lang w:eastAsia="lv-LV"/>
        </w:rPr>
        <w:t>Biogāzes ražošanas veicināšana un enerģijas izmantošanas efektivitātes palielināšana (panākt vismaz 20% enerģijas ietaupījumu apkurei un telpu dzesēšanai), samazinot SEG un amonjaka emisijas lauksaimniecībā (kūtsmēslu krātuves, precīzās tehnoloģijas laukkopībā vai lopkopībā, ieviešot tehnoloģijas alternatīvās enerģijas izmantošanai);</w:t>
      </w:r>
    </w:p>
    <w:p w14:paraId="3FDCE937" w14:textId="77777777" w:rsidR="0008720B" w:rsidRPr="0008720B" w:rsidRDefault="0008720B" w:rsidP="00D01F73">
      <w:pPr>
        <w:numPr>
          <w:ilvl w:val="0"/>
          <w:numId w:val="8"/>
        </w:numPr>
        <w:spacing w:before="120" w:after="120" w:line="240" w:lineRule="auto"/>
        <w:ind w:left="340" w:hanging="340"/>
        <w:jc w:val="both"/>
        <w:rPr>
          <w:rFonts w:ascii="Times New Roman" w:eastAsia="Times New Roman" w:hAnsi="Times New Roman" w:cstheme="minorBidi"/>
          <w:sz w:val="24"/>
          <w:szCs w:val="24"/>
          <w:lang w:eastAsia="lv-LV"/>
        </w:rPr>
      </w:pPr>
      <w:r w:rsidRPr="0008720B">
        <w:rPr>
          <w:rFonts w:ascii="Times New Roman" w:eastAsia="Times New Roman" w:hAnsi="Times New Roman" w:cstheme="minorBidi"/>
          <w:sz w:val="24"/>
          <w:szCs w:val="24"/>
          <w:lang w:eastAsia="lv-LV"/>
        </w:rPr>
        <w:lastRenderedPageBreak/>
        <w:t>Atbalsts ieguldījumiem lauksaimniecības un mežsaimniecības infrastruktūras attīstībā;</w:t>
      </w:r>
    </w:p>
    <w:p w14:paraId="18EBA90B" w14:textId="77777777" w:rsidR="0008720B" w:rsidRPr="0008720B" w:rsidRDefault="0008720B" w:rsidP="00D01F73">
      <w:pPr>
        <w:numPr>
          <w:ilvl w:val="0"/>
          <w:numId w:val="8"/>
        </w:numPr>
        <w:spacing w:before="120" w:after="120" w:line="240" w:lineRule="auto"/>
        <w:ind w:left="340" w:hanging="340"/>
        <w:jc w:val="both"/>
        <w:rPr>
          <w:rFonts w:ascii="Times New Roman" w:eastAsia="Times New Roman" w:hAnsi="Times New Roman" w:cstheme="minorBidi"/>
          <w:sz w:val="24"/>
          <w:szCs w:val="24"/>
          <w:lang w:eastAsia="lv-LV"/>
        </w:rPr>
      </w:pPr>
      <w:r w:rsidRPr="0008720B">
        <w:rPr>
          <w:rFonts w:ascii="Times New Roman" w:eastAsia="Times New Roman" w:hAnsi="Times New Roman" w:cstheme="minorBidi"/>
          <w:sz w:val="24"/>
          <w:szCs w:val="24"/>
          <w:lang w:eastAsia="lv-LV"/>
        </w:rPr>
        <w:t>Bioloģiskās daudzveidības uzturēšana zālājos, saudzējošas vides izveide, audzējot augus nektāra ieguvei, pasākums “Rugāju lauks ziemas periodā”;</w:t>
      </w:r>
    </w:p>
    <w:p w14:paraId="23C0B81B" w14:textId="77777777" w:rsidR="0008720B" w:rsidRPr="0008720B" w:rsidRDefault="0008720B" w:rsidP="00D01F73">
      <w:pPr>
        <w:numPr>
          <w:ilvl w:val="0"/>
          <w:numId w:val="8"/>
        </w:numPr>
        <w:spacing w:before="120" w:after="120" w:line="240" w:lineRule="auto"/>
        <w:ind w:left="340" w:hanging="340"/>
        <w:jc w:val="both"/>
        <w:rPr>
          <w:rFonts w:ascii="Times New Roman" w:eastAsia="Times New Roman" w:hAnsi="Times New Roman" w:cstheme="minorBidi"/>
          <w:sz w:val="24"/>
          <w:szCs w:val="24"/>
          <w:lang w:eastAsia="lv-LV"/>
        </w:rPr>
      </w:pPr>
      <w:r w:rsidRPr="0008720B">
        <w:rPr>
          <w:rFonts w:ascii="Times New Roman" w:eastAsia="Times New Roman" w:hAnsi="Times New Roman" w:cstheme="minorBidi"/>
          <w:sz w:val="24"/>
          <w:szCs w:val="24"/>
          <w:lang w:eastAsia="lv-LV"/>
        </w:rPr>
        <w:t>Maksājums, lai pārietu uz bioloģiskās lauksaimniecības praksi un metodēm, kā arī maksājums, lai saglabātu bioloģiskās lauksaimniecības praksi un metodes;</w:t>
      </w:r>
    </w:p>
    <w:p w14:paraId="3363A49F" w14:textId="77777777" w:rsidR="0008720B" w:rsidRPr="0008720B" w:rsidRDefault="0008720B" w:rsidP="00D01F73">
      <w:pPr>
        <w:numPr>
          <w:ilvl w:val="0"/>
          <w:numId w:val="8"/>
        </w:numPr>
        <w:spacing w:before="120" w:after="120" w:line="240" w:lineRule="auto"/>
        <w:ind w:left="340" w:hanging="340"/>
        <w:jc w:val="both"/>
        <w:rPr>
          <w:rFonts w:ascii="Times New Roman" w:eastAsia="Times New Roman" w:hAnsi="Times New Roman" w:cstheme="minorBidi"/>
          <w:sz w:val="24"/>
          <w:szCs w:val="24"/>
          <w:lang w:eastAsia="lv-LV"/>
        </w:rPr>
      </w:pPr>
      <w:r w:rsidRPr="0008720B">
        <w:rPr>
          <w:rFonts w:ascii="Times New Roman" w:eastAsia="Times New Roman" w:hAnsi="Times New Roman" w:cstheme="minorBidi"/>
          <w:sz w:val="24"/>
          <w:szCs w:val="24"/>
          <w:lang w:eastAsia="lv-LV"/>
        </w:rPr>
        <w:t xml:space="preserve">Apmācības, kas saistītas ar, piemēram, </w:t>
      </w:r>
      <w:proofErr w:type="spellStart"/>
      <w:r w:rsidRPr="0008720B">
        <w:rPr>
          <w:rFonts w:ascii="Times New Roman" w:eastAsia="Times New Roman" w:hAnsi="Times New Roman" w:cstheme="minorBidi"/>
          <w:sz w:val="24"/>
          <w:szCs w:val="24"/>
          <w:lang w:eastAsia="lv-LV"/>
        </w:rPr>
        <w:t>agrovidi</w:t>
      </w:r>
      <w:proofErr w:type="spellEnd"/>
      <w:r w:rsidRPr="0008720B">
        <w:rPr>
          <w:rFonts w:ascii="Times New Roman" w:eastAsia="Times New Roman" w:hAnsi="Times New Roman" w:cstheme="minorBidi"/>
          <w:sz w:val="24"/>
          <w:szCs w:val="24"/>
          <w:lang w:eastAsia="lv-LV"/>
        </w:rPr>
        <w:t>, bioloģisko lauksaimniecību, mežaudžu ražības un CO</w:t>
      </w:r>
      <w:r w:rsidRPr="0008720B">
        <w:rPr>
          <w:rFonts w:ascii="Times New Roman" w:eastAsia="Times New Roman" w:hAnsi="Times New Roman" w:cstheme="minorBidi"/>
          <w:sz w:val="24"/>
          <w:szCs w:val="24"/>
          <w:vertAlign w:val="subscript"/>
          <w:lang w:eastAsia="lv-LV"/>
        </w:rPr>
        <w:t>2</w:t>
      </w:r>
      <w:r w:rsidRPr="0008720B">
        <w:rPr>
          <w:rFonts w:ascii="Times New Roman" w:eastAsia="Times New Roman" w:hAnsi="Times New Roman" w:cstheme="minorBidi"/>
          <w:sz w:val="24"/>
          <w:szCs w:val="24"/>
          <w:lang w:eastAsia="lv-LV"/>
        </w:rPr>
        <w:t xml:space="preserve"> apjoma piesaistes palielināšanu;</w:t>
      </w:r>
    </w:p>
    <w:p w14:paraId="10AF462D" w14:textId="77777777" w:rsidR="0008720B" w:rsidRPr="0008720B" w:rsidRDefault="0008720B" w:rsidP="00D01F73">
      <w:pPr>
        <w:numPr>
          <w:ilvl w:val="0"/>
          <w:numId w:val="8"/>
        </w:numPr>
        <w:spacing w:before="120" w:after="120" w:line="240" w:lineRule="auto"/>
        <w:ind w:left="340" w:hanging="340"/>
        <w:jc w:val="both"/>
        <w:rPr>
          <w:rFonts w:ascii="Times New Roman" w:eastAsia="Times New Roman" w:hAnsi="Times New Roman" w:cstheme="minorBidi"/>
          <w:sz w:val="24"/>
          <w:szCs w:val="24"/>
          <w:lang w:eastAsia="lv-LV"/>
        </w:rPr>
      </w:pPr>
      <w:r w:rsidRPr="0008720B">
        <w:rPr>
          <w:rFonts w:ascii="Times New Roman" w:eastAsia="Times New Roman" w:hAnsi="Times New Roman" w:cstheme="minorBidi"/>
          <w:sz w:val="24"/>
          <w:szCs w:val="24"/>
          <w:lang w:eastAsia="lv-LV"/>
        </w:rPr>
        <w:t>Ieguldījumi meža platību paplašināšanā un mežu dzīvotspējas uzlabošanā, kokaugu stādījumu ierīkošana;</w:t>
      </w:r>
    </w:p>
    <w:p w14:paraId="2F23DABB" w14:textId="77777777" w:rsidR="0008720B" w:rsidRPr="0008720B" w:rsidRDefault="0008720B" w:rsidP="00D01F73">
      <w:pPr>
        <w:numPr>
          <w:ilvl w:val="0"/>
          <w:numId w:val="8"/>
        </w:numPr>
        <w:spacing w:before="120" w:after="120" w:line="240" w:lineRule="auto"/>
        <w:ind w:left="340" w:hanging="340"/>
        <w:jc w:val="both"/>
        <w:rPr>
          <w:rFonts w:ascii="Times New Roman" w:eastAsia="Times New Roman" w:hAnsi="Times New Roman" w:cstheme="minorBidi"/>
          <w:sz w:val="24"/>
          <w:szCs w:val="24"/>
          <w:lang w:eastAsia="lv-LV"/>
        </w:rPr>
      </w:pPr>
      <w:r w:rsidRPr="0008720B">
        <w:rPr>
          <w:rFonts w:ascii="Times New Roman" w:eastAsia="Times New Roman" w:hAnsi="Times New Roman" w:cstheme="minorBidi"/>
          <w:sz w:val="24"/>
          <w:szCs w:val="24"/>
          <w:lang w:eastAsia="lv-LV"/>
        </w:rPr>
        <w:t xml:space="preserve">Ātraudzīgu </w:t>
      </w:r>
      <w:proofErr w:type="spellStart"/>
      <w:r w:rsidRPr="0008720B">
        <w:rPr>
          <w:rFonts w:ascii="Times New Roman" w:eastAsia="Times New Roman" w:hAnsi="Times New Roman" w:cstheme="minorBidi"/>
          <w:sz w:val="24"/>
          <w:szCs w:val="24"/>
          <w:lang w:eastAsia="lv-LV"/>
        </w:rPr>
        <w:t>kokaudžu</w:t>
      </w:r>
      <w:proofErr w:type="spellEnd"/>
      <w:r w:rsidRPr="0008720B">
        <w:rPr>
          <w:rFonts w:ascii="Times New Roman" w:eastAsia="Times New Roman" w:hAnsi="Times New Roman" w:cstheme="minorBidi"/>
          <w:sz w:val="24"/>
          <w:szCs w:val="24"/>
          <w:lang w:eastAsia="lv-LV"/>
        </w:rPr>
        <w:t xml:space="preserve"> ierīkošana dažādās meža, mežsaimnieciskās lauksaimniecības un lauksaimniecības zemēs, uz organiskajām un </w:t>
      </w:r>
      <w:proofErr w:type="spellStart"/>
      <w:r w:rsidRPr="0008720B">
        <w:rPr>
          <w:rFonts w:ascii="Times New Roman" w:eastAsia="Times New Roman" w:hAnsi="Times New Roman" w:cstheme="minorBidi"/>
          <w:sz w:val="24"/>
          <w:szCs w:val="24"/>
          <w:lang w:eastAsia="lv-LV"/>
        </w:rPr>
        <w:t>mazproduktīvām</w:t>
      </w:r>
      <w:proofErr w:type="spellEnd"/>
      <w:r w:rsidRPr="0008720B">
        <w:rPr>
          <w:rFonts w:ascii="Times New Roman" w:eastAsia="Times New Roman" w:hAnsi="Times New Roman" w:cstheme="minorBidi"/>
          <w:sz w:val="24"/>
          <w:szCs w:val="24"/>
          <w:lang w:eastAsia="lv-LV"/>
        </w:rPr>
        <w:t xml:space="preserve"> </w:t>
      </w:r>
      <w:proofErr w:type="spellStart"/>
      <w:r w:rsidRPr="0008720B">
        <w:rPr>
          <w:rFonts w:ascii="Times New Roman" w:eastAsia="Times New Roman" w:hAnsi="Times New Roman" w:cstheme="minorBidi"/>
          <w:sz w:val="24"/>
          <w:szCs w:val="24"/>
          <w:lang w:eastAsia="lv-LV"/>
        </w:rPr>
        <w:t>minerālaugsnēm</w:t>
      </w:r>
      <w:proofErr w:type="spellEnd"/>
      <w:r w:rsidRPr="0008720B">
        <w:rPr>
          <w:rFonts w:ascii="Times New Roman" w:eastAsia="Times New Roman" w:hAnsi="Times New Roman" w:cstheme="minorBidi"/>
          <w:sz w:val="24"/>
          <w:szCs w:val="24"/>
          <w:lang w:eastAsia="lv-LV"/>
        </w:rPr>
        <w:t>;</w:t>
      </w:r>
    </w:p>
    <w:p w14:paraId="0D8AFC1F" w14:textId="77777777" w:rsidR="0008720B" w:rsidRPr="0008720B" w:rsidRDefault="0008720B" w:rsidP="00D01F73">
      <w:pPr>
        <w:numPr>
          <w:ilvl w:val="0"/>
          <w:numId w:val="8"/>
        </w:numPr>
        <w:spacing w:before="120" w:after="120" w:line="240" w:lineRule="auto"/>
        <w:ind w:left="340" w:hanging="340"/>
        <w:jc w:val="both"/>
        <w:rPr>
          <w:rFonts w:ascii="Times New Roman" w:eastAsia="Times New Roman" w:hAnsi="Times New Roman" w:cstheme="minorBidi"/>
          <w:sz w:val="24"/>
          <w:szCs w:val="24"/>
          <w:lang w:eastAsia="lv-LV"/>
        </w:rPr>
      </w:pPr>
      <w:r w:rsidRPr="0008720B">
        <w:rPr>
          <w:rFonts w:ascii="Times New Roman" w:eastAsia="Times New Roman" w:hAnsi="Times New Roman" w:cstheme="minorBidi"/>
          <w:sz w:val="24"/>
          <w:szCs w:val="24"/>
          <w:lang w:eastAsia="lv-LV"/>
        </w:rPr>
        <w:t>Izstrādāta kūdras karjera apmežošana;</w:t>
      </w:r>
    </w:p>
    <w:p w14:paraId="27F6EFFA" w14:textId="77777777" w:rsidR="0008720B" w:rsidRPr="00D01F73" w:rsidRDefault="0008720B" w:rsidP="00D01F73">
      <w:pPr>
        <w:numPr>
          <w:ilvl w:val="0"/>
          <w:numId w:val="8"/>
        </w:numPr>
        <w:spacing w:before="120" w:after="120" w:line="240" w:lineRule="auto"/>
        <w:ind w:left="340" w:hanging="340"/>
        <w:jc w:val="both"/>
        <w:rPr>
          <w:rFonts w:ascii="Times New Roman" w:eastAsiaTheme="minorHAnsi" w:hAnsi="Times New Roman" w:cstheme="minorBidi"/>
          <w:sz w:val="24"/>
          <w:szCs w:val="24"/>
        </w:rPr>
      </w:pPr>
      <w:r w:rsidRPr="0008720B">
        <w:rPr>
          <w:rFonts w:ascii="Times New Roman" w:eastAsia="Times New Roman" w:hAnsi="Times New Roman" w:cstheme="minorBidi"/>
          <w:sz w:val="24"/>
          <w:szCs w:val="24"/>
          <w:lang w:eastAsia="lv-LV"/>
        </w:rPr>
        <w:t>Projekts “Ilgtspējīgas zemes resursu pārvaldības veicināšana, izveidojot harmonizētu Latvijas augšņu datu bāzi, resursu ilgtspējīgai apsaimniekošanai”.</w:t>
      </w:r>
    </w:p>
    <w:p w14:paraId="4CEA1194" w14:textId="23A7022C" w:rsidR="00D01F73" w:rsidRPr="00D01F73" w:rsidRDefault="00D01F73" w:rsidP="00891564">
      <w:pPr>
        <w:pStyle w:val="ListParagraph"/>
        <w:spacing w:after="0"/>
        <w:jc w:val="both"/>
        <w:rPr>
          <w:rFonts w:ascii="Times New Roman" w:hAnsi="Times New Roman"/>
          <w:sz w:val="24"/>
          <w:szCs w:val="24"/>
        </w:rPr>
      </w:pPr>
    </w:p>
    <w:p w14:paraId="2B515FF9" w14:textId="2498E826" w:rsidR="008C258D" w:rsidRPr="005C652E" w:rsidRDefault="008C258D" w:rsidP="00D47D4C">
      <w:pPr>
        <w:pStyle w:val="Heading1"/>
      </w:pPr>
      <w:bookmarkStart w:id="17" w:name="_Toc535941270"/>
      <w:bookmarkStart w:id="18" w:name="_Toc473152786"/>
      <w:bookmarkStart w:id="19" w:name="_Toc473152888"/>
      <w:bookmarkStart w:id="20" w:name="_Toc473152791"/>
      <w:bookmarkStart w:id="21" w:name="_Toc473152893"/>
      <w:bookmarkStart w:id="22" w:name="_Toc473152792"/>
      <w:bookmarkStart w:id="23" w:name="_Toc473152894"/>
      <w:bookmarkStart w:id="24" w:name="_Toc473152793"/>
      <w:bookmarkStart w:id="25" w:name="_Toc473152895"/>
      <w:bookmarkStart w:id="26" w:name="_Toc473152794"/>
      <w:bookmarkStart w:id="27" w:name="_Toc473152896"/>
      <w:bookmarkStart w:id="28" w:name="_Toc473152795"/>
      <w:bookmarkStart w:id="29" w:name="_Toc473152897"/>
      <w:bookmarkStart w:id="30" w:name="_Toc473152796"/>
      <w:bookmarkStart w:id="31" w:name="_Toc473152898"/>
      <w:bookmarkStart w:id="32" w:name="_Toc473152797"/>
      <w:bookmarkStart w:id="33" w:name="_Toc473152899"/>
      <w:bookmarkStart w:id="34" w:name="_Toc473152798"/>
      <w:bookmarkStart w:id="35" w:name="_Toc473152900"/>
      <w:bookmarkStart w:id="36" w:name="_Toc473152799"/>
      <w:bookmarkStart w:id="37" w:name="_Toc473152901"/>
      <w:bookmarkStart w:id="38" w:name="_Toc473152800"/>
      <w:bookmarkStart w:id="39" w:name="_Toc473152902"/>
      <w:bookmarkStart w:id="40" w:name="_Toc473152801"/>
      <w:bookmarkStart w:id="41" w:name="_Toc473152903"/>
      <w:bookmarkStart w:id="42" w:name="_Toc473152802"/>
      <w:bookmarkStart w:id="43" w:name="_Toc473152904"/>
      <w:bookmarkStart w:id="44" w:name="_Toc473152803"/>
      <w:bookmarkStart w:id="45" w:name="_Toc473152905"/>
      <w:bookmarkStart w:id="46" w:name="_Toc473152804"/>
      <w:bookmarkStart w:id="47" w:name="_Toc473152906"/>
      <w:bookmarkStart w:id="48" w:name="_Toc473152805"/>
      <w:bookmarkStart w:id="49" w:name="_Toc473152907"/>
      <w:bookmarkStart w:id="50" w:name="_Toc473152806"/>
      <w:bookmarkStart w:id="51" w:name="_Toc473152908"/>
      <w:bookmarkStart w:id="52" w:name="_Toc473152807"/>
      <w:bookmarkStart w:id="53" w:name="_Toc473152909"/>
      <w:bookmarkStart w:id="54" w:name="_Toc473152808"/>
      <w:bookmarkStart w:id="55" w:name="_Toc473152910"/>
      <w:bookmarkStart w:id="56" w:name="_Toc9326570"/>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5C652E">
        <w:t>SECINĀJUMI</w:t>
      </w:r>
      <w:bookmarkEnd w:id="56"/>
    </w:p>
    <w:p w14:paraId="56269F76" w14:textId="6988A6F5" w:rsidR="00365B90" w:rsidRDefault="00365B90" w:rsidP="009769A6">
      <w:pPr>
        <w:pStyle w:val="ListParagraph"/>
        <w:rPr>
          <w:rFonts w:ascii="Times New Roman" w:hAnsi="Times New Roman"/>
          <w:sz w:val="24"/>
          <w:szCs w:val="24"/>
        </w:rPr>
      </w:pPr>
    </w:p>
    <w:p w14:paraId="216504CF" w14:textId="6A79AC7D" w:rsidR="00BD51AC" w:rsidRPr="009769A6" w:rsidRDefault="00BD51AC" w:rsidP="00D01F73">
      <w:pPr>
        <w:pStyle w:val="ListParagraph"/>
        <w:numPr>
          <w:ilvl w:val="0"/>
          <w:numId w:val="6"/>
        </w:numPr>
        <w:ind w:left="284"/>
        <w:jc w:val="both"/>
        <w:rPr>
          <w:rFonts w:ascii="Times New Roman" w:hAnsi="Times New Roman"/>
          <w:sz w:val="24"/>
          <w:szCs w:val="24"/>
        </w:rPr>
      </w:pPr>
      <w:r w:rsidRPr="009769A6">
        <w:rPr>
          <w:rFonts w:ascii="Times New Roman" w:hAnsi="Times New Roman"/>
          <w:sz w:val="24"/>
          <w:szCs w:val="24"/>
        </w:rPr>
        <w:t>Saskaņā ar Latvijas 2018. gada SEG inventarizāciju, kuru Ei</w:t>
      </w:r>
      <w:r w:rsidR="00365B90" w:rsidRPr="009769A6">
        <w:rPr>
          <w:rFonts w:ascii="Times New Roman" w:hAnsi="Times New Roman"/>
          <w:sz w:val="24"/>
          <w:szCs w:val="24"/>
        </w:rPr>
        <w:t>ropas Komisija apstiprināja 2018</w:t>
      </w:r>
      <w:r w:rsidRPr="009769A6">
        <w:rPr>
          <w:rFonts w:ascii="Times New Roman" w:hAnsi="Times New Roman"/>
          <w:sz w:val="24"/>
          <w:szCs w:val="24"/>
        </w:rPr>
        <w:t>.</w:t>
      </w:r>
      <w:r w:rsidR="00CC26D6">
        <w:rPr>
          <w:rFonts w:ascii="Times New Roman" w:hAnsi="Times New Roman"/>
          <w:sz w:val="24"/>
          <w:szCs w:val="24"/>
        </w:rPr>
        <w:t> </w:t>
      </w:r>
      <w:r w:rsidRPr="009769A6">
        <w:rPr>
          <w:rFonts w:ascii="Times New Roman" w:hAnsi="Times New Roman"/>
          <w:sz w:val="24"/>
          <w:szCs w:val="24"/>
        </w:rPr>
        <w:t xml:space="preserve">gada </w:t>
      </w:r>
      <w:r w:rsidR="00365B90" w:rsidRPr="009769A6">
        <w:rPr>
          <w:rFonts w:ascii="Times New Roman" w:hAnsi="Times New Roman"/>
          <w:sz w:val="24"/>
          <w:szCs w:val="24"/>
        </w:rPr>
        <w:t>20.aprīlī</w:t>
      </w:r>
      <w:r w:rsidR="008940C8">
        <w:rPr>
          <w:rFonts w:ascii="Times New Roman" w:hAnsi="Times New Roman"/>
          <w:sz w:val="24"/>
          <w:szCs w:val="24"/>
        </w:rPr>
        <w:t>,</w:t>
      </w:r>
      <w:r w:rsidRPr="009769A6">
        <w:rPr>
          <w:rFonts w:ascii="Times New Roman" w:hAnsi="Times New Roman"/>
          <w:sz w:val="24"/>
          <w:szCs w:val="24"/>
        </w:rPr>
        <w:t xml:space="preserve"> Latvija ir iz</w:t>
      </w:r>
      <w:r w:rsidR="00365B90" w:rsidRPr="009769A6">
        <w:rPr>
          <w:rFonts w:ascii="Times New Roman" w:hAnsi="Times New Roman"/>
          <w:sz w:val="24"/>
          <w:szCs w:val="24"/>
        </w:rPr>
        <w:t>pildījusi Latvijai noteikto 2016</w:t>
      </w:r>
      <w:r w:rsidRPr="009769A6">
        <w:rPr>
          <w:rFonts w:ascii="Times New Roman" w:hAnsi="Times New Roman"/>
          <w:sz w:val="24"/>
          <w:szCs w:val="24"/>
        </w:rPr>
        <w:t>. gada ne-ETS darbību SEG emisiju mērķi.</w:t>
      </w:r>
    </w:p>
    <w:p w14:paraId="727B3D4B" w14:textId="6EF701C7" w:rsidR="009769A6" w:rsidRPr="005C652E" w:rsidRDefault="00365B90" w:rsidP="00D01F73">
      <w:pPr>
        <w:pStyle w:val="ListParagraph"/>
        <w:numPr>
          <w:ilvl w:val="0"/>
          <w:numId w:val="6"/>
        </w:numPr>
        <w:spacing w:before="120" w:after="120" w:line="240" w:lineRule="auto"/>
        <w:ind w:left="284"/>
        <w:contextualSpacing w:val="0"/>
        <w:jc w:val="both"/>
        <w:rPr>
          <w:rFonts w:ascii="Times New Roman" w:hAnsi="Times New Roman"/>
          <w:sz w:val="24"/>
          <w:szCs w:val="24"/>
        </w:rPr>
      </w:pPr>
      <w:r w:rsidRPr="00365B90">
        <w:rPr>
          <w:rFonts w:ascii="Times New Roman" w:hAnsi="Times New Roman"/>
          <w:sz w:val="24"/>
          <w:szCs w:val="24"/>
        </w:rPr>
        <w:t>Ņemot vērā Latvijas aptuveno SEG inventarizāciju par 201</w:t>
      </w:r>
      <w:r>
        <w:rPr>
          <w:rFonts w:ascii="Times New Roman" w:hAnsi="Times New Roman"/>
          <w:sz w:val="24"/>
          <w:szCs w:val="24"/>
        </w:rPr>
        <w:t>7</w:t>
      </w:r>
      <w:r w:rsidRPr="00365B90">
        <w:rPr>
          <w:rFonts w:ascii="Times New Roman" w:hAnsi="Times New Roman"/>
          <w:sz w:val="24"/>
          <w:szCs w:val="24"/>
        </w:rPr>
        <w:t>. gadu, ir secināms, ka Latv</w:t>
      </w:r>
      <w:r>
        <w:rPr>
          <w:rFonts w:ascii="Times New Roman" w:hAnsi="Times New Roman"/>
          <w:sz w:val="24"/>
          <w:szCs w:val="24"/>
        </w:rPr>
        <w:t>ija nodrošinās, ka Latvijas 2017</w:t>
      </w:r>
      <w:r w:rsidRPr="00365B90">
        <w:rPr>
          <w:rFonts w:ascii="Times New Roman" w:hAnsi="Times New Roman"/>
          <w:sz w:val="24"/>
          <w:szCs w:val="24"/>
        </w:rPr>
        <w:t>. gada ne-ETS darbību SEG emisiju mērķis tiek izpildīts</w:t>
      </w:r>
      <w:r w:rsidR="003772C6">
        <w:rPr>
          <w:rFonts w:ascii="Times New Roman" w:hAnsi="Times New Roman"/>
          <w:sz w:val="24"/>
          <w:szCs w:val="24"/>
        </w:rPr>
        <w:t>.</w:t>
      </w:r>
    </w:p>
    <w:p w14:paraId="65E46FD6" w14:textId="58DB17B1" w:rsidR="009769A6" w:rsidRDefault="003772C6" w:rsidP="00D01F73">
      <w:pPr>
        <w:pStyle w:val="ListParagraph"/>
        <w:numPr>
          <w:ilvl w:val="0"/>
          <w:numId w:val="6"/>
        </w:numPr>
        <w:spacing w:after="120" w:line="240" w:lineRule="auto"/>
        <w:ind w:left="283" w:hanging="357"/>
        <w:contextualSpacing w:val="0"/>
        <w:jc w:val="both"/>
        <w:rPr>
          <w:rFonts w:ascii="Times New Roman" w:hAnsi="Times New Roman"/>
          <w:sz w:val="24"/>
          <w:szCs w:val="24"/>
        </w:rPr>
      </w:pPr>
      <w:r>
        <w:rPr>
          <w:rFonts w:ascii="Times New Roman" w:hAnsi="Times New Roman"/>
          <w:sz w:val="24"/>
          <w:szCs w:val="24"/>
        </w:rPr>
        <w:t>Balstoties uz 2017. gada</w:t>
      </w:r>
      <w:r w:rsidR="00825AA9" w:rsidRPr="009769A6">
        <w:rPr>
          <w:rFonts w:ascii="Times New Roman" w:hAnsi="Times New Roman"/>
          <w:sz w:val="24"/>
          <w:szCs w:val="24"/>
        </w:rPr>
        <w:t xml:space="preserve"> </w:t>
      </w:r>
      <w:r w:rsidR="0010363D">
        <w:rPr>
          <w:rFonts w:ascii="Times New Roman" w:hAnsi="Times New Roman"/>
          <w:sz w:val="24"/>
          <w:szCs w:val="24"/>
        </w:rPr>
        <w:t>z</w:t>
      </w:r>
      <w:r w:rsidR="00825AA9" w:rsidRPr="009769A6">
        <w:rPr>
          <w:rFonts w:ascii="Times New Roman" w:hAnsi="Times New Roman"/>
          <w:sz w:val="24"/>
          <w:szCs w:val="24"/>
        </w:rPr>
        <w:t>iņojumu par SEG prognozēm, politiku un pasākumiem</w:t>
      </w:r>
      <w:r w:rsidR="009769A6">
        <w:rPr>
          <w:rFonts w:ascii="Times New Roman" w:hAnsi="Times New Roman"/>
          <w:sz w:val="24"/>
          <w:szCs w:val="24"/>
        </w:rPr>
        <w:t xml:space="preserve"> </w:t>
      </w:r>
      <w:r w:rsidR="00825AA9" w:rsidRPr="009769A6">
        <w:rPr>
          <w:rFonts w:ascii="Times New Roman" w:hAnsi="Times New Roman"/>
          <w:sz w:val="24"/>
          <w:szCs w:val="24"/>
        </w:rPr>
        <w:t>ir secināms, ka</w:t>
      </w:r>
      <w:r w:rsidR="0067545A" w:rsidRPr="009769A6">
        <w:rPr>
          <w:rFonts w:ascii="Times New Roman" w:hAnsi="Times New Roman"/>
          <w:sz w:val="24"/>
          <w:szCs w:val="24"/>
        </w:rPr>
        <w:t xml:space="preserve"> Latvija izpildīs ikgadējos ne-ETS darbību SEG emisiju mērķ</w:t>
      </w:r>
      <w:r w:rsidR="00BD0850" w:rsidRPr="009769A6">
        <w:rPr>
          <w:rFonts w:ascii="Times New Roman" w:hAnsi="Times New Roman"/>
          <w:sz w:val="24"/>
          <w:szCs w:val="24"/>
        </w:rPr>
        <w:t>u</w:t>
      </w:r>
      <w:r w:rsidR="0067545A" w:rsidRPr="009769A6">
        <w:rPr>
          <w:rFonts w:ascii="Times New Roman" w:hAnsi="Times New Roman"/>
          <w:sz w:val="24"/>
          <w:szCs w:val="24"/>
        </w:rPr>
        <w:t>s visiem gadiem periodā līdz 2020.</w:t>
      </w:r>
      <w:r w:rsidR="008E0235" w:rsidRPr="009769A6">
        <w:rPr>
          <w:rFonts w:ascii="Times New Roman" w:hAnsi="Times New Roman"/>
          <w:sz w:val="24"/>
          <w:szCs w:val="24"/>
        </w:rPr>
        <w:t> </w:t>
      </w:r>
      <w:r w:rsidR="0067545A" w:rsidRPr="009769A6">
        <w:rPr>
          <w:rFonts w:ascii="Times New Roman" w:hAnsi="Times New Roman"/>
          <w:sz w:val="24"/>
          <w:szCs w:val="24"/>
        </w:rPr>
        <w:t>gadam un izpildīs Saistību pārdales lēmumā noteikto 2020.</w:t>
      </w:r>
      <w:r w:rsidR="008E0235" w:rsidRPr="009769A6">
        <w:rPr>
          <w:rFonts w:ascii="Times New Roman" w:hAnsi="Times New Roman"/>
          <w:sz w:val="24"/>
          <w:szCs w:val="24"/>
        </w:rPr>
        <w:t> </w:t>
      </w:r>
      <w:r w:rsidR="0067545A" w:rsidRPr="009769A6">
        <w:rPr>
          <w:rFonts w:ascii="Times New Roman" w:hAnsi="Times New Roman"/>
          <w:sz w:val="24"/>
          <w:szCs w:val="24"/>
        </w:rPr>
        <w:t>gada ne-ETS darbību SEG emisiju mērķi</w:t>
      </w:r>
      <w:r w:rsidR="00BD0850" w:rsidRPr="009769A6">
        <w:rPr>
          <w:rFonts w:ascii="Times New Roman" w:hAnsi="Times New Roman"/>
          <w:sz w:val="24"/>
          <w:szCs w:val="24"/>
        </w:rPr>
        <w:t>.</w:t>
      </w:r>
      <w:r w:rsidR="00AF2B42" w:rsidRPr="009769A6">
        <w:rPr>
          <w:rFonts w:ascii="Times New Roman" w:hAnsi="Times New Roman"/>
          <w:sz w:val="24"/>
          <w:szCs w:val="24"/>
        </w:rPr>
        <w:t xml:space="preserve"> Tomēr ir jāņem vērā, ka 2020.</w:t>
      </w:r>
      <w:r w:rsidR="00F17A1A">
        <w:rPr>
          <w:rFonts w:ascii="Times New Roman" w:hAnsi="Times New Roman"/>
          <w:sz w:val="24"/>
          <w:szCs w:val="24"/>
        </w:rPr>
        <w:t> </w:t>
      </w:r>
      <w:r w:rsidR="00AF2B42" w:rsidRPr="009769A6">
        <w:rPr>
          <w:rFonts w:ascii="Times New Roman" w:hAnsi="Times New Roman"/>
          <w:sz w:val="24"/>
          <w:szCs w:val="24"/>
        </w:rPr>
        <w:t xml:space="preserve">gada ne-ETS darbību SEG emisiju samazināšanas mērķa izpilde lielā mērā ir atkarīga no tā, vai </w:t>
      </w:r>
      <w:r w:rsidR="00EF271D" w:rsidRPr="009769A6">
        <w:rPr>
          <w:rFonts w:ascii="Times New Roman" w:hAnsi="Times New Roman"/>
          <w:sz w:val="24"/>
          <w:szCs w:val="24"/>
        </w:rPr>
        <w:t xml:space="preserve">periodā līdz 2020. gadam </w:t>
      </w:r>
      <w:r w:rsidR="00AF2B42" w:rsidRPr="009769A6">
        <w:rPr>
          <w:rFonts w:ascii="Times New Roman" w:hAnsi="Times New Roman"/>
          <w:sz w:val="24"/>
          <w:szCs w:val="24"/>
        </w:rPr>
        <w:t>tiks turpināta šobrīd esošo pasākumu, kas tieši vai netieši samazina SEG emisij</w:t>
      </w:r>
      <w:r w:rsidR="00EF271D" w:rsidRPr="009769A6">
        <w:rPr>
          <w:rFonts w:ascii="Times New Roman" w:hAnsi="Times New Roman"/>
          <w:sz w:val="24"/>
          <w:szCs w:val="24"/>
        </w:rPr>
        <w:t>u apjomu</w:t>
      </w:r>
      <w:r w:rsidR="00AF2B42" w:rsidRPr="009769A6">
        <w:rPr>
          <w:rFonts w:ascii="Times New Roman" w:hAnsi="Times New Roman"/>
          <w:sz w:val="24"/>
          <w:szCs w:val="24"/>
        </w:rPr>
        <w:t>, īstenošana, tiks uzsākts īstenot tos pasākumus, kuru īstenošana ir ieplānota šajā periodā</w:t>
      </w:r>
      <w:r w:rsidR="00EF271D" w:rsidRPr="009769A6">
        <w:rPr>
          <w:rFonts w:ascii="Times New Roman" w:hAnsi="Times New Roman"/>
          <w:sz w:val="24"/>
          <w:szCs w:val="24"/>
        </w:rPr>
        <w:t>, kā arī netiks uzsākts īstenot tādus pasākumus, kas palielinātu SEG emisiju apjomu</w:t>
      </w:r>
      <w:r w:rsidR="00AF2B42" w:rsidRPr="009769A6">
        <w:rPr>
          <w:rFonts w:ascii="Times New Roman" w:hAnsi="Times New Roman"/>
          <w:sz w:val="24"/>
          <w:szCs w:val="24"/>
        </w:rPr>
        <w:t xml:space="preserve">. </w:t>
      </w:r>
    </w:p>
    <w:p w14:paraId="3FCE54E2" w14:textId="78386753" w:rsidR="009769A6" w:rsidRPr="00CB3E4B" w:rsidRDefault="009C3C72" w:rsidP="00D01F73">
      <w:pPr>
        <w:pStyle w:val="ListParagraph"/>
        <w:numPr>
          <w:ilvl w:val="0"/>
          <w:numId w:val="6"/>
        </w:numPr>
        <w:spacing w:after="120" w:line="240" w:lineRule="auto"/>
        <w:ind w:left="283" w:hanging="357"/>
        <w:contextualSpacing w:val="0"/>
        <w:jc w:val="both"/>
        <w:rPr>
          <w:rFonts w:ascii="Times New Roman" w:hAnsi="Times New Roman"/>
          <w:sz w:val="24"/>
          <w:szCs w:val="24"/>
        </w:rPr>
      </w:pPr>
      <w:r w:rsidRPr="00CB3E4B">
        <w:rPr>
          <w:rFonts w:ascii="Times New Roman" w:hAnsi="Times New Roman"/>
          <w:sz w:val="24"/>
          <w:szCs w:val="24"/>
        </w:rPr>
        <w:t>S</w:t>
      </w:r>
      <w:r w:rsidR="00205B8A" w:rsidRPr="00CB3E4B">
        <w:rPr>
          <w:rFonts w:ascii="Times New Roman" w:hAnsi="Times New Roman"/>
          <w:sz w:val="24"/>
          <w:szCs w:val="24"/>
        </w:rPr>
        <w:t xml:space="preserve">askaņā ar </w:t>
      </w:r>
      <w:r w:rsidR="003772C6" w:rsidRPr="00CB3E4B">
        <w:rPr>
          <w:rFonts w:ascii="Times New Roman" w:hAnsi="Times New Roman"/>
          <w:sz w:val="24"/>
          <w:szCs w:val="24"/>
        </w:rPr>
        <w:t xml:space="preserve">2017. gada </w:t>
      </w:r>
      <w:r w:rsidR="0010363D">
        <w:rPr>
          <w:rFonts w:ascii="Times New Roman" w:hAnsi="Times New Roman"/>
          <w:sz w:val="24"/>
          <w:szCs w:val="24"/>
        </w:rPr>
        <w:t>z</w:t>
      </w:r>
      <w:r w:rsidR="00205B8A" w:rsidRPr="00DF2E7E">
        <w:rPr>
          <w:rFonts w:ascii="Times New Roman" w:hAnsi="Times New Roman"/>
          <w:sz w:val="24"/>
          <w:szCs w:val="24"/>
        </w:rPr>
        <w:t>iņojumu par SEG prognozēm</w:t>
      </w:r>
      <w:r w:rsidR="00205B8A" w:rsidRPr="00CB3E4B">
        <w:rPr>
          <w:rFonts w:ascii="Times New Roman" w:hAnsi="Times New Roman"/>
          <w:sz w:val="24"/>
          <w:szCs w:val="24"/>
        </w:rPr>
        <w:t>, politiku un pasākumiem, ir secināms, ka Latvijas ne-ETS darbību SEG emisiju apjoms periodā pēc 2020.</w:t>
      </w:r>
      <w:r w:rsidR="00215400" w:rsidRPr="00CB3E4B">
        <w:rPr>
          <w:rFonts w:ascii="Times New Roman" w:hAnsi="Times New Roman"/>
          <w:sz w:val="24"/>
          <w:szCs w:val="24"/>
        </w:rPr>
        <w:t> </w:t>
      </w:r>
      <w:r w:rsidR="00205B8A" w:rsidRPr="00CB3E4B">
        <w:rPr>
          <w:rFonts w:ascii="Times New Roman" w:hAnsi="Times New Roman"/>
          <w:sz w:val="24"/>
          <w:szCs w:val="24"/>
        </w:rPr>
        <w:t>gada turpinās pieaugt un netiks nodrošināta ne-ETS darbību SEG emisiju mērķa 2030.</w:t>
      </w:r>
      <w:r w:rsidR="00215400" w:rsidRPr="00CB3E4B">
        <w:rPr>
          <w:rFonts w:ascii="Times New Roman" w:hAnsi="Times New Roman"/>
          <w:sz w:val="24"/>
          <w:szCs w:val="24"/>
        </w:rPr>
        <w:t> </w:t>
      </w:r>
      <w:r w:rsidR="00205B8A" w:rsidRPr="00CB3E4B">
        <w:rPr>
          <w:rFonts w:ascii="Times New Roman" w:hAnsi="Times New Roman"/>
          <w:sz w:val="24"/>
          <w:szCs w:val="24"/>
        </w:rPr>
        <w:t>gadam izpilde</w:t>
      </w:r>
      <w:r w:rsidR="00AA47FF" w:rsidRPr="00CB3E4B">
        <w:rPr>
          <w:rFonts w:ascii="Times New Roman" w:hAnsi="Times New Roman"/>
          <w:sz w:val="24"/>
          <w:szCs w:val="24"/>
        </w:rPr>
        <w:t>.</w:t>
      </w:r>
      <w:r w:rsidR="005F0DBB" w:rsidRPr="00CB3E4B">
        <w:rPr>
          <w:rFonts w:ascii="Times New Roman" w:hAnsi="Times New Roman"/>
          <w:sz w:val="24"/>
          <w:szCs w:val="24"/>
        </w:rPr>
        <w:t xml:space="preserve"> </w:t>
      </w:r>
      <w:r w:rsidR="008940C8">
        <w:rPr>
          <w:rFonts w:ascii="Times New Roman" w:hAnsi="Times New Roman"/>
          <w:sz w:val="24"/>
          <w:szCs w:val="24"/>
        </w:rPr>
        <w:t>A</w:t>
      </w:r>
      <w:r w:rsidR="003772C6" w:rsidRPr="00CB3E4B">
        <w:rPr>
          <w:rFonts w:ascii="Times New Roman" w:hAnsi="Times New Roman"/>
          <w:sz w:val="24"/>
          <w:szCs w:val="24"/>
        </w:rPr>
        <w:t>ktu</w:t>
      </w:r>
      <w:r w:rsidR="007D6CAA" w:rsidRPr="00CB3E4B">
        <w:rPr>
          <w:rFonts w:ascii="Times New Roman" w:hAnsi="Times New Roman"/>
          <w:sz w:val="24"/>
          <w:szCs w:val="24"/>
        </w:rPr>
        <w:t xml:space="preserve">ālākās </w:t>
      </w:r>
      <w:r w:rsidR="006C55E5" w:rsidRPr="00CB3E4B">
        <w:rPr>
          <w:rFonts w:ascii="Times New Roman" w:hAnsi="Times New Roman"/>
          <w:sz w:val="24"/>
          <w:szCs w:val="24"/>
        </w:rPr>
        <w:t xml:space="preserve">SEG </w:t>
      </w:r>
      <w:r w:rsidR="007D6CAA" w:rsidRPr="00CB3E4B">
        <w:rPr>
          <w:rFonts w:ascii="Times New Roman" w:hAnsi="Times New Roman"/>
          <w:sz w:val="24"/>
          <w:szCs w:val="24"/>
        </w:rPr>
        <w:t>prognozes scenārij</w:t>
      </w:r>
      <w:r w:rsidR="008940C8">
        <w:rPr>
          <w:rFonts w:ascii="Times New Roman" w:hAnsi="Times New Roman"/>
          <w:sz w:val="24"/>
          <w:szCs w:val="24"/>
        </w:rPr>
        <w:t>iem</w:t>
      </w:r>
      <w:r w:rsidR="007D6CAA" w:rsidRPr="00CB3E4B">
        <w:rPr>
          <w:rFonts w:ascii="Times New Roman" w:hAnsi="Times New Roman"/>
          <w:sz w:val="24"/>
          <w:szCs w:val="24"/>
        </w:rPr>
        <w:t xml:space="preserve"> ar esošiem un papildus pasākumiem </w:t>
      </w:r>
      <w:r w:rsidR="008940C8">
        <w:rPr>
          <w:rFonts w:ascii="Times New Roman" w:hAnsi="Times New Roman"/>
          <w:sz w:val="24"/>
          <w:szCs w:val="24"/>
        </w:rPr>
        <w:t xml:space="preserve"> </w:t>
      </w:r>
      <w:r w:rsidR="007D6CAA" w:rsidRPr="00CB3E4B">
        <w:rPr>
          <w:rFonts w:ascii="Times New Roman" w:hAnsi="Times New Roman"/>
          <w:sz w:val="24"/>
          <w:szCs w:val="24"/>
        </w:rPr>
        <w:t>EK iesnie</w:t>
      </w:r>
      <w:r w:rsidR="008940C8">
        <w:rPr>
          <w:rFonts w:ascii="Times New Roman" w:hAnsi="Times New Roman"/>
          <w:sz w:val="24"/>
          <w:szCs w:val="24"/>
        </w:rPr>
        <w:t>gtas</w:t>
      </w:r>
      <w:r w:rsidR="007D6CAA" w:rsidRPr="00CB3E4B">
        <w:rPr>
          <w:rFonts w:ascii="Times New Roman" w:hAnsi="Times New Roman"/>
          <w:sz w:val="24"/>
          <w:szCs w:val="24"/>
        </w:rPr>
        <w:t xml:space="preserve"> </w:t>
      </w:r>
      <w:r w:rsidR="005F0DBB" w:rsidRPr="00CB3E4B">
        <w:rPr>
          <w:rFonts w:ascii="Times New Roman" w:hAnsi="Times New Roman"/>
          <w:sz w:val="24"/>
          <w:szCs w:val="24"/>
        </w:rPr>
        <w:t xml:space="preserve">  2019. gada 1</w:t>
      </w:r>
      <w:r w:rsidR="00D7022F">
        <w:rPr>
          <w:rFonts w:ascii="Times New Roman" w:hAnsi="Times New Roman"/>
          <w:sz w:val="24"/>
          <w:szCs w:val="24"/>
        </w:rPr>
        <w:t>0</w:t>
      </w:r>
      <w:r w:rsidR="005F0DBB" w:rsidRPr="00CB3E4B">
        <w:rPr>
          <w:rFonts w:ascii="Times New Roman" w:hAnsi="Times New Roman"/>
          <w:sz w:val="24"/>
          <w:szCs w:val="24"/>
        </w:rPr>
        <w:t xml:space="preserve">. </w:t>
      </w:r>
      <w:r w:rsidR="00D7022F">
        <w:rPr>
          <w:rFonts w:ascii="Times New Roman" w:hAnsi="Times New Roman"/>
          <w:sz w:val="24"/>
          <w:szCs w:val="24"/>
        </w:rPr>
        <w:t xml:space="preserve">aprīlī, bet līdz jūnijam rit Eiropas Vides aģentūras </w:t>
      </w:r>
      <w:r w:rsidR="00840C52">
        <w:rPr>
          <w:rFonts w:ascii="Times New Roman" w:hAnsi="Times New Roman"/>
          <w:sz w:val="24"/>
          <w:szCs w:val="24"/>
        </w:rPr>
        <w:t xml:space="preserve">veiktā </w:t>
      </w:r>
      <w:r w:rsidR="00D7022F">
        <w:rPr>
          <w:rFonts w:ascii="Times New Roman" w:hAnsi="Times New Roman"/>
          <w:sz w:val="24"/>
          <w:szCs w:val="24"/>
        </w:rPr>
        <w:t>kvalitātes kontrole, kuras ietvaros iesniegtie rezultāti var mainīties</w:t>
      </w:r>
      <w:r w:rsidR="006C55E5" w:rsidRPr="00CB3E4B">
        <w:rPr>
          <w:rFonts w:ascii="Times New Roman" w:hAnsi="Times New Roman"/>
          <w:sz w:val="24"/>
          <w:szCs w:val="24"/>
        </w:rPr>
        <w:t xml:space="preserve">. </w:t>
      </w:r>
      <w:r w:rsidR="008940C8" w:rsidRPr="00CB3E4B">
        <w:rPr>
          <w:rFonts w:ascii="Times New Roman" w:hAnsi="Times New Roman"/>
          <w:sz w:val="24"/>
          <w:szCs w:val="24"/>
        </w:rPr>
        <w:t>Pa</w:t>
      </w:r>
      <w:r w:rsidR="008940C8">
        <w:rPr>
          <w:rFonts w:ascii="Times New Roman" w:hAnsi="Times New Roman"/>
          <w:sz w:val="24"/>
          <w:szCs w:val="24"/>
        </w:rPr>
        <w:t>sākumu plānošana 2021-2030.gada mērķu izpildei tiek veikta</w:t>
      </w:r>
      <w:r w:rsidR="008940C8" w:rsidRPr="00CB3E4B">
        <w:rPr>
          <w:rFonts w:ascii="Times New Roman" w:hAnsi="Times New Roman"/>
          <w:sz w:val="24"/>
          <w:szCs w:val="24"/>
        </w:rPr>
        <w:t xml:space="preserve"> </w:t>
      </w:r>
      <w:r w:rsidR="008940C8">
        <w:rPr>
          <w:rFonts w:ascii="Times New Roman" w:hAnsi="Times New Roman"/>
          <w:sz w:val="24"/>
          <w:szCs w:val="24"/>
        </w:rPr>
        <w:t>Latvijas</w:t>
      </w:r>
      <w:r w:rsidR="00982E32" w:rsidRPr="00CB3E4B">
        <w:rPr>
          <w:rFonts w:ascii="Times New Roman" w:hAnsi="Times New Roman"/>
          <w:sz w:val="24"/>
          <w:szCs w:val="24"/>
        </w:rPr>
        <w:t xml:space="preserve"> </w:t>
      </w:r>
      <w:r w:rsidR="008A54A5" w:rsidRPr="00CB3E4B">
        <w:rPr>
          <w:rFonts w:ascii="Times New Roman" w:hAnsi="Times New Roman"/>
          <w:sz w:val="24"/>
          <w:szCs w:val="24"/>
        </w:rPr>
        <w:t>N</w:t>
      </w:r>
      <w:r w:rsidR="00982E32" w:rsidRPr="00CB3E4B">
        <w:rPr>
          <w:rFonts w:ascii="Times New Roman" w:hAnsi="Times New Roman"/>
          <w:sz w:val="24"/>
          <w:szCs w:val="24"/>
        </w:rPr>
        <w:t>a</w:t>
      </w:r>
      <w:r w:rsidR="008A54A5" w:rsidRPr="00CB3E4B">
        <w:rPr>
          <w:rFonts w:ascii="Times New Roman" w:hAnsi="Times New Roman"/>
          <w:sz w:val="24"/>
          <w:szCs w:val="24"/>
        </w:rPr>
        <w:t>cionālā</w:t>
      </w:r>
      <w:r w:rsidR="00982E32" w:rsidRPr="00CB3E4B">
        <w:rPr>
          <w:rFonts w:ascii="Times New Roman" w:hAnsi="Times New Roman"/>
          <w:sz w:val="24"/>
          <w:szCs w:val="24"/>
        </w:rPr>
        <w:t xml:space="preserve"> enerģētikas</w:t>
      </w:r>
      <w:r w:rsidR="008A54A5" w:rsidRPr="00CB3E4B">
        <w:rPr>
          <w:rFonts w:ascii="Times New Roman" w:hAnsi="Times New Roman"/>
          <w:sz w:val="24"/>
          <w:szCs w:val="24"/>
        </w:rPr>
        <w:t xml:space="preserve"> un</w:t>
      </w:r>
      <w:r w:rsidR="00982E32" w:rsidRPr="00CB3E4B">
        <w:rPr>
          <w:rFonts w:ascii="Times New Roman" w:hAnsi="Times New Roman"/>
          <w:sz w:val="24"/>
          <w:szCs w:val="24"/>
        </w:rPr>
        <w:t xml:space="preserve"> klimata </w:t>
      </w:r>
      <w:r w:rsidR="008940C8" w:rsidRPr="00CB3E4B">
        <w:rPr>
          <w:rFonts w:ascii="Times New Roman" w:hAnsi="Times New Roman"/>
          <w:sz w:val="24"/>
          <w:szCs w:val="24"/>
        </w:rPr>
        <w:t>plān</w:t>
      </w:r>
      <w:r w:rsidR="008940C8">
        <w:rPr>
          <w:rFonts w:ascii="Times New Roman" w:hAnsi="Times New Roman"/>
          <w:sz w:val="24"/>
          <w:szCs w:val="24"/>
        </w:rPr>
        <w:t>a</w:t>
      </w:r>
      <w:r w:rsidR="008940C8" w:rsidRPr="00CB3E4B">
        <w:rPr>
          <w:rFonts w:ascii="Times New Roman" w:hAnsi="Times New Roman"/>
          <w:sz w:val="24"/>
          <w:szCs w:val="24"/>
        </w:rPr>
        <w:t xml:space="preserve"> </w:t>
      </w:r>
      <w:r w:rsidR="008940C8">
        <w:rPr>
          <w:rFonts w:ascii="Times New Roman" w:hAnsi="Times New Roman"/>
          <w:sz w:val="24"/>
          <w:szCs w:val="24"/>
        </w:rPr>
        <w:t>2021-2030.gadam sagatavošanas ietvaros</w:t>
      </w:r>
      <w:r w:rsidR="005F0DBB" w:rsidRPr="00CB3E4B">
        <w:rPr>
          <w:rFonts w:ascii="Times New Roman" w:hAnsi="Times New Roman"/>
          <w:sz w:val="24"/>
          <w:szCs w:val="24"/>
        </w:rPr>
        <w:t>.</w:t>
      </w:r>
    </w:p>
    <w:p w14:paraId="6308EA5B" w14:textId="0B66DC00" w:rsidR="009769A6" w:rsidRPr="009769A6" w:rsidRDefault="009C3C72" w:rsidP="00D01F73">
      <w:pPr>
        <w:pStyle w:val="ListParagraph"/>
        <w:numPr>
          <w:ilvl w:val="0"/>
          <w:numId w:val="6"/>
        </w:numPr>
        <w:spacing w:before="120" w:after="120" w:line="240" w:lineRule="auto"/>
        <w:ind w:left="284"/>
        <w:contextualSpacing w:val="0"/>
        <w:jc w:val="both"/>
        <w:rPr>
          <w:rFonts w:ascii="Times New Roman" w:hAnsi="Times New Roman"/>
          <w:sz w:val="24"/>
          <w:szCs w:val="24"/>
        </w:rPr>
      </w:pPr>
      <w:r w:rsidRPr="009769A6">
        <w:rPr>
          <w:rFonts w:ascii="Times New Roman" w:hAnsi="Times New Roman"/>
          <w:sz w:val="24"/>
          <w:szCs w:val="24"/>
        </w:rPr>
        <w:t>S</w:t>
      </w:r>
      <w:r w:rsidR="00205B8A" w:rsidRPr="009769A6">
        <w:rPr>
          <w:rFonts w:ascii="Times New Roman" w:hAnsi="Times New Roman"/>
          <w:sz w:val="24"/>
          <w:szCs w:val="24"/>
        </w:rPr>
        <w:t xml:space="preserve">askaņā ar Latvijas ES ETS operatoru iesniegtajiem ikgadējiem emisiju ziņojumiem ir secināms, ka </w:t>
      </w:r>
      <w:r w:rsidR="00CC23D9" w:rsidRPr="009769A6">
        <w:rPr>
          <w:rFonts w:ascii="Times New Roman" w:hAnsi="Times New Roman"/>
          <w:sz w:val="24"/>
          <w:szCs w:val="24"/>
        </w:rPr>
        <w:t xml:space="preserve">Latvijas ES ETS operatori </w:t>
      </w:r>
      <w:r w:rsidR="00EF271D" w:rsidRPr="009769A6">
        <w:rPr>
          <w:rFonts w:ascii="Times New Roman" w:hAnsi="Times New Roman"/>
          <w:sz w:val="24"/>
          <w:szCs w:val="24"/>
        </w:rPr>
        <w:t xml:space="preserve">2016. gadā </w:t>
      </w:r>
      <w:r w:rsidR="00365B90" w:rsidRPr="009769A6">
        <w:rPr>
          <w:rFonts w:ascii="Times New Roman" w:hAnsi="Times New Roman"/>
          <w:sz w:val="24"/>
          <w:szCs w:val="24"/>
        </w:rPr>
        <w:t xml:space="preserve">un 2017. gadā </w:t>
      </w:r>
      <w:r w:rsidR="00CC23D9" w:rsidRPr="009769A6">
        <w:rPr>
          <w:rFonts w:ascii="Times New Roman" w:hAnsi="Times New Roman"/>
          <w:sz w:val="24"/>
          <w:szCs w:val="24"/>
        </w:rPr>
        <w:t>ir izpildīju</w:t>
      </w:r>
      <w:r w:rsidR="00EF271D" w:rsidRPr="009769A6">
        <w:rPr>
          <w:rFonts w:ascii="Times New Roman" w:hAnsi="Times New Roman"/>
          <w:sz w:val="24"/>
          <w:szCs w:val="24"/>
        </w:rPr>
        <w:t>š</w:t>
      </w:r>
      <w:r w:rsidR="00CC23D9" w:rsidRPr="009769A6">
        <w:rPr>
          <w:rFonts w:ascii="Times New Roman" w:hAnsi="Times New Roman"/>
          <w:sz w:val="24"/>
          <w:szCs w:val="24"/>
        </w:rPr>
        <w:t>i Vides politikas pamatnostādnēs 2014.-2020.gadam</w:t>
      </w:r>
      <w:r w:rsidR="00CC23D9">
        <w:rPr>
          <w:rStyle w:val="FootnoteReference"/>
          <w:rFonts w:ascii="Times New Roman" w:hAnsi="Times New Roman"/>
          <w:sz w:val="24"/>
          <w:szCs w:val="24"/>
        </w:rPr>
        <w:footnoteReference w:id="34"/>
      </w:r>
      <w:r w:rsidR="00CC23D9" w:rsidRPr="009769A6">
        <w:rPr>
          <w:rFonts w:ascii="Times New Roman" w:hAnsi="Times New Roman"/>
          <w:sz w:val="24"/>
          <w:szCs w:val="24"/>
        </w:rPr>
        <w:t xml:space="preserve"> noteikto mērķi.</w:t>
      </w:r>
    </w:p>
    <w:p w14:paraId="6DA34F29" w14:textId="65948D13" w:rsidR="009769A6" w:rsidRPr="00CB3E4B" w:rsidRDefault="00E60384" w:rsidP="00D01F73">
      <w:pPr>
        <w:pStyle w:val="ListParagraph"/>
        <w:numPr>
          <w:ilvl w:val="0"/>
          <w:numId w:val="6"/>
        </w:numPr>
        <w:spacing w:before="120" w:after="120" w:line="240" w:lineRule="auto"/>
        <w:ind w:left="284"/>
        <w:contextualSpacing w:val="0"/>
        <w:jc w:val="both"/>
        <w:rPr>
          <w:rFonts w:ascii="Times New Roman" w:hAnsi="Times New Roman"/>
          <w:sz w:val="24"/>
          <w:szCs w:val="24"/>
        </w:rPr>
      </w:pPr>
      <w:r w:rsidRPr="00CB3E4B">
        <w:rPr>
          <w:rFonts w:ascii="Times New Roman" w:hAnsi="Times New Roman"/>
          <w:sz w:val="24"/>
          <w:szCs w:val="24"/>
        </w:rPr>
        <w:lastRenderedPageBreak/>
        <w:t>Balstoties uz</w:t>
      </w:r>
      <w:r w:rsidR="00205B8A" w:rsidRPr="00CB3E4B">
        <w:rPr>
          <w:rFonts w:ascii="Times New Roman" w:hAnsi="Times New Roman"/>
          <w:sz w:val="24"/>
          <w:szCs w:val="24"/>
        </w:rPr>
        <w:t xml:space="preserve"> Latvijas </w:t>
      </w:r>
      <w:r w:rsidR="00594170" w:rsidRPr="00CB3E4B">
        <w:rPr>
          <w:rFonts w:ascii="Times New Roman" w:hAnsi="Times New Roman"/>
          <w:sz w:val="24"/>
          <w:szCs w:val="24"/>
        </w:rPr>
        <w:t>201</w:t>
      </w:r>
      <w:r w:rsidR="00365B90" w:rsidRPr="00CB3E4B">
        <w:rPr>
          <w:rFonts w:ascii="Times New Roman" w:hAnsi="Times New Roman"/>
          <w:sz w:val="24"/>
          <w:szCs w:val="24"/>
        </w:rPr>
        <w:t>8</w:t>
      </w:r>
      <w:r w:rsidR="00594170" w:rsidRPr="00CB3E4B">
        <w:rPr>
          <w:rFonts w:ascii="Times New Roman" w:hAnsi="Times New Roman"/>
          <w:sz w:val="24"/>
          <w:szCs w:val="24"/>
        </w:rPr>
        <w:t xml:space="preserve">. gada </w:t>
      </w:r>
      <w:r w:rsidR="00205B8A" w:rsidRPr="00CB3E4B">
        <w:rPr>
          <w:rFonts w:ascii="Times New Roman" w:hAnsi="Times New Roman"/>
          <w:sz w:val="24"/>
          <w:szCs w:val="24"/>
        </w:rPr>
        <w:t xml:space="preserve">SEG inventarizāciju, </w:t>
      </w:r>
      <w:r w:rsidR="00727C48" w:rsidRPr="00CB3E4B">
        <w:rPr>
          <w:rFonts w:ascii="Times New Roman" w:hAnsi="Times New Roman"/>
          <w:sz w:val="24"/>
          <w:szCs w:val="24"/>
        </w:rPr>
        <w:t>ir secināms, ka</w:t>
      </w:r>
      <w:r w:rsidR="00205B8A" w:rsidRPr="00CB3E4B">
        <w:rPr>
          <w:rFonts w:ascii="Times New Roman" w:hAnsi="Times New Roman"/>
          <w:sz w:val="24"/>
          <w:szCs w:val="24"/>
        </w:rPr>
        <w:t xml:space="preserve"> Latvija</w:t>
      </w:r>
      <w:r w:rsidR="00727C48" w:rsidRPr="00CB3E4B">
        <w:rPr>
          <w:rFonts w:ascii="Times New Roman" w:hAnsi="Times New Roman"/>
          <w:sz w:val="24"/>
          <w:szCs w:val="24"/>
        </w:rPr>
        <w:t xml:space="preserve"> šobrīd neizpilda</w:t>
      </w:r>
      <w:r w:rsidRPr="00CB3E4B">
        <w:rPr>
          <w:rFonts w:ascii="Times New Roman" w:hAnsi="Times New Roman"/>
          <w:sz w:val="24"/>
          <w:szCs w:val="24"/>
        </w:rPr>
        <w:t xml:space="preserve"> K</w:t>
      </w:r>
      <w:r w:rsidR="00A759F8">
        <w:rPr>
          <w:rFonts w:ascii="Times New Roman" w:hAnsi="Times New Roman"/>
          <w:sz w:val="24"/>
          <w:szCs w:val="24"/>
        </w:rPr>
        <w:t>ioto protokola</w:t>
      </w:r>
      <w:r w:rsidRPr="00CB3E4B">
        <w:rPr>
          <w:rFonts w:ascii="Times New Roman" w:hAnsi="Times New Roman"/>
          <w:sz w:val="24"/>
          <w:szCs w:val="24"/>
        </w:rPr>
        <w:t xml:space="preserve"> otrā saistību periodā</w:t>
      </w:r>
      <w:r w:rsidR="00205B8A" w:rsidRPr="00CB3E4B">
        <w:rPr>
          <w:rFonts w:ascii="Times New Roman" w:hAnsi="Times New Roman"/>
          <w:sz w:val="24"/>
          <w:szCs w:val="24"/>
        </w:rPr>
        <w:t xml:space="preserve"> </w:t>
      </w:r>
      <w:r w:rsidR="008A54A5" w:rsidRPr="00CB3E4B">
        <w:rPr>
          <w:rFonts w:ascii="Times New Roman" w:hAnsi="Times New Roman"/>
          <w:sz w:val="24"/>
          <w:szCs w:val="24"/>
        </w:rPr>
        <w:t>ZIZIMM sektorā noteikto kategoriju (</w:t>
      </w:r>
      <w:r w:rsidRPr="00CB3E4B">
        <w:rPr>
          <w:rFonts w:ascii="Times New Roman" w:hAnsi="Times New Roman"/>
          <w:sz w:val="24"/>
          <w:szCs w:val="24"/>
        </w:rPr>
        <w:t>apmežota zeme, atmežota zeme un apsaimniekota meža zeme (</w:t>
      </w:r>
      <w:r w:rsidRPr="00CB3E4B">
        <w:rPr>
          <w:rFonts w:ascii="Times New Roman" w:hAnsi="Times New Roman"/>
          <w:i/>
          <w:iCs/>
          <w:sz w:val="24"/>
          <w:szCs w:val="24"/>
        </w:rPr>
        <w:t>meža apsaimniekošanas references līmenis</w:t>
      </w:r>
      <w:r w:rsidRPr="00CB3E4B">
        <w:rPr>
          <w:rFonts w:ascii="Times New Roman" w:hAnsi="Times New Roman"/>
          <w:sz w:val="24"/>
          <w:szCs w:val="24"/>
        </w:rPr>
        <w:t xml:space="preserve">) </w:t>
      </w:r>
      <w:r w:rsidR="008A54A5" w:rsidRPr="00CB3E4B">
        <w:rPr>
          <w:rFonts w:ascii="Times New Roman" w:hAnsi="Times New Roman"/>
          <w:sz w:val="24"/>
          <w:szCs w:val="24"/>
        </w:rPr>
        <w:t>mēr</w:t>
      </w:r>
      <w:r w:rsidRPr="00CB3E4B">
        <w:rPr>
          <w:rFonts w:ascii="Times New Roman" w:hAnsi="Times New Roman"/>
          <w:sz w:val="24"/>
          <w:szCs w:val="24"/>
        </w:rPr>
        <w:t>ķi</w:t>
      </w:r>
      <w:r w:rsidR="008A54A5" w:rsidRPr="00CB3E4B">
        <w:rPr>
          <w:rFonts w:ascii="Times New Roman" w:hAnsi="Times New Roman"/>
          <w:sz w:val="24"/>
          <w:szCs w:val="24"/>
        </w:rPr>
        <w:t xml:space="preserve"> </w:t>
      </w:r>
      <w:r w:rsidR="00205B8A" w:rsidRPr="00CB3E4B">
        <w:rPr>
          <w:rFonts w:ascii="Times New Roman" w:hAnsi="Times New Roman"/>
          <w:sz w:val="24"/>
          <w:szCs w:val="24"/>
        </w:rPr>
        <w:t>2013.</w:t>
      </w:r>
      <w:r w:rsidR="00CC23D9" w:rsidRPr="00CB3E4B">
        <w:rPr>
          <w:rFonts w:ascii="Times New Roman" w:hAnsi="Times New Roman"/>
          <w:sz w:val="24"/>
          <w:szCs w:val="24"/>
        </w:rPr>
        <w:t>, 2014.</w:t>
      </w:r>
      <w:r w:rsidR="00365B90" w:rsidRPr="00CB3E4B">
        <w:rPr>
          <w:rFonts w:ascii="Times New Roman" w:hAnsi="Times New Roman"/>
          <w:sz w:val="24"/>
          <w:szCs w:val="24"/>
        </w:rPr>
        <w:t>,</w:t>
      </w:r>
      <w:r w:rsidR="00205B8A" w:rsidRPr="00CB3E4B">
        <w:rPr>
          <w:rFonts w:ascii="Times New Roman" w:hAnsi="Times New Roman"/>
          <w:sz w:val="24"/>
          <w:szCs w:val="24"/>
        </w:rPr>
        <w:t xml:space="preserve"> </w:t>
      </w:r>
      <w:r w:rsidR="00365B90" w:rsidRPr="00CB3E4B">
        <w:rPr>
          <w:rFonts w:ascii="Times New Roman" w:hAnsi="Times New Roman"/>
          <w:sz w:val="24"/>
          <w:szCs w:val="24"/>
        </w:rPr>
        <w:t xml:space="preserve">2015. </w:t>
      </w:r>
      <w:r w:rsidR="00205B8A" w:rsidRPr="00CB3E4B">
        <w:rPr>
          <w:rFonts w:ascii="Times New Roman" w:hAnsi="Times New Roman"/>
          <w:sz w:val="24"/>
          <w:szCs w:val="24"/>
        </w:rPr>
        <w:t>un 201</w:t>
      </w:r>
      <w:r w:rsidR="00365B90" w:rsidRPr="00CB3E4B">
        <w:rPr>
          <w:rFonts w:ascii="Times New Roman" w:hAnsi="Times New Roman"/>
          <w:sz w:val="24"/>
          <w:szCs w:val="24"/>
        </w:rPr>
        <w:t>6</w:t>
      </w:r>
      <w:r w:rsidR="00205B8A" w:rsidRPr="00CB3E4B">
        <w:rPr>
          <w:rFonts w:ascii="Times New Roman" w:hAnsi="Times New Roman"/>
          <w:sz w:val="24"/>
          <w:szCs w:val="24"/>
        </w:rPr>
        <w:t>.</w:t>
      </w:r>
      <w:r w:rsidR="00215400" w:rsidRPr="00CB3E4B">
        <w:rPr>
          <w:rFonts w:ascii="Times New Roman" w:hAnsi="Times New Roman"/>
          <w:sz w:val="24"/>
          <w:szCs w:val="24"/>
        </w:rPr>
        <w:t> </w:t>
      </w:r>
      <w:r w:rsidR="008A54A5" w:rsidRPr="00CB3E4B">
        <w:rPr>
          <w:rFonts w:ascii="Times New Roman" w:hAnsi="Times New Roman"/>
          <w:sz w:val="24"/>
          <w:szCs w:val="24"/>
        </w:rPr>
        <w:t>gadam</w:t>
      </w:r>
      <w:r w:rsidRPr="00CB3E4B">
        <w:rPr>
          <w:rFonts w:ascii="Times New Roman" w:hAnsi="Times New Roman"/>
          <w:sz w:val="24"/>
          <w:szCs w:val="24"/>
        </w:rPr>
        <w:t>, jo uzskaitītā SEG emisiju summa pārsniedz uzskaitīto CO</w:t>
      </w:r>
      <w:r w:rsidRPr="00CB3E4B">
        <w:rPr>
          <w:rFonts w:ascii="Times New Roman" w:hAnsi="Times New Roman"/>
          <w:sz w:val="24"/>
          <w:szCs w:val="24"/>
          <w:vertAlign w:val="subscript"/>
        </w:rPr>
        <w:t>2</w:t>
      </w:r>
      <w:r w:rsidRPr="00CB3E4B">
        <w:rPr>
          <w:rFonts w:ascii="Times New Roman" w:hAnsi="Times New Roman"/>
          <w:sz w:val="24"/>
          <w:szCs w:val="24"/>
        </w:rPr>
        <w:t xml:space="preserve"> piesaisti</w:t>
      </w:r>
      <w:r w:rsidR="00205B8A" w:rsidRPr="00CB3E4B">
        <w:rPr>
          <w:rFonts w:ascii="Times New Roman" w:hAnsi="Times New Roman"/>
          <w:sz w:val="24"/>
          <w:szCs w:val="24"/>
        </w:rPr>
        <w:t>.</w:t>
      </w:r>
      <w:r w:rsidR="00F4496B" w:rsidRPr="00CB3E4B">
        <w:rPr>
          <w:rFonts w:ascii="Times New Roman" w:hAnsi="Times New Roman"/>
          <w:sz w:val="24"/>
          <w:szCs w:val="24"/>
        </w:rPr>
        <w:t xml:space="preserve"> </w:t>
      </w:r>
    </w:p>
    <w:p w14:paraId="4DED779D" w14:textId="0EF4F842" w:rsidR="009769A6" w:rsidRPr="00CB3E4B" w:rsidRDefault="00365B90" w:rsidP="00D01F73">
      <w:pPr>
        <w:pStyle w:val="ListParagraph"/>
        <w:numPr>
          <w:ilvl w:val="0"/>
          <w:numId w:val="6"/>
        </w:numPr>
        <w:spacing w:before="120" w:after="120" w:line="240" w:lineRule="auto"/>
        <w:ind w:left="284"/>
        <w:contextualSpacing w:val="0"/>
        <w:jc w:val="both"/>
        <w:rPr>
          <w:rFonts w:ascii="Times New Roman" w:hAnsi="Times New Roman"/>
          <w:sz w:val="24"/>
          <w:szCs w:val="24"/>
        </w:rPr>
      </w:pPr>
      <w:r w:rsidRPr="00CB3E4B">
        <w:rPr>
          <w:rFonts w:ascii="Times New Roman" w:hAnsi="Times New Roman"/>
          <w:sz w:val="24"/>
          <w:szCs w:val="24"/>
        </w:rPr>
        <w:t>Saskaņā ar š</w:t>
      </w:r>
      <w:r w:rsidR="00F4496B" w:rsidRPr="00CB3E4B">
        <w:rPr>
          <w:rFonts w:ascii="Times New Roman" w:hAnsi="Times New Roman"/>
          <w:sz w:val="24"/>
          <w:szCs w:val="24"/>
        </w:rPr>
        <w:t xml:space="preserve">obrīd </w:t>
      </w:r>
      <w:r w:rsidRPr="00CB3E4B">
        <w:rPr>
          <w:rFonts w:ascii="Times New Roman" w:hAnsi="Times New Roman"/>
          <w:sz w:val="24"/>
          <w:szCs w:val="24"/>
        </w:rPr>
        <w:t xml:space="preserve">pieejamām </w:t>
      </w:r>
      <w:r w:rsidR="00E60384" w:rsidRPr="00CB3E4B">
        <w:rPr>
          <w:rFonts w:ascii="Times New Roman" w:hAnsi="Times New Roman"/>
          <w:sz w:val="24"/>
          <w:szCs w:val="24"/>
        </w:rPr>
        <w:t xml:space="preserve">LVMI “Silava” sagatavotām provizoriskām </w:t>
      </w:r>
      <w:r w:rsidRPr="00CB3E4B">
        <w:rPr>
          <w:rFonts w:ascii="Times New Roman" w:hAnsi="Times New Roman"/>
          <w:sz w:val="24"/>
          <w:szCs w:val="24"/>
        </w:rPr>
        <w:t xml:space="preserve">prognozēm </w:t>
      </w:r>
      <w:r w:rsidR="00E60384" w:rsidRPr="00CB3E4B">
        <w:rPr>
          <w:rFonts w:ascii="Times New Roman" w:hAnsi="Times New Roman"/>
          <w:sz w:val="24"/>
          <w:szCs w:val="24"/>
        </w:rPr>
        <w:t>K</w:t>
      </w:r>
      <w:r w:rsidR="00A759F8">
        <w:rPr>
          <w:rFonts w:ascii="Times New Roman" w:hAnsi="Times New Roman"/>
          <w:sz w:val="24"/>
          <w:szCs w:val="24"/>
        </w:rPr>
        <w:t>ioto protokola</w:t>
      </w:r>
      <w:r w:rsidR="00E60384" w:rsidRPr="00CB3E4B">
        <w:rPr>
          <w:rFonts w:ascii="Times New Roman" w:hAnsi="Times New Roman"/>
          <w:sz w:val="24"/>
          <w:szCs w:val="24"/>
        </w:rPr>
        <w:t xml:space="preserve"> otrā saistību periodā </w:t>
      </w:r>
      <w:r w:rsidR="008940C8">
        <w:rPr>
          <w:rFonts w:ascii="Times New Roman" w:hAnsi="Times New Roman"/>
          <w:sz w:val="24"/>
          <w:szCs w:val="24"/>
        </w:rPr>
        <w:t xml:space="preserve">Latvija </w:t>
      </w:r>
      <w:r w:rsidR="00E60384" w:rsidRPr="00CB3E4B">
        <w:rPr>
          <w:rFonts w:ascii="Times New Roman" w:hAnsi="Times New Roman"/>
          <w:sz w:val="24"/>
          <w:szCs w:val="24"/>
        </w:rPr>
        <w:t xml:space="preserve">ZIZIMM sektorā noteikto kategoriju mērķi </w:t>
      </w:r>
      <w:r w:rsidR="00F4496B" w:rsidRPr="00CB3E4B">
        <w:rPr>
          <w:rFonts w:ascii="Times New Roman" w:hAnsi="Times New Roman"/>
          <w:sz w:val="24"/>
          <w:szCs w:val="24"/>
        </w:rPr>
        <w:t>līdz 2020.</w:t>
      </w:r>
      <w:r w:rsidR="007842D0" w:rsidRPr="00CB3E4B">
        <w:rPr>
          <w:rFonts w:ascii="Times New Roman" w:hAnsi="Times New Roman"/>
          <w:sz w:val="24"/>
          <w:szCs w:val="24"/>
        </w:rPr>
        <w:t> </w:t>
      </w:r>
      <w:r w:rsidR="00F4496B" w:rsidRPr="00CB3E4B">
        <w:rPr>
          <w:rFonts w:ascii="Times New Roman" w:hAnsi="Times New Roman"/>
          <w:sz w:val="24"/>
          <w:szCs w:val="24"/>
        </w:rPr>
        <w:t xml:space="preserve">gadam </w:t>
      </w:r>
      <w:r w:rsidRPr="00CB3E4B">
        <w:rPr>
          <w:rFonts w:ascii="Times New Roman" w:hAnsi="Times New Roman"/>
          <w:sz w:val="24"/>
          <w:szCs w:val="24"/>
        </w:rPr>
        <w:t>ne</w:t>
      </w:r>
      <w:r w:rsidR="00E60384" w:rsidRPr="00CB3E4B">
        <w:rPr>
          <w:rFonts w:ascii="Times New Roman" w:hAnsi="Times New Roman"/>
          <w:sz w:val="24"/>
          <w:szCs w:val="24"/>
        </w:rPr>
        <w:t>pildīs</w:t>
      </w:r>
      <w:r w:rsidRPr="00CB3E4B">
        <w:rPr>
          <w:rFonts w:ascii="Times New Roman" w:hAnsi="Times New Roman"/>
          <w:sz w:val="24"/>
          <w:szCs w:val="24"/>
        </w:rPr>
        <w:t>.</w:t>
      </w:r>
    </w:p>
    <w:p w14:paraId="60FFAB84" w14:textId="261D2261" w:rsidR="00E47EE0" w:rsidRPr="00CB3E4B" w:rsidRDefault="009C3C72" w:rsidP="00D01F73">
      <w:pPr>
        <w:pStyle w:val="ListParagraph"/>
        <w:numPr>
          <w:ilvl w:val="0"/>
          <w:numId w:val="6"/>
        </w:numPr>
        <w:spacing w:before="120" w:after="120" w:line="240" w:lineRule="auto"/>
        <w:ind w:left="284"/>
        <w:contextualSpacing w:val="0"/>
        <w:jc w:val="both"/>
        <w:rPr>
          <w:rFonts w:ascii="Times New Roman" w:hAnsi="Times New Roman"/>
          <w:sz w:val="24"/>
          <w:szCs w:val="24"/>
        </w:rPr>
      </w:pPr>
      <w:r w:rsidRPr="00CB3E4B">
        <w:rPr>
          <w:rFonts w:ascii="Times New Roman" w:hAnsi="Times New Roman"/>
          <w:sz w:val="24"/>
          <w:szCs w:val="24"/>
        </w:rPr>
        <w:t>L</w:t>
      </w:r>
      <w:r w:rsidR="005114A2" w:rsidRPr="00CB3E4B">
        <w:rPr>
          <w:rFonts w:ascii="Times New Roman" w:hAnsi="Times New Roman"/>
          <w:sz w:val="24"/>
          <w:szCs w:val="24"/>
        </w:rPr>
        <w:t xml:space="preserve">ai </w:t>
      </w:r>
      <w:r w:rsidR="00215400" w:rsidRPr="00CB3E4B">
        <w:rPr>
          <w:rFonts w:ascii="Times New Roman" w:hAnsi="Times New Roman"/>
          <w:sz w:val="24"/>
          <w:szCs w:val="24"/>
        </w:rPr>
        <w:t>samazinātu</w:t>
      </w:r>
      <w:r w:rsidR="005114A2" w:rsidRPr="00CB3E4B">
        <w:rPr>
          <w:rFonts w:ascii="Times New Roman" w:hAnsi="Times New Roman"/>
          <w:sz w:val="24"/>
          <w:szCs w:val="24"/>
        </w:rPr>
        <w:t xml:space="preserve"> </w:t>
      </w:r>
      <w:r w:rsidR="00E60384" w:rsidRPr="00CB3E4B">
        <w:rPr>
          <w:rFonts w:ascii="Times New Roman" w:hAnsi="Times New Roman"/>
          <w:sz w:val="24"/>
          <w:szCs w:val="24"/>
        </w:rPr>
        <w:t>K</w:t>
      </w:r>
      <w:r w:rsidR="00A759F8">
        <w:rPr>
          <w:rFonts w:ascii="Times New Roman" w:hAnsi="Times New Roman"/>
          <w:sz w:val="24"/>
          <w:szCs w:val="24"/>
        </w:rPr>
        <w:t>ioto protokola</w:t>
      </w:r>
      <w:r w:rsidR="00E60384" w:rsidRPr="00CB3E4B">
        <w:rPr>
          <w:rFonts w:ascii="Times New Roman" w:hAnsi="Times New Roman"/>
          <w:sz w:val="24"/>
          <w:szCs w:val="24"/>
        </w:rPr>
        <w:t xml:space="preserve"> otrā saistību periodā ZIZIMM sektorā noteikto kategoriju mērķa </w:t>
      </w:r>
      <w:r w:rsidR="005114A2" w:rsidRPr="00CB3E4B">
        <w:rPr>
          <w:rFonts w:ascii="Times New Roman" w:hAnsi="Times New Roman"/>
          <w:sz w:val="24"/>
          <w:szCs w:val="24"/>
        </w:rPr>
        <w:t>neizpildi</w:t>
      </w:r>
      <w:r w:rsidR="00EF4681">
        <w:rPr>
          <w:rFonts w:ascii="Times New Roman" w:hAnsi="Times New Roman"/>
          <w:sz w:val="24"/>
          <w:szCs w:val="24"/>
        </w:rPr>
        <w:t xml:space="preserve"> un ilgtermiņā nodrošinātu noteikto mērķu izpildi 2030. gadam</w:t>
      </w:r>
      <w:r w:rsidR="005114A2" w:rsidRPr="00CB3E4B">
        <w:rPr>
          <w:rFonts w:ascii="Times New Roman" w:hAnsi="Times New Roman"/>
          <w:sz w:val="24"/>
          <w:szCs w:val="24"/>
        </w:rPr>
        <w:t xml:space="preserve">, </w:t>
      </w:r>
      <w:r w:rsidR="00955E7A" w:rsidRPr="00CB3E4B">
        <w:rPr>
          <w:rFonts w:ascii="Times New Roman" w:hAnsi="Times New Roman"/>
          <w:sz w:val="24"/>
          <w:szCs w:val="24"/>
        </w:rPr>
        <w:t xml:space="preserve">nepieciešams </w:t>
      </w:r>
      <w:r w:rsidR="000B7A5C" w:rsidRPr="00CB3E4B">
        <w:rPr>
          <w:rFonts w:ascii="Times New Roman" w:hAnsi="Times New Roman"/>
          <w:sz w:val="24"/>
          <w:szCs w:val="24"/>
        </w:rPr>
        <w:t xml:space="preserve">ieplānot un </w:t>
      </w:r>
      <w:r w:rsidR="00955E7A" w:rsidRPr="00CB3E4B">
        <w:rPr>
          <w:rFonts w:ascii="Times New Roman" w:hAnsi="Times New Roman"/>
          <w:sz w:val="24"/>
          <w:szCs w:val="24"/>
        </w:rPr>
        <w:t xml:space="preserve">īstenot </w:t>
      </w:r>
      <w:r w:rsidR="00581EB2" w:rsidRPr="00CB3E4B">
        <w:rPr>
          <w:rFonts w:ascii="Times New Roman" w:hAnsi="Times New Roman"/>
          <w:sz w:val="24"/>
          <w:szCs w:val="24"/>
        </w:rPr>
        <w:t>papildus</w:t>
      </w:r>
      <w:r w:rsidR="00955E7A" w:rsidRPr="00CB3E4B">
        <w:rPr>
          <w:rFonts w:ascii="Times New Roman" w:hAnsi="Times New Roman"/>
          <w:sz w:val="24"/>
          <w:szCs w:val="24"/>
        </w:rPr>
        <w:t xml:space="preserve"> pasākumus</w:t>
      </w:r>
      <w:r w:rsidR="00581EB2" w:rsidRPr="00CB3E4B">
        <w:rPr>
          <w:rFonts w:ascii="Times New Roman" w:hAnsi="Times New Roman"/>
          <w:sz w:val="24"/>
          <w:szCs w:val="24"/>
        </w:rPr>
        <w:t xml:space="preserve"> </w:t>
      </w:r>
      <w:r w:rsidR="00955E7A" w:rsidRPr="00CB3E4B">
        <w:rPr>
          <w:rFonts w:ascii="Times New Roman" w:hAnsi="Times New Roman"/>
          <w:sz w:val="24"/>
          <w:szCs w:val="24"/>
        </w:rPr>
        <w:t xml:space="preserve">SEG emisiju </w:t>
      </w:r>
      <w:r w:rsidR="00581EB2" w:rsidRPr="00CB3E4B">
        <w:rPr>
          <w:rFonts w:ascii="Times New Roman" w:hAnsi="Times New Roman"/>
          <w:sz w:val="24"/>
          <w:szCs w:val="24"/>
        </w:rPr>
        <w:t xml:space="preserve">samazināšanai un </w:t>
      </w:r>
      <w:r w:rsidR="00955E7A" w:rsidRPr="00CB3E4B">
        <w:rPr>
          <w:rFonts w:ascii="Times New Roman" w:hAnsi="Times New Roman"/>
          <w:sz w:val="24"/>
          <w:szCs w:val="24"/>
        </w:rPr>
        <w:t>CO</w:t>
      </w:r>
      <w:r w:rsidR="00955E7A" w:rsidRPr="00CB3E4B">
        <w:rPr>
          <w:rFonts w:ascii="Times New Roman" w:hAnsi="Times New Roman"/>
          <w:sz w:val="24"/>
          <w:szCs w:val="24"/>
          <w:vertAlign w:val="subscript"/>
        </w:rPr>
        <w:t>2</w:t>
      </w:r>
      <w:r w:rsidR="00955E7A" w:rsidRPr="00CB3E4B">
        <w:rPr>
          <w:rFonts w:ascii="Times New Roman" w:hAnsi="Times New Roman"/>
          <w:sz w:val="24"/>
          <w:szCs w:val="24"/>
        </w:rPr>
        <w:t xml:space="preserve"> piesaistes </w:t>
      </w:r>
      <w:r w:rsidR="00581EB2" w:rsidRPr="00CB3E4B">
        <w:rPr>
          <w:rFonts w:ascii="Times New Roman" w:hAnsi="Times New Roman"/>
          <w:sz w:val="24"/>
          <w:szCs w:val="24"/>
        </w:rPr>
        <w:t>palielināšanai</w:t>
      </w:r>
      <w:r w:rsidR="00955E7A" w:rsidRPr="00CB3E4B">
        <w:rPr>
          <w:rFonts w:ascii="Times New Roman" w:hAnsi="Times New Roman"/>
          <w:sz w:val="24"/>
          <w:szCs w:val="24"/>
        </w:rPr>
        <w:t>.</w:t>
      </w:r>
      <w:r w:rsidR="00F4496B" w:rsidRPr="00CB3E4B">
        <w:rPr>
          <w:rFonts w:ascii="Times New Roman" w:hAnsi="Times New Roman"/>
          <w:sz w:val="24"/>
          <w:szCs w:val="24"/>
        </w:rPr>
        <w:t xml:space="preserve"> </w:t>
      </w:r>
    </w:p>
    <w:p w14:paraId="12DD70E1" w14:textId="77777777" w:rsidR="005C652E" w:rsidRPr="005C652E" w:rsidRDefault="005C652E" w:rsidP="000B7A5C">
      <w:pPr>
        <w:spacing w:after="0" w:line="240" w:lineRule="auto"/>
        <w:jc w:val="both"/>
        <w:rPr>
          <w:rFonts w:ascii="Times New Roman" w:hAnsi="Times New Roman"/>
          <w:sz w:val="24"/>
          <w:szCs w:val="24"/>
        </w:rPr>
      </w:pPr>
    </w:p>
    <w:p w14:paraId="793C414D" w14:textId="77777777" w:rsidR="007D7F73" w:rsidRDefault="007D7F73" w:rsidP="000B7A5C">
      <w:pPr>
        <w:spacing w:after="0" w:line="240" w:lineRule="auto"/>
        <w:jc w:val="both"/>
        <w:rPr>
          <w:rFonts w:ascii="Times New Roman" w:hAnsi="Times New Roman"/>
          <w:sz w:val="24"/>
          <w:szCs w:val="24"/>
        </w:rPr>
      </w:pPr>
    </w:p>
    <w:p w14:paraId="17A231E4" w14:textId="77777777" w:rsidR="007D7F73" w:rsidRDefault="007D7F73" w:rsidP="000B7A5C">
      <w:pPr>
        <w:spacing w:after="0" w:line="240" w:lineRule="auto"/>
        <w:jc w:val="both"/>
        <w:rPr>
          <w:rFonts w:ascii="Times New Roman" w:hAnsi="Times New Roman"/>
          <w:sz w:val="24"/>
          <w:szCs w:val="24"/>
        </w:rPr>
      </w:pPr>
    </w:p>
    <w:p w14:paraId="4460C8AD" w14:textId="77777777" w:rsidR="007D7F73" w:rsidRDefault="007D7F73" w:rsidP="000B7A5C">
      <w:pPr>
        <w:spacing w:after="0" w:line="240" w:lineRule="auto"/>
        <w:jc w:val="both"/>
        <w:rPr>
          <w:rFonts w:ascii="Times New Roman" w:hAnsi="Times New Roman"/>
          <w:sz w:val="24"/>
          <w:szCs w:val="24"/>
        </w:rPr>
      </w:pPr>
    </w:p>
    <w:p w14:paraId="5440355D" w14:textId="1330A98A" w:rsidR="005C329F" w:rsidRPr="00102E19" w:rsidRDefault="005C329F" w:rsidP="000B7A5C">
      <w:pPr>
        <w:spacing w:after="0" w:line="240" w:lineRule="auto"/>
        <w:jc w:val="both"/>
        <w:rPr>
          <w:rFonts w:ascii="Times New Roman" w:hAnsi="Times New Roman"/>
          <w:sz w:val="24"/>
          <w:szCs w:val="24"/>
        </w:rPr>
      </w:pPr>
      <w:r w:rsidRPr="00102E19">
        <w:rPr>
          <w:rFonts w:ascii="Times New Roman" w:hAnsi="Times New Roman"/>
          <w:sz w:val="24"/>
          <w:szCs w:val="24"/>
        </w:rPr>
        <w:t>Vides aizsardzības un</w:t>
      </w:r>
      <w:r w:rsidR="004744FE">
        <w:rPr>
          <w:rFonts w:ascii="Times New Roman" w:hAnsi="Times New Roman"/>
          <w:sz w:val="24"/>
          <w:szCs w:val="24"/>
        </w:rPr>
        <w:t xml:space="preserve"> </w:t>
      </w:r>
      <w:r w:rsidRPr="00102E19">
        <w:rPr>
          <w:rFonts w:ascii="Times New Roman" w:hAnsi="Times New Roman"/>
          <w:sz w:val="24"/>
          <w:szCs w:val="24"/>
        </w:rPr>
        <w:t>reģionālās attīstības ministrs</w:t>
      </w:r>
      <w:r w:rsidRPr="00102E19">
        <w:rPr>
          <w:rFonts w:ascii="Times New Roman" w:hAnsi="Times New Roman"/>
          <w:sz w:val="24"/>
          <w:szCs w:val="24"/>
        </w:rPr>
        <w:tab/>
      </w:r>
      <w:r w:rsidR="004744FE">
        <w:rPr>
          <w:rFonts w:ascii="Times New Roman" w:hAnsi="Times New Roman"/>
          <w:sz w:val="24"/>
          <w:szCs w:val="24"/>
        </w:rPr>
        <w:tab/>
        <w:t xml:space="preserve">   </w:t>
      </w:r>
      <w:r w:rsidR="00102E19">
        <w:rPr>
          <w:rFonts w:ascii="Times New Roman" w:hAnsi="Times New Roman"/>
          <w:sz w:val="24"/>
          <w:szCs w:val="24"/>
        </w:rPr>
        <w:tab/>
      </w:r>
      <w:r w:rsidR="00102E19">
        <w:rPr>
          <w:rFonts w:ascii="Times New Roman" w:hAnsi="Times New Roman"/>
          <w:sz w:val="24"/>
          <w:szCs w:val="24"/>
        </w:rPr>
        <w:tab/>
      </w:r>
      <w:r w:rsidR="00E60384">
        <w:rPr>
          <w:rFonts w:ascii="Times New Roman" w:hAnsi="Times New Roman"/>
          <w:sz w:val="24"/>
          <w:szCs w:val="24"/>
        </w:rPr>
        <w:t>J</w:t>
      </w:r>
      <w:r w:rsidRPr="00102E19">
        <w:rPr>
          <w:rFonts w:ascii="Times New Roman" w:hAnsi="Times New Roman"/>
          <w:sz w:val="24"/>
          <w:szCs w:val="24"/>
        </w:rPr>
        <w:t>.</w:t>
      </w:r>
      <w:r w:rsidR="007842D0" w:rsidRPr="00102E19">
        <w:rPr>
          <w:rFonts w:ascii="Times New Roman" w:hAnsi="Times New Roman"/>
          <w:sz w:val="24"/>
          <w:szCs w:val="24"/>
        </w:rPr>
        <w:t> </w:t>
      </w:r>
      <w:r w:rsidR="008A54A5">
        <w:rPr>
          <w:rFonts w:ascii="Times New Roman" w:hAnsi="Times New Roman"/>
          <w:sz w:val="24"/>
          <w:szCs w:val="24"/>
        </w:rPr>
        <w:t>Pūce</w:t>
      </w:r>
    </w:p>
    <w:p w14:paraId="3E4C1185" w14:textId="77777777" w:rsidR="005C329F" w:rsidRPr="00102E19" w:rsidRDefault="005C329F" w:rsidP="000B7A5C">
      <w:pPr>
        <w:spacing w:after="0" w:line="240" w:lineRule="auto"/>
        <w:jc w:val="both"/>
        <w:rPr>
          <w:rFonts w:ascii="Times New Roman" w:hAnsi="Times New Roman"/>
          <w:sz w:val="24"/>
          <w:szCs w:val="24"/>
        </w:rPr>
      </w:pPr>
    </w:p>
    <w:p w14:paraId="677875AA" w14:textId="5FA5CDF1" w:rsidR="005C652E" w:rsidRPr="005C652E" w:rsidRDefault="005C652E" w:rsidP="000B7A5C">
      <w:pPr>
        <w:spacing w:after="0" w:line="240" w:lineRule="auto"/>
        <w:rPr>
          <w:rFonts w:ascii="Times New Roman" w:hAnsi="Times New Roman"/>
          <w:sz w:val="20"/>
          <w:szCs w:val="20"/>
        </w:rPr>
      </w:pPr>
    </w:p>
    <w:sectPr w:rsidR="005C652E" w:rsidRPr="005C652E" w:rsidSect="007C44D1">
      <w:headerReference w:type="even" r:id="rId12"/>
      <w:headerReference w:type="default" r:id="rId13"/>
      <w:footerReference w:type="even" r:id="rId14"/>
      <w:footerReference w:type="default" r:id="rId15"/>
      <w:headerReference w:type="first" r:id="rId16"/>
      <w:footerReference w:type="first" r:id="rId17"/>
      <w:pgSz w:w="11907" w:h="16840" w:code="9"/>
      <w:pgMar w:top="1418" w:right="850" w:bottom="993"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1DB71" w14:textId="77777777" w:rsidR="00037CA7" w:rsidRDefault="00037CA7" w:rsidP="004431CD">
      <w:pPr>
        <w:spacing w:after="0" w:line="240" w:lineRule="auto"/>
      </w:pPr>
      <w:r>
        <w:separator/>
      </w:r>
    </w:p>
  </w:endnote>
  <w:endnote w:type="continuationSeparator" w:id="0">
    <w:p w14:paraId="625DE353" w14:textId="77777777" w:rsidR="00037CA7" w:rsidRDefault="00037CA7" w:rsidP="00443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DokChampa">
    <w:altName w:val="Arial Unicode MS"/>
    <w:panose1 w:val="020B0502040204020203"/>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 w:name="Carlito">
    <w:altName w:val="Calibri"/>
    <w:charset w:val="BA"/>
    <w:family w:val="swiss"/>
    <w:pitch w:val="variable"/>
    <w:sig w:usb0="E10002FF" w:usb1="5000ECFF" w:usb2="00000009" w:usb3="00000000" w:csb0="0000019F" w:csb1="00000000"/>
  </w:font>
  <w:font w:name="DejaVu Sans">
    <w:charset w:val="BA"/>
    <w:family w:val="swiss"/>
    <w:pitch w:val="variable"/>
    <w:sig w:usb0="E7002EFF" w:usb1="D200FDFF" w:usb2="0A246029" w:usb3="00000000" w:csb0="000001FF" w:csb1="00000000"/>
  </w:font>
  <w:font w:name="FreeSans">
    <w:altName w:val="Times New Roman"/>
    <w:charset w:val="01"/>
    <w:family w:val="auto"/>
    <w:pitch w:val="variable"/>
  </w:font>
  <w:font w:name="Trebuchet MS">
    <w:panose1 w:val="020B0603020202020204"/>
    <w:charset w:val="BA"/>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2444A" w14:textId="77777777" w:rsidR="002D7E22" w:rsidRDefault="002D7E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7007D" w14:textId="2F28F76E" w:rsidR="00332C15" w:rsidRPr="00B24205" w:rsidRDefault="00332C15" w:rsidP="00B24205">
    <w:pPr>
      <w:pStyle w:val="Footer"/>
      <w:rPr>
        <w:rFonts w:ascii="Times New Roman" w:hAnsi="Times New Roman"/>
        <w:sz w:val="20"/>
        <w:szCs w:val="20"/>
      </w:rPr>
    </w:pPr>
    <w:r w:rsidRPr="00B24205">
      <w:rPr>
        <w:rFonts w:ascii="Times New Roman" w:hAnsi="Times New Roman"/>
        <w:sz w:val="20"/>
        <w:szCs w:val="20"/>
      </w:rPr>
      <w:fldChar w:fldCharType="begin"/>
    </w:r>
    <w:r w:rsidRPr="00B24205">
      <w:rPr>
        <w:rFonts w:ascii="Times New Roman" w:hAnsi="Times New Roman"/>
        <w:sz w:val="20"/>
        <w:szCs w:val="20"/>
      </w:rPr>
      <w:instrText xml:space="preserve"> FILENAME </w:instrText>
    </w:r>
    <w:r w:rsidRPr="00B24205">
      <w:rPr>
        <w:rFonts w:ascii="Times New Roman" w:hAnsi="Times New Roman"/>
        <w:sz w:val="20"/>
        <w:szCs w:val="20"/>
      </w:rPr>
      <w:fldChar w:fldCharType="separate"/>
    </w:r>
    <w:r w:rsidR="002D7E22">
      <w:rPr>
        <w:rFonts w:ascii="Times New Roman" w:hAnsi="Times New Roman"/>
        <w:noProof/>
        <w:sz w:val="20"/>
        <w:szCs w:val="20"/>
      </w:rPr>
      <w:t>VARAMInf_SEGizpilde_04062019</w:t>
    </w:r>
    <w:r w:rsidRPr="00B24205">
      <w:rPr>
        <w:rFonts w:ascii="Times New Roman" w:hAnsi="Times New Roman"/>
        <w:sz w:val="20"/>
        <w:szCs w:val="20"/>
      </w:rPr>
      <w:fldChar w:fldCharType="end"/>
    </w:r>
    <w:bookmarkStart w:id="57" w:name="_GoBack"/>
    <w:bookmarkEnd w:id="57"/>
  </w:p>
  <w:p w14:paraId="7B2D21B5" w14:textId="7C7923C4" w:rsidR="00332C15" w:rsidRPr="0017471E" w:rsidRDefault="00332C15" w:rsidP="001747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25135" w14:textId="10232401" w:rsidR="00332C15" w:rsidRPr="00BC6A57" w:rsidRDefault="00332C15" w:rsidP="00983C77">
    <w:pPr>
      <w:pStyle w:val="Footer"/>
      <w:jc w:val="both"/>
      <w:rPr>
        <w:rFonts w:ascii="Times New Roman" w:hAnsi="Times New Roman"/>
        <w:sz w:val="20"/>
        <w:szCs w:val="20"/>
      </w:rPr>
    </w:pPr>
    <w:r w:rsidRPr="00BC6A57">
      <w:rPr>
        <w:rFonts w:ascii="Times New Roman" w:hAnsi="Times New Roman"/>
        <w:sz w:val="20"/>
        <w:szCs w:val="20"/>
      </w:rPr>
      <w:fldChar w:fldCharType="begin"/>
    </w:r>
    <w:r w:rsidRPr="00BC6A57">
      <w:rPr>
        <w:rFonts w:ascii="Times New Roman" w:hAnsi="Times New Roman"/>
        <w:sz w:val="20"/>
        <w:szCs w:val="20"/>
      </w:rPr>
      <w:instrText xml:space="preserve"> FILENAME   \* MERGEFORMAT </w:instrText>
    </w:r>
    <w:r w:rsidRPr="00BC6A57">
      <w:rPr>
        <w:rFonts w:ascii="Times New Roman" w:hAnsi="Times New Roman"/>
        <w:sz w:val="20"/>
        <w:szCs w:val="20"/>
      </w:rPr>
      <w:fldChar w:fldCharType="separate"/>
    </w:r>
    <w:r w:rsidR="002D7E22">
      <w:rPr>
        <w:rFonts w:ascii="Times New Roman" w:hAnsi="Times New Roman"/>
        <w:noProof/>
        <w:sz w:val="20"/>
        <w:szCs w:val="20"/>
      </w:rPr>
      <w:t>VARAMInf_SEGizpilde_04062019</w:t>
    </w:r>
    <w:r w:rsidRPr="00BC6A57">
      <w:rPr>
        <w:rFonts w:ascii="Times New Roman" w:hAnsi="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35BF3" w14:textId="77777777" w:rsidR="00037CA7" w:rsidRDefault="00037CA7" w:rsidP="004431CD">
      <w:pPr>
        <w:spacing w:after="0" w:line="240" w:lineRule="auto"/>
      </w:pPr>
      <w:r>
        <w:separator/>
      </w:r>
    </w:p>
  </w:footnote>
  <w:footnote w:type="continuationSeparator" w:id="0">
    <w:p w14:paraId="2E2C98CB" w14:textId="77777777" w:rsidR="00037CA7" w:rsidRDefault="00037CA7" w:rsidP="004431CD">
      <w:pPr>
        <w:spacing w:after="0" w:line="240" w:lineRule="auto"/>
      </w:pPr>
      <w:r>
        <w:continuationSeparator/>
      </w:r>
    </w:p>
  </w:footnote>
  <w:footnote w:id="1">
    <w:p w14:paraId="0BF095C1" w14:textId="0E50E35F" w:rsidR="00332C15" w:rsidRPr="00806218" w:rsidRDefault="00332C15">
      <w:pPr>
        <w:pStyle w:val="FootnoteText"/>
        <w:rPr>
          <w:rFonts w:ascii="Times New Roman" w:hAnsi="Times New Roman"/>
          <w:sz w:val="16"/>
          <w:szCs w:val="16"/>
        </w:rPr>
      </w:pPr>
      <w:r w:rsidRPr="00806218">
        <w:rPr>
          <w:rStyle w:val="FootnoteReference"/>
          <w:rFonts w:ascii="Times New Roman" w:hAnsi="Times New Roman"/>
          <w:sz w:val="16"/>
          <w:szCs w:val="16"/>
        </w:rPr>
        <w:footnoteRef/>
      </w:r>
      <w:r w:rsidRPr="00806218">
        <w:rPr>
          <w:rFonts w:ascii="Times New Roman" w:hAnsi="Times New Roman"/>
          <w:sz w:val="16"/>
          <w:szCs w:val="16"/>
        </w:rPr>
        <w:t xml:space="preserve"> 2007. gada 8. un 9.marta Eiropadomes prezidentvalsts secinājumiem:</w:t>
      </w:r>
      <w:r w:rsidRPr="00806218">
        <w:rPr>
          <w:sz w:val="16"/>
          <w:szCs w:val="16"/>
        </w:rPr>
        <w:t xml:space="preserve"> </w:t>
      </w:r>
      <w:r w:rsidRPr="00806218">
        <w:rPr>
          <w:rFonts w:ascii="Times New Roman" w:hAnsi="Times New Roman"/>
          <w:sz w:val="16"/>
          <w:szCs w:val="16"/>
        </w:rPr>
        <w:t>http://data.consilium.europa.eu/doc/document/ST-7224-2007-INIT/lv/pdf</w:t>
      </w:r>
    </w:p>
  </w:footnote>
  <w:footnote w:id="2">
    <w:p w14:paraId="06608D72" w14:textId="15DFAA79" w:rsidR="00332C15" w:rsidRPr="00806218" w:rsidRDefault="00332C15">
      <w:pPr>
        <w:pStyle w:val="FootnoteText"/>
        <w:rPr>
          <w:rFonts w:ascii="Times New Roman" w:hAnsi="Times New Roman"/>
          <w:sz w:val="16"/>
          <w:szCs w:val="16"/>
        </w:rPr>
      </w:pPr>
      <w:r w:rsidRPr="00806218">
        <w:rPr>
          <w:rStyle w:val="FootnoteReference"/>
          <w:rFonts w:ascii="Times New Roman" w:hAnsi="Times New Roman"/>
          <w:sz w:val="16"/>
          <w:szCs w:val="16"/>
        </w:rPr>
        <w:footnoteRef/>
      </w:r>
      <w:r w:rsidRPr="00806218">
        <w:rPr>
          <w:rFonts w:ascii="Times New Roman" w:hAnsi="Times New Roman"/>
          <w:sz w:val="16"/>
          <w:szCs w:val="16"/>
        </w:rPr>
        <w:t xml:space="preserve"> 2014. gada 23. un 24. oktobra Eiropadomes secinājumi: http://data.consilium.europa.eu/doc/document/ST-169-2014-INIT/lv/pdf</w:t>
      </w:r>
    </w:p>
  </w:footnote>
  <w:footnote w:id="3">
    <w:p w14:paraId="4E28C0BE" w14:textId="77777777" w:rsidR="00332C15" w:rsidRPr="00035B32" w:rsidRDefault="00332C15" w:rsidP="00035B32">
      <w:pPr>
        <w:pStyle w:val="FootnoteText"/>
        <w:jc w:val="both"/>
        <w:rPr>
          <w:rFonts w:ascii="Times New Roman" w:hAnsi="Times New Roman"/>
          <w:sz w:val="16"/>
          <w:szCs w:val="16"/>
        </w:rPr>
      </w:pPr>
      <w:r w:rsidRPr="00806218">
        <w:rPr>
          <w:rStyle w:val="FootnoteReference"/>
          <w:rFonts w:ascii="Times New Roman" w:hAnsi="Times New Roman"/>
          <w:sz w:val="16"/>
          <w:szCs w:val="16"/>
        </w:rPr>
        <w:footnoteRef/>
      </w:r>
      <w:r w:rsidRPr="00806218">
        <w:rPr>
          <w:rFonts w:ascii="Times New Roman" w:hAnsi="Times New Roman"/>
          <w:sz w:val="16"/>
          <w:szCs w:val="16"/>
        </w:rPr>
        <w:t xml:space="preserve"> </w:t>
      </w:r>
      <w:r w:rsidRPr="00806218">
        <w:rPr>
          <w:rFonts w:ascii="Times New Roman" w:eastAsia="Times New Roman" w:hAnsi="Times New Roman"/>
          <w:sz w:val="16"/>
          <w:szCs w:val="16"/>
        </w:rPr>
        <w:t>ES ETS tika izveidota, lai veicinātu SEG emisiju samazināšanu izmaksu efektīvā, godīgā un solidārā veidā. ES ETS ietvaros katrai ETS iekārtai tiek piešķirts noteikts emisijas kvotu daudzums jeb SEG emisiju limits. ETS galvenokārt aptver rūpnieciskās iekārtas energoietilpīgajās tautsaimniecības nozarēs, tai skaitā elektroenerģijas un siltumenerģijas, cementa, keramikas, tērauda, stikla u.c. ražošanas iekārtas.</w:t>
      </w:r>
    </w:p>
  </w:footnote>
  <w:footnote w:id="4">
    <w:p w14:paraId="3D8B4157" w14:textId="762CF09A" w:rsidR="00332C15" w:rsidRPr="004617A7" w:rsidRDefault="00332C15" w:rsidP="004617A7">
      <w:pPr>
        <w:pStyle w:val="FootnoteText"/>
        <w:rPr>
          <w:rFonts w:ascii="Times New Roman" w:hAnsi="Times New Roman"/>
          <w:sz w:val="16"/>
          <w:szCs w:val="16"/>
        </w:rPr>
      </w:pPr>
      <w:r w:rsidRPr="004617A7">
        <w:rPr>
          <w:rStyle w:val="FootnoteReference"/>
          <w:rFonts w:ascii="Times New Roman" w:hAnsi="Times New Roman"/>
          <w:sz w:val="16"/>
          <w:szCs w:val="16"/>
        </w:rPr>
        <w:footnoteRef/>
      </w:r>
      <w:r w:rsidRPr="004617A7">
        <w:rPr>
          <w:rFonts w:ascii="Times New Roman" w:hAnsi="Times New Roman"/>
          <w:sz w:val="16"/>
          <w:szCs w:val="16"/>
        </w:rPr>
        <w:t xml:space="preserve"> Eiropas Parlamenta un Padomes 2013. gada 21. maija lēmuma Nr. 529/2013 12. punkts – </w:t>
      </w:r>
      <w:r w:rsidRPr="004617A7">
        <w:rPr>
          <w:rFonts w:ascii="Times New Roman" w:hAnsi="Times New Roman"/>
          <w:sz w:val="16"/>
          <w:szCs w:val="16"/>
          <w:shd w:val="clear" w:color="auto" w:fill="FFFFFF"/>
        </w:rPr>
        <w:t xml:space="preserve">References līmeņi ir aplēses par gada neto emisijām vai piesaisti, kas meža apsaimniekošanas rezultātā rodas dalībvalsts teritorijā katrā uzskaites periodā iekļautajos gados, un tie būtu pārredzami </w:t>
      </w:r>
      <w:r w:rsidRPr="008C32A4">
        <w:rPr>
          <w:rFonts w:ascii="Times New Roman" w:hAnsi="Times New Roman"/>
          <w:sz w:val="16"/>
          <w:szCs w:val="16"/>
          <w:shd w:val="clear" w:color="auto" w:fill="FFFFFF"/>
        </w:rPr>
        <w:t xml:space="preserve">jānosaka saskaņā ar </w:t>
      </w:r>
      <w:r w:rsidRPr="004639FD">
        <w:rPr>
          <w:rFonts w:ascii="Times New Roman" w:hAnsi="Times New Roman"/>
          <w:sz w:val="16"/>
          <w:szCs w:val="16"/>
          <w:shd w:val="clear" w:color="auto" w:fill="FFFFFF"/>
        </w:rPr>
        <w:t>Klimata konvencijas Līgumslēdzēju pušu lēmumiem</w:t>
      </w:r>
      <w:r w:rsidRPr="008C32A4">
        <w:rPr>
          <w:rFonts w:ascii="Times New Roman" w:hAnsi="Times New Roman"/>
          <w:sz w:val="16"/>
          <w:szCs w:val="16"/>
          <w:shd w:val="clear" w:color="auto" w:fill="FFFFFF"/>
        </w:rPr>
        <w:t xml:space="preserve"> 2/CMP.6 un Lēmumu 2/CMP.7.</w:t>
      </w:r>
      <w:r w:rsidRPr="008C32A4">
        <w:rPr>
          <w:rStyle w:val="apple-converted-space"/>
          <w:rFonts w:ascii="Times New Roman" w:hAnsi="Times New Roman"/>
          <w:sz w:val="16"/>
          <w:szCs w:val="16"/>
          <w:shd w:val="clear" w:color="auto" w:fill="FFFFFF"/>
        </w:rPr>
        <w:t xml:space="preserve">   </w:t>
      </w:r>
      <w:r w:rsidRPr="008C32A4">
        <w:rPr>
          <w:rFonts w:ascii="Times New Roman" w:hAnsi="Times New Roman"/>
          <w:sz w:val="16"/>
          <w:szCs w:val="16"/>
        </w:rPr>
        <w:t>Meža apsaimniekošanas references līmenis nozīmē CO</w:t>
      </w:r>
      <w:r w:rsidRPr="008C32A4">
        <w:rPr>
          <w:rFonts w:ascii="Times New Roman" w:hAnsi="Times New Roman"/>
          <w:sz w:val="16"/>
          <w:szCs w:val="16"/>
          <w:vertAlign w:val="subscript"/>
        </w:rPr>
        <w:t>2</w:t>
      </w:r>
      <w:r w:rsidRPr="008C32A4">
        <w:rPr>
          <w:rFonts w:ascii="Times New Roman" w:hAnsi="Times New Roman"/>
          <w:sz w:val="16"/>
          <w:szCs w:val="16"/>
        </w:rPr>
        <w:t xml:space="preserve"> piesaistes un SEG emisiju apjoma bilanci salīdzinājumā pret konkrētu gadu periodu. Šis mērķis tādējādi aptver gan CO</w:t>
      </w:r>
      <w:r w:rsidRPr="008C32A4">
        <w:rPr>
          <w:rFonts w:ascii="Times New Roman" w:hAnsi="Times New Roman"/>
          <w:sz w:val="16"/>
          <w:szCs w:val="16"/>
          <w:vertAlign w:val="subscript"/>
        </w:rPr>
        <w:t>2</w:t>
      </w:r>
      <w:r w:rsidRPr="008C32A4">
        <w:rPr>
          <w:rFonts w:ascii="Times New Roman" w:hAnsi="Times New Roman"/>
          <w:sz w:val="16"/>
          <w:szCs w:val="16"/>
        </w:rPr>
        <w:t xml:space="preserve"> piesaisti, gan SEG emisijas, un tāpēc tiek izteikts kā CO</w:t>
      </w:r>
      <w:r w:rsidRPr="000923AD">
        <w:rPr>
          <w:rFonts w:ascii="Times New Roman" w:hAnsi="Times New Roman"/>
          <w:sz w:val="16"/>
          <w:szCs w:val="16"/>
          <w:vertAlign w:val="subscript"/>
        </w:rPr>
        <w:t>2</w:t>
      </w:r>
      <w:r w:rsidRPr="008C32A4">
        <w:rPr>
          <w:rFonts w:ascii="Times New Roman" w:hAnsi="Times New Roman"/>
          <w:sz w:val="16"/>
          <w:szCs w:val="16"/>
        </w:rPr>
        <w:t xml:space="preserve"> bilance.</w:t>
      </w:r>
    </w:p>
  </w:footnote>
  <w:footnote w:id="5">
    <w:p w14:paraId="7821D9B5" w14:textId="3CA88115" w:rsidR="00332C15" w:rsidRPr="004617A7" w:rsidRDefault="00332C15" w:rsidP="004617A7">
      <w:pPr>
        <w:spacing w:after="0" w:line="240" w:lineRule="auto"/>
        <w:rPr>
          <w:rFonts w:ascii="Times New Roman" w:hAnsi="Times New Roman"/>
          <w:sz w:val="16"/>
          <w:szCs w:val="16"/>
        </w:rPr>
      </w:pPr>
      <w:r w:rsidRPr="004617A7">
        <w:rPr>
          <w:rStyle w:val="FootnoteReference"/>
          <w:rFonts w:ascii="Times New Roman" w:hAnsi="Times New Roman"/>
          <w:sz w:val="16"/>
          <w:szCs w:val="16"/>
        </w:rPr>
        <w:footnoteRef/>
      </w:r>
      <w:r w:rsidRPr="004617A7">
        <w:rPr>
          <w:rFonts w:ascii="Times New Roman" w:hAnsi="Times New Roman"/>
          <w:sz w:val="16"/>
          <w:szCs w:val="16"/>
        </w:rPr>
        <w:t xml:space="preserve"> Aprēķina kā kopējo emisiju un kopējās piesaistes summu attiecīgajās aktivitātēs kopā atbilstoši  lēmuma 2/CMP.7. noteiktajiem uzskaites noteikumiem. </w:t>
      </w:r>
    </w:p>
  </w:footnote>
  <w:footnote w:id="6">
    <w:p w14:paraId="7B0E600A" w14:textId="77777777" w:rsidR="00332C15" w:rsidRPr="004617A7" w:rsidRDefault="00332C15" w:rsidP="004617A7">
      <w:pPr>
        <w:pStyle w:val="FootnoteText"/>
        <w:rPr>
          <w:rFonts w:ascii="Times New Roman" w:hAnsi="Times New Roman"/>
          <w:sz w:val="16"/>
          <w:szCs w:val="16"/>
        </w:rPr>
      </w:pPr>
      <w:r w:rsidRPr="004617A7">
        <w:rPr>
          <w:rStyle w:val="FootnoteReference"/>
          <w:rFonts w:ascii="Times New Roman" w:hAnsi="Times New Roman"/>
          <w:sz w:val="16"/>
          <w:szCs w:val="16"/>
        </w:rPr>
        <w:footnoteRef/>
      </w:r>
      <w:r w:rsidRPr="004617A7">
        <w:rPr>
          <w:rFonts w:ascii="Times New Roman" w:hAnsi="Times New Roman"/>
          <w:sz w:val="16"/>
          <w:szCs w:val="16"/>
        </w:rPr>
        <w:t> http://unfccc.int/national_reports/initial_reports_under_the_kyoto_protocol/second_commitment_period_2013-2020/items/9499.php</w:t>
      </w:r>
    </w:p>
  </w:footnote>
  <w:footnote w:id="7">
    <w:p w14:paraId="7187690C" w14:textId="21F025FC" w:rsidR="00332C15" w:rsidRPr="004617A7" w:rsidRDefault="00332C15" w:rsidP="004617A7">
      <w:pPr>
        <w:pStyle w:val="doc-ti"/>
        <w:shd w:val="clear" w:color="auto" w:fill="FFFFFF"/>
        <w:spacing w:before="0" w:beforeAutospacing="0" w:after="0" w:afterAutospacing="0"/>
        <w:textAlignment w:val="baseline"/>
        <w:rPr>
          <w:sz w:val="16"/>
          <w:szCs w:val="16"/>
        </w:rPr>
      </w:pPr>
      <w:r w:rsidRPr="004617A7">
        <w:rPr>
          <w:rStyle w:val="FootnoteReference"/>
          <w:sz w:val="16"/>
          <w:szCs w:val="16"/>
        </w:rPr>
        <w:footnoteRef/>
      </w:r>
      <w:r w:rsidRPr="004617A7">
        <w:rPr>
          <w:sz w:val="16"/>
          <w:szCs w:val="16"/>
        </w:rPr>
        <w:t> </w:t>
      </w:r>
      <w:r w:rsidRPr="004617A7">
        <w:rPr>
          <w:bCs/>
          <w:sz w:val="16"/>
          <w:szCs w:val="16"/>
        </w:rPr>
        <w:t xml:space="preserve"> Eiropas Parlamenta un Padomes 2013. gada 21. maija Lēmums Nr. 529/2013/ES par uzskaites noteikumiem attiecībā uz siltumnīcefekta gāzu emisijām un piesaisti, kas rodas darbībās, kuras saistītas ar zemes izmantošanu, zemes izmantošanas maiņu un mežsaimniecību, un par informāciju par rīcību, kas saistīta ar šīm darbībām</w:t>
      </w:r>
      <w:r>
        <w:rPr>
          <w:bCs/>
          <w:sz w:val="16"/>
          <w:szCs w:val="16"/>
        </w:rPr>
        <w:t>.</w:t>
      </w:r>
    </w:p>
  </w:footnote>
  <w:footnote w:id="8">
    <w:p w14:paraId="78301212" w14:textId="485983AA" w:rsidR="00332C15" w:rsidRPr="004617A7" w:rsidRDefault="00332C15" w:rsidP="004617A7">
      <w:pPr>
        <w:pStyle w:val="FootnoteText"/>
        <w:rPr>
          <w:rFonts w:ascii="Times New Roman" w:hAnsi="Times New Roman"/>
          <w:sz w:val="16"/>
          <w:szCs w:val="16"/>
        </w:rPr>
      </w:pPr>
      <w:bookmarkStart w:id="2" w:name="_Hlk527544865"/>
      <w:r w:rsidRPr="004617A7">
        <w:rPr>
          <w:rStyle w:val="FootnoteReference"/>
          <w:rFonts w:ascii="Times New Roman" w:hAnsi="Times New Roman"/>
          <w:sz w:val="16"/>
          <w:szCs w:val="16"/>
        </w:rPr>
        <w:footnoteRef/>
      </w:r>
      <w:r w:rsidRPr="004617A7">
        <w:rPr>
          <w:rFonts w:ascii="Times New Roman" w:hAnsi="Times New Roman"/>
          <w:sz w:val="16"/>
          <w:szCs w:val="16"/>
        </w:rPr>
        <w:t xml:space="preserve"> Eiropas Parlamenta un Padomes 2018. gada 30. maij</w:t>
      </w:r>
      <w:r>
        <w:rPr>
          <w:rFonts w:ascii="Times New Roman" w:hAnsi="Times New Roman"/>
          <w:sz w:val="16"/>
          <w:szCs w:val="16"/>
        </w:rPr>
        <w:t>a</w:t>
      </w:r>
      <w:r w:rsidRPr="004617A7">
        <w:rPr>
          <w:rFonts w:ascii="Times New Roman" w:hAnsi="Times New Roman"/>
          <w:sz w:val="16"/>
          <w:szCs w:val="16"/>
        </w:rPr>
        <w:t xml:space="preserve"> Regula (ES) 2018/841 par zemes izmantošanā, zemes izmantošanas maiņā un mežsaimniecībā radušos siltumnīcefekta gāzu emisiju un piesaistes iekļaušanu klimata un enerģētikas politikas satvarā laikposmam līdz 2030. gadam un ar ko groza Regulu (ES) Nr. 525/2013 un Lēmumu Nr. 529/2013/ES,</w:t>
      </w:r>
      <w:bookmarkEnd w:id="2"/>
    </w:p>
  </w:footnote>
  <w:footnote w:id="9">
    <w:p w14:paraId="0A7A6142" w14:textId="62016A66" w:rsidR="00332C15" w:rsidRPr="004617A7" w:rsidRDefault="00332C15" w:rsidP="00046F8A">
      <w:pPr>
        <w:spacing w:after="0" w:line="240" w:lineRule="auto"/>
        <w:jc w:val="both"/>
        <w:rPr>
          <w:rFonts w:ascii="Times New Roman" w:hAnsi="Times New Roman"/>
          <w:sz w:val="16"/>
          <w:szCs w:val="16"/>
        </w:rPr>
      </w:pPr>
      <w:r w:rsidRPr="004617A7">
        <w:rPr>
          <w:rStyle w:val="FootnoteReference"/>
          <w:rFonts w:ascii="Times New Roman" w:hAnsi="Times New Roman"/>
          <w:sz w:val="16"/>
          <w:szCs w:val="16"/>
        </w:rPr>
        <w:footnoteRef/>
      </w:r>
      <w:r w:rsidRPr="004617A7">
        <w:rPr>
          <w:rFonts w:ascii="Times New Roman" w:hAnsi="Times New Roman"/>
          <w:sz w:val="16"/>
          <w:szCs w:val="16"/>
        </w:rPr>
        <w:t xml:space="preserve"> Paskaidrojumi tabulā:</w:t>
      </w:r>
    </w:p>
    <w:p w14:paraId="2BEAA588" w14:textId="02EF594C" w:rsidR="00332C15" w:rsidRPr="004617A7" w:rsidRDefault="00332C15" w:rsidP="00046F8A">
      <w:pPr>
        <w:spacing w:after="0" w:line="240" w:lineRule="auto"/>
        <w:ind w:left="426" w:hanging="284"/>
        <w:jc w:val="both"/>
        <w:rPr>
          <w:rFonts w:ascii="Times New Roman" w:eastAsia="Times New Roman" w:hAnsi="Times New Roman"/>
          <w:color w:val="000000"/>
          <w:kern w:val="24"/>
          <w:sz w:val="16"/>
          <w:szCs w:val="16"/>
          <w:lang w:eastAsia="lv-LV"/>
        </w:rPr>
      </w:pPr>
      <w:r w:rsidRPr="004617A7">
        <w:rPr>
          <w:rFonts w:ascii="Times New Roman" w:hAnsi="Times New Roman"/>
          <w:sz w:val="16"/>
          <w:szCs w:val="16"/>
        </w:rPr>
        <w:t xml:space="preserve">a - mērķis noteikts </w:t>
      </w:r>
      <w:r w:rsidRPr="004617A7">
        <w:rPr>
          <w:rFonts w:ascii="Times New Roman" w:eastAsia="Times New Roman" w:hAnsi="Times New Roman"/>
          <w:color w:val="000000"/>
          <w:kern w:val="24"/>
          <w:sz w:val="16"/>
          <w:szCs w:val="16"/>
          <w:lang w:eastAsia="lv-LV"/>
        </w:rPr>
        <w:t>pret 2005.gadu.</w:t>
      </w:r>
    </w:p>
    <w:p w14:paraId="63DD2161" w14:textId="7B7B6762" w:rsidR="00332C15" w:rsidRPr="000923AD" w:rsidRDefault="00332C15" w:rsidP="00046F8A">
      <w:pPr>
        <w:spacing w:after="0" w:line="240" w:lineRule="auto"/>
        <w:ind w:left="426" w:hanging="284"/>
        <w:jc w:val="both"/>
        <w:rPr>
          <w:rFonts w:ascii="Times New Roman" w:hAnsi="Times New Roman"/>
          <w:sz w:val="16"/>
          <w:szCs w:val="16"/>
        </w:rPr>
      </w:pPr>
      <w:r w:rsidRPr="000923AD">
        <w:rPr>
          <w:rFonts w:ascii="Times New Roman" w:hAnsi="Times New Roman"/>
          <w:sz w:val="16"/>
          <w:szCs w:val="16"/>
        </w:rPr>
        <w:t>b - Saskaņā ar Saistību pārdales lēmum</w:t>
      </w:r>
      <w:r>
        <w:rPr>
          <w:rFonts w:ascii="Times New Roman" w:hAnsi="Times New Roman"/>
          <w:sz w:val="16"/>
          <w:szCs w:val="16"/>
        </w:rPr>
        <w:t>a 3.pantu</w:t>
      </w:r>
      <w:r w:rsidRPr="000923AD">
        <w:rPr>
          <w:rFonts w:ascii="Times New Roman" w:hAnsi="Times New Roman"/>
          <w:sz w:val="16"/>
          <w:szCs w:val="16"/>
        </w:rPr>
        <w:t>.</w:t>
      </w:r>
    </w:p>
    <w:p w14:paraId="35567150" w14:textId="72111CB3" w:rsidR="00332C15" w:rsidRPr="000923AD" w:rsidRDefault="00332C15" w:rsidP="00046F8A">
      <w:pPr>
        <w:spacing w:after="0" w:line="240" w:lineRule="auto"/>
        <w:ind w:left="426" w:hanging="284"/>
        <w:jc w:val="both"/>
        <w:rPr>
          <w:rFonts w:ascii="Times New Roman" w:hAnsi="Times New Roman"/>
          <w:sz w:val="16"/>
          <w:szCs w:val="16"/>
        </w:rPr>
      </w:pPr>
      <w:r w:rsidRPr="000923AD">
        <w:rPr>
          <w:rFonts w:ascii="Times New Roman" w:hAnsi="Times New Roman"/>
          <w:sz w:val="16"/>
          <w:szCs w:val="16"/>
        </w:rPr>
        <w:t>c- Saskaņā ar ETS direktīv</w:t>
      </w:r>
      <w:r>
        <w:rPr>
          <w:rFonts w:ascii="Times New Roman" w:hAnsi="Times New Roman"/>
          <w:sz w:val="16"/>
          <w:szCs w:val="16"/>
        </w:rPr>
        <w:t>as 10.a.pantu</w:t>
      </w:r>
      <w:r w:rsidRPr="00D51B34">
        <w:rPr>
          <w:rFonts w:ascii="Times New Roman" w:hAnsi="Times New Roman"/>
          <w:sz w:val="16"/>
          <w:szCs w:val="16"/>
        </w:rPr>
        <w:t>.</w:t>
      </w:r>
    </w:p>
    <w:p w14:paraId="5045D331" w14:textId="73D6AAD9" w:rsidR="00332C15" w:rsidRPr="004617A7" w:rsidRDefault="00332C15" w:rsidP="00046F8A">
      <w:pPr>
        <w:spacing w:after="0" w:line="240" w:lineRule="auto"/>
        <w:ind w:left="426" w:hanging="284"/>
        <w:jc w:val="both"/>
        <w:rPr>
          <w:rFonts w:ascii="Times New Roman" w:hAnsi="Times New Roman"/>
          <w:sz w:val="16"/>
          <w:szCs w:val="16"/>
        </w:rPr>
      </w:pPr>
      <w:r w:rsidRPr="004617A7">
        <w:rPr>
          <w:rFonts w:ascii="Times New Roman" w:hAnsi="Times New Roman"/>
          <w:sz w:val="16"/>
          <w:szCs w:val="16"/>
        </w:rPr>
        <w:t xml:space="preserve">d – Meža apsaimniekošanas references līmenis periodam </w:t>
      </w:r>
      <w:r w:rsidRPr="004617A7">
        <w:rPr>
          <w:rFonts w:ascii="Times New Roman" w:hAnsi="Times New Roman"/>
          <w:i/>
          <w:iCs/>
          <w:sz w:val="16"/>
          <w:szCs w:val="16"/>
        </w:rPr>
        <w:t>2013.- 2020.g</w:t>
      </w:r>
      <w:r w:rsidRPr="004617A7">
        <w:rPr>
          <w:rFonts w:ascii="Times New Roman" w:hAnsi="Times New Roman"/>
          <w:sz w:val="16"/>
          <w:szCs w:val="16"/>
        </w:rPr>
        <w:t xml:space="preserve">. -16 302 </w:t>
      </w:r>
      <w:proofErr w:type="spellStart"/>
      <w:r w:rsidRPr="004617A7">
        <w:rPr>
          <w:rFonts w:ascii="Times New Roman" w:hAnsi="Times New Roman"/>
          <w:sz w:val="16"/>
          <w:szCs w:val="16"/>
        </w:rPr>
        <w:t>kt</w:t>
      </w:r>
      <w:proofErr w:type="spellEnd"/>
      <w:r>
        <w:rPr>
          <w:rFonts w:ascii="Times New Roman" w:hAnsi="Times New Roman"/>
          <w:sz w:val="16"/>
          <w:szCs w:val="16"/>
        </w:rPr>
        <w:t xml:space="preserve"> </w:t>
      </w:r>
      <w:r w:rsidRPr="004617A7">
        <w:rPr>
          <w:rFonts w:ascii="Times New Roman" w:hAnsi="Times New Roman"/>
          <w:sz w:val="16"/>
          <w:szCs w:val="16"/>
        </w:rPr>
        <w:t>CO</w:t>
      </w:r>
      <w:r w:rsidRPr="004617A7">
        <w:rPr>
          <w:rFonts w:ascii="Times New Roman" w:hAnsi="Times New Roman"/>
          <w:sz w:val="16"/>
          <w:szCs w:val="16"/>
          <w:vertAlign w:val="subscript"/>
        </w:rPr>
        <w:t xml:space="preserve">2 </w:t>
      </w:r>
      <w:r w:rsidRPr="004617A7">
        <w:rPr>
          <w:rFonts w:ascii="Times New Roman" w:hAnsi="Times New Roman"/>
          <w:sz w:val="16"/>
          <w:szCs w:val="16"/>
        </w:rPr>
        <w:t>ekv</w:t>
      </w:r>
      <w:r>
        <w:rPr>
          <w:rFonts w:ascii="Times New Roman" w:hAnsi="Times New Roman"/>
          <w:sz w:val="16"/>
          <w:szCs w:val="16"/>
        </w:rPr>
        <w:t>ivalenti</w:t>
      </w:r>
      <w:r w:rsidRPr="004617A7">
        <w:rPr>
          <w:rFonts w:ascii="Times New Roman" w:hAnsi="Times New Roman"/>
          <w:sz w:val="16"/>
          <w:szCs w:val="16"/>
        </w:rPr>
        <w:t xml:space="preserve"> balstoties uz Līgumslēdzēju pušu konferencē apstiprinātā lēmuma 2/CMP.7 15.punktu tiks pārrēķināts tehnisko korekciju ietvaros pēc 2020. gada, līdz ar to tā gala vērtība mainīsies.   Meža references līmenis periodam 2021.- 2025.g. tiks aprēķināts līdz 2018. gada 31. decembrim un noteikts ar Eiropas Savienības deleģēto aktu līdz 2020.gada 31. oktobrim, aprēķinus veicot atbilstoši </w:t>
      </w:r>
      <w:r w:rsidRPr="00D51B34">
        <w:rPr>
          <w:rFonts w:ascii="Times New Roman" w:hAnsi="Times New Roman"/>
          <w:iCs/>
          <w:sz w:val="16"/>
          <w:szCs w:val="16"/>
        </w:rPr>
        <w:t>Regulā Nr. </w:t>
      </w:r>
      <w:r>
        <w:rPr>
          <w:rFonts w:ascii="Times New Roman" w:hAnsi="Times New Roman"/>
          <w:iCs/>
          <w:sz w:val="16"/>
          <w:szCs w:val="16"/>
        </w:rPr>
        <w:t xml:space="preserve">2018/841 </w:t>
      </w:r>
      <w:r w:rsidRPr="000923AD">
        <w:rPr>
          <w:rFonts w:ascii="Times New Roman" w:hAnsi="Times New Roman"/>
          <w:sz w:val="16"/>
          <w:szCs w:val="16"/>
        </w:rPr>
        <w:t>noteiktajam. Meža references līmenis 2026. – 2030. gadam tiks aprēķināts līdz 2023. gada 30. jūnijam un noteikts ar Eiropas Savi</w:t>
      </w:r>
      <w:r w:rsidRPr="004617A7">
        <w:rPr>
          <w:rFonts w:ascii="Times New Roman" w:hAnsi="Times New Roman"/>
          <w:sz w:val="16"/>
          <w:szCs w:val="16"/>
        </w:rPr>
        <w:t xml:space="preserve">enības deleģēto aktu līdz 2025. gada 30. aprīlim. </w:t>
      </w:r>
    </w:p>
    <w:p w14:paraId="21C3E36F" w14:textId="02152B4E" w:rsidR="00332C15" w:rsidRPr="004617A7" w:rsidRDefault="00332C15" w:rsidP="00046F8A">
      <w:pPr>
        <w:spacing w:after="0" w:line="240" w:lineRule="auto"/>
        <w:ind w:left="426" w:hanging="284"/>
        <w:jc w:val="both"/>
        <w:rPr>
          <w:rFonts w:ascii="Times New Roman" w:hAnsi="Times New Roman"/>
          <w:sz w:val="16"/>
          <w:szCs w:val="16"/>
        </w:rPr>
      </w:pPr>
      <w:r w:rsidRPr="004617A7">
        <w:rPr>
          <w:rFonts w:ascii="Times New Roman" w:hAnsi="Times New Roman"/>
          <w:sz w:val="16"/>
          <w:szCs w:val="16"/>
        </w:rPr>
        <w:t>e – Latvija par meža apsaimniekošanas, apmežošanas un atmežošanas aktivitātēm (attiecīgi K</w:t>
      </w:r>
      <w:r>
        <w:rPr>
          <w:rFonts w:ascii="Times New Roman" w:hAnsi="Times New Roman"/>
          <w:sz w:val="16"/>
          <w:szCs w:val="16"/>
        </w:rPr>
        <w:t>ioto protokola</w:t>
      </w:r>
      <w:r w:rsidRPr="004617A7">
        <w:rPr>
          <w:rFonts w:ascii="Times New Roman" w:hAnsi="Times New Roman"/>
          <w:sz w:val="16"/>
          <w:szCs w:val="16"/>
        </w:rPr>
        <w:t xml:space="preserve"> 3.</w:t>
      </w:r>
      <w:r>
        <w:rPr>
          <w:rFonts w:ascii="Times New Roman" w:hAnsi="Times New Roman"/>
          <w:sz w:val="16"/>
          <w:szCs w:val="16"/>
        </w:rPr>
        <w:t xml:space="preserve">panta </w:t>
      </w:r>
      <w:r w:rsidRPr="004617A7">
        <w:rPr>
          <w:rFonts w:ascii="Times New Roman" w:hAnsi="Times New Roman"/>
          <w:sz w:val="16"/>
          <w:szCs w:val="16"/>
        </w:rPr>
        <w:t>4.p</w:t>
      </w:r>
      <w:r>
        <w:rPr>
          <w:rFonts w:ascii="Times New Roman" w:hAnsi="Times New Roman"/>
          <w:sz w:val="16"/>
          <w:szCs w:val="16"/>
        </w:rPr>
        <w:t>unk</w:t>
      </w:r>
      <w:r w:rsidRPr="004617A7">
        <w:rPr>
          <w:rFonts w:ascii="Times New Roman" w:hAnsi="Times New Roman"/>
          <w:sz w:val="16"/>
          <w:szCs w:val="16"/>
        </w:rPr>
        <w:t>ts un K</w:t>
      </w:r>
      <w:r>
        <w:rPr>
          <w:rFonts w:ascii="Times New Roman" w:hAnsi="Times New Roman"/>
          <w:sz w:val="16"/>
          <w:szCs w:val="16"/>
        </w:rPr>
        <w:t>ioto protokola</w:t>
      </w:r>
      <w:r w:rsidRPr="004617A7">
        <w:rPr>
          <w:rFonts w:ascii="Times New Roman" w:hAnsi="Times New Roman"/>
          <w:sz w:val="16"/>
          <w:szCs w:val="16"/>
        </w:rPr>
        <w:t xml:space="preserve"> 3.</w:t>
      </w:r>
      <w:r>
        <w:rPr>
          <w:rFonts w:ascii="Times New Roman" w:hAnsi="Times New Roman"/>
          <w:sz w:val="16"/>
          <w:szCs w:val="16"/>
        </w:rPr>
        <w:t xml:space="preserve">panta </w:t>
      </w:r>
      <w:r w:rsidRPr="004617A7">
        <w:rPr>
          <w:rFonts w:ascii="Times New Roman" w:hAnsi="Times New Roman"/>
          <w:sz w:val="16"/>
          <w:szCs w:val="16"/>
        </w:rPr>
        <w:t>3.p</w:t>
      </w:r>
      <w:r>
        <w:rPr>
          <w:rFonts w:ascii="Times New Roman" w:hAnsi="Times New Roman"/>
          <w:sz w:val="16"/>
          <w:szCs w:val="16"/>
        </w:rPr>
        <w:t>u</w:t>
      </w:r>
      <w:r w:rsidRPr="004617A7">
        <w:rPr>
          <w:rFonts w:ascii="Times New Roman" w:hAnsi="Times New Roman"/>
          <w:sz w:val="16"/>
          <w:szCs w:val="16"/>
        </w:rPr>
        <w:t>n</w:t>
      </w:r>
      <w:r>
        <w:rPr>
          <w:rFonts w:ascii="Times New Roman" w:hAnsi="Times New Roman"/>
          <w:sz w:val="16"/>
          <w:szCs w:val="16"/>
        </w:rPr>
        <w:t>k</w:t>
      </w:r>
      <w:r w:rsidRPr="004617A7">
        <w:rPr>
          <w:rFonts w:ascii="Times New Roman" w:hAnsi="Times New Roman"/>
          <w:sz w:val="16"/>
          <w:szCs w:val="16"/>
        </w:rPr>
        <w:t>ts) atbilstoši 2/CMP.7. lēmuma prasībām atskaitīsies K</w:t>
      </w:r>
      <w:r>
        <w:rPr>
          <w:rFonts w:ascii="Times New Roman" w:hAnsi="Times New Roman"/>
          <w:sz w:val="16"/>
          <w:szCs w:val="16"/>
        </w:rPr>
        <w:t>ioto protokola</w:t>
      </w:r>
      <w:r w:rsidRPr="004617A7">
        <w:rPr>
          <w:rFonts w:ascii="Times New Roman" w:hAnsi="Times New Roman"/>
          <w:sz w:val="16"/>
          <w:szCs w:val="16"/>
        </w:rPr>
        <w:t xml:space="preserve"> 2.perioda beigās.  Aprēķina kā kopējo emisiju un kopējās piesaistes summu attiecīgajās aktivitātēs (attēlotas tabulas kreisajā pusē) kopā atbilstoši lēmuma 2/CMP.7. noteiktajiem uzskaites noteikumiem. </w:t>
      </w:r>
    </w:p>
    <w:p w14:paraId="72F8CAA0" w14:textId="135334E8" w:rsidR="00332C15" w:rsidRPr="004617A7" w:rsidRDefault="00332C15" w:rsidP="00046F8A">
      <w:pPr>
        <w:spacing w:after="0" w:line="240" w:lineRule="auto"/>
        <w:ind w:left="426" w:hanging="284"/>
        <w:jc w:val="both"/>
        <w:rPr>
          <w:rFonts w:ascii="Times New Roman" w:hAnsi="Times New Roman"/>
          <w:sz w:val="16"/>
          <w:szCs w:val="16"/>
        </w:rPr>
      </w:pPr>
      <w:r w:rsidRPr="004617A7">
        <w:rPr>
          <w:rFonts w:ascii="Times New Roman" w:hAnsi="Times New Roman"/>
          <w:sz w:val="16"/>
          <w:szCs w:val="16"/>
        </w:rPr>
        <w:t xml:space="preserve">f - Saskaņā ar </w:t>
      </w:r>
      <w:r w:rsidRPr="00D51B34">
        <w:rPr>
          <w:rFonts w:ascii="Times New Roman" w:hAnsi="Times New Roman"/>
          <w:sz w:val="16"/>
          <w:szCs w:val="16"/>
        </w:rPr>
        <w:t>Regul</w:t>
      </w:r>
      <w:r>
        <w:rPr>
          <w:rFonts w:ascii="Times New Roman" w:hAnsi="Times New Roman"/>
          <w:sz w:val="16"/>
          <w:szCs w:val="16"/>
        </w:rPr>
        <w:t>as</w:t>
      </w:r>
      <w:r w:rsidRPr="00D51B34">
        <w:rPr>
          <w:rFonts w:ascii="Times New Roman" w:hAnsi="Times New Roman"/>
          <w:sz w:val="16"/>
          <w:szCs w:val="16"/>
        </w:rPr>
        <w:t xml:space="preserve"> Nr. 2018/842</w:t>
      </w:r>
      <w:r>
        <w:rPr>
          <w:rFonts w:ascii="Times New Roman" w:hAnsi="Times New Roman"/>
          <w:sz w:val="16"/>
          <w:szCs w:val="16"/>
        </w:rPr>
        <w:t xml:space="preserve"> 4.panta 3.punktu</w:t>
      </w:r>
      <w:r w:rsidRPr="004617A7">
        <w:rPr>
          <w:rFonts w:ascii="Times New Roman" w:hAnsi="Times New Roman"/>
          <w:sz w:val="16"/>
          <w:szCs w:val="16"/>
        </w:rPr>
        <w:t>.</w:t>
      </w:r>
    </w:p>
    <w:p w14:paraId="4D8249E5" w14:textId="6F7054A0" w:rsidR="00332C15" w:rsidRPr="00412305" w:rsidRDefault="00332C15" w:rsidP="00046F8A">
      <w:pPr>
        <w:spacing w:after="0" w:line="240" w:lineRule="auto"/>
        <w:ind w:left="426" w:hanging="284"/>
        <w:jc w:val="both"/>
        <w:rPr>
          <w:rFonts w:ascii="Times New Roman" w:hAnsi="Times New Roman"/>
          <w:sz w:val="16"/>
          <w:szCs w:val="16"/>
        </w:rPr>
      </w:pPr>
      <w:r w:rsidRPr="004617A7">
        <w:rPr>
          <w:rFonts w:ascii="Times New Roman" w:hAnsi="Times New Roman"/>
          <w:sz w:val="16"/>
          <w:szCs w:val="16"/>
        </w:rPr>
        <w:t xml:space="preserve">g - Saskaņā ar </w:t>
      </w:r>
      <w:r w:rsidRPr="00412305">
        <w:rPr>
          <w:rFonts w:ascii="Times New Roman" w:hAnsi="Times New Roman"/>
          <w:sz w:val="16"/>
          <w:szCs w:val="16"/>
          <w:shd w:val="clear" w:color="auto" w:fill="FFFFFF"/>
        </w:rPr>
        <w:t>Eiropas Parlamenta un Padomes Direktīva</w:t>
      </w:r>
      <w:r>
        <w:rPr>
          <w:rFonts w:ascii="Times New Roman" w:hAnsi="Times New Roman"/>
          <w:sz w:val="16"/>
          <w:szCs w:val="16"/>
          <w:shd w:val="clear" w:color="auto" w:fill="FFFFFF"/>
        </w:rPr>
        <w:t>s</w:t>
      </w:r>
      <w:r w:rsidRPr="00412305">
        <w:rPr>
          <w:rFonts w:ascii="Times New Roman" w:hAnsi="Times New Roman"/>
          <w:sz w:val="16"/>
          <w:szCs w:val="16"/>
          <w:shd w:val="clear" w:color="auto" w:fill="FFFFFF"/>
        </w:rPr>
        <w:t xml:space="preserve"> (ES) 2018/410 (2018. gada 14. marts), ar ko groza Direktīvu 2003/87/EK, lai sekmētu emisiju </w:t>
      </w:r>
      <w:proofErr w:type="spellStart"/>
      <w:r w:rsidRPr="00412305">
        <w:rPr>
          <w:rFonts w:ascii="Times New Roman" w:hAnsi="Times New Roman"/>
          <w:sz w:val="16"/>
          <w:szCs w:val="16"/>
          <w:shd w:val="clear" w:color="auto" w:fill="FFFFFF"/>
        </w:rPr>
        <w:t>izmaksefektīvu</w:t>
      </w:r>
      <w:proofErr w:type="spellEnd"/>
      <w:r w:rsidRPr="00412305">
        <w:rPr>
          <w:rFonts w:ascii="Times New Roman" w:hAnsi="Times New Roman"/>
          <w:sz w:val="16"/>
          <w:szCs w:val="16"/>
          <w:shd w:val="clear" w:color="auto" w:fill="FFFFFF"/>
        </w:rPr>
        <w:t xml:space="preserve"> samazināšanu un investīcijas </w:t>
      </w:r>
      <w:proofErr w:type="spellStart"/>
      <w:r w:rsidRPr="00412305">
        <w:rPr>
          <w:rFonts w:ascii="Times New Roman" w:hAnsi="Times New Roman"/>
          <w:sz w:val="16"/>
          <w:szCs w:val="16"/>
          <w:shd w:val="clear" w:color="auto" w:fill="FFFFFF"/>
        </w:rPr>
        <w:t>mazoglekļa</w:t>
      </w:r>
      <w:proofErr w:type="spellEnd"/>
      <w:r w:rsidRPr="00412305">
        <w:rPr>
          <w:rFonts w:ascii="Times New Roman" w:hAnsi="Times New Roman"/>
          <w:sz w:val="16"/>
          <w:szCs w:val="16"/>
          <w:shd w:val="clear" w:color="auto" w:fill="FFFFFF"/>
        </w:rPr>
        <w:t xml:space="preserve"> risinājumos</w:t>
      </w:r>
      <w:r>
        <w:rPr>
          <w:rFonts w:ascii="Times New Roman" w:hAnsi="Times New Roman"/>
          <w:sz w:val="16"/>
          <w:szCs w:val="16"/>
          <w:shd w:val="clear" w:color="auto" w:fill="FFFFFF"/>
        </w:rPr>
        <w:t xml:space="preserve"> 10.a.pantu</w:t>
      </w:r>
      <w:r w:rsidRPr="00412305">
        <w:rPr>
          <w:rFonts w:ascii="Times New Roman" w:hAnsi="Times New Roman"/>
          <w:sz w:val="16"/>
          <w:szCs w:val="16"/>
        </w:rPr>
        <w:t>.</w:t>
      </w:r>
    </w:p>
    <w:p w14:paraId="1A59B414" w14:textId="3127DCFB" w:rsidR="00332C15" w:rsidRPr="004617A7" w:rsidRDefault="00332C15" w:rsidP="00046F8A">
      <w:pPr>
        <w:spacing w:after="0" w:line="240" w:lineRule="auto"/>
        <w:ind w:left="426" w:hanging="284"/>
        <w:jc w:val="both"/>
        <w:rPr>
          <w:sz w:val="16"/>
          <w:szCs w:val="16"/>
        </w:rPr>
      </w:pPr>
      <w:r w:rsidRPr="00412305">
        <w:rPr>
          <w:rFonts w:ascii="Times New Roman" w:hAnsi="Times New Roman"/>
          <w:sz w:val="16"/>
          <w:szCs w:val="16"/>
        </w:rPr>
        <w:t xml:space="preserve">h – Aprēķina kā kopējo emisiju un kopējās piesaistes summu visās Regulas Nr.2018/841 2. pantā minētajās </w:t>
      </w:r>
      <w:r w:rsidRPr="004617A7">
        <w:rPr>
          <w:rFonts w:ascii="Times New Roman" w:hAnsi="Times New Roman"/>
          <w:sz w:val="16"/>
          <w:szCs w:val="16"/>
        </w:rPr>
        <w:t xml:space="preserve">zemes uzskaites kategorijās (attēlotas tabulas kreisajā pusē) kopā atbilstoši </w:t>
      </w:r>
      <w:r w:rsidRPr="00D51B34">
        <w:rPr>
          <w:rFonts w:ascii="Times New Roman" w:hAnsi="Times New Roman"/>
          <w:sz w:val="16"/>
          <w:szCs w:val="16"/>
        </w:rPr>
        <w:t>Regulas Nr. 2018/841</w:t>
      </w:r>
      <w:r>
        <w:rPr>
          <w:rFonts w:ascii="Times New Roman" w:hAnsi="Times New Roman"/>
          <w:sz w:val="16"/>
          <w:szCs w:val="16"/>
        </w:rPr>
        <w:t xml:space="preserve"> 5.- 10. pantā</w:t>
      </w:r>
      <w:r w:rsidRPr="00D51B34">
        <w:rPr>
          <w:rFonts w:ascii="Times New Roman" w:hAnsi="Times New Roman"/>
          <w:sz w:val="16"/>
          <w:szCs w:val="16"/>
        </w:rPr>
        <w:t xml:space="preserve"> noteiktajiem</w:t>
      </w:r>
      <w:r w:rsidRPr="004617A7">
        <w:rPr>
          <w:rFonts w:ascii="Times New Roman" w:hAnsi="Times New Roman"/>
          <w:sz w:val="16"/>
          <w:szCs w:val="16"/>
        </w:rPr>
        <w:t xml:space="preserve"> uzskaites noteikumiem.</w:t>
      </w:r>
    </w:p>
  </w:footnote>
  <w:footnote w:id="10">
    <w:p w14:paraId="2D2BFC12" w14:textId="7298064D" w:rsidR="00332C15" w:rsidRPr="004617A7" w:rsidRDefault="00332C15" w:rsidP="004617A7">
      <w:pPr>
        <w:pStyle w:val="FootnoteText"/>
        <w:rPr>
          <w:rFonts w:ascii="Times New Roman" w:hAnsi="Times New Roman"/>
          <w:sz w:val="16"/>
          <w:szCs w:val="16"/>
        </w:rPr>
      </w:pPr>
      <w:r w:rsidRPr="004617A7">
        <w:rPr>
          <w:rStyle w:val="FootnoteReference"/>
          <w:rFonts w:ascii="Times New Roman" w:hAnsi="Times New Roman"/>
          <w:sz w:val="16"/>
          <w:szCs w:val="16"/>
        </w:rPr>
        <w:footnoteRef/>
      </w:r>
      <w:r w:rsidRPr="004617A7">
        <w:rPr>
          <w:rFonts w:ascii="Times New Roman" w:hAnsi="Times New Roman"/>
          <w:sz w:val="16"/>
          <w:szCs w:val="16"/>
        </w:rPr>
        <w:t xml:space="preserve"> </w:t>
      </w:r>
      <w:r w:rsidRPr="000E57F2">
        <w:rPr>
          <w:rFonts w:ascii="Times New Roman" w:hAnsi="Times New Roman"/>
          <w:sz w:val="16"/>
          <w:szCs w:val="16"/>
        </w:rPr>
        <w:t>Klimata konvencijas Līgumslēdzēju pušu konferencē pieņemtām ziņošanas vadlīnijām par Klimata konvencijas 1.pielikuma Pušu ikgadējo inventarizāciju sagatavošanu (Lēmums 24/CP.19)</w:t>
      </w:r>
      <w:r>
        <w:rPr>
          <w:rFonts w:ascii="Times New Roman" w:hAnsi="Times New Roman"/>
          <w:sz w:val="16"/>
          <w:szCs w:val="16"/>
        </w:rPr>
        <w:t xml:space="preserve">: </w:t>
      </w:r>
      <w:r w:rsidRPr="004617A7">
        <w:rPr>
          <w:rFonts w:ascii="Times New Roman" w:hAnsi="Times New Roman"/>
          <w:sz w:val="16"/>
          <w:szCs w:val="16"/>
        </w:rPr>
        <w:t xml:space="preserve"> https://unfccc.int/resource/docs/2013/cop19/eng/10a03.pdf</w:t>
      </w:r>
    </w:p>
  </w:footnote>
  <w:footnote w:id="11">
    <w:p w14:paraId="15646A45" w14:textId="3D667B6C" w:rsidR="00332C15" w:rsidRPr="004617A7" w:rsidRDefault="00332C15" w:rsidP="004617A7">
      <w:pPr>
        <w:pStyle w:val="FootnoteText"/>
        <w:rPr>
          <w:rFonts w:ascii="Times New Roman" w:hAnsi="Times New Roman"/>
          <w:sz w:val="16"/>
          <w:szCs w:val="16"/>
        </w:rPr>
      </w:pPr>
      <w:r w:rsidRPr="004617A7">
        <w:rPr>
          <w:rStyle w:val="FootnoteReference"/>
          <w:rFonts w:ascii="Times New Roman" w:hAnsi="Times New Roman"/>
          <w:sz w:val="16"/>
          <w:szCs w:val="16"/>
        </w:rPr>
        <w:footnoteRef/>
      </w:r>
      <w:r w:rsidRPr="004617A7">
        <w:rPr>
          <w:rFonts w:ascii="Times New Roman" w:hAnsi="Times New Roman"/>
          <w:sz w:val="16"/>
          <w:szCs w:val="16"/>
        </w:rPr>
        <w:t>  Regula Nr. 525/2013</w:t>
      </w:r>
    </w:p>
  </w:footnote>
  <w:footnote w:id="12">
    <w:p w14:paraId="484D8772" w14:textId="384F6DA9" w:rsidR="00332C15" w:rsidRPr="000E57F2" w:rsidRDefault="00332C15" w:rsidP="004617A7">
      <w:pPr>
        <w:pStyle w:val="FootnoteText"/>
        <w:rPr>
          <w:rFonts w:ascii="Times New Roman" w:hAnsi="Times New Roman"/>
          <w:sz w:val="16"/>
          <w:szCs w:val="16"/>
        </w:rPr>
      </w:pPr>
      <w:r w:rsidRPr="004617A7">
        <w:rPr>
          <w:rStyle w:val="FootnoteReference"/>
          <w:rFonts w:ascii="Times New Roman" w:hAnsi="Times New Roman"/>
          <w:sz w:val="16"/>
          <w:szCs w:val="16"/>
        </w:rPr>
        <w:footnoteRef/>
      </w:r>
      <w:r w:rsidRPr="004617A7">
        <w:rPr>
          <w:rFonts w:ascii="Times New Roman" w:hAnsi="Times New Roman"/>
          <w:sz w:val="16"/>
          <w:szCs w:val="16"/>
        </w:rPr>
        <w:t> Ziņojumā aprakstīta SEG emisiju un CO</w:t>
      </w:r>
      <w:r w:rsidRPr="004617A7">
        <w:rPr>
          <w:rFonts w:ascii="Times New Roman" w:hAnsi="Times New Roman"/>
          <w:sz w:val="16"/>
          <w:szCs w:val="16"/>
          <w:vertAlign w:val="subscript"/>
        </w:rPr>
        <w:t>2</w:t>
      </w:r>
      <w:r w:rsidRPr="004617A7">
        <w:rPr>
          <w:rFonts w:ascii="Times New Roman" w:hAnsi="Times New Roman"/>
          <w:sz w:val="16"/>
          <w:szCs w:val="16"/>
        </w:rPr>
        <w:t xml:space="preserve"> piesaistes aprēķinu gaita, izmantotie emisiju faktori, darbību dati, pieņēmumi u.c. informācija par katru nozari </w:t>
      </w:r>
      <w:r w:rsidRPr="000E57F2">
        <w:rPr>
          <w:rFonts w:ascii="Times New Roman" w:hAnsi="Times New Roman"/>
          <w:sz w:val="16"/>
          <w:szCs w:val="16"/>
        </w:rPr>
        <w:t xml:space="preserve">atsevišķi, kā arī papildus informācija saskaņā ar Kioto protokola 7. panta 1. punktu. </w:t>
      </w:r>
    </w:p>
  </w:footnote>
  <w:footnote w:id="13">
    <w:p w14:paraId="61520AF6" w14:textId="77777777" w:rsidR="00332C15" w:rsidRPr="000E57F2" w:rsidRDefault="00332C15" w:rsidP="004617A7">
      <w:pPr>
        <w:pStyle w:val="FootnoteText"/>
        <w:rPr>
          <w:rFonts w:ascii="Times New Roman" w:hAnsi="Times New Roman"/>
          <w:sz w:val="16"/>
          <w:szCs w:val="16"/>
        </w:rPr>
      </w:pPr>
      <w:r w:rsidRPr="000E57F2">
        <w:rPr>
          <w:rStyle w:val="FootnoteReference"/>
          <w:rFonts w:ascii="Times New Roman" w:hAnsi="Times New Roman"/>
          <w:sz w:val="16"/>
          <w:szCs w:val="16"/>
        </w:rPr>
        <w:footnoteRef/>
      </w:r>
      <w:r w:rsidRPr="000E57F2">
        <w:rPr>
          <w:rFonts w:ascii="Times New Roman" w:hAnsi="Times New Roman"/>
          <w:sz w:val="16"/>
          <w:szCs w:val="16"/>
        </w:rPr>
        <w:t> http://www.ipcc-nggip.iges.or.jp/public/2006gl/</w:t>
      </w:r>
    </w:p>
  </w:footnote>
  <w:footnote w:id="14">
    <w:p w14:paraId="41E34881" w14:textId="1AE92B8F" w:rsidR="00332C15" w:rsidRDefault="00332C15">
      <w:pPr>
        <w:pStyle w:val="FootnoteText"/>
      </w:pPr>
      <w:r w:rsidRPr="000E57F2">
        <w:rPr>
          <w:rStyle w:val="FootnoteReference"/>
          <w:rFonts w:ascii="Times New Roman" w:hAnsi="Times New Roman"/>
          <w:sz w:val="16"/>
          <w:szCs w:val="16"/>
        </w:rPr>
        <w:footnoteRef/>
      </w:r>
      <w:r w:rsidRPr="000E57F2">
        <w:rPr>
          <w:rFonts w:ascii="Times New Roman" w:hAnsi="Times New Roman"/>
          <w:sz w:val="16"/>
          <w:szCs w:val="16"/>
        </w:rPr>
        <w:t xml:space="preserve"> https://www.eea.europa.eu/publications/emep-eea-guidebook-2016</w:t>
      </w:r>
    </w:p>
  </w:footnote>
  <w:footnote w:id="15">
    <w:p w14:paraId="15B49700" w14:textId="25E9481B" w:rsidR="00332C15" w:rsidRPr="004617A7" w:rsidRDefault="00332C15" w:rsidP="00EB3C89">
      <w:pPr>
        <w:pStyle w:val="FootnoteText"/>
        <w:rPr>
          <w:rFonts w:ascii="Times New Roman" w:hAnsi="Times New Roman"/>
          <w:sz w:val="16"/>
          <w:szCs w:val="16"/>
        </w:rPr>
      </w:pPr>
      <w:r w:rsidRPr="004617A7">
        <w:rPr>
          <w:rStyle w:val="FootnoteReference"/>
          <w:rFonts w:ascii="Times New Roman" w:hAnsi="Times New Roman"/>
          <w:sz w:val="16"/>
          <w:szCs w:val="16"/>
        </w:rPr>
        <w:footnoteRef/>
      </w:r>
      <w:r w:rsidRPr="004617A7">
        <w:rPr>
          <w:rFonts w:ascii="Times New Roman" w:hAnsi="Times New Roman"/>
          <w:sz w:val="16"/>
          <w:szCs w:val="16"/>
        </w:rPr>
        <w:t xml:space="preserve"> </w:t>
      </w:r>
      <w:r>
        <w:rPr>
          <w:rFonts w:ascii="Times New Roman" w:hAnsi="Times New Roman"/>
          <w:sz w:val="16"/>
          <w:szCs w:val="16"/>
        </w:rPr>
        <w:t>I</w:t>
      </w:r>
      <w:r w:rsidRPr="004617A7">
        <w:rPr>
          <w:rFonts w:ascii="Times New Roman" w:hAnsi="Times New Roman"/>
          <w:sz w:val="16"/>
          <w:szCs w:val="16"/>
        </w:rPr>
        <w:t xml:space="preserve">nformatīvajā ziņojumā informācija ir balstīta uz 2017. gadā Eiropas Komisijā iesniegtā </w:t>
      </w:r>
      <w:r>
        <w:rPr>
          <w:rFonts w:ascii="Times New Roman" w:hAnsi="Times New Roman"/>
          <w:sz w:val="16"/>
          <w:szCs w:val="16"/>
        </w:rPr>
        <w:t>z</w:t>
      </w:r>
      <w:r w:rsidRPr="004617A7">
        <w:rPr>
          <w:rFonts w:ascii="Times New Roman" w:hAnsi="Times New Roman"/>
          <w:sz w:val="16"/>
          <w:szCs w:val="16"/>
        </w:rPr>
        <w:t>iņojuma par SEG prognozēm, politiku un pasākumiem</w:t>
      </w:r>
      <w:r>
        <w:rPr>
          <w:rFonts w:ascii="Times New Roman" w:hAnsi="Times New Roman"/>
          <w:sz w:val="16"/>
          <w:szCs w:val="16"/>
        </w:rPr>
        <w:t xml:space="preserve"> (skat. </w:t>
      </w:r>
      <w:r w:rsidRPr="00486DCF">
        <w:rPr>
          <w:rFonts w:ascii="Times New Roman" w:hAnsi="Times New Roman"/>
          <w:sz w:val="16"/>
          <w:szCs w:val="16"/>
        </w:rPr>
        <w:t>https://cdr.eionet.europa.eu/lv/eu/mmr/art04-13-14_lcds_pams_projections/pams/envwqhspw/</w:t>
      </w:r>
      <w:r>
        <w:rPr>
          <w:rFonts w:ascii="Times New Roman" w:hAnsi="Times New Roman"/>
          <w:sz w:val="16"/>
          <w:szCs w:val="16"/>
        </w:rPr>
        <w:t>).</w:t>
      </w:r>
    </w:p>
  </w:footnote>
  <w:footnote w:id="16">
    <w:p w14:paraId="111BAB54" w14:textId="6B3D8B88" w:rsidR="00332C15" w:rsidRPr="009D56FE" w:rsidRDefault="00332C15" w:rsidP="00EB3C89">
      <w:pPr>
        <w:pStyle w:val="FootnoteText"/>
        <w:rPr>
          <w:rFonts w:ascii="Times New Roman" w:hAnsi="Times New Roman"/>
          <w:sz w:val="16"/>
          <w:szCs w:val="16"/>
        </w:rPr>
      </w:pPr>
      <w:r w:rsidRPr="009D56FE">
        <w:rPr>
          <w:rStyle w:val="FootnoteReference"/>
          <w:rFonts w:ascii="Times New Roman" w:hAnsi="Times New Roman"/>
          <w:sz w:val="16"/>
          <w:szCs w:val="16"/>
        </w:rPr>
        <w:footnoteRef/>
      </w:r>
      <w:r w:rsidRPr="009D56FE">
        <w:rPr>
          <w:rFonts w:ascii="Times New Roman" w:hAnsi="Times New Roman"/>
          <w:sz w:val="16"/>
          <w:szCs w:val="16"/>
        </w:rPr>
        <w:t xml:space="preserve"> </w:t>
      </w:r>
      <w:r w:rsidRPr="004617A7">
        <w:rPr>
          <w:rFonts w:ascii="Times New Roman" w:hAnsi="Times New Roman"/>
          <w:sz w:val="16"/>
          <w:szCs w:val="16"/>
        </w:rPr>
        <w:t>2018.gada SEG inventarizācija</w:t>
      </w:r>
      <w:r w:rsidRPr="009D56FE">
        <w:rPr>
          <w:rFonts w:ascii="Times New Roman" w:hAnsi="Times New Roman"/>
          <w:sz w:val="16"/>
          <w:szCs w:val="16"/>
        </w:rPr>
        <w:t xml:space="preserve"> </w:t>
      </w:r>
      <w:r>
        <w:rPr>
          <w:rFonts w:ascii="Times New Roman" w:hAnsi="Times New Roman"/>
          <w:sz w:val="16"/>
          <w:szCs w:val="16"/>
        </w:rPr>
        <w:t>(</w:t>
      </w:r>
      <w:r w:rsidRPr="009D56FE">
        <w:rPr>
          <w:rFonts w:ascii="Times New Roman" w:hAnsi="Times New Roman"/>
          <w:sz w:val="16"/>
          <w:szCs w:val="16"/>
        </w:rPr>
        <w:t>https://unfccc.int/process-and-meetings/transparency-and-reporting/reporting-and-review-under-the-convention/greenhouse-gas-inventories-annex-i-parties/national-inventory-submissions-2018</w:t>
      </w:r>
      <w:r>
        <w:rPr>
          <w:rFonts w:ascii="Times New Roman" w:hAnsi="Times New Roman"/>
          <w:sz w:val="16"/>
          <w:szCs w:val="16"/>
        </w:rPr>
        <w:t>).</w:t>
      </w:r>
    </w:p>
  </w:footnote>
  <w:footnote w:id="17">
    <w:p w14:paraId="77A94C58" w14:textId="69481672" w:rsidR="00332C15" w:rsidRPr="004617A7" w:rsidRDefault="00332C15" w:rsidP="00486DCF">
      <w:pPr>
        <w:pStyle w:val="FootnoteText"/>
        <w:rPr>
          <w:rFonts w:ascii="Times New Roman" w:hAnsi="Times New Roman"/>
          <w:sz w:val="16"/>
          <w:szCs w:val="16"/>
        </w:rPr>
      </w:pPr>
      <w:r w:rsidRPr="009D56FE">
        <w:rPr>
          <w:rStyle w:val="FootnoteReference"/>
          <w:rFonts w:ascii="Times New Roman" w:hAnsi="Times New Roman"/>
          <w:sz w:val="16"/>
          <w:szCs w:val="16"/>
        </w:rPr>
        <w:footnoteRef/>
      </w:r>
      <w:r w:rsidRPr="009D56FE">
        <w:rPr>
          <w:rFonts w:ascii="Times New Roman" w:hAnsi="Times New Roman"/>
          <w:sz w:val="16"/>
          <w:szCs w:val="16"/>
        </w:rPr>
        <w:t xml:space="preserve"> </w:t>
      </w:r>
      <w:r>
        <w:rPr>
          <w:rFonts w:ascii="Times New Roman" w:hAnsi="Times New Roman"/>
          <w:sz w:val="16"/>
          <w:szCs w:val="16"/>
        </w:rPr>
        <w:t>A</w:t>
      </w:r>
      <w:r w:rsidRPr="004617A7">
        <w:rPr>
          <w:rFonts w:ascii="Times New Roman" w:hAnsi="Times New Roman"/>
          <w:sz w:val="16"/>
          <w:szCs w:val="16"/>
        </w:rPr>
        <w:t>ptuvenā SEG inventarizācija par 2017.gadu</w:t>
      </w:r>
      <w:r>
        <w:rPr>
          <w:sz w:val="16"/>
          <w:szCs w:val="16"/>
        </w:rPr>
        <w:t xml:space="preserve"> (</w:t>
      </w:r>
      <w:hyperlink r:id="rId1" w:history="1">
        <w:r w:rsidRPr="006E6107">
          <w:rPr>
            <w:rStyle w:val="Hyperlink"/>
            <w:rFonts w:ascii="Times New Roman" w:hAnsi="Times New Roman"/>
            <w:sz w:val="16"/>
            <w:szCs w:val="16"/>
          </w:rPr>
          <w:t>https://cdr.eionet.europa.eu/lv/eu/mmr/art08_proxy/envw07vaw/</w:t>
        </w:r>
      </w:hyperlink>
      <w:r>
        <w:rPr>
          <w:rFonts w:ascii="Times New Roman" w:hAnsi="Times New Roman"/>
          <w:sz w:val="16"/>
          <w:szCs w:val="16"/>
        </w:rPr>
        <w:t>).</w:t>
      </w:r>
    </w:p>
    <w:p w14:paraId="6D887055" w14:textId="56CED206" w:rsidR="00332C15" w:rsidRPr="009D56FE" w:rsidRDefault="00332C15" w:rsidP="00EB3C89">
      <w:pPr>
        <w:pStyle w:val="FootnoteText"/>
        <w:rPr>
          <w:rFonts w:ascii="Times New Roman" w:hAnsi="Times New Roman"/>
          <w:sz w:val="16"/>
          <w:szCs w:val="16"/>
        </w:rPr>
      </w:pPr>
    </w:p>
  </w:footnote>
  <w:footnote w:id="18">
    <w:p w14:paraId="6FA0266D" w14:textId="12230023" w:rsidR="00332C15" w:rsidRPr="004617A7" w:rsidRDefault="00332C15" w:rsidP="000B0D7F">
      <w:pPr>
        <w:pStyle w:val="FootnoteText"/>
        <w:rPr>
          <w:rFonts w:ascii="Times New Roman" w:hAnsi="Times New Roman"/>
          <w:sz w:val="16"/>
          <w:szCs w:val="16"/>
        </w:rPr>
      </w:pPr>
      <w:r w:rsidRPr="004617A7">
        <w:rPr>
          <w:rStyle w:val="FootnoteReference"/>
          <w:rFonts w:ascii="Times New Roman" w:hAnsi="Times New Roman"/>
          <w:sz w:val="16"/>
          <w:szCs w:val="16"/>
        </w:rPr>
        <w:footnoteRef/>
      </w:r>
      <w:r w:rsidRPr="004617A7">
        <w:rPr>
          <w:rFonts w:ascii="Times New Roman" w:hAnsi="Times New Roman"/>
          <w:sz w:val="16"/>
          <w:szCs w:val="16"/>
        </w:rPr>
        <w:t xml:space="preserve"> 2018.</w:t>
      </w:r>
      <w:r>
        <w:t> </w:t>
      </w:r>
      <w:r w:rsidRPr="004617A7">
        <w:rPr>
          <w:rFonts w:ascii="Times New Roman" w:hAnsi="Times New Roman"/>
          <w:sz w:val="16"/>
          <w:szCs w:val="16"/>
        </w:rPr>
        <w:t>gada SEG inventarizācija;</w:t>
      </w:r>
      <w:r w:rsidRPr="004617A7">
        <w:rPr>
          <w:sz w:val="16"/>
          <w:szCs w:val="16"/>
        </w:rPr>
        <w:t xml:space="preserve"> </w:t>
      </w:r>
      <w:r w:rsidRPr="004617A7">
        <w:rPr>
          <w:rFonts w:ascii="Times New Roman" w:hAnsi="Times New Roman"/>
          <w:sz w:val="16"/>
          <w:szCs w:val="16"/>
        </w:rPr>
        <w:t>aptuvenā SEG inventarizācija par 2017.</w:t>
      </w:r>
      <w:r>
        <w:rPr>
          <w:rFonts w:ascii="Times New Roman" w:hAnsi="Times New Roman"/>
          <w:sz w:val="16"/>
          <w:szCs w:val="16"/>
        </w:rPr>
        <w:t> </w:t>
      </w:r>
      <w:r w:rsidRPr="004617A7">
        <w:rPr>
          <w:rFonts w:ascii="Times New Roman" w:hAnsi="Times New Roman"/>
          <w:sz w:val="16"/>
          <w:szCs w:val="16"/>
        </w:rPr>
        <w:t>gadu</w:t>
      </w:r>
      <w:r w:rsidRPr="004617A7">
        <w:rPr>
          <w:sz w:val="16"/>
          <w:szCs w:val="16"/>
        </w:rPr>
        <w:t>.</w:t>
      </w:r>
    </w:p>
  </w:footnote>
  <w:footnote w:id="19">
    <w:p w14:paraId="45B9248D" w14:textId="5B65BDAB" w:rsidR="00332C15" w:rsidRPr="004617A7" w:rsidRDefault="00332C15" w:rsidP="004617A7">
      <w:pPr>
        <w:pStyle w:val="FootnoteText"/>
        <w:rPr>
          <w:rFonts w:ascii="Times New Roman" w:hAnsi="Times New Roman"/>
          <w:sz w:val="16"/>
          <w:szCs w:val="16"/>
        </w:rPr>
      </w:pPr>
      <w:r w:rsidRPr="004617A7">
        <w:rPr>
          <w:rStyle w:val="FootnoteReference"/>
          <w:rFonts w:ascii="Times New Roman" w:hAnsi="Times New Roman"/>
          <w:sz w:val="16"/>
          <w:szCs w:val="16"/>
        </w:rPr>
        <w:footnoteRef/>
      </w:r>
      <w:r w:rsidRPr="004617A7">
        <w:rPr>
          <w:rFonts w:ascii="Times New Roman" w:hAnsi="Times New Roman"/>
          <w:sz w:val="16"/>
          <w:szCs w:val="16"/>
        </w:rPr>
        <w:t> 2018. gada SEG inventarizācija, aptuvenā SEG inventarizācija par 2017.</w:t>
      </w:r>
      <w:r>
        <w:rPr>
          <w:rFonts w:ascii="Times New Roman" w:hAnsi="Times New Roman"/>
          <w:sz w:val="16"/>
          <w:szCs w:val="16"/>
        </w:rPr>
        <w:t> </w:t>
      </w:r>
      <w:r w:rsidRPr="004617A7">
        <w:rPr>
          <w:rFonts w:ascii="Times New Roman" w:hAnsi="Times New Roman"/>
          <w:sz w:val="16"/>
          <w:szCs w:val="16"/>
        </w:rPr>
        <w:t xml:space="preserve">gadu, 2017.gada </w:t>
      </w:r>
      <w:r>
        <w:rPr>
          <w:rFonts w:ascii="Times New Roman" w:hAnsi="Times New Roman"/>
          <w:sz w:val="16"/>
          <w:szCs w:val="16"/>
        </w:rPr>
        <w:t>z</w:t>
      </w:r>
      <w:r w:rsidRPr="004617A7">
        <w:rPr>
          <w:rFonts w:ascii="Times New Roman" w:hAnsi="Times New Roman"/>
          <w:sz w:val="16"/>
          <w:szCs w:val="16"/>
        </w:rPr>
        <w:t>iņojums par SEG prognozēm, politiku un pasākumiem.</w:t>
      </w:r>
    </w:p>
  </w:footnote>
  <w:footnote w:id="20">
    <w:p w14:paraId="6F9F4303" w14:textId="77777777" w:rsidR="00332C15" w:rsidRPr="004617A7" w:rsidRDefault="00332C15" w:rsidP="004617A7">
      <w:pPr>
        <w:pStyle w:val="FootnoteText"/>
        <w:rPr>
          <w:rFonts w:ascii="Times New Roman" w:hAnsi="Times New Roman"/>
          <w:sz w:val="16"/>
          <w:szCs w:val="16"/>
        </w:rPr>
      </w:pPr>
      <w:r w:rsidRPr="004617A7">
        <w:rPr>
          <w:rStyle w:val="FootnoteReference"/>
          <w:sz w:val="16"/>
          <w:szCs w:val="16"/>
        </w:rPr>
        <w:footnoteRef/>
      </w:r>
      <w:r w:rsidRPr="004617A7">
        <w:rPr>
          <w:sz w:val="16"/>
          <w:szCs w:val="16"/>
        </w:rPr>
        <w:t xml:space="preserve"> </w:t>
      </w:r>
      <w:r w:rsidRPr="004617A7">
        <w:rPr>
          <w:rFonts w:ascii="Times New Roman" w:hAnsi="Times New Roman"/>
          <w:sz w:val="16"/>
          <w:szCs w:val="16"/>
        </w:rPr>
        <w:t xml:space="preserve">Eiropas Komisijas 2013. gada 26. marta lēmums Nr. 2013/162/ES par dalībvalstu ikgadējo emisiju sadales apjomu noteikšanu laikposmam no 2013. līdz 2020. gadam saskaņā ar Eiropas Parlamenta un Padomes Lēmumu Nr. 406/2009/EK; </w:t>
      </w:r>
    </w:p>
    <w:p w14:paraId="4BDAC486" w14:textId="77777777" w:rsidR="00332C15" w:rsidRPr="004617A7" w:rsidRDefault="00332C15" w:rsidP="004617A7">
      <w:pPr>
        <w:pStyle w:val="FootnoteText"/>
        <w:rPr>
          <w:rFonts w:ascii="Times New Roman" w:hAnsi="Times New Roman"/>
          <w:sz w:val="16"/>
          <w:szCs w:val="16"/>
        </w:rPr>
      </w:pPr>
      <w:r w:rsidRPr="004617A7">
        <w:rPr>
          <w:rFonts w:ascii="Times New Roman" w:hAnsi="Times New Roman"/>
          <w:sz w:val="16"/>
          <w:szCs w:val="16"/>
        </w:rPr>
        <w:t xml:space="preserve">Eiropas Komisijas 2013. gada 31. oktobra Īstenošanas lēmums Nr. 2013/634/ES par dalībvalstu ikgadējo emisiju sadales apjomu korekcijām laikposmam no 2013. līdz 2020. gadam saskaņā ar Eiropas Parlamenta un Padomes Lēmumu Nr. 406/2009/EK; </w:t>
      </w:r>
    </w:p>
    <w:p w14:paraId="22B21B07" w14:textId="77777777" w:rsidR="00332C15" w:rsidRPr="004617A7" w:rsidRDefault="00332C15" w:rsidP="004617A7">
      <w:pPr>
        <w:pStyle w:val="FootnoteText"/>
        <w:rPr>
          <w:rFonts w:ascii="Times New Roman" w:hAnsi="Times New Roman"/>
          <w:sz w:val="16"/>
          <w:szCs w:val="16"/>
        </w:rPr>
      </w:pPr>
      <w:r w:rsidRPr="004617A7">
        <w:rPr>
          <w:rFonts w:ascii="Times New Roman" w:hAnsi="Times New Roman"/>
          <w:sz w:val="16"/>
          <w:szCs w:val="16"/>
        </w:rPr>
        <w:t>Eiropas Komisijas 2017.gada 10.augusta lēmums Nr.2017/1471, ar ko Lēmumu 2013/162/ES groza, lai pārskatītu dalībvalstu ikgadējo emisiju sadales apjomu laikposmam no 2017. līdz 2020. gadam.</w:t>
      </w:r>
    </w:p>
  </w:footnote>
  <w:footnote w:id="21">
    <w:p w14:paraId="25C3A6EC" w14:textId="64F69094" w:rsidR="00332C15" w:rsidRPr="004617A7" w:rsidRDefault="00332C15" w:rsidP="004617A7">
      <w:pPr>
        <w:pStyle w:val="FootnoteText"/>
        <w:rPr>
          <w:rFonts w:ascii="Times New Roman" w:hAnsi="Times New Roman"/>
          <w:sz w:val="16"/>
          <w:szCs w:val="16"/>
        </w:rPr>
      </w:pPr>
      <w:r w:rsidRPr="004617A7">
        <w:rPr>
          <w:rStyle w:val="FootnoteReference"/>
          <w:rFonts w:ascii="Times New Roman" w:hAnsi="Times New Roman"/>
          <w:sz w:val="16"/>
          <w:szCs w:val="16"/>
        </w:rPr>
        <w:footnoteRef/>
      </w:r>
      <w:r w:rsidRPr="004617A7">
        <w:rPr>
          <w:rFonts w:ascii="Times New Roman" w:hAnsi="Times New Roman"/>
          <w:sz w:val="16"/>
          <w:szCs w:val="16"/>
        </w:rPr>
        <w:t xml:space="preserve"> Latvijas 2013. gada ne-ETS darbību SEG emisiju apjoms ir apstiprināts ar Komisijas </w:t>
      </w:r>
      <w:r w:rsidRPr="004617A7">
        <w:rPr>
          <w:rFonts w:ascii="Times New Roman" w:hAnsi="Times New Roman"/>
          <w:sz w:val="16"/>
          <w:szCs w:val="16"/>
          <w:shd w:val="clear" w:color="auto" w:fill="FFFFFF"/>
        </w:rPr>
        <w:t xml:space="preserve">2016. gada 5. decembra </w:t>
      </w:r>
      <w:r w:rsidRPr="004617A7">
        <w:rPr>
          <w:rFonts w:ascii="Times New Roman" w:hAnsi="Times New Roman"/>
          <w:sz w:val="16"/>
          <w:szCs w:val="16"/>
        </w:rPr>
        <w:t>Īstenošanas lēmumu Nr.</w:t>
      </w:r>
      <w:r>
        <w:rPr>
          <w:rFonts w:ascii="Times New Roman" w:hAnsi="Times New Roman"/>
          <w:sz w:val="16"/>
          <w:szCs w:val="16"/>
        </w:rPr>
        <w:t> </w:t>
      </w:r>
      <w:r w:rsidRPr="004617A7">
        <w:rPr>
          <w:rFonts w:ascii="Times New Roman" w:hAnsi="Times New Roman"/>
          <w:sz w:val="16"/>
          <w:szCs w:val="16"/>
        </w:rPr>
        <w:t xml:space="preserve">2016/2132 </w:t>
      </w:r>
      <w:r w:rsidRPr="004617A7">
        <w:rPr>
          <w:rFonts w:ascii="Times New Roman" w:hAnsi="Times New Roman"/>
          <w:sz w:val="16"/>
          <w:szCs w:val="16"/>
          <w:shd w:val="clear" w:color="auto" w:fill="FFFFFF"/>
        </w:rPr>
        <w:t>par katras dalībvalsts 2013. gada siltumnīcefekta gāzu emisijām, uz ko attiecas Eiropas Parlamenta un Padomes Lēmums Nr.</w:t>
      </w:r>
      <w:r>
        <w:rPr>
          <w:rFonts w:ascii="Times New Roman" w:hAnsi="Times New Roman"/>
          <w:sz w:val="16"/>
          <w:szCs w:val="16"/>
          <w:shd w:val="clear" w:color="auto" w:fill="FFFFFF"/>
        </w:rPr>
        <w:t> </w:t>
      </w:r>
      <w:r w:rsidRPr="004617A7">
        <w:rPr>
          <w:rFonts w:ascii="Times New Roman" w:hAnsi="Times New Roman"/>
          <w:sz w:val="16"/>
          <w:szCs w:val="16"/>
          <w:shd w:val="clear" w:color="auto" w:fill="FFFFFF"/>
        </w:rPr>
        <w:t>406/2009/EK</w:t>
      </w:r>
      <w:r>
        <w:rPr>
          <w:rFonts w:ascii="Times New Roman" w:hAnsi="Times New Roman"/>
          <w:sz w:val="16"/>
          <w:szCs w:val="16"/>
          <w:shd w:val="clear" w:color="auto" w:fill="FFFFFF"/>
        </w:rPr>
        <w:t>.</w:t>
      </w:r>
    </w:p>
  </w:footnote>
  <w:footnote w:id="22">
    <w:p w14:paraId="5DE77B3B" w14:textId="6FFC9B5D" w:rsidR="00332C15" w:rsidRPr="004617A7" w:rsidRDefault="00332C15" w:rsidP="004617A7">
      <w:pPr>
        <w:pStyle w:val="FootnoteText"/>
        <w:rPr>
          <w:rFonts w:ascii="Times New Roman" w:hAnsi="Times New Roman"/>
          <w:sz w:val="16"/>
          <w:szCs w:val="16"/>
        </w:rPr>
      </w:pPr>
      <w:r w:rsidRPr="004617A7">
        <w:rPr>
          <w:rStyle w:val="FootnoteReference"/>
          <w:rFonts w:ascii="Times New Roman" w:hAnsi="Times New Roman"/>
          <w:sz w:val="16"/>
          <w:szCs w:val="16"/>
        </w:rPr>
        <w:footnoteRef/>
      </w:r>
      <w:r w:rsidRPr="004617A7">
        <w:rPr>
          <w:rFonts w:ascii="Times New Roman" w:hAnsi="Times New Roman"/>
          <w:sz w:val="16"/>
          <w:szCs w:val="16"/>
        </w:rPr>
        <w:t xml:space="preserve"> Latvijas 2014.</w:t>
      </w:r>
      <w:r>
        <w:rPr>
          <w:rFonts w:ascii="Times New Roman" w:hAnsi="Times New Roman"/>
          <w:sz w:val="16"/>
          <w:szCs w:val="16"/>
        </w:rPr>
        <w:t> </w:t>
      </w:r>
      <w:r w:rsidRPr="004617A7">
        <w:rPr>
          <w:rFonts w:ascii="Times New Roman" w:hAnsi="Times New Roman"/>
          <w:sz w:val="16"/>
          <w:szCs w:val="16"/>
        </w:rPr>
        <w:t>gada ne-ETS darbību SEG emisiju apjoms ir apstiprināts ar Komisijas 2017. gada 15.jūnija Īstenošanas lēmumu Nr. 2017/1015 par katras dalībvalsts 2014. gada siltumnīcefekta gāzu emisijām, uz ko attiecas Eiropas Parlamenta un Padomes Lēmums Nr. 406/2009/EK.</w:t>
      </w:r>
    </w:p>
  </w:footnote>
  <w:footnote w:id="23">
    <w:p w14:paraId="146F7BED" w14:textId="4066D6C6" w:rsidR="00332C15" w:rsidRPr="004617A7" w:rsidRDefault="00332C15" w:rsidP="004617A7">
      <w:pPr>
        <w:pStyle w:val="FootnoteText"/>
        <w:rPr>
          <w:rFonts w:ascii="Times New Roman" w:hAnsi="Times New Roman"/>
          <w:sz w:val="16"/>
          <w:szCs w:val="16"/>
        </w:rPr>
      </w:pPr>
      <w:r w:rsidRPr="004617A7">
        <w:rPr>
          <w:rStyle w:val="FootnoteReference"/>
          <w:rFonts w:ascii="Times New Roman" w:hAnsi="Times New Roman"/>
          <w:sz w:val="16"/>
          <w:szCs w:val="16"/>
        </w:rPr>
        <w:footnoteRef/>
      </w:r>
      <w:r w:rsidRPr="004617A7">
        <w:rPr>
          <w:rFonts w:ascii="Times New Roman" w:hAnsi="Times New Roman"/>
          <w:sz w:val="16"/>
          <w:szCs w:val="16"/>
        </w:rPr>
        <w:t xml:space="preserve"> Latvijas 2015.gada ne-ETS darbību SEG emisiju apjoms ir apstiprināts ar</w:t>
      </w:r>
      <w:r w:rsidRPr="004617A7">
        <w:rPr>
          <w:rFonts w:ascii="Times New Roman" w:hAnsi="Times New Roman"/>
          <w:sz w:val="16"/>
          <w:szCs w:val="16"/>
          <w:shd w:val="clear" w:color="auto" w:fill="FFFFFF"/>
        </w:rPr>
        <w:t xml:space="preserve"> Komisijas 2017. gada 15. decembra Īstenošanas lēmumu 2017/2377 par katras dalībvalsts 2015. gada siltumnīcefekta gāzu emisijām, uz ko attiecas Eiropas Parlamenta un Padomes Lēmums Nr. 406/2009/EK</w:t>
      </w:r>
      <w:r>
        <w:rPr>
          <w:rFonts w:ascii="Times New Roman" w:hAnsi="Times New Roman"/>
          <w:sz w:val="16"/>
          <w:szCs w:val="16"/>
          <w:shd w:val="clear" w:color="auto" w:fill="FFFFFF"/>
        </w:rPr>
        <w:t>.</w:t>
      </w:r>
    </w:p>
  </w:footnote>
  <w:footnote w:id="24">
    <w:p w14:paraId="13F1DF62" w14:textId="54F77EAB" w:rsidR="00332C15" w:rsidRPr="00AF315A" w:rsidRDefault="00332C15" w:rsidP="004617A7">
      <w:pPr>
        <w:pStyle w:val="FootnoteText"/>
        <w:rPr>
          <w:rFonts w:ascii="Times New Roman" w:hAnsi="Times New Roman"/>
          <w:sz w:val="16"/>
          <w:szCs w:val="16"/>
        </w:rPr>
      </w:pPr>
      <w:r w:rsidRPr="004617A7">
        <w:rPr>
          <w:rStyle w:val="FootnoteReference"/>
          <w:rFonts w:ascii="Times New Roman" w:hAnsi="Times New Roman"/>
          <w:sz w:val="16"/>
          <w:szCs w:val="16"/>
        </w:rPr>
        <w:footnoteRef/>
      </w:r>
      <w:r w:rsidRPr="004617A7">
        <w:rPr>
          <w:rFonts w:ascii="Times New Roman" w:hAnsi="Times New Roman"/>
          <w:sz w:val="16"/>
          <w:szCs w:val="16"/>
        </w:rPr>
        <w:t xml:space="preserve"> </w:t>
      </w:r>
      <w:r w:rsidRPr="00AF315A">
        <w:rPr>
          <w:rFonts w:ascii="Times New Roman" w:hAnsi="Times New Roman"/>
          <w:sz w:val="16"/>
          <w:szCs w:val="16"/>
        </w:rPr>
        <w:t>Latvijas 2016.gada ne-ETS darbību SEG emisiju apjoms ir apstiprināts ar Komisijas 2018. gada 27.novembra</w:t>
      </w:r>
      <w:r w:rsidRPr="00AF315A">
        <w:rPr>
          <w:rFonts w:ascii="Times New Roman" w:hAnsi="Times New Roman"/>
          <w:sz w:val="16"/>
          <w:szCs w:val="16"/>
          <w:shd w:val="clear" w:color="auto" w:fill="FFFFFF"/>
        </w:rPr>
        <w:t xml:space="preserve"> Īstenošanas lēmu</w:t>
      </w:r>
      <w:r>
        <w:rPr>
          <w:rFonts w:ascii="Times New Roman" w:hAnsi="Times New Roman"/>
          <w:sz w:val="16"/>
          <w:szCs w:val="16"/>
          <w:shd w:val="clear" w:color="auto" w:fill="FFFFFF"/>
        </w:rPr>
        <w:t>m</w:t>
      </w:r>
      <w:r w:rsidRPr="00AF315A">
        <w:rPr>
          <w:rFonts w:ascii="Times New Roman" w:hAnsi="Times New Roman"/>
          <w:sz w:val="16"/>
          <w:szCs w:val="16"/>
          <w:shd w:val="clear" w:color="auto" w:fill="FFFFFF"/>
        </w:rPr>
        <w:t>u 2018/1855  par katras dalībvalsts 2016. gada siltumnīcefekta gāzu emisijām, uz ko attiecas Eiropas Parlamenta un Padomes Lēmums Nr. 406/2009/EK.</w:t>
      </w:r>
    </w:p>
  </w:footnote>
  <w:footnote w:id="25">
    <w:p w14:paraId="4113737D" w14:textId="0E877825" w:rsidR="00332C15" w:rsidRPr="004617A7" w:rsidRDefault="00332C15" w:rsidP="004617A7">
      <w:pPr>
        <w:pStyle w:val="FootnoteText"/>
        <w:rPr>
          <w:rFonts w:ascii="Times New Roman" w:hAnsi="Times New Roman"/>
          <w:sz w:val="16"/>
          <w:szCs w:val="16"/>
        </w:rPr>
      </w:pPr>
      <w:r w:rsidRPr="00AF315A">
        <w:rPr>
          <w:rStyle w:val="FootnoteReference"/>
          <w:rFonts w:ascii="Times New Roman" w:hAnsi="Times New Roman"/>
          <w:sz w:val="16"/>
          <w:szCs w:val="16"/>
        </w:rPr>
        <w:footnoteRef/>
      </w:r>
      <w:r w:rsidRPr="004617A7">
        <w:rPr>
          <w:rFonts w:ascii="Times New Roman" w:hAnsi="Times New Roman"/>
          <w:sz w:val="16"/>
          <w:szCs w:val="16"/>
        </w:rPr>
        <w:t xml:space="preserve"> Latvijas 2017. gada ne-ETS darbību SEG emisiju apjoms saskaņā ar EK iesniegto aptuveno SEG inventarizāciju</w:t>
      </w:r>
      <w:r>
        <w:rPr>
          <w:rFonts w:ascii="Times New Roman" w:hAnsi="Times New Roman"/>
          <w:sz w:val="16"/>
          <w:szCs w:val="16"/>
        </w:rPr>
        <w:t xml:space="preserve"> </w:t>
      </w:r>
      <w:r w:rsidRPr="004617A7">
        <w:rPr>
          <w:rFonts w:ascii="Times New Roman" w:hAnsi="Times New Roman"/>
          <w:sz w:val="16"/>
          <w:szCs w:val="16"/>
        </w:rPr>
        <w:t>(http://cdr.eionet.europa.eu/lv/eu/mmr/art08_proxy/envw07vaw/GHG_Proxy_MMR_2018_Latvia_18072018.xlsx/manage_document).</w:t>
      </w:r>
    </w:p>
  </w:footnote>
  <w:footnote w:id="26">
    <w:p w14:paraId="47806480" w14:textId="1B3FF7B7" w:rsidR="00332C15" w:rsidRPr="004617A7" w:rsidRDefault="00332C15" w:rsidP="00EB3C89">
      <w:pPr>
        <w:pStyle w:val="FootnoteText"/>
        <w:rPr>
          <w:rFonts w:ascii="Times New Roman" w:hAnsi="Times New Roman"/>
          <w:sz w:val="16"/>
          <w:szCs w:val="16"/>
        </w:rPr>
      </w:pPr>
      <w:r w:rsidRPr="004617A7">
        <w:rPr>
          <w:rStyle w:val="FootnoteReference"/>
          <w:rFonts w:ascii="Times New Roman" w:hAnsi="Times New Roman"/>
          <w:sz w:val="16"/>
          <w:szCs w:val="16"/>
        </w:rPr>
        <w:footnoteRef/>
      </w:r>
      <w:r w:rsidRPr="004617A7">
        <w:rPr>
          <w:rFonts w:ascii="Times New Roman" w:hAnsi="Times New Roman"/>
          <w:sz w:val="16"/>
          <w:szCs w:val="16"/>
        </w:rPr>
        <w:t xml:space="preserve"> 2017. gada </w:t>
      </w:r>
      <w:r>
        <w:rPr>
          <w:rFonts w:ascii="Times New Roman" w:hAnsi="Times New Roman"/>
          <w:sz w:val="16"/>
          <w:szCs w:val="16"/>
        </w:rPr>
        <w:t>z</w:t>
      </w:r>
      <w:r w:rsidRPr="004617A7">
        <w:rPr>
          <w:rFonts w:ascii="Times New Roman" w:hAnsi="Times New Roman"/>
          <w:sz w:val="16"/>
          <w:szCs w:val="16"/>
        </w:rPr>
        <w:t xml:space="preserve">iņojums par SEG prognozēm, politiku un pasākumiem: </w:t>
      </w:r>
      <w:hyperlink r:id="rId2" w:history="1">
        <w:r w:rsidRPr="004617A7">
          <w:rPr>
            <w:rStyle w:val="Hyperlink"/>
            <w:rFonts w:ascii="Times New Roman" w:hAnsi="Times New Roman"/>
            <w:sz w:val="16"/>
            <w:szCs w:val="16"/>
          </w:rPr>
          <w:t>http://cdr.eionet.europa.eu/lv/eu/mmr/art04-13-14_lcds_pams_projections/projections/envws0bea/</w:t>
        </w:r>
      </w:hyperlink>
      <w:r w:rsidRPr="004617A7">
        <w:rPr>
          <w:rFonts w:ascii="Times New Roman" w:hAnsi="Times New Roman"/>
          <w:sz w:val="16"/>
          <w:szCs w:val="16"/>
        </w:rPr>
        <w:t xml:space="preserve"> </w:t>
      </w:r>
    </w:p>
  </w:footnote>
  <w:footnote w:id="27">
    <w:p w14:paraId="204B10CB" w14:textId="5D1C0522" w:rsidR="00332C15" w:rsidRPr="004617A7" w:rsidRDefault="00332C15" w:rsidP="004617A7">
      <w:pPr>
        <w:pStyle w:val="FootnoteText"/>
        <w:ind w:left="142" w:hanging="142"/>
        <w:rPr>
          <w:rFonts w:ascii="Times New Roman" w:hAnsi="Times New Roman"/>
          <w:sz w:val="16"/>
          <w:szCs w:val="16"/>
        </w:rPr>
      </w:pPr>
      <w:r w:rsidRPr="004617A7">
        <w:rPr>
          <w:rStyle w:val="FootnoteReference"/>
          <w:rFonts w:ascii="Times New Roman" w:hAnsi="Times New Roman"/>
          <w:sz w:val="16"/>
          <w:szCs w:val="16"/>
        </w:rPr>
        <w:footnoteRef/>
      </w:r>
      <w:r w:rsidRPr="004617A7">
        <w:rPr>
          <w:rFonts w:ascii="Times New Roman" w:hAnsi="Times New Roman"/>
          <w:sz w:val="16"/>
          <w:szCs w:val="16"/>
        </w:rPr>
        <w:t xml:space="preserve"> 2018. gada SEG inventarizācija, 2017. gada </w:t>
      </w:r>
      <w:r>
        <w:rPr>
          <w:rFonts w:ascii="Times New Roman" w:hAnsi="Times New Roman"/>
          <w:sz w:val="16"/>
          <w:szCs w:val="16"/>
        </w:rPr>
        <w:t>z</w:t>
      </w:r>
      <w:r w:rsidRPr="004617A7">
        <w:rPr>
          <w:rFonts w:ascii="Times New Roman" w:hAnsi="Times New Roman"/>
          <w:sz w:val="16"/>
          <w:szCs w:val="16"/>
        </w:rPr>
        <w:t>iņojums par SEG prognozēm, politiku un pasākumiem.</w:t>
      </w:r>
    </w:p>
  </w:footnote>
  <w:footnote w:id="28">
    <w:p w14:paraId="697CE8B8" w14:textId="56591D80" w:rsidR="00332C15" w:rsidRPr="007D7F73" w:rsidRDefault="00332C15">
      <w:pPr>
        <w:pStyle w:val="FootnoteText"/>
        <w:rPr>
          <w:rFonts w:ascii="Times New Roman" w:hAnsi="Times New Roman"/>
          <w:sz w:val="16"/>
          <w:szCs w:val="16"/>
        </w:rPr>
      </w:pPr>
      <w:r w:rsidRPr="007D7F73">
        <w:rPr>
          <w:rStyle w:val="FootnoteReference"/>
          <w:rFonts w:ascii="Times New Roman" w:hAnsi="Times New Roman"/>
          <w:sz w:val="16"/>
          <w:szCs w:val="16"/>
        </w:rPr>
        <w:footnoteRef/>
      </w:r>
      <w:r w:rsidRPr="007D7F73">
        <w:rPr>
          <w:rFonts w:ascii="Times New Roman" w:hAnsi="Times New Roman"/>
          <w:sz w:val="16"/>
          <w:szCs w:val="16"/>
        </w:rPr>
        <w:t xml:space="preserve"> 2018. gada SEG inventarizācija.</w:t>
      </w:r>
    </w:p>
  </w:footnote>
  <w:footnote w:id="29">
    <w:p w14:paraId="6D8F4857" w14:textId="568685A4" w:rsidR="00332C15" w:rsidRPr="00C36F11" w:rsidRDefault="00332C15">
      <w:pPr>
        <w:pStyle w:val="FootnoteText"/>
        <w:rPr>
          <w:rFonts w:ascii="Times New Roman" w:hAnsi="Times New Roman"/>
        </w:rPr>
      </w:pPr>
      <w:r w:rsidRPr="007D7F73">
        <w:rPr>
          <w:rStyle w:val="FootnoteReference"/>
          <w:rFonts w:ascii="Times New Roman" w:hAnsi="Times New Roman"/>
          <w:sz w:val="16"/>
          <w:szCs w:val="16"/>
        </w:rPr>
        <w:footnoteRef/>
      </w:r>
      <w:r>
        <w:rPr>
          <w:rStyle w:val="Hyperlink"/>
          <w:rFonts w:ascii="Times New Roman" w:hAnsi="Times New Roman"/>
          <w:color w:val="auto"/>
          <w:sz w:val="16"/>
          <w:szCs w:val="16"/>
          <w:u w:val="none"/>
        </w:rPr>
        <w:t xml:space="preserve"> </w:t>
      </w:r>
      <w:r w:rsidRPr="007D7F73">
        <w:rPr>
          <w:rStyle w:val="Hyperlink"/>
          <w:rFonts w:ascii="Times New Roman" w:hAnsi="Times New Roman"/>
          <w:color w:val="auto"/>
          <w:sz w:val="16"/>
          <w:szCs w:val="16"/>
          <w:u w:val="none"/>
        </w:rPr>
        <w:t>skat.</w:t>
      </w:r>
      <w:r w:rsidRPr="007D7F73">
        <w:rPr>
          <w:rStyle w:val="Hyperlink"/>
          <w:rFonts w:ascii="Times New Roman" w:hAnsi="Times New Roman"/>
          <w:color w:val="auto"/>
          <w:sz w:val="16"/>
          <w:szCs w:val="16"/>
        </w:rPr>
        <w:t> </w:t>
      </w:r>
      <w:hyperlink r:id="rId3" w:history="1">
        <w:r w:rsidRPr="007D7F73">
          <w:rPr>
            <w:rStyle w:val="Hyperlink"/>
            <w:rFonts w:ascii="Times New Roman" w:hAnsi="Times New Roman"/>
            <w:sz w:val="16"/>
            <w:szCs w:val="16"/>
          </w:rPr>
          <w:t>https://www.zm.gov.lv/public/files/CMS_Static_Page_Doc/00/00/01/03/51/LULUCFactionplan_progress_report_21042017.pdf</w:t>
        </w:r>
      </w:hyperlink>
      <w:r w:rsidRPr="007D7F73">
        <w:rPr>
          <w:rFonts w:ascii="Times New Roman" w:hAnsi="Times New Roman"/>
          <w:sz w:val="16"/>
          <w:szCs w:val="16"/>
        </w:rPr>
        <w:t xml:space="preserve"> </w:t>
      </w:r>
      <w:r w:rsidRPr="007D7F73">
        <w:rPr>
          <w:rStyle w:val="Hyperlink"/>
          <w:rFonts w:ascii="Times New Roman" w:hAnsi="Times New Roman"/>
          <w:color w:val="auto"/>
          <w:sz w:val="16"/>
          <w:szCs w:val="16"/>
          <w:u w:val="none"/>
        </w:rPr>
        <w:t>(nodaļā – “</w:t>
      </w:r>
      <w:proofErr w:type="spellStart"/>
      <w:r w:rsidRPr="007D7F73">
        <w:rPr>
          <w:rStyle w:val="Hyperlink"/>
          <w:rFonts w:ascii="Times New Roman" w:hAnsi="Times New Roman"/>
          <w:color w:val="auto"/>
          <w:sz w:val="16"/>
          <w:szCs w:val="16"/>
          <w:u w:val="none"/>
        </w:rPr>
        <w:t>Identification</w:t>
      </w:r>
      <w:proofErr w:type="spellEnd"/>
      <w:r w:rsidRPr="007D7F73">
        <w:rPr>
          <w:rStyle w:val="Hyperlink"/>
          <w:rFonts w:ascii="Times New Roman" w:hAnsi="Times New Roman"/>
          <w:color w:val="auto"/>
          <w:sz w:val="16"/>
          <w:szCs w:val="16"/>
          <w:u w:val="none"/>
        </w:rPr>
        <w:t xml:space="preserve"> </w:t>
      </w:r>
      <w:proofErr w:type="spellStart"/>
      <w:r w:rsidRPr="007D7F73">
        <w:rPr>
          <w:rStyle w:val="Hyperlink"/>
          <w:rFonts w:ascii="Times New Roman" w:hAnsi="Times New Roman"/>
          <w:color w:val="auto"/>
          <w:sz w:val="16"/>
          <w:szCs w:val="16"/>
          <w:u w:val="none"/>
        </w:rPr>
        <w:t>of</w:t>
      </w:r>
      <w:proofErr w:type="spellEnd"/>
      <w:r w:rsidRPr="007D7F73">
        <w:rPr>
          <w:rStyle w:val="Hyperlink"/>
          <w:rFonts w:ascii="Times New Roman" w:hAnsi="Times New Roman"/>
          <w:color w:val="auto"/>
          <w:sz w:val="16"/>
          <w:szCs w:val="16"/>
          <w:u w:val="none"/>
        </w:rPr>
        <w:t xml:space="preserve"> </w:t>
      </w:r>
      <w:proofErr w:type="spellStart"/>
      <w:r w:rsidRPr="007D7F73">
        <w:rPr>
          <w:rStyle w:val="Hyperlink"/>
          <w:rFonts w:ascii="Times New Roman" w:hAnsi="Times New Roman"/>
          <w:color w:val="auto"/>
          <w:sz w:val="16"/>
          <w:szCs w:val="16"/>
          <w:u w:val="none"/>
        </w:rPr>
        <w:t>appropriate</w:t>
      </w:r>
      <w:proofErr w:type="spellEnd"/>
      <w:r w:rsidRPr="007D7F73">
        <w:rPr>
          <w:rStyle w:val="Hyperlink"/>
          <w:rFonts w:ascii="Times New Roman" w:hAnsi="Times New Roman"/>
          <w:color w:val="auto"/>
          <w:sz w:val="16"/>
          <w:szCs w:val="16"/>
          <w:u w:val="none"/>
        </w:rPr>
        <w:t xml:space="preserve"> </w:t>
      </w:r>
      <w:proofErr w:type="spellStart"/>
      <w:r w:rsidRPr="007D7F73">
        <w:rPr>
          <w:rStyle w:val="Hyperlink"/>
          <w:rFonts w:ascii="Times New Roman" w:hAnsi="Times New Roman"/>
          <w:color w:val="auto"/>
          <w:sz w:val="16"/>
          <w:szCs w:val="16"/>
          <w:u w:val="none"/>
        </w:rPr>
        <w:t>measures</w:t>
      </w:r>
      <w:proofErr w:type="spellEnd"/>
      <w:r w:rsidRPr="007D7F73">
        <w:rPr>
          <w:rStyle w:val="Hyperlink"/>
          <w:rFonts w:ascii="Times New Roman" w:hAnsi="Times New Roman"/>
          <w:color w:val="auto"/>
          <w:sz w:val="16"/>
          <w:szCs w:val="16"/>
          <w:u w:val="none"/>
        </w:rPr>
        <w:t>”)</w:t>
      </w:r>
      <w:r>
        <w:rPr>
          <w:rStyle w:val="Hyperlink"/>
          <w:rFonts w:ascii="Times New Roman" w:hAnsi="Times New Roman"/>
          <w:color w:val="auto"/>
          <w:sz w:val="16"/>
          <w:szCs w:val="16"/>
          <w:u w:val="none"/>
        </w:rPr>
        <w:t>.</w:t>
      </w:r>
    </w:p>
  </w:footnote>
  <w:footnote w:id="30">
    <w:p w14:paraId="07B11A42" w14:textId="77777777" w:rsidR="00332C15" w:rsidRPr="007D7F73" w:rsidRDefault="00332C15">
      <w:pPr>
        <w:pStyle w:val="FootnoteText"/>
        <w:rPr>
          <w:rFonts w:ascii="Times New Roman" w:hAnsi="Times New Roman"/>
          <w:sz w:val="16"/>
          <w:szCs w:val="16"/>
        </w:rPr>
      </w:pPr>
      <w:r w:rsidRPr="007D7F73">
        <w:rPr>
          <w:rStyle w:val="FootnoteReference"/>
          <w:rFonts w:ascii="Times New Roman" w:hAnsi="Times New Roman"/>
          <w:sz w:val="16"/>
          <w:szCs w:val="16"/>
        </w:rPr>
        <w:footnoteRef/>
      </w:r>
      <w:r w:rsidRPr="007D7F73">
        <w:rPr>
          <w:rFonts w:ascii="Times New Roman" w:hAnsi="Times New Roman"/>
          <w:sz w:val="16"/>
          <w:szCs w:val="16"/>
        </w:rPr>
        <w:t xml:space="preserve"> Saskaņā ar 2018. gada LVMI “Silava” iesniegtām provizoriskām prognozēm VARAM.</w:t>
      </w:r>
    </w:p>
  </w:footnote>
  <w:footnote w:id="31">
    <w:p w14:paraId="2D219639" w14:textId="0BBEB6BB" w:rsidR="00332C15" w:rsidRPr="007D7F73" w:rsidRDefault="00332C15" w:rsidP="00EB3C89">
      <w:pPr>
        <w:pStyle w:val="FootnoteText"/>
        <w:rPr>
          <w:rFonts w:ascii="Times New Roman" w:hAnsi="Times New Roman"/>
          <w:sz w:val="16"/>
          <w:szCs w:val="16"/>
        </w:rPr>
      </w:pPr>
      <w:r w:rsidRPr="007D7F73">
        <w:rPr>
          <w:rFonts w:ascii="Times New Roman" w:hAnsi="Times New Roman"/>
          <w:sz w:val="16"/>
          <w:szCs w:val="16"/>
          <w:vertAlign w:val="superscript"/>
        </w:rPr>
        <w:footnoteRef/>
      </w:r>
      <w:r>
        <w:rPr>
          <w:rFonts w:ascii="Times New Roman" w:hAnsi="Times New Roman"/>
          <w:sz w:val="16"/>
          <w:szCs w:val="16"/>
        </w:rPr>
        <w:t xml:space="preserve"> </w:t>
      </w:r>
      <w:r w:rsidRPr="007D7F73">
        <w:rPr>
          <w:rFonts w:ascii="Times New Roman" w:hAnsi="Times New Roman"/>
          <w:sz w:val="16"/>
          <w:szCs w:val="16"/>
        </w:rPr>
        <w:t>https://unfccc.int/files/meetings/ad_hoc_working_groups/kp/application/pdf/awgkp_latvia_fmrl_2011.pdf</w:t>
      </w:r>
    </w:p>
  </w:footnote>
  <w:footnote w:id="32">
    <w:p w14:paraId="7C8CCADE" w14:textId="2E74EBCB" w:rsidR="00332C15" w:rsidRPr="004617A7" w:rsidRDefault="00332C15" w:rsidP="00EB3C89">
      <w:pPr>
        <w:pStyle w:val="FootnoteText"/>
        <w:rPr>
          <w:rFonts w:ascii="Times New Roman" w:hAnsi="Times New Roman"/>
          <w:sz w:val="16"/>
          <w:szCs w:val="16"/>
        </w:rPr>
      </w:pPr>
      <w:r w:rsidRPr="007D7F73">
        <w:rPr>
          <w:rFonts w:ascii="Times New Roman" w:hAnsi="Times New Roman"/>
          <w:sz w:val="16"/>
          <w:szCs w:val="16"/>
          <w:vertAlign w:val="superscript"/>
        </w:rPr>
        <w:footnoteRef/>
      </w:r>
      <w:r>
        <w:rPr>
          <w:rFonts w:ascii="Times New Roman" w:hAnsi="Times New Roman"/>
          <w:sz w:val="16"/>
          <w:szCs w:val="16"/>
        </w:rPr>
        <w:t xml:space="preserve"> </w:t>
      </w:r>
      <w:r w:rsidRPr="007D7F73">
        <w:rPr>
          <w:rFonts w:ascii="Times New Roman" w:hAnsi="Times New Roman"/>
          <w:sz w:val="16"/>
          <w:szCs w:val="16"/>
        </w:rPr>
        <w:t>https://unfccc.int/documents/65702</w:t>
      </w:r>
    </w:p>
  </w:footnote>
  <w:footnote w:id="33">
    <w:p w14:paraId="0F7EA15F" w14:textId="7F5FAFCD" w:rsidR="00332C15" w:rsidRPr="00836609" w:rsidRDefault="00332C15" w:rsidP="00481147">
      <w:pPr>
        <w:pStyle w:val="FootnoteText"/>
        <w:jc w:val="both"/>
        <w:rPr>
          <w:rFonts w:ascii="Times New Roman" w:hAnsi="Times New Roman"/>
          <w:sz w:val="16"/>
          <w:szCs w:val="16"/>
        </w:rPr>
      </w:pPr>
      <w:r w:rsidRPr="00836609">
        <w:rPr>
          <w:rStyle w:val="FootnoteReference"/>
          <w:rFonts w:ascii="Times New Roman" w:hAnsi="Times New Roman"/>
          <w:sz w:val="16"/>
          <w:szCs w:val="16"/>
        </w:rPr>
        <w:footnoteRef/>
      </w:r>
      <w:r>
        <w:rPr>
          <w:rFonts w:ascii="Times New Roman" w:hAnsi="Times New Roman"/>
          <w:sz w:val="16"/>
          <w:szCs w:val="16"/>
          <w:shd w:val="clear" w:color="auto" w:fill="FFFFFF"/>
        </w:rPr>
        <w:t xml:space="preserve"> </w:t>
      </w:r>
      <w:r w:rsidRPr="00836609">
        <w:rPr>
          <w:rFonts w:ascii="Times New Roman" w:hAnsi="Times New Roman"/>
          <w:sz w:val="16"/>
          <w:szCs w:val="16"/>
          <w:shd w:val="clear" w:color="auto" w:fill="FFFFFF"/>
        </w:rPr>
        <w:t>Lai Kioto protokola Dohas grozījumu uzskatītu par spēkā esošu, tas jāratificē trīs ceturtdaļām no Kioto protokola Dohas grozījumu Pusēm, t.i. 144 no 192 Pusēm, taču</w:t>
      </w:r>
      <w:r w:rsidRPr="00836609">
        <w:rPr>
          <w:rFonts w:ascii="Times New Roman" w:hAnsi="Times New Roman"/>
          <w:sz w:val="16"/>
          <w:szCs w:val="16"/>
        </w:rPr>
        <w:t xml:space="preserve"> </w:t>
      </w:r>
      <w:r w:rsidRPr="00836609">
        <w:rPr>
          <w:rFonts w:ascii="Times New Roman" w:hAnsi="Times New Roman"/>
          <w:sz w:val="16"/>
          <w:szCs w:val="16"/>
          <w:shd w:val="clear" w:color="auto" w:fill="FFFFFF"/>
        </w:rPr>
        <w:t xml:space="preserve">informatīvā ziņojuma sagatavošanas brīdī to bija izdarījušas tikai </w:t>
      </w:r>
      <w:r w:rsidRPr="00836609">
        <w:rPr>
          <w:rFonts w:ascii="Times New Roman" w:hAnsi="Times New Roman"/>
          <w:sz w:val="16"/>
          <w:szCs w:val="16"/>
        </w:rPr>
        <w:t>127 valstis (statuss uz 2019. gada 8.maiju</w:t>
      </w:r>
      <w:r>
        <w:rPr>
          <w:rFonts w:ascii="Times New Roman" w:hAnsi="Times New Roman"/>
          <w:sz w:val="16"/>
          <w:szCs w:val="16"/>
        </w:rPr>
        <w:t>).</w:t>
      </w:r>
    </w:p>
    <w:p w14:paraId="08018545" w14:textId="77777777" w:rsidR="00332C15" w:rsidRPr="001D2982" w:rsidRDefault="00037CA7" w:rsidP="00481147">
      <w:pPr>
        <w:pStyle w:val="FootnoteText"/>
        <w:jc w:val="both"/>
        <w:rPr>
          <w:rFonts w:ascii="Times New Roman" w:hAnsi="Times New Roman"/>
        </w:rPr>
      </w:pPr>
      <w:hyperlink r:id="rId4" w:history="1">
        <w:r w:rsidR="00332C15" w:rsidRPr="00836609">
          <w:rPr>
            <w:rStyle w:val="Hyperlink"/>
            <w:rFonts w:ascii="Times New Roman" w:hAnsi="Times New Roman"/>
            <w:sz w:val="16"/>
            <w:szCs w:val="16"/>
          </w:rPr>
          <w:t>https://treaties.un.org/Pages/ViewDetails.aspx?src=TREATY&amp;mtdsg_no=XXVII-7-c&amp;chapter=27&amp;clang=_en</w:t>
        </w:r>
      </w:hyperlink>
      <w:r w:rsidR="00332C15" w:rsidRPr="001D2982">
        <w:rPr>
          <w:rFonts w:ascii="Times New Roman" w:hAnsi="Times New Roman"/>
        </w:rPr>
        <w:t xml:space="preserve"> </w:t>
      </w:r>
    </w:p>
  </w:footnote>
  <w:footnote w:id="34">
    <w:p w14:paraId="0D330FE1" w14:textId="6814CEF0" w:rsidR="00332C15" w:rsidRPr="004617A7" w:rsidRDefault="00332C15" w:rsidP="00EB3C89">
      <w:pPr>
        <w:pStyle w:val="FootnoteText"/>
        <w:rPr>
          <w:rFonts w:ascii="Times New Roman" w:hAnsi="Times New Roman"/>
          <w:sz w:val="16"/>
          <w:szCs w:val="16"/>
        </w:rPr>
      </w:pPr>
      <w:r w:rsidRPr="004617A7">
        <w:rPr>
          <w:rStyle w:val="FootnoteReference"/>
          <w:rFonts w:ascii="Times New Roman" w:hAnsi="Times New Roman"/>
          <w:sz w:val="16"/>
          <w:szCs w:val="16"/>
        </w:rPr>
        <w:footnoteRef/>
      </w:r>
      <w:r w:rsidRPr="004617A7">
        <w:rPr>
          <w:rFonts w:ascii="Times New Roman" w:hAnsi="Times New Roman"/>
          <w:sz w:val="16"/>
          <w:szCs w:val="16"/>
        </w:rPr>
        <w:t xml:space="preserve"> Apstiprinātas ar Ministru kabineta 2014. gada 26. marta rīkojumu Nr. 130</w:t>
      </w:r>
      <w:r>
        <w:rPr>
          <w:rFonts w:ascii="Times New Roman" w:hAnsi="Times New Roman"/>
          <w:sz w:val="16"/>
          <w:szCs w:val="16"/>
        </w:rPr>
        <w:t xml:space="preserve"> “</w:t>
      </w:r>
      <w:r w:rsidRPr="0007414F">
        <w:rPr>
          <w:rFonts w:ascii="Times New Roman" w:hAnsi="Times New Roman"/>
          <w:sz w:val="16"/>
          <w:szCs w:val="16"/>
        </w:rPr>
        <w:t>Par Vides politikas pamatnostādnēm 2014.–2020. gadam</w:t>
      </w:r>
      <w:r>
        <w:rPr>
          <w:rFonts w:ascii="Times New Roman" w:hAnsi="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BC4C2" w14:textId="77777777" w:rsidR="002D7E22" w:rsidRDefault="002D7E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802996873"/>
      <w:docPartObj>
        <w:docPartGallery w:val="Page Numbers (Top of Page)"/>
        <w:docPartUnique/>
      </w:docPartObj>
    </w:sdtPr>
    <w:sdtEndPr>
      <w:rPr>
        <w:noProof/>
      </w:rPr>
    </w:sdtEndPr>
    <w:sdtContent>
      <w:p w14:paraId="4C70981F" w14:textId="77777777" w:rsidR="00332C15" w:rsidRPr="00160687" w:rsidRDefault="00332C15">
        <w:pPr>
          <w:pStyle w:val="Header"/>
          <w:jc w:val="center"/>
          <w:rPr>
            <w:rFonts w:ascii="Times New Roman" w:hAnsi="Times New Roman"/>
            <w:sz w:val="24"/>
            <w:szCs w:val="24"/>
          </w:rPr>
        </w:pPr>
        <w:r w:rsidRPr="00160687">
          <w:rPr>
            <w:rFonts w:ascii="Times New Roman" w:hAnsi="Times New Roman"/>
            <w:sz w:val="24"/>
            <w:szCs w:val="24"/>
          </w:rPr>
          <w:fldChar w:fldCharType="begin"/>
        </w:r>
        <w:r w:rsidRPr="00160687">
          <w:rPr>
            <w:rFonts w:ascii="Times New Roman" w:hAnsi="Times New Roman"/>
            <w:sz w:val="24"/>
            <w:szCs w:val="24"/>
          </w:rPr>
          <w:instrText xml:space="preserve"> PAGE   \* MERGEFORMAT </w:instrText>
        </w:r>
        <w:r w:rsidRPr="00160687">
          <w:rPr>
            <w:rFonts w:ascii="Times New Roman" w:hAnsi="Times New Roman"/>
            <w:sz w:val="24"/>
            <w:szCs w:val="24"/>
          </w:rPr>
          <w:fldChar w:fldCharType="separate"/>
        </w:r>
        <w:r w:rsidR="002D7E22">
          <w:rPr>
            <w:rFonts w:ascii="Times New Roman" w:hAnsi="Times New Roman"/>
            <w:noProof/>
            <w:sz w:val="24"/>
            <w:szCs w:val="24"/>
          </w:rPr>
          <w:t>2</w:t>
        </w:r>
        <w:r w:rsidRPr="00160687">
          <w:rPr>
            <w:rFonts w:ascii="Times New Roman" w:hAnsi="Times New Roman"/>
            <w:noProof/>
            <w:sz w:val="24"/>
            <w:szCs w:val="24"/>
          </w:rPr>
          <w:fldChar w:fldCharType="end"/>
        </w:r>
      </w:p>
    </w:sdtContent>
  </w:sdt>
  <w:p w14:paraId="1688B621" w14:textId="77777777" w:rsidR="00332C15" w:rsidRDefault="00332C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8DF8C" w14:textId="77777777" w:rsidR="002D7E22" w:rsidRDefault="002D7E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B09CA"/>
    <w:multiLevelType w:val="hybridMultilevel"/>
    <w:tmpl w:val="1EBEDE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2C21551"/>
    <w:multiLevelType w:val="hybridMultilevel"/>
    <w:tmpl w:val="D61A65D4"/>
    <w:lvl w:ilvl="0" w:tplc="0EFE7D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C3B031F"/>
    <w:multiLevelType w:val="hybridMultilevel"/>
    <w:tmpl w:val="7026CB76"/>
    <w:lvl w:ilvl="0" w:tplc="18D4EDDE">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DF0FA8"/>
    <w:multiLevelType w:val="hybridMultilevel"/>
    <w:tmpl w:val="BED46142"/>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4" w15:restartNumberingAfterBreak="0">
    <w:nsid w:val="350302D6"/>
    <w:multiLevelType w:val="hybridMultilevel"/>
    <w:tmpl w:val="F51E04C0"/>
    <w:lvl w:ilvl="0" w:tplc="0EFE7DDE">
      <w:start w:val="1"/>
      <w:numFmt w:val="bullet"/>
      <w:lvlText w:val=""/>
      <w:lvlJc w:val="left"/>
      <w:pPr>
        <w:ind w:left="2345"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6865E25"/>
    <w:multiLevelType w:val="multilevel"/>
    <w:tmpl w:val="E9308D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552127F"/>
    <w:multiLevelType w:val="singleLevel"/>
    <w:tmpl w:val="057A5296"/>
    <w:name w:val="Tiret 4"/>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7" w15:restartNumberingAfterBreak="0">
    <w:nsid w:val="50C3084D"/>
    <w:multiLevelType w:val="multilevel"/>
    <w:tmpl w:val="FB86D6EE"/>
    <w:lvl w:ilvl="0">
      <w:start w:val="1"/>
      <w:numFmt w:val="decimal"/>
      <w:pStyle w:val="Heading1"/>
      <w:lvlText w:val="%1."/>
      <w:lvlJc w:val="left"/>
      <w:pPr>
        <w:ind w:left="502" w:hanging="360"/>
      </w:pPr>
      <w:rPr>
        <w:rFonts w:hint="default"/>
      </w:rPr>
    </w:lvl>
    <w:lvl w:ilvl="1">
      <w:start w:val="1"/>
      <w:numFmt w:val="decimal"/>
      <w:pStyle w:val="Heading2"/>
      <w:lvlText w:val="%1.%2."/>
      <w:lvlJc w:val="left"/>
      <w:pPr>
        <w:ind w:left="3693"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38E083A"/>
    <w:multiLevelType w:val="hybridMultilevel"/>
    <w:tmpl w:val="8F5C553C"/>
    <w:lvl w:ilvl="0" w:tplc="0EFE7DDE">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9" w15:restartNumberingAfterBreak="0">
    <w:nsid w:val="7FF24D1A"/>
    <w:multiLevelType w:val="hybridMultilevel"/>
    <w:tmpl w:val="2E8AF0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8"/>
  </w:num>
  <w:num w:numId="5">
    <w:abstractNumId w:val="4"/>
  </w:num>
  <w:num w:numId="6">
    <w:abstractNumId w:val="2"/>
  </w:num>
  <w:num w:numId="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3"/>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D2"/>
    <w:rsid w:val="0000028A"/>
    <w:rsid w:val="0000126C"/>
    <w:rsid w:val="00003BFB"/>
    <w:rsid w:val="0000530C"/>
    <w:rsid w:val="00005B0B"/>
    <w:rsid w:val="00011A3A"/>
    <w:rsid w:val="0001247C"/>
    <w:rsid w:val="00014451"/>
    <w:rsid w:val="00016432"/>
    <w:rsid w:val="00016D5D"/>
    <w:rsid w:val="00026CD5"/>
    <w:rsid w:val="00032E6F"/>
    <w:rsid w:val="000339A9"/>
    <w:rsid w:val="00035B32"/>
    <w:rsid w:val="000372EF"/>
    <w:rsid w:val="00037CA7"/>
    <w:rsid w:val="00042B88"/>
    <w:rsid w:val="00042CF9"/>
    <w:rsid w:val="0004378F"/>
    <w:rsid w:val="00044200"/>
    <w:rsid w:val="000451E5"/>
    <w:rsid w:val="0004663B"/>
    <w:rsid w:val="00046F8A"/>
    <w:rsid w:val="00052357"/>
    <w:rsid w:val="00052A26"/>
    <w:rsid w:val="00066A67"/>
    <w:rsid w:val="00070E90"/>
    <w:rsid w:val="0007414F"/>
    <w:rsid w:val="0007529B"/>
    <w:rsid w:val="0007645D"/>
    <w:rsid w:val="00080DBF"/>
    <w:rsid w:val="0008514D"/>
    <w:rsid w:val="0008720B"/>
    <w:rsid w:val="00090BE7"/>
    <w:rsid w:val="000922C2"/>
    <w:rsid w:val="000923AD"/>
    <w:rsid w:val="000936A2"/>
    <w:rsid w:val="00097507"/>
    <w:rsid w:val="00097639"/>
    <w:rsid w:val="000A0207"/>
    <w:rsid w:val="000A2288"/>
    <w:rsid w:val="000A45C9"/>
    <w:rsid w:val="000A490C"/>
    <w:rsid w:val="000A4E1D"/>
    <w:rsid w:val="000A709F"/>
    <w:rsid w:val="000B0D7F"/>
    <w:rsid w:val="000B3657"/>
    <w:rsid w:val="000B62D4"/>
    <w:rsid w:val="000B63D6"/>
    <w:rsid w:val="000B7A5C"/>
    <w:rsid w:val="000C10CA"/>
    <w:rsid w:val="000C3727"/>
    <w:rsid w:val="000C5097"/>
    <w:rsid w:val="000C67F3"/>
    <w:rsid w:val="000C745A"/>
    <w:rsid w:val="000C753C"/>
    <w:rsid w:val="000D1561"/>
    <w:rsid w:val="000D78DB"/>
    <w:rsid w:val="000E017A"/>
    <w:rsid w:val="000E0193"/>
    <w:rsid w:val="000E5304"/>
    <w:rsid w:val="000E57F2"/>
    <w:rsid w:val="000E64B7"/>
    <w:rsid w:val="000E68F9"/>
    <w:rsid w:val="000E69D4"/>
    <w:rsid w:val="00102BBD"/>
    <w:rsid w:val="00102E19"/>
    <w:rsid w:val="0010363D"/>
    <w:rsid w:val="00103D20"/>
    <w:rsid w:val="00104BEE"/>
    <w:rsid w:val="00107C26"/>
    <w:rsid w:val="00110BD3"/>
    <w:rsid w:val="0011113E"/>
    <w:rsid w:val="00112AFF"/>
    <w:rsid w:val="00126E72"/>
    <w:rsid w:val="001320AC"/>
    <w:rsid w:val="00132B9E"/>
    <w:rsid w:val="00133B27"/>
    <w:rsid w:val="00136F6C"/>
    <w:rsid w:val="00140234"/>
    <w:rsid w:val="00142014"/>
    <w:rsid w:val="001437A0"/>
    <w:rsid w:val="001450FA"/>
    <w:rsid w:val="00145F76"/>
    <w:rsid w:val="0015003B"/>
    <w:rsid w:val="00153116"/>
    <w:rsid w:val="00155137"/>
    <w:rsid w:val="00156095"/>
    <w:rsid w:val="00160687"/>
    <w:rsid w:val="001668BF"/>
    <w:rsid w:val="00166FB9"/>
    <w:rsid w:val="001672E3"/>
    <w:rsid w:val="00167860"/>
    <w:rsid w:val="00167CE2"/>
    <w:rsid w:val="00173738"/>
    <w:rsid w:val="0017471E"/>
    <w:rsid w:val="001768F2"/>
    <w:rsid w:val="00181D7A"/>
    <w:rsid w:val="00190184"/>
    <w:rsid w:val="00192076"/>
    <w:rsid w:val="0019559B"/>
    <w:rsid w:val="00195D91"/>
    <w:rsid w:val="001973A2"/>
    <w:rsid w:val="001A2185"/>
    <w:rsid w:val="001A253F"/>
    <w:rsid w:val="001A2FF3"/>
    <w:rsid w:val="001A333B"/>
    <w:rsid w:val="001A371B"/>
    <w:rsid w:val="001A46BF"/>
    <w:rsid w:val="001A6621"/>
    <w:rsid w:val="001A6DBE"/>
    <w:rsid w:val="001B1F85"/>
    <w:rsid w:val="001B77DF"/>
    <w:rsid w:val="001C04A0"/>
    <w:rsid w:val="001C1800"/>
    <w:rsid w:val="001C2AD1"/>
    <w:rsid w:val="001D0AE2"/>
    <w:rsid w:val="001D2B80"/>
    <w:rsid w:val="001E4DD7"/>
    <w:rsid w:val="001E557B"/>
    <w:rsid w:val="001F1813"/>
    <w:rsid w:val="001F3816"/>
    <w:rsid w:val="001F4D5A"/>
    <w:rsid w:val="001F4D6B"/>
    <w:rsid w:val="001F5323"/>
    <w:rsid w:val="001F5ABA"/>
    <w:rsid w:val="001F5DDD"/>
    <w:rsid w:val="001F713A"/>
    <w:rsid w:val="001F7E4D"/>
    <w:rsid w:val="00200279"/>
    <w:rsid w:val="0020477A"/>
    <w:rsid w:val="00205B8A"/>
    <w:rsid w:val="002100C9"/>
    <w:rsid w:val="00211C21"/>
    <w:rsid w:val="00213A9F"/>
    <w:rsid w:val="00214941"/>
    <w:rsid w:val="00215400"/>
    <w:rsid w:val="00215CB4"/>
    <w:rsid w:val="00215DB0"/>
    <w:rsid w:val="00216256"/>
    <w:rsid w:val="00222477"/>
    <w:rsid w:val="002307AD"/>
    <w:rsid w:val="00235D54"/>
    <w:rsid w:val="0023677F"/>
    <w:rsid w:val="002403BE"/>
    <w:rsid w:val="002426B5"/>
    <w:rsid w:val="0024738F"/>
    <w:rsid w:val="002509EC"/>
    <w:rsid w:val="00250C76"/>
    <w:rsid w:val="00252A4D"/>
    <w:rsid w:val="00252C71"/>
    <w:rsid w:val="002534C8"/>
    <w:rsid w:val="0025711F"/>
    <w:rsid w:val="00260258"/>
    <w:rsid w:val="00260FB2"/>
    <w:rsid w:val="00261516"/>
    <w:rsid w:val="00261792"/>
    <w:rsid w:val="00265FDF"/>
    <w:rsid w:val="00267E29"/>
    <w:rsid w:val="002728AB"/>
    <w:rsid w:val="00273587"/>
    <w:rsid w:val="0027369D"/>
    <w:rsid w:val="00275658"/>
    <w:rsid w:val="00290BCF"/>
    <w:rsid w:val="00294F97"/>
    <w:rsid w:val="002952F5"/>
    <w:rsid w:val="00295956"/>
    <w:rsid w:val="002A06C3"/>
    <w:rsid w:val="002A08BC"/>
    <w:rsid w:val="002A202F"/>
    <w:rsid w:val="002A374B"/>
    <w:rsid w:val="002A3930"/>
    <w:rsid w:val="002A3D6D"/>
    <w:rsid w:val="002A5CE5"/>
    <w:rsid w:val="002A5DD3"/>
    <w:rsid w:val="002A6F22"/>
    <w:rsid w:val="002A73FF"/>
    <w:rsid w:val="002A7BAE"/>
    <w:rsid w:val="002B2B79"/>
    <w:rsid w:val="002B2F33"/>
    <w:rsid w:val="002B5044"/>
    <w:rsid w:val="002B59F1"/>
    <w:rsid w:val="002B7B09"/>
    <w:rsid w:val="002B7E69"/>
    <w:rsid w:val="002C16A2"/>
    <w:rsid w:val="002C53BD"/>
    <w:rsid w:val="002C647F"/>
    <w:rsid w:val="002C74A3"/>
    <w:rsid w:val="002D59DA"/>
    <w:rsid w:val="002D7E22"/>
    <w:rsid w:val="002E0DAA"/>
    <w:rsid w:val="002E31E5"/>
    <w:rsid w:val="002E3DD3"/>
    <w:rsid w:val="002E407A"/>
    <w:rsid w:val="002E54A5"/>
    <w:rsid w:val="002E6B4C"/>
    <w:rsid w:val="002E6CA7"/>
    <w:rsid w:val="002F105F"/>
    <w:rsid w:val="002F6B8A"/>
    <w:rsid w:val="0030031F"/>
    <w:rsid w:val="003025AA"/>
    <w:rsid w:val="0030431E"/>
    <w:rsid w:val="00311021"/>
    <w:rsid w:val="003114FE"/>
    <w:rsid w:val="003119BA"/>
    <w:rsid w:val="0031250A"/>
    <w:rsid w:val="003143A1"/>
    <w:rsid w:val="00315997"/>
    <w:rsid w:val="00315B21"/>
    <w:rsid w:val="003171A9"/>
    <w:rsid w:val="00317A6C"/>
    <w:rsid w:val="003207C2"/>
    <w:rsid w:val="00321E5A"/>
    <w:rsid w:val="00323A08"/>
    <w:rsid w:val="00325D27"/>
    <w:rsid w:val="003267C5"/>
    <w:rsid w:val="00330AC0"/>
    <w:rsid w:val="0033254A"/>
    <w:rsid w:val="00332C15"/>
    <w:rsid w:val="003346C4"/>
    <w:rsid w:val="00336131"/>
    <w:rsid w:val="00341BBA"/>
    <w:rsid w:val="0034226C"/>
    <w:rsid w:val="00343298"/>
    <w:rsid w:val="0034437C"/>
    <w:rsid w:val="00345FCF"/>
    <w:rsid w:val="0035392B"/>
    <w:rsid w:val="00354956"/>
    <w:rsid w:val="00354B2F"/>
    <w:rsid w:val="00361808"/>
    <w:rsid w:val="0036297A"/>
    <w:rsid w:val="0036385D"/>
    <w:rsid w:val="00363A6F"/>
    <w:rsid w:val="00365B90"/>
    <w:rsid w:val="00367676"/>
    <w:rsid w:val="003716FA"/>
    <w:rsid w:val="003747AD"/>
    <w:rsid w:val="003752DA"/>
    <w:rsid w:val="0037531A"/>
    <w:rsid w:val="003772C6"/>
    <w:rsid w:val="00377DFB"/>
    <w:rsid w:val="003800DE"/>
    <w:rsid w:val="003834E0"/>
    <w:rsid w:val="003847AB"/>
    <w:rsid w:val="00385FC1"/>
    <w:rsid w:val="00391902"/>
    <w:rsid w:val="0039350A"/>
    <w:rsid w:val="0039794C"/>
    <w:rsid w:val="003A2136"/>
    <w:rsid w:val="003A305F"/>
    <w:rsid w:val="003A3860"/>
    <w:rsid w:val="003A4B64"/>
    <w:rsid w:val="003A505A"/>
    <w:rsid w:val="003B385F"/>
    <w:rsid w:val="003B3C99"/>
    <w:rsid w:val="003B561A"/>
    <w:rsid w:val="003B6E38"/>
    <w:rsid w:val="003C73F3"/>
    <w:rsid w:val="003C7579"/>
    <w:rsid w:val="003D0294"/>
    <w:rsid w:val="003D5883"/>
    <w:rsid w:val="003D61D4"/>
    <w:rsid w:val="003E0FE8"/>
    <w:rsid w:val="003E1B5C"/>
    <w:rsid w:val="003E5253"/>
    <w:rsid w:val="003E55DA"/>
    <w:rsid w:val="003E6DA1"/>
    <w:rsid w:val="003F0E9D"/>
    <w:rsid w:val="003F2F9F"/>
    <w:rsid w:val="003F31BD"/>
    <w:rsid w:val="003F596B"/>
    <w:rsid w:val="00400E0C"/>
    <w:rsid w:val="004015A0"/>
    <w:rsid w:val="00401E5D"/>
    <w:rsid w:val="004047FA"/>
    <w:rsid w:val="00404C00"/>
    <w:rsid w:val="0041067A"/>
    <w:rsid w:val="00410A5E"/>
    <w:rsid w:val="00412305"/>
    <w:rsid w:val="00414017"/>
    <w:rsid w:val="004160C2"/>
    <w:rsid w:val="004167AA"/>
    <w:rsid w:val="00416D60"/>
    <w:rsid w:val="00417A66"/>
    <w:rsid w:val="00417E37"/>
    <w:rsid w:val="00420AA2"/>
    <w:rsid w:val="00421724"/>
    <w:rsid w:val="00422C16"/>
    <w:rsid w:val="00423C88"/>
    <w:rsid w:val="004240A5"/>
    <w:rsid w:val="00425A2A"/>
    <w:rsid w:val="00425C0B"/>
    <w:rsid w:val="00426395"/>
    <w:rsid w:val="00426E9D"/>
    <w:rsid w:val="00427EF8"/>
    <w:rsid w:val="0043060E"/>
    <w:rsid w:val="004359FB"/>
    <w:rsid w:val="004373B8"/>
    <w:rsid w:val="00440FAB"/>
    <w:rsid w:val="00442D70"/>
    <w:rsid w:val="004431CD"/>
    <w:rsid w:val="00445319"/>
    <w:rsid w:val="00446522"/>
    <w:rsid w:val="004523BD"/>
    <w:rsid w:val="0045413B"/>
    <w:rsid w:val="00456BFA"/>
    <w:rsid w:val="0046124F"/>
    <w:rsid w:val="00461512"/>
    <w:rsid w:val="004617A7"/>
    <w:rsid w:val="00462FF7"/>
    <w:rsid w:val="004639FD"/>
    <w:rsid w:val="00466FCF"/>
    <w:rsid w:val="004675D6"/>
    <w:rsid w:val="00470315"/>
    <w:rsid w:val="004744FE"/>
    <w:rsid w:val="00477A91"/>
    <w:rsid w:val="00481147"/>
    <w:rsid w:val="00483E3B"/>
    <w:rsid w:val="00486AA2"/>
    <w:rsid w:val="00486DCF"/>
    <w:rsid w:val="00486E20"/>
    <w:rsid w:val="004916E9"/>
    <w:rsid w:val="00491AE1"/>
    <w:rsid w:val="00494A06"/>
    <w:rsid w:val="0049564B"/>
    <w:rsid w:val="004A0668"/>
    <w:rsid w:val="004A0811"/>
    <w:rsid w:val="004A4647"/>
    <w:rsid w:val="004A4AEE"/>
    <w:rsid w:val="004A562D"/>
    <w:rsid w:val="004A59A2"/>
    <w:rsid w:val="004B0384"/>
    <w:rsid w:val="004C1684"/>
    <w:rsid w:val="004C307A"/>
    <w:rsid w:val="004C61A5"/>
    <w:rsid w:val="004C6EB8"/>
    <w:rsid w:val="004C7158"/>
    <w:rsid w:val="004D1392"/>
    <w:rsid w:val="004D26EC"/>
    <w:rsid w:val="004D3DE1"/>
    <w:rsid w:val="004D4761"/>
    <w:rsid w:val="004E2553"/>
    <w:rsid w:val="004F13DA"/>
    <w:rsid w:val="004F3F6A"/>
    <w:rsid w:val="004F4CC6"/>
    <w:rsid w:val="004F54B7"/>
    <w:rsid w:val="00502BBA"/>
    <w:rsid w:val="00502E05"/>
    <w:rsid w:val="00503318"/>
    <w:rsid w:val="00503545"/>
    <w:rsid w:val="00505878"/>
    <w:rsid w:val="005066ED"/>
    <w:rsid w:val="005114A2"/>
    <w:rsid w:val="005119D3"/>
    <w:rsid w:val="00514435"/>
    <w:rsid w:val="00515764"/>
    <w:rsid w:val="00516B86"/>
    <w:rsid w:val="00517D76"/>
    <w:rsid w:val="0052558B"/>
    <w:rsid w:val="0052578A"/>
    <w:rsid w:val="0052597E"/>
    <w:rsid w:val="005329ED"/>
    <w:rsid w:val="005337CC"/>
    <w:rsid w:val="00536E52"/>
    <w:rsid w:val="0053729D"/>
    <w:rsid w:val="005413D4"/>
    <w:rsid w:val="005414B0"/>
    <w:rsid w:val="00550E7B"/>
    <w:rsid w:val="005515C8"/>
    <w:rsid w:val="00554347"/>
    <w:rsid w:val="005621D6"/>
    <w:rsid w:val="005677D8"/>
    <w:rsid w:val="00571C71"/>
    <w:rsid w:val="00575818"/>
    <w:rsid w:val="00581EB2"/>
    <w:rsid w:val="00586294"/>
    <w:rsid w:val="00590266"/>
    <w:rsid w:val="00594170"/>
    <w:rsid w:val="005A0DAC"/>
    <w:rsid w:val="005A525C"/>
    <w:rsid w:val="005A5FBD"/>
    <w:rsid w:val="005A62BE"/>
    <w:rsid w:val="005B064E"/>
    <w:rsid w:val="005B34C6"/>
    <w:rsid w:val="005B5747"/>
    <w:rsid w:val="005C329F"/>
    <w:rsid w:val="005C3B43"/>
    <w:rsid w:val="005C4143"/>
    <w:rsid w:val="005C4F24"/>
    <w:rsid w:val="005C5DA5"/>
    <w:rsid w:val="005C6320"/>
    <w:rsid w:val="005C652E"/>
    <w:rsid w:val="005C6D68"/>
    <w:rsid w:val="005D69C5"/>
    <w:rsid w:val="005E00E1"/>
    <w:rsid w:val="005E1EC0"/>
    <w:rsid w:val="005E6E5F"/>
    <w:rsid w:val="005E7126"/>
    <w:rsid w:val="005E7AA5"/>
    <w:rsid w:val="005F0DBB"/>
    <w:rsid w:val="005F35A3"/>
    <w:rsid w:val="005F36FB"/>
    <w:rsid w:val="005F43FA"/>
    <w:rsid w:val="005F5672"/>
    <w:rsid w:val="005F6B82"/>
    <w:rsid w:val="00600DF4"/>
    <w:rsid w:val="00602C19"/>
    <w:rsid w:val="006034B0"/>
    <w:rsid w:val="00603AB8"/>
    <w:rsid w:val="00607917"/>
    <w:rsid w:val="006122D0"/>
    <w:rsid w:val="00612954"/>
    <w:rsid w:val="00613D60"/>
    <w:rsid w:val="00615897"/>
    <w:rsid w:val="00615932"/>
    <w:rsid w:val="00617307"/>
    <w:rsid w:val="00620256"/>
    <w:rsid w:val="006212A4"/>
    <w:rsid w:val="006216CA"/>
    <w:rsid w:val="006251C7"/>
    <w:rsid w:val="006329E3"/>
    <w:rsid w:val="006369EA"/>
    <w:rsid w:val="00637C37"/>
    <w:rsid w:val="00640C3B"/>
    <w:rsid w:val="00642588"/>
    <w:rsid w:val="006426ED"/>
    <w:rsid w:val="00645086"/>
    <w:rsid w:val="0064652B"/>
    <w:rsid w:val="00650C36"/>
    <w:rsid w:val="00650E8E"/>
    <w:rsid w:val="00652D72"/>
    <w:rsid w:val="0065593D"/>
    <w:rsid w:val="00657754"/>
    <w:rsid w:val="006618D1"/>
    <w:rsid w:val="00662597"/>
    <w:rsid w:val="00665D69"/>
    <w:rsid w:val="006706BE"/>
    <w:rsid w:val="00670780"/>
    <w:rsid w:val="0067440B"/>
    <w:rsid w:val="0067545A"/>
    <w:rsid w:val="00676012"/>
    <w:rsid w:val="00677125"/>
    <w:rsid w:val="006839EB"/>
    <w:rsid w:val="00683F9F"/>
    <w:rsid w:val="00684922"/>
    <w:rsid w:val="00684E0F"/>
    <w:rsid w:val="00684EDC"/>
    <w:rsid w:val="00693E47"/>
    <w:rsid w:val="00694902"/>
    <w:rsid w:val="00694DEF"/>
    <w:rsid w:val="006970DE"/>
    <w:rsid w:val="006A32AF"/>
    <w:rsid w:val="006A3F4D"/>
    <w:rsid w:val="006B42BF"/>
    <w:rsid w:val="006B4437"/>
    <w:rsid w:val="006B4AC0"/>
    <w:rsid w:val="006B699C"/>
    <w:rsid w:val="006B7CD4"/>
    <w:rsid w:val="006C01A3"/>
    <w:rsid w:val="006C55E5"/>
    <w:rsid w:val="006D0481"/>
    <w:rsid w:val="006D110E"/>
    <w:rsid w:val="006D616A"/>
    <w:rsid w:val="006D6EF7"/>
    <w:rsid w:val="006E2C58"/>
    <w:rsid w:val="006E3A35"/>
    <w:rsid w:val="006E6929"/>
    <w:rsid w:val="006E6F6A"/>
    <w:rsid w:val="006E7EE2"/>
    <w:rsid w:val="006F031E"/>
    <w:rsid w:val="006F0B14"/>
    <w:rsid w:val="006F1DC8"/>
    <w:rsid w:val="006F2E86"/>
    <w:rsid w:val="006F2F60"/>
    <w:rsid w:val="006F7C1B"/>
    <w:rsid w:val="00703485"/>
    <w:rsid w:val="007041C1"/>
    <w:rsid w:val="007121AC"/>
    <w:rsid w:val="00714D96"/>
    <w:rsid w:val="0071507F"/>
    <w:rsid w:val="00717CF1"/>
    <w:rsid w:val="00721CBB"/>
    <w:rsid w:val="0072613D"/>
    <w:rsid w:val="007272BA"/>
    <w:rsid w:val="00727C48"/>
    <w:rsid w:val="00730549"/>
    <w:rsid w:val="007347AB"/>
    <w:rsid w:val="007369A0"/>
    <w:rsid w:val="00737B59"/>
    <w:rsid w:val="007410AE"/>
    <w:rsid w:val="00745D8A"/>
    <w:rsid w:val="0074775B"/>
    <w:rsid w:val="00747C93"/>
    <w:rsid w:val="00750AC2"/>
    <w:rsid w:val="0075334C"/>
    <w:rsid w:val="00760592"/>
    <w:rsid w:val="00763A1B"/>
    <w:rsid w:val="00766AD5"/>
    <w:rsid w:val="0077296C"/>
    <w:rsid w:val="00773001"/>
    <w:rsid w:val="00775B9D"/>
    <w:rsid w:val="00776E93"/>
    <w:rsid w:val="007842D0"/>
    <w:rsid w:val="00794857"/>
    <w:rsid w:val="007A54D5"/>
    <w:rsid w:val="007A6402"/>
    <w:rsid w:val="007A7535"/>
    <w:rsid w:val="007B0BDD"/>
    <w:rsid w:val="007B0CE8"/>
    <w:rsid w:val="007B265D"/>
    <w:rsid w:val="007B640F"/>
    <w:rsid w:val="007C3A60"/>
    <w:rsid w:val="007C44D1"/>
    <w:rsid w:val="007D0F45"/>
    <w:rsid w:val="007D186D"/>
    <w:rsid w:val="007D5BAD"/>
    <w:rsid w:val="007D6CAA"/>
    <w:rsid w:val="007D6D38"/>
    <w:rsid w:val="007D7F73"/>
    <w:rsid w:val="007E189F"/>
    <w:rsid w:val="007E2ABD"/>
    <w:rsid w:val="007E3893"/>
    <w:rsid w:val="007E5ACD"/>
    <w:rsid w:val="007F2693"/>
    <w:rsid w:val="007F63EE"/>
    <w:rsid w:val="007F7D32"/>
    <w:rsid w:val="00806218"/>
    <w:rsid w:val="008101B8"/>
    <w:rsid w:val="008107D5"/>
    <w:rsid w:val="0081408F"/>
    <w:rsid w:val="00814F78"/>
    <w:rsid w:val="00823D54"/>
    <w:rsid w:val="00825056"/>
    <w:rsid w:val="00825AA9"/>
    <w:rsid w:val="00826D21"/>
    <w:rsid w:val="0082776F"/>
    <w:rsid w:val="00832C71"/>
    <w:rsid w:val="00836609"/>
    <w:rsid w:val="00840C52"/>
    <w:rsid w:val="008455B4"/>
    <w:rsid w:val="00862521"/>
    <w:rsid w:val="00862D83"/>
    <w:rsid w:val="00866B3E"/>
    <w:rsid w:val="00866F0D"/>
    <w:rsid w:val="0086761B"/>
    <w:rsid w:val="0086792D"/>
    <w:rsid w:val="00867A8C"/>
    <w:rsid w:val="00871C90"/>
    <w:rsid w:val="00872289"/>
    <w:rsid w:val="008765BE"/>
    <w:rsid w:val="00877E60"/>
    <w:rsid w:val="00877F6D"/>
    <w:rsid w:val="00885001"/>
    <w:rsid w:val="0088657D"/>
    <w:rsid w:val="00890643"/>
    <w:rsid w:val="00890D13"/>
    <w:rsid w:val="00891564"/>
    <w:rsid w:val="00892DC0"/>
    <w:rsid w:val="008940B6"/>
    <w:rsid w:val="008940C8"/>
    <w:rsid w:val="008A1C33"/>
    <w:rsid w:val="008A3EF3"/>
    <w:rsid w:val="008A4CD0"/>
    <w:rsid w:val="008A54A5"/>
    <w:rsid w:val="008B37A5"/>
    <w:rsid w:val="008B52BF"/>
    <w:rsid w:val="008C258D"/>
    <w:rsid w:val="008C32A4"/>
    <w:rsid w:val="008C4199"/>
    <w:rsid w:val="008C46AE"/>
    <w:rsid w:val="008C6693"/>
    <w:rsid w:val="008D41B0"/>
    <w:rsid w:val="008D7631"/>
    <w:rsid w:val="008D7D41"/>
    <w:rsid w:val="008E0235"/>
    <w:rsid w:val="008E0C9F"/>
    <w:rsid w:val="008E6226"/>
    <w:rsid w:val="008E790F"/>
    <w:rsid w:val="008F2242"/>
    <w:rsid w:val="008F41FB"/>
    <w:rsid w:val="008F6570"/>
    <w:rsid w:val="008F7B86"/>
    <w:rsid w:val="009010A4"/>
    <w:rsid w:val="00901B11"/>
    <w:rsid w:val="00907B28"/>
    <w:rsid w:val="009102CF"/>
    <w:rsid w:val="00911144"/>
    <w:rsid w:val="00915397"/>
    <w:rsid w:val="00917059"/>
    <w:rsid w:val="00921271"/>
    <w:rsid w:val="00922C7E"/>
    <w:rsid w:val="00924951"/>
    <w:rsid w:val="009252D2"/>
    <w:rsid w:val="00933D56"/>
    <w:rsid w:val="00940453"/>
    <w:rsid w:val="00945D70"/>
    <w:rsid w:val="009511E8"/>
    <w:rsid w:val="00955E7A"/>
    <w:rsid w:val="00964CF6"/>
    <w:rsid w:val="00964FAB"/>
    <w:rsid w:val="00967C3F"/>
    <w:rsid w:val="00970CA6"/>
    <w:rsid w:val="009713C3"/>
    <w:rsid w:val="009728F1"/>
    <w:rsid w:val="00973B68"/>
    <w:rsid w:val="00975F91"/>
    <w:rsid w:val="009769A6"/>
    <w:rsid w:val="009802A6"/>
    <w:rsid w:val="00982E32"/>
    <w:rsid w:val="00983C77"/>
    <w:rsid w:val="00984C7A"/>
    <w:rsid w:val="00985564"/>
    <w:rsid w:val="009862CD"/>
    <w:rsid w:val="0099468D"/>
    <w:rsid w:val="0099747D"/>
    <w:rsid w:val="009975EA"/>
    <w:rsid w:val="009A0D74"/>
    <w:rsid w:val="009A4B03"/>
    <w:rsid w:val="009A4C87"/>
    <w:rsid w:val="009A6AA3"/>
    <w:rsid w:val="009A783D"/>
    <w:rsid w:val="009B221F"/>
    <w:rsid w:val="009B48A3"/>
    <w:rsid w:val="009B6CBC"/>
    <w:rsid w:val="009C0028"/>
    <w:rsid w:val="009C27F7"/>
    <w:rsid w:val="009C397E"/>
    <w:rsid w:val="009C3C72"/>
    <w:rsid w:val="009D12BE"/>
    <w:rsid w:val="009D1D07"/>
    <w:rsid w:val="009D20A3"/>
    <w:rsid w:val="009D20EA"/>
    <w:rsid w:val="009D333B"/>
    <w:rsid w:val="009D56FE"/>
    <w:rsid w:val="009D5897"/>
    <w:rsid w:val="009D7791"/>
    <w:rsid w:val="009E5387"/>
    <w:rsid w:val="009E5ADE"/>
    <w:rsid w:val="009E669D"/>
    <w:rsid w:val="009F1619"/>
    <w:rsid w:val="009F20BB"/>
    <w:rsid w:val="009F2507"/>
    <w:rsid w:val="009F3E3B"/>
    <w:rsid w:val="009F4FB8"/>
    <w:rsid w:val="00A0053A"/>
    <w:rsid w:val="00A020C7"/>
    <w:rsid w:val="00A03855"/>
    <w:rsid w:val="00A06BF3"/>
    <w:rsid w:val="00A123D6"/>
    <w:rsid w:val="00A15622"/>
    <w:rsid w:val="00A16D5F"/>
    <w:rsid w:val="00A1713B"/>
    <w:rsid w:val="00A2076F"/>
    <w:rsid w:val="00A20870"/>
    <w:rsid w:val="00A21C28"/>
    <w:rsid w:val="00A26FE3"/>
    <w:rsid w:val="00A3249C"/>
    <w:rsid w:val="00A42DDC"/>
    <w:rsid w:val="00A50308"/>
    <w:rsid w:val="00A50852"/>
    <w:rsid w:val="00A51220"/>
    <w:rsid w:val="00A5159A"/>
    <w:rsid w:val="00A515BC"/>
    <w:rsid w:val="00A519E2"/>
    <w:rsid w:val="00A5438A"/>
    <w:rsid w:val="00A565A7"/>
    <w:rsid w:val="00A66F56"/>
    <w:rsid w:val="00A73B4A"/>
    <w:rsid w:val="00A74576"/>
    <w:rsid w:val="00A74FE3"/>
    <w:rsid w:val="00A759F8"/>
    <w:rsid w:val="00A926DF"/>
    <w:rsid w:val="00A94607"/>
    <w:rsid w:val="00AA2C5A"/>
    <w:rsid w:val="00AA47FF"/>
    <w:rsid w:val="00AB09B1"/>
    <w:rsid w:val="00AB1029"/>
    <w:rsid w:val="00AB1C4C"/>
    <w:rsid w:val="00AB30D8"/>
    <w:rsid w:val="00AC00ED"/>
    <w:rsid w:val="00AC163F"/>
    <w:rsid w:val="00AC231B"/>
    <w:rsid w:val="00AC69FB"/>
    <w:rsid w:val="00AD0CCD"/>
    <w:rsid w:val="00AD1AC1"/>
    <w:rsid w:val="00AD4238"/>
    <w:rsid w:val="00AE0790"/>
    <w:rsid w:val="00AE13D3"/>
    <w:rsid w:val="00AE1E01"/>
    <w:rsid w:val="00AE2FE7"/>
    <w:rsid w:val="00AE6362"/>
    <w:rsid w:val="00AF2B42"/>
    <w:rsid w:val="00AF2C85"/>
    <w:rsid w:val="00AF315A"/>
    <w:rsid w:val="00AF33D2"/>
    <w:rsid w:val="00AF5513"/>
    <w:rsid w:val="00AF5A27"/>
    <w:rsid w:val="00B0038F"/>
    <w:rsid w:val="00B02ED4"/>
    <w:rsid w:val="00B03778"/>
    <w:rsid w:val="00B03AC7"/>
    <w:rsid w:val="00B05CA2"/>
    <w:rsid w:val="00B07896"/>
    <w:rsid w:val="00B079A2"/>
    <w:rsid w:val="00B07BB2"/>
    <w:rsid w:val="00B108CE"/>
    <w:rsid w:val="00B16939"/>
    <w:rsid w:val="00B1764F"/>
    <w:rsid w:val="00B22FDF"/>
    <w:rsid w:val="00B24205"/>
    <w:rsid w:val="00B251F7"/>
    <w:rsid w:val="00B26B4D"/>
    <w:rsid w:val="00B26D03"/>
    <w:rsid w:val="00B277CF"/>
    <w:rsid w:val="00B31C0B"/>
    <w:rsid w:val="00B32FF7"/>
    <w:rsid w:val="00B40320"/>
    <w:rsid w:val="00B44777"/>
    <w:rsid w:val="00B50582"/>
    <w:rsid w:val="00B51189"/>
    <w:rsid w:val="00B530EC"/>
    <w:rsid w:val="00B554A6"/>
    <w:rsid w:val="00B621CE"/>
    <w:rsid w:val="00B62EB5"/>
    <w:rsid w:val="00B638C3"/>
    <w:rsid w:val="00B7062E"/>
    <w:rsid w:val="00B726EB"/>
    <w:rsid w:val="00B73C96"/>
    <w:rsid w:val="00B7692E"/>
    <w:rsid w:val="00B76E98"/>
    <w:rsid w:val="00B82E47"/>
    <w:rsid w:val="00B85042"/>
    <w:rsid w:val="00B86762"/>
    <w:rsid w:val="00B87B32"/>
    <w:rsid w:val="00B9003B"/>
    <w:rsid w:val="00B9404A"/>
    <w:rsid w:val="00B94AA5"/>
    <w:rsid w:val="00B954E4"/>
    <w:rsid w:val="00B96BF0"/>
    <w:rsid w:val="00B96EDA"/>
    <w:rsid w:val="00BA42DD"/>
    <w:rsid w:val="00BA7020"/>
    <w:rsid w:val="00BB29D6"/>
    <w:rsid w:val="00BB4DBD"/>
    <w:rsid w:val="00BC1319"/>
    <w:rsid w:val="00BC17F4"/>
    <w:rsid w:val="00BC1AF4"/>
    <w:rsid w:val="00BC2766"/>
    <w:rsid w:val="00BC3B64"/>
    <w:rsid w:val="00BC5A7E"/>
    <w:rsid w:val="00BC6A57"/>
    <w:rsid w:val="00BC7604"/>
    <w:rsid w:val="00BD0115"/>
    <w:rsid w:val="00BD02EB"/>
    <w:rsid w:val="00BD0850"/>
    <w:rsid w:val="00BD1B1C"/>
    <w:rsid w:val="00BD51AC"/>
    <w:rsid w:val="00BD7257"/>
    <w:rsid w:val="00BE28E1"/>
    <w:rsid w:val="00BE7E70"/>
    <w:rsid w:val="00BF0E8F"/>
    <w:rsid w:val="00BF422F"/>
    <w:rsid w:val="00BF4241"/>
    <w:rsid w:val="00BF4DFE"/>
    <w:rsid w:val="00BF6A20"/>
    <w:rsid w:val="00C01ED0"/>
    <w:rsid w:val="00C01F93"/>
    <w:rsid w:val="00C042C8"/>
    <w:rsid w:val="00C04E69"/>
    <w:rsid w:val="00C05840"/>
    <w:rsid w:val="00C0760D"/>
    <w:rsid w:val="00C1170A"/>
    <w:rsid w:val="00C118F9"/>
    <w:rsid w:val="00C1593B"/>
    <w:rsid w:val="00C1637A"/>
    <w:rsid w:val="00C21932"/>
    <w:rsid w:val="00C21D54"/>
    <w:rsid w:val="00C33F35"/>
    <w:rsid w:val="00C36F11"/>
    <w:rsid w:val="00C40CAD"/>
    <w:rsid w:val="00C40D6E"/>
    <w:rsid w:val="00C41A7A"/>
    <w:rsid w:val="00C4525E"/>
    <w:rsid w:val="00C45D47"/>
    <w:rsid w:val="00C47429"/>
    <w:rsid w:val="00C51C86"/>
    <w:rsid w:val="00C52A0E"/>
    <w:rsid w:val="00C602C8"/>
    <w:rsid w:val="00C60FF7"/>
    <w:rsid w:val="00C62C83"/>
    <w:rsid w:val="00C63707"/>
    <w:rsid w:val="00C65242"/>
    <w:rsid w:val="00C665FC"/>
    <w:rsid w:val="00C716DD"/>
    <w:rsid w:val="00C74524"/>
    <w:rsid w:val="00C745BB"/>
    <w:rsid w:val="00C74D62"/>
    <w:rsid w:val="00C7546A"/>
    <w:rsid w:val="00C75D7B"/>
    <w:rsid w:val="00C76232"/>
    <w:rsid w:val="00C8001C"/>
    <w:rsid w:val="00C8038D"/>
    <w:rsid w:val="00C845A4"/>
    <w:rsid w:val="00C86B80"/>
    <w:rsid w:val="00C9340B"/>
    <w:rsid w:val="00C97455"/>
    <w:rsid w:val="00CA3848"/>
    <w:rsid w:val="00CA3A2F"/>
    <w:rsid w:val="00CA47BC"/>
    <w:rsid w:val="00CA5358"/>
    <w:rsid w:val="00CA7542"/>
    <w:rsid w:val="00CB36DF"/>
    <w:rsid w:val="00CB3E4B"/>
    <w:rsid w:val="00CB4812"/>
    <w:rsid w:val="00CB5C99"/>
    <w:rsid w:val="00CB7B54"/>
    <w:rsid w:val="00CB7DB3"/>
    <w:rsid w:val="00CC1CA0"/>
    <w:rsid w:val="00CC1D08"/>
    <w:rsid w:val="00CC22B6"/>
    <w:rsid w:val="00CC23D9"/>
    <w:rsid w:val="00CC26D6"/>
    <w:rsid w:val="00CC74C4"/>
    <w:rsid w:val="00CD2EEA"/>
    <w:rsid w:val="00CD42E0"/>
    <w:rsid w:val="00CD6A09"/>
    <w:rsid w:val="00CE39E2"/>
    <w:rsid w:val="00CE7253"/>
    <w:rsid w:val="00CE7533"/>
    <w:rsid w:val="00CE7F4B"/>
    <w:rsid w:val="00CF4225"/>
    <w:rsid w:val="00CF47B5"/>
    <w:rsid w:val="00CF4BD7"/>
    <w:rsid w:val="00CF55B6"/>
    <w:rsid w:val="00D008E6"/>
    <w:rsid w:val="00D00E2A"/>
    <w:rsid w:val="00D01F73"/>
    <w:rsid w:val="00D03A6F"/>
    <w:rsid w:val="00D052C7"/>
    <w:rsid w:val="00D13AC9"/>
    <w:rsid w:val="00D1656A"/>
    <w:rsid w:val="00D17D03"/>
    <w:rsid w:val="00D22CFA"/>
    <w:rsid w:val="00D23EE6"/>
    <w:rsid w:val="00D24631"/>
    <w:rsid w:val="00D25A58"/>
    <w:rsid w:val="00D25EAD"/>
    <w:rsid w:val="00D263BE"/>
    <w:rsid w:val="00D266C2"/>
    <w:rsid w:val="00D26905"/>
    <w:rsid w:val="00D274EE"/>
    <w:rsid w:val="00D2755B"/>
    <w:rsid w:val="00D3214E"/>
    <w:rsid w:val="00D33828"/>
    <w:rsid w:val="00D41391"/>
    <w:rsid w:val="00D42490"/>
    <w:rsid w:val="00D42C12"/>
    <w:rsid w:val="00D43D9C"/>
    <w:rsid w:val="00D4581D"/>
    <w:rsid w:val="00D46A87"/>
    <w:rsid w:val="00D47D4C"/>
    <w:rsid w:val="00D51B34"/>
    <w:rsid w:val="00D52B36"/>
    <w:rsid w:val="00D61B8A"/>
    <w:rsid w:val="00D675CE"/>
    <w:rsid w:val="00D7022F"/>
    <w:rsid w:val="00D753E8"/>
    <w:rsid w:val="00D758BC"/>
    <w:rsid w:val="00D7709D"/>
    <w:rsid w:val="00D77179"/>
    <w:rsid w:val="00D775D2"/>
    <w:rsid w:val="00D80171"/>
    <w:rsid w:val="00D81D3D"/>
    <w:rsid w:val="00D844D2"/>
    <w:rsid w:val="00D8554A"/>
    <w:rsid w:val="00D87078"/>
    <w:rsid w:val="00D91046"/>
    <w:rsid w:val="00D91DFD"/>
    <w:rsid w:val="00D91EB1"/>
    <w:rsid w:val="00D95A8B"/>
    <w:rsid w:val="00DA1A61"/>
    <w:rsid w:val="00DA1DC1"/>
    <w:rsid w:val="00DA2823"/>
    <w:rsid w:val="00DA3882"/>
    <w:rsid w:val="00DA4354"/>
    <w:rsid w:val="00DA443D"/>
    <w:rsid w:val="00DA5E89"/>
    <w:rsid w:val="00DA5FB0"/>
    <w:rsid w:val="00DA7625"/>
    <w:rsid w:val="00DB0B6B"/>
    <w:rsid w:val="00DB0CAD"/>
    <w:rsid w:val="00DB2A69"/>
    <w:rsid w:val="00DB45A5"/>
    <w:rsid w:val="00DC0D30"/>
    <w:rsid w:val="00DC489C"/>
    <w:rsid w:val="00DC5FAD"/>
    <w:rsid w:val="00DE14E6"/>
    <w:rsid w:val="00DE7D50"/>
    <w:rsid w:val="00DF2E7E"/>
    <w:rsid w:val="00E00F87"/>
    <w:rsid w:val="00E01C74"/>
    <w:rsid w:val="00E04C13"/>
    <w:rsid w:val="00E0724E"/>
    <w:rsid w:val="00E117A0"/>
    <w:rsid w:val="00E2270D"/>
    <w:rsid w:val="00E269C6"/>
    <w:rsid w:val="00E27476"/>
    <w:rsid w:val="00E27548"/>
    <w:rsid w:val="00E27FB8"/>
    <w:rsid w:val="00E30C54"/>
    <w:rsid w:val="00E32514"/>
    <w:rsid w:val="00E3406D"/>
    <w:rsid w:val="00E37351"/>
    <w:rsid w:val="00E47441"/>
    <w:rsid w:val="00E47E15"/>
    <w:rsid w:val="00E47EE0"/>
    <w:rsid w:val="00E5037F"/>
    <w:rsid w:val="00E563FC"/>
    <w:rsid w:val="00E60384"/>
    <w:rsid w:val="00E6086F"/>
    <w:rsid w:val="00E61646"/>
    <w:rsid w:val="00E622A9"/>
    <w:rsid w:val="00E653D7"/>
    <w:rsid w:val="00E66560"/>
    <w:rsid w:val="00E66822"/>
    <w:rsid w:val="00E66EEF"/>
    <w:rsid w:val="00E7736E"/>
    <w:rsid w:val="00E77DC2"/>
    <w:rsid w:val="00E77F61"/>
    <w:rsid w:val="00E902CE"/>
    <w:rsid w:val="00E90607"/>
    <w:rsid w:val="00E92B27"/>
    <w:rsid w:val="00EA5BA6"/>
    <w:rsid w:val="00EA7AC0"/>
    <w:rsid w:val="00EB3824"/>
    <w:rsid w:val="00EB3C89"/>
    <w:rsid w:val="00EB4AC8"/>
    <w:rsid w:val="00EB4E6A"/>
    <w:rsid w:val="00EB5CD4"/>
    <w:rsid w:val="00EC792E"/>
    <w:rsid w:val="00ED0612"/>
    <w:rsid w:val="00ED2B08"/>
    <w:rsid w:val="00ED7E38"/>
    <w:rsid w:val="00EE02BA"/>
    <w:rsid w:val="00EE26CD"/>
    <w:rsid w:val="00EE27B7"/>
    <w:rsid w:val="00EE626E"/>
    <w:rsid w:val="00EF040C"/>
    <w:rsid w:val="00EF221E"/>
    <w:rsid w:val="00EF26E4"/>
    <w:rsid w:val="00EF271D"/>
    <w:rsid w:val="00EF292B"/>
    <w:rsid w:val="00EF2F24"/>
    <w:rsid w:val="00EF442F"/>
    <w:rsid w:val="00EF45C0"/>
    <w:rsid w:val="00EF4681"/>
    <w:rsid w:val="00EF7B66"/>
    <w:rsid w:val="00EF7D80"/>
    <w:rsid w:val="00F01783"/>
    <w:rsid w:val="00F03BCA"/>
    <w:rsid w:val="00F1475B"/>
    <w:rsid w:val="00F17186"/>
    <w:rsid w:val="00F17A1A"/>
    <w:rsid w:val="00F206DA"/>
    <w:rsid w:val="00F22174"/>
    <w:rsid w:val="00F25C99"/>
    <w:rsid w:val="00F30509"/>
    <w:rsid w:val="00F33A82"/>
    <w:rsid w:val="00F3435B"/>
    <w:rsid w:val="00F35529"/>
    <w:rsid w:val="00F430BF"/>
    <w:rsid w:val="00F4496B"/>
    <w:rsid w:val="00F44DA5"/>
    <w:rsid w:val="00F4748A"/>
    <w:rsid w:val="00F5048C"/>
    <w:rsid w:val="00F51756"/>
    <w:rsid w:val="00F524D7"/>
    <w:rsid w:val="00F53140"/>
    <w:rsid w:val="00F5325C"/>
    <w:rsid w:val="00F55D84"/>
    <w:rsid w:val="00F62FD8"/>
    <w:rsid w:val="00F64426"/>
    <w:rsid w:val="00F64B4C"/>
    <w:rsid w:val="00F71035"/>
    <w:rsid w:val="00F71431"/>
    <w:rsid w:val="00F73470"/>
    <w:rsid w:val="00F74F0E"/>
    <w:rsid w:val="00F773B3"/>
    <w:rsid w:val="00F84A89"/>
    <w:rsid w:val="00F905CF"/>
    <w:rsid w:val="00F96C2B"/>
    <w:rsid w:val="00F96D16"/>
    <w:rsid w:val="00F9785D"/>
    <w:rsid w:val="00FA5B14"/>
    <w:rsid w:val="00FB2FEB"/>
    <w:rsid w:val="00FB5BED"/>
    <w:rsid w:val="00FB6312"/>
    <w:rsid w:val="00FB7A00"/>
    <w:rsid w:val="00FC1983"/>
    <w:rsid w:val="00FC2D48"/>
    <w:rsid w:val="00FD1890"/>
    <w:rsid w:val="00FD3EC2"/>
    <w:rsid w:val="00FD5717"/>
    <w:rsid w:val="00FD7C9E"/>
    <w:rsid w:val="00FE397E"/>
    <w:rsid w:val="00FE4253"/>
    <w:rsid w:val="00FE48AD"/>
    <w:rsid w:val="00FE61E5"/>
    <w:rsid w:val="00FE632A"/>
    <w:rsid w:val="00FE6B07"/>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2249D"/>
  <w15:docId w15:val="{3ACFF440-16DF-4661-B017-2CC834E9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905"/>
    <w:rPr>
      <w:rFonts w:ascii="Calibri" w:eastAsia="Calibri" w:hAnsi="Calibri" w:cs="Times New Roman"/>
    </w:rPr>
  </w:style>
  <w:style w:type="paragraph" w:styleId="Heading1">
    <w:name w:val="heading 1"/>
    <w:basedOn w:val="Normal"/>
    <w:next w:val="Normal"/>
    <w:link w:val="Heading1Char"/>
    <w:uiPriority w:val="9"/>
    <w:qFormat/>
    <w:rsid w:val="00670780"/>
    <w:pPr>
      <w:keepNext/>
      <w:keepLines/>
      <w:numPr>
        <w:numId w:val="1"/>
      </w:numPr>
      <w:spacing w:before="120" w:after="120" w:line="240" w:lineRule="auto"/>
      <w:ind w:left="340" w:hanging="340"/>
      <w:outlineLvl w:val="0"/>
    </w:pPr>
    <w:rPr>
      <w:rFonts w:ascii="Times New Roman" w:eastAsia="Times New Roman" w:hAnsi="Times New Roman"/>
      <w:b/>
      <w:bCs/>
      <w:caps/>
      <w:sz w:val="28"/>
      <w:szCs w:val="28"/>
      <w:lang w:eastAsia="lv-LV"/>
    </w:rPr>
  </w:style>
  <w:style w:type="paragraph" w:styleId="Heading2">
    <w:name w:val="heading 2"/>
    <w:basedOn w:val="Normal"/>
    <w:next w:val="Normal"/>
    <w:link w:val="Heading2Char"/>
    <w:uiPriority w:val="9"/>
    <w:unhideWhenUsed/>
    <w:qFormat/>
    <w:rsid w:val="00B621CE"/>
    <w:pPr>
      <w:keepNext/>
      <w:keepLines/>
      <w:numPr>
        <w:ilvl w:val="1"/>
        <w:numId w:val="1"/>
      </w:numPr>
      <w:spacing w:before="120" w:after="120" w:line="240" w:lineRule="auto"/>
      <w:ind w:left="454" w:hanging="454"/>
      <w:outlineLvl w:val="1"/>
    </w:pPr>
    <w:rPr>
      <w:rFonts w:ascii="Times New Roman" w:eastAsiaTheme="majorEastAsia" w:hAnsi="Times New Roman" w:cstheme="majorBidi"/>
      <w:b/>
      <w:bCs/>
      <w:sz w:val="26"/>
      <w:szCs w:val="26"/>
      <w:lang w:eastAsia="lv-LV"/>
    </w:rPr>
  </w:style>
  <w:style w:type="paragraph" w:styleId="Heading3">
    <w:name w:val="heading 3"/>
    <w:basedOn w:val="Normal"/>
    <w:next w:val="Normal"/>
    <w:link w:val="Heading3Char"/>
    <w:uiPriority w:val="9"/>
    <w:unhideWhenUsed/>
    <w:qFormat/>
    <w:rsid w:val="004431CD"/>
    <w:pPr>
      <w:keepNext/>
      <w:keepLines/>
      <w:numPr>
        <w:ilvl w:val="2"/>
        <w:numId w:val="1"/>
      </w:numPr>
      <w:spacing w:before="120" w:after="120" w:line="240" w:lineRule="auto"/>
      <w:outlineLvl w:val="2"/>
    </w:pPr>
    <w:rPr>
      <w:rFonts w:ascii="Times New Roman" w:eastAsiaTheme="majorEastAsia" w:hAnsi="Times New Roman" w:cstheme="majorBidi"/>
      <w:b/>
      <w:bCs/>
      <w:sz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780"/>
    <w:rPr>
      <w:rFonts w:ascii="Times New Roman" w:eastAsia="Times New Roman" w:hAnsi="Times New Roman" w:cs="Times New Roman"/>
      <w:b/>
      <w:bCs/>
      <w:caps/>
      <w:sz w:val="28"/>
      <w:szCs w:val="28"/>
      <w:lang w:eastAsia="lv-LV"/>
    </w:rPr>
  </w:style>
  <w:style w:type="paragraph" w:styleId="ListParagraph">
    <w:name w:val="List Paragraph"/>
    <w:aliases w:val="Numbered Para 1,Dot pt,No Spacing1,List Paragraph Char Char Char,Indicator Text,List Paragraph1,Bullet Points,MAIN CONTENT,IFCL - List Paragraph,List Paragraph12,OBC Bullet,F5 List Paragraph,Colorful List - Accent 11,Bullet Styl"/>
    <w:basedOn w:val="Normal"/>
    <w:link w:val="ListParagraphChar"/>
    <w:uiPriority w:val="34"/>
    <w:qFormat/>
    <w:rsid w:val="0077296C"/>
    <w:pPr>
      <w:ind w:left="720"/>
      <w:contextualSpacing/>
    </w:pPr>
    <w:rPr>
      <w:rFonts w:asciiTheme="minorHAnsi" w:eastAsiaTheme="minorHAnsi" w:hAnsiTheme="minorHAnsi" w:cstheme="minorBidi"/>
    </w:rPr>
  </w:style>
  <w:style w:type="character" w:customStyle="1" w:styleId="Heading2Char">
    <w:name w:val="Heading 2 Char"/>
    <w:basedOn w:val="DefaultParagraphFont"/>
    <w:link w:val="Heading2"/>
    <w:uiPriority w:val="9"/>
    <w:rsid w:val="00B621CE"/>
    <w:rPr>
      <w:rFonts w:ascii="Times New Roman" w:eastAsiaTheme="majorEastAsia" w:hAnsi="Times New Roman" w:cstheme="majorBidi"/>
      <w:b/>
      <w:bCs/>
      <w:sz w:val="26"/>
      <w:szCs w:val="26"/>
      <w:lang w:eastAsia="lv-LV"/>
    </w:rPr>
  </w:style>
  <w:style w:type="character" w:styleId="CommentReference">
    <w:name w:val="annotation reference"/>
    <w:basedOn w:val="DefaultParagraphFont"/>
    <w:uiPriority w:val="99"/>
    <w:semiHidden/>
    <w:unhideWhenUsed/>
    <w:rsid w:val="003834E0"/>
    <w:rPr>
      <w:sz w:val="16"/>
      <w:szCs w:val="16"/>
    </w:rPr>
  </w:style>
  <w:style w:type="paragraph" w:styleId="CommentText">
    <w:name w:val="annotation text"/>
    <w:basedOn w:val="Normal"/>
    <w:link w:val="CommentTextChar"/>
    <w:uiPriority w:val="99"/>
    <w:unhideWhenUsed/>
    <w:rsid w:val="003834E0"/>
    <w:pPr>
      <w:spacing w:line="240" w:lineRule="auto"/>
    </w:pPr>
    <w:rPr>
      <w:sz w:val="20"/>
      <w:szCs w:val="20"/>
    </w:rPr>
  </w:style>
  <w:style w:type="character" w:customStyle="1" w:styleId="CommentTextChar">
    <w:name w:val="Comment Text Char"/>
    <w:basedOn w:val="DefaultParagraphFont"/>
    <w:link w:val="CommentText"/>
    <w:uiPriority w:val="99"/>
    <w:rsid w:val="003834E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34E0"/>
    <w:rPr>
      <w:b/>
      <w:bCs/>
    </w:rPr>
  </w:style>
  <w:style w:type="character" w:customStyle="1" w:styleId="CommentSubjectChar">
    <w:name w:val="Comment Subject Char"/>
    <w:basedOn w:val="CommentTextChar"/>
    <w:link w:val="CommentSubject"/>
    <w:uiPriority w:val="99"/>
    <w:semiHidden/>
    <w:rsid w:val="003834E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0053A"/>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A0053A"/>
    <w:rPr>
      <w:rFonts w:ascii="Tahoma" w:eastAsia="Calibri" w:hAnsi="Tahoma" w:cs="Tahoma"/>
      <w:szCs w:val="16"/>
    </w:rPr>
  </w:style>
  <w:style w:type="character" w:styleId="Hyperlink">
    <w:name w:val="Hyperlink"/>
    <w:uiPriority w:val="99"/>
    <w:unhideWhenUsed/>
    <w:rsid w:val="003834E0"/>
    <w:rPr>
      <w:color w:val="0000FF"/>
      <w:u w:val="single"/>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List Paragraph12 Char,OBC Bullet Char"/>
    <w:link w:val="ListParagraph"/>
    <w:uiPriority w:val="34"/>
    <w:qFormat/>
    <w:locked/>
    <w:rsid w:val="003834E0"/>
  </w:style>
  <w:style w:type="paragraph" w:styleId="FootnoteText">
    <w:name w:val="footnote text"/>
    <w:aliases w:val="Footnote,Fußnote,Fußnote Char,Fußnote Char Char Char, Char,-E Fußnotentext,footnote text,Fußnotentext Ursprung,(Diplomarbeit),(Diplomarbeit)1,(Diplomarbeit)2,(Diplomarbeit)3,(Diplomarbeit)4,(Diplomarbeit)5,(Diplomarbeit)6,(Diplomarbeit)7,o"/>
    <w:basedOn w:val="Normal"/>
    <w:link w:val="FootnoteTextChar"/>
    <w:uiPriority w:val="99"/>
    <w:unhideWhenUsed/>
    <w:qFormat/>
    <w:rsid w:val="004431CD"/>
    <w:pPr>
      <w:spacing w:after="0" w:line="240" w:lineRule="auto"/>
    </w:pPr>
    <w:rPr>
      <w:sz w:val="20"/>
      <w:szCs w:val="20"/>
    </w:rPr>
  </w:style>
  <w:style w:type="character" w:customStyle="1" w:styleId="FootnoteTextChar">
    <w:name w:val="Footnote Text Char"/>
    <w:aliases w:val="Footnote Char,Fußnote Char1,Fußnote Char Char,Fußnote Char Char Char Char, Char Char,-E Fußnotentext Char,footnote text Char,Fußnotentext Ursprung Char,(Diplomarbeit) Char,(Diplomarbeit)1 Char,(Diplomarbeit)2 Char,(Diplomarbeit)3 Char"/>
    <w:basedOn w:val="DefaultParagraphFont"/>
    <w:link w:val="FootnoteText"/>
    <w:uiPriority w:val="99"/>
    <w:qFormat/>
    <w:rsid w:val="004431CD"/>
    <w:rPr>
      <w:rFonts w:ascii="Calibri" w:eastAsia="Calibri" w:hAnsi="Calibri" w:cs="Times New Roman"/>
      <w:sz w:val="20"/>
      <w:szCs w:val="20"/>
    </w:rPr>
  </w:style>
  <w:style w:type="character" w:styleId="FootnoteReference">
    <w:name w:val="footnote reference"/>
    <w:aliases w:val="number,SUPERS,BVI fnr,Footnote symbol,Footnote symboFußnotenzeichen,Footnote sign,Footnote Reference Superscript,Footnote number,EN Footnote Reference,-E Fuﬂnotenzeichen,-E Fuûnotenzeichen,stylish,(Footnote Referen,(Diplomarbeit FZ)"/>
    <w:basedOn w:val="DefaultParagraphFont"/>
    <w:link w:val="FootnoteRefernece"/>
    <w:uiPriority w:val="99"/>
    <w:unhideWhenUsed/>
    <w:qFormat/>
    <w:rsid w:val="004431CD"/>
    <w:rPr>
      <w:vertAlign w:val="superscript"/>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4431CD"/>
    <w:pPr>
      <w:spacing w:after="160" w:line="240" w:lineRule="exact"/>
      <w:jc w:val="both"/>
      <w:textAlignment w:val="baseline"/>
    </w:pPr>
    <w:rPr>
      <w:rFonts w:asciiTheme="minorHAnsi" w:eastAsiaTheme="minorHAnsi" w:hAnsiTheme="minorHAnsi" w:cstheme="minorBidi"/>
      <w:vertAlign w:val="superscript"/>
    </w:rPr>
  </w:style>
  <w:style w:type="character" w:customStyle="1" w:styleId="Heading3Char">
    <w:name w:val="Heading 3 Char"/>
    <w:basedOn w:val="DefaultParagraphFont"/>
    <w:link w:val="Heading3"/>
    <w:uiPriority w:val="9"/>
    <w:rsid w:val="004431CD"/>
    <w:rPr>
      <w:rFonts w:ascii="Times New Roman" w:eastAsiaTheme="majorEastAsia" w:hAnsi="Times New Roman" w:cstheme="majorBidi"/>
      <w:b/>
      <w:bCs/>
      <w:sz w:val="24"/>
      <w:lang w:eastAsia="lv-LV"/>
    </w:rPr>
  </w:style>
  <w:style w:type="paragraph" w:styleId="BodyText2">
    <w:name w:val="Body Text 2"/>
    <w:basedOn w:val="Normal"/>
    <w:link w:val="BodyText2Char"/>
    <w:uiPriority w:val="99"/>
    <w:unhideWhenUsed/>
    <w:rsid w:val="004431CD"/>
    <w:pPr>
      <w:spacing w:after="120" w:line="480" w:lineRule="auto"/>
    </w:pPr>
  </w:style>
  <w:style w:type="character" w:customStyle="1" w:styleId="BodyText2Char">
    <w:name w:val="Body Text 2 Char"/>
    <w:basedOn w:val="DefaultParagraphFont"/>
    <w:link w:val="BodyText2"/>
    <w:uiPriority w:val="99"/>
    <w:rsid w:val="004431CD"/>
    <w:rPr>
      <w:rFonts w:ascii="Calibri" w:eastAsia="Calibri" w:hAnsi="Calibri" w:cs="Times New Roman"/>
    </w:rPr>
  </w:style>
  <w:style w:type="paragraph" w:customStyle="1" w:styleId="Bullet0">
    <w:name w:val="Bullet 0"/>
    <w:basedOn w:val="Normal"/>
    <w:rsid w:val="004431CD"/>
    <w:pPr>
      <w:numPr>
        <w:numId w:val="2"/>
      </w:numPr>
      <w:spacing w:before="120" w:after="120" w:line="240" w:lineRule="auto"/>
      <w:jc w:val="both"/>
    </w:pPr>
    <w:rPr>
      <w:rFonts w:ascii="Times New Roman" w:eastAsia="Times New Roman" w:hAnsi="Times New Roman"/>
      <w:sz w:val="24"/>
      <w:szCs w:val="20"/>
      <w:lang w:eastAsia="en-GB"/>
    </w:rPr>
  </w:style>
  <w:style w:type="paragraph" w:styleId="NoSpacing">
    <w:name w:val="No Spacing"/>
    <w:uiPriority w:val="1"/>
    <w:qFormat/>
    <w:rsid w:val="004431CD"/>
    <w:pPr>
      <w:widowControl w:val="0"/>
      <w:spacing w:after="0" w:line="240" w:lineRule="auto"/>
    </w:pPr>
    <w:rPr>
      <w:rFonts w:ascii="Calibri" w:eastAsia="Calibri" w:hAnsi="Calibri" w:cs="Times New Roman"/>
      <w:lang w:val="en-US"/>
    </w:rPr>
  </w:style>
  <w:style w:type="paragraph" w:styleId="TOCHeading">
    <w:name w:val="TOC Heading"/>
    <w:basedOn w:val="Heading1"/>
    <w:next w:val="Normal"/>
    <w:uiPriority w:val="39"/>
    <w:unhideWhenUsed/>
    <w:qFormat/>
    <w:rsid w:val="008A3EF3"/>
    <w:pPr>
      <w:numPr>
        <w:numId w:val="0"/>
      </w:numPr>
      <w:spacing w:before="480" w:after="0" w:line="276" w:lineRule="auto"/>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7C44D1"/>
    <w:pPr>
      <w:tabs>
        <w:tab w:val="left" w:pos="440"/>
        <w:tab w:val="right" w:leader="dot" w:pos="9356"/>
      </w:tabs>
      <w:spacing w:after="100"/>
    </w:pPr>
  </w:style>
  <w:style w:type="paragraph" w:styleId="TOC3">
    <w:name w:val="toc 3"/>
    <w:basedOn w:val="Normal"/>
    <w:next w:val="Normal"/>
    <w:autoRedefine/>
    <w:uiPriority w:val="39"/>
    <w:unhideWhenUsed/>
    <w:rsid w:val="008A3EF3"/>
    <w:pPr>
      <w:spacing w:after="100"/>
      <w:ind w:left="440"/>
    </w:pPr>
  </w:style>
  <w:style w:type="paragraph" w:styleId="TOC2">
    <w:name w:val="toc 2"/>
    <w:basedOn w:val="Normal"/>
    <w:next w:val="Normal"/>
    <w:autoRedefine/>
    <w:uiPriority w:val="39"/>
    <w:unhideWhenUsed/>
    <w:rsid w:val="00AF2C85"/>
    <w:pPr>
      <w:tabs>
        <w:tab w:val="left" w:pos="567"/>
        <w:tab w:val="right" w:leader="dot" w:pos="9062"/>
      </w:tabs>
      <w:spacing w:after="100"/>
    </w:pPr>
  </w:style>
  <w:style w:type="paragraph" w:styleId="NormalWeb">
    <w:name w:val="Normal (Web)"/>
    <w:basedOn w:val="Normal"/>
    <w:uiPriority w:val="99"/>
    <w:rsid w:val="008A3EF3"/>
    <w:pPr>
      <w:spacing w:after="240"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8A3EF3"/>
  </w:style>
  <w:style w:type="character" w:styleId="Strong">
    <w:name w:val="Strong"/>
    <w:basedOn w:val="DefaultParagraphFont"/>
    <w:uiPriority w:val="22"/>
    <w:qFormat/>
    <w:rsid w:val="008A3EF3"/>
    <w:rPr>
      <w:b/>
      <w:bCs/>
    </w:rPr>
  </w:style>
  <w:style w:type="table" w:styleId="TableGrid">
    <w:name w:val="Table Grid"/>
    <w:basedOn w:val="TableNormal"/>
    <w:uiPriority w:val="59"/>
    <w:rsid w:val="002A202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06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60687"/>
    <w:rPr>
      <w:rFonts w:ascii="Calibri" w:eastAsia="Calibri" w:hAnsi="Calibri" w:cs="Times New Roman"/>
    </w:rPr>
  </w:style>
  <w:style w:type="paragraph" w:styleId="Footer">
    <w:name w:val="footer"/>
    <w:basedOn w:val="Normal"/>
    <w:link w:val="FooterChar"/>
    <w:uiPriority w:val="99"/>
    <w:unhideWhenUsed/>
    <w:rsid w:val="001606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60687"/>
    <w:rPr>
      <w:rFonts w:ascii="Calibri" w:eastAsia="Calibri" w:hAnsi="Calibri" w:cs="Times New Roman"/>
    </w:rPr>
  </w:style>
  <w:style w:type="paragraph" w:customStyle="1" w:styleId="TableContents">
    <w:name w:val="Table Contents"/>
    <w:basedOn w:val="Normal"/>
    <w:rsid w:val="00325D27"/>
    <w:pPr>
      <w:widowControl w:val="0"/>
      <w:suppressLineNumbers/>
      <w:suppressAutoHyphens/>
      <w:spacing w:after="0" w:line="240" w:lineRule="auto"/>
    </w:pPr>
    <w:rPr>
      <w:rFonts w:ascii="Carlito" w:eastAsia="DejaVu Sans" w:hAnsi="Carlito" w:cs="FreeSans"/>
      <w:kern w:val="2"/>
      <w:szCs w:val="24"/>
      <w:lang w:eastAsia="zh-CN" w:bidi="hi-IN"/>
    </w:rPr>
  </w:style>
  <w:style w:type="paragraph" w:customStyle="1" w:styleId="tv213">
    <w:name w:val="tv213"/>
    <w:basedOn w:val="Normal"/>
    <w:rsid w:val="00325D27"/>
    <w:pPr>
      <w:spacing w:before="100" w:beforeAutospacing="1" w:after="100" w:afterAutospacing="1" w:line="240" w:lineRule="auto"/>
    </w:pPr>
    <w:rPr>
      <w:rFonts w:ascii="Times New Roman" w:eastAsia="Times New Roman" w:hAnsi="Times New Roman"/>
      <w:sz w:val="24"/>
      <w:szCs w:val="24"/>
      <w:lang w:eastAsia="lv-LV"/>
    </w:rPr>
  </w:style>
  <w:style w:type="character" w:styleId="Emphasis">
    <w:name w:val="Emphasis"/>
    <w:basedOn w:val="DefaultParagraphFont"/>
    <w:uiPriority w:val="20"/>
    <w:qFormat/>
    <w:rsid w:val="001973A2"/>
    <w:rPr>
      <w:i/>
      <w:iCs/>
    </w:rPr>
  </w:style>
  <w:style w:type="paragraph" w:customStyle="1" w:styleId="Default">
    <w:name w:val="Default"/>
    <w:rsid w:val="001973A2"/>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A123D6"/>
    <w:pPr>
      <w:spacing w:after="0" w:line="240" w:lineRule="auto"/>
    </w:pPr>
    <w:rPr>
      <w:rFonts w:eastAsiaTheme="minorHAnsi"/>
    </w:rPr>
  </w:style>
  <w:style w:type="character" w:customStyle="1" w:styleId="PlainTextChar">
    <w:name w:val="Plain Text Char"/>
    <w:basedOn w:val="DefaultParagraphFont"/>
    <w:link w:val="PlainText"/>
    <w:uiPriority w:val="99"/>
    <w:rsid w:val="00A123D6"/>
    <w:rPr>
      <w:rFonts w:ascii="Calibri" w:hAnsi="Calibri" w:cs="Times New Roman"/>
    </w:rPr>
  </w:style>
  <w:style w:type="paragraph" w:styleId="BodyTextIndent">
    <w:name w:val="Body Text Indent"/>
    <w:basedOn w:val="Normal"/>
    <w:link w:val="BodyTextIndentChar"/>
    <w:uiPriority w:val="99"/>
    <w:semiHidden/>
    <w:unhideWhenUsed/>
    <w:rsid w:val="007E3893"/>
    <w:pPr>
      <w:spacing w:after="120"/>
      <w:ind w:left="283"/>
    </w:pPr>
  </w:style>
  <w:style w:type="character" w:customStyle="1" w:styleId="BodyTextIndentChar">
    <w:name w:val="Body Text Indent Char"/>
    <w:basedOn w:val="DefaultParagraphFont"/>
    <w:link w:val="BodyTextIndent"/>
    <w:uiPriority w:val="99"/>
    <w:semiHidden/>
    <w:rsid w:val="007E3893"/>
    <w:rPr>
      <w:rFonts w:ascii="Calibri" w:eastAsia="Calibri" w:hAnsi="Calibri" w:cs="Times New Roman"/>
    </w:rPr>
  </w:style>
  <w:style w:type="character" w:customStyle="1" w:styleId="hps">
    <w:name w:val="hps"/>
    <w:basedOn w:val="DefaultParagraphFont"/>
    <w:rsid w:val="009B221F"/>
  </w:style>
  <w:style w:type="paragraph" w:styleId="Revision">
    <w:name w:val="Revision"/>
    <w:hidden/>
    <w:uiPriority w:val="99"/>
    <w:semiHidden/>
    <w:rsid w:val="00B9404A"/>
    <w:pPr>
      <w:spacing w:after="0" w:line="240" w:lineRule="auto"/>
    </w:pPr>
    <w:rPr>
      <w:rFonts w:ascii="Calibri" w:eastAsia="Calibri" w:hAnsi="Calibri" w:cs="Times New Roman"/>
    </w:rPr>
  </w:style>
  <w:style w:type="paragraph" w:customStyle="1" w:styleId="doc-ti">
    <w:name w:val="doc-ti"/>
    <w:basedOn w:val="Normal"/>
    <w:rsid w:val="004A562D"/>
    <w:pPr>
      <w:spacing w:before="100" w:beforeAutospacing="1" w:after="100" w:afterAutospacing="1" w:line="240" w:lineRule="auto"/>
    </w:pPr>
    <w:rPr>
      <w:rFonts w:ascii="Times New Roman" w:eastAsia="Times New Roman" w:hAnsi="Times New Roman"/>
      <w:sz w:val="24"/>
      <w:szCs w:val="24"/>
      <w:lang w:eastAsia="lv-LV"/>
    </w:rPr>
  </w:style>
  <w:style w:type="character" w:styleId="FollowedHyperlink">
    <w:name w:val="FollowedHyperlink"/>
    <w:basedOn w:val="DefaultParagraphFont"/>
    <w:uiPriority w:val="99"/>
    <w:semiHidden/>
    <w:unhideWhenUsed/>
    <w:rsid w:val="004015A0"/>
    <w:rPr>
      <w:color w:val="800080" w:themeColor="followedHyperlink"/>
      <w:u w:val="single"/>
    </w:rPr>
  </w:style>
  <w:style w:type="character" w:customStyle="1" w:styleId="italic">
    <w:name w:val="italic"/>
    <w:basedOn w:val="DefaultParagraphFont"/>
    <w:rsid w:val="004D3DE1"/>
  </w:style>
  <w:style w:type="paragraph" w:styleId="Caption">
    <w:name w:val="caption"/>
    <w:aliases w:val="Beschriftung Char"/>
    <w:basedOn w:val="Normal"/>
    <w:next w:val="Normal"/>
    <w:link w:val="CaptionChar"/>
    <w:uiPriority w:val="35"/>
    <w:unhideWhenUsed/>
    <w:qFormat/>
    <w:rsid w:val="00D33828"/>
    <w:pPr>
      <w:keepNext/>
      <w:spacing w:before="120" w:after="120" w:line="240" w:lineRule="auto"/>
      <w:jc w:val="center"/>
    </w:pPr>
    <w:rPr>
      <w:rFonts w:ascii="Times New Roman" w:eastAsiaTheme="majorEastAsia" w:hAnsi="Times New Roman"/>
      <w:b/>
      <w:iCs/>
      <w:sz w:val="20"/>
      <w:szCs w:val="20"/>
    </w:rPr>
  </w:style>
  <w:style w:type="character" w:customStyle="1" w:styleId="CaptionChar">
    <w:name w:val="Caption Char"/>
    <w:aliases w:val="Beschriftung Char Char"/>
    <w:link w:val="Caption"/>
    <w:uiPriority w:val="35"/>
    <w:rsid w:val="00D33828"/>
    <w:rPr>
      <w:rFonts w:ascii="Times New Roman" w:eastAsiaTheme="majorEastAsia" w:hAnsi="Times New Roman" w:cs="Times New Roman"/>
      <w:b/>
      <w:iCs/>
      <w:sz w:val="20"/>
      <w:szCs w:val="20"/>
    </w:rPr>
  </w:style>
  <w:style w:type="paragraph" w:customStyle="1" w:styleId="Normal1">
    <w:name w:val="Normal1"/>
    <w:basedOn w:val="Normal"/>
    <w:rsid w:val="00B079A2"/>
    <w:pPr>
      <w:spacing w:before="100" w:beforeAutospacing="1" w:after="100" w:afterAutospacing="1" w:line="240" w:lineRule="auto"/>
    </w:pPr>
    <w:rPr>
      <w:rFonts w:ascii="Times New Roman" w:eastAsia="Times New Roman" w:hAnsi="Times New Roman"/>
      <w:sz w:val="24"/>
      <w:szCs w:val="24"/>
      <w:lang w:eastAsia="lv-LV" w:bidi="lo-LA"/>
    </w:rPr>
  </w:style>
  <w:style w:type="table" w:customStyle="1" w:styleId="ListTable2-Accent11">
    <w:name w:val="List Table 2 - Accent 11"/>
    <w:basedOn w:val="TableNormal"/>
    <w:uiPriority w:val="47"/>
    <w:rsid w:val="002E31E5"/>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 Grid1"/>
    <w:basedOn w:val="TableNormal"/>
    <w:next w:val="TableGrid"/>
    <w:uiPriority w:val="59"/>
    <w:rsid w:val="00FE4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
    <w:name w:val="italics"/>
    <w:basedOn w:val="DefaultParagraphFont"/>
    <w:rsid w:val="00D01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9014">
      <w:bodyDiv w:val="1"/>
      <w:marLeft w:val="0"/>
      <w:marRight w:val="0"/>
      <w:marTop w:val="0"/>
      <w:marBottom w:val="0"/>
      <w:divBdr>
        <w:top w:val="none" w:sz="0" w:space="0" w:color="auto"/>
        <w:left w:val="none" w:sz="0" w:space="0" w:color="auto"/>
        <w:bottom w:val="none" w:sz="0" w:space="0" w:color="auto"/>
        <w:right w:val="none" w:sz="0" w:space="0" w:color="auto"/>
      </w:divBdr>
    </w:div>
    <w:div w:id="272715920">
      <w:bodyDiv w:val="1"/>
      <w:marLeft w:val="0"/>
      <w:marRight w:val="0"/>
      <w:marTop w:val="0"/>
      <w:marBottom w:val="0"/>
      <w:divBdr>
        <w:top w:val="none" w:sz="0" w:space="0" w:color="auto"/>
        <w:left w:val="none" w:sz="0" w:space="0" w:color="auto"/>
        <w:bottom w:val="none" w:sz="0" w:space="0" w:color="auto"/>
        <w:right w:val="none" w:sz="0" w:space="0" w:color="auto"/>
      </w:divBdr>
    </w:div>
    <w:div w:id="462112791">
      <w:bodyDiv w:val="1"/>
      <w:marLeft w:val="0"/>
      <w:marRight w:val="0"/>
      <w:marTop w:val="0"/>
      <w:marBottom w:val="0"/>
      <w:divBdr>
        <w:top w:val="none" w:sz="0" w:space="0" w:color="auto"/>
        <w:left w:val="none" w:sz="0" w:space="0" w:color="auto"/>
        <w:bottom w:val="none" w:sz="0" w:space="0" w:color="auto"/>
        <w:right w:val="none" w:sz="0" w:space="0" w:color="auto"/>
      </w:divBdr>
    </w:div>
    <w:div w:id="600645490">
      <w:bodyDiv w:val="1"/>
      <w:marLeft w:val="0"/>
      <w:marRight w:val="0"/>
      <w:marTop w:val="0"/>
      <w:marBottom w:val="0"/>
      <w:divBdr>
        <w:top w:val="none" w:sz="0" w:space="0" w:color="auto"/>
        <w:left w:val="none" w:sz="0" w:space="0" w:color="auto"/>
        <w:bottom w:val="none" w:sz="0" w:space="0" w:color="auto"/>
        <w:right w:val="none" w:sz="0" w:space="0" w:color="auto"/>
      </w:divBdr>
    </w:div>
    <w:div w:id="896937611">
      <w:bodyDiv w:val="1"/>
      <w:marLeft w:val="0"/>
      <w:marRight w:val="0"/>
      <w:marTop w:val="0"/>
      <w:marBottom w:val="0"/>
      <w:divBdr>
        <w:top w:val="none" w:sz="0" w:space="0" w:color="auto"/>
        <w:left w:val="none" w:sz="0" w:space="0" w:color="auto"/>
        <w:bottom w:val="none" w:sz="0" w:space="0" w:color="auto"/>
        <w:right w:val="none" w:sz="0" w:space="0" w:color="auto"/>
      </w:divBdr>
    </w:div>
    <w:div w:id="1032002190">
      <w:bodyDiv w:val="1"/>
      <w:marLeft w:val="0"/>
      <w:marRight w:val="0"/>
      <w:marTop w:val="0"/>
      <w:marBottom w:val="0"/>
      <w:divBdr>
        <w:top w:val="none" w:sz="0" w:space="0" w:color="auto"/>
        <w:left w:val="none" w:sz="0" w:space="0" w:color="auto"/>
        <w:bottom w:val="none" w:sz="0" w:space="0" w:color="auto"/>
        <w:right w:val="none" w:sz="0" w:space="0" w:color="auto"/>
      </w:divBdr>
    </w:div>
    <w:div w:id="1098451792">
      <w:bodyDiv w:val="1"/>
      <w:marLeft w:val="0"/>
      <w:marRight w:val="0"/>
      <w:marTop w:val="0"/>
      <w:marBottom w:val="0"/>
      <w:divBdr>
        <w:top w:val="none" w:sz="0" w:space="0" w:color="auto"/>
        <w:left w:val="none" w:sz="0" w:space="0" w:color="auto"/>
        <w:bottom w:val="none" w:sz="0" w:space="0" w:color="auto"/>
        <w:right w:val="none" w:sz="0" w:space="0" w:color="auto"/>
      </w:divBdr>
    </w:div>
    <w:div w:id="1370376186">
      <w:bodyDiv w:val="1"/>
      <w:marLeft w:val="0"/>
      <w:marRight w:val="0"/>
      <w:marTop w:val="0"/>
      <w:marBottom w:val="0"/>
      <w:divBdr>
        <w:top w:val="none" w:sz="0" w:space="0" w:color="auto"/>
        <w:left w:val="none" w:sz="0" w:space="0" w:color="auto"/>
        <w:bottom w:val="none" w:sz="0" w:space="0" w:color="auto"/>
        <w:right w:val="none" w:sz="0" w:space="0" w:color="auto"/>
      </w:divBdr>
    </w:div>
    <w:div w:id="1486387752">
      <w:bodyDiv w:val="1"/>
      <w:marLeft w:val="0"/>
      <w:marRight w:val="0"/>
      <w:marTop w:val="0"/>
      <w:marBottom w:val="0"/>
      <w:divBdr>
        <w:top w:val="none" w:sz="0" w:space="0" w:color="auto"/>
        <w:left w:val="none" w:sz="0" w:space="0" w:color="auto"/>
        <w:bottom w:val="none" w:sz="0" w:space="0" w:color="auto"/>
        <w:right w:val="none" w:sz="0" w:space="0" w:color="auto"/>
      </w:divBdr>
    </w:div>
    <w:div w:id="1635020834">
      <w:bodyDiv w:val="1"/>
      <w:marLeft w:val="0"/>
      <w:marRight w:val="0"/>
      <w:marTop w:val="0"/>
      <w:marBottom w:val="0"/>
      <w:divBdr>
        <w:top w:val="none" w:sz="0" w:space="0" w:color="auto"/>
        <w:left w:val="none" w:sz="0" w:space="0" w:color="auto"/>
        <w:bottom w:val="none" w:sz="0" w:space="0" w:color="auto"/>
        <w:right w:val="none" w:sz="0" w:space="0" w:color="auto"/>
      </w:divBdr>
    </w:div>
    <w:div w:id="1766457704">
      <w:bodyDiv w:val="1"/>
      <w:marLeft w:val="0"/>
      <w:marRight w:val="0"/>
      <w:marTop w:val="0"/>
      <w:marBottom w:val="0"/>
      <w:divBdr>
        <w:top w:val="none" w:sz="0" w:space="0" w:color="auto"/>
        <w:left w:val="none" w:sz="0" w:space="0" w:color="auto"/>
        <w:bottom w:val="none" w:sz="0" w:space="0" w:color="auto"/>
        <w:right w:val="none" w:sz="0" w:space="0" w:color="auto"/>
      </w:divBdr>
    </w:div>
    <w:div w:id="1776166107">
      <w:bodyDiv w:val="1"/>
      <w:marLeft w:val="0"/>
      <w:marRight w:val="0"/>
      <w:marTop w:val="0"/>
      <w:marBottom w:val="0"/>
      <w:divBdr>
        <w:top w:val="none" w:sz="0" w:space="0" w:color="auto"/>
        <w:left w:val="none" w:sz="0" w:space="0" w:color="auto"/>
        <w:bottom w:val="none" w:sz="0" w:space="0" w:color="auto"/>
        <w:right w:val="none" w:sz="0" w:space="0" w:color="auto"/>
      </w:divBdr>
    </w:div>
    <w:div w:id="1978105834">
      <w:bodyDiv w:val="1"/>
      <w:marLeft w:val="0"/>
      <w:marRight w:val="0"/>
      <w:marTop w:val="0"/>
      <w:marBottom w:val="0"/>
      <w:divBdr>
        <w:top w:val="none" w:sz="0" w:space="0" w:color="auto"/>
        <w:left w:val="none" w:sz="0" w:space="0" w:color="auto"/>
        <w:bottom w:val="none" w:sz="0" w:space="0" w:color="auto"/>
        <w:right w:val="none" w:sz="0" w:space="0" w:color="auto"/>
      </w:divBdr>
    </w:div>
    <w:div w:id="205569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zm.gov.lv/public/files/CMS_Static_Page_Doc/00/00/01/03/51/LULUCFactionplan_progress_report_21042017.pdf" TargetMode="External"/><Relationship Id="rId2" Type="http://schemas.openxmlformats.org/officeDocument/2006/relationships/hyperlink" Target="http://cdr.eionet.europa.eu/lv/eu/mmr/art04-13-14_lcds_pams_projections/projections/envws0bea/" TargetMode="External"/><Relationship Id="rId1" Type="http://schemas.openxmlformats.org/officeDocument/2006/relationships/hyperlink" Target="https://cdr.eionet.europa.eu/lv/eu/mmr/art08_proxy/envw07vaw/" TargetMode="External"/><Relationship Id="rId4" Type="http://schemas.openxmlformats.org/officeDocument/2006/relationships/hyperlink" Target="https://treaties.un.org/Pages/ViewDetails.aspx?src=TREATY&amp;mtdsg_no=XXVII-7-c&amp;chapter=27&amp;clang=_en"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D:\Users\agitag\Documents\depsartamenta\2019\daistibu_izpildes%20zinojums\Copy%20of%20Copy%20of%20Tabula_prognozes+jut&#299;gums_ar%20veco%20prognozi_22012019_EB_AG.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gitag\Desktop\!%20APR&#274;&#310;INI\!!%20Apr&#275;&#311;inuFails_2018_OKTOBRIS_ar%20latv%20val%20ZIZIM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8194451573605447E-2"/>
          <c:y val="9.1557481489310477E-2"/>
          <c:w val="0.83392710952006366"/>
          <c:h val="0.73560711464465001"/>
        </c:manualLayout>
      </c:layout>
      <c:ofPieChart>
        <c:ofPieType val="bar"/>
        <c:varyColors val="1"/>
        <c:ser>
          <c:idx val="0"/>
          <c:order val="0"/>
          <c:dPt>
            <c:idx val="0"/>
            <c:bubble3D val="0"/>
            <c:spPr>
              <a:solidFill>
                <a:schemeClr val="tx2"/>
              </a:solidFill>
            </c:spPr>
          </c:dPt>
          <c:dPt>
            <c:idx val="1"/>
            <c:bubble3D val="0"/>
            <c:spPr>
              <a:solidFill>
                <a:srgbClr val="00B0F0"/>
              </a:solidFill>
            </c:spPr>
          </c:dPt>
          <c:dPt>
            <c:idx val="2"/>
            <c:bubble3D val="0"/>
            <c:spPr>
              <a:solidFill>
                <a:srgbClr val="0070C0"/>
              </a:solidFill>
            </c:spPr>
          </c:dPt>
          <c:dPt>
            <c:idx val="3"/>
            <c:bubble3D val="0"/>
            <c:spPr>
              <a:solidFill>
                <a:srgbClr val="3810E2"/>
              </a:solidFill>
            </c:spPr>
          </c:dPt>
          <c:dPt>
            <c:idx val="4"/>
            <c:bubble3D val="0"/>
            <c:spPr>
              <a:solidFill>
                <a:srgbClr val="BB5415"/>
              </a:solidFill>
            </c:spPr>
          </c:dPt>
          <c:dPt>
            <c:idx val="5"/>
            <c:bubble3D val="0"/>
            <c:spPr>
              <a:solidFill>
                <a:srgbClr val="7BE9F5"/>
              </a:solidFill>
            </c:spPr>
          </c:dPt>
          <c:dPt>
            <c:idx val="6"/>
            <c:bubble3D val="0"/>
            <c:spPr>
              <a:solidFill>
                <a:srgbClr val="FFC000"/>
              </a:solidFill>
              <a:ln>
                <a:noFill/>
              </a:ln>
            </c:spPr>
          </c:dPt>
          <c:dPt>
            <c:idx val="7"/>
            <c:bubble3D val="0"/>
            <c:spPr>
              <a:solidFill>
                <a:schemeClr val="bg1">
                  <a:lumMod val="65000"/>
                </a:schemeClr>
              </a:solidFill>
              <a:ln>
                <a:noFill/>
              </a:ln>
            </c:spPr>
          </c:dPt>
          <c:dPt>
            <c:idx val="8"/>
            <c:bubble3D val="0"/>
            <c:spPr>
              <a:solidFill>
                <a:srgbClr val="92D050"/>
              </a:solidFill>
              <a:ln>
                <a:noFill/>
              </a:ln>
            </c:spPr>
          </c:dPt>
          <c:dPt>
            <c:idx val="9"/>
            <c:bubble3D val="0"/>
            <c:spPr>
              <a:solidFill>
                <a:srgbClr val="0070C0"/>
              </a:solidFill>
              <a:ln>
                <a:noFill/>
              </a:ln>
            </c:spPr>
          </c:dPt>
          <c:dPt>
            <c:idx val="10"/>
            <c:bubble3D val="0"/>
            <c:spPr>
              <a:solidFill>
                <a:srgbClr val="79B1E3"/>
              </a:solidFill>
            </c:spPr>
          </c:dPt>
          <c:dLbls>
            <c:dLbl>
              <c:idx val="0"/>
              <c:layout>
                <c:manualLayout>
                  <c:x val="1.2361983099519074E-2"/>
                  <c:y val="-5.138053483679652E-2"/>
                </c:manualLayout>
              </c:layout>
              <c:tx>
                <c:rich>
                  <a:bodyPr/>
                  <a:lstStyle/>
                  <a:p>
                    <a:pPr algn="l">
                      <a:defRPr sz="800"/>
                    </a:pPr>
                    <a:r>
                      <a:rPr lang="lv-LV" sz="800"/>
                      <a:t>Enerģētikas nozares 45.9%</a:t>
                    </a:r>
                  </a:p>
                </c:rich>
              </c:tx>
              <c:numFmt formatCode="0.0%" sourceLinked="0"/>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2.0089176005628626E-2"/>
                  <c:y val="-0.10257418079479474"/>
                </c:manualLayout>
              </c:layout>
              <c:tx>
                <c:rich>
                  <a:bodyPr/>
                  <a:lstStyle/>
                  <a:p>
                    <a:pPr algn="l">
                      <a:defRPr sz="800"/>
                    </a:pPr>
                    <a:r>
                      <a:rPr lang="en-US" sz="800"/>
                      <a:t>Rūpniecības nozares un būvniecība 15.2%</a:t>
                    </a:r>
                  </a:p>
                </c:rich>
              </c:tx>
              <c:numFmt formatCode="0.0%" sourceLinked="0"/>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2"/>
              <c:layout>
                <c:manualLayout>
                  <c:x val="8.182327631241508E-2"/>
                  <c:y val="-0.21089563601710029"/>
                </c:manualLayout>
              </c:layout>
              <c:tx>
                <c:rich>
                  <a:bodyPr/>
                  <a:lstStyle/>
                  <a:p>
                    <a:pPr algn="l">
                      <a:defRPr sz="800"/>
                    </a:pPr>
                    <a:r>
                      <a:rPr lang="en-US" sz="800"/>
                      <a:t>Transports 28.3%</a:t>
                    </a:r>
                  </a:p>
                </c:rich>
              </c:tx>
              <c:numFmt formatCode="0.0%" sourceLinked="0"/>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3"/>
              <c:layout>
                <c:manualLayout>
                  <c:x val="1.2948592523642626E-2"/>
                  <c:y val="-4.8537158007378893E-2"/>
                </c:manualLayout>
              </c:layout>
              <c:tx>
                <c:rich>
                  <a:bodyPr/>
                  <a:lstStyle/>
                  <a:p>
                    <a:pPr algn="l">
                      <a:defRPr sz="800"/>
                    </a:pPr>
                    <a:r>
                      <a:rPr lang="en-US" sz="800"/>
                      <a:t>Citas nozares (Komerciālais/sabiedriskais sektors; mājsaimniecības; lauksaimniecība/mežsaimniecība, zivsaimniecība) 35.7%</a:t>
                    </a:r>
                  </a:p>
                </c:rich>
              </c:tx>
              <c:numFmt formatCode="0.0%" sourceLinked="0"/>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layout>
                <c:manualLayout>
                  <c:x val="0.13164898416648463"/>
                  <c:y val="0.14069029403778888"/>
                </c:manualLayout>
              </c:layout>
              <c:tx>
                <c:rich>
                  <a:bodyPr/>
                  <a:lstStyle/>
                  <a:p>
                    <a:pPr>
                      <a:defRPr sz="800"/>
                    </a:pPr>
                    <a:r>
                      <a:rPr lang="en-US" sz="800"/>
                      <a:t>Lauksaimniecība </a:t>
                    </a:r>
                  </a:p>
                  <a:p>
                    <a:pPr>
                      <a:defRPr sz="800"/>
                    </a:pPr>
                    <a:r>
                      <a:rPr lang="en-US" sz="800"/>
                      <a:t>23.6%</a:t>
                    </a:r>
                  </a:p>
                </c:rich>
              </c:tx>
              <c:numFmt formatCode="0.0%" sourceLinked="0"/>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8"/>
              <c:layout>
                <c:manualLayout>
                  <c:x val="3.9455689269239418E-2"/>
                  <c:y val="2.367273056385193E-2"/>
                </c:manualLayout>
              </c:layout>
              <c:tx>
                <c:rich>
                  <a:bodyPr/>
                  <a:lstStyle/>
                  <a:p>
                    <a:pPr>
                      <a:defRPr sz="800"/>
                    </a:pPr>
                    <a:r>
                      <a:rPr lang="en-US" sz="800"/>
                      <a:t>Atkritumu </a:t>
                    </a:r>
                  </a:p>
                  <a:p>
                    <a:pPr>
                      <a:defRPr sz="800"/>
                    </a:pPr>
                    <a:r>
                      <a:rPr lang="en-US" sz="800"/>
                      <a:t>apsaimniekošana </a:t>
                    </a:r>
                  </a:p>
                  <a:p>
                    <a:pPr>
                      <a:defRPr sz="800"/>
                    </a:pPr>
                    <a:r>
                      <a:rPr lang="en-US" sz="800"/>
                      <a:t>6.4%</a:t>
                    </a:r>
                  </a:p>
                </c:rich>
              </c:tx>
              <c:numFmt formatCode="0.0%" sourceLinked="0"/>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numFmt formatCode="0.0%" sourceLinked="0"/>
            <c:spPr>
              <a:noFill/>
              <a:ln w="25400">
                <a:noFill/>
              </a:ln>
            </c:spPr>
            <c:txPr>
              <a:bodyPr wrap="square" lIns="38100" tIns="19050" rIns="38100" bIns="19050" anchor="ctr">
                <a:spAutoFit/>
              </a:bodyPr>
              <a:lstStyle/>
              <a:p>
                <a:pPr>
                  <a:defRPr sz="800"/>
                </a:pPr>
                <a:endParaRPr lang="lv-LV"/>
              </a:p>
            </c:tx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'Figure ES3'!$S$6:$S$15</c:f>
              <c:strCache>
                <c:ptCount val="9"/>
                <c:pt idx="0">
                  <c:v>Enerģētikas nozares</c:v>
                </c:pt>
                <c:pt idx="1">
                  <c:v>Rūpniecības nozares un būvniecība</c:v>
                </c:pt>
                <c:pt idx="2">
                  <c:v>Transports</c:v>
                </c:pt>
                <c:pt idx="3">
                  <c:v>Citas nozares (Komerciālais/sabiedriskais sektors; mājsaimniecības; lauksaimniecība/mežsaimniecība, zivsaimniecība)</c:v>
                </c:pt>
                <c:pt idx="4">
                  <c:v>Kurināmā difūzās emisijas</c:v>
                </c:pt>
                <c:pt idx="5">
                  <c:v>Citas</c:v>
                </c:pt>
                <c:pt idx="6">
                  <c:v>Rūpnieciskie procesi</c:v>
                </c:pt>
                <c:pt idx="7">
                  <c:v>Lauksaimniecība</c:v>
                </c:pt>
                <c:pt idx="8">
                  <c:v>Atkritumu apsaimniekošana</c:v>
                </c:pt>
              </c:strCache>
            </c:strRef>
          </c:cat>
          <c:val>
            <c:numRef>
              <c:f>'Figure ES3'!$T$6:$T$15</c:f>
              <c:numCache>
                <c:formatCode>#,##0.00</c:formatCode>
                <c:ptCount val="10"/>
                <c:pt idx="0">
                  <c:v>1855.9926830051161</c:v>
                </c:pt>
                <c:pt idx="1">
                  <c:v>613.56319428383642</c:v>
                </c:pt>
                <c:pt idx="2">
                  <c:v>3197.9427163370874</c:v>
                </c:pt>
                <c:pt idx="3">
                  <c:v>1443.56079580143</c:v>
                </c:pt>
                <c:pt idx="4">
                  <c:v>116.590631</c:v>
                </c:pt>
                <c:pt idx="5">
                  <c:v>11.508519993257771</c:v>
                </c:pt>
                <c:pt idx="6">
                  <c:v>660.22418200319782</c:v>
                </c:pt>
                <c:pt idx="7">
                  <c:v>2663.4292035492754</c:v>
                </c:pt>
                <c:pt idx="8">
                  <c:v>725.87221361239995</c:v>
                </c:pt>
              </c:numCache>
            </c:numRef>
          </c:val>
        </c:ser>
        <c:dLbls>
          <c:showLegendKey val="0"/>
          <c:showVal val="0"/>
          <c:showCatName val="0"/>
          <c:showSerName val="0"/>
          <c:showPercent val="0"/>
          <c:showBubbleSize val="0"/>
          <c:showLeaderLines val="1"/>
        </c:dLbls>
        <c:gapWidth val="80"/>
        <c:splitType val="cust"/>
        <c:custSplit>
          <c:secondPiePt val="0"/>
          <c:secondPiePt val="1"/>
          <c:secondPiePt val="3"/>
          <c:secondPiePt val="4"/>
          <c:secondPiePt val="5"/>
        </c:custSplit>
        <c:secondPieSize val="60"/>
        <c:serLines/>
      </c:ofPieChart>
      <c:spPr>
        <a:noFill/>
        <a:ln w="25400">
          <a:noFill/>
        </a:ln>
      </c:spPr>
    </c:plotArea>
    <c:plotVisOnly val="1"/>
    <c:dispBlanksAs val="gap"/>
    <c:showDLblsOverMax val="0"/>
  </c:chart>
  <c:spPr>
    <a:ln>
      <a:noFill/>
    </a:ln>
  </c:spPr>
  <c:txPr>
    <a:bodyPr/>
    <a:lstStyle/>
    <a:p>
      <a:pPr>
        <a:defRPr sz="8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lv-LV"/>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'EU ETS'!$A$34</c:f>
              <c:strCache>
                <c:ptCount val="1"/>
                <c:pt idx="0">
                  <c:v>ETS enerģētika</c:v>
                </c:pt>
              </c:strCache>
            </c:strRef>
          </c:tx>
          <c:spPr>
            <a:solidFill>
              <a:schemeClr val="accent1"/>
            </a:solidFill>
            <a:ln>
              <a:noFill/>
            </a:ln>
            <a:effectLst/>
          </c:spPr>
          <c:invertIfNegative val="0"/>
          <c:cat>
            <c:strRef>
              <c:f>'EU ETS'!$B$33:$O$33</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f>'EU ETS'!$B$34:$O$34</c:f>
              <c:numCache>
                <c:formatCode>General</c:formatCode>
                <c:ptCount val="13"/>
                <c:pt idx="0">
                  <c:v>2627.0662000000002</c:v>
                </c:pt>
                <c:pt idx="1">
                  <c:v>2685.2861200000002</c:v>
                </c:pt>
                <c:pt idx="2">
                  <c:v>2594.7976600000002</c:v>
                </c:pt>
                <c:pt idx="3">
                  <c:v>2493.4918500000003</c:v>
                </c:pt>
                <c:pt idx="4">
                  <c:v>2318.947529</c:v>
                </c:pt>
                <c:pt idx="5">
                  <c:v>2734.4252299999998</c:v>
                </c:pt>
                <c:pt idx="6">
                  <c:v>2317.3926200000001</c:v>
                </c:pt>
                <c:pt idx="7">
                  <c:v>2380.2195750000001</c:v>
                </c:pt>
                <c:pt idx="8">
                  <c:v>2062.0119839999998</c:v>
                </c:pt>
                <c:pt idx="9">
                  <c:v>1760.7132108168598</c:v>
                </c:pt>
                <c:pt idx="10">
                  <c:v>1813.4138592398599</c:v>
                </c:pt>
                <c:pt idx="11">
                  <c:v>1826.4229927204601</c:v>
                </c:pt>
                <c:pt idx="12">
                  <c:v>1585.7501231066458</c:v>
                </c:pt>
              </c:numCache>
            </c:numRef>
          </c:val>
        </c:ser>
        <c:ser>
          <c:idx val="1"/>
          <c:order val="1"/>
          <c:tx>
            <c:strRef>
              <c:f>'EU ETS'!$A$35</c:f>
              <c:strCache>
                <c:ptCount val="1"/>
                <c:pt idx="0">
                  <c:v>ETS rūpnieciskie procesi</c:v>
                </c:pt>
              </c:strCache>
            </c:strRef>
          </c:tx>
          <c:spPr>
            <a:solidFill>
              <a:schemeClr val="accent2"/>
            </a:solidFill>
            <a:ln>
              <a:noFill/>
            </a:ln>
            <a:effectLst/>
          </c:spPr>
          <c:invertIfNegative val="0"/>
          <c:cat>
            <c:strRef>
              <c:f>'EU ETS'!$B$33:$O$33</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f>'EU ETS'!$B$35:$O$35</c:f>
              <c:numCache>
                <c:formatCode>General</c:formatCode>
                <c:ptCount val="13"/>
                <c:pt idx="0">
                  <c:v>227.3578</c:v>
                </c:pt>
                <c:pt idx="1">
                  <c:v>255.46688</c:v>
                </c:pt>
                <c:pt idx="2">
                  <c:v>254.41234</c:v>
                </c:pt>
                <c:pt idx="3">
                  <c:v>249.42615000000001</c:v>
                </c:pt>
                <c:pt idx="4">
                  <c:v>170.84947099999999</c:v>
                </c:pt>
                <c:pt idx="5">
                  <c:v>505.75477000000001</c:v>
                </c:pt>
                <c:pt idx="6">
                  <c:v>606.06237999999996</c:v>
                </c:pt>
                <c:pt idx="7">
                  <c:v>666.29242500000009</c:v>
                </c:pt>
                <c:pt idx="8">
                  <c:v>587.80201599999998</c:v>
                </c:pt>
                <c:pt idx="9">
                  <c:v>593.53378918314013</c:v>
                </c:pt>
                <c:pt idx="10">
                  <c:v>499.12436510800001</c:v>
                </c:pt>
                <c:pt idx="11">
                  <c:v>370.57459999999998</c:v>
                </c:pt>
                <c:pt idx="12">
                  <c:v>464.05396128020999</c:v>
                </c:pt>
              </c:numCache>
            </c:numRef>
          </c:val>
        </c:ser>
        <c:dLbls>
          <c:showLegendKey val="0"/>
          <c:showVal val="0"/>
          <c:showCatName val="0"/>
          <c:showSerName val="0"/>
          <c:showPercent val="0"/>
          <c:showBubbleSize val="0"/>
        </c:dLbls>
        <c:gapWidth val="150"/>
        <c:overlap val="100"/>
        <c:axId val="421391696"/>
        <c:axId val="421392088"/>
      </c:barChart>
      <c:lineChart>
        <c:grouping val="stacked"/>
        <c:varyColors val="0"/>
        <c:ser>
          <c:idx val="2"/>
          <c:order val="2"/>
          <c:tx>
            <c:strRef>
              <c:f>'EU ETS'!$A$36</c:f>
              <c:strCache>
                <c:ptCount val="1"/>
                <c:pt idx="0">
                  <c:v>ETS sektors</c:v>
                </c:pt>
              </c:strCache>
            </c:strRef>
          </c:tx>
          <c:spPr>
            <a:ln w="25400" cap="rnd">
              <a:solidFill>
                <a:schemeClr val="bg1">
                  <a:lumMod val="50000"/>
                </a:schemeClr>
              </a:solidFill>
              <a:round/>
            </a:ln>
            <a:effectLst/>
          </c:spPr>
          <c:marker>
            <c:symbol val="circle"/>
            <c:size val="5"/>
            <c:spPr>
              <a:solidFill>
                <a:schemeClr val="bg1">
                  <a:lumMod val="65000"/>
                </a:schemeClr>
              </a:solidFill>
              <a:ln w="9525">
                <a:solidFill>
                  <a:schemeClr val="bg1">
                    <a:lumMod val="65000"/>
                  </a:schemeClr>
                </a:solidFill>
              </a:ln>
              <a:effectLst/>
            </c:spPr>
          </c:marker>
          <c:cat>
            <c:strRef>
              <c:f>'EU ETS'!$B$33:$O$33</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f>'EU ETS'!$B$36:$O$36</c:f>
              <c:numCache>
                <c:formatCode>General</c:formatCode>
                <c:ptCount val="13"/>
                <c:pt idx="0">
                  <c:v>2854.424</c:v>
                </c:pt>
                <c:pt idx="1">
                  <c:v>2940.7530000000002</c:v>
                </c:pt>
                <c:pt idx="2">
                  <c:v>2849.21</c:v>
                </c:pt>
                <c:pt idx="3">
                  <c:v>2742.9180000000001</c:v>
                </c:pt>
                <c:pt idx="4">
                  <c:v>2489.797</c:v>
                </c:pt>
                <c:pt idx="5">
                  <c:v>3240.18</c:v>
                </c:pt>
                <c:pt idx="6">
                  <c:v>2923.4549999999999</c:v>
                </c:pt>
                <c:pt idx="7">
                  <c:v>3046.5120000000002</c:v>
                </c:pt>
                <c:pt idx="8">
                  <c:v>2649.8139999999999</c:v>
                </c:pt>
                <c:pt idx="9">
                  <c:v>2354.2469999999998</c:v>
                </c:pt>
                <c:pt idx="10">
                  <c:v>2312.538</c:v>
                </c:pt>
                <c:pt idx="11">
                  <c:v>2196.99759272046</c:v>
                </c:pt>
                <c:pt idx="12">
                  <c:v>2049.8040843868557</c:v>
                </c:pt>
              </c:numCache>
            </c:numRef>
          </c:val>
          <c:smooth val="0"/>
        </c:ser>
        <c:dLbls>
          <c:showLegendKey val="0"/>
          <c:showVal val="0"/>
          <c:showCatName val="0"/>
          <c:showSerName val="0"/>
          <c:showPercent val="0"/>
          <c:showBubbleSize val="0"/>
        </c:dLbls>
        <c:marker val="1"/>
        <c:smooth val="0"/>
        <c:axId val="421391696"/>
        <c:axId val="421392088"/>
      </c:lineChart>
      <c:catAx>
        <c:axId val="421391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21392088"/>
        <c:crosses val="autoZero"/>
        <c:auto val="1"/>
        <c:lblAlgn val="ctr"/>
        <c:lblOffset val="100"/>
        <c:noMultiLvlLbl val="0"/>
      </c:catAx>
      <c:valAx>
        <c:axId val="4213920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kt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21391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lv-LV"/>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55073671346637"/>
          <c:y val="4.5929018789144051E-2"/>
          <c:w val="0.86219882236942602"/>
          <c:h val="0.67580096329294959"/>
        </c:manualLayout>
      </c:layout>
      <c:barChart>
        <c:barDir val="col"/>
        <c:grouping val="stacked"/>
        <c:varyColors val="0"/>
        <c:ser>
          <c:idx val="0"/>
          <c:order val="0"/>
          <c:tx>
            <c:strRef>
              <c:f>Aprekini_AG!$A$16</c:f>
              <c:strCache>
                <c:ptCount val="1"/>
                <c:pt idx="0">
                  <c:v>Ne - ETS Enerģētika</c:v>
                </c:pt>
              </c:strCache>
            </c:strRef>
          </c:tx>
          <c:spPr>
            <a:solidFill>
              <a:schemeClr val="accent1"/>
            </a:solidFill>
            <a:ln>
              <a:noFill/>
            </a:ln>
            <a:effectLst/>
          </c:spPr>
          <c:invertIfNegative val="0"/>
          <c:cat>
            <c:numRef>
              <c:f>Aprekini_AG!$B$15:$AB$15</c:f>
              <c:numCache>
                <c:formatCode>General</c:formatCode>
                <c:ptCount val="2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4">
                  <c:v>2018</c:v>
                </c:pt>
                <c:pt idx="15">
                  <c:v>2019</c:v>
                </c:pt>
                <c:pt idx="16">
                  <c:v>2020</c:v>
                </c:pt>
                <c:pt idx="17">
                  <c:v>2021</c:v>
                </c:pt>
                <c:pt idx="18">
                  <c:v>2022</c:v>
                </c:pt>
                <c:pt idx="19">
                  <c:v>2023</c:v>
                </c:pt>
                <c:pt idx="20">
                  <c:v>2024</c:v>
                </c:pt>
                <c:pt idx="21">
                  <c:v>2025</c:v>
                </c:pt>
                <c:pt idx="22">
                  <c:v>2026</c:v>
                </c:pt>
                <c:pt idx="23">
                  <c:v>2027</c:v>
                </c:pt>
                <c:pt idx="24">
                  <c:v>2028</c:v>
                </c:pt>
                <c:pt idx="25">
                  <c:v>2029</c:v>
                </c:pt>
                <c:pt idx="26">
                  <c:v>2030</c:v>
                </c:pt>
              </c:numCache>
            </c:numRef>
          </c:cat>
          <c:val>
            <c:numRef>
              <c:f>Aprekini_AG!$B$16:$AB$16</c:f>
              <c:numCache>
                <c:formatCode>General</c:formatCode>
                <c:ptCount val="27"/>
                <c:pt idx="0">
                  <c:v>2315.7190896825477</c:v>
                </c:pt>
                <c:pt idx="1">
                  <c:v>2369.4553878328543</c:v>
                </c:pt>
                <c:pt idx="2">
                  <c:v>2343.2372650029747</c:v>
                </c:pt>
                <c:pt idx="3">
                  <c:v>2203.8110363076285</c:v>
                </c:pt>
                <c:pt idx="4">
                  <c:v>2178.0912222380084</c:v>
                </c:pt>
                <c:pt idx="5">
                  <c:v>2418.6873148415389</c:v>
                </c:pt>
                <c:pt idx="6">
                  <c:v>2308.759820299425</c:v>
                </c:pt>
                <c:pt idx="7">
                  <c:v>2029.7902184094946</c:v>
                </c:pt>
                <c:pt idx="8">
                  <c:v>2241.5385250272002</c:v>
                </c:pt>
                <c:pt idx="9">
                  <c:v>2259.3325757845878</c:v>
                </c:pt>
                <c:pt idx="10">
                  <c:v>2151.2604707308228</c:v>
                </c:pt>
                <c:pt idx="11">
                  <c:v>2232.4945528366561</c:v>
                </c:pt>
                <c:pt idx="12">
                  <c:v>2277.0720569034615</c:v>
                </c:pt>
                <c:pt idx="14">
                  <c:v>2092.9345104977601</c:v>
                </c:pt>
                <c:pt idx="15">
                  <c:v>2122.8868138913481</c:v>
                </c:pt>
                <c:pt idx="16">
                  <c:v>2154.172129</c:v>
                </c:pt>
                <c:pt idx="17">
                  <c:v>2137.1801050002623</c:v>
                </c:pt>
                <c:pt idx="18">
                  <c:v>2123.7003571534683</c:v>
                </c:pt>
                <c:pt idx="19">
                  <c:v>2113.7639940416975</c:v>
                </c:pt>
                <c:pt idx="20">
                  <c:v>2107.4113928062689</c:v>
                </c:pt>
                <c:pt idx="21">
                  <c:v>2104.692497</c:v>
                </c:pt>
                <c:pt idx="22">
                  <c:v>2114.7733913460343</c:v>
                </c:pt>
                <c:pt idx="23">
                  <c:v>2127.0772160111915</c:v>
                </c:pt>
                <c:pt idx="24">
                  <c:v>2141.7050911546639</c:v>
                </c:pt>
                <c:pt idx="25">
                  <c:v>2158.7652214981076</c:v>
                </c:pt>
                <c:pt idx="26">
                  <c:v>2178.3733200000001</c:v>
                </c:pt>
              </c:numCache>
            </c:numRef>
          </c:val>
        </c:ser>
        <c:ser>
          <c:idx val="1"/>
          <c:order val="1"/>
          <c:tx>
            <c:strRef>
              <c:f>Aprekini_AG!$A$17</c:f>
              <c:strCache>
                <c:ptCount val="1"/>
                <c:pt idx="0">
                  <c:v>Transports</c:v>
                </c:pt>
              </c:strCache>
            </c:strRef>
          </c:tx>
          <c:spPr>
            <a:solidFill>
              <a:schemeClr val="accent2"/>
            </a:solidFill>
            <a:ln>
              <a:noFill/>
            </a:ln>
            <a:effectLst/>
          </c:spPr>
          <c:invertIfNegative val="0"/>
          <c:cat>
            <c:numRef>
              <c:f>Aprekini_AG!$B$15:$AB$15</c:f>
              <c:numCache>
                <c:formatCode>General</c:formatCode>
                <c:ptCount val="2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4">
                  <c:v>2018</c:v>
                </c:pt>
                <c:pt idx="15">
                  <c:v>2019</c:v>
                </c:pt>
                <c:pt idx="16">
                  <c:v>2020</c:v>
                </c:pt>
                <c:pt idx="17">
                  <c:v>2021</c:v>
                </c:pt>
                <c:pt idx="18">
                  <c:v>2022</c:v>
                </c:pt>
                <c:pt idx="19">
                  <c:v>2023</c:v>
                </c:pt>
                <c:pt idx="20">
                  <c:v>2024</c:v>
                </c:pt>
                <c:pt idx="21">
                  <c:v>2025</c:v>
                </c:pt>
                <c:pt idx="22">
                  <c:v>2026</c:v>
                </c:pt>
                <c:pt idx="23">
                  <c:v>2027</c:v>
                </c:pt>
                <c:pt idx="24">
                  <c:v>2028</c:v>
                </c:pt>
                <c:pt idx="25">
                  <c:v>2029</c:v>
                </c:pt>
                <c:pt idx="26">
                  <c:v>2030</c:v>
                </c:pt>
              </c:numCache>
            </c:numRef>
          </c:cat>
          <c:val>
            <c:numRef>
              <c:f>Aprekini_AG!$B$17:$AB$17</c:f>
              <c:numCache>
                <c:formatCode>General</c:formatCode>
                <c:ptCount val="27"/>
                <c:pt idx="0">
                  <c:v>3118.9933414028037</c:v>
                </c:pt>
                <c:pt idx="1">
                  <c:v>3431.5344727153247</c:v>
                </c:pt>
                <c:pt idx="2">
                  <c:v>3875.9654751014282</c:v>
                </c:pt>
                <c:pt idx="3">
                  <c:v>3661.0856918839027</c:v>
                </c:pt>
                <c:pt idx="4">
                  <c:v>3217.5570101250642</c:v>
                </c:pt>
                <c:pt idx="5">
                  <c:v>3354.8692797972576</c:v>
                </c:pt>
                <c:pt idx="6">
                  <c:v>2974.0526583300289</c:v>
                </c:pt>
                <c:pt idx="7">
                  <c:v>2865.2762868767013</c:v>
                </c:pt>
                <c:pt idx="8">
                  <c:v>2902.452533397327</c:v>
                </c:pt>
                <c:pt idx="9">
                  <c:v>3032.5249928962426</c:v>
                </c:pt>
                <c:pt idx="10">
                  <c:v>3215.4651913121402</c:v>
                </c:pt>
                <c:pt idx="11">
                  <c:v>3197.9427163370874</c:v>
                </c:pt>
                <c:pt idx="12">
                  <c:v>3333.5299999999997</c:v>
                </c:pt>
                <c:pt idx="14">
                  <c:v>3075.7942896142667</c:v>
                </c:pt>
                <c:pt idx="15">
                  <c:v>3057.9147655859488</c:v>
                </c:pt>
                <c:pt idx="16">
                  <c:v>3040.4064119999998</c:v>
                </c:pt>
                <c:pt idx="17">
                  <c:v>3069.0535822365564</c:v>
                </c:pt>
                <c:pt idx="18">
                  <c:v>3098.0481684651049</c:v>
                </c:pt>
                <c:pt idx="19">
                  <c:v>3127.3982598318216</c:v>
                </c:pt>
                <c:pt idx="20">
                  <c:v>3157.112299102072</c:v>
                </c:pt>
                <c:pt idx="21">
                  <c:v>3187.199102</c:v>
                </c:pt>
                <c:pt idx="22">
                  <c:v>3202.6434202053192</c:v>
                </c:pt>
                <c:pt idx="23">
                  <c:v>3218.1701261100666</c:v>
                </c:pt>
                <c:pt idx="24">
                  <c:v>3233.7797272551311</c:v>
                </c:pt>
                <c:pt idx="25">
                  <c:v>3249.4727348891111</c:v>
                </c:pt>
                <c:pt idx="26">
                  <c:v>3265.2496640000004</c:v>
                </c:pt>
              </c:numCache>
            </c:numRef>
          </c:val>
        </c:ser>
        <c:ser>
          <c:idx val="2"/>
          <c:order val="2"/>
          <c:tx>
            <c:strRef>
              <c:f>Aprekini_AG!$A$18</c:f>
              <c:strCache>
                <c:ptCount val="1"/>
                <c:pt idx="0">
                  <c:v>Ne - ETS Rūpnieciskie procesi un produktu izmantošana</c:v>
                </c:pt>
              </c:strCache>
            </c:strRef>
          </c:tx>
          <c:spPr>
            <a:solidFill>
              <a:schemeClr val="accent3"/>
            </a:solidFill>
            <a:ln>
              <a:noFill/>
            </a:ln>
            <a:effectLst/>
          </c:spPr>
          <c:invertIfNegative val="0"/>
          <c:cat>
            <c:numRef>
              <c:f>Aprekini_AG!$B$15:$AB$15</c:f>
              <c:numCache>
                <c:formatCode>General</c:formatCode>
                <c:ptCount val="2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4">
                  <c:v>2018</c:v>
                </c:pt>
                <c:pt idx="15">
                  <c:v>2019</c:v>
                </c:pt>
                <c:pt idx="16">
                  <c:v>2020</c:v>
                </c:pt>
                <c:pt idx="17">
                  <c:v>2021</c:v>
                </c:pt>
                <c:pt idx="18">
                  <c:v>2022</c:v>
                </c:pt>
                <c:pt idx="19">
                  <c:v>2023</c:v>
                </c:pt>
                <c:pt idx="20">
                  <c:v>2024</c:v>
                </c:pt>
                <c:pt idx="21">
                  <c:v>2025</c:v>
                </c:pt>
                <c:pt idx="22">
                  <c:v>2026</c:v>
                </c:pt>
                <c:pt idx="23">
                  <c:v>2027</c:v>
                </c:pt>
                <c:pt idx="24">
                  <c:v>2028</c:v>
                </c:pt>
                <c:pt idx="25">
                  <c:v>2029</c:v>
                </c:pt>
                <c:pt idx="26">
                  <c:v>2030</c:v>
                </c:pt>
              </c:numCache>
            </c:numRef>
          </c:cat>
          <c:val>
            <c:numRef>
              <c:f>Aprekini_AG!$B$18:$AB$18</c:f>
              <c:numCache>
                <c:formatCode>General</c:formatCode>
                <c:ptCount val="27"/>
                <c:pt idx="0">
                  <c:v>107.07415891464868</c:v>
                </c:pt>
                <c:pt idx="1">
                  <c:v>136.78425945182221</c:v>
                </c:pt>
                <c:pt idx="2">
                  <c:v>164.89766989559675</c:v>
                </c:pt>
                <c:pt idx="3">
                  <c:v>188.48625180846943</c:v>
                </c:pt>
                <c:pt idx="4">
                  <c:v>195.97475763692819</c:v>
                </c:pt>
                <c:pt idx="5">
                  <c:v>212.7134053612034</c:v>
                </c:pt>
                <c:pt idx="6">
                  <c:v>221.62752137054673</c:v>
                </c:pt>
                <c:pt idx="7">
                  <c:v>226.78349471380213</c:v>
                </c:pt>
                <c:pt idx="8">
                  <c:v>245.02894157547345</c:v>
                </c:pt>
                <c:pt idx="9">
                  <c:v>257.11243131916893</c:v>
                </c:pt>
                <c:pt idx="10">
                  <c:v>279.1343379570381</c:v>
                </c:pt>
                <c:pt idx="11">
                  <c:v>289.64958200319779</c:v>
                </c:pt>
                <c:pt idx="12">
                  <c:v>289.68660285875859</c:v>
                </c:pt>
                <c:pt idx="14">
                  <c:v>262.87577362762835</c:v>
                </c:pt>
                <c:pt idx="15">
                  <c:v>273.30930002483666</c:v>
                </c:pt>
                <c:pt idx="16">
                  <c:v>250.76741018671015</c:v>
                </c:pt>
                <c:pt idx="17">
                  <c:v>252.66511563260335</c:v>
                </c:pt>
                <c:pt idx="18">
                  <c:v>232.98624201654499</c:v>
                </c:pt>
                <c:pt idx="19">
                  <c:v>230.32308470268313</c:v>
                </c:pt>
                <c:pt idx="20">
                  <c:v>223.06272521403019</c:v>
                </c:pt>
                <c:pt idx="21">
                  <c:v>212.66134809097528</c:v>
                </c:pt>
                <c:pt idx="22">
                  <c:v>213.16657269640766</c:v>
                </c:pt>
                <c:pt idx="23">
                  <c:v>201.61834155300411</c:v>
                </c:pt>
                <c:pt idx="24">
                  <c:v>199.73068716542011</c:v>
                </c:pt>
                <c:pt idx="25">
                  <c:v>186.98691071660153</c:v>
                </c:pt>
                <c:pt idx="26">
                  <c:v>189.51259030417637</c:v>
                </c:pt>
              </c:numCache>
            </c:numRef>
          </c:val>
        </c:ser>
        <c:ser>
          <c:idx val="3"/>
          <c:order val="3"/>
          <c:tx>
            <c:strRef>
              <c:f>Aprekini_AG!$A$19</c:f>
              <c:strCache>
                <c:ptCount val="1"/>
                <c:pt idx="0">
                  <c:v>Lauksaimniecība</c:v>
                </c:pt>
              </c:strCache>
            </c:strRef>
          </c:tx>
          <c:spPr>
            <a:solidFill>
              <a:schemeClr val="accent4"/>
            </a:solidFill>
            <a:ln>
              <a:noFill/>
            </a:ln>
            <a:effectLst/>
          </c:spPr>
          <c:invertIfNegative val="0"/>
          <c:cat>
            <c:numRef>
              <c:f>Aprekini_AG!$B$15:$AB$15</c:f>
              <c:numCache>
                <c:formatCode>General</c:formatCode>
                <c:ptCount val="2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4">
                  <c:v>2018</c:v>
                </c:pt>
                <c:pt idx="15">
                  <c:v>2019</c:v>
                </c:pt>
                <c:pt idx="16">
                  <c:v>2020</c:v>
                </c:pt>
                <c:pt idx="17">
                  <c:v>2021</c:v>
                </c:pt>
                <c:pt idx="18">
                  <c:v>2022</c:v>
                </c:pt>
                <c:pt idx="19">
                  <c:v>2023</c:v>
                </c:pt>
                <c:pt idx="20">
                  <c:v>2024</c:v>
                </c:pt>
                <c:pt idx="21">
                  <c:v>2025</c:v>
                </c:pt>
                <c:pt idx="22">
                  <c:v>2026</c:v>
                </c:pt>
                <c:pt idx="23">
                  <c:v>2027</c:v>
                </c:pt>
                <c:pt idx="24">
                  <c:v>2028</c:v>
                </c:pt>
                <c:pt idx="25">
                  <c:v>2029</c:v>
                </c:pt>
                <c:pt idx="26">
                  <c:v>2030</c:v>
                </c:pt>
              </c:numCache>
            </c:numRef>
          </c:cat>
          <c:val>
            <c:numRef>
              <c:f>Aprekini_AG!$B$19:$AB$19</c:f>
              <c:numCache>
                <c:formatCode>General</c:formatCode>
                <c:ptCount val="27"/>
                <c:pt idx="0">
                  <c:v>2339.5300000000002</c:v>
                </c:pt>
                <c:pt idx="1">
                  <c:v>2336.6999999999998</c:v>
                </c:pt>
                <c:pt idx="2">
                  <c:v>2421.52</c:v>
                </c:pt>
                <c:pt idx="3">
                  <c:v>2384.5500000000002</c:v>
                </c:pt>
                <c:pt idx="4">
                  <c:v>2389.63</c:v>
                </c:pt>
                <c:pt idx="5">
                  <c:v>2406.1</c:v>
                </c:pt>
                <c:pt idx="6">
                  <c:v>2407.5500000000002</c:v>
                </c:pt>
                <c:pt idx="7">
                  <c:v>2497.5100000000002</c:v>
                </c:pt>
                <c:pt idx="8">
                  <c:v>2544.06</c:v>
                </c:pt>
                <c:pt idx="9">
                  <c:v>2612.09</c:v>
                </c:pt>
                <c:pt idx="10">
                  <c:v>2671.65</c:v>
                </c:pt>
                <c:pt idx="11">
                  <c:v>2663.43</c:v>
                </c:pt>
                <c:pt idx="12">
                  <c:v>2627.788805186733</c:v>
                </c:pt>
                <c:pt idx="14">
                  <c:v>3006.2792504422919</c:v>
                </c:pt>
                <c:pt idx="15">
                  <c:v>3052.3597901743979</c:v>
                </c:pt>
                <c:pt idx="16">
                  <c:v>3098.4403299065038</c:v>
                </c:pt>
                <c:pt idx="17">
                  <c:v>3142.1767080419877</c:v>
                </c:pt>
                <c:pt idx="18">
                  <c:v>3185.9130861774715</c:v>
                </c:pt>
                <c:pt idx="19">
                  <c:v>3229.6494643129558</c:v>
                </c:pt>
                <c:pt idx="20">
                  <c:v>3273.3858424484397</c:v>
                </c:pt>
                <c:pt idx="21">
                  <c:v>3317.1222205839235</c:v>
                </c:pt>
                <c:pt idx="22">
                  <c:v>3330.8471465253833</c:v>
                </c:pt>
                <c:pt idx="23">
                  <c:v>3344.5720724668427</c:v>
                </c:pt>
                <c:pt idx="24">
                  <c:v>3358.2969984083024</c:v>
                </c:pt>
                <c:pt idx="25">
                  <c:v>3372.0219243497618</c:v>
                </c:pt>
                <c:pt idx="26">
                  <c:v>3385.746850291222</c:v>
                </c:pt>
              </c:numCache>
            </c:numRef>
          </c:val>
        </c:ser>
        <c:ser>
          <c:idx val="4"/>
          <c:order val="4"/>
          <c:tx>
            <c:strRef>
              <c:f>Aprekini_AG!$A$20</c:f>
              <c:strCache>
                <c:ptCount val="1"/>
                <c:pt idx="0">
                  <c:v>Atkritumu apsaimniekošana</c:v>
                </c:pt>
              </c:strCache>
            </c:strRef>
          </c:tx>
          <c:spPr>
            <a:solidFill>
              <a:schemeClr val="accent5"/>
            </a:solidFill>
            <a:ln>
              <a:noFill/>
            </a:ln>
            <a:effectLst/>
          </c:spPr>
          <c:invertIfNegative val="0"/>
          <c:cat>
            <c:numRef>
              <c:f>Aprekini_AG!$B$15:$AB$15</c:f>
              <c:numCache>
                <c:formatCode>General</c:formatCode>
                <c:ptCount val="2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4">
                  <c:v>2018</c:v>
                </c:pt>
                <c:pt idx="15">
                  <c:v>2019</c:v>
                </c:pt>
                <c:pt idx="16">
                  <c:v>2020</c:v>
                </c:pt>
                <c:pt idx="17">
                  <c:v>2021</c:v>
                </c:pt>
                <c:pt idx="18">
                  <c:v>2022</c:v>
                </c:pt>
                <c:pt idx="19">
                  <c:v>2023</c:v>
                </c:pt>
                <c:pt idx="20">
                  <c:v>2024</c:v>
                </c:pt>
                <c:pt idx="21">
                  <c:v>2025</c:v>
                </c:pt>
                <c:pt idx="22">
                  <c:v>2026</c:v>
                </c:pt>
                <c:pt idx="23">
                  <c:v>2027</c:v>
                </c:pt>
                <c:pt idx="24">
                  <c:v>2028</c:v>
                </c:pt>
                <c:pt idx="25">
                  <c:v>2029</c:v>
                </c:pt>
                <c:pt idx="26">
                  <c:v>2030</c:v>
                </c:pt>
              </c:numCache>
            </c:numRef>
          </c:cat>
          <c:val>
            <c:numRef>
              <c:f>Aprekini_AG!$B$20:$AB$20</c:f>
              <c:numCache>
                <c:formatCode>General</c:formatCode>
                <c:ptCount val="27"/>
                <c:pt idx="0">
                  <c:v>721.49</c:v>
                </c:pt>
                <c:pt idx="1">
                  <c:v>740.32</c:v>
                </c:pt>
                <c:pt idx="2">
                  <c:v>755.18</c:v>
                </c:pt>
                <c:pt idx="3">
                  <c:v>759.87</c:v>
                </c:pt>
                <c:pt idx="4">
                  <c:v>732.32</c:v>
                </c:pt>
                <c:pt idx="5">
                  <c:v>757.13</c:v>
                </c:pt>
                <c:pt idx="6">
                  <c:v>725.28</c:v>
                </c:pt>
                <c:pt idx="7">
                  <c:v>737.44</c:v>
                </c:pt>
                <c:pt idx="8">
                  <c:v>730.46</c:v>
                </c:pt>
                <c:pt idx="9">
                  <c:v>738.1</c:v>
                </c:pt>
                <c:pt idx="10">
                  <c:v>704.61</c:v>
                </c:pt>
                <c:pt idx="11">
                  <c:v>725.87</c:v>
                </c:pt>
                <c:pt idx="12">
                  <c:v>697.55151780731853</c:v>
                </c:pt>
                <c:pt idx="14">
                  <c:v>681.04832083698716</c:v>
                </c:pt>
                <c:pt idx="15">
                  <c:v>673.25914338797054</c:v>
                </c:pt>
                <c:pt idx="16">
                  <c:v>663.81019262450764</c:v>
                </c:pt>
                <c:pt idx="17">
                  <c:v>656.74896986991394</c:v>
                </c:pt>
                <c:pt idx="18">
                  <c:v>652.41135867348589</c:v>
                </c:pt>
                <c:pt idx="19">
                  <c:v>651.05919278201736</c:v>
                </c:pt>
                <c:pt idx="20">
                  <c:v>649.32062618209454</c:v>
                </c:pt>
                <c:pt idx="21">
                  <c:v>649.7741507159335</c:v>
                </c:pt>
                <c:pt idx="22">
                  <c:v>651.26597606681662</c:v>
                </c:pt>
                <c:pt idx="23">
                  <c:v>654.24335382400591</c:v>
                </c:pt>
                <c:pt idx="24">
                  <c:v>657.41952703635297</c:v>
                </c:pt>
                <c:pt idx="25">
                  <c:v>660.32847281271358</c:v>
                </c:pt>
                <c:pt idx="26">
                  <c:v>664.07556312171914</c:v>
                </c:pt>
              </c:numCache>
            </c:numRef>
          </c:val>
        </c:ser>
        <c:dLbls>
          <c:showLegendKey val="0"/>
          <c:showVal val="0"/>
          <c:showCatName val="0"/>
          <c:showSerName val="0"/>
          <c:showPercent val="0"/>
          <c:showBubbleSize val="0"/>
        </c:dLbls>
        <c:gapWidth val="150"/>
        <c:overlap val="100"/>
        <c:axId val="421392872"/>
        <c:axId val="421393656"/>
      </c:barChart>
      <c:catAx>
        <c:axId val="4213928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21393656"/>
        <c:crosses val="autoZero"/>
        <c:auto val="1"/>
        <c:lblAlgn val="ctr"/>
        <c:lblOffset val="100"/>
        <c:noMultiLvlLbl val="0"/>
      </c:catAx>
      <c:valAx>
        <c:axId val="4213936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a:t>kt CO2 ekv.</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21392872"/>
        <c:crosses val="autoZero"/>
        <c:crossBetween val="between"/>
        <c:majorUnit val="1000"/>
      </c:valAx>
      <c:spPr>
        <a:noFill/>
        <a:ln>
          <a:noFill/>
        </a:ln>
        <a:effectLst/>
      </c:spPr>
    </c:plotArea>
    <c:legend>
      <c:legendPos val="b"/>
      <c:layout>
        <c:manualLayout>
          <c:xMode val="edge"/>
          <c:yMode val="edge"/>
          <c:x val="8.1250781152355955E-2"/>
          <c:y val="0.84211365541729"/>
          <c:w val="0.90584058937077294"/>
          <c:h val="0.1328341525159041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2560789277160563E-2"/>
          <c:y val="5.7166354619968801E-2"/>
          <c:w val="0.8514735148768543"/>
          <c:h val="0.70018813165595684"/>
        </c:manualLayout>
      </c:layout>
      <c:barChart>
        <c:barDir val="col"/>
        <c:grouping val="stacked"/>
        <c:varyColors val="0"/>
        <c:ser>
          <c:idx val="1"/>
          <c:order val="1"/>
          <c:tx>
            <c:strRef>
              <c:f>ZIZIMM_eng!$A$3</c:f>
              <c:strCache>
                <c:ptCount val="1"/>
                <c:pt idx="0">
                  <c:v>Meža zeme</c:v>
                </c:pt>
              </c:strCache>
            </c:strRef>
          </c:tx>
          <c:invertIfNegative val="0"/>
          <c:cat>
            <c:strRef>
              <c:f>ZIZIMM_eng!$B$1:$AR$1</c:f>
              <c:strCache>
                <c:ptCount val="3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8">
                  <c:v>2017</c:v>
                </c:pt>
                <c:pt idx="29">
                  <c:v>2018</c:v>
                </c:pt>
                <c:pt idx="30">
                  <c:v>2019</c:v>
                </c:pt>
                <c:pt idx="31">
                  <c:v>2020</c:v>
                </c:pt>
                <c:pt idx="32">
                  <c:v>2025</c:v>
                </c:pt>
                <c:pt idx="33">
                  <c:v>2030</c:v>
                </c:pt>
              </c:strCache>
            </c:strRef>
          </c:cat>
          <c:val>
            <c:numRef>
              <c:f>ZIZIMM_eng!$B$3:$AR$3</c:f>
              <c:numCache>
                <c:formatCode>0.00</c:formatCode>
                <c:ptCount val="34"/>
                <c:pt idx="0">
                  <c:v>-17330.488521333347</c:v>
                </c:pt>
                <c:pt idx="1">
                  <c:v>-18130.22383933335</c:v>
                </c:pt>
                <c:pt idx="2">
                  <c:v>-18504.11256233335</c:v>
                </c:pt>
                <c:pt idx="3">
                  <c:v>-17650.113789666688</c:v>
                </c:pt>
                <c:pt idx="4">
                  <c:v>-20116.094156666684</c:v>
                </c:pt>
                <c:pt idx="5">
                  <c:v>-18594.305337666687</c:v>
                </c:pt>
                <c:pt idx="6">
                  <c:v>-18606.577730333353</c:v>
                </c:pt>
                <c:pt idx="7">
                  <c:v>-15859.931885666683</c:v>
                </c:pt>
                <c:pt idx="8">
                  <c:v>-14339.083019333346</c:v>
                </c:pt>
                <c:pt idx="9">
                  <c:v>-10759.243761000016</c:v>
                </c:pt>
                <c:pt idx="10">
                  <c:v>-13393.386179333345</c:v>
                </c:pt>
                <c:pt idx="11">
                  <c:v>-14440.068373333346</c:v>
                </c:pt>
                <c:pt idx="12">
                  <c:v>-13164.21009666668</c:v>
                </c:pt>
                <c:pt idx="13">
                  <c:v>-12439.010022333343</c:v>
                </c:pt>
                <c:pt idx="14">
                  <c:v>-8751.1517043333461</c:v>
                </c:pt>
                <c:pt idx="15">
                  <c:v>-8468.750414333339</c:v>
                </c:pt>
                <c:pt idx="16">
                  <c:v>-9733.8107673333434</c:v>
                </c:pt>
                <c:pt idx="17">
                  <c:v>-9235.2338893333417</c:v>
                </c:pt>
                <c:pt idx="18">
                  <c:v>-10320.445533000007</c:v>
                </c:pt>
                <c:pt idx="19">
                  <c:v>-7416.1441400000103</c:v>
                </c:pt>
                <c:pt idx="20">
                  <c:v>-4568.8105940000059</c:v>
                </c:pt>
                <c:pt idx="21">
                  <c:v>-4621.9560483333435</c:v>
                </c:pt>
                <c:pt idx="22">
                  <c:v>-5873.1230350000023</c:v>
                </c:pt>
                <c:pt idx="23">
                  <c:v>-5573.0349470000037</c:v>
                </c:pt>
                <c:pt idx="24">
                  <c:v>-905.31077133333929</c:v>
                </c:pt>
                <c:pt idx="25">
                  <c:v>-1696.7851320000034</c:v>
                </c:pt>
                <c:pt idx="26">
                  <c:v>-2968.7518160000036</c:v>
                </c:pt>
                <c:pt idx="28">
                  <c:v>-1967.8034438965881</c:v>
                </c:pt>
                <c:pt idx="29">
                  <c:v>-1953.2727860328289</c:v>
                </c:pt>
                <c:pt idx="30">
                  <c:v>-2020.4997713126445</c:v>
                </c:pt>
                <c:pt idx="31">
                  <c:v>-2052.7481243125058</c:v>
                </c:pt>
                <c:pt idx="32">
                  <c:v>-2171.2414159401974</c:v>
                </c:pt>
                <c:pt idx="33">
                  <c:v>-1957.8659864149713</c:v>
                </c:pt>
              </c:numCache>
            </c:numRef>
          </c:val>
        </c:ser>
        <c:ser>
          <c:idx val="2"/>
          <c:order val="2"/>
          <c:tx>
            <c:strRef>
              <c:f>ZIZIMM_eng!$A$4</c:f>
              <c:strCache>
                <c:ptCount val="1"/>
                <c:pt idx="0">
                  <c:v>Aramzeme</c:v>
                </c:pt>
              </c:strCache>
            </c:strRef>
          </c:tx>
          <c:invertIfNegative val="0"/>
          <c:cat>
            <c:strRef>
              <c:f>ZIZIMM_eng!$B$1:$AR$1</c:f>
              <c:strCache>
                <c:ptCount val="3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8">
                  <c:v>2017</c:v>
                </c:pt>
                <c:pt idx="29">
                  <c:v>2018</c:v>
                </c:pt>
                <c:pt idx="30">
                  <c:v>2019</c:v>
                </c:pt>
                <c:pt idx="31">
                  <c:v>2020</c:v>
                </c:pt>
                <c:pt idx="32">
                  <c:v>2025</c:v>
                </c:pt>
                <c:pt idx="33">
                  <c:v>2030</c:v>
                </c:pt>
              </c:strCache>
            </c:strRef>
          </c:cat>
          <c:val>
            <c:numRef>
              <c:f>ZIZIMM_eng!$B$4:$AR$4</c:f>
              <c:numCache>
                <c:formatCode>0.00</c:formatCode>
                <c:ptCount val="34"/>
                <c:pt idx="0">
                  <c:v>3640.5018596666696</c:v>
                </c:pt>
                <c:pt idx="1">
                  <c:v>3586.0625670000031</c:v>
                </c:pt>
                <c:pt idx="2">
                  <c:v>3531.9783123333364</c:v>
                </c:pt>
                <c:pt idx="3">
                  <c:v>3478.2491206666696</c:v>
                </c:pt>
                <c:pt idx="4">
                  <c:v>3424.0347496666695</c:v>
                </c:pt>
                <c:pt idx="5">
                  <c:v>3395.6760946666695</c:v>
                </c:pt>
                <c:pt idx="6">
                  <c:v>3367.3336330000029</c:v>
                </c:pt>
                <c:pt idx="7">
                  <c:v>3339.007386000003</c:v>
                </c:pt>
                <c:pt idx="8">
                  <c:v>3310.6973110000031</c:v>
                </c:pt>
                <c:pt idx="9">
                  <c:v>3282.4118443333364</c:v>
                </c:pt>
                <c:pt idx="10">
                  <c:v>3244.5648796666692</c:v>
                </c:pt>
                <c:pt idx="11">
                  <c:v>3206.7483786666694</c:v>
                </c:pt>
                <c:pt idx="12">
                  <c:v>3168.9622840000029</c:v>
                </c:pt>
                <c:pt idx="13">
                  <c:v>3131.2066530000029</c:v>
                </c:pt>
                <c:pt idx="14">
                  <c:v>3093.7151880000024</c:v>
                </c:pt>
                <c:pt idx="15">
                  <c:v>3056.0319806666694</c:v>
                </c:pt>
                <c:pt idx="16">
                  <c:v>3018.3792333333358</c:v>
                </c:pt>
                <c:pt idx="17">
                  <c:v>2947.8607090000028</c:v>
                </c:pt>
                <c:pt idx="18">
                  <c:v>2868.8131610000028</c:v>
                </c:pt>
                <c:pt idx="19">
                  <c:v>2791.2168030000021</c:v>
                </c:pt>
                <c:pt idx="20">
                  <c:v>2712.2983050000025</c:v>
                </c:pt>
                <c:pt idx="21">
                  <c:v>2633.3583453333358</c:v>
                </c:pt>
                <c:pt idx="22">
                  <c:v>2475.575255000002</c:v>
                </c:pt>
                <c:pt idx="23">
                  <c:v>2395.0151633333353</c:v>
                </c:pt>
                <c:pt idx="24">
                  <c:v>2314.7381516666687</c:v>
                </c:pt>
                <c:pt idx="25">
                  <c:v>2234.5419010000019</c:v>
                </c:pt>
                <c:pt idx="26">
                  <c:v>2154.5740676666687</c:v>
                </c:pt>
                <c:pt idx="28">
                  <c:v>2997.227469708238</c:v>
                </c:pt>
                <c:pt idx="29">
                  <c:v>2983.9961206419566</c:v>
                </c:pt>
                <c:pt idx="30">
                  <c:v>2970.8435503929254</c:v>
                </c:pt>
                <c:pt idx="31">
                  <c:v>2957.6009228304351</c:v>
                </c:pt>
                <c:pt idx="32">
                  <c:v>2963.93654862107</c:v>
                </c:pt>
                <c:pt idx="33">
                  <c:v>2970.4869584376556</c:v>
                </c:pt>
              </c:numCache>
            </c:numRef>
          </c:val>
        </c:ser>
        <c:ser>
          <c:idx val="3"/>
          <c:order val="3"/>
          <c:tx>
            <c:strRef>
              <c:f>ZIZIMM_eng!$A$5</c:f>
              <c:strCache>
                <c:ptCount val="1"/>
                <c:pt idx="0">
                  <c:v>Zālāji</c:v>
                </c:pt>
              </c:strCache>
            </c:strRef>
          </c:tx>
          <c:invertIfNegative val="0"/>
          <c:cat>
            <c:strRef>
              <c:f>ZIZIMM_eng!$B$1:$AR$1</c:f>
              <c:strCache>
                <c:ptCount val="3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8">
                  <c:v>2017</c:v>
                </c:pt>
                <c:pt idx="29">
                  <c:v>2018</c:v>
                </c:pt>
                <c:pt idx="30">
                  <c:v>2019</c:v>
                </c:pt>
                <c:pt idx="31">
                  <c:v>2020</c:v>
                </c:pt>
                <c:pt idx="32">
                  <c:v>2025</c:v>
                </c:pt>
                <c:pt idx="33">
                  <c:v>2030</c:v>
                </c:pt>
              </c:strCache>
            </c:strRef>
          </c:cat>
          <c:val>
            <c:numRef>
              <c:f>ZIZIMM_eng!$B$5:$AR$5</c:f>
              <c:numCache>
                <c:formatCode>0.00</c:formatCode>
                <c:ptCount val="34"/>
                <c:pt idx="0">
                  <c:v>2116.1459216666685</c:v>
                </c:pt>
                <c:pt idx="1">
                  <c:v>2093.695818333335</c:v>
                </c:pt>
                <c:pt idx="2">
                  <c:v>2069.7744556666685</c:v>
                </c:pt>
                <c:pt idx="3">
                  <c:v>2047.3580453333352</c:v>
                </c:pt>
                <c:pt idx="4">
                  <c:v>2025.0092276666685</c:v>
                </c:pt>
                <c:pt idx="5">
                  <c:v>1982.0908036666683</c:v>
                </c:pt>
                <c:pt idx="6">
                  <c:v>1939.5357593333349</c:v>
                </c:pt>
                <c:pt idx="7">
                  <c:v>1897.1862913333348</c:v>
                </c:pt>
                <c:pt idx="8">
                  <c:v>1855.7234863333349</c:v>
                </c:pt>
                <c:pt idx="9">
                  <c:v>1813.3648683333349</c:v>
                </c:pt>
                <c:pt idx="10">
                  <c:v>2312.9101753333352</c:v>
                </c:pt>
                <c:pt idx="11">
                  <c:v>2306.2812030000018</c:v>
                </c:pt>
                <c:pt idx="12">
                  <c:v>2301.2713326666685</c:v>
                </c:pt>
                <c:pt idx="13">
                  <c:v>2295.8639046666685</c:v>
                </c:pt>
                <c:pt idx="14">
                  <c:v>2287.9959636666686</c:v>
                </c:pt>
                <c:pt idx="15">
                  <c:v>2282.1050700000019</c:v>
                </c:pt>
                <c:pt idx="16">
                  <c:v>2279.7394500000019</c:v>
                </c:pt>
                <c:pt idx="17">
                  <c:v>1631.7647010000014</c:v>
                </c:pt>
                <c:pt idx="18">
                  <c:v>1579.4230366666679</c:v>
                </c:pt>
                <c:pt idx="19">
                  <c:v>1530.192417666668</c:v>
                </c:pt>
                <c:pt idx="20">
                  <c:v>1479.8849043333346</c:v>
                </c:pt>
                <c:pt idx="21">
                  <c:v>1430.6526740000013</c:v>
                </c:pt>
                <c:pt idx="22">
                  <c:v>1353.2167223333345</c:v>
                </c:pt>
                <c:pt idx="23">
                  <c:v>1305.0853493333343</c:v>
                </c:pt>
                <c:pt idx="24">
                  <c:v>1259.1179793333345</c:v>
                </c:pt>
                <c:pt idx="25">
                  <c:v>1213.7931686666677</c:v>
                </c:pt>
                <c:pt idx="26">
                  <c:v>1170.2937286666677</c:v>
                </c:pt>
                <c:pt idx="28">
                  <c:v>440.71558541069101</c:v>
                </c:pt>
                <c:pt idx="29">
                  <c:v>465.8539271564635</c:v>
                </c:pt>
                <c:pt idx="30">
                  <c:v>499.70331359376246</c:v>
                </c:pt>
                <c:pt idx="31">
                  <c:v>528.53920456069693</c:v>
                </c:pt>
                <c:pt idx="32">
                  <c:v>696.87631479063339</c:v>
                </c:pt>
                <c:pt idx="33">
                  <c:v>808.63188111530565</c:v>
                </c:pt>
              </c:numCache>
            </c:numRef>
          </c:val>
        </c:ser>
        <c:ser>
          <c:idx val="4"/>
          <c:order val="4"/>
          <c:tx>
            <c:strRef>
              <c:f>ZIZIMM_eng!$A$6</c:f>
              <c:strCache>
                <c:ptCount val="1"/>
                <c:pt idx="0">
                  <c:v>Mitrzemes</c:v>
                </c:pt>
              </c:strCache>
            </c:strRef>
          </c:tx>
          <c:invertIfNegative val="0"/>
          <c:cat>
            <c:strRef>
              <c:f>ZIZIMM_eng!$B$1:$AR$1</c:f>
              <c:strCache>
                <c:ptCount val="3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8">
                  <c:v>2017</c:v>
                </c:pt>
                <c:pt idx="29">
                  <c:v>2018</c:v>
                </c:pt>
                <c:pt idx="30">
                  <c:v>2019</c:v>
                </c:pt>
                <c:pt idx="31">
                  <c:v>2020</c:v>
                </c:pt>
                <c:pt idx="32">
                  <c:v>2025</c:v>
                </c:pt>
                <c:pt idx="33">
                  <c:v>2030</c:v>
                </c:pt>
              </c:strCache>
            </c:strRef>
          </c:cat>
          <c:val>
            <c:numRef>
              <c:f>ZIZIMM_eng!$B$6:$AR$6</c:f>
              <c:numCache>
                <c:formatCode>0.00</c:formatCode>
                <c:ptCount val="34"/>
                <c:pt idx="0">
                  <c:v>1077.2944783333335</c:v>
                </c:pt>
                <c:pt idx="1">
                  <c:v>1520.7140886666668</c:v>
                </c:pt>
                <c:pt idx="2">
                  <c:v>527.06943300000012</c:v>
                </c:pt>
                <c:pt idx="3">
                  <c:v>263.24788966666677</c:v>
                </c:pt>
                <c:pt idx="4">
                  <c:v>374.78535600000009</c:v>
                </c:pt>
                <c:pt idx="5">
                  <c:v>382.31359833333346</c:v>
                </c:pt>
                <c:pt idx="6">
                  <c:v>368.00914333333344</c:v>
                </c:pt>
                <c:pt idx="7">
                  <c:v>408.93419966666676</c:v>
                </c:pt>
                <c:pt idx="8">
                  <c:v>323.16058133333343</c:v>
                </c:pt>
                <c:pt idx="9">
                  <c:v>705.83539400000006</c:v>
                </c:pt>
                <c:pt idx="10">
                  <c:v>513.55338466666672</c:v>
                </c:pt>
                <c:pt idx="11">
                  <c:v>582.89947833333349</c:v>
                </c:pt>
                <c:pt idx="12">
                  <c:v>887.85257366666679</c:v>
                </c:pt>
                <c:pt idx="13">
                  <c:v>768.01779633333342</c:v>
                </c:pt>
                <c:pt idx="14">
                  <c:v>774.92824200000007</c:v>
                </c:pt>
                <c:pt idx="15">
                  <c:v>964.18013633333339</c:v>
                </c:pt>
                <c:pt idx="16">
                  <c:v>1170.2625293333335</c:v>
                </c:pt>
                <c:pt idx="17">
                  <c:v>609.9288580000001</c:v>
                </c:pt>
                <c:pt idx="18">
                  <c:v>933.94752733333337</c:v>
                </c:pt>
                <c:pt idx="19">
                  <c:v>916.38836666666668</c:v>
                </c:pt>
                <c:pt idx="20">
                  <c:v>783.51461466666672</c:v>
                </c:pt>
                <c:pt idx="21">
                  <c:v>1035.6603583333333</c:v>
                </c:pt>
                <c:pt idx="22">
                  <c:v>884.99499000000014</c:v>
                </c:pt>
                <c:pt idx="23">
                  <c:v>1382.712947</c:v>
                </c:pt>
                <c:pt idx="24">
                  <c:v>1065.3337310000002</c:v>
                </c:pt>
                <c:pt idx="25">
                  <c:v>1386.6884313333335</c:v>
                </c:pt>
                <c:pt idx="26">
                  <c:v>1446.8141966666669</c:v>
                </c:pt>
                <c:pt idx="28">
                  <c:v>1346.6712343785143</c:v>
                </c:pt>
                <c:pt idx="29">
                  <c:v>1514.0648147964341</c:v>
                </c:pt>
                <c:pt idx="30">
                  <c:v>1681.5127334033741</c:v>
                </c:pt>
                <c:pt idx="31">
                  <c:v>1849.0270452526142</c:v>
                </c:pt>
                <c:pt idx="32">
                  <c:v>1826.0774052057343</c:v>
                </c:pt>
                <c:pt idx="33">
                  <c:v>1799.8959202079143</c:v>
                </c:pt>
              </c:numCache>
            </c:numRef>
          </c:val>
        </c:ser>
        <c:ser>
          <c:idx val="5"/>
          <c:order val="5"/>
          <c:tx>
            <c:strRef>
              <c:f>ZIZIMM_eng!$A$7</c:f>
              <c:strCache>
                <c:ptCount val="1"/>
                <c:pt idx="0">
                  <c:v>Infrastruktūra</c:v>
                </c:pt>
              </c:strCache>
            </c:strRef>
          </c:tx>
          <c:invertIfNegative val="0"/>
          <c:cat>
            <c:strRef>
              <c:f>ZIZIMM_eng!$B$1:$AR$1</c:f>
              <c:strCache>
                <c:ptCount val="3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8">
                  <c:v>2017</c:v>
                </c:pt>
                <c:pt idx="29">
                  <c:v>2018</c:v>
                </c:pt>
                <c:pt idx="30">
                  <c:v>2019</c:v>
                </c:pt>
                <c:pt idx="31">
                  <c:v>2020</c:v>
                </c:pt>
                <c:pt idx="32">
                  <c:v>2025</c:v>
                </c:pt>
                <c:pt idx="33">
                  <c:v>2030</c:v>
                </c:pt>
              </c:strCache>
            </c:strRef>
          </c:cat>
          <c:val>
            <c:numRef>
              <c:f>ZIZIMM_eng!$B$7:$AR$7</c:f>
              <c:numCache>
                <c:formatCode>0.00</c:formatCode>
                <c:ptCount val="34"/>
                <c:pt idx="0">
                  <c:v>-34.013119000000032</c:v>
                </c:pt>
                <c:pt idx="1">
                  <c:v>-35.110905000000031</c:v>
                </c:pt>
                <c:pt idx="2">
                  <c:v>-35.550847000000033</c:v>
                </c:pt>
                <c:pt idx="3">
                  <c:v>-33.234400666666701</c:v>
                </c:pt>
                <c:pt idx="4">
                  <c:v>-33.726669666666702</c:v>
                </c:pt>
                <c:pt idx="5">
                  <c:v>-42.760401000000037</c:v>
                </c:pt>
                <c:pt idx="6">
                  <c:v>-42.2556436666667</c:v>
                </c:pt>
                <c:pt idx="7">
                  <c:v>-43.836673333333373</c:v>
                </c:pt>
                <c:pt idx="8">
                  <c:v>-42.535219000000041</c:v>
                </c:pt>
                <c:pt idx="9">
                  <c:v>-42.092527333333379</c:v>
                </c:pt>
                <c:pt idx="10">
                  <c:v>37.946586666666697</c:v>
                </c:pt>
                <c:pt idx="11">
                  <c:v>53.476248000000041</c:v>
                </c:pt>
                <c:pt idx="12">
                  <c:v>69.168138666666721</c:v>
                </c:pt>
                <c:pt idx="13">
                  <c:v>84.935195666666729</c:v>
                </c:pt>
                <c:pt idx="14">
                  <c:v>100.47807400000008</c:v>
                </c:pt>
                <c:pt idx="15">
                  <c:v>116.26680100000009</c:v>
                </c:pt>
                <c:pt idx="16">
                  <c:v>131.75805366666677</c:v>
                </c:pt>
                <c:pt idx="17">
                  <c:v>45.93092766666669</c:v>
                </c:pt>
                <c:pt idx="18">
                  <c:v>52.395689666666698</c:v>
                </c:pt>
                <c:pt idx="19">
                  <c:v>61.214310333333358</c:v>
                </c:pt>
                <c:pt idx="20">
                  <c:v>68.134617000000034</c:v>
                </c:pt>
                <c:pt idx="21">
                  <c:v>74.966133333333374</c:v>
                </c:pt>
                <c:pt idx="22">
                  <c:v>-618.3732586666672</c:v>
                </c:pt>
                <c:pt idx="23">
                  <c:v>-611.29404666666721</c:v>
                </c:pt>
                <c:pt idx="24">
                  <c:v>-600.80420866666725</c:v>
                </c:pt>
                <c:pt idx="25">
                  <c:v>-593.97086433333391</c:v>
                </c:pt>
                <c:pt idx="26">
                  <c:v>-584.51936633333389</c:v>
                </c:pt>
                <c:pt idx="28">
                  <c:v>946.03035212592158</c:v>
                </c:pt>
                <c:pt idx="29">
                  <c:v>962.35510680477171</c:v>
                </c:pt>
                <c:pt idx="30">
                  <c:v>979.06109046306608</c:v>
                </c:pt>
                <c:pt idx="31">
                  <c:v>995.36232946995335</c:v>
                </c:pt>
                <c:pt idx="32">
                  <c:v>1041.4008739099224</c:v>
                </c:pt>
                <c:pt idx="33">
                  <c:v>1066.9907046603105</c:v>
                </c:pt>
              </c:numCache>
            </c:numRef>
          </c:val>
        </c:ser>
        <c:ser>
          <c:idx val="6"/>
          <c:order val="6"/>
          <c:tx>
            <c:strRef>
              <c:f>ZIZIMM_eng!$A$8</c:f>
              <c:strCache>
                <c:ptCount val="1"/>
                <c:pt idx="0">
                  <c:v>Nocirstās koksnes produkti</c:v>
                </c:pt>
              </c:strCache>
            </c:strRef>
          </c:tx>
          <c:invertIfNegative val="0"/>
          <c:cat>
            <c:strRef>
              <c:f>ZIZIMM_eng!$B$1:$AR$1</c:f>
              <c:strCache>
                <c:ptCount val="3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8">
                  <c:v>2017</c:v>
                </c:pt>
                <c:pt idx="29">
                  <c:v>2018</c:v>
                </c:pt>
                <c:pt idx="30">
                  <c:v>2019</c:v>
                </c:pt>
                <c:pt idx="31">
                  <c:v>2020</c:v>
                </c:pt>
                <c:pt idx="32">
                  <c:v>2025</c:v>
                </c:pt>
                <c:pt idx="33">
                  <c:v>2030</c:v>
                </c:pt>
              </c:strCache>
            </c:strRef>
          </c:cat>
          <c:val>
            <c:numRef>
              <c:f>ZIZIMM_eng!$B$8:$AR$8</c:f>
              <c:numCache>
                <c:formatCode>0.00</c:formatCode>
                <c:ptCount val="34"/>
                <c:pt idx="0">
                  <c:v>-166.13061200000001</c:v>
                </c:pt>
                <c:pt idx="1">
                  <c:v>-162.70926800000001</c:v>
                </c:pt>
                <c:pt idx="2">
                  <c:v>57.191102000000001</c:v>
                </c:pt>
                <c:pt idx="3">
                  <c:v>397.84608600000001</c:v>
                </c:pt>
                <c:pt idx="4">
                  <c:v>-96.181696000000002</c:v>
                </c:pt>
                <c:pt idx="5">
                  <c:v>-474.03705200000002</c:v>
                </c:pt>
                <c:pt idx="6">
                  <c:v>-690.81531699999994</c:v>
                </c:pt>
                <c:pt idx="7">
                  <c:v>-1572.417185</c:v>
                </c:pt>
                <c:pt idx="8">
                  <c:v>-1974.2932559999999</c:v>
                </c:pt>
                <c:pt idx="9">
                  <c:v>-2307.1468839999998</c:v>
                </c:pt>
                <c:pt idx="10">
                  <c:v>-2356.2778229999999</c:v>
                </c:pt>
                <c:pt idx="11">
                  <c:v>-2244.1682919999998</c:v>
                </c:pt>
                <c:pt idx="12">
                  <c:v>-2282.7365920000002</c:v>
                </c:pt>
                <c:pt idx="13">
                  <c:v>-2257.5831149999999</c:v>
                </c:pt>
                <c:pt idx="14">
                  <c:v>-2133.5833110000003</c:v>
                </c:pt>
                <c:pt idx="15">
                  <c:v>-2179.6862139999998</c:v>
                </c:pt>
                <c:pt idx="16">
                  <c:v>-2217.354304</c:v>
                </c:pt>
                <c:pt idx="17">
                  <c:v>-1371.645786</c:v>
                </c:pt>
                <c:pt idx="18">
                  <c:v>-1052.8447610000001</c:v>
                </c:pt>
                <c:pt idx="19">
                  <c:v>-1233.037194</c:v>
                </c:pt>
                <c:pt idx="20">
                  <c:v>-1832.3752610000001</c:v>
                </c:pt>
                <c:pt idx="21">
                  <c:v>-2044.0737769999998</c:v>
                </c:pt>
                <c:pt idx="22">
                  <c:v>-1896.339984</c:v>
                </c:pt>
                <c:pt idx="23">
                  <c:v>-1916.628755</c:v>
                </c:pt>
                <c:pt idx="24">
                  <c:v>-1850.780616</c:v>
                </c:pt>
                <c:pt idx="25">
                  <c:v>-1842.3168310000001</c:v>
                </c:pt>
                <c:pt idx="26">
                  <c:v>-2144.2535780000003</c:v>
                </c:pt>
                <c:pt idx="28">
                  <c:v>-1718.7949688158801</c:v>
                </c:pt>
                <c:pt idx="29">
                  <c:v>-1681.27944478836</c:v>
                </c:pt>
                <c:pt idx="30">
                  <c:v>-1645.4935280510099</c:v>
                </c:pt>
                <c:pt idx="31">
                  <c:v>-1611.1156073714401</c:v>
                </c:pt>
                <c:pt idx="32">
                  <c:v>-1454.13966114599</c:v>
                </c:pt>
                <c:pt idx="33">
                  <c:v>-1314.8122630262201</c:v>
                </c:pt>
              </c:numCache>
            </c:numRef>
          </c:val>
        </c:ser>
        <c:dLbls>
          <c:showLegendKey val="0"/>
          <c:showVal val="0"/>
          <c:showCatName val="0"/>
          <c:showSerName val="0"/>
          <c:showPercent val="0"/>
          <c:showBubbleSize val="0"/>
        </c:dLbls>
        <c:gapWidth val="150"/>
        <c:overlap val="100"/>
        <c:axId val="421394048"/>
        <c:axId val="421394440"/>
      </c:barChart>
      <c:lineChart>
        <c:grouping val="standard"/>
        <c:varyColors val="0"/>
        <c:ser>
          <c:idx val="0"/>
          <c:order val="0"/>
          <c:tx>
            <c:strRef>
              <c:f>ZIZIMM_eng!$A$2</c:f>
              <c:strCache>
                <c:ptCount val="1"/>
                <c:pt idx="0">
                  <c:v>ZIZIMM</c:v>
                </c:pt>
              </c:strCache>
            </c:strRef>
          </c:tx>
          <c:marker>
            <c:symbol val="none"/>
          </c:marker>
          <c:cat>
            <c:strRef>
              <c:f>ZIZIMM_eng!$B$1:$AR$1</c:f>
              <c:strCache>
                <c:ptCount val="3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8">
                  <c:v>2017</c:v>
                </c:pt>
                <c:pt idx="29">
                  <c:v>2018</c:v>
                </c:pt>
                <c:pt idx="30">
                  <c:v>2019</c:v>
                </c:pt>
                <c:pt idx="31">
                  <c:v>2020</c:v>
                </c:pt>
                <c:pt idx="32">
                  <c:v>2025</c:v>
                </c:pt>
                <c:pt idx="33">
                  <c:v>2030</c:v>
                </c:pt>
              </c:strCache>
            </c:strRef>
          </c:cat>
          <c:val>
            <c:numRef>
              <c:f>ZIZIMM_eng!$B$2:$AR$2</c:f>
              <c:numCache>
                <c:formatCode>0.00</c:formatCode>
                <c:ptCount val="34"/>
                <c:pt idx="0">
                  <c:v>-10696.682542666676</c:v>
                </c:pt>
                <c:pt idx="1">
                  <c:v>-11127.556340333347</c:v>
                </c:pt>
                <c:pt idx="2">
                  <c:v>-12353.627458333345</c:v>
                </c:pt>
                <c:pt idx="3">
                  <c:v>-11496.616950666681</c:v>
                </c:pt>
                <c:pt idx="4">
                  <c:v>-14422.135641000013</c:v>
                </c:pt>
                <c:pt idx="5">
                  <c:v>-13350.980872000016</c:v>
                </c:pt>
                <c:pt idx="6">
                  <c:v>-13664.724859333348</c:v>
                </c:pt>
                <c:pt idx="7">
                  <c:v>-11831.008697000012</c:v>
                </c:pt>
                <c:pt idx="8">
                  <c:v>-10866.277071666675</c:v>
                </c:pt>
                <c:pt idx="9">
                  <c:v>-7306.8141476666779</c:v>
                </c:pt>
                <c:pt idx="10">
                  <c:v>-9640.5933180000084</c:v>
                </c:pt>
                <c:pt idx="11">
                  <c:v>-10534.696959333342</c:v>
                </c:pt>
                <c:pt idx="12">
                  <c:v>-9019.5195196666755</c:v>
                </c:pt>
                <c:pt idx="13">
                  <c:v>-8416.3580076666713</c:v>
                </c:pt>
                <c:pt idx="14">
                  <c:v>-4627.3672276666748</c:v>
                </c:pt>
                <c:pt idx="15">
                  <c:v>-4229.5635803333344</c:v>
                </c:pt>
                <c:pt idx="16">
                  <c:v>-5350.6980050000047</c:v>
                </c:pt>
                <c:pt idx="17">
                  <c:v>-5371.0333036666716</c:v>
                </c:pt>
                <c:pt idx="18">
                  <c:v>-5938.3163273333366</c:v>
                </c:pt>
                <c:pt idx="19">
                  <c:v>-3349.7415083333399</c:v>
                </c:pt>
                <c:pt idx="20">
                  <c:v>-1356.8995600000028</c:v>
                </c:pt>
                <c:pt idx="21">
                  <c:v>-1490.9125343333394</c:v>
                </c:pt>
                <c:pt idx="22">
                  <c:v>-3673.5510543333326</c:v>
                </c:pt>
                <c:pt idx="23">
                  <c:v>-3017.6275570000007</c:v>
                </c:pt>
                <c:pt idx="24">
                  <c:v>1282.8294739999967</c:v>
                </c:pt>
                <c:pt idx="25">
                  <c:v>702.50793366666585</c:v>
                </c:pt>
                <c:pt idx="26">
                  <c:v>-925.2634553333346</c:v>
                </c:pt>
                <c:pt idx="28">
                  <c:v>2044.0462289108968</c:v>
                </c:pt>
                <c:pt idx="29">
                  <c:v>2291.7177385784371</c:v>
                </c:pt>
                <c:pt idx="30">
                  <c:v>2465.1273884894736</c:v>
                </c:pt>
                <c:pt idx="31">
                  <c:v>2666.665770429754</c:v>
                </c:pt>
                <c:pt idx="32">
                  <c:v>2902.9100654411727</c:v>
                </c:pt>
                <c:pt idx="33">
                  <c:v>3373.3272149799946</c:v>
                </c:pt>
              </c:numCache>
            </c:numRef>
          </c:val>
          <c:smooth val="0"/>
        </c:ser>
        <c:dLbls>
          <c:showLegendKey val="0"/>
          <c:showVal val="0"/>
          <c:showCatName val="0"/>
          <c:showSerName val="0"/>
          <c:showPercent val="0"/>
          <c:showBubbleSize val="0"/>
        </c:dLbls>
        <c:marker val="1"/>
        <c:smooth val="0"/>
        <c:axId val="421394048"/>
        <c:axId val="421394440"/>
      </c:lineChart>
      <c:catAx>
        <c:axId val="421394048"/>
        <c:scaling>
          <c:orientation val="minMax"/>
        </c:scaling>
        <c:delete val="0"/>
        <c:axPos val="b"/>
        <c:numFmt formatCode="General" sourceLinked="0"/>
        <c:majorTickMark val="out"/>
        <c:minorTickMark val="none"/>
        <c:tickLblPos val="nextTo"/>
        <c:crossAx val="421394440"/>
        <c:crosses val="autoZero"/>
        <c:auto val="1"/>
        <c:lblAlgn val="ctr"/>
        <c:lblOffset val="100"/>
        <c:noMultiLvlLbl val="0"/>
      </c:catAx>
      <c:valAx>
        <c:axId val="421394440"/>
        <c:scaling>
          <c:orientation val="minMax"/>
          <c:max val="8000"/>
          <c:min val="-18000"/>
        </c:scaling>
        <c:delete val="0"/>
        <c:axPos val="l"/>
        <c:majorGridlines/>
        <c:title>
          <c:tx>
            <c:rich>
              <a:bodyPr/>
              <a:lstStyle/>
              <a:p>
                <a:pPr>
                  <a:defRPr b="0"/>
                </a:pPr>
                <a:r>
                  <a:rPr lang="en-US" b="0"/>
                  <a:t>kt CO2 ekv</a:t>
                </a:r>
              </a:p>
            </c:rich>
          </c:tx>
          <c:layout>
            <c:manualLayout>
              <c:xMode val="edge"/>
              <c:yMode val="edge"/>
              <c:x val="9.8818897637795288E-3"/>
              <c:y val="0.37286735355593614"/>
            </c:manualLayout>
          </c:layout>
          <c:overlay val="0"/>
        </c:title>
        <c:numFmt formatCode="0" sourceLinked="0"/>
        <c:majorTickMark val="out"/>
        <c:minorTickMark val="none"/>
        <c:tickLblPos val="nextTo"/>
        <c:crossAx val="421394048"/>
        <c:crosses val="autoZero"/>
        <c:crossBetween val="between"/>
        <c:majorUnit val="2000"/>
      </c:valAx>
    </c:plotArea>
    <c:legend>
      <c:legendPos val="b"/>
      <c:layout>
        <c:manualLayout>
          <c:xMode val="edge"/>
          <c:yMode val="edge"/>
          <c:x val="4.7490689522058423E-3"/>
          <c:y val="0.82993115515732951"/>
          <c:w val="0.98625095113031103"/>
          <c:h val="0.15614372341388361"/>
        </c:manualLayout>
      </c:layout>
      <c:overlay val="0"/>
    </c:legend>
    <c:plotVisOnly val="1"/>
    <c:dispBlanksAs val="gap"/>
    <c:showDLblsOverMax val="0"/>
  </c:chart>
  <c:txPr>
    <a:bodyPr/>
    <a:lstStyle/>
    <a:p>
      <a:pPr>
        <a:defRPr sz="800">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0.41594</cdr:x>
      <cdr:y>0.39408</cdr:y>
    </cdr:from>
    <cdr:to>
      <cdr:x>0.55036</cdr:x>
      <cdr:y>0.5337</cdr:y>
    </cdr:to>
    <cdr:sp macro="" textlink="">
      <cdr:nvSpPr>
        <cdr:cNvPr id="3" name="TextBox 1"/>
        <cdr:cNvSpPr txBox="1"/>
      </cdr:nvSpPr>
      <cdr:spPr>
        <a:xfrm xmlns:a="http://schemas.openxmlformats.org/drawingml/2006/main">
          <a:off x="2824783" y="1670350"/>
          <a:ext cx="912890" cy="59179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v-LV" sz="1000" b="0">
              <a:latin typeface="Times New Roman" panose="02020603050405020304" pitchFamily="18" charset="0"/>
              <a:cs typeface="Times New Roman" panose="02020603050405020304" pitchFamily="18" charset="0"/>
            </a:rPr>
            <a:t>Enerģētika </a:t>
          </a:r>
        </a:p>
        <a:p xmlns:a="http://schemas.openxmlformats.org/drawingml/2006/main">
          <a:r>
            <a:rPr lang="lv-LV" sz="1000" b="0">
              <a:latin typeface="Times New Roman" panose="02020603050405020304" pitchFamily="18" charset="0"/>
              <a:cs typeface="Times New Roman" panose="02020603050405020304" pitchFamily="18" charset="0"/>
            </a:rPr>
            <a:t>35.7%</a:t>
          </a:r>
          <a:r>
            <a:rPr lang="lv-LV" sz="1000" b="0" baseline="0">
              <a:latin typeface="Times New Roman" panose="02020603050405020304" pitchFamily="18" charset="0"/>
              <a:cs typeface="Times New Roman" panose="02020603050405020304" pitchFamily="18" charset="0"/>
            </a:rPr>
            <a:t> </a:t>
          </a:r>
          <a:endParaRPr lang="lv-LV" sz="1000" b="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cdr:x>
      <cdr:y>0.42659</cdr:y>
    </cdr:from>
    <cdr:to>
      <cdr:x>0.193</cdr:x>
      <cdr:y>0.5752</cdr:y>
    </cdr:to>
    <cdr:sp macro="" textlink="">
      <cdr:nvSpPr>
        <cdr:cNvPr id="7" name="TextBox 6"/>
        <cdr:cNvSpPr txBox="1"/>
      </cdr:nvSpPr>
      <cdr:spPr>
        <a:xfrm xmlns:a="http://schemas.openxmlformats.org/drawingml/2006/main">
          <a:off x="-1076325" y="1477123"/>
          <a:ext cx="1146624" cy="51458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v-LV" sz="900" b="0">
              <a:latin typeface="Times New Roman" panose="02020603050405020304" pitchFamily="18" charset="0"/>
              <a:cs typeface="Times New Roman" panose="02020603050405020304" pitchFamily="18" charset="0"/>
            </a:rPr>
            <a:t>Rūpnieciskie</a:t>
          </a:r>
          <a:r>
            <a:rPr lang="lv-LV" sz="900" b="0" baseline="0">
              <a:latin typeface="Times New Roman" panose="02020603050405020304" pitchFamily="18" charset="0"/>
              <a:cs typeface="Times New Roman" panose="02020603050405020304" pitchFamily="18" charset="0"/>
            </a:rPr>
            <a:t> procesi </a:t>
          </a:r>
        </a:p>
        <a:p xmlns:a="http://schemas.openxmlformats.org/drawingml/2006/main">
          <a:r>
            <a:rPr lang="lv-LV" sz="900" b="0" baseline="0">
              <a:latin typeface="Times New Roman" panose="02020603050405020304" pitchFamily="18" charset="0"/>
              <a:cs typeface="Times New Roman" panose="02020603050405020304" pitchFamily="18" charset="0"/>
            </a:rPr>
            <a:t>un produktu izmantošana</a:t>
          </a:r>
        </a:p>
        <a:p xmlns:a="http://schemas.openxmlformats.org/drawingml/2006/main">
          <a:r>
            <a:rPr lang="lv-LV" sz="900" b="0">
              <a:latin typeface="Times New Roman" panose="02020603050405020304" pitchFamily="18" charset="0"/>
              <a:cs typeface="Times New Roman" panose="02020603050405020304" pitchFamily="18" charset="0"/>
            </a:rPr>
            <a:t> 5.8%</a:t>
          </a:r>
          <a:endParaRPr lang="en-US" sz="900" b="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0.80104</cdr:x>
      <cdr:y>0.64877</cdr:y>
    </cdr:from>
    <cdr:to>
      <cdr:x>0.95819</cdr:x>
      <cdr:y>0.76474</cdr:y>
    </cdr:to>
    <cdr:sp macro="" textlink="">
      <cdr:nvSpPr>
        <cdr:cNvPr id="2" name="TextBox 1"/>
        <cdr:cNvSpPr txBox="1"/>
      </cdr:nvSpPr>
      <cdr:spPr>
        <a:xfrm xmlns:a="http://schemas.openxmlformats.org/drawingml/2006/main">
          <a:off x="4759031" y="2246454"/>
          <a:ext cx="933638" cy="40156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v-LV" sz="800" b="0">
              <a:latin typeface="Times New Roman" panose="02020603050405020304" pitchFamily="18" charset="0"/>
              <a:cs typeface="Times New Roman" panose="02020603050405020304" pitchFamily="18" charset="0"/>
            </a:rPr>
            <a:t>Kurināmā difūzās emisijas</a:t>
          </a:r>
        </a:p>
        <a:p xmlns:a="http://schemas.openxmlformats.org/drawingml/2006/main">
          <a:r>
            <a:rPr lang="lv-LV" sz="800" b="1">
              <a:latin typeface="Times New Roman" panose="02020603050405020304" pitchFamily="18" charset="0"/>
              <a:cs typeface="Times New Roman" panose="02020603050405020304" pitchFamily="18" charset="0"/>
            </a:rPr>
            <a:t> </a:t>
          </a:r>
          <a:r>
            <a:rPr lang="lv-LV" sz="800" b="0">
              <a:latin typeface="Times New Roman" panose="02020603050405020304" pitchFamily="18" charset="0"/>
              <a:cs typeface="Times New Roman" panose="02020603050405020304" pitchFamily="18" charset="0"/>
            </a:rPr>
            <a:t>2.9</a:t>
          </a:r>
          <a:r>
            <a:rPr lang="lv-LV" sz="800" b="1" baseline="0">
              <a:latin typeface="Times New Roman" panose="02020603050405020304" pitchFamily="18" charset="0"/>
              <a:cs typeface="Times New Roman" panose="02020603050405020304" pitchFamily="18" charset="0"/>
            </a:rPr>
            <a:t> </a:t>
          </a:r>
          <a:r>
            <a:rPr lang="lv-LV" sz="800" b="1">
              <a:latin typeface="Times New Roman" panose="02020603050405020304" pitchFamily="18" charset="0"/>
              <a:cs typeface="Times New Roman" panose="02020603050405020304" pitchFamily="18" charset="0"/>
            </a:rPr>
            <a:t>%</a:t>
          </a:r>
          <a:endParaRPr lang="en-US" sz="8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0.80352</cdr:x>
      <cdr:y>0.7132</cdr:y>
    </cdr:from>
    <cdr:to>
      <cdr:x>0.93068</cdr:x>
      <cdr:y>0.80453</cdr:y>
    </cdr:to>
    <cdr:sp macro="" textlink="">
      <cdr:nvSpPr>
        <cdr:cNvPr id="8" name="TextBox 1"/>
        <cdr:cNvSpPr txBox="1"/>
      </cdr:nvSpPr>
      <cdr:spPr>
        <a:xfrm xmlns:a="http://schemas.openxmlformats.org/drawingml/2006/main">
          <a:off x="4773741" y="2469576"/>
          <a:ext cx="755465" cy="31624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800" b="0">
              <a:latin typeface="Times New Roman" panose="02020603050405020304" pitchFamily="18" charset="0"/>
              <a:cs typeface="Times New Roman" panose="02020603050405020304" pitchFamily="18" charset="0"/>
            </a:rPr>
            <a:t>Citas 0.3%</a:t>
          </a:r>
          <a:endParaRPr lang="en-US" sz="800" b="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0.7766</cdr:x>
      <cdr:y>0.67394</cdr:y>
    </cdr:from>
    <cdr:to>
      <cdr:x>0.81003</cdr:x>
      <cdr:y>0.68219</cdr:y>
    </cdr:to>
    <cdr:cxnSp macro="">
      <cdr:nvCxnSpPr>
        <cdr:cNvPr id="5" name="Straight Connector 4"/>
        <cdr:cNvCxnSpPr/>
      </cdr:nvCxnSpPr>
      <cdr:spPr>
        <a:xfrm xmlns:a="http://schemas.openxmlformats.org/drawingml/2006/main">
          <a:off x="4867275" y="2333625"/>
          <a:ext cx="209550" cy="2857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0.77639</cdr:x>
      <cdr:y>0.68494</cdr:y>
    </cdr:from>
    <cdr:to>
      <cdr:x>0.81307</cdr:x>
      <cdr:y>0.73996</cdr:y>
    </cdr:to>
    <cdr:cxnSp macro="">
      <cdr:nvCxnSpPr>
        <cdr:cNvPr id="11" name="Straight Connector 10"/>
        <cdr:cNvCxnSpPr/>
      </cdr:nvCxnSpPr>
      <cdr:spPr>
        <a:xfrm xmlns:a="http://schemas.openxmlformats.org/drawingml/2006/main">
          <a:off x="4865986" y="2371725"/>
          <a:ext cx="229889" cy="1905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Custom 9">
    <a:dk1>
      <a:sysClr val="windowText" lastClr="000000"/>
    </a:dk1>
    <a:lt1>
      <a:sysClr val="window" lastClr="FFFFFF"/>
    </a:lt1>
    <a:dk2>
      <a:srgbClr val="1F497D"/>
    </a:dk2>
    <a:lt2>
      <a:srgbClr val="EEECE1"/>
    </a:lt2>
    <a:accent1>
      <a:srgbClr val="005827"/>
    </a:accent1>
    <a:accent2>
      <a:srgbClr val="FF9900"/>
    </a:accent2>
    <a:accent3>
      <a:srgbClr val="FFFF00"/>
    </a:accent3>
    <a:accent4>
      <a:srgbClr val="002C13"/>
    </a:accent4>
    <a:accent5>
      <a:srgbClr val="00B050"/>
    </a:accent5>
    <a:accent6>
      <a:srgbClr val="1DE33E"/>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2339F-49B7-4397-9DB4-E77A9E125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18</Pages>
  <Words>27158</Words>
  <Characters>15481</Characters>
  <Application>Microsoft Office Word</Application>
  <DocSecurity>0</DocSecurity>
  <Lines>129</Lines>
  <Paragraphs>85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siltumnīcefekta gāzu emisiju samazināšanas un oglekļa dioksīda piesaistes saistību izpildi</vt:lpstr>
      <vt:lpstr>Informatīvais ziņojums "Par siltumnīcefekta gāzu emisiju samazināšanas un oglekļa dioksīda piesaistes saistību izpildi"</vt:lpstr>
    </vt:vector>
  </TitlesOfParts>
  <Manager/>
  <Company>Vides aizsardzības un reģionālās attīstības ministrija</Company>
  <LinksUpToDate>false</LinksUpToDate>
  <CharactersWithSpaces>42554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siltumnīcefekta gāzu emisiju samazināšanas un oglekļa dioksīda piesaistes saistību izpildi</dc:title>
  <dc:subject>Informatīvais ziņojums</dc:subject>
  <dc:creator>Elina.Baltroka@varam.gov.lv</dc:creator>
  <dc:description>67026594, Elina.Baltroka@varam.gov.lv</dc:description>
  <cp:lastModifiedBy>   </cp:lastModifiedBy>
  <cp:revision>8</cp:revision>
  <cp:lastPrinted>2019-05-10T10:34:00Z</cp:lastPrinted>
  <dcterms:created xsi:type="dcterms:W3CDTF">2019-05-13T08:39:00Z</dcterms:created>
  <dcterms:modified xsi:type="dcterms:W3CDTF">2019-06-03T14:07:00Z</dcterms:modified>
  <cp:category/>
</cp:coreProperties>
</file>