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F0" w:rsidRDefault="004725F0" w:rsidP="004725F0">
      <w:pPr>
        <w:jc w:val="center"/>
        <w:rPr>
          <w:b/>
        </w:rPr>
      </w:pPr>
      <w:bookmarkStart w:id="0" w:name="_GoBack"/>
      <w:bookmarkEnd w:id="0"/>
      <w:r w:rsidRPr="000B51DA">
        <w:rPr>
          <w:b/>
        </w:rPr>
        <w:t xml:space="preserve">Izziņa par atzinumos sniegtajiem iebildumiem </w:t>
      </w:r>
      <w:r w:rsidRPr="000B51DA">
        <w:rPr>
          <w:b/>
          <w:bCs/>
        </w:rPr>
        <w:t xml:space="preserve">par </w:t>
      </w:r>
      <w:r w:rsidRPr="000B51DA">
        <w:rPr>
          <w:b/>
        </w:rPr>
        <w:t>Ministru kabineta noteikumu projektu</w:t>
      </w:r>
    </w:p>
    <w:p w:rsidR="004725F0" w:rsidRPr="000B51DA" w:rsidRDefault="004725F0" w:rsidP="004725F0">
      <w:pPr>
        <w:jc w:val="center"/>
        <w:rPr>
          <w:b/>
        </w:rPr>
      </w:pPr>
      <w:r w:rsidRPr="000B51DA">
        <w:rPr>
          <w:b/>
        </w:rPr>
        <w:t>„Grozījumi Ministru kabineta 2013. gada 5. februāra noteikumos Nr. 84 “Noteikumi par atsevišķu ķīmisku vielu lietošanas ierobežojumiem elektriskajās un elektroniskajās iekārtās””</w:t>
      </w:r>
      <w:r w:rsidR="009B3456">
        <w:rPr>
          <w:b/>
        </w:rPr>
        <w:t xml:space="preserve"> (VSS-304</w:t>
      </w:r>
      <w:r>
        <w:rPr>
          <w:b/>
        </w:rPr>
        <w:t>)</w:t>
      </w:r>
    </w:p>
    <w:p w:rsidR="004725F0" w:rsidRPr="000B51DA" w:rsidRDefault="004725F0" w:rsidP="004725F0">
      <w:pPr>
        <w:pStyle w:val="naisf"/>
        <w:spacing w:before="0" w:after="0"/>
        <w:ind w:firstLine="720"/>
      </w:pPr>
    </w:p>
    <w:p w:rsidR="004725F0" w:rsidRPr="000B51DA" w:rsidRDefault="004725F0" w:rsidP="004725F0">
      <w:pPr>
        <w:pStyle w:val="naisf"/>
        <w:spacing w:before="0" w:after="0"/>
        <w:ind w:firstLine="0"/>
        <w:jc w:val="center"/>
        <w:outlineLvl w:val="0"/>
        <w:rPr>
          <w:b/>
        </w:rPr>
      </w:pPr>
      <w:r w:rsidRPr="000B51DA">
        <w:rPr>
          <w:b/>
        </w:rPr>
        <w:t>I. Jautājumi, par kuriem saskaņošanā vienošanās nav panākta</w:t>
      </w:r>
    </w:p>
    <w:p w:rsidR="004725F0" w:rsidRPr="000B51DA" w:rsidRDefault="004725F0" w:rsidP="004725F0">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4725F0" w:rsidRPr="000B51DA" w:rsidTr="001C7AF2">
        <w:tc>
          <w:tcPr>
            <w:tcW w:w="708"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pPr>
            <w:r w:rsidRPr="000B51DA">
              <w:t>Nr. p.k.</w:t>
            </w:r>
          </w:p>
        </w:tc>
        <w:tc>
          <w:tcPr>
            <w:tcW w:w="2400"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ind w:firstLine="12"/>
            </w:pPr>
            <w:r w:rsidRPr="000B51DA">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ind w:right="3"/>
            </w:pPr>
            <w:r w:rsidRPr="000B51DA">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ind w:firstLine="21"/>
            </w:pPr>
            <w:r w:rsidRPr="000B51DA">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rsidR="004725F0" w:rsidRPr="000B51DA" w:rsidRDefault="004725F0" w:rsidP="001C7AF2">
            <w:pPr>
              <w:jc w:val="center"/>
            </w:pPr>
            <w:r w:rsidRPr="000B51D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4725F0" w:rsidRPr="000B51DA" w:rsidRDefault="004725F0" w:rsidP="001C7AF2">
            <w:pPr>
              <w:jc w:val="center"/>
            </w:pPr>
            <w:r w:rsidRPr="000B51DA">
              <w:t>Projekta attiecīgā punkta (panta) galīgā redakcija</w:t>
            </w:r>
          </w:p>
        </w:tc>
      </w:tr>
      <w:tr w:rsidR="004725F0" w:rsidRPr="000B51DA" w:rsidTr="001C7AF2">
        <w:tc>
          <w:tcPr>
            <w:tcW w:w="708" w:type="dxa"/>
            <w:tcBorders>
              <w:left w:val="single" w:sz="6" w:space="0" w:color="000000"/>
              <w:bottom w:val="single" w:sz="4" w:space="0" w:color="auto"/>
              <w:right w:val="single" w:sz="6" w:space="0" w:color="000000"/>
            </w:tcBorders>
          </w:tcPr>
          <w:p w:rsidR="004725F0" w:rsidRPr="000B51DA" w:rsidRDefault="004725F0" w:rsidP="001C7AF2">
            <w:pPr>
              <w:pStyle w:val="naisc"/>
              <w:spacing w:before="0" w:after="0"/>
              <w:ind w:firstLine="720"/>
            </w:pPr>
            <w:r w:rsidRPr="000B51DA">
              <w:t>-</w:t>
            </w:r>
          </w:p>
        </w:tc>
        <w:tc>
          <w:tcPr>
            <w:tcW w:w="2400" w:type="dxa"/>
            <w:tcBorders>
              <w:left w:val="single" w:sz="6" w:space="0" w:color="000000"/>
              <w:bottom w:val="single" w:sz="4" w:space="0" w:color="auto"/>
              <w:right w:val="single" w:sz="6" w:space="0" w:color="000000"/>
            </w:tcBorders>
          </w:tcPr>
          <w:p w:rsidR="004725F0" w:rsidRPr="000B51DA" w:rsidRDefault="004725F0" w:rsidP="001C7AF2">
            <w:pPr>
              <w:pStyle w:val="naisc"/>
              <w:spacing w:before="0" w:after="0"/>
            </w:pPr>
          </w:p>
        </w:tc>
        <w:tc>
          <w:tcPr>
            <w:tcW w:w="3600" w:type="dxa"/>
            <w:tcBorders>
              <w:left w:val="single" w:sz="6" w:space="0" w:color="000000"/>
              <w:bottom w:val="single" w:sz="4" w:space="0" w:color="auto"/>
              <w:right w:val="single" w:sz="6" w:space="0" w:color="000000"/>
            </w:tcBorders>
          </w:tcPr>
          <w:p w:rsidR="004725F0" w:rsidRPr="000B51DA" w:rsidRDefault="004725F0" w:rsidP="001C7AF2">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rsidR="004725F0" w:rsidRPr="000B51DA" w:rsidRDefault="004725F0" w:rsidP="001C7AF2">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rsidR="004725F0" w:rsidRPr="000B51DA" w:rsidRDefault="004725F0" w:rsidP="001C7AF2">
            <w:pPr>
              <w:jc w:val="center"/>
            </w:pPr>
          </w:p>
        </w:tc>
        <w:tc>
          <w:tcPr>
            <w:tcW w:w="1920" w:type="dxa"/>
            <w:tcBorders>
              <w:top w:val="single" w:sz="4" w:space="0" w:color="auto"/>
              <w:left w:val="single" w:sz="4" w:space="0" w:color="auto"/>
              <w:bottom w:val="single" w:sz="4" w:space="0" w:color="auto"/>
              <w:right w:val="single" w:sz="4" w:space="0" w:color="auto"/>
            </w:tcBorders>
          </w:tcPr>
          <w:p w:rsidR="004725F0" w:rsidRPr="000B51DA" w:rsidRDefault="004725F0" w:rsidP="001C7AF2">
            <w:pPr>
              <w:jc w:val="center"/>
            </w:pPr>
          </w:p>
        </w:tc>
      </w:tr>
    </w:tbl>
    <w:p w:rsidR="004725F0" w:rsidRPr="000B51DA" w:rsidRDefault="004725F0" w:rsidP="004725F0">
      <w:pPr>
        <w:pStyle w:val="naisf"/>
        <w:spacing w:before="0" w:after="0"/>
        <w:ind w:firstLine="0"/>
        <w:outlineLvl w:val="0"/>
        <w:rPr>
          <w:b/>
        </w:rPr>
      </w:pPr>
    </w:p>
    <w:p w:rsidR="004725F0" w:rsidRPr="000B51DA" w:rsidRDefault="004725F0" w:rsidP="004725F0">
      <w:pPr>
        <w:pStyle w:val="naisf"/>
        <w:spacing w:before="0" w:after="0"/>
        <w:ind w:firstLine="0"/>
        <w:outlineLvl w:val="0"/>
        <w:rPr>
          <w:b/>
        </w:rPr>
      </w:pPr>
      <w:r w:rsidRPr="000B51DA">
        <w:rPr>
          <w:b/>
        </w:rPr>
        <w:t>Informācija par starpministriju (starpinstitūciju) sanāksmi vai elektronisko saskaņošanu</w:t>
      </w:r>
    </w:p>
    <w:p w:rsidR="004725F0" w:rsidRPr="000B51DA" w:rsidRDefault="004725F0" w:rsidP="004725F0">
      <w:pPr>
        <w:pStyle w:val="naisf"/>
        <w:spacing w:before="0" w:after="0"/>
        <w:ind w:firstLine="0"/>
        <w:rPr>
          <w:b/>
        </w:rPr>
      </w:pPr>
    </w:p>
    <w:tbl>
      <w:tblPr>
        <w:tblW w:w="13908" w:type="dxa"/>
        <w:tblLook w:val="00A0" w:firstRow="1" w:lastRow="0" w:firstColumn="1" w:lastColumn="0" w:noHBand="0" w:noVBand="0"/>
      </w:tblPr>
      <w:tblGrid>
        <w:gridCol w:w="6708"/>
        <w:gridCol w:w="7200"/>
      </w:tblGrid>
      <w:tr w:rsidR="004725F0" w:rsidRPr="000B51DA" w:rsidTr="001C7AF2">
        <w:tc>
          <w:tcPr>
            <w:tcW w:w="6708" w:type="dxa"/>
          </w:tcPr>
          <w:p w:rsidR="004725F0" w:rsidRPr="000B51DA" w:rsidRDefault="004725F0" w:rsidP="001C7AF2">
            <w:pPr>
              <w:pStyle w:val="naisf"/>
              <w:spacing w:before="0" w:after="0"/>
              <w:ind w:firstLine="0"/>
            </w:pPr>
            <w:r w:rsidRPr="000B51DA">
              <w:t>Datums</w:t>
            </w:r>
          </w:p>
        </w:tc>
        <w:tc>
          <w:tcPr>
            <w:tcW w:w="7200" w:type="dxa"/>
            <w:tcBorders>
              <w:bottom w:val="single" w:sz="4" w:space="0" w:color="auto"/>
            </w:tcBorders>
          </w:tcPr>
          <w:p w:rsidR="004725F0" w:rsidRPr="000B51DA" w:rsidRDefault="009B3456" w:rsidP="001C7AF2">
            <w:pPr>
              <w:pStyle w:val="NormalWeb"/>
              <w:spacing w:before="0" w:beforeAutospacing="0" w:after="0" w:afterAutospacing="0"/>
              <w:ind w:firstLine="720"/>
            </w:pPr>
            <w:r>
              <w:t>16</w:t>
            </w:r>
            <w:r w:rsidR="000F384C">
              <w:t>.05.2019</w:t>
            </w:r>
            <w:r w:rsidR="004725F0">
              <w:t>.</w:t>
            </w:r>
          </w:p>
        </w:tc>
      </w:tr>
      <w:tr w:rsidR="004725F0" w:rsidRPr="000B51DA" w:rsidTr="001C7AF2">
        <w:tc>
          <w:tcPr>
            <w:tcW w:w="6708" w:type="dxa"/>
          </w:tcPr>
          <w:p w:rsidR="004725F0" w:rsidRPr="000B51DA" w:rsidRDefault="004725F0" w:rsidP="001C7AF2">
            <w:pPr>
              <w:pStyle w:val="naisf"/>
              <w:spacing w:before="0" w:after="0"/>
              <w:ind w:firstLine="0"/>
            </w:pPr>
          </w:p>
        </w:tc>
        <w:tc>
          <w:tcPr>
            <w:tcW w:w="7200" w:type="dxa"/>
            <w:tcBorders>
              <w:top w:val="single" w:sz="4" w:space="0" w:color="auto"/>
            </w:tcBorders>
          </w:tcPr>
          <w:p w:rsidR="004725F0" w:rsidRPr="000B51DA" w:rsidRDefault="004725F0" w:rsidP="001C7AF2">
            <w:pPr>
              <w:pStyle w:val="NormalWeb"/>
              <w:spacing w:before="0" w:beforeAutospacing="0" w:after="0" w:afterAutospacing="0"/>
              <w:ind w:firstLine="720"/>
            </w:pPr>
          </w:p>
        </w:tc>
      </w:tr>
      <w:tr w:rsidR="004725F0" w:rsidRPr="000B51DA" w:rsidTr="001C7AF2">
        <w:tc>
          <w:tcPr>
            <w:tcW w:w="6708" w:type="dxa"/>
          </w:tcPr>
          <w:p w:rsidR="004725F0" w:rsidRPr="000B51DA" w:rsidRDefault="004725F0" w:rsidP="001C7AF2">
            <w:pPr>
              <w:pStyle w:val="naiskr"/>
              <w:spacing w:before="0" w:after="0"/>
            </w:pPr>
            <w:r w:rsidRPr="000B51DA">
              <w:t>Saskaņošanas dalībnieki</w:t>
            </w:r>
          </w:p>
        </w:tc>
        <w:tc>
          <w:tcPr>
            <w:tcW w:w="7200" w:type="dxa"/>
          </w:tcPr>
          <w:p w:rsidR="004725F0" w:rsidRPr="000B51DA" w:rsidRDefault="004725F0" w:rsidP="004725F0">
            <w:pPr>
              <w:pStyle w:val="naiskr"/>
              <w:spacing w:before="0" w:after="0"/>
              <w:ind w:firstLine="12"/>
              <w:jc w:val="both"/>
            </w:pPr>
            <w:r>
              <w:t>Ekonomikas ministrija, Tieslietu ministrija, Finanšu ministrija</w:t>
            </w:r>
            <w:r w:rsidR="000F384C">
              <w:t>, Veselības ministrija</w:t>
            </w:r>
          </w:p>
        </w:tc>
      </w:tr>
      <w:tr w:rsidR="004725F0" w:rsidRPr="000B51DA" w:rsidTr="001C7AF2">
        <w:trPr>
          <w:trHeight w:val="285"/>
        </w:trPr>
        <w:tc>
          <w:tcPr>
            <w:tcW w:w="6708" w:type="dxa"/>
          </w:tcPr>
          <w:p w:rsidR="004725F0" w:rsidRPr="000B51DA" w:rsidRDefault="004725F0" w:rsidP="001C7AF2">
            <w:pPr>
              <w:pStyle w:val="naiskr"/>
              <w:spacing w:before="0" w:after="0"/>
            </w:pPr>
          </w:p>
        </w:tc>
        <w:tc>
          <w:tcPr>
            <w:tcW w:w="7200" w:type="dxa"/>
          </w:tcPr>
          <w:p w:rsidR="004725F0" w:rsidRPr="000B51DA" w:rsidRDefault="004725F0" w:rsidP="001C7AF2">
            <w:pPr>
              <w:pStyle w:val="naiskr"/>
              <w:spacing w:before="0" w:after="0"/>
              <w:ind w:firstLine="12"/>
              <w:jc w:val="both"/>
            </w:pPr>
          </w:p>
        </w:tc>
      </w:tr>
      <w:tr w:rsidR="004725F0" w:rsidRPr="000B51DA" w:rsidTr="001C7AF2">
        <w:trPr>
          <w:trHeight w:val="285"/>
        </w:trPr>
        <w:tc>
          <w:tcPr>
            <w:tcW w:w="6708" w:type="dxa"/>
          </w:tcPr>
          <w:p w:rsidR="004725F0" w:rsidRPr="000B51DA" w:rsidRDefault="004725F0" w:rsidP="001C7AF2">
            <w:pPr>
              <w:pStyle w:val="naiskr"/>
              <w:spacing w:before="0" w:after="0"/>
              <w:jc w:val="both"/>
            </w:pPr>
            <w:r w:rsidRPr="000B51DA">
              <w:t>Saskaņošanas dalībnieki izskatīja šādu ministriju (citu institūciju) iebildumus</w:t>
            </w:r>
          </w:p>
        </w:tc>
        <w:tc>
          <w:tcPr>
            <w:tcW w:w="7200" w:type="dxa"/>
          </w:tcPr>
          <w:p w:rsidR="004725F0" w:rsidRPr="000B51DA" w:rsidRDefault="004725F0" w:rsidP="001C7AF2">
            <w:pPr>
              <w:pStyle w:val="naiskr"/>
              <w:spacing w:before="0" w:after="0"/>
              <w:ind w:firstLine="12"/>
              <w:jc w:val="both"/>
              <w:rPr>
                <w:color w:val="000000"/>
              </w:rPr>
            </w:pPr>
            <w:r>
              <w:rPr>
                <w:color w:val="000000"/>
              </w:rPr>
              <w:t>Tieslietu ministrija</w:t>
            </w:r>
          </w:p>
        </w:tc>
      </w:tr>
      <w:tr w:rsidR="004725F0" w:rsidRPr="000B51DA" w:rsidTr="001C7AF2">
        <w:trPr>
          <w:trHeight w:val="465"/>
        </w:trPr>
        <w:tc>
          <w:tcPr>
            <w:tcW w:w="6708" w:type="dxa"/>
          </w:tcPr>
          <w:p w:rsidR="004725F0" w:rsidRPr="000B51DA" w:rsidRDefault="004725F0" w:rsidP="001C7AF2">
            <w:pPr>
              <w:pStyle w:val="naiskr"/>
              <w:spacing w:before="0" w:after="0"/>
              <w:jc w:val="both"/>
            </w:pPr>
          </w:p>
        </w:tc>
        <w:tc>
          <w:tcPr>
            <w:tcW w:w="7200" w:type="dxa"/>
            <w:tcBorders>
              <w:top w:val="single" w:sz="6" w:space="0" w:color="000000"/>
              <w:bottom w:val="single" w:sz="6" w:space="0" w:color="000000"/>
            </w:tcBorders>
          </w:tcPr>
          <w:p w:rsidR="004725F0" w:rsidRPr="000B51DA" w:rsidRDefault="004725F0" w:rsidP="001C7AF2">
            <w:pPr>
              <w:pStyle w:val="NormalWeb"/>
              <w:spacing w:before="0" w:beforeAutospacing="0" w:after="0" w:afterAutospacing="0"/>
              <w:jc w:val="both"/>
            </w:pPr>
          </w:p>
        </w:tc>
      </w:tr>
      <w:tr w:rsidR="004725F0" w:rsidRPr="000B51DA" w:rsidTr="001C7AF2">
        <w:trPr>
          <w:gridAfter w:val="1"/>
          <w:wAfter w:w="7200" w:type="dxa"/>
        </w:trPr>
        <w:tc>
          <w:tcPr>
            <w:tcW w:w="6708" w:type="dxa"/>
          </w:tcPr>
          <w:p w:rsidR="004725F0" w:rsidRPr="000B51DA" w:rsidRDefault="004725F0" w:rsidP="001C7AF2">
            <w:pPr>
              <w:pStyle w:val="naiskr"/>
              <w:spacing w:before="0" w:after="0"/>
              <w:jc w:val="both"/>
            </w:pPr>
            <w:r w:rsidRPr="000B51DA">
              <w:t>Ministrijas (citas institūcijas), kuras nav ieradušās uz sanāksmi vai kuras nav atbildējušas uz uzaicinājumu piedalīties elektroniskajā saskaņošanā</w:t>
            </w:r>
          </w:p>
        </w:tc>
      </w:tr>
    </w:tbl>
    <w:p w:rsidR="004725F0" w:rsidRDefault="004725F0" w:rsidP="004725F0">
      <w:pPr>
        <w:pStyle w:val="naisf"/>
        <w:spacing w:before="0" w:after="0"/>
        <w:ind w:firstLine="0"/>
        <w:jc w:val="center"/>
        <w:outlineLvl w:val="0"/>
        <w:rPr>
          <w:b/>
        </w:rPr>
      </w:pPr>
      <w:r>
        <w:rPr>
          <w:b/>
        </w:rPr>
        <w:t xml:space="preserve">  </w:t>
      </w:r>
    </w:p>
    <w:p w:rsidR="004725F0" w:rsidRDefault="004725F0" w:rsidP="004725F0">
      <w:pPr>
        <w:pStyle w:val="naisf"/>
        <w:spacing w:before="0" w:after="0"/>
        <w:ind w:firstLine="0"/>
        <w:jc w:val="center"/>
        <w:outlineLvl w:val="0"/>
        <w:rPr>
          <w:b/>
        </w:rPr>
      </w:pPr>
    </w:p>
    <w:p w:rsidR="004725F0" w:rsidRDefault="004725F0" w:rsidP="004725F0">
      <w:pPr>
        <w:pStyle w:val="naisf"/>
        <w:spacing w:before="0" w:after="0"/>
        <w:ind w:firstLine="0"/>
        <w:jc w:val="center"/>
        <w:outlineLvl w:val="0"/>
        <w:rPr>
          <w:b/>
        </w:rPr>
      </w:pPr>
    </w:p>
    <w:p w:rsidR="004725F0" w:rsidRPr="000B51DA" w:rsidRDefault="004725F0" w:rsidP="004725F0">
      <w:pPr>
        <w:pStyle w:val="naisf"/>
        <w:spacing w:before="0" w:after="0"/>
        <w:ind w:firstLine="0"/>
        <w:jc w:val="center"/>
        <w:outlineLvl w:val="0"/>
        <w:rPr>
          <w:b/>
        </w:rPr>
      </w:pPr>
      <w:r w:rsidRPr="000B51DA">
        <w:rPr>
          <w:b/>
        </w:rPr>
        <w:t>I. Jautājumi, par kuriem saskaņošanā vienošanās ir panākta</w:t>
      </w:r>
    </w:p>
    <w:p w:rsidR="004725F0" w:rsidRPr="000B51DA" w:rsidRDefault="004725F0" w:rsidP="004725F0">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4725F0" w:rsidRPr="000B51DA" w:rsidTr="001C7AF2">
        <w:tc>
          <w:tcPr>
            <w:tcW w:w="675" w:type="dxa"/>
            <w:tcBorders>
              <w:top w:val="single" w:sz="6" w:space="0" w:color="000000"/>
              <w:left w:val="single" w:sz="6" w:space="0" w:color="000000"/>
              <w:bottom w:val="single" w:sz="6" w:space="0" w:color="000000"/>
              <w:right w:val="single" w:sz="6" w:space="0" w:color="000000"/>
            </w:tcBorders>
          </w:tcPr>
          <w:p w:rsidR="004725F0" w:rsidRPr="000B51DA" w:rsidRDefault="004725F0" w:rsidP="001C7AF2">
            <w:pPr>
              <w:pStyle w:val="naisc"/>
              <w:spacing w:before="0" w:after="0"/>
              <w:jc w:val="both"/>
              <w:rPr>
                <w:b/>
              </w:rPr>
            </w:pPr>
            <w:r w:rsidRPr="000B51DA">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ind w:firstLine="12"/>
              <w:jc w:val="both"/>
              <w:rPr>
                <w:b/>
              </w:rPr>
            </w:pPr>
            <w:r w:rsidRPr="000B51DA">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ind w:right="3"/>
              <w:jc w:val="both"/>
              <w:rPr>
                <w:b/>
              </w:rPr>
            </w:pPr>
            <w:r w:rsidRPr="000B51DA">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rsidR="004725F0" w:rsidRPr="000B51DA" w:rsidRDefault="004725F0" w:rsidP="001C7AF2">
            <w:pPr>
              <w:pStyle w:val="naisc"/>
              <w:spacing w:before="0" w:after="0"/>
              <w:ind w:firstLine="21"/>
              <w:jc w:val="both"/>
              <w:rPr>
                <w:b/>
              </w:rPr>
            </w:pPr>
            <w:r w:rsidRPr="000B51DA">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rsidR="004725F0" w:rsidRPr="000B51DA" w:rsidRDefault="004725F0" w:rsidP="001C7AF2">
            <w:pPr>
              <w:jc w:val="both"/>
              <w:rPr>
                <w:b/>
              </w:rPr>
            </w:pPr>
            <w:r w:rsidRPr="000B51DA">
              <w:rPr>
                <w:b/>
              </w:rPr>
              <w:t>Projekta attiecīgā punkta galīgā redakcija</w:t>
            </w:r>
          </w:p>
        </w:tc>
      </w:tr>
      <w:tr w:rsidR="004725F0" w:rsidRPr="00CC19D4" w:rsidTr="000F384C">
        <w:tc>
          <w:tcPr>
            <w:tcW w:w="675" w:type="dxa"/>
            <w:tcBorders>
              <w:top w:val="single" w:sz="6" w:space="0" w:color="000000"/>
              <w:left w:val="single" w:sz="6" w:space="0" w:color="000000"/>
              <w:bottom w:val="single" w:sz="6" w:space="0" w:color="000000"/>
              <w:right w:val="single" w:sz="6" w:space="0" w:color="000000"/>
            </w:tcBorders>
          </w:tcPr>
          <w:p w:rsidR="004725F0" w:rsidRPr="00CC19D4" w:rsidRDefault="004725F0" w:rsidP="00CC19D4">
            <w:pPr>
              <w:pStyle w:val="naisc"/>
              <w:spacing w:before="0" w:after="0"/>
              <w:jc w:val="both"/>
            </w:pPr>
            <w:r w:rsidRPr="00CC19D4">
              <w:t>1.</w:t>
            </w:r>
          </w:p>
        </w:tc>
        <w:tc>
          <w:tcPr>
            <w:tcW w:w="2977" w:type="dxa"/>
            <w:tcBorders>
              <w:top w:val="single" w:sz="6" w:space="0" w:color="000000"/>
              <w:left w:val="single" w:sz="6" w:space="0" w:color="000000"/>
              <w:bottom w:val="single" w:sz="6" w:space="0" w:color="000000"/>
              <w:right w:val="single" w:sz="6" w:space="0" w:color="000000"/>
            </w:tcBorders>
          </w:tcPr>
          <w:p w:rsidR="004725F0" w:rsidRPr="00CC19D4" w:rsidRDefault="00CC19D4" w:rsidP="00CC19D4">
            <w:pPr>
              <w:pStyle w:val="naisc"/>
              <w:spacing w:before="0" w:after="0"/>
              <w:jc w:val="both"/>
              <w:rPr>
                <w:b/>
              </w:rPr>
            </w:pPr>
            <w:r w:rsidRPr="00CC19D4">
              <w:t>Svins tāda kristālstikla sastāvā, kam apraksts dots Padomes Direktīvas 69/493/EEK  I pielikumā (1., 2., 3. un 4. kategorija)</w:t>
            </w:r>
          </w:p>
        </w:tc>
        <w:tc>
          <w:tcPr>
            <w:tcW w:w="4394" w:type="dxa"/>
            <w:tcBorders>
              <w:top w:val="single" w:sz="6" w:space="0" w:color="000000"/>
              <w:left w:val="single" w:sz="6" w:space="0" w:color="000000"/>
              <w:bottom w:val="single" w:sz="6" w:space="0" w:color="000000"/>
              <w:right w:val="single" w:sz="6" w:space="0" w:color="000000"/>
            </w:tcBorders>
          </w:tcPr>
          <w:p w:rsidR="004725F0" w:rsidRPr="00CC19D4" w:rsidRDefault="004725F0" w:rsidP="00CC19D4">
            <w:pPr>
              <w:tabs>
                <w:tab w:val="left" w:pos="709"/>
                <w:tab w:val="left" w:pos="993"/>
              </w:tabs>
              <w:jc w:val="both"/>
              <w:rPr>
                <w:b/>
                <w:bCs/>
              </w:rPr>
            </w:pPr>
            <w:r w:rsidRPr="00CC19D4">
              <w:rPr>
                <w:b/>
                <w:bCs/>
              </w:rPr>
              <w:t>Tieslietu ministrija:</w:t>
            </w:r>
          </w:p>
          <w:p w:rsidR="004725F0" w:rsidRPr="00ED2209" w:rsidRDefault="00CC19D4" w:rsidP="00ED2209">
            <w:pPr>
              <w:ind w:firstLine="567"/>
              <w:jc w:val="both"/>
            </w:pPr>
            <w:r w:rsidRPr="00CC19D4">
              <w:t xml:space="preserve">Projekta 11. punktā norādīts uz Padomes 1969. gada 15. decembra Direktīvas 69/493/EEK par dalībvalstu tiesību aktu tuvināšanu attiecībā uz kristāla stiklu (turpmāk – Direktīva 69/493/EEK) I pielikumā sniegto aprakstu. Vēršam uzmanību, ka Eiropas Savienības direktīvas nav tieši piemērojami Eiropas Savienības tiesību akti, tāpēc nacionālajos normatīvajos aktos direktīvu prasības ietver, to saturu pārņemot attiecīgajā nacionālajā normatīvajā aktā. Minētais izriet no Līguma par Eiropas Savienības darbību 288. panta. Uzsveram, ka Latvijas tiesību sistēmā atsauces uz Eiropas Savienības direktīvām normatīvā akta pamattekstā neveido (nejaukt ar informatīvajām atsaucēm uz Eiropas Savienības direktīvām). Ievērojot minēto, </w:t>
            </w:r>
            <w:r w:rsidRPr="00CC19D4">
              <w:lastRenderedPageBreak/>
              <w:t>lūdzam precizēt projekta 11. punktu un atsauci uz Direktīvas 69/493/EEK I pielikuma normām aizstāt ar atsauci uz attiecīgā Latvijas normatīvā akta normām, kur minētās direktīvas prasības pārņemtas.</w:t>
            </w:r>
          </w:p>
        </w:tc>
        <w:tc>
          <w:tcPr>
            <w:tcW w:w="2835" w:type="dxa"/>
            <w:tcBorders>
              <w:top w:val="single" w:sz="6" w:space="0" w:color="000000"/>
              <w:left w:val="single" w:sz="6" w:space="0" w:color="000000"/>
              <w:bottom w:val="single" w:sz="6" w:space="0" w:color="000000"/>
              <w:right w:val="single" w:sz="6" w:space="0" w:color="000000"/>
            </w:tcBorders>
          </w:tcPr>
          <w:p w:rsidR="004725F0" w:rsidRPr="00CC19D4" w:rsidRDefault="003D5F2C" w:rsidP="00CC19D4">
            <w:pPr>
              <w:pStyle w:val="naisc"/>
              <w:spacing w:before="0" w:after="0"/>
              <w:jc w:val="both"/>
              <w:rPr>
                <w:b/>
              </w:rPr>
            </w:pPr>
            <w:r w:rsidRPr="00CC19D4">
              <w:rPr>
                <w:b/>
              </w:rPr>
              <w:lastRenderedPageBreak/>
              <w:t>Iebildums ir ņemts vērā.</w:t>
            </w:r>
          </w:p>
        </w:tc>
        <w:tc>
          <w:tcPr>
            <w:tcW w:w="3686" w:type="dxa"/>
            <w:tcBorders>
              <w:top w:val="single" w:sz="4" w:space="0" w:color="auto"/>
              <w:left w:val="single" w:sz="4" w:space="0" w:color="auto"/>
              <w:bottom w:val="single" w:sz="4" w:space="0" w:color="auto"/>
            </w:tcBorders>
          </w:tcPr>
          <w:p w:rsidR="00EB3AA5" w:rsidRPr="00CC19D4" w:rsidRDefault="00CC19D4" w:rsidP="00CC19D4">
            <w:pPr>
              <w:ind w:firstLine="357"/>
              <w:jc w:val="both"/>
            </w:pPr>
            <w:r w:rsidRPr="00CC19D4">
              <w:t xml:space="preserve">Svins tāda kristālstikla sastāvā, kam apraksts dots </w:t>
            </w:r>
            <w:r w:rsidRPr="00CC19D4">
              <w:rPr>
                <w:b/>
              </w:rPr>
              <w:t>normatīvajos aktos par stikla izstrādājumu marķēšanu.</w:t>
            </w:r>
            <w:r w:rsidRPr="00CC19D4">
              <w:t xml:space="preserve"> </w:t>
            </w:r>
          </w:p>
        </w:tc>
      </w:tr>
    </w:tbl>
    <w:p w:rsidR="0059243D" w:rsidRDefault="0059243D"/>
    <w:p w:rsidR="0081744B" w:rsidRDefault="0081744B">
      <w:r>
        <w:t>Atb</w:t>
      </w:r>
      <w:r w:rsidR="00EB3AA5">
        <w:t>ildīgā amatpersona</w:t>
      </w:r>
      <w:r w:rsidR="00EB3AA5">
        <w:tab/>
      </w:r>
      <w:r w:rsidR="00EB3AA5">
        <w:tab/>
      </w:r>
      <w:r w:rsidR="00EB3AA5">
        <w:tab/>
      </w:r>
      <w:r w:rsidR="00EB3AA5">
        <w:tab/>
      </w:r>
      <w:r w:rsidR="00EB3AA5">
        <w:tab/>
      </w:r>
      <w:r w:rsidR="00EB3AA5">
        <w:tab/>
      </w:r>
      <w:r w:rsidR="00EB3AA5">
        <w:tab/>
      </w:r>
      <w:r w:rsidR="00EB3AA5">
        <w:tab/>
      </w:r>
      <w:r w:rsidR="00EB3AA5">
        <w:tab/>
      </w:r>
      <w:r w:rsidR="00EB3AA5">
        <w:tab/>
        <w:t>I.</w:t>
      </w:r>
      <w:r>
        <w:t>Doniņa</w:t>
      </w:r>
    </w:p>
    <w:sectPr w:rsidR="0081744B" w:rsidSect="0081744B">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87" w:rsidRDefault="00FD1687" w:rsidP="0081744B">
      <w:r>
        <w:separator/>
      </w:r>
    </w:p>
  </w:endnote>
  <w:endnote w:type="continuationSeparator" w:id="0">
    <w:p w:rsidR="00FD1687" w:rsidRDefault="00FD1687" w:rsidP="0081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09" w:rsidRDefault="00ED2209" w:rsidP="00ED2209">
    <w:pPr>
      <w:pStyle w:val="Footer"/>
    </w:pPr>
    <w:r>
      <w:t>VARAMIzz_130519_</w:t>
    </w:r>
    <w:r w:rsidR="000B1395">
      <w:t>groz84_</w:t>
    </w:r>
    <w:r>
      <w:t>ROHS</w:t>
    </w:r>
  </w:p>
  <w:p w:rsidR="00ED2209" w:rsidRDefault="00E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4B" w:rsidRDefault="00ED2209">
    <w:pPr>
      <w:pStyle w:val="Footer"/>
    </w:pPr>
    <w:r>
      <w:t>VARAMIzz_130519</w:t>
    </w:r>
    <w:r w:rsidR="0081744B">
      <w:t>_</w:t>
    </w:r>
    <w:r w:rsidR="000B1395">
      <w:t>groz84_</w:t>
    </w:r>
    <w:r w:rsidR="0081744B">
      <w:t>ROHS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87" w:rsidRDefault="00FD1687" w:rsidP="0081744B">
      <w:r>
        <w:separator/>
      </w:r>
    </w:p>
  </w:footnote>
  <w:footnote w:type="continuationSeparator" w:id="0">
    <w:p w:rsidR="00FD1687" w:rsidRDefault="00FD1687" w:rsidP="00817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97513"/>
      <w:docPartObj>
        <w:docPartGallery w:val="Page Numbers (Top of Page)"/>
        <w:docPartUnique/>
      </w:docPartObj>
    </w:sdtPr>
    <w:sdtEndPr>
      <w:rPr>
        <w:noProof/>
      </w:rPr>
    </w:sdtEndPr>
    <w:sdtContent>
      <w:p w:rsidR="0081744B" w:rsidRDefault="0081744B">
        <w:pPr>
          <w:pStyle w:val="Header"/>
          <w:jc w:val="center"/>
        </w:pPr>
        <w:r>
          <w:fldChar w:fldCharType="begin"/>
        </w:r>
        <w:r>
          <w:instrText xml:space="preserve"> PAGE   \* MERGEFORMAT </w:instrText>
        </w:r>
        <w:r>
          <w:fldChar w:fldCharType="separate"/>
        </w:r>
        <w:r w:rsidR="002D5180">
          <w:rPr>
            <w:noProof/>
          </w:rPr>
          <w:t>3</w:t>
        </w:r>
        <w:r>
          <w:rPr>
            <w:noProof/>
          </w:rPr>
          <w:fldChar w:fldCharType="end"/>
        </w:r>
      </w:p>
    </w:sdtContent>
  </w:sdt>
  <w:p w:rsidR="0081744B" w:rsidRDefault="00817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57CD"/>
    <w:multiLevelType w:val="hybridMultilevel"/>
    <w:tmpl w:val="7E4CB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AF5664"/>
    <w:multiLevelType w:val="hybridMultilevel"/>
    <w:tmpl w:val="F3BE8766"/>
    <w:lvl w:ilvl="0" w:tplc="B8681F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3AB03253"/>
    <w:multiLevelType w:val="hybridMultilevel"/>
    <w:tmpl w:val="271E0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E37249"/>
    <w:multiLevelType w:val="hybridMultilevel"/>
    <w:tmpl w:val="F9FCDEC8"/>
    <w:lvl w:ilvl="0" w:tplc="4AFC1E3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4C71E5"/>
    <w:multiLevelType w:val="hybridMultilevel"/>
    <w:tmpl w:val="BB461292"/>
    <w:lvl w:ilvl="0" w:tplc="CBE24650">
      <w:start w:val="1"/>
      <w:numFmt w:val="decimal"/>
      <w:lvlText w:val="%1."/>
      <w:lvlJc w:val="left"/>
      <w:pPr>
        <w:ind w:left="1777" w:hanging="360"/>
      </w:pPr>
      <w:rPr>
        <w:rFonts w:hint="default"/>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0"/>
    <w:rsid w:val="00055869"/>
    <w:rsid w:val="0006316B"/>
    <w:rsid w:val="000B1395"/>
    <w:rsid w:val="000E6A6B"/>
    <w:rsid w:val="000F384C"/>
    <w:rsid w:val="001413D5"/>
    <w:rsid w:val="001845A4"/>
    <w:rsid w:val="002D5180"/>
    <w:rsid w:val="00306101"/>
    <w:rsid w:val="003D5F2C"/>
    <w:rsid w:val="004725F0"/>
    <w:rsid w:val="0059243D"/>
    <w:rsid w:val="005B5601"/>
    <w:rsid w:val="007648A9"/>
    <w:rsid w:val="007B4029"/>
    <w:rsid w:val="007C2971"/>
    <w:rsid w:val="0081744B"/>
    <w:rsid w:val="008523C3"/>
    <w:rsid w:val="0097451D"/>
    <w:rsid w:val="009B3456"/>
    <w:rsid w:val="00B65624"/>
    <w:rsid w:val="00CC19D4"/>
    <w:rsid w:val="00CE4ECF"/>
    <w:rsid w:val="00E46C03"/>
    <w:rsid w:val="00EB3AA5"/>
    <w:rsid w:val="00ED2209"/>
    <w:rsid w:val="00FD16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666E2-7374-481A-84EE-8007825C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25F0"/>
    <w:pPr>
      <w:spacing w:before="100" w:beforeAutospacing="1" w:after="100" w:afterAutospacing="1"/>
    </w:pPr>
  </w:style>
  <w:style w:type="paragraph" w:customStyle="1" w:styleId="naisf">
    <w:name w:val="naisf"/>
    <w:basedOn w:val="Normal"/>
    <w:rsid w:val="004725F0"/>
    <w:pPr>
      <w:spacing w:before="75" w:after="75"/>
      <w:ind w:firstLine="375"/>
      <w:jc w:val="both"/>
    </w:pPr>
  </w:style>
  <w:style w:type="paragraph" w:customStyle="1" w:styleId="naiskr">
    <w:name w:val="naiskr"/>
    <w:basedOn w:val="Normal"/>
    <w:rsid w:val="004725F0"/>
    <w:pPr>
      <w:spacing w:before="75" w:after="75"/>
    </w:pPr>
  </w:style>
  <w:style w:type="paragraph" w:customStyle="1" w:styleId="naisc">
    <w:name w:val="naisc"/>
    <w:basedOn w:val="Normal"/>
    <w:rsid w:val="004725F0"/>
    <w:pPr>
      <w:spacing w:before="75" w:after="75"/>
      <w:jc w:val="center"/>
    </w:pPr>
  </w:style>
  <w:style w:type="paragraph" w:styleId="ListParagraph">
    <w:name w:val="List Paragraph"/>
    <w:basedOn w:val="Normal"/>
    <w:uiPriority w:val="34"/>
    <w:qFormat/>
    <w:rsid w:val="004725F0"/>
    <w:pPr>
      <w:widowControl w:val="0"/>
      <w:ind w:left="720"/>
      <w:contextualSpacing/>
      <w:jc w:val="both"/>
    </w:pPr>
    <w:rPr>
      <w:rFonts w:eastAsia="Calibri"/>
      <w:szCs w:val="22"/>
      <w:lang w:eastAsia="en-US"/>
    </w:rPr>
  </w:style>
  <w:style w:type="paragraph" w:styleId="Footer">
    <w:name w:val="footer"/>
    <w:basedOn w:val="Normal"/>
    <w:link w:val="FooterChar"/>
    <w:uiPriority w:val="99"/>
    <w:unhideWhenUsed/>
    <w:rsid w:val="004725F0"/>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4725F0"/>
    <w:rPr>
      <w:rFonts w:ascii="Times New Roman" w:eastAsia="Calibri" w:hAnsi="Times New Roman" w:cs="Times New Roman"/>
      <w:sz w:val="24"/>
    </w:rPr>
  </w:style>
  <w:style w:type="paragraph" w:styleId="Header">
    <w:name w:val="header"/>
    <w:basedOn w:val="Normal"/>
    <w:link w:val="HeaderChar"/>
    <w:uiPriority w:val="99"/>
    <w:unhideWhenUsed/>
    <w:rsid w:val="0081744B"/>
    <w:pPr>
      <w:tabs>
        <w:tab w:val="center" w:pos="4153"/>
        <w:tab w:val="right" w:pos="8306"/>
      </w:tabs>
    </w:pPr>
  </w:style>
  <w:style w:type="character" w:customStyle="1" w:styleId="HeaderChar">
    <w:name w:val="Header Char"/>
    <w:basedOn w:val="DefaultParagraphFont"/>
    <w:link w:val="Header"/>
    <w:uiPriority w:val="99"/>
    <w:rsid w:val="0081744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Ilze Doniņa</cp:lastModifiedBy>
  <cp:revision>2</cp:revision>
  <dcterms:created xsi:type="dcterms:W3CDTF">2019-05-21T08:22:00Z</dcterms:created>
  <dcterms:modified xsi:type="dcterms:W3CDTF">2019-05-21T08:22:00Z</dcterms:modified>
</cp:coreProperties>
</file>