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0939B" w14:textId="77777777" w:rsidR="00D45E44" w:rsidRPr="0028614E" w:rsidRDefault="00D45E44" w:rsidP="00D45E44">
      <w:pPr>
        <w:pStyle w:val="naisnod"/>
        <w:spacing w:before="0" w:after="0"/>
        <w:ind w:firstLine="720"/>
        <w:rPr>
          <w:sz w:val="28"/>
          <w:szCs w:val="28"/>
        </w:rPr>
      </w:pPr>
      <w:r w:rsidRPr="0028614E">
        <w:rPr>
          <w:sz w:val="28"/>
          <w:szCs w:val="28"/>
        </w:rPr>
        <w:t>Izziņa par atzinumos sniegtajiem iebildumiem</w:t>
      </w:r>
    </w:p>
    <w:p w14:paraId="094B93E1" w14:textId="77777777" w:rsidR="00D45E44" w:rsidRPr="0028614E" w:rsidRDefault="00D45E44" w:rsidP="00D45E44">
      <w:pPr>
        <w:pStyle w:val="naisf"/>
        <w:spacing w:before="0" w:after="0"/>
        <w:ind w:firstLine="720"/>
      </w:pPr>
    </w:p>
    <w:tbl>
      <w:tblPr>
        <w:tblW w:w="0" w:type="auto"/>
        <w:jc w:val="center"/>
        <w:tblLook w:val="00A0" w:firstRow="1" w:lastRow="0" w:firstColumn="1" w:lastColumn="0" w:noHBand="0" w:noVBand="0"/>
      </w:tblPr>
      <w:tblGrid>
        <w:gridCol w:w="13204"/>
      </w:tblGrid>
      <w:tr w:rsidR="00D45E44" w:rsidRPr="0028614E" w14:paraId="2224AB80" w14:textId="77777777" w:rsidTr="001D6E1B">
        <w:trPr>
          <w:jc w:val="center"/>
        </w:trPr>
        <w:tc>
          <w:tcPr>
            <w:tcW w:w="13204" w:type="dxa"/>
            <w:tcBorders>
              <w:bottom w:val="single" w:sz="6" w:space="0" w:color="000000"/>
            </w:tcBorders>
          </w:tcPr>
          <w:p w14:paraId="3374C7E0" w14:textId="1A82B3E0" w:rsidR="00D45E44" w:rsidRPr="0028614E" w:rsidRDefault="00551B1F" w:rsidP="001D6E1B">
            <w:pPr>
              <w:ind w:firstLine="720"/>
              <w:jc w:val="center"/>
            </w:pPr>
            <w:r w:rsidRPr="0028614E">
              <w:t>Konceptuālais ziņojums “Par bezmaksas emisijas kvotu piešķiršanu elektroenerģijas ražotājiem Eiropas Savienības emisiju tirdzniecības sistēmas 2021. - 2030. gada periodā”</w:t>
            </w:r>
          </w:p>
        </w:tc>
      </w:tr>
    </w:tbl>
    <w:p w14:paraId="73D42025" w14:textId="77777777" w:rsidR="00D45E44" w:rsidRPr="0028614E" w:rsidRDefault="00D45E44" w:rsidP="00D45E44">
      <w:pPr>
        <w:pStyle w:val="naisc"/>
        <w:spacing w:before="0" w:after="0"/>
        <w:ind w:firstLine="1080"/>
      </w:pPr>
      <w:r w:rsidRPr="0028614E">
        <w:t>(dokumenta veids un nosaukums)</w:t>
      </w:r>
    </w:p>
    <w:p w14:paraId="2BE212B2" w14:textId="77777777" w:rsidR="00D45E44" w:rsidRPr="0028614E" w:rsidRDefault="00D45E44" w:rsidP="00D45E44">
      <w:pPr>
        <w:pStyle w:val="naisf"/>
        <w:spacing w:before="0" w:after="0"/>
        <w:ind w:firstLine="720"/>
      </w:pPr>
    </w:p>
    <w:p w14:paraId="1AF3F5D5" w14:textId="77777777" w:rsidR="00D45E44" w:rsidRPr="0028614E" w:rsidRDefault="00D45E44" w:rsidP="00D45E44">
      <w:pPr>
        <w:pStyle w:val="naisf"/>
        <w:spacing w:before="0" w:after="0"/>
        <w:ind w:firstLine="0"/>
        <w:jc w:val="center"/>
        <w:rPr>
          <w:b/>
        </w:rPr>
      </w:pPr>
      <w:r w:rsidRPr="0028614E">
        <w:rPr>
          <w:b/>
        </w:rPr>
        <w:t>I. Jautājumi, par kuriem saskaņošanā vienošanās nav panākta</w:t>
      </w:r>
    </w:p>
    <w:p w14:paraId="1C2AA494" w14:textId="77777777" w:rsidR="00D45E44" w:rsidRPr="0028614E" w:rsidRDefault="00D45E44" w:rsidP="00D45E44">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61"/>
        <w:gridCol w:w="3543"/>
        <w:gridCol w:w="3261"/>
        <w:gridCol w:w="2126"/>
        <w:gridCol w:w="1969"/>
      </w:tblGrid>
      <w:tr w:rsidR="00D45E44" w:rsidRPr="0028614E" w14:paraId="4A1F6D87" w14:textId="77777777" w:rsidTr="00EB48E9">
        <w:tc>
          <w:tcPr>
            <w:tcW w:w="708" w:type="dxa"/>
            <w:tcBorders>
              <w:top w:val="single" w:sz="6" w:space="0" w:color="000000"/>
              <w:left w:val="single" w:sz="6" w:space="0" w:color="000000"/>
              <w:bottom w:val="single" w:sz="6" w:space="0" w:color="000000"/>
              <w:right w:val="single" w:sz="6" w:space="0" w:color="000000"/>
            </w:tcBorders>
            <w:vAlign w:val="center"/>
          </w:tcPr>
          <w:p w14:paraId="2AF87E16" w14:textId="77777777" w:rsidR="00D45E44" w:rsidRPr="0028614E" w:rsidRDefault="00D45E44" w:rsidP="001D6E1B">
            <w:pPr>
              <w:pStyle w:val="naisc"/>
              <w:spacing w:before="0" w:after="0"/>
            </w:pPr>
            <w:r w:rsidRPr="0028614E">
              <w:t>Nr. p. k.</w:t>
            </w:r>
          </w:p>
        </w:tc>
        <w:tc>
          <w:tcPr>
            <w:tcW w:w="2661" w:type="dxa"/>
            <w:tcBorders>
              <w:top w:val="single" w:sz="6" w:space="0" w:color="000000"/>
              <w:left w:val="single" w:sz="6" w:space="0" w:color="000000"/>
              <w:bottom w:val="single" w:sz="6" w:space="0" w:color="000000"/>
              <w:right w:val="single" w:sz="6" w:space="0" w:color="000000"/>
            </w:tcBorders>
            <w:vAlign w:val="center"/>
          </w:tcPr>
          <w:p w14:paraId="1A09CDF0" w14:textId="77777777" w:rsidR="00D45E44" w:rsidRPr="0028614E" w:rsidRDefault="00D45E44" w:rsidP="001D6E1B">
            <w:pPr>
              <w:pStyle w:val="naisc"/>
              <w:spacing w:before="0" w:after="0"/>
              <w:ind w:firstLine="12"/>
            </w:pPr>
            <w:r w:rsidRPr="0028614E">
              <w:t>Saskaņošanai nosūtītā projekta redakcija (konkrēta punkta (panta) redakcija)</w:t>
            </w:r>
          </w:p>
        </w:tc>
        <w:tc>
          <w:tcPr>
            <w:tcW w:w="3543" w:type="dxa"/>
            <w:tcBorders>
              <w:top w:val="single" w:sz="6" w:space="0" w:color="000000"/>
              <w:left w:val="single" w:sz="6" w:space="0" w:color="000000"/>
              <w:bottom w:val="single" w:sz="6" w:space="0" w:color="000000"/>
              <w:right w:val="single" w:sz="6" w:space="0" w:color="000000"/>
            </w:tcBorders>
            <w:vAlign w:val="center"/>
          </w:tcPr>
          <w:p w14:paraId="052E2FA8" w14:textId="77777777" w:rsidR="00D45E44" w:rsidRPr="0028614E" w:rsidRDefault="00D45E44" w:rsidP="001D6E1B">
            <w:pPr>
              <w:pStyle w:val="naisc"/>
              <w:spacing w:before="0" w:after="0"/>
              <w:ind w:right="3"/>
            </w:pPr>
            <w:r w:rsidRPr="0028614E">
              <w:t>Atzinumā norādītais ministrijas (citas institūcijas) iebildums, kā arī saskaņošanā papildus izteiktais iebildums par projekta konkrēto punktu (pantu)</w:t>
            </w:r>
          </w:p>
        </w:tc>
        <w:tc>
          <w:tcPr>
            <w:tcW w:w="3261" w:type="dxa"/>
            <w:tcBorders>
              <w:top w:val="single" w:sz="6" w:space="0" w:color="000000"/>
              <w:left w:val="single" w:sz="6" w:space="0" w:color="000000"/>
              <w:bottom w:val="single" w:sz="6" w:space="0" w:color="000000"/>
              <w:right w:val="single" w:sz="6" w:space="0" w:color="000000"/>
            </w:tcBorders>
            <w:vAlign w:val="center"/>
          </w:tcPr>
          <w:p w14:paraId="57E6EDBD" w14:textId="77777777" w:rsidR="00D45E44" w:rsidRPr="0028614E" w:rsidRDefault="00D45E44" w:rsidP="001D6E1B">
            <w:pPr>
              <w:pStyle w:val="naisc"/>
              <w:spacing w:before="0" w:after="0"/>
              <w:ind w:firstLine="21"/>
            </w:pPr>
            <w:r w:rsidRPr="0028614E">
              <w:t>Atbildīgās ministrijas pamatojums iebilduma noraidījumam</w:t>
            </w:r>
          </w:p>
        </w:tc>
        <w:tc>
          <w:tcPr>
            <w:tcW w:w="2126" w:type="dxa"/>
            <w:tcBorders>
              <w:top w:val="single" w:sz="4" w:space="0" w:color="auto"/>
              <w:left w:val="single" w:sz="4" w:space="0" w:color="auto"/>
              <w:bottom w:val="single" w:sz="4" w:space="0" w:color="auto"/>
              <w:right w:val="single" w:sz="4" w:space="0" w:color="auto"/>
            </w:tcBorders>
            <w:vAlign w:val="center"/>
          </w:tcPr>
          <w:p w14:paraId="513B3DDB" w14:textId="77777777" w:rsidR="00D45E44" w:rsidRPr="0028614E" w:rsidRDefault="00D45E44" w:rsidP="001D6E1B">
            <w:pPr>
              <w:jc w:val="center"/>
            </w:pPr>
            <w:r w:rsidRPr="0028614E">
              <w:t>Atzinuma sniedzēja uzturētais iebildums, ja tas atšķiras no atzinumā norādītā iebilduma pamatojuma</w:t>
            </w:r>
          </w:p>
        </w:tc>
        <w:tc>
          <w:tcPr>
            <w:tcW w:w="1969" w:type="dxa"/>
            <w:tcBorders>
              <w:top w:val="single" w:sz="4" w:space="0" w:color="auto"/>
              <w:left w:val="single" w:sz="4" w:space="0" w:color="auto"/>
              <w:bottom w:val="single" w:sz="4" w:space="0" w:color="auto"/>
            </w:tcBorders>
            <w:vAlign w:val="center"/>
          </w:tcPr>
          <w:p w14:paraId="68C0DE5C" w14:textId="77777777" w:rsidR="00D45E44" w:rsidRPr="0028614E" w:rsidRDefault="00D45E44" w:rsidP="001D6E1B">
            <w:pPr>
              <w:jc w:val="center"/>
            </w:pPr>
            <w:r w:rsidRPr="0028614E">
              <w:t>Projekta attiecīgā punkta (panta) galīgā redakcija</w:t>
            </w:r>
          </w:p>
        </w:tc>
      </w:tr>
      <w:tr w:rsidR="000E3959" w:rsidRPr="0028614E" w14:paraId="4A863593" w14:textId="77777777" w:rsidTr="00EB48E9">
        <w:tc>
          <w:tcPr>
            <w:tcW w:w="708" w:type="dxa"/>
            <w:tcBorders>
              <w:top w:val="single" w:sz="6" w:space="0" w:color="000000"/>
              <w:left w:val="single" w:sz="6" w:space="0" w:color="000000"/>
              <w:bottom w:val="single" w:sz="6" w:space="0" w:color="000000"/>
              <w:right w:val="single" w:sz="6" w:space="0" w:color="000000"/>
            </w:tcBorders>
          </w:tcPr>
          <w:p w14:paraId="32B9A26B" w14:textId="77777777" w:rsidR="00D45E44" w:rsidRPr="0028614E" w:rsidRDefault="00D45E44" w:rsidP="001D6E1B">
            <w:pPr>
              <w:pStyle w:val="naisc"/>
              <w:spacing w:before="0" w:after="0"/>
            </w:pPr>
            <w:r w:rsidRPr="0028614E">
              <w:t>1</w:t>
            </w:r>
          </w:p>
        </w:tc>
        <w:tc>
          <w:tcPr>
            <w:tcW w:w="2661" w:type="dxa"/>
            <w:tcBorders>
              <w:top w:val="single" w:sz="6" w:space="0" w:color="000000"/>
              <w:left w:val="single" w:sz="6" w:space="0" w:color="000000"/>
              <w:bottom w:val="single" w:sz="6" w:space="0" w:color="000000"/>
              <w:right w:val="single" w:sz="6" w:space="0" w:color="000000"/>
            </w:tcBorders>
          </w:tcPr>
          <w:p w14:paraId="1698BC90" w14:textId="77777777" w:rsidR="00D45E44" w:rsidRPr="0028614E" w:rsidRDefault="00D45E44" w:rsidP="001D6E1B">
            <w:pPr>
              <w:pStyle w:val="naisc"/>
              <w:spacing w:before="0" w:after="0"/>
              <w:ind w:firstLine="720"/>
            </w:pPr>
            <w:r w:rsidRPr="0028614E">
              <w:t>2</w:t>
            </w:r>
          </w:p>
        </w:tc>
        <w:tc>
          <w:tcPr>
            <w:tcW w:w="3543" w:type="dxa"/>
            <w:tcBorders>
              <w:top w:val="single" w:sz="6" w:space="0" w:color="000000"/>
              <w:left w:val="single" w:sz="6" w:space="0" w:color="000000"/>
              <w:bottom w:val="single" w:sz="6" w:space="0" w:color="000000"/>
              <w:right w:val="single" w:sz="6" w:space="0" w:color="000000"/>
            </w:tcBorders>
          </w:tcPr>
          <w:p w14:paraId="7C86A40B" w14:textId="77777777" w:rsidR="00D45E44" w:rsidRPr="0028614E" w:rsidRDefault="00D45E44" w:rsidP="001D6E1B">
            <w:pPr>
              <w:pStyle w:val="naisc"/>
              <w:spacing w:before="0" w:after="0"/>
              <w:ind w:firstLine="720"/>
            </w:pPr>
            <w:r w:rsidRPr="0028614E">
              <w:t>3</w:t>
            </w:r>
          </w:p>
        </w:tc>
        <w:tc>
          <w:tcPr>
            <w:tcW w:w="3261" w:type="dxa"/>
            <w:tcBorders>
              <w:top w:val="single" w:sz="6" w:space="0" w:color="000000"/>
              <w:left w:val="single" w:sz="6" w:space="0" w:color="000000"/>
              <w:bottom w:val="single" w:sz="6" w:space="0" w:color="000000"/>
              <w:right w:val="single" w:sz="6" w:space="0" w:color="000000"/>
            </w:tcBorders>
          </w:tcPr>
          <w:p w14:paraId="545041FD" w14:textId="77777777" w:rsidR="00D45E44" w:rsidRPr="0028614E" w:rsidRDefault="00D45E44" w:rsidP="001D6E1B">
            <w:pPr>
              <w:pStyle w:val="naisc"/>
              <w:spacing w:before="0" w:after="0"/>
              <w:ind w:firstLine="720"/>
            </w:pPr>
            <w:r w:rsidRPr="0028614E">
              <w:t>4</w:t>
            </w:r>
          </w:p>
        </w:tc>
        <w:tc>
          <w:tcPr>
            <w:tcW w:w="2126" w:type="dxa"/>
            <w:tcBorders>
              <w:top w:val="single" w:sz="4" w:space="0" w:color="auto"/>
              <w:left w:val="single" w:sz="4" w:space="0" w:color="auto"/>
              <w:bottom w:val="single" w:sz="4" w:space="0" w:color="auto"/>
              <w:right w:val="single" w:sz="4" w:space="0" w:color="auto"/>
            </w:tcBorders>
          </w:tcPr>
          <w:p w14:paraId="26007AD3" w14:textId="77777777" w:rsidR="00D45E44" w:rsidRPr="0028614E" w:rsidRDefault="00D45E44" w:rsidP="001D6E1B">
            <w:pPr>
              <w:jc w:val="center"/>
            </w:pPr>
            <w:r w:rsidRPr="0028614E">
              <w:t>5</w:t>
            </w:r>
          </w:p>
        </w:tc>
        <w:tc>
          <w:tcPr>
            <w:tcW w:w="1969" w:type="dxa"/>
            <w:tcBorders>
              <w:top w:val="single" w:sz="4" w:space="0" w:color="auto"/>
              <w:left w:val="single" w:sz="4" w:space="0" w:color="auto"/>
              <w:bottom w:val="single" w:sz="4" w:space="0" w:color="auto"/>
            </w:tcBorders>
          </w:tcPr>
          <w:p w14:paraId="7B74CA6A" w14:textId="77777777" w:rsidR="00D45E44" w:rsidRPr="0028614E" w:rsidRDefault="00D45E44" w:rsidP="001D6E1B">
            <w:pPr>
              <w:jc w:val="center"/>
            </w:pPr>
            <w:r w:rsidRPr="0028614E">
              <w:t>6</w:t>
            </w:r>
          </w:p>
        </w:tc>
      </w:tr>
      <w:tr w:rsidR="00D45E44" w:rsidRPr="0028614E" w14:paraId="27DE4806" w14:textId="77777777" w:rsidTr="00EB48E9">
        <w:tc>
          <w:tcPr>
            <w:tcW w:w="708" w:type="dxa"/>
            <w:tcBorders>
              <w:top w:val="single" w:sz="6" w:space="0" w:color="000000"/>
              <w:left w:val="single" w:sz="6" w:space="0" w:color="000000"/>
              <w:bottom w:val="single" w:sz="6" w:space="0" w:color="000000"/>
              <w:right w:val="single" w:sz="6" w:space="0" w:color="000000"/>
            </w:tcBorders>
          </w:tcPr>
          <w:p w14:paraId="19C225FE" w14:textId="20B2A5A9" w:rsidR="00D45E44" w:rsidRPr="0028614E" w:rsidRDefault="00D45E44" w:rsidP="001D6E1B">
            <w:pPr>
              <w:pStyle w:val="naisc"/>
              <w:spacing w:before="0" w:after="0"/>
              <w:jc w:val="left"/>
            </w:pPr>
          </w:p>
        </w:tc>
        <w:tc>
          <w:tcPr>
            <w:tcW w:w="2661" w:type="dxa"/>
            <w:tcBorders>
              <w:top w:val="single" w:sz="6" w:space="0" w:color="000000"/>
              <w:left w:val="single" w:sz="6" w:space="0" w:color="000000"/>
              <w:bottom w:val="single" w:sz="6" w:space="0" w:color="000000"/>
              <w:right w:val="single" w:sz="6" w:space="0" w:color="000000"/>
            </w:tcBorders>
          </w:tcPr>
          <w:p w14:paraId="48382FBB" w14:textId="0089F673" w:rsidR="00D45E44" w:rsidRPr="0028614E" w:rsidRDefault="00D45E44" w:rsidP="001D6E1B">
            <w:pPr>
              <w:jc w:val="both"/>
              <w:rPr>
                <w:b/>
              </w:rPr>
            </w:pPr>
          </w:p>
        </w:tc>
        <w:tc>
          <w:tcPr>
            <w:tcW w:w="3543" w:type="dxa"/>
            <w:tcBorders>
              <w:top w:val="single" w:sz="6" w:space="0" w:color="000000"/>
              <w:left w:val="single" w:sz="6" w:space="0" w:color="000000"/>
              <w:bottom w:val="single" w:sz="6" w:space="0" w:color="000000"/>
              <w:right w:val="single" w:sz="6" w:space="0" w:color="000000"/>
            </w:tcBorders>
          </w:tcPr>
          <w:p w14:paraId="2E8BE417" w14:textId="12E74A12" w:rsidR="00536FF8" w:rsidRPr="0028614E" w:rsidRDefault="00536FF8" w:rsidP="00D41EC6">
            <w:pPr>
              <w:pStyle w:val="ListParagraph"/>
              <w:widowControl w:val="0"/>
              <w:spacing w:after="0" w:line="240" w:lineRule="auto"/>
              <w:ind w:left="0"/>
              <w:jc w:val="both"/>
              <w:rPr>
                <w:rFonts w:ascii="Times New Roman" w:hAnsi="Times New Roman"/>
                <w:bCs/>
                <w:sz w:val="24"/>
                <w:szCs w:val="24"/>
                <w:lang w:val="lv-LV"/>
              </w:rPr>
            </w:pPr>
          </w:p>
        </w:tc>
        <w:tc>
          <w:tcPr>
            <w:tcW w:w="3261" w:type="dxa"/>
            <w:tcBorders>
              <w:top w:val="single" w:sz="6" w:space="0" w:color="000000"/>
              <w:left w:val="single" w:sz="6" w:space="0" w:color="000000"/>
              <w:bottom w:val="single" w:sz="6" w:space="0" w:color="000000"/>
              <w:right w:val="single" w:sz="6" w:space="0" w:color="000000"/>
            </w:tcBorders>
          </w:tcPr>
          <w:p w14:paraId="47BA00F3" w14:textId="57ADFF0D" w:rsidR="0017647A" w:rsidRPr="0028614E" w:rsidRDefault="0017647A" w:rsidP="00A94945">
            <w:pPr>
              <w:jc w:val="both"/>
            </w:pPr>
          </w:p>
        </w:tc>
        <w:tc>
          <w:tcPr>
            <w:tcW w:w="2126" w:type="dxa"/>
            <w:tcBorders>
              <w:top w:val="single" w:sz="4" w:space="0" w:color="auto"/>
              <w:left w:val="single" w:sz="4" w:space="0" w:color="auto"/>
              <w:bottom w:val="single" w:sz="4" w:space="0" w:color="auto"/>
              <w:right w:val="single" w:sz="4" w:space="0" w:color="auto"/>
            </w:tcBorders>
          </w:tcPr>
          <w:p w14:paraId="45C345C4" w14:textId="77777777" w:rsidR="00D45E44" w:rsidRPr="0028614E" w:rsidRDefault="00D45E44" w:rsidP="001D6E1B">
            <w:pPr>
              <w:jc w:val="both"/>
            </w:pPr>
          </w:p>
        </w:tc>
        <w:tc>
          <w:tcPr>
            <w:tcW w:w="1969" w:type="dxa"/>
            <w:tcBorders>
              <w:top w:val="single" w:sz="4" w:space="0" w:color="auto"/>
              <w:left w:val="single" w:sz="4" w:space="0" w:color="auto"/>
              <w:bottom w:val="single" w:sz="4" w:space="0" w:color="auto"/>
              <w:right w:val="single" w:sz="4" w:space="0" w:color="auto"/>
            </w:tcBorders>
          </w:tcPr>
          <w:p w14:paraId="6F5841B9" w14:textId="77777777" w:rsidR="00D45E44" w:rsidRPr="0028614E" w:rsidRDefault="00D45E44" w:rsidP="001D6E1B">
            <w:pPr>
              <w:jc w:val="both"/>
              <w:rPr>
                <w:bCs/>
              </w:rPr>
            </w:pPr>
          </w:p>
        </w:tc>
      </w:tr>
    </w:tbl>
    <w:p w14:paraId="157DE4BA" w14:textId="4B9A915A" w:rsidR="00D45E44" w:rsidRPr="0028614E" w:rsidRDefault="00D45E44" w:rsidP="00D45E44">
      <w:pPr>
        <w:pStyle w:val="naisf"/>
        <w:spacing w:before="0" w:after="0"/>
        <w:ind w:firstLine="0"/>
      </w:pPr>
    </w:p>
    <w:p w14:paraId="6A9C369C" w14:textId="77777777" w:rsidR="00D45E44" w:rsidRPr="0028614E" w:rsidRDefault="00D45E44" w:rsidP="00D45E44">
      <w:pPr>
        <w:pStyle w:val="naisf"/>
        <w:spacing w:before="0" w:after="0"/>
        <w:ind w:firstLine="0"/>
        <w:rPr>
          <w:b/>
        </w:rPr>
      </w:pPr>
      <w:r w:rsidRPr="0028614E">
        <w:rPr>
          <w:b/>
        </w:rPr>
        <w:t>Informācija par starpministriju (starpinstitūciju) sanāksmi vai elektronisko saskaņošanu</w:t>
      </w:r>
    </w:p>
    <w:p w14:paraId="05E7E2C8" w14:textId="77777777" w:rsidR="00D45E44" w:rsidRPr="0028614E" w:rsidRDefault="00D45E44" w:rsidP="00D45E44">
      <w:pPr>
        <w:pStyle w:val="naisf"/>
        <w:spacing w:before="0" w:after="0"/>
        <w:ind w:firstLine="0"/>
        <w:rPr>
          <w:b/>
        </w:rPr>
      </w:pPr>
    </w:p>
    <w:tbl>
      <w:tblPr>
        <w:tblW w:w="12582" w:type="dxa"/>
        <w:tblLook w:val="00A0" w:firstRow="1" w:lastRow="0" w:firstColumn="1" w:lastColumn="0" w:noHBand="0" w:noVBand="0"/>
      </w:tblPr>
      <w:tblGrid>
        <w:gridCol w:w="6345"/>
        <w:gridCol w:w="6237"/>
      </w:tblGrid>
      <w:tr w:rsidR="00D45E44" w:rsidRPr="0028614E" w14:paraId="60AC0833" w14:textId="77777777" w:rsidTr="001D6E1B">
        <w:tc>
          <w:tcPr>
            <w:tcW w:w="6345" w:type="dxa"/>
            <w:shd w:val="clear" w:color="auto" w:fill="auto"/>
          </w:tcPr>
          <w:p w14:paraId="2BF3B98C" w14:textId="77777777" w:rsidR="00D45E44" w:rsidRPr="0028614E" w:rsidRDefault="00D45E44" w:rsidP="001D6E1B">
            <w:pPr>
              <w:pStyle w:val="naisf"/>
              <w:spacing w:before="0" w:after="0"/>
              <w:ind w:firstLine="0"/>
            </w:pPr>
            <w:r w:rsidRPr="0028614E">
              <w:t xml:space="preserve">Datums: </w:t>
            </w:r>
          </w:p>
        </w:tc>
        <w:tc>
          <w:tcPr>
            <w:tcW w:w="6237" w:type="dxa"/>
            <w:tcBorders>
              <w:bottom w:val="single" w:sz="4" w:space="0" w:color="auto"/>
            </w:tcBorders>
            <w:shd w:val="clear" w:color="auto" w:fill="auto"/>
          </w:tcPr>
          <w:p w14:paraId="70AAB9EF" w14:textId="4ED66DAC" w:rsidR="00D45E44" w:rsidRPr="0028614E" w:rsidRDefault="00D45E44" w:rsidP="00551B1F">
            <w:pPr>
              <w:pStyle w:val="NormalWeb"/>
              <w:spacing w:before="0" w:beforeAutospacing="0" w:after="0" w:afterAutospacing="0"/>
            </w:pPr>
            <w:r w:rsidRPr="0028614E">
              <w:t>Elektroniskā saskaņošana 201</w:t>
            </w:r>
            <w:r w:rsidR="00551B1F" w:rsidRPr="0028614E">
              <w:t>9</w:t>
            </w:r>
            <w:r w:rsidRPr="0028614E">
              <w:t>. gada 1</w:t>
            </w:r>
            <w:r w:rsidR="00551B1F" w:rsidRPr="0028614E">
              <w:t>1</w:t>
            </w:r>
            <w:r w:rsidRPr="0028614E">
              <w:t xml:space="preserve">. </w:t>
            </w:r>
            <w:r w:rsidR="00551B1F" w:rsidRPr="0028614E">
              <w:t>aprīlī</w:t>
            </w:r>
          </w:p>
        </w:tc>
      </w:tr>
      <w:tr w:rsidR="00D45E44" w:rsidRPr="0028614E" w14:paraId="49A8E79E" w14:textId="77777777" w:rsidTr="001D6E1B">
        <w:tc>
          <w:tcPr>
            <w:tcW w:w="6345" w:type="dxa"/>
          </w:tcPr>
          <w:p w14:paraId="42C36877" w14:textId="77777777" w:rsidR="00D45E44" w:rsidRPr="0028614E" w:rsidRDefault="00D45E44" w:rsidP="001D6E1B">
            <w:pPr>
              <w:pStyle w:val="naisf"/>
              <w:spacing w:before="0" w:after="0"/>
              <w:ind w:firstLine="0"/>
            </w:pPr>
          </w:p>
        </w:tc>
        <w:tc>
          <w:tcPr>
            <w:tcW w:w="6237" w:type="dxa"/>
            <w:tcBorders>
              <w:top w:val="single" w:sz="4" w:space="0" w:color="auto"/>
            </w:tcBorders>
          </w:tcPr>
          <w:p w14:paraId="5D8B7233" w14:textId="77777777" w:rsidR="00D45E44" w:rsidRPr="0028614E" w:rsidRDefault="00D45E44" w:rsidP="001D6E1B">
            <w:pPr>
              <w:pStyle w:val="NormalWeb"/>
              <w:spacing w:before="0" w:beforeAutospacing="0" w:after="0" w:afterAutospacing="0"/>
            </w:pPr>
          </w:p>
        </w:tc>
      </w:tr>
      <w:tr w:rsidR="00D45E44" w:rsidRPr="0028614E" w14:paraId="28B71EDF" w14:textId="77777777" w:rsidTr="001D6E1B">
        <w:tc>
          <w:tcPr>
            <w:tcW w:w="6345" w:type="dxa"/>
          </w:tcPr>
          <w:p w14:paraId="6FCA711C" w14:textId="77777777" w:rsidR="00D45E44" w:rsidRPr="0028614E" w:rsidRDefault="00D45E44" w:rsidP="001D6E1B">
            <w:pPr>
              <w:pStyle w:val="naiskr"/>
              <w:spacing w:before="0" w:after="0"/>
              <w:jc w:val="both"/>
            </w:pPr>
            <w:r w:rsidRPr="0028614E">
              <w:t>Saskaņošanas dalībnieki un datums, kad saņemts atzinums</w:t>
            </w:r>
          </w:p>
        </w:tc>
        <w:tc>
          <w:tcPr>
            <w:tcW w:w="6237" w:type="dxa"/>
            <w:tcBorders>
              <w:bottom w:val="single" w:sz="4" w:space="0" w:color="auto"/>
            </w:tcBorders>
          </w:tcPr>
          <w:p w14:paraId="446241C6" w14:textId="5329F2E1" w:rsidR="00D45E44" w:rsidRPr="0028614E" w:rsidRDefault="00D45E44" w:rsidP="001D6E1B">
            <w:r w:rsidRPr="0028614E">
              <w:t>Ekonomikas ministrija (</w:t>
            </w:r>
            <w:r w:rsidR="00551B1F" w:rsidRPr="0028614E">
              <w:t>30.04</w:t>
            </w:r>
            <w:r w:rsidRPr="0028614E">
              <w:t>.2019</w:t>
            </w:r>
            <w:r w:rsidR="007360B6" w:rsidRPr="0028614E">
              <w:t>; 23.05.2019</w:t>
            </w:r>
            <w:r w:rsidRPr="0028614E">
              <w:t>)</w:t>
            </w:r>
          </w:p>
          <w:p w14:paraId="6F70E815" w14:textId="5F23C672" w:rsidR="00D45E44" w:rsidRPr="0028614E" w:rsidRDefault="00D45E44" w:rsidP="001D6E1B">
            <w:r w:rsidRPr="0028614E">
              <w:t>Finanšu ministrija (</w:t>
            </w:r>
            <w:r w:rsidR="00551B1F" w:rsidRPr="0028614E">
              <w:t>18</w:t>
            </w:r>
            <w:r w:rsidRPr="0028614E">
              <w:t>.0</w:t>
            </w:r>
            <w:r w:rsidR="00551B1F" w:rsidRPr="0028614E">
              <w:t>4</w:t>
            </w:r>
            <w:r w:rsidR="00A62A90" w:rsidRPr="0028614E">
              <w:t>.2019</w:t>
            </w:r>
            <w:r w:rsidR="007360B6" w:rsidRPr="0028614E">
              <w:t>; 27.05.2019)</w:t>
            </w:r>
          </w:p>
          <w:p w14:paraId="23885456" w14:textId="790AA7E6" w:rsidR="00551B1F" w:rsidRPr="0028614E" w:rsidRDefault="00551B1F" w:rsidP="001D6E1B">
            <w:r w:rsidRPr="0028614E">
              <w:t>Tieslietu ministrija (17.04.2019)</w:t>
            </w:r>
          </w:p>
          <w:p w14:paraId="71C83571" w14:textId="0C497F97" w:rsidR="00D45E44" w:rsidRPr="0028614E" w:rsidRDefault="00D45E44" w:rsidP="00A62A90">
            <w:r w:rsidRPr="0028614E">
              <w:t>Pārresoru koordinācijas centrs (</w:t>
            </w:r>
            <w:r w:rsidR="00551B1F" w:rsidRPr="0028614E">
              <w:t>17.04</w:t>
            </w:r>
            <w:r w:rsidR="007360B6" w:rsidRPr="0028614E">
              <w:t>.2019; 23.05.2019)</w:t>
            </w:r>
          </w:p>
        </w:tc>
      </w:tr>
    </w:tbl>
    <w:p w14:paraId="14281D5E" w14:textId="77777777" w:rsidR="00D45E44" w:rsidRPr="0028614E" w:rsidRDefault="00D45E44" w:rsidP="00D45E44"/>
    <w:tbl>
      <w:tblPr>
        <w:tblW w:w="13136" w:type="dxa"/>
        <w:tblLook w:val="00A0" w:firstRow="1" w:lastRow="0" w:firstColumn="1" w:lastColumn="0" w:noHBand="0" w:noVBand="0"/>
      </w:tblPr>
      <w:tblGrid>
        <w:gridCol w:w="6642"/>
        <w:gridCol w:w="6494"/>
      </w:tblGrid>
      <w:tr w:rsidR="00D45E44" w:rsidRPr="0028614E" w14:paraId="3AADB408" w14:textId="77777777" w:rsidTr="00551B1F">
        <w:trPr>
          <w:trHeight w:val="710"/>
        </w:trPr>
        <w:tc>
          <w:tcPr>
            <w:tcW w:w="6642" w:type="dxa"/>
          </w:tcPr>
          <w:p w14:paraId="61FB5625" w14:textId="77777777" w:rsidR="00D45E44" w:rsidRPr="0028614E" w:rsidRDefault="00D45E44" w:rsidP="001D6E1B">
            <w:pPr>
              <w:pStyle w:val="naiskr"/>
              <w:spacing w:before="0" w:after="0"/>
            </w:pPr>
            <w:r w:rsidRPr="0028614E">
              <w:t>Saskaņošanas dalībnieki izskatīja šādu ministriju (citu institūciju) iebildumus</w:t>
            </w:r>
          </w:p>
        </w:tc>
        <w:tc>
          <w:tcPr>
            <w:tcW w:w="6494" w:type="dxa"/>
            <w:tcBorders>
              <w:bottom w:val="single" w:sz="4" w:space="0" w:color="auto"/>
            </w:tcBorders>
          </w:tcPr>
          <w:p w14:paraId="1848C4AC" w14:textId="79DABF90" w:rsidR="00D45E44" w:rsidRPr="0028614E" w:rsidRDefault="00D45E44" w:rsidP="00551B1F">
            <w:r w:rsidRPr="0028614E">
              <w:t>Ekonomikas ministrija</w:t>
            </w:r>
          </w:p>
        </w:tc>
      </w:tr>
      <w:tr w:rsidR="00D45E44" w:rsidRPr="0028614E" w14:paraId="206131D5" w14:textId="77777777" w:rsidTr="00551B1F">
        <w:trPr>
          <w:trHeight w:val="1100"/>
        </w:trPr>
        <w:tc>
          <w:tcPr>
            <w:tcW w:w="6642" w:type="dxa"/>
          </w:tcPr>
          <w:p w14:paraId="57F4035A" w14:textId="77777777" w:rsidR="00551B1F" w:rsidRPr="0028614E" w:rsidRDefault="00551B1F" w:rsidP="001D6E1B">
            <w:pPr>
              <w:pStyle w:val="naiskr"/>
              <w:spacing w:before="0" w:after="0"/>
            </w:pPr>
          </w:p>
          <w:p w14:paraId="34E05D91" w14:textId="77777777" w:rsidR="00D45E44" w:rsidRPr="0028614E" w:rsidRDefault="00D45E44" w:rsidP="001D6E1B">
            <w:pPr>
              <w:pStyle w:val="naiskr"/>
              <w:spacing w:before="0" w:after="0"/>
            </w:pPr>
            <w:r w:rsidRPr="0028614E">
              <w:t>Ministrijas (citas institūcijas), kuras nav ieradušās uz sanāksmi vai kuras nav atbildējušas uz uzaicinājumu piedalīties elektroniskajā saskaņošanā</w:t>
            </w:r>
          </w:p>
        </w:tc>
        <w:tc>
          <w:tcPr>
            <w:tcW w:w="6494" w:type="dxa"/>
            <w:tcBorders>
              <w:top w:val="single" w:sz="4" w:space="0" w:color="auto"/>
              <w:bottom w:val="single" w:sz="4" w:space="0" w:color="auto"/>
            </w:tcBorders>
          </w:tcPr>
          <w:p w14:paraId="7B24E57A" w14:textId="77777777" w:rsidR="00D45E44" w:rsidRPr="0028614E" w:rsidRDefault="00D45E44" w:rsidP="001D6E1B">
            <w:pPr>
              <w:pStyle w:val="naiskr"/>
              <w:spacing w:before="0" w:after="0"/>
              <w:ind w:firstLine="17"/>
            </w:pPr>
          </w:p>
          <w:p w14:paraId="1E72422B" w14:textId="4A79CFEE" w:rsidR="00741670" w:rsidRPr="0028614E" w:rsidRDefault="00741670" w:rsidP="001D6E1B">
            <w:pPr>
              <w:pStyle w:val="naiskr"/>
              <w:spacing w:before="0" w:after="0"/>
              <w:ind w:firstLine="17"/>
            </w:pPr>
            <w:r w:rsidRPr="0028614E">
              <w:t>-</w:t>
            </w:r>
          </w:p>
        </w:tc>
      </w:tr>
    </w:tbl>
    <w:p w14:paraId="0B13426A" w14:textId="77777777" w:rsidR="00551B1F" w:rsidRPr="0028614E" w:rsidRDefault="00551B1F" w:rsidP="00D45E44">
      <w:pPr>
        <w:pStyle w:val="naisf"/>
        <w:spacing w:before="0" w:after="0"/>
        <w:ind w:firstLine="0"/>
        <w:jc w:val="center"/>
        <w:rPr>
          <w:b/>
        </w:rPr>
      </w:pPr>
    </w:p>
    <w:p w14:paraId="59F771C2" w14:textId="77777777" w:rsidR="00D45E44" w:rsidRPr="0028614E" w:rsidRDefault="00D45E44" w:rsidP="00D45E44">
      <w:pPr>
        <w:pStyle w:val="naisf"/>
        <w:spacing w:before="0" w:after="0"/>
        <w:ind w:firstLine="0"/>
        <w:jc w:val="center"/>
        <w:rPr>
          <w:b/>
        </w:rPr>
      </w:pPr>
      <w:r w:rsidRPr="0028614E">
        <w:rPr>
          <w:b/>
        </w:rPr>
        <w:t>II. Jautājumi, par kuriem saskaņošanā vienošanās ir panākta</w:t>
      </w:r>
    </w:p>
    <w:p w14:paraId="04D4084E" w14:textId="77777777" w:rsidR="00D45E44" w:rsidRPr="0028614E" w:rsidRDefault="00D45E44" w:rsidP="00D45E44">
      <w:pPr>
        <w:pStyle w:val="naisf"/>
        <w:spacing w:before="0" w:after="0"/>
        <w:ind w:firstLine="720"/>
      </w:pPr>
    </w:p>
    <w:p w14:paraId="554F503B" w14:textId="77777777" w:rsidR="00D45E44" w:rsidRPr="0028614E" w:rsidRDefault="00D45E44" w:rsidP="00D45E44">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59"/>
        <w:gridCol w:w="3402"/>
        <w:gridCol w:w="4111"/>
        <w:gridCol w:w="3119"/>
        <w:gridCol w:w="3118"/>
      </w:tblGrid>
      <w:tr w:rsidR="00D45E44" w:rsidRPr="0028614E" w14:paraId="6F087869" w14:textId="77777777" w:rsidTr="00990F63">
        <w:tc>
          <w:tcPr>
            <w:tcW w:w="559" w:type="dxa"/>
            <w:tcBorders>
              <w:top w:val="single" w:sz="6" w:space="0" w:color="000000"/>
              <w:left w:val="single" w:sz="6" w:space="0" w:color="000000"/>
              <w:bottom w:val="single" w:sz="6" w:space="0" w:color="000000"/>
              <w:right w:val="single" w:sz="6" w:space="0" w:color="000000"/>
            </w:tcBorders>
          </w:tcPr>
          <w:p w14:paraId="5EC5D49A" w14:textId="77777777" w:rsidR="00D45E44" w:rsidRPr="0028614E" w:rsidRDefault="00D45E44" w:rsidP="00672E77">
            <w:pPr>
              <w:pStyle w:val="naisc"/>
              <w:spacing w:before="0" w:after="0"/>
              <w:jc w:val="left"/>
            </w:pPr>
            <w:r w:rsidRPr="0028614E">
              <w:t>Nr. p. k.</w:t>
            </w:r>
          </w:p>
        </w:tc>
        <w:tc>
          <w:tcPr>
            <w:tcW w:w="3402" w:type="dxa"/>
            <w:tcBorders>
              <w:top w:val="single" w:sz="6" w:space="0" w:color="000000"/>
              <w:left w:val="single" w:sz="6" w:space="0" w:color="000000"/>
              <w:bottom w:val="single" w:sz="6" w:space="0" w:color="000000"/>
              <w:right w:val="single" w:sz="6" w:space="0" w:color="000000"/>
            </w:tcBorders>
            <w:vAlign w:val="center"/>
          </w:tcPr>
          <w:p w14:paraId="667A0ABC" w14:textId="77777777" w:rsidR="00D45E44" w:rsidRPr="0028614E" w:rsidRDefault="00D45E44" w:rsidP="001D6E1B">
            <w:pPr>
              <w:pStyle w:val="naisc"/>
              <w:spacing w:before="0" w:after="0"/>
              <w:ind w:firstLine="12"/>
            </w:pPr>
            <w:r w:rsidRPr="0028614E">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72FAB2A0" w14:textId="5D91E1D5" w:rsidR="00D45E44" w:rsidRPr="0028614E" w:rsidRDefault="00D45E44" w:rsidP="001D6E1B">
            <w:pPr>
              <w:pStyle w:val="naisc"/>
              <w:spacing w:before="0" w:after="0"/>
              <w:ind w:right="3"/>
            </w:pPr>
            <w:r w:rsidRPr="0028614E">
              <w:t xml:space="preserve">Atzinumā norādītais ministrijas (citas institūcijas) iebildums, kā arī saskaņošanā papildus izteiktais iebildums </w:t>
            </w:r>
            <w:r w:rsidR="00A33116" w:rsidRPr="0028614E">
              <w:t>par projekta konkrēto punktu (</w:t>
            </w:r>
            <w:r w:rsidRPr="0028614E">
              <w:t>pantu)</w:t>
            </w:r>
          </w:p>
        </w:tc>
        <w:tc>
          <w:tcPr>
            <w:tcW w:w="3119" w:type="dxa"/>
            <w:tcBorders>
              <w:top w:val="single" w:sz="6" w:space="0" w:color="000000"/>
              <w:left w:val="single" w:sz="6" w:space="0" w:color="000000"/>
              <w:bottom w:val="single" w:sz="6" w:space="0" w:color="000000"/>
              <w:right w:val="single" w:sz="6" w:space="0" w:color="000000"/>
            </w:tcBorders>
            <w:vAlign w:val="center"/>
          </w:tcPr>
          <w:p w14:paraId="16A38649" w14:textId="77777777" w:rsidR="00D45E44" w:rsidRPr="0028614E" w:rsidRDefault="00D45E44" w:rsidP="00737CA4">
            <w:pPr>
              <w:pStyle w:val="naisc"/>
              <w:spacing w:before="0" w:after="0"/>
              <w:jc w:val="both"/>
            </w:pPr>
            <w:r w:rsidRPr="0028614E">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14:paraId="1A635033" w14:textId="77777777" w:rsidR="00D45E44" w:rsidRPr="0028614E" w:rsidRDefault="00D45E44" w:rsidP="001D6E1B">
            <w:pPr>
              <w:jc w:val="center"/>
            </w:pPr>
            <w:r w:rsidRPr="0028614E">
              <w:t>Projekta attiecīgā punkta (panta) galīgā redakcija</w:t>
            </w:r>
          </w:p>
        </w:tc>
      </w:tr>
      <w:tr w:rsidR="00D45E44" w:rsidRPr="0028614E" w14:paraId="7E0C3989" w14:textId="77777777" w:rsidTr="00990F63">
        <w:tc>
          <w:tcPr>
            <w:tcW w:w="559" w:type="dxa"/>
            <w:tcBorders>
              <w:top w:val="single" w:sz="6" w:space="0" w:color="000000"/>
              <w:left w:val="single" w:sz="6" w:space="0" w:color="000000"/>
              <w:bottom w:val="single" w:sz="6" w:space="0" w:color="000000"/>
              <w:right w:val="single" w:sz="6" w:space="0" w:color="000000"/>
            </w:tcBorders>
          </w:tcPr>
          <w:p w14:paraId="330043B7" w14:textId="77777777" w:rsidR="00D45E44" w:rsidRPr="0028614E" w:rsidRDefault="00D45E44" w:rsidP="00672E77">
            <w:pPr>
              <w:pStyle w:val="naisc"/>
              <w:spacing w:before="0" w:after="0"/>
              <w:jc w:val="left"/>
            </w:pPr>
            <w:r w:rsidRPr="0028614E">
              <w:t>1</w:t>
            </w:r>
          </w:p>
        </w:tc>
        <w:tc>
          <w:tcPr>
            <w:tcW w:w="3402" w:type="dxa"/>
            <w:tcBorders>
              <w:top w:val="single" w:sz="6" w:space="0" w:color="000000"/>
              <w:left w:val="single" w:sz="6" w:space="0" w:color="000000"/>
              <w:bottom w:val="single" w:sz="6" w:space="0" w:color="000000"/>
              <w:right w:val="single" w:sz="6" w:space="0" w:color="000000"/>
            </w:tcBorders>
          </w:tcPr>
          <w:p w14:paraId="2C3288CA" w14:textId="77777777" w:rsidR="00D45E44" w:rsidRPr="0028614E" w:rsidRDefault="00D45E44" w:rsidP="001D6E1B">
            <w:pPr>
              <w:pStyle w:val="naisc"/>
              <w:spacing w:before="0" w:after="0"/>
              <w:ind w:firstLine="12"/>
            </w:pPr>
            <w:r w:rsidRPr="0028614E">
              <w:t>2</w:t>
            </w:r>
          </w:p>
        </w:tc>
        <w:tc>
          <w:tcPr>
            <w:tcW w:w="4111" w:type="dxa"/>
            <w:tcBorders>
              <w:top w:val="single" w:sz="6" w:space="0" w:color="000000"/>
              <w:left w:val="single" w:sz="6" w:space="0" w:color="000000"/>
              <w:bottom w:val="single" w:sz="6" w:space="0" w:color="000000"/>
              <w:right w:val="single" w:sz="6" w:space="0" w:color="000000"/>
            </w:tcBorders>
          </w:tcPr>
          <w:p w14:paraId="29B687E6" w14:textId="77777777" w:rsidR="00D45E44" w:rsidRPr="0028614E" w:rsidRDefault="00D45E44" w:rsidP="001D6E1B">
            <w:pPr>
              <w:pStyle w:val="naisc"/>
              <w:spacing w:before="0" w:after="0"/>
            </w:pPr>
            <w:r w:rsidRPr="0028614E">
              <w:t>3</w:t>
            </w:r>
          </w:p>
        </w:tc>
        <w:tc>
          <w:tcPr>
            <w:tcW w:w="3119" w:type="dxa"/>
            <w:tcBorders>
              <w:top w:val="single" w:sz="6" w:space="0" w:color="000000"/>
              <w:left w:val="single" w:sz="6" w:space="0" w:color="000000"/>
              <w:bottom w:val="single" w:sz="6" w:space="0" w:color="000000"/>
              <w:right w:val="single" w:sz="6" w:space="0" w:color="000000"/>
            </w:tcBorders>
          </w:tcPr>
          <w:p w14:paraId="5A884637" w14:textId="77777777" w:rsidR="00D45E44" w:rsidRPr="0028614E" w:rsidRDefault="00D45E44" w:rsidP="00551B1F">
            <w:pPr>
              <w:pStyle w:val="naisc"/>
              <w:spacing w:before="0" w:after="0"/>
            </w:pPr>
            <w:r w:rsidRPr="0028614E">
              <w:t>4</w:t>
            </w:r>
          </w:p>
        </w:tc>
        <w:tc>
          <w:tcPr>
            <w:tcW w:w="3118" w:type="dxa"/>
            <w:tcBorders>
              <w:top w:val="single" w:sz="4" w:space="0" w:color="auto"/>
              <w:left w:val="single" w:sz="4" w:space="0" w:color="auto"/>
              <w:bottom w:val="single" w:sz="4" w:space="0" w:color="auto"/>
            </w:tcBorders>
          </w:tcPr>
          <w:p w14:paraId="38FA86A5" w14:textId="77777777" w:rsidR="00D45E44" w:rsidRPr="0028614E" w:rsidRDefault="00D45E44" w:rsidP="001D6E1B">
            <w:pPr>
              <w:jc w:val="center"/>
            </w:pPr>
            <w:r w:rsidRPr="0028614E">
              <w:t>5</w:t>
            </w:r>
          </w:p>
        </w:tc>
      </w:tr>
      <w:tr w:rsidR="007360B6" w:rsidRPr="0028614E" w14:paraId="46ACB3F6" w14:textId="77777777" w:rsidTr="00990F63">
        <w:tc>
          <w:tcPr>
            <w:tcW w:w="559" w:type="dxa"/>
            <w:tcBorders>
              <w:top w:val="single" w:sz="6" w:space="0" w:color="000000"/>
              <w:left w:val="single" w:sz="6" w:space="0" w:color="000000"/>
              <w:bottom w:val="single" w:sz="6" w:space="0" w:color="000000"/>
              <w:right w:val="single" w:sz="6" w:space="0" w:color="000000"/>
            </w:tcBorders>
          </w:tcPr>
          <w:p w14:paraId="565285D2" w14:textId="6D8192F3" w:rsidR="007360B6" w:rsidRPr="0028614E" w:rsidRDefault="00990F63" w:rsidP="00990F63">
            <w:pPr>
              <w:pStyle w:val="naisc"/>
              <w:spacing w:before="0" w:after="0"/>
              <w:jc w:val="left"/>
            </w:pPr>
            <w:r w:rsidRPr="0028614E">
              <w:t>1.</w:t>
            </w:r>
          </w:p>
        </w:tc>
        <w:tc>
          <w:tcPr>
            <w:tcW w:w="3402" w:type="dxa"/>
            <w:tcBorders>
              <w:top w:val="single" w:sz="6" w:space="0" w:color="000000"/>
              <w:left w:val="single" w:sz="6" w:space="0" w:color="000000"/>
              <w:bottom w:val="single" w:sz="6" w:space="0" w:color="000000"/>
              <w:right w:val="single" w:sz="6" w:space="0" w:color="000000"/>
            </w:tcBorders>
          </w:tcPr>
          <w:p w14:paraId="36E4A6E0" w14:textId="615FBE5A" w:rsidR="007E338E" w:rsidRPr="0028614E" w:rsidRDefault="007360B6" w:rsidP="007360B6">
            <w:pPr>
              <w:jc w:val="both"/>
              <w:rPr>
                <w:b/>
              </w:rPr>
            </w:pPr>
            <w:r w:rsidRPr="0028614E">
              <w:rPr>
                <w:b/>
              </w:rPr>
              <w:t>Konceptuālais ziņojums</w:t>
            </w:r>
          </w:p>
          <w:p w14:paraId="1524A876" w14:textId="77777777" w:rsidR="007E338E" w:rsidRPr="0028614E" w:rsidRDefault="007E338E" w:rsidP="007E338E"/>
          <w:p w14:paraId="79E9DEDA" w14:textId="77777777" w:rsidR="007E338E" w:rsidRPr="0028614E" w:rsidRDefault="007E338E" w:rsidP="007E338E"/>
          <w:p w14:paraId="45AEA6F9" w14:textId="77777777" w:rsidR="007E338E" w:rsidRPr="0028614E" w:rsidRDefault="007E338E" w:rsidP="007E338E"/>
          <w:p w14:paraId="6CEE87CA" w14:textId="77777777" w:rsidR="007E338E" w:rsidRPr="0028614E" w:rsidRDefault="007E338E" w:rsidP="007E338E"/>
          <w:p w14:paraId="401ABB85" w14:textId="77777777" w:rsidR="007E338E" w:rsidRPr="0028614E" w:rsidRDefault="007E338E" w:rsidP="007E338E"/>
          <w:p w14:paraId="668F8F8B" w14:textId="77777777" w:rsidR="007E338E" w:rsidRPr="0028614E" w:rsidRDefault="007E338E" w:rsidP="007E338E"/>
          <w:p w14:paraId="2B740668" w14:textId="77777777" w:rsidR="007E338E" w:rsidRPr="0028614E" w:rsidRDefault="007E338E" w:rsidP="007E338E"/>
          <w:p w14:paraId="6A2F7453" w14:textId="77777777" w:rsidR="007E338E" w:rsidRPr="0028614E" w:rsidRDefault="007E338E" w:rsidP="007E338E"/>
          <w:p w14:paraId="2AC7BC4C" w14:textId="77777777" w:rsidR="007E338E" w:rsidRPr="0028614E" w:rsidRDefault="007E338E" w:rsidP="007E338E"/>
          <w:p w14:paraId="59E4119E" w14:textId="77777777" w:rsidR="007E338E" w:rsidRPr="0028614E" w:rsidRDefault="007E338E" w:rsidP="007E338E"/>
          <w:p w14:paraId="064E41FC" w14:textId="77777777" w:rsidR="007E338E" w:rsidRPr="0028614E" w:rsidRDefault="007E338E" w:rsidP="007E338E"/>
          <w:p w14:paraId="3113AC05" w14:textId="77777777" w:rsidR="007E338E" w:rsidRPr="0028614E" w:rsidRDefault="007E338E" w:rsidP="007E338E"/>
          <w:p w14:paraId="52DF3D60" w14:textId="77777777" w:rsidR="007E338E" w:rsidRPr="0028614E" w:rsidRDefault="007E338E" w:rsidP="007E338E"/>
          <w:p w14:paraId="31167E1A" w14:textId="594260C4" w:rsidR="007E338E" w:rsidRPr="0028614E" w:rsidRDefault="007E338E" w:rsidP="007E338E"/>
          <w:p w14:paraId="628737B0" w14:textId="77777777" w:rsidR="007360B6" w:rsidRPr="0028614E" w:rsidRDefault="007360B6" w:rsidP="007E338E">
            <w:pPr>
              <w:jc w:val="center"/>
            </w:pPr>
          </w:p>
        </w:tc>
        <w:tc>
          <w:tcPr>
            <w:tcW w:w="4111" w:type="dxa"/>
            <w:tcBorders>
              <w:top w:val="single" w:sz="6" w:space="0" w:color="000000"/>
              <w:left w:val="single" w:sz="6" w:space="0" w:color="000000"/>
              <w:bottom w:val="single" w:sz="6" w:space="0" w:color="000000"/>
              <w:right w:val="single" w:sz="6" w:space="0" w:color="000000"/>
            </w:tcBorders>
          </w:tcPr>
          <w:p w14:paraId="6CDD2010" w14:textId="77777777" w:rsidR="007360B6" w:rsidRPr="0028614E" w:rsidRDefault="007360B6" w:rsidP="007360B6">
            <w:pPr>
              <w:widowControl w:val="0"/>
              <w:jc w:val="both"/>
              <w:rPr>
                <w:b/>
                <w:bCs/>
              </w:rPr>
            </w:pPr>
            <w:r w:rsidRPr="0028614E">
              <w:rPr>
                <w:b/>
                <w:bCs/>
              </w:rPr>
              <w:t>Ekonomikas ministrijas 29.04.2019 atzinums</w:t>
            </w:r>
          </w:p>
          <w:p w14:paraId="7A23E50B" w14:textId="77777777" w:rsidR="007360B6" w:rsidRPr="0028614E" w:rsidRDefault="007360B6" w:rsidP="007360B6">
            <w:pPr>
              <w:widowControl w:val="0"/>
              <w:jc w:val="both"/>
              <w:rPr>
                <w:bCs/>
              </w:rPr>
            </w:pPr>
            <w:r w:rsidRPr="0028614E">
              <w:rPr>
                <w:bCs/>
              </w:rPr>
              <w:t>Lūgums Ziņojuma projektu papildināt ar ES ETS Latvijas operatoru viedokli.</w:t>
            </w:r>
          </w:p>
          <w:p w14:paraId="4E16D21A" w14:textId="77777777" w:rsidR="007360B6" w:rsidRPr="0028614E" w:rsidRDefault="007360B6" w:rsidP="007360B6">
            <w:pPr>
              <w:pStyle w:val="ListParagraph"/>
              <w:widowControl w:val="0"/>
              <w:spacing w:after="0" w:line="240" w:lineRule="auto"/>
              <w:ind w:left="0"/>
              <w:jc w:val="both"/>
              <w:rPr>
                <w:rFonts w:ascii="Times New Roman" w:hAnsi="Times New Roman"/>
                <w:bCs/>
                <w:sz w:val="24"/>
                <w:szCs w:val="24"/>
                <w:lang w:val="lv-LV"/>
              </w:rPr>
            </w:pPr>
            <w:r w:rsidRPr="0028614E">
              <w:rPr>
                <w:rFonts w:ascii="Times New Roman" w:hAnsi="Times New Roman"/>
                <w:bCs/>
                <w:sz w:val="24"/>
                <w:szCs w:val="24"/>
                <w:lang w:val="lv-LV"/>
              </w:rPr>
              <w:t>Ziņojuma projektā ir nepieciešams iekļaut informāciju par to, vai ES ETS Latvijas operatori, kas ir elektroenerģijas ražotāji, ir izteikuši vēlmi saņemt bezmaksas emisijas kvotas savu iekārtu modernizēšanai.</w:t>
            </w:r>
          </w:p>
          <w:p w14:paraId="5C871A11" w14:textId="77777777" w:rsidR="007360B6" w:rsidRPr="0028614E" w:rsidRDefault="007360B6" w:rsidP="007360B6">
            <w:pPr>
              <w:pStyle w:val="ListParagraph"/>
              <w:widowControl w:val="0"/>
              <w:spacing w:after="0" w:line="240" w:lineRule="auto"/>
              <w:ind w:left="0"/>
              <w:jc w:val="both"/>
              <w:rPr>
                <w:rFonts w:ascii="Times New Roman" w:hAnsi="Times New Roman"/>
                <w:bCs/>
                <w:sz w:val="24"/>
                <w:szCs w:val="24"/>
                <w:lang w:val="lv-LV"/>
              </w:rPr>
            </w:pPr>
          </w:p>
          <w:p w14:paraId="45FFEA39" w14:textId="77777777"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b/>
                <w:sz w:val="24"/>
                <w:szCs w:val="24"/>
                <w:lang w:val="lv-LV"/>
              </w:rPr>
              <w:t>Ekonomikas ministrijas 23.05.2019 atzinums</w:t>
            </w:r>
          </w:p>
          <w:p w14:paraId="72702AF5" w14:textId="77777777" w:rsidR="007360B6" w:rsidRPr="0028614E" w:rsidRDefault="007360B6" w:rsidP="007360B6">
            <w:pPr>
              <w:widowControl w:val="0"/>
              <w:jc w:val="both"/>
              <w:rPr>
                <w:bCs/>
              </w:rPr>
            </w:pPr>
            <w:r w:rsidRPr="0028614E">
              <w:rPr>
                <w:bCs/>
              </w:rPr>
              <w:t xml:space="preserve">Tāpat atkārtoti norādām, ka tās emisijas kvotas, kas Direktīvā Nr. 2003/87/EK ir noteiktas, kā izmantojamas bezmaksas emisijas kvotu piešķrišanai elektroenerģijas ražotājiem energosistēmu modernizēšanai, ir arī </w:t>
            </w:r>
            <w:r w:rsidRPr="0028614E">
              <w:rPr>
                <w:bCs/>
              </w:rPr>
              <w:lastRenderedPageBreak/>
              <w:t>jāizmanto enerģētikas sistēmas modernizēšanai, t.i. šīs emisijas kvotas vai ieņēmumi no šo emisijas kvotu izsolīšanas ir jānovirza tieši enerģētikas sektorā veicamo pasākumu īstenošanai – energoefektivitātes uzlabošanai, atjaunojamo energoresursu izmantošanas veicināšanai, enerģijas uzglabāšanas risinājumiem, viedo tīklu attīstībai uc. Un, ņemot vērā, ka 2018.gadā tika būtiski palielinātas enerģētikas sektora mērķu ambīcijas salīdzinot ar 2014.gada 24.oktobra Eiropadomes secinājumos “Klimata un enerģētikas politikas satvars laikaposmam līdz 2030.gadam” noteiktajām ambīcijām, enerģētikas sektora mērķu sasniegšanai būs nepieciešami vēl būtiskāki papildus finanšu ieguldījumi.</w:t>
            </w:r>
          </w:p>
          <w:p w14:paraId="542CE3A0" w14:textId="77777777" w:rsidR="007360B6" w:rsidRPr="0028614E" w:rsidRDefault="007360B6" w:rsidP="007360B6">
            <w:pPr>
              <w:widowControl w:val="0"/>
              <w:jc w:val="both"/>
              <w:rPr>
                <w:bCs/>
              </w:rPr>
            </w:pPr>
          </w:p>
          <w:p w14:paraId="59255D3F" w14:textId="77777777" w:rsidR="007360B6" w:rsidRPr="0028614E" w:rsidRDefault="007360B6" w:rsidP="007360B6">
            <w:pPr>
              <w:pStyle w:val="ListParagraph"/>
              <w:widowControl w:val="0"/>
              <w:spacing w:after="0" w:line="240" w:lineRule="auto"/>
              <w:ind w:left="0"/>
              <w:jc w:val="both"/>
              <w:rPr>
                <w:rFonts w:ascii="Times New Roman" w:hAnsi="Times New Roman"/>
                <w:b/>
                <w:bCs/>
                <w:sz w:val="24"/>
                <w:szCs w:val="24"/>
                <w:lang w:val="lv-LV"/>
              </w:rPr>
            </w:pPr>
            <w:r w:rsidRPr="0028614E">
              <w:rPr>
                <w:rFonts w:ascii="Times New Roman" w:hAnsi="Times New Roman"/>
                <w:b/>
                <w:bCs/>
                <w:sz w:val="24"/>
                <w:szCs w:val="24"/>
                <w:lang w:val="lv-LV"/>
              </w:rPr>
              <w:t>Ekonomikas ministrijas 23.05.2019 atzinums</w:t>
            </w:r>
          </w:p>
          <w:p w14:paraId="097717DA" w14:textId="77777777" w:rsidR="007360B6" w:rsidRPr="0028614E" w:rsidRDefault="007360B6" w:rsidP="007360B6">
            <w:pPr>
              <w:widowControl w:val="0"/>
              <w:jc w:val="both"/>
            </w:pPr>
            <w:r w:rsidRPr="0028614E">
              <w:t>1)Turpinām uzturēt iebildumus, ka Ziņojuma projektā ir jāiekļauj pilnīga un visaptveroša informācija</w:t>
            </w:r>
          </w:p>
          <w:p w14:paraId="38DAB121" w14:textId="77777777" w:rsidR="007360B6" w:rsidRPr="0028614E" w:rsidRDefault="007360B6" w:rsidP="007360B6">
            <w:pPr>
              <w:widowControl w:val="0"/>
              <w:jc w:val="both"/>
            </w:pPr>
            <w:r w:rsidRPr="0028614E">
              <w:t xml:space="preserve">Ziņojuma projekts ir izstrādāts, balsoties uz likuma “Par piesārņojumu” Pārejas noteikumu 50.punktu, kurā ir noteikts – “Ministru kabinets līdz 2018. gada 31. decembrim pieņem lēmumu atbalstīt bezmaksas emisijas kvotu piešķiršanu elektroenerģijas ražošanai vai lēmumu </w:t>
            </w:r>
            <w:r w:rsidRPr="0028614E">
              <w:lastRenderedPageBreak/>
              <w:t>šādu piešķiršanu neatbalstīt.”. Norādām, ka Ministru kabinetam šāds lēmums ir jābalsta uz visu pieejamo informāciju, lai pieņemtais lēmums būtu pēc iespējas atbilstošāks esošajai situācijai. Tāpēc uzskatām, ka Ziņojuma projektā ir jāiekļauj visa informācija par iespējamām rīcībām ar tām emisijas kvotām, kuras ir iespējams bez maksas piešķirt elektroenerģijas ražotājiem, bet kuru piešķiršana netiktu atbalstīta.</w:t>
            </w:r>
          </w:p>
          <w:p w14:paraId="38CA1BE6" w14:textId="77777777" w:rsidR="007360B6" w:rsidRPr="0028614E" w:rsidRDefault="007360B6" w:rsidP="007360B6">
            <w:pPr>
              <w:widowControl w:val="0"/>
              <w:jc w:val="both"/>
            </w:pPr>
            <w:r w:rsidRPr="0028614E">
              <w:t>Norādām, ka šobrīd Ziņojuma projektā ir iekļauta vienpusēja informācija neatbalstīt emisijas kvotu bezmaksas piešķiršanu elektroenerģijas ražotājiem un iekļaut tās emisijas kvotu kopapjomā un izsolīt. Savukārt opcija šīs emisijas kvotas nepiešķirt elektroenerģijas ražotājiem un novirzīt Modernizācijas fondā (Eiropas Parlamenta un Padomes 2003.gada 12.oktobra direktīvas Nr. 2003/87/EK, ar kuru nosaka sistēmu siltumnīcas efektu izraisošo gāzu emisijas kvotu tirdzniecībai Savienībā un groza Padomes Direktīvu 96/61/EK  (turpmāk – Direktīva 2003/87/EK) 10.d panta 4.punkts) nav atspoguļota Ziņojuma projektā vispār.</w:t>
            </w:r>
          </w:p>
          <w:p w14:paraId="3C9D2963" w14:textId="77777777" w:rsidR="007360B6" w:rsidRPr="0028614E" w:rsidRDefault="007360B6" w:rsidP="007360B6">
            <w:pPr>
              <w:widowControl w:val="0"/>
              <w:jc w:val="both"/>
            </w:pPr>
            <w:r w:rsidRPr="0028614E">
              <w:t xml:space="preserve">Lai nodrošinātu to, ka Ministru kabinets pieņem likuma “Par piesārņojumu” Pārejas noteikumu 50.pantā minēto lēmumu, balstoties uz pilnīgu un visaptverošu informāciju, Ziņojuma </w:t>
            </w:r>
            <w:r w:rsidRPr="0028614E">
              <w:lastRenderedPageBreak/>
              <w:t>projektā būtu jāiekļauj scenārijs vai rīcības virziens, kas paredzētu elektroenerģijas ražotājiem bez maksas piešķiramo emisijas kvotu novirzīšanu Modernizācijas fondā.</w:t>
            </w:r>
          </w:p>
          <w:p w14:paraId="7CE2B431" w14:textId="744984D7" w:rsidR="007360B6" w:rsidRPr="0028614E" w:rsidRDefault="007360B6" w:rsidP="007360B6">
            <w:pPr>
              <w:widowControl w:val="0"/>
              <w:jc w:val="both"/>
              <w:rPr>
                <w:b/>
              </w:rPr>
            </w:pPr>
            <w:r w:rsidRPr="0028614E">
              <w:t>Būtiski norādīt, ka šīs informācijas iekļaušana Ziņojuma projektā atbilst Ziņojuma projekta izstrādes deleģējumam – likuma “Par piesārņojumu” Pārejas noteikumu 50.punkts.</w:t>
            </w:r>
          </w:p>
        </w:tc>
        <w:tc>
          <w:tcPr>
            <w:tcW w:w="3119" w:type="dxa"/>
            <w:tcBorders>
              <w:top w:val="single" w:sz="6" w:space="0" w:color="000000"/>
              <w:left w:val="single" w:sz="6" w:space="0" w:color="000000"/>
              <w:bottom w:val="single" w:sz="6" w:space="0" w:color="000000"/>
              <w:right w:val="single" w:sz="6" w:space="0" w:color="000000"/>
            </w:tcBorders>
          </w:tcPr>
          <w:p w14:paraId="1A029F73" w14:textId="0E5FC039" w:rsidR="007360B6" w:rsidRPr="0028614E" w:rsidRDefault="007360B6" w:rsidP="007360B6">
            <w:pPr>
              <w:jc w:val="both"/>
              <w:rPr>
                <w:b/>
              </w:rPr>
            </w:pPr>
            <w:r w:rsidRPr="0028614E">
              <w:rPr>
                <w:b/>
              </w:rPr>
              <w:lastRenderedPageBreak/>
              <w:t>Daļēji ņemts vērā</w:t>
            </w:r>
          </w:p>
          <w:p w14:paraId="71ABB4F3" w14:textId="77777777" w:rsidR="007360B6" w:rsidRPr="009F1361" w:rsidRDefault="007360B6" w:rsidP="007360B6">
            <w:pPr>
              <w:jc w:val="both"/>
            </w:pPr>
            <w:r w:rsidRPr="009F1361">
              <w:t xml:space="preserve">Bezmaksas emisijas kvotu piešķiršana ir valstiska izšķiršanās par valstij piederošu aktīvu izmantošanu. </w:t>
            </w:r>
          </w:p>
          <w:p w14:paraId="6349B4A1" w14:textId="77777777" w:rsidR="007360B6" w:rsidRPr="0028614E" w:rsidRDefault="007360B6" w:rsidP="007360B6">
            <w:pPr>
              <w:jc w:val="both"/>
            </w:pPr>
            <w:r w:rsidRPr="009F1361">
              <w:t xml:space="preserve">Papildus, uzskatām, ka ES ETS operatoru viedokli šajā jautājumā negatīvi varētu ietekmēt </w:t>
            </w:r>
            <w:r w:rsidRPr="00485C69">
              <w:t>ieilgušās sarunas par atbalsta piešķiršanas elektroenerģijas ražotājiem pārskatīšanu kontekstā ar obligātā iepirkuma komponentes (OIK) atcelšanu. Turklāt dotajā situācijā, lai pagūtu pieņemt MK lēmumu, ES ETS Latvijas operatoru viedokli nebūtu iespējams pagūt apkopot.</w:t>
            </w:r>
            <w:r w:rsidRPr="0028614E">
              <w:t xml:space="preserve"> </w:t>
            </w:r>
          </w:p>
          <w:p w14:paraId="0A5DF4E5" w14:textId="77777777" w:rsidR="007360B6" w:rsidRPr="0028614E" w:rsidRDefault="007360B6" w:rsidP="007360B6">
            <w:pPr>
              <w:jc w:val="both"/>
            </w:pPr>
          </w:p>
          <w:p w14:paraId="5188B2C8" w14:textId="6BCC0CCE" w:rsidR="007360B6" w:rsidRPr="0028614E" w:rsidRDefault="007360B6" w:rsidP="007360B6">
            <w:pPr>
              <w:jc w:val="both"/>
            </w:pPr>
            <w:r w:rsidRPr="0028614E">
              <w:t>Protokollēmuma projekts papildināts ar jaunu punktu, kurā</w:t>
            </w:r>
            <w:r w:rsidR="00B12240" w:rsidRPr="0028614E">
              <w:t xml:space="preserve"> paredzēts pieņemt</w:t>
            </w:r>
            <w:r w:rsidRPr="0028614E">
              <w:t xml:space="preserve"> </w:t>
            </w:r>
            <w:r w:rsidR="00B12240" w:rsidRPr="0028614E">
              <w:t>informatīvo ziņojumu par</w:t>
            </w:r>
            <w:r w:rsidRPr="0028614E">
              <w:t xml:space="preserve"> Modernizācijas fonda </w:t>
            </w:r>
            <w:r w:rsidR="00B12240" w:rsidRPr="0028614E">
              <w:t xml:space="preserve">pārvaldību Latvijā un tajā pieejamo finansējumu. </w:t>
            </w:r>
          </w:p>
          <w:p w14:paraId="2027AD52" w14:textId="77777777" w:rsidR="007360B6" w:rsidRPr="0028614E" w:rsidRDefault="007360B6" w:rsidP="007360B6">
            <w:pPr>
              <w:jc w:val="both"/>
              <w:rPr>
                <w:b/>
                <w:lang w:eastAsia="x-none"/>
              </w:rPr>
            </w:pPr>
          </w:p>
        </w:tc>
        <w:tc>
          <w:tcPr>
            <w:tcW w:w="3118" w:type="dxa"/>
            <w:tcBorders>
              <w:top w:val="single" w:sz="4" w:space="0" w:color="auto"/>
              <w:left w:val="single" w:sz="4" w:space="0" w:color="auto"/>
              <w:bottom w:val="single" w:sz="4" w:space="0" w:color="auto"/>
            </w:tcBorders>
          </w:tcPr>
          <w:p w14:paraId="49E3F2DB" w14:textId="77777777" w:rsidR="007360B6" w:rsidRPr="0028614E" w:rsidRDefault="007861D9" w:rsidP="007360B6">
            <w:pPr>
              <w:jc w:val="both"/>
              <w:rPr>
                <w:rFonts w:eastAsia="Calibri"/>
              </w:rPr>
            </w:pPr>
            <w:r w:rsidRPr="0028614E">
              <w:rPr>
                <w:rFonts w:eastAsia="Calibri"/>
              </w:rPr>
              <w:lastRenderedPageBreak/>
              <w:t>Protokollēmuma 3.punkts</w:t>
            </w:r>
          </w:p>
          <w:p w14:paraId="2D30DD76" w14:textId="361C2DA2" w:rsidR="007861D9" w:rsidRPr="0028614E" w:rsidRDefault="007861D9" w:rsidP="009C53C2">
            <w:pPr>
              <w:jc w:val="both"/>
              <w:rPr>
                <w:rFonts w:eastAsia="Calibri"/>
              </w:rPr>
            </w:pPr>
            <w:r w:rsidRPr="0028614E">
              <w:rPr>
                <w:rFonts w:eastAsia="Calibri"/>
              </w:rPr>
              <w:t>“</w:t>
            </w:r>
            <w:r w:rsidR="00B12240" w:rsidRPr="0028614E">
              <w:rPr>
                <w:rFonts w:eastAsia="Calibri"/>
              </w:rPr>
              <w:t>3. Vides aizsardzības un reģionālās attīstības ministrijai sadarbībā ar Ekonomikas ministriju, Satiksmes ministriju un Zemkopības ministriju izstrādāt un līdz 2019. gada 15.</w:t>
            </w:r>
            <w:r w:rsidR="009C53C2">
              <w:rPr>
                <w:rFonts w:eastAsia="Calibri"/>
              </w:rPr>
              <w:t> </w:t>
            </w:r>
            <w:r w:rsidR="00B12240" w:rsidRPr="0028614E">
              <w:rPr>
                <w:rFonts w:eastAsia="Calibri"/>
              </w:rPr>
              <w:t xml:space="preserve">septembrim iesniegt izskatīšanai Ministru kabineta sēdē informatīvo ziņojumu un tā protokollēmuma projektu par Modernizācijas fonda, kura izveidošana paredzēta ar Eiropas Parlamenta un Padomes 2018. gada 14. marta </w:t>
            </w:r>
            <w:r w:rsidR="00391213" w:rsidRPr="0028614E">
              <w:rPr>
                <w:rFonts w:eastAsia="Calibri"/>
              </w:rPr>
              <w:t>D</w:t>
            </w:r>
            <w:r w:rsidR="00B12240" w:rsidRPr="0028614E">
              <w:rPr>
                <w:rFonts w:eastAsia="Calibri"/>
              </w:rPr>
              <w:t xml:space="preserve">irektīvas 2018/410, ar ko groza </w:t>
            </w:r>
            <w:r w:rsidR="00391213" w:rsidRPr="0028614E">
              <w:rPr>
                <w:rFonts w:eastAsia="Calibri"/>
              </w:rPr>
              <w:t>D</w:t>
            </w:r>
            <w:r w:rsidR="00B12240" w:rsidRPr="0028614E">
              <w:rPr>
                <w:rFonts w:eastAsia="Calibri"/>
              </w:rPr>
              <w:t xml:space="preserve">irektīvu 2003/87/EK, lai sekmētu emisiju </w:t>
            </w:r>
            <w:r w:rsidR="00B12240" w:rsidRPr="0028614E">
              <w:rPr>
                <w:rFonts w:eastAsia="Calibri"/>
              </w:rPr>
              <w:lastRenderedPageBreak/>
              <w:t>izmaksefektīvu samazināšanu un investīcijas mazog</w:t>
            </w:r>
            <w:r w:rsidR="00391213" w:rsidRPr="0028614E">
              <w:rPr>
                <w:rFonts w:eastAsia="Calibri"/>
              </w:rPr>
              <w:t>lekļa risinājumos, un L</w:t>
            </w:r>
            <w:r w:rsidR="00B12240" w:rsidRPr="0028614E">
              <w:rPr>
                <w:rFonts w:eastAsia="Calibri"/>
              </w:rPr>
              <w:t>ēmumu (ES) 2015/1814, pantu 10.d, pārvaldību Latvijā un tajā pieejamo finansējumu.</w:t>
            </w:r>
          </w:p>
        </w:tc>
      </w:tr>
      <w:tr w:rsidR="007360B6" w:rsidRPr="0028614E" w14:paraId="5FE06487" w14:textId="77777777" w:rsidTr="00990F63">
        <w:tc>
          <w:tcPr>
            <w:tcW w:w="559" w:type="dxa"/>
            <w:tcBorders>
              <w:top w:val="single" w:sz="6" w:space="0" w:color="000000"/>
              <w:left w:val="single" w:sz="6" w:space="0" w:color="000000"/>
              <w:bottom w:val="single" w:sz="6" w:space="0" w:color="000000"/>
              <w:right w:val="single" w:sz="6" w:space="0" w:color="000000"/>
            </w:tcBorders>
          </w:tcPr>
          <w:p w14:paraId="54FCEC24" w14:textId="48E8989F" w:rsidR="007360B6" w:rsidRPr="0028614E" w:rsidRDefault="00990F63" w:rsidP="00990F63">
            <w:pPr>
              <w:pStyle w:val="naisc"/>
              <w:spacing w:before="0" w:after="0"/>
              <w:jc w:val="left"/>
            </w:pPr>
            <w:r w:rsidRPr="0028614E">
              <w:lastRenderedPageBreak/>
              <w:t>2.</w:t>
            </w:r>
          </w:p>
        </w:tc>
        <w:tc>
          <w:tcPr>
            <w:tcW w:w="3402" w:type="dxa"/>
            <w:tcBorders>
              <w:top w:val="single" w:sz="6" w:space="0" w:color="000000"/>
              <w:left w:val="single" w:sz="6" w:space="0" w:color="000000"/>
              <w:bottom w:val="single" w:sz="6" w:space="0" w:color="000000"/>
              <w:right w:val="single" w:sz="6" w:space="0" w:color="000000"/>
            </w:tcBorders>
          </w:tcPr>
          <w:p w14:paraId="0796A825" w14:textId="395BDD88" w:rsidR="007360B6" w:rsidRPr="0028614E" w:rsidRDefault="007360B6" w:rsidP="007360B6">
            <w:pPr>
              <w:jc w:val="both"/>
              <w:rPr>
                <w:b/>
              </w:rPr>
            </w:pPr>
            <w:r w:rsidRPr="0028614E">
              <w:rPr>
                <w:b/>
              </w:rPr>
              <w:t>Konceptuālais ziņojums</w:t>
            </w:r>
          </w:p>
        </w:tc>
        <w:tc>
          <w:tcPr>
            <w:tcW w:w="4111" w:type="dxa"/>
            <w:tcBorders>
              <w:top w:val="single" w:sz="6" w:space="0" w:color="000000"/>
              <w:left w:val="single" w:sz="6" w:space="0" w:color="000000"/>
              <w:bottom w:val="single" w:sz="6" w:space="0" w:color="000000"/>
              <w:right w:val="single" w:sz="6" w:space="0" w:color="000000"/>
            </w:tcBorders>
          </w:tcPr>
          <w:p w14:paraId="42044D60" w14:textId="6CEB783B" w:rsidR="007360B6" w:rsidRPr="0028614E" w:rsidRDefault="007360B6" w:rsidP="007360B6">
            <w:pPr>
              <w:widowControl w:val="0"/>
              <w:jc w:val="both"/>
              <w:rPr>
                <w:b/>
              </w:rPr>
            </w:pPr>
            <w:r w:rsidRPr="0028614E">
              <w:rPr>
                <w:b/>
              </w:rPr>
              <w:t>Ekonomikas ministrijas 29.04.2019 atzinums</w:t>
            </w:r>
          </w:p>
          <w:p w14:paraId="404A3C6E" w14:textId="03A08E1D" w:rsidR="007360B6" w:rsidRPr="0028614E" w:rsidRDefault="007360B6" w:rsidP="007360B6">
            <w:pPr>
              <w:widowControl w:val="0"/>
              <w:jc w:val="both"/>
            </w:pPr>
            <w:r w:rsidRPr="0028614E">
              <w:t>Lūgums Ziņojuma projektā iekļaut detalizētu informāciju par emisijas kvotu izsolīšanas instrumenta (turpmāk – EKII) efektivitāti.</w:t>
            </w:r>
          </w:p>
          <w:p w14:paraId="7AFD1AC1" w14:textId="77777777" w:rsidR="007360B6" w:rsidRPr="0028614E" w:rsidRDefault="007360B6" w:rsidP="007360B6">
            <w:pPr>
              <w:widowControl w:val="0"/>
              <w:jc w:val="both"/>
            </w:pPr>
            <w:r w:rsidRPr="0028614E">
              <w:t xml:space="preserve">Ņemot vērā, ka Protokollēmuma projektā tiek noteikts neatbalstīt bezmaksas emisijas kvotu piešķiršanu elektroenerģijas ražošanai 2021. - 2030. gada periodā un Ziņojuma projektā šāda risinājuma gadījumā tiek noteikts, ka šīs bezmaksas emisijas kvotas tiek novirzītas emisijas kvotu izsolīšanai – tiek iekļautas EKII, Ziņojuma projektu vajadzētu papildināt ar detalizētu informāciju par EKII apguvi līdz 2019.gada 1.aprīlim – kāda veida projekti un kādās tautsaimniecības jomās līdz šim ir atbalstīti, kādi ir rezultatīvie rādītāji atbalstītajiem projektiem, cik lielā apjomā līdzekļi ir apgūti, cik liela </w:t>
            </w:r>
            <w:r w:rsidRPr="0028614E">
              <w:lastRenderedPageBreak/>
              <w:t xml:space="preserve">līdzekļu apguve tiek plānota līdz 2020.gada 31.decembrim, kāda ir apgūto līdzekļu ietekme uz Latvijas siltumnīcefekta gāzu (turpmāk – SEG) emisiju apjomu un ietekme uz Latvijai noteikto SEG emisiju samazināšanas mērķu izpildi un īpaši attiecībā uz Eiropas Savienības Emisijas kvotu tirdzniecības sistēmā (turpmāk – ES ETS) neiekļauto darbību (turpmāk – ne-ETS darbības) radīto SEG emisiju samazināšanas mērķu izpildi. </w:t>
            </w:r>
          </w:p>
          <w:p w14:paraId="47573804" w14:textId="5AF8534D"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sz w:val="24"/>
                <w:szCs w:val="24"/>
                <w:lang w:val="lv-LV"/>
              </w:rPr>
              <w:t>Tādējādi būtu skaidri secināms EKII apjoma pamatojums, EKII  efektivitāte un ietekme uz valstij noteikto mērķu izpildi.</w:t>
            </w:r>
          </w:p>
        </w:tc>
        <w:tc>
          <w:tcPr>
            <w:tcW w:w="3119" w:type="dxa"/>
            <w:tcBorders>
              <w:top w:val="single" w:sz="6" w:space="0" w:color="000000"/>
              <w:left w:val="single" w:sz="6" w:space="0" w:color="000000"/>
              <w:bottom w:val="single" w:sz="6" w:space="0" w:color="000000"/>
              <w:right w:val="single" w:sz="6" w:space="0" w:color="000000"/>
            </w:tcBorders>
          </w:tcPr>
          <w:p w14:paraId="7AADE70B" w14:textId="77777777" w:rsidR="007360B6" w:rsidRPr="0028614E" w:rsidRDefault="007360B6" w:rsidP="007360B6">
            <w:pPr>
              <w:jc w:val="both"/>
              <w:rPr>
                <w:b/>
                <w:lang w:eastAsia="x-none"/>
              </w:rPr>
            </w:pPr>
            <w:r w:rsidRPr="0028614E">
              <w:rPr>
                <w:b/>
                <w:lang w:eastAsia="x-none"/>
              </w:rPr>
              <w:lastRenderedPageBreak/>
              <w:t xml:space="preserve">Daļēji ņemts vērā. </w:t>
            </w:r>
          </w:p>
          <w:p w14:paraId="689AECD3" w14:textId="2E995EC3" w:rsidR="007360B6" w:rsidRPr="0028614E" w:rsidRDefault="007360B6" w:rsidP="007360B6">
            <w:pPr>
              <w:jc w:val="both"/>
            </w:pPr>
            <w:r w:rsidRPr="0028614E">
              <w:t>EKII konkursos atbalstāmās aktivitātes, kritēriji, rezultatīvie rādītāji un citi nosacījumi ir atrunāti EKII konkursu nolikumos, kas saskaņoti un apstiprināti kā MK noteikumi. Ministriju t.sk. Ekonomikas ministrijas, pārstāvji ir bijuši aicināti arī piedalīties EKII konkursu projektu vērtēšanas komisijā.</w:t>
            </w:r>
          </w:p>
          <w:p w14:paraId="1A7C571C" w14:textId="77777777" w:rsidR="007360B6" w:rsidRPr="0028614E" w:rsidRDefault="007360B6" w:rsidP="007360B6">
            <w:pPr>
              <w:jc w:val="both"/>
            </w:pPr>
          </w:p>
          <w:p w14:paraId="486968A8" w14:textId="5A43F8C2" w:rsidR="007360B6" w:rsidRPr="0028614E" w:rsidRDefault="007360B6" w:rsidP="007360B6">
            <w:pPr>
              <w:jc w:val="both"/>
              <w:rPr>
                <w:b/>
                <w:lang w:eastAsia="x-none"/>
              </w:rPr>
            </w:pPr>
            <w:r w:rsidRPr="0028614E">
              <w:t xml:space="preserve">Kopumā EKII darbības efektivitātes izvērtējuma veikšana šobrīd pagaidām vēl nav iespējama, jo uz konceptuālā ziņojuma sagatavošanas brīdi no visiem EKII finansētajiem projektiem pabeigti ir tikai divi projekti, bet pārējie ir ieviešanas </w:t>
            </w:r>
            <w:r w:rsidRPr="0028614E">
              <w:lastRenderedPageBreak/>
              <w:t xml:space="preserve">stadijā. Turklāt par EKII efektivitāti nevar spriest tikai pēc, piemēram, iztērētā EKII finansējuma </w:t>
            </w:r>
            <w:r w:rsidRPr="0028614E">
              <w:rPr>
                <w:i/>
              </w:rPr>
              <w:t xml:space="preserve">euro </w:t>
            </w:r>
            <w:r w:rsidRPr="0028614E">
              <w:t>pret sasniegtajiem CO</w:t>
            </w:r>
            <w:r w:rsidRPr="0028614E">
              <w:rPr>
                <w:vertAlign w:val="subscript"/>
              </w:rPr>
              <w:t>2</w:t>
            </w:r>
            <w:r w:rsidRPr="0028614E">
              <w:t xml:space="preserve"> tiešajiem emisijas samazinājumiem, jo būtiski ņemt vērā arī netiešos SEG emisiju samazinājumus, kas iespējami dēļ projektu demonstrācijas, inovācijas un multiplikatīvā efekta. Tas ir sevišķi svarīgi, jo klimata politikas mērķu sasniegšanai nepieciešamas pakāpeniskas, visaptverošas un būtiskas izmaiņas tautsaimniecībā un iedzīvotāju dzīvesveidā un to nav iespējams panākt tikai līdzfinansējot atsevišķus projektus. Papildus jānorāda, ka EKII ieļautie konkursi var būt ar ļoti atšķirīgiem īstenošanas nosacījumiem un pat viena konkursa ietvaros esošie projekti var būt ar būtiski atšķirīgiem raksturlielumiem. </w:t>
            </w:r>
          </w:p>
        </w:tc>
        <w:tc>
          <w:tcPr>
            <w:tcW w:w="3118" w:type="dxa"/>
            <w:tcBorders>
              <w:top w:val="single" w:sz="4" w:space="0" w:color="auto"/>
              <w:left w:val="single" w:sz="4" w:space="0" w:color="auto"/>
              <w:bottom w:val="single" w:sz="4" w:space="0" w:color="auto"/>
            </w:tcBorders>
          </w:tcPr>
          <w:p w14:paraId="0EE0C489" w14:textId="0540649A" w:rsidR="007360B6" w:rsidRPr="0028614E" w:rsidRDefault="007360B6" w:rsidP="007360B6">
            <w:pPr>
              <w:jc w:val="both"/>
              <w:rPr>
                <w:rFonts w:eastAsia="Calibri"/>
              </w:rPr>
            </w:pPr>
            <w:r w:rsidRPr="0028614E">
              <w:rPr>
                <w:rFonts w:eastAsia="Calibri"/>
              </w:rPr>
              <w:lastRenderedPageBreak/>
              <w:t>Papildināta Konceptuālā ziņojuma 16.-17.lpp ar informāciju par EKII četriem projektu konkursiem-atbalstāmajām aktivitātēm, projektu skaitu, plānoto SEG samazinājumu gadā, kontraktēto EKII līdzfinansējumu, līdzekļu apguvi.</w:t>
            </w:r>
          </w:p>
        </w:tc>
      </w:tr>
      <w:tr w:rsidR="007360B6" w:rsidRPr="0028614E" w14:paraId="27087C21" w14:textId="77777777" w:rsidTr="00990F63">
        <w:tc>
          <w:tcPr>
            <w:tcW w:w="559" w:type="dxa"/>
            <w:tcBorders>
              <w:top w:val="single" w:sz="6" w:space="0" w:color="000000"/>
              <w:left w:val="single" w:sz="6" w:space="0" w:color="000000"/>
              <w:bottom w:val="single" w:sz="6" w:space="0" w:color="000000"/>
              <w:right w:val="single" w:sz="6" w:space="0" w:color="000000"/>
            </w:tcBorders>
          </w:tcPr>
          <w:p w14:paraId="24103AA4" w14:textId="1350E222" w:rsidR="007360B6" w:rsidRPr="0028614E" w:rsidRDefault="00990F63" w:rsidP="007360B6">
            <w:r w:rsidRPr="0028614E">
              <w:t>3</w:t>
            </w:r>
            <w:r w:rsidR="007360B6" w:rsidRPr="0028614E">
              <w:t>.</w:t>
            </w:r>
          </w:p>
        </w:tc>
        <w:tc>
          <w:tcPr>
            <w:tcW w:w="3402" w:type="dxa"/>
            <w:tcBorders>
              <w:top w:val="single" w:sz="6" w:space="0" w:color="000000"/>
              <w:left w:val="single" w:sz="6" w:space="0" w:color="000000"/>
              <w:bottom w:val="single" w:sz="6" w:space="0" w:color="000000"/>
              <w:right w:val="single" w:sz="6" w:space="0" w:color="000000"/>
            </w:tcBorders>
          </w:tcPr>
          <w:p w14:paraId="7DC9A53F" w14:textId="77777777" w:rsidR="007360B6" w:rsidRPr="0028614E" w:rsidRDefault="007360B6" w:rsidP="007360B6">
            <w:pPr>
              <w:jc w:val="both"/>
              <w:rPr>
                <w:b/>
              </w:rPr>
            </w:pPr>
            <w:r w:rsidRPr="0028614E">
              <w:rPr>
                <w:b/>
              </w:rPr>
              <w:t>Konceptuālais ziņojums</w:t>
            </w:r>
          </w:p>
          <w:p w14:paraId="1B103714" w14:textId="04ADC33C" w:rsidR="007360B6" w:rsidRPr="0028614E" w:rsidRDefault="007360B6" w:rsidP="007360B6">
            <w:pPr>
              <w:jc w:val="both"/>
              <w:rPr>
                <w:b/>
              </w:rPr>
            </w:pPr>
            <w:r w:rsidRPr="0028614E">
              <w:rPr>
                <w:b/>
              </w:rPr>
              <w:t>3.tabula</w:t>
            </w:r>
          </w:p>
        </w:tc>
        <w:tc>
          <w:tcPr>
            <w:tcW w:w="4111" w:type="dxa"/>
            <w:tcBorders>
              <w:top w:val="single" w:sz="6" w:space="0" w:color="000000"/>
              <w:left w:val="single" w:sz="6" w:space="0" w:color="000000"/>
              <w:bottom w:val="single" w:sz="6" w:space="0" w:color="000000"/>
              <w:right w:val="single" w:sz="6" w:space="0" w:color="000000"/>
            </w:tcBorders>
          </w:tcPr>
          <w:p w14:paraId="41F5B218" w14:textId="29125CE2" w:rsidR="007360B6" w:rsidRPr="0028614E" w:rsidRDefault="00433ADC" w:rsidP="007360B6">
            <w:pPr>
              <w:widowControl w:val="0"/>
              <w:jc w:val="both"/>
              <w:rPr>
                <w:b/>
              </w:rPr>
            </w:pPr>
            <w:r w:rsidRPr="0028614E">
              <w:rPr>
                <w:b/>
              </w:rPr>
              <w:t xml:space="preserve">Ekonomikas ministrijas </w:t>
            </w:r>
            <w:r w:rsidR="007360B6" w:rsidRPr="0028614E">
              <w:rPr>
                <w:b/>
              </w:rPr>
              <w:t>29.04.2019 atzinums</w:t>
            </w:r>
          </w:p>
          <w:p w14:paraId="26527620" w14:textId="48F20CFB" w:rsidR="007360B6" w:rsidRPr="0028614E" w:rsidRDefault="007360B6" w:rsidP="007360B6">
            <w:pPr>
              <w:widowControl w:val="0"/>
              <w:jc w:val="both"/>
            </w:pPr>
            <w:r w:rsidRPr="0028614E">
              <w:t>Lūgums Ziņojuma projekta 3.tabulu labot un papildināt, jo šobrīd Ziņojuma projekta 3.tabulā iekļautā informācija nav pilnīga un var būt maldinoša.</w:t>
            </w:r>
          </w:p>
          <w:p w14:paraId="448A74B4" w14:textId="70102C7B" w:rsidR="007360B6" w:rsidRPr="0028614E" w:rsidRDefault="007360B6" w:rsidP="007360B6">
            <w:pPr>
              <w:widowControl w:val="0"/>
              <w:jc w:val="both"/>
            </w:pPr>
            <w:r w:rsidRPr="0028614E">
              <w:lastRenderedPageBreak/>
              <w:t>Lūgums labot informāciju attiecībā uz ES ETS Latvijas operatoru emisija kvotu bilanci, jo verificēto (un nodoto) un piešķirto emisijas kvotu starpība nesniedz pamatojumu apgalvojumam, ka konkrētajam ES ETS Latvijas  operatoram ir radušies brīvi finanšu līdzekļu. Saskaņā ar likuma “Par piesārņojumu” 32.</w:t>
            </w:r>
            <w:r w:rsidRPr="0028614E">
              <w:rPr>
                <w:vertAlign w:val="superscript"/>
              </w:rPr>
              <w:t>3</w:t>
            </w:r>
            <w:r w:rsidRPr="0028614E">
              <w:t xml:space="preserve"> pantu, jau no 2016. gada ES ETS Latvijas operatori finanšu līdzekļus, kas gūti no darījumiem ar tiem bez maksas piešķirtajām emisijas kvotām var izlietot tikai konkrētiem mērķiem, tai skaitā iepriekš veikto vai plānoto SEG emisiju samazināšanas pasākumu kompensēšanai. Emisiju kvotu pārpalikums gandrīz visām no 3.tabulā minētajām iekārtām ir izveidojies, jo šo iekārtu operatori (Latvijas komersanti) ir apzināti ieguldījuši finanšu līdzekļus fosilā kurināmā aizstāšanai ar biomasas kurināmo, iekārtu un tehnoloģiju nomaiņai uz energoefektīvākām iekārtām, kā arī papildus ir investējuši sev piederošās infrastruktūras energoefektivitātes uzlabošanā, tādā veidā novēršot enerģijas zudumus. Norādām arī, ka vairāki ES ETS Latvijas operatori ir viena komersanta vairākas iekārtas, tāpēc emisijas kvotu bilance – piešķirtais un nodotais apjoms, ir jāskata nevis iekārtu, bet komersantu līmenī, jo </w:t>
            </w:r>
            <w:r w:rsidR="009C53C2" w:rsidRPr="0028614E">
              <w:lastRenderedPageBreak/>
              <w:t>komersanti</w:t>
            </w:r>
            <w:r w:rsidRPr="0028614E">
              <w:t xml:space="preserve"> vienas iekārtas emisijas kvotu iztrūkumu kompensēja ar otras iekārtas emisijas kvotu pārpalikumu. Papildus norādām, ka lielākai daļai no 3.tabulā minētajiem ES ETS Latvijas operatiem jau šobrīd ir novērojams emisijas kvotu iztrūkums pat ņemot vērā iepriekšējā periodā 2008.-2012. gadā izveidoto uzkrājumu.</w:t>
            </w:r>
          </w:p>
          <w:p w14:paraId="0EABF762" w14:textId="77777777" w:rsidR="007360B6" w:rsidRPr="0028614E" w:rsidRDefault="007360B6" w:rsidP="007360B6">
            <w:pPr>
              <w:widowControl w:val="0"/>
              <w:jc w:val="both"/>
            </w:pPr>
            <w:r w:rsidRPr="0028614E">
              <w:t>Lūgums tabulu papildināt ar konkrētu informāciju par to, cik lielu finansiālu apjomu obligātā iepirkuma sistēmas ietvaros un no Kohēzijas fonda ir saņēmuši minētie ES ETS Latvijas operatori.</w:t>
            </w:r>
          </w:p>
          <w:p w14:paraId="581DC3D8" w14:textId="763E23D8"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sz w:val="24"/>
                <w:szCs w:val="24"/>
                <w:lang w:val="lv-LV"/>
              </w:rPr>
              <w:t>Lūgums tabulā nodalīt tos ES ETS Latvijas operatorus, kuri ir saņēmuši tiesības pārdot saražoto elektroenerģiju obligātā iepirkuma ietvaros, no tiem, kuri ir saņēmuši tiesības saņemt garantētu maksu par koģenerācijas elektrostacijā uzstādīto elektrisko jaudu.</w:t>
            </w:r>
          </w:p>
        </w:tc>
        <w:tc>
          <w:tcPr>
            <w:tcW w:w="3119" w:type="dxa"/>
            <w:tcBorders>
              <w:top w:val="single" w:sz="6" w:space="0" w:color="000000"/>
              <w:left w:val="single" w:sz="6" w:space="0" w:color="000000"/>
              <w:bottom w:val="single" w:sz="6" w:space="0" w:color="000000"/>
              <w:right w:val="single" w:sz="6" w:space="0" w:color="000000"/>
            </w:tcBorders>
          </w:tcPr>
          <w:p w14:paraId="023C84F5" w14:textId="339771BE" w:rsidR="007360B6" w:rsidRPr="0028614E" w:rsidRDefault="007360B6" w:rsidP="007360B6">
            <w:pPr>
              <w:jc w:val="both"/>
              <w:rPr>
                <w:b/>
                <w:lang w:eastAsia="x-none"/>
              </w:rPr>
            </w:pPr>
            <w:r w:rsidRPr="0028614E">
              <w:rPr>
                <w:b/>
                <w:lang w:eastAsia="x-none"/>
              </w:rPr>
              <w:lastRenderedPageBreak/>
              <w:t>Daļēji ņemts vērā</w:t>
            </w:r>
          </w:p>
          <w:p w14:paraId="479875AE" w14:textId="480AB8C8" w:rsidR="007360B6" w:rsidRPr="0028614E" w:rsidRDefault="007360B6" w:rsidP="007360B6">
            <w:pPr>
              <w:jc w:val="both"/>
              <w:rPr>
                <w:lang w:eastAsia="x-none"/>
              </w:rPr>
            </w:pPr>
            <w:r w:rsidRPr="0028614E">
              <w:rPr>
                <w:lang w:eastAsia="x-none"/>
              </w:rPr>
              <w:t xml:space="preserve">Papildināta 2.4. nodaļa ar skaidrojumu par finanšu līdzekļu izlietojuma prasībām. Nosacījums ETS operatoriem par finanšu līdzekļu, kas gūti </w:t>
            </w:r>
            <w:r w:rsidRPr="0028614E">
              <w:rPr>
                <w:lang w:eastAsia="x-none"/>
              </w:rPr>
              <w:lastRenderedPageBreak/>
              <w:t>no darījumiem ar tiem bez maksas piešķirtajām emisijas kvotām, izmantošanu iepriekš veikto vai plānoto SEG emisiju samazināšanas pasākumiem stājās spēkā vien 2016. gadā. Vienlaikus jāņem vērā, ka SEG emisiju samazināšanas pasākumu ieviešana, piemēram, energoefektivitātes pasākumu ieviešana ir finansiāli izdevīga.</w:t>
            </w:r>
          </w:p>
          <w:p w14:paraId="36A574DE" w14:textId="77777777" w:rsidR="007360B6" w:rsidRPr="0028614E" w:rsidRDefault="007360B6" w:rsidP="007360B6">
            <w:pPr>
              <w:jc w:val="both"/>
              <w:rPr>
                <w:lang w:eastAsia="x-none"/>
              </w:rPr>
            </w:pPr>
          </w:p>
          <w:p w14:paraId="12B56ED2" w14:textId="686CA7B6" w:rsidR="007360B6" w:rsidRPr="0028614E" w:rsidRDefault="007360B6" w:rsidP="007360B6">
            <w:pPr>
              <w:widowControl w:val="0"/>
              <w:jc w:val="both"/>
            </w:pPr>
            <w:r w:rsidRPr="0028614E">
              <w:t xml:space="preserve">3. tabulā informācija par saņemtā atbalsta apjomu obligātā iepirkuma sistēmas ietvaros un no Kohēzijas fonda ir pieejama zemsvītras piezīmē norādītajos avotos. </w:t>
            </w:r>
          </w:p>
          <w:p w14:paraId="4E6410EF" w14:textId="77777777" w:rsidR="007360B6" w:rsidRPr="0028614E" w:rsidRDefault="007360B6" w:rsidP="007360B6">
            <w:pPr>
              <w:jc w:val="both"/>
              <w:rPr>
                <w:lang w:eastAsia="x-none"/>
              </w:rPr>
            </w:pPr>
          </w:p>
          <w:p w14:paraId="7A9A26CD" w14:textId="63B596ED" w:rsidR="007360B6" w:rsidRPr="0028614E" w:rsidRDefault="007360B6" w:rsidP="007360B6">
            <w:pPr>
              <w:jc w:val="both"/>
              <w:rPr>
                <w:lang w:eastAsia="x-none"/>
              </w:rPr>
            </w:pPr>
            <w:r w:rsidRPr="0028614E">
              <w:rPr>
                <w:lang w:eastAsia="x-none"/>
              </w:rPr>
              <w:t xml:space="preserve">3. tabula ir precizēta., ir </w:t>
            </w:r>
            <w:r w:rsidRPr="0028614E">
              <w:t>nodalīti tie ES ETS Latvijas operatori, kuriem ir tiesības pārdot saražoto elektroenerģiju obligātā iepirkuma ietvaros, no tiem, kuri saņem garantētu maksu par koģenerācijas elektrostacijā uzstādīto elektrisko jaudu.</w:t>
            </w:r>
          </w:p>
          <w:p w14:paraId="08EF1D8C" w14:textId="6DD0B419" w:rsidR="007360B6" w:rsidRPr="0028614E" w:rsidRDefault="007360B6" w:rsidP="007360B6">
            <w:pPr>
              <w:jc w:val="both"/>
              <w:rPr>
                <w:lang w:eastAsia="x-none"/>
              </w:rPr>
            </w:pPr>
          </w:p>
        </w:tc>
        <w:tc>
          <w:tcPr>
            <w:tcW w:w="3118" w:type="dxa"/>
            <w:tcBorders>
              <w:top w:val="single" w:sz="4" w:space="0" w:color="auto"/>
              <w:left w:val="single" w:sz="4" w:space="0" w:color="auto"/>
              <w:bottom w:val="single" w:sz="4" w:space="0" w:color="auto"/>
            </w:tcBorders>
          </w:tcPr>
          <w:p w14:paraId="10F431B9" w14:textId="06C23A40" w:rsidR="007360B6" w:rsidRPr="0028614E" w:rsidRDefault="007360B6" w:rsidP="007360B6">
            <w:pPr>
              <w:jc w:val="both"/>
              <w:rPr>
                <w:rFonts w:eastAsia="Calibri"/>
              </w:rPr>
            </w:pPr>
            <w:r w:rsidRPr="0028614E">
              <w:rPr>
                <w:rFonts w:eastAsia="Calibri"/>
              </w:rPr>
              <w:lastRenderedPageBreak/>
              <w:t>Labota 2.4. apakšnodaļa (11.lpp.)</w:t>
            </w:r>
          </w:p>
          <w:p w14:paraId="6FBFCF04" w14:textId="77777777" w:rsidR="007360B6" w:rsidRPr="0028614E" w:rsidRDefault="007360B6" w:rsidP="007360B6">
            <w:pPr>
              <w:jc w:val="both"/>
            </w:pPr>
            <w:r w:rsidRPr="0028614E">
              <w:t>“Saskaņā ar likuma “Par piesārņojumu” 32</w:t>
            </w:r>
            <w:r w:rsidRPr="0028614E">
              <w:rPr>
                <w:vertAlign w:val="superscript"/>
              </w:rPr>
              <w:t>3</w:t>
            </w:r>
            <w:r w:rsidRPr="0028614E">
              <w:t xml:space="preserve">. pantu ETS operatoriem, kas gūst finanšu līdzekļus no darījumiem ar </w:t>
            </w:r>
            <w:r w:rsidRPr="0028614E">
              <w:lastRenderedPageBreak/>
              <w:t>tiem bez maksas piešķirtajām emisijas kvotām jāizmanto, lai kompensētu iepriekš veiktos vai plānotos SEG emisiju samazināšanas pasākumus.”</w:t>
            </w:r>
          </w:p>
          <w:p w14:paraId="77743AA1" w14:textId="77777777" w:rsidR="007360B6" w:rsidRPr="0028614E" w:rsidRDefault="007360B6" w:rsidP="007360B6">
            <w:pPr>
              <w:jc w:val="both"/>
            </w:pPr>
          </w:p>
          <w:p w14:paraId="40FA29B3" w14:textId="3E365977" w:rsidR="007360B6" w:rsidRPr="0028614E" w:rsidRDefault="007360B6" w:rsidP="007360B6">
            <w:pPr>
              <w:jc w:val="both"/>
            </w:pPr>
            <w:r w:rsidRPr="0028614E">
              <w:t>Labota 3. tabula (12. – 13.lpp.)</w:t>
            </w:r>
          </w:p>
          <w:p w14:paraId="584D42CC" w14:textId="5B0BD38E" w:rsidR="007360B6" w:rsidRPr="0028614E" w:rsidRDefault="007360B6" w:rsidP="007360B6">
            <w:pPr>
              <w:jc w:val="both"/>
              <w:rPr>
                <w:rFonts w:eastAsia="Calibri"/>
              </w:rPr>
            </w:pPr>
          </w:p>
        </w:tc>
      </w:tr>
      <w:tr w:rsidR="007360B6" w:rsidRPr="0028614E" w14:paraId="52096E62" w14:textId="77777777" w:rsidTr="00990F63">
        <w:tc>
          <w:tcPr>
            <w:tcW w:w="559" w:type="dxa"/>
            <w:tcBorders>
              <w:top w:val="single" w:sz="6" w:space="0" w:color="000000"/>
              <w:left w:val="single" w:sz="6" w:space="0" w:color="000000"/>
              <w:bottom w:val="single" w:sz="6" w:space="0" w:color="000000"/>
              <w:right w:val="single" w:sz="6" w:space="0" w:color="000000"/>
            </w:tcBorders>
          </w:tcPr>
          <w:p w14:paraId="66FFB088" w14:textId="38A7B52D" w:rsidR="007360B6" w:rsidRPr="0028614E" w:rsidRDefault="00990F63" w:rsidP="00990F63">
            <w:r w:rsidRPr="0028614E">
              <w:lastRenderedPageBreak/>
              <w:t>4.</w:t>
            </w:r>
          </w:p>
        </w:tc>
        <w:tc>
          <w:tcPr>
            <w:tcW w:w="3402" w:type="dxa"/>
            <w:tcBorders>
              <w:top w:val="single" w:sz="6" w:space="0" w:color="000000"/>
              <w:left w:val="single" w:sz="6" w:space="0" w:color="000000"/>
              <w:bottom w:val="single" w:sz="6" w:space="0" w:color="000000"/>
              <w:right w:val="single" w:sz="6" w:space="0" w:color="000000"/>
            </w:tcBorders>
          </w:tcPr>
          <w:p w14:paraId="53B67894" w14:textId="613D9D34" w:rsidR="007360B6" w:rsidRPr="0028614E" w:rsidRDefault="007360B6" w:rsidP="007360B6">
            <w:pPr>
              <w:jc w:val="both"/>
              <w:rPr>
                <w:b/>
              </w:rPr>
            </w:pPr>
            <w:r w:rsidRPr="0028614E">
              <w:rPr>
                <w:b/>
              </w:rPr>
              <w:t>Konceptuālais ziņojums</w:t>
            </w:r>
          </w:p>
        </w:tc>
        <w:tc>
          <w:tcPr>
            <w:tcW w:w="4111" w:type="dxa"/>
            <w:tcBorders>
              <w:top w:val="single" w:sz="6" w:space="0" w:color="000000"/>
              <w:left w:val="single" w:sz="6" w:space="0" w:color="000000"/>
              <w:bottom w:val="single" w:sz="6" w:space="0" w:color="000000"/>
              <w:right w:val="single" w:sz="6" w:space="0" w:color="000000"/>
            </w:tcBorders>
          </w:tcPr>
          <w:p w14:paraId="610D47EE" w14:textId="044C88BE" w:rsidR="007360B6" w:rsidRPr="0028614E" w:rsidRDefault="007360B6" w:rsidP="007360B6">
            <w:pPr>
              <w:widowControl w:val="0"/>
              <w:jc w:val="both"/>
              <w:rPr>
                <w:b/>
              </w:rPr>
            </w:pPr>
            <w:r w:rsidRPr="0028614E">
              <w:rPr>
                <w:b/>
              </w:rPr>
              <w:t>Ekonomikas ministrijas 29.04.2019 atzinums</w:t>
            </w:r>
          </w:p>
          <w:p w14:paraId="166E1574" w14:textId="7BC8F56B" w:rsidR="007360B6" w:rsidRPr="0028614E" w:rsidRDefault="007360B6" w:rsidP="007360B6">
            <w:pPr>
              <w:widowControl w:val="0"/>
              <w:jc w:val="both"/>
            </w:pPr>
            <w:r w:rsidRPr="0028614E">
              <w:t>Lūgums papildināt Ziņojuma projekta 2.4.apakšnodaļu par ES ETS Latvijas operatoru emisijas kvotu pārpalikuma veidošanās iemesliem.</w:t>
            </w:r>
          </w:p>
          <w:p w14:paraId="1A3C9E69" w14:textId="204FDAD3"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sz w:val="24"/>
                <w:szCs w:val="24"/>
                <w:lang w:val="lv-LV"/>
              </w:rPr>
              <w:t xml:space="preserve">Ņemot vērā iepriekšējā punktā iekļautos apsvērumus, Ziņojuma projekta 2.4. apakšnodaļu ir nepieciešams papildināt ar informāciju par to, cik daudziem no Ziņojuma projekta 3.tabulā minētajiem </w:t>
            </w:r>
            <w:r w:rsidRPr="0028614E">
              <w:rPr>
                <w:rFonts w:ascii="Times New Roman" w:hAnsi="Times New Roman"/>
                <w:sz w:val="24"/>
                <w:szCs w:val="24"/>
                <w:lang w:val="lv-LV"/>
              </w:rPr>
              <w:lastRenderedPageBreak/>
              <w:t>ES ETS Latvijas operatoriem emisijas kvotu pārpalikums ir veidojies veikto kurināmā nomaiņas un energoefektivitātes uzlabošanas pasākumu dēļ, kā arī cik daudzi un kādā apjomā ir ieguldījuši finanšu līdzekļus iepriekšminēto pasākumu īstenošanā.</w:t>
            </w:r>
          </w:p>
        </w:tc>
        <w:tc>
          <w:tcPr>
            <w:tcW w:w="3119" w:type="dxa"/>
            <w:tcBorders>
              <w:top w:val="single" w:sz="6" w:space="0" w:color="000000"/>
              <w:left w:val="single" w:sz="6" w:space="0" w:color="000000"/>
              <w:bottom w:val="single" w:sz="6" w:space="0" w:color="000000"/>
              <w:right w:val="single" w:sz="6" w:space="0" w:color="000000"/>
            </w:tcBorders>
          </w:tcPr>
          <w:p w14:paraId="0E6B59EC" w14:textId="77777777" w:rsidR="007360B6" w:rsidRPr="0028614E" w:rsidRDefault="007360B6" w:rsidP="007360B6">
            <w:pPr>
              <w:jc w:val="both"/>
              <w:rPr>
                <w:lang w:eastAsia="x-none"/>
              </w:rPr>
            </w:pPr>
            <w:r w:rsidRPr="0028614E">
              <w:rPr>
                <w:b/>
                <w:lang w:eastAsia="x-none"/>
              </w:rPr>
              <w:lastRenderedPageBreak/>
              <w:t>Ņemts vērā</w:t>
            </w:r>
            <w:r w:rsidRPr="0028614E">
              <w:rPr>
                <w:lang w:eastAsia="x-none"/>
              </w:rPr>
              <w:t xml:space="preserve"> </w:t>
            </w:r>
          </w:p>
          <w:p w14:paraId="2A687276" w14:textId="77777777" w:rsidR="007360B6" w:rsidRPr="0028614E" w:rsidRDefault="007360B6" w:rsidP="007360B6">
            <w:pPr>
              <w:jc w:val="both"/>
              <w:rPr>
                <w:lang w:eastAsia="x-none"/>
              </w:rPr>
            </w:pPr>
            <w:r w:rsidRPr="0028614E">
              <w:rPr>
                <w:lang w:eastAsia="x-none"/>
              </w:rPr>
              <w:t xml:space="preserve">3.tabulā ir sniegta informācija gan par piešķirtajām emisijas kvotām, gan arī par verificētajām emisijām. Kvotu pārpalikumi veidojas, ņemot vērā verificēto emisiju apjomu, kas ir mazāks nekā piešķirto kvotu apjoms. </w:t>
            </w:r>
          </w:p>
          <w:p w14:paraId="2295D10D" w14:textId="32F6B101" w:rsidR="007360B6" w:rsidRPr="0028614E" w:rsidRDefault="007360B6" w:rsidP="007360B6">
            <w:pPr>
              <w:jc w:val="both"/>
              <w:rPr>
                <w:lang w:eastAsia="x-none"/>
              </w:rPr>
            </w:pPr>
            <w:r w:rsidRPr="0028614E">
              <w:rPr>
                <w:lang w:eastAsia="x-none"/>
              </w:rPr>
              <w:t xml:space="preserve">Papildus skaidrojam, ka tam, ka emisiju apjoms ir mazāks </w:t>
            </w:r>
            <w:r w:rsidRPr="0028614E">
              <w:rPr>
                <w:lang w:eastAsia="x-none"/>
              </w:rPr>
              <w:lastRenderedPageBreak/>
              <w:t>nekā piešķirto emisijas kvotu skaits var būt dažādi iemesli – sākot ar investīcijām enerģiju ražojošajās iekārtās, enerģijas pārvades sistēmās un beidzot ar ražošanas apjomu svārstībām dēļ laikapstākļiem, tirgus cenām, mājsaimniecību energoietaupījumiem, uzņēmumu darbības datu svārstībām u.tml. – precīzu iemeslu identificēšanai būtu nepieciešams plašs pētījums.  Tajā pat laikā lēmuma par iespējamu jaunu atbalstu piešķiršanā būtiskākais ir līdz šim piešķirtā atbalsta lielums un informācija par to, kā jau minējām, tabulā ir sniegta.</w:t>
            </w:r>
          </w:p>
        </w:tc>
        <w:tc>
          <w:tcPr>
            <w:tcW w:w="3118" w:type="dxa"/>
            <w:tcBorders>
              <w:top w:val="single" w:sz="4" w:space="0" w:color="auto"/>
              <w:left w:val="single" w:sz="4" w:space="0" w:color="auto"/>
              <w:bottom w:val="single" w:sz="4" w:space="0" w:color="auto"/>
            </w:tcBorders>
          </w:tcPr>
          <w:p w14:paraId="6881AE52" w14:textId="110EAB59" w:rsidR="007360B6" w:rsidRPr="0028614E" w:rsidRDefault="007360B6" w:rsidP="007360B6">
            <w:pPr>
              <w:jc w:val="both"/>
              <w:rPr>
                <w:rFonts w:eastAsia="Calibri"/>
              </w:rPr>
            </w:pPr>
          </w:p>
        </w:tc>
      </w:tr>
      <w:tr w:rsidR="007360B6" w:rsidRPr="0028614E" w14:paraId="35A1946D" w14:textId="77777777" w:rsidTr="00990F63">
        <w:tc>
          <w:tcPr>
            <w:tcW w:w="559" w:type="dxa"/>
            <w:tcBorders>
              <w:top w:val="single" w:sz="6" w:space="0" w:color="000000"/>
              <w:left w:val="single" w:sz="6" w:space="0" w:color="000000"/>
              <w:bottom w:val="single" w:sz="6" w:space="0" w:color="000000"/>
              <w:right w:val="single" w:sz="6" w:space="0" w:color="000000"/>
            </w:tcBorders>
          </w:tcPr>
          <w:p w14:paraId="5CB4BFA9" w14:textId="2F4D0C6A" w:rsidR="007360B6" w:rsidRPr="0028614E" w:rsidRDefault="00990F63" w:rsidP="007360B6">
            <w:r w:rsidRPr="0028614E">
              <w:t>5.</w:t>
            </w:r>
          </w:p>
        </w:tc>
        <w:tc>
          <w:tcPr>
            <w:tcW w:w="3402" w:type="dxa"/>
            <w:tcBorders>
              <w:top w:val="single" w:sz="6" w:space="0" w:color="000000"/>
              <w:left w:val="single" w:sz="6" w:space="0" w:color="000000"/>
              <w:bottom w:val="single" w:sz="6" w:space="0" w:color="000000"/>
              <w:right w:val="single" w:sz="6" w:space="0" w:color="000000"/>
            </w:tcBorders>
          </w:tcPr>
          <w:p w14:paraId="4C1FA284" w14:textId="1EEF8B23" w:rsidR="007360B6" w:rsidRPr="0028614E" w:rsidRDefault="007360B6" w:rsidP="007360B6">
            <w:pPr>
              <w:jc w:val="both"/>
              <w:rPr>
                <w:b/>
              </w:rPr>
            </w:pPr>
            <w:r w:rsidRPr="0028614E">
              <w:rPr>
                <w:b/>
              </w:rPr>
              <w:t>Konceptuālais ziņojums</w:t>
            </w:r>
          </w:p>
        </w:tc>
        <w:tc>
          <w:tcPr>
            <w:tcW w:w="4111" w:type="dxa"/>
            <w:tcBorders>
              <w:top w:val="single" w:sz="6" w:space="0" w:color="000000"/>
              <w:left w:val="single" w:sz="6" w:space="0" w:color="000000"/>
              <w:bottom w:val="single" w:sz="6" w:space="0" w:color="000000"/>
              <w:right w:val="single" w:sz="6" w:space="0" w:color="000000"/>
            </w:tcBorders>
          </w:tcPr>
          <w:p w14:paraId="24153258" w14:textId="6F29F803" w:rsidR="007360B6" w:rsidRPr="0028614E" w:rsidRDefault="007360B6" w:rsidP="007360B6">
            <w:pPr>
              <w:widowControl w:val="0"/>
              <w:jc w:val="both"/>
              <w:rPr>
                <w:b/>
              </w:rPr>
            </w:pPr>
            <w:r w:rsidRPr="0028614E">
              <w:rPr>
                <w:b/>
              </w:rPr>
              <w:t>Ekonomikas ministrijas 29.04.2019 atzinums</w:t>
            </w:r>
          </w:p>
          <w:p w14:paraId="4CC1F9A3" w14:textId="4064E0CD" w:rsidR="007360B6" w:rsidRPr="0028614E" w:rsidRDefault="007360B6" w:rsidP="007360B6">
            <w:pPr>
              <w:widowControl w:val="0"/>
              <w:jc w:val="both"/>
            </w:pPr>
            <w:r w:rsidRPr="0028614E">
              <w:t>Lūgums papildināt Ziņojuma projekta 2.5.apakšnodaļu attiecībā uz EKII apjomu.</w:t>
            </w:r>
          </w:p>
          <w:p w14:paraId="74AA780B" w14:textId="5319D9A1"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sz w:val="24"/>
                <w:szCs w:val="24"/>
                <w:lang w:val="lv-LV"/>
              </w:rPr>
              <w:t>Ziņojuma projekta 2.5.apakšnodaļā ir nepieciešams iekļaut informāciju par visu šobrīd EKII pieejamos finanšu līdzekļu apjomu – ne tikai to, ko Latvija guvusi no ES ETS 3.perioda emisijas kvotu izsolēm primārajām tirgū kopējā izsoļu platformā, bet arī to, ko Latvija ir guvusi no emisijas kvotu izsolēm sekundārajā tirgū.</w:t>
            </w:r>
          </w:p>
        </w:tc>
        <w:tc>
          <w:tcPr>
            <w:tcW w:w="3119" w:type="dxa"/>
            <w:tcBorders>
              <w:top w:val="single" w:sz="6" w:space="0" w:color="000000"/>
              <w:left w:val="single" w:sz="6" w:space="0" w:color="000000"/>
              <w:bottom w:val="single" w:sz="6" w:space="0" w:color="000000"/>
              <w:right w:val="single" w:sz="6" w:space="0" w:color="000000"/>
            </w:tcBorders>
          </w:tcPr>
          <w:p w14:paraId="4ACC32E2" w14:textId="75E6D210" w:rsidR="007360B6" w:rsidRPr="0028614E" w:rsidRDefault="007360B6" w:rsidP="007360B6">
            <w:pPr>
              <w:jc w:val="both"/>
              <w:rPr>
                <w:b/>
                <w:lang w:eastAsia="x-none"/>
              </w:rPr>
            </w:pPr>
            <w:r w:rsidRPr="0028614E">
              <w:rPr>
                <w:b/>
                <w:lang w:eastAsia="x-none"/>
              </w:rPr>
              <w:t>Ņemts vērā</w:t>
            </w:r>
          </w:p>
        </w:tc>
        <w:tc>
          <w:tcPr>
            <w:tcW w:w="3118" w:type="dxa"/>
            <w:tcBorders>
              <w:top w:val="single" w:sz="4" w:space="0" w:color="auto"/>
              <w:left w:val="single" w:sz="4" w:space="0" w:color="auto"/>
              <w:bottom w:val="single" w:sz="4" w:space="0" w:color="auto"/>
            </w:tcBorders>
          </w:tcPr>
          <w:p w14:paraId="16C8EFBB" w14:textId="6C337747" w:rsidR="007360B6" w:rsidRPr="0028614E" w:rsidRDefault="007360B6" w:rsidP="007360B6">
            <w:pPr>
              <w:jc w:val="both"/>
              <w:rPr>
                <w:rFonts w:eastAsia="Calibri"/>
              </w:rPr>
            </w:pPr>
            <w:r w:rsidRPr="0028614E">
              <w:rPr>
                <w:rFonts w:eastAsia="Calibri"/>
              </w:rPr>
              <w:t>Konceptuālā ziņojuma 15. lpp. iekļauta informācija par gūtajiem līdzekļiem no emisiju kvotu realizācijas sekundārajā tirgū 2018. gadā. Papildināta informācija arī atbilstoši 1. attēlā.</w:t>
            </w:r>
          </w:p>
        </w:tc>
      </w:tr>
      <w:tr w:rsidR="007360B6" w:rsidRPr="0028614E" w14:paraId="4EE1AE9E" w14:textId="77777777" w:rsidTr="00990F63">
        <w:tc>
          <w:tcPr>
            <w:tcW w:w="559" w:type="dxa"/>
            <w:tcBorders>
              <w:top w:val="single" w:sz="6" w:space="0" w:color="000000"/>
              <w:left w:val="single" w:sz="6" w:space="0" w:color="000000"/>
              <w:bottom w:val="single" w:sz="6" w:space="0" w:color="000000"/>
              <w:right w:val="single" w:sz="6" w:space="0" w:color="000000"/>
            </w:tcBorders>
          </w:tcPr>
          <w:p w14:paraId="7BE8C2F2" w14:textId="30F549B4" w:rsidR="007360B6" w:rsidRPr="0028614E" w:rsidRDefault="00990F63" w:rsidP="007360B6">
            <w:r w:rsidRPr="0028614E">
              <w:lastRenderedPageBreak/>
              <w:t>6.</w:t>
            </w:r>
          </w:p>
        </w:tc>
        <w:tc>
          <w:tcPr>
            <w:tcW w:w="3402" w:type="dxa"/>
            <w:tcBorders>
              <w:top w:val="single" w:sz="6" w:space="0" w:color="000000"/>
              <w:left w:val="single" w:sz="6" w:space="0" w:color="000000"/>
              <w:bottom w:val="single" w:sz="6" w:space="0" w:color="000000"/>
              <w:right w:val="single" w:sz="6" w:space="0" w:color="000000"/>
            </w:tcBorders>
          </w:tcPr>
          <w:p w14:paraId="7F925FCA" w14:textId="0FF234D3" w:rsidR="007360B6" w:rsidRPr="0028614E" w:rsidRDefault="007360B6" w:rsidP="007360B6">
            <w:pPr>
              <w:jc w:val="both"/>
              <w:rPr>
                <w:b/>
              </w:rPr>
            </w:pPr>
            <w:r w:rsidRPr="0028614E">
              <w:rPr>
                <w:b/>
              </w:rPr>
              <w:t>Konceptuālais ziņojums</w:t>
            </w:r>
          </w:p>
        </w:tc>
        <w:tc>
          <w:tcPr>
            <w:tcW w:w="4111" w:type="dxa"/>
            <w:tcBorders>
              <w:top w:val="single" w:sz="6" w:space="0" w:color="000000"/>
              <w:left w:val="single" w:sz="6" w:space="0" w:color="000000"/>
              <w:bottom w:val="single" w:sz="6" w:space="0" w:color="000000"/>
              <w:right w:val="single" w:sz="6" w:space="0" w:color="000000"/>
            </w:tcBorders>
          </w:tcPr>
          <w:p w14:paraId="3A04E3BA" w14:textId="6253F800"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b/>
                <w:sz w:val="24"/>
                <w:szCs w:val="24"/>
                <w:lang w:val="lv-LV"/>
              </w:rPr>
              <w:t>Ekonomikas ministrijas  29.04.2019 atzinums</w:t>
            </w:r>
          </w:p>
          <w:p w14:paraId="2D71CDD5" w14:textId="1FAFE585" w:rsidR="007360B6" w:rsidRPr="0028614E" w:rsidRDefault="007360B6" w:rsidP="007360B6">
            <w:pPr>
              <w:pStyle w:val="ListParagraph"/>
              <w:widowControl w:val="0"/>
              <w:spacing w:after="0" w:line="240" w:lineRule="auto"/>
              <w:ind w:left="0"/>
              <w:jc w:val="both"/>
              <w:rPr>
                <w:rFonts w:ascii="Times New Roman" w:hAnsi="Times New Roman"/>
                <w:sz w:val="24"/>
                <w:szCs w:val="24"/>
                <w:lang w:val="lv-LV"/>
              </w:rPr>
            </w:pPr>
            <w:r w:rsidRPr="0028614E">
              <w:rPr>
                <w:rFonts w:ascii="Times New Roman" w:hAnsi="Times New Roman"/>
                <w:sz w:val="24"/>
                <w:szCs w:val="24"/>
                <w:lang w:val="lv-LV"/>
              </w:rPr>
              <w:t>Ziņojuma projekta IV nodaļā “Ietekme uz problēmas risināšanu” ir minēts 1.scenārijs “bezmaksas emisijas kvotu nepiešķiršana ES ETS iekārtām 2021.-2030.gada periodā, kas ražo elektroenerģiju”, savukārt šis scenārijs nav minēts un par to nav sniegta informācija Ziņojuma projekta citās nodaļās.</w:t>
            </w:r>
          </w:p>
        </w:tc>
        <w:tc>
          <w:tcPr>
            <w:tcW w:w="3119" w:type="dxa"/>
            <w:tcBorders>
              <w:top w:val="single" w:sz="6" w:space="0" w:color="000000"/>
              <w:left w:val="single" w:sz="6" w:space="0" w:color="000000"/>
              <w:bottom w:val="single" w:sz="6" w:space="0" w:color="000000"/>
              <w:right w:val="single" w:sz="6" w:space="0" w:color="000000"/>
            </w:tcBorders>
          </w:tcPr>
          <w:p w14:paraId="6F1AD154" w14:textId="77777777" w:rsidR="007360B6" w:rsidRPr="0028614E" w:rsidRDefault="007360B6" w:rsidP="007360B6">
            <w:pPr>
              <w:jc w:val="both"/>
              <w:rPr>
                <w:b/>
                <w:lang w:eastAsia="x-none"/>
              </w:rPr>
            </w:pPr>
            <w:r w:rsidRPr="0028614E">
              <w:rPr>
                <w:b/>
                <w:lang w:eastAsia="x-none"/>
              </w:rPr>
              <w:t>Ņemts vērā</w:t>
            </w:r>
          </w:p>
          <w:p w14:paraId="01F22B31" w14:textId="7234CFF5" w:rsidR="007360B6" w:rsidRPr="0028614E" w:rsidRDefault="007360B6" w:rsidP="007360B6">
            <w:pPr>
              <w:jc w:val="both"/>
              <w:rPr>
                <w:lang w:eastAsia="x-none"/>
              </w:rPr>
            </w:pPr>
          </w:p>
        </w:tc>
        <w:tc>
          <w:tcPr>
            <w:tcW w:w="3118" w:type="dxa"/>
            <w:tcBorders>
              <w:top w:val="single" w:sz="4" w:space="0" w:color="auto"/>
              <w:left w:val="single" w:sz="4" w:space="0" w:color="auto"/>
              <w:bottom w:val="single" w:sz="4" w:space="0" w:color="auto"/>
            </w:tcBorders>
          </w:tcPr>
          <w:p w14:paraId="2BC54784" w14:textId="49A04067" w:rsidR="007360B6" w:rsidRPr="0028614E" w:rsidRDefault="007360B6" w:rsidP="007360B6">
            <w:pPr>
              <w:jc w:val="both"/>
              <w:rPr>
                <w:rFonts w:eastAsia="Calibri"/>
              </w:rPr>
            </w:pPr>
            <w:r w:rsidRPr="0028614E">
              <w:rPr>
                <w:rFonts w:eastAsia="Calibri"/>
              </w:rPr>
              <w:t>Labota redakcija (21.lpp.)</w:t>
            </w:r>
          </w:p>
          <w:p w14:paraId="426F9CDD" w14:textId="413F12E9" w:rsidR="007360B6" w:rsidRPr="0028614E" w:rsidRDefault="007360B6" w:rsidP="007360B6">
            <w:pPr>
              <w:jc w:val="both"/>
              <w:rPr>
                <w:rFonts w:eastAsia="Calibri"/>
              </w:rPr>
            </w:pPr>
            <w:r w:rsidRPr="0028614E">
              <w:rPr>
                <w:rFonts w:eastAsia="Calibri"/>
              </w:rPr>
              <w:t>“III nodaļā identificētie risinājuma varianti nodrošinātu likuma “Par piesārņojumu” pārejas noteikumu 50. punktā dotā uzdevuma izpildi, taču, šī ziņojuma kontekstā būtiskākais ir identificēt Latvijai visizdevīgāko no tiem. VARAM ieskatā,  ņemot vērā 6. tabulā apskatītos priekšrocības un trūkumus, Latvijai kopumā visizdevīgākais ir 1. scenārijs “bāzes scenārijs”.”</w:t>
            </w:r>
          </w:p>
        </w:tc>
      </w:tr>
      <w:tr w:rsidR="007360B6" w:rsidRPr="0028614E" w14:paraId="59C879A9" w14:textId="77777777" w:rsidTr="00990F63">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7DB994A1" w14:textId="6D16416A" w:rsidR="007360B6" w:rsidRPr="0028614E" w:rsidRDefault="00990F63" w:rsidP="00990F63">
            <w:pPr>
              <w:pStyle w:val="naisc"/>
              <w:spacing w:before="0" w:after="0"/>
              <w:jc w:val="left"/>
            </w:pPr>
            <w:r w:rsidRPr="0028614E">
              <w:t>7.</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7058F28E" w14:textId="77777777" w:rsidR="007360B6" w:rsidRPr="0028614E" w:rsidRDefault="007360B6" w:rsidP="007360B6">
            <w:pPr>
              <w:jc w:val="both"/>
              <w:rPr>
                <w:b/>
              </w:rPr>
            </w:pPr>
            <w:r w:rsidRPr="0028614E">
              <w:rPr>
                <w:b/>
              </w:rPr>
              <w:t>Konceptuālais ziņojums (3.lpp.)</w:t>
            </w:r>
          </w:p>
          <w:p w14:paraId="3C28A98B" w14:textId="4815A525" w:rsidR="007360B6" w:rsidRPr="0028614E" w:rsidRDefault="007360B6" w:rsidP="007360B6">
            <w:pPr>
              <w:jc w:val="both"/>
            </w:pPr>
            <w:r w:rsidRPr="0028614E">
              <w:t>“Ziņojumā ir piedāvāti un analizēti seši iespējamās tālākās rīcības scenāriji, to priekšrocības un trūkumi.”</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4068ABDC" w14:textId="0A95DE8F"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b/>
                <w:sz w:val="24"/>
                <w:szCs w:val="24"/>
                <w:lang w:val="lv-LV"/>
              </w:rPr>
              <w:t>Tieslietu ministrija</w:t>
            </w:r>
          </w:p>
          <w:p w14:paraId="3A5F5614" w14:textId="77777777" w:rsidR="007360B6" w:rsidRPr="0028614E" w:rsidRDefault="007360B6" w:rsidP="007360B6">
            <w:pPr>
              <w:pStyle w:val="ListParagraph"/>
              <w:widowControl w:val="0"/>
              <w:spacing w:after="0" w:line="240" w:lineRule="auto"/>
              <w:ind w:left="0"/>
              <w:jc w:val="both"/>
              <w:rPr>
                <w:rFonts w:ascii="Times New Roman" w:hAnsi="Times New Roman"/>
                <w:sz w:val="24"/>
                <w:szCs w:val="24"/>
                <w:lang w:val="lv-LV"/>
              </w:rPr>
            </w:pPr>
            <w:r w:rsidRPr="0028614E">
              <w:rPr>
                <w:rFonts w:ascii="Times New Roman" w:hAnsi="Times New Roman"/>
                <w:sz w:val="24"/>
                <w:szCs w:val="24"/>
                <w:lang w:val="lv-LV"/>
              </w:rPr>
              <w:t>Ziņojuma Kopsavilkumā (3. lpp.) norādīts, ka “ziņojumā ir piedāvāti un analizēti seši iespējamās tālākās rīcības scenāriji, to priekšrocības un trūkumi”. Savukārt ziņojuma III nodaļā “Risinājuma varianti” analizēti divi iespējamie rīcības scenāriji un to ietekme. Lūdzam precizēt ziņojumu, novēršot minēto neatbilstību.</w:t>
            </w:r>
          </w:p>
          <w:p w14:paraId="1A1DD52D" w14:textId="77777777" w:rsidR="007360B6" w:rsidRPr="0028614E" w:rsidRDefault="007360B6" w:rsidP="007360B6">
            <w:pPr>
              <w:widowControl w:val="0"/>
              <w:jc w:val="both"/>
              <w:rPr>
                <w:b/>
                <w:bCs/>
              </w:rPr>
            </w:pPr>
          </w:p>
          <w:p w14:paraId="7676166D" w14:textId="46A8EE8B" w:rsidR="007360B6" w:rsidRPr="0028614E" w:rsidRDefault="007360B6" w:rsidP="007360B6">
            <w:pPr>
              <w:widowControl w:val="0"/>
              <w:jc w:val="both"/>
              <w:rPr>
                <w:b/>
                <w:bCs/>
              </w:rPr>
            </w:pPr>
            <w:r w:rsidRPr="0028614E">
              <w:rPr>
                <w:b/>
                <w:bCs/>
              </w:rPr>
              <w:t>Ekonomikas ministrijas 29.04.2019 atzinums</w:t>
            </w:r>
          </w:p>
          <w:p w14:paraId="2B4759A5" w14:textId="77777777" w:rsidR="007360B6" w:rsidRPr="0028614E" w:rsidRDefault="007360B6" w:rsidP="007360B6">
            <w:pPr>
              <w:widowControl w:val="0"/>
              <w:jc w:val="both"/>
              <w:rPr>
                <w:bCs/>
              </w:rPr>
            </w:pPr>
            <w:r w:rsidRPr="0028614E">
              <w:rPr>
                <w:bCs/>
              </w:rPr>
              <w:t>Lūgums Ziņojuma projektu papildināt ar visiem iespējamiem tālākas rīcības scenārijiem.</w:t>
            </w:r>
          </w:p>
          <w:p w14:paraId="7EFD1847" w14:textId="6B46E721" w:rsidR="007360B6" w:rsidRPr="0028614E" w:rsidRDefault="007360B6" w:rsidP="007360B6">
            <w:pPr>
              <w:pStyle w:val="ListParagraph"/>
              <w:widowControl w:val="0"/>
              <w:spacing w:after="0" w:line="240" w:lineRule="auto"/>
              <w:ind w:left="0"/>
              <w:jc w:val="both"/>
              <w:rPr>
                <w:rFonts w:ascii="Times New Roman" w:hAnsi="Times New Roman"/>
                <w:sz w:val="24"/>
                <w:szCs w:val="24"/>
                <w:lang w:val="lv-LV"/>
              </w:rPr>
            </w:pPr>
            <w:r w:rsidRPr="0028614E">
              <w:rPr>
                <w:rFonts w:ascii="Times New Roman" w:hAnsi="Times New Roman"/>
                <w:bCs/>
                <w:sz w:val="24"/>
                <w:szCs w:val="24"/>
                <w:lang w:val="lv-LV"/>
              </w:rPr>
              <w:t xml:space="preserve">Ņemot vērā, ka Ziņojuma projekta I </w:t>
            </w:r>
            <w:r w:rsidRPr="0028614E">
              <w:rPr>
                <w:rFonts w:ascii="Times New Roman" w:hAnsi="Times New Roman"/>
                <w:bCs/>
                <w:sz w:val="24"/>
                <w:szCs w:val="24"/>
                <w:lang w:val="lv-LV"/>
              </w:rPr>
              <w:lastRenderedPageBreak/>
              <w:t>“Kopsavilkums” nodaļas pēdējā teikumā ir minēts, ka Ziņojumā ir piedāvāti un analizēti seši iespējamie tālākas rīcības scenāriji, Ziņojuma projektā ir nepieciešams iekļaut informāciju pilnā apjomā par minētajiem sešiem scenārijiem.</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E995361" w14:textId="56486D8C" w:rsidR="007360B6" w:rsidRPr="0028614E" w:rsidRDefault="007360B6" w:rsidP="007360B6">
            <w:pPr>
              <w:jc w:val="both"/>
              <w:rPr>
                <w:b/>
                <w:lang w:eastAsia="x-none"/>
              </w:rPr>
            </w:pPr>
            <w:r w:rsidRPr="0028614E">
              <w:rPr>
                <w:b/>
                <w:lang w:eastAsia="x-none"/>
              </w:rPr>
              <w:lastRenderedPageBreak/>
              <w:t>Ņemts vērā</w:t>
            </w:r>
          </w:p>
        </w:tc>
        <w:tc>
          <w:tcPr>
            <w:tcW w:w="3118" w:type="dxa"/>
            <w:tcBorders>
              <w:top w:val="single" w:sz="4" w:space="0" w:color="auto"/>
              <w:left w:val="single" w:sz="4" w:space="0" w:color="auto"/>
              <w:bottom w:val="single" w:sz="4" w:space="0" w:color="auto"/>
            </w:tcBorders>
            <w:shd w:val="clear" w:color="auto" w:fill="auto"/>
          </w:tcPr>
          <w:p w14:paraId="39E835A3" w14:textId="5EC72352" w:rsidR="007360B6" w:rsidRPr="0028614E" w:rsidRDefault="007360B6" w:rsidP="007360B6">
            <w:pPr>
              <w:jc w:val="both"/>
              <w:rPr>
                <w:rFonts w:eastAsia="Calibri"/>
              </w:rPr>
            </w:pPr>
            <w:r w:rsidRPr="0028614E">
              <w:rPr>
                <w:rFonts w:eastAsia="Calibri"/>
              </w:rPr>
              <w:t xml:space="preserve">Labota redakcija (3.lpp.) </w:t>
            </w:r>
          </w:p>
          <w:p w14:paraId="6B20862E" w14:textId="05C72FF0" w:rsidR="007360B6" w:rsidRPr="0028614E" w:rsidRDefault="007360B6" w:rsidP="007360B6">
            <w:pPr>
              <w:jc w:val="both"/>
              <w:rPr>
                <w:rFonts w:eastAsia="Calibri"/>
              </w:rPr>
            </w:pPr>
            <w:r w:rsidRPr="0028614E">
              <w:rPr>
                <w:rFonts w:eastAsia="Calibri"/>
              </w:rPr>
              <w:t>“Ziņojumā ir piedāvāti un analizēti divi iespējamās tālākās rīcības scenāriji, to priekšrocības un trūkumi.”</w:t>
            </w:r>
          </w:p>
        </w:tc>
      </w:tr>
      <w:tr w:rsidR="007360B6" w:rsidRPr="0028614E" w14:paraId="0E0B0E08" w14:textId="77777777" w:rsidTr="00990F63">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7E2D59AE" w14:textId="4EEADA6B" w:rsidR="007360B6" w:rsidRPr="0028614E" w:rsidRDefault="00990F63" w:rsidP="00990F63">
            <w:pPr>
              <w:pStyle w:val="naisc"/>
              <w:spacing w:before="0" w:after="0"/>
              <w:jc w:val="left"/>
            </w:pPr>
            <w:r w:rsidRPr="0028614E">
              <w:t>8.</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2CD670A8" w14:textId="510F4744" w:rsidR="007360B6" w:rsidRPr="0028614E" w:rsidRDefault="007360B6" w:rsidP="007360B6">
            <w:pPr>
              <w:jc w:val="both"/>
              <w:rPr>
                <w:b/>
              </w:rPr>
            </w:pPr>
            <w:r w:rsidRPr="0028614E">
              <w:rPr>
                <w:b/>
              </w:rPr>
              <w:t>Konceptuālā ziņojuma 11.lpp. 1.rindkopa</w:t>
            </w: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61CFD272" w14:textId="77777777"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b/>
                <w:sz w:val="24"/>
                <w:szCs w:val="24"/>
                <w:lang w:val="lv-LV"/>
              </w:rPr>
              <w:t>Ekonomikas ministrijas 23.05.2019 atzinums</w:t>
            </w:r>
          </w:p>
          <w:p w14:paraId="038C991D" w14:textId="40AEDF79" w:rsidR="007360B6" w:rsidRPr="00FA5D94" w:rsidRDefault="007360B6" w:rsidP="007360B6">
            <w:pPr>
              <w:widowControl w:val="0"/>
              <w:jc w:val="both"/>
              <w:rPr>
                <w:bCs/>
              </w:rPr>
            </w:pPr>
            <w:r w:rsidRPr="00FA5D94">
              <w:rPr>
                <w:bCs/>
              </w:rPr>
              <w:t>4) Lūdzam skaidrot, kādi atbalsta pasākumi elektroenerģijas ražotājam, kā Eiropas Savienības Emisijas kvotu tirdzniecības sistēmas (turpmāk – ES ETS) operatoram, ir pieejami</w:t>
            </w:r>
          </w:p>
          <w:p w14:paraId="39ACAE08" w14:textId="43DAABCD" w:rsidR="007360B6" w:rsidRPr="0028614E" w:rsidRDefault="007360B6" w:rsidP="007360B6">
            <w:pPr>
              <w:pStyle w:val="ListParagraph"/>
              <w:widowControl w:val="0"/>
              <w:spacing w:after="0" w:line="240" w:lineRule="auto"/>
              <w:ind w:left="0"/>
              <w:jc w:val="both"/>
              <w:rPr>
                <w:rFonts w:ascii="Times New Roman" w:hAnsi="Times New Roman"/>
                <w:bCs/>
                <w:sz w:val="24"/>
                <w:szCs w:val="24"/>
                <w:lang w:val="lv-LV"/>
              </w:rPr>
            </w:pPr>
            <w:r w:rsidRPr="00FA5D94">
              <w:rPr>
                <w:rFonts w:ascii="Times New Roman" w:hAnsi="Times New Roman"/>
                <w:bCs/>
                <w:sz w:val="24"/>
                <w:szCs w:val="24"/>
                <w:lang w:val="lv-LV"/>
              </w:rPr>
              <w:t>Ziņojuma projekta 11.lpp 1.rindkopā ir minēts, ka elektroenerģijas ražotāji Latvijā izmanto atbalstu, kas tiem pienākas kā ETS dalībniekiem. Lūgums skaidrot, kādu atbalstu ES ETS ietvaros šobrīd izmanto ES ETS Latvijas operatori, kas ir elektroenerģijas ražotāji, un precizēt Ziņojuma projektu ar informāciju par šādiem atbalsta veidiem</w:t>
            </w:r>
            <w:r w:rsidRPr="0028614E">
              <w:rPr>
                <w:rFonts w:ascii="Times New Roman" w:hAnsi="Times New Roman"/>
                <w:bCs/>
                <w:sz w:val="24"/>
                <w:szCs w:val="24"/>
                <w:lang w:val="lv-LV"/>
              </w:rPr>
              <w:t>.</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0CD1131" w14:textId="11B33A01" w:rsidR="007360B6" w:rsidRPr="0028614E" w:rsidRDefault="007360B6" w:rsidP="007360B6">
            <w:pPr>
              <w:jc w:val="both"/>
              <w:rPr>
                <w:bCs/>
                <w:lang w:eastAsia="x-none"/>
              </w:rPr>
            </w:pPr>
            <w:r w:rsidRPr="0028614E">
              <w:rPr>
                <w:b/>
                <w:lang w:eastAsia="x-none"/>
              </w:rPr>
              <w:t>Daļēji ņemts vērā</w:t>
            </w:r>
          </w:p>
          <w:p w14:paraId="309D29F2" w14:textId="395ED5BE" w:rsidR="007360B6" w:rsidRPr="0028614E" w:rsidRDefault="007360B6" w:rsidP="007360B6">
            <w:pPr>
              <w:jc w:val="both"/>
              <w:rPr>
                <w:bCs/>
                <w:lang w:eastAsia="x-none"/>
              </w:rPr>
            </w:pPr>
            <w:r w:rsidRPr="0028614E">
              <w:rPr>
                <w:bCs/>
                <w:lang w:eastAsia="x-none"/>
              </w:rPr>
              <w:t xml:space="preserve">Skaidrojam, ka Latvijas operatori, kas darbojas ES ETS saņem atbalstu – bezmaksas emisijas kvotas. </w:t>
            </w:r>
          </w:p>
        </w:tc>
        <w:tc>
          <w:tcPr>
            <w:tcW w:w="3118" w:type="dxa"/>
            <w:tcBorders>
              <w:top w:val="single" w:sz="4" w:space="0" w:color="auto"/>
              <w:left w:val="single" w:sz="4" w:space="0" w:color="auto"/>
              <w:bottom w:val="single" w:sz="4" w:space="0" w:color="auto"/>
            </w:tcBorders>
            <w:shd w:val="clear" w:color="auto" w:fill="auto"/>
          </w:tcPr>
          <w:p w14:paraId="185EF5DE" w14:textId="2E1A7F0F" w:rsidR="007360B6" w:rsidRPr="0028614E" w:rsidRDefault="00485C69" w:rsidP="007360B6">
            <w:pPr>
              <w:jc w:val="both"/>
              <w:rPr>
                <w:rFonts w:eastAsia="Calibri"/>
              </w:rPr>
            </w:pPr>
            <w:r>
              <w:rPr>
                <w:rFonts w:eastAsia="Calibri"/>
              </w:rPr>
              <w:t>Papildināts Konceptuālā ziņojuma teksts.</w:t>
            </w:r>
          </w:p>
        </w:tc>
      </w:tr>
      <w:tr w:rsidR="007360B6" w:rsidRPr="0028614E" w14:paraId="0CAF6E79" w14:textId="77777777" w:rsidTr="00990F63">
        <w:tc>
          <w:tcPr>
            <w:tcW w:w="559" w:type="dxa"/>
            <w:tcBorders>
              <w:top w:val="single" w:sz="6" w:space="0" w:color="000000"/>
              <w:left w:val="single" w:sz="6" w:space="0" w:color="000000"/>
              <w:bottom w:val="single" w:sz="6" w:space="0" w:color="000000"/>
              <w:right w:val="single" w:sz="6" w:space="0" w:color="000000"/>
            </w:tcBorders>
            <w:shd w:val="clear" w:color="auto" w:fill="auto"/>
          </w:tcPr>
          <w:p w14:paraId="5E908E71" w14:textId="693FC040" w:rsidR="007360B6" w:rsidRPr="0028614E" w:rsidRDefault="00990F63" w:rsidP="00990F63">
            <w:pPr>
              <w:pStyle w:val="naisc"/>
              <w:spacing w:before="0" w:after="0"/>
              <w:jc w:val="left"/>
            </w:pPr>
            <w:r w:rsidRPr="0028614E">
              <w:t>9.</w:t>
            </w: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39775F3A" w14:textId="7F4BB85C" w:rsidR="007360B6" w:rsidRPr="0028614E" w:rsidRDefault="007360B6" w:rsidP="007360B6">
            <w:pPr>
              <w:jc w:val="both"/>
              <w:rPr>
                <w:b/>
              </w:rPr>
            </w:pPr>
            <w:r w:rsidRPr="0028614E">
              <w:rPr>
                <w:b/>
              </w:rPr>
              <w:t>Protokollēmuma projekta 2. punkts</w:t>
            </w:r>
          </w:p>
          <w:p w14:paraId="16ECA12D" w14:textId="7AC72F8B" w:rsidR="007360B6" w:rsidRPr="0028614E" w:rsidRDefault="007360B6" w:rsidP="007360B6">
            <w:pPr>
              <w:jc w:val="both"/>
            </w:pPr>
            <w:r w:rsidRPr="0028614E">
              <w:t>“2. Neatbalstīt bezmaksas emisijas kvotu piešķiršanu elektroenerģijas ražošanai 2021. - 2030. gada periodā.”</w:t>
            </w:r>
          </w:p>
          <w:p w14:paraId="26562986" w14:textId="622C62BB" w:rsidR="007360B6" w:rsidRPr="0028614E" w:rsidRDefault="007360B6" w:rsidP="007360B6">
            <w:pPr>
              <w:jc w:val="both"/>
              <w:rPr>
                <w:b/>
              </w:rPr>
            </w:pPr>
          </w:p>
        </w:tc>
        <w:tc>
          <w:tcPr>
            <w:tcW w:w="4111" w:type="dxa"/>
            <w:tcBorders>
              <w:top w:val="single" w:sz="6" w:space="0" w:color="000000"/>
              <w:left w:val="single" w:sz="6" w:space="0" w:color="000000"/>
              <w:bottom w:val="single" w:sz="6" w:space="0" w:color="000000"/>
              <w:right w:val="single" w:sz="6" w:space="0" w:color="000000"/>
            </w:tcBorders>
            <w:shd w:val="clear" w:color="auto" w:fill="auto"/>
          </w:tcPr>
          <w:p w14:paraId="5BD48E00" w14:textId="77777777"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b/>
                <w:sz w:val="24"/>
                <w:szCs w:val="24"/>
                <w:lang w:val="lv-LV"/>
              </w:rPr>
              <w:t>Tieslietu ministrija</w:t>
            </w:r>
          </w:p>
          <w:p w14:paraId="5283C535" w14:textId="43F902A1" w:rsidR="007360B6" w:rsidRPr="0028614E" w:rsidRDefault="007360B6" w:rsidP="007360B6">
            <w:pPr>
              <w:pStyle w:val="ListParagraph"/>
              <w:widowControl w:val="0"/>
              <w:spacing w:after="0" w:line="240" w:lineRule="auto"/>
              <w:ind w:left="0"/>
              <w:jc w:val="both"/>
              <w:rPr>
                <w:rFonts w:ascii="Times New Roman" w:hAnsi="Times New Roman"/>
                <w:sz w:val="24"/>
                <w:szCs w:val="24"/>
                <w:lang w:val="lv-LV"/>
              </w:rPr>
            </w:pPr>
            <w:r w:rsidRPr="0028614E">
              <w:rPr>
                <w:rFonts w:ascii="Times New Roman" w:hAnsi="Times New Roman"/>
                <w:sz w:val="24"/>
                <w:szCs w:val="24"/>
                <w:lang w:val="lv-LV"/>
              </w:rPr>
              <w:t>Lūdzam tiesiskās skaidrības nolūkos precizēt protokollēmuma projekta 2. punktu, papildinot to ar atsauci uz tiesību normu, kas paredz Ministru kabineta kompetenci attiecīgā lēmuma pieņemšanā, proti, likuma “Par piesārņojumu” Pārejas noteikumu 50. punktu.</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24315FB1" w14:textId="593F5429" w:rsidR="007360B6" w:rsidRPr="0028614E" w:rsidRDefault="007360B6" w:rsidP="007360B6">
            <w:pPr>
              <w:jc w:val="both"/>
              <w:rPr>
                <w:b/>
                <w:lang w:eastAsia="x-none"/>
              </w:rPr>
            </w:pPr>
            <w:r w:rsidRPr="0028614E">
              <w:rPr>
                <w:b/>
                <w:lang w:eastAsia="x-none"/>
              </w:rPr>
              <w:t>Ņemts vērā</w:t>
            </w:r>
          </w:p>
        </w:tc>
        <w:tc>
          <w:tcPr>
            <w:tcW w:w="3118" w:type="dxa"/>
            <w:tcBorders>
              <w:top w:val="single" w:sz="4" w:space="0" w:color="auto"/>
              <w:left w:val="single" w:sz="4" w:space="0" w:color="auto"/>
              <w:bottom w:val="single" w:sz="4" w:space="0" w:color="auto"/>
            </w:tcBorders>
            <w:shd w:val="clear" w:color="auto" w:fill="auto"/>
          </w:tcPr>
          <w:p w14:paraId="18A2F5E8" w14:textId="7B5E528C" w:rsidR="007360B6" w:rsidRPr="0028614E" w:rsidRDefault="007360B6" w:rsidP="007360B6">
            <w:pPr>
              <w:jc w:val="both"/>
              <w:rPr>
                <w:rFonts w:eastAsia="Calibri"/>
              </w:rPr>
            </w:pPr>
            <w:r w:rsidRPr="0028614E">
              <w:rPr>
                <w:rFonts w:eastAsia="Calibri"/>
              </w:rPr>
              <w:t>Labots protokollēmuma projekta 2. punkts.</w:t>
            </w:r>
          </w:p>
          <w:p w14:paraId="1530D030" w14:textId="617A932D" w:rsidR="007360B6" w:rsidRPr="0028614E" w:rsidRDefault="007360B6" w:rsidP="007360B6">
            <w:pPr>
              <w:jc w:val="both"/>
              <w:rPr>
                <w:rFonts w:eastAsia="Calibri"/>
              </w:rPr>
            </w:pPr>
            <w:r w:rsidRPr="0028614E">
              <w:rPr>
                <w:rFonts w:eastAsia="Calibri"/>
              </w:rPr>
              <w:t>“2. Atsaucoties uz likuma “Par piesārņojumu” Pārejas noteikumu 50. punktu, neatbalstīt bezmaksas emisijas kvotu piešķiršanu elektroenerģijas ražošanai 2021. - 2030. gada periodā.”</w:t>
            </w:r>
          </w:p>
        </w:tc>
      </w:tr>
      <w:tr w:rsidR="007360B6" w:rsidRPr="0028614E" w14:paraId="45DB0904" w14:textId="77777777" w:rsidTr="00990F63">
        <w:tc>
          <w:tcPr>
            <w:tcW w:w="559" w:type="dxa"/>
            <w:tcBorders>
              <w:top w:val="single" w:sz="6" w:space="0" w:color="000000"/>
              <w:left w:val="single" w:sz="6" w:space="0" w:color="000000"/>
              <w:bottom w:val="single" w:sz="6" w:space="0" w:color="000000"/>
              <w:right w:val="single" w:sz="6" w:space="0" w:color="000000"/>
            </w:tcBorders>
          </w:tcPr>
          <w:p w14:paraId="47711D62" w14:textId="40908E8E" w:rsidR="007360B6" w:rsidRPr="0028614E" w:rsidRDefault="00990F63" w:rsidP="007360B6">
            <w:r w:rsidRPr="0028614E">
              <w:t>10.</w:t>
            </w:r>
          </w:p>
        </w:tc>
        <w:tc>
          <w:tcPr>
            <w:tcW w:w="3402" w:type="dxa"/>
            <w:tcBorders>
              <w:top w:val="single" w:sz="6" w:space="0" w:color="000000"/>
              <w:left w:val="single" w:sz="6" w:space="0" w:color="000000"/>
              <w:bottom w:val="single" w:sz="6" w:space="0" w:color="000000"/>
              <w:right w:val="single" w:sz="6" w:space="0" w:color="000000"/>
            </w:tcBorders>
          </w:tcPr>
          <w:p w14:paraId="6D48D676" w14:textId="2EAA6CD1" w:rsidR="007360B6" w:rsidRPr="0028614E" w:rsidRDefault="007360B6" w:rsidP="007360B6">
            <w:pPr>
              <w:jc w:val="both"/>
              <w:rPr>
                <w:b/>
              </w:rPr>
            </w:pPr>
            <w:r w:rsidRPr="0028614E">
              <w:rPr>
                <w:b/>
              </w:rPr>
              <w:t>Vispārīgi</w:t>
            </w:r>
          </w:p>
        </w:tc>
        <w:tc>
          <w:tcPr>
            <w:tcW w:w="4111" w:type="dxa"/>
            <w:tcBorders>
              <w:top w:val="single" w:sz="6" w:space="0" w:color="000000"/>
              <w:left w:val="single" w:sz="6" w:space="0" w:color="000000"/>
              <w:bottom w:val="single" w:sz="6" w:space="0" w:color="000000"/>
              <w:right w:val="single" w:sz="6" w:space="0" w:color="000000"/>
            </w:tcBorders>
          </w:tcPr>
          <w:p w14:paraId="1B533C43" w14:textId="12E88BAD" w:rsidR="007360B6" w:rsidRPr="0028614E" w:rsidRDefault="007360B6" w:rsidP="007360B6">
            <w:pPr>
              <w:pStyle w:val="ListParagraph"/>
              <w:widowControl w:val="0"/>
              <w:spacing w:after="0" w:line="240" w:lineRule="auto"/>
              <w:ind w:left="0"/>
              <w:jc w:val="both"/>
              <w:rPr>
                <w:rFonts w:ascii="Times New Roman" w:hAnsi="Times New Roman"/>
                <w:b/>
                <w:sz w:val="24"/>
                <w:szCs w:val="24"/>
                <w:lang w:val="lv-LV"/>
              </w:rPr>
            </w:pPr>
            <w:r w:rsidRPr="0028614E">
              <w:rPr>
                <w:rFonts w:ascii="Times New Roman" w:hAnsi="Times New Roman"/>
                <w:b/>
                <w:sz w:val="24"/>
                <w:szCs w:val="24"/>
                <w:lang w:val="lv-LV"/>
              </w:rPr>
              <w:t xml:space="preserve">Ekonomikas ministrijas 29.04.2019 </w:t>
            </w:r>
            <w:r w:rsidRPr="0028614E">
              <w:rPr>
                <w:rFonts w:ascii="Times New Roman" w:hAnsi="Times New Roman"/>
                <w:b/>
                <w:sz w:val="24"/>
                <w:szCs w:val="24"/>
                <w:lang w:val="lv-LV"/>
              </w:rPr>
              <w:lastRenderedPageBreak/>
              <w:t>atzinums</w:t>
            </w:r>
          </w:p>
          <w:p w14:paraId="72438FAD" w14:textId="77777777" w:rsidR="007360B6" w:rsidRPr="0028614E" w:rsidRDefault="007360B6" w:rsidP="007360B6">
            <w:pPr>
              <w:pStyle w:val="ListParagraph"/>
              <w:widowControl w:val="0"/>
              <w:spacing w:after="0" w:line="240" w:lineRule="auto"/>
              <w:ind w:left="0"/>
              <w:jc w:val="both"/>
              <w:rPr>
                <w:rFonts w:ascii="Times New Roman" w:hAnsi="Times New Roman"/>
                <w:sz w:val="24"/>
                <w:szCs w:val="24"/>
                <w:lang w:val="lv-LV"/>
              </w:rPr>
            </w:pPr>
            <w:r w:rsidRPr="0028614E">
              <w:rPr>
                <w:rFonts w:ascii="Times New Roman" w:hAnsi="Times New Roman"/>
                <w:sz w:val="24"/>
                <w:szCs w:val="24"/>
                <w:lang w:val="lv-LV"/>
              </w:rPr>
              <w:t>Ņemot vērā to, ka likuma “Par piesārņojumu” pārejas noteikumu 50.punktā ir noteikts, ka Ministru kabinetam lēmums atbalstīt bezmaksas emisijas kvotu piešķiršanu elektroenerģijas ražošanai vai lēmumu šādu piešķiršanu neatbalstīt bija jāpieņem līdz 2018. gada 31. decembrim, bet Ziņojuma projekts tika nodots saskaņošanai ministrijām tikai 2019.gada 11.aprīlī, lūgums VARAM skaidrot, kā un vai vispār šobrīd būtu iespējams izpildīt Ziņojuma projektā minēto derogācijas scenāriju – pieņemt lēmumu par bezmaksas emisijas kvotu piešķiršanu elektroenerģijas ražotājiem un izdot likuma “Par piesārņojumu” 32.</w:t>
            </w:r>
            <w:r w:rsidRPr="0028614E">
              <w:rPr>
                <w:rFonts w:ascii="Times New Roman" w:hAnsi="Times New Roman"/>
                <w:sz w:val="24"/>
                <w:szCs w:val="24"/>
                <w:vertAlign w:val="superscript"/>
                <w:lang w:val="lv-LV"/>
              </w:rPr>
              <w:t>1</w:t>
            </w:r>
            <w:r w:rsidRPr="0028614E">
              <w:rPr>
                <w:rFonts w:ascii="Times New Roman" w:hAnsi="Times New Roman"/>
                <w:sz w:val="24"/>
                <w:szCs w:val="24"/>
                <w:lang w:val="lv-LV"/>
              </w:rPr>
              <w:t xml:space="preserve"> panta septītajā daļā minētos Ministru kabineta noteikumus līdz 2019.gada 30.jūnijam. Norādām, ka minētais termiņš ir stingri noteikts Eiropas Parlamenta un Padomes 2003.gada 12.oktobra direktīvas Nr. 2003/87/EK, ar kuru nosaka sistēmu siltumnīcas efektu izraisošo gāzu emisijas kvotu tirdzniecībai Savienībā un groza Padomes Direktīvu 96/61/EK  (konsolidētā versija) (turpmāk – Direktīva Nr.2003/87/EK) 10.c panta 2.punkta 3.rindkopā.</w:t>
            </w:r>
          </w:p>
          <w:p w14:paraId="24EBDE7A" w14:textId="77777777" w:rsidR="007360B6" w:rsidRPr="0028614E" w:rsidRDefault="007360B6" w:rsidP="007360B6">
            <w:pPr>
              <w:pStyle w:val="ListParagraph"/>
              <w:widowControl w:val="0"/>
              <w:spacing w:after="0" w:line="240" w:lineRule="auto"/>
              <w:ind w:left="0"/>
              <w:jc w:val="both"/>
              <w:rPr>
                <w:rFonts w:ascii="Times New Roman" w:hAnsi="Times New Roman"/>
                <w:sz w:val="24"/>
                <w:szCs w:val="24"/>
                <w:lang w:val="lv-LV"/>
              </w:rPr>
            </w:pPr>
          </w:p>
          <w:p w14:paraId="1E585C23" w14:textId="67BAA564" w:rsidR="007360B6" w:rsidRPr="0028614E" w:rsidRDefault="007360B6" w:rsidP="007360B6">
            <w:pPr>
              <w:pStyle w:val="ListParagraph"/>
              <w:widowControl w:val="0"/>
              <w:spacing w:after="0" w:line="240" w:lineRule="auto"/>
              <w:ind w:left="0"/>
              <w:jc w:val="both"/>
              <w:rPr>
                <w:rFonts w:ascii="Times New Roman" w:hAnsi="Times New Roman"/>
                <w:sz w:val="24"/>
                <w:szCs w:val="24"/>
                <w:lang w:val="lv-LV"/>
              </w:rPr>
            </w:pPr>
          </w:p>
        </w:tc>
        <w:tc>
          <w:tcPr>
            <w:tcW w:w="3119" w:type="dxa"/>
            <w:tcBorders>
              <w:top w:val="single" w:sz="6" w:space="0" w:color="000000"/>
              <w:left w:val="single" w:sz="6" w:space="0" w:color="000000"/>
              <w:bottom w:val="single" w:sz="6" w:space="0" w:color="000000"/>
              <w:right w:val="single" w:sz="6" w:space="0" w:color="000000"/>
            </w:tcBorders>
          </w:tcPr>
          <w:p w14:paraId="249191EA" w14:textId="77777777" w:rsidR="007360B6" w:rsidRPr="0028614E" w:rsidRDefault="007360B6" w:rsidP="007360B6">
            <w:pPr>
              <w:jc w:val="both"/>
              <w:rPr>
                <w:b/>
                <w:lang w:eastAsia="x-none"/>
              </w:rPr>
            </w:pPr>
            <w:r w:rsidRPr="0028614E">
              <w:rPr>
                <w:b/>
                <w:lang w:eastAsia="x-none"/>
              </w:rPr>
              <w:lastRenderedPageBreak/>
              <w:t>Ņemts vērā</w:t>
            </w:r>
          </w:p>
          <w:p w14:paraId="710F91C6" w14:textId="57E1D784" w:rsidR="007360B6" w:rsidRPr="0028614E" w:rsidRDefault="007360B6" w:rsidP="007360B6">
            <w:pPr>
              <w:jc w:val="both"/>
              <w:rPr>
                <w:lang w:eastAsia="x-none"/>
              </w:rPr>
            </w:pPr>
            <w:r w:rsidRPr="0028614E">
              <w:rPr>
                <w:lang w:eastAsia="x-none"/>
              </w:rPr>
              <w:lastRenderedPageBreak/>
              <w:t xml:space="preserve">Konceptuālais ziņojums tika izstrādāts ātrākajā iespējamā termiņā. Konceptuālā ziņojuma izstrādei bija nepieciešamas un tika veiktas konsultācijas ar Eiropas Komisiju. </w:t>
            </w:r>
          </w:p>
          <w:p w14:paraId="1A30B643" w14:textId="156FE15A" w:rsidR="007360B6" w:rsidRPr="0028614E" w:rsidRDefault="007360B6" w:rsidP="007360B6">
            <w:pPr>
              <w:jc w:val="both"/>
              <w:rPr>
                <w:lang w:eastAsia="x-none"/>
              </w:rPr>
            </w:pPr>
            <w:r w:rsidRPr="0028614E">
              <w:rPr>
                <w:lang w:eastAsia="x-none"/>
              </w:rPr>
              <w:t>Papildus jāņem vērā, ka atbalsta piešķiršana elektroenerģijas ražotājiem ir saistīta arī ar jautājumu par OIK atcelšanu un par šo jautājumu bija nepieciešama lielāka skaidrība, lai sagatavotu konceptuālo ziņojumu. Saeima 2019. gada 10. janvārī uzdeva Ekonomikas ministrijai steidzami izstrādāt normatīvos aktus, lai valsts atbalstu subsidētās elektroenerģijas ražotājiem atceltu jau no 2019. gada 31. marta, tādēļ arī VARAM bija ļoti svarīgi ņemt vērā, kāda būs tālākā rīcība šajā jautājumā.</w:t>
            </w:r>
          </w:p>
          <w:p w14:paraId="14A1EB37" w14:textId="77777777" w:rsidR="007360B6" w:rsidRPr="0028614E" w:rsidRDefault="007360B6" w:rsidP="007360B6">
            <w:pPr>
              <w:jc w:val="both"/>
              <w:rPr>
                <w:lang w:eastAsia="x-none"/>
              </w:rPr>
            </w:pPr>
          </w:p>
          <w:p w14:paraId="3ED37A84" w14:textId="219D1DA3" w:rsidR="007360B6" w:rsidRPr="0028614E" w:rsidRDefault="007360B6" w:rsidP="007360B6">
            <w:pPr>
              <w:jc w:val="both"/>
              <w:rPr>
                <w:lang w:eastAsia="x-none"/>
              </w:rPr>
            </w:pPr>
            <w:r w:rsidRPr="0028614E">
              <w:rPr>
                <w:lang w:eastAsia="x-none"/>
              </w:rPr>
              <w:t xml:space="preserve">Tajā pat laikā apstiprinām, ka, ja Ministru kabinets pieņems lēmumu atbalstīt bezmaksas emisijas kvotu piešķiršanu elektroenerģijas ražotājiem, VARAM spētu izstrādāt </w:t>
            </w:r>
            <w:r w:rsidRPr="0028614E">
              <w:rPr>
                <w:lang w:eastAsia="x-none"/>
              </w:rPr>
              <w:lastRenderedPageBreak/>
              <w:t>likuma “Par piesārņojumu” 32.</w:t>
            </w:r>
            <w:r w:rsidRPr="0028614E">
              <w:rPr>
                <w:vertAlign w:val="superscript"/>
                <w:lang w:eastAsia="x-none"/>
              </w:rPr>
              <w:t>1</w:t>
            </w:r>
            <w:r w:rsidRPr="0028614E">
              <w:rPr>
                <w:lang w:eastAsia="x-none"/>
              </w:rPr>
              <w:t xml:space="preserve"> panta septītajā daļā </w:t>
            </w:r>
            <w:r w:rsidRPr="00BA781C">
              <w:rPr>
                <w:lang w:eastAsia="x-none"/>
              </w:rPr>
              <w:t>minētos Ministru kabineta noteikumus noteiktajā termiņā.</w:t>
            </w:r>
            <w:r w:rsidRPr="0028614E">
              <w:rPr>
                <w:lang w:eastAsia="x-none"/>
              </w:rPr>
              <w:t xml:space="preserve"> </w:t>
            </w:r>
          </w:p>
        </w:tc>
        <w:tc>
          <w:tcPr>
            <w:tcW w:w="3118" w:type="dxa"/>
            <w:tcBorders>
              <w:top w:val="single" w:sz="4" w:space="0" w:color="auto"/>
              <w:left w:val="single" w:sz="4" w:space="0" w:color="auto"/>
              <w:bottom w:val="single" w:sz="4" w:space="0" w:color="auto"/>
            </w:tcBorders>
          </w:tcPr>
          <w:p w14:paraId="520FDE96" w14:textId="77777777" w:rsidR="007360B6" w:rsidRPr="0028614E" w:rsidRDefault="007360B6" w:rsidP="007360B6">
            <w:pPr>
              <w:jc w:val="both"/>
              <w:rPr>
                <w:rFonts w:eastAsia="Calibri"/>
              </w:rPr>
            </w:pPr>
          </w:p>
        </w:tc>
      </w:tr>
      <w:tr w:rsidR="007360B6" w:rsidRPr="0028614E" w14:paraId="25353CF3" w14:textId="77777777" w:rsidTr="00990F63">
        <w:tc>
          <w:tcPr>
            <w:tcW w:w="559" w:type="dxa"/>
            <w:tcBorders>
              <w:top w:val="single" w:sz="6" w:space="0" w:color="000000"/>
              <w:left w:val="single" w:sz="6" w:space="0" w:color="000000"/>
              <w:bottom w:val="single" w:sz="6" w:space="0" w:color="000000"/>
              <w:right w:val="single" w:sz="6" w:space="0" w:color="000000"/>
            </w:tcBorders>
          </w:tcPr>
          <w:p w14:paraId="6F74B362" w14:textId="62713145" w:rsidR="007360B6" w:rsidRPr="0028614E" w:rsidRDefault="00990F63" w:rsidP="007360B6">
            <w:r w:rsidRPr="0028614E">
              <w:lastRenderedPageBreak/>
              <w:t>11.</w:t>
            </w:r>
          </w:p>
        </w:tc>
        <w:tc>
          <w:tcPr>
            <w:tcW w:w="3402" w:type="dxa"/>
            <w:tcBorders>
              <w:top w:val="single" w:sz="6" w:space="0" w:color="000000"/>
              <w:left w:val="single" w:sz="6" w:space="0" w:color="000000"/>
              <w:bottom w:val="single" w:sz="6" w:space="0" w:color="000000"/>
              <w:right w:val="single" w:sz="6" w:space="0" w:color="000000"/>
            </w:tcBorders>
          </w:tcPr>
          <w:p w14:paraId="40AA2463" w14:textId="70F7AD0C" w:rsidR="007360B6" w:rsidRPr="0028614E" w:rsidRDefault="007360B6" w:rsidP="007360B6">
            <w:pPr>
              <w:jc w:val="both"/>
              <w:rPr>
                <w:b/>
              </w:rPr>
            </w:pPr>
            <w:r w:rsidRPr="0028614E">
              <w:rPr>
                <w:b/>
              </w:rPr>
              <w:t>Vispārīgi</w:t>
            </w:r>
          </w:p>
        </w:tc>
        <w:tc>
          <w:tcPr>
            <w:tcW w:w="4111" w:type="dxa"/>
            <w:tcBorders>
              <w:top w:val="single" w:sz="6" w:space="0" w:color="000000"/>
              <w:left w:val="single" w:sz="6" w:space="0" w:color="000000"/>
              <w:bottom w:val="single" w:sz="6" w:space="0" w:color="000000"/>
              <w:right w:val="single" w:sz="6" w:space="0" w:color="000000"/>
            </w:tcBorders>
          </w:tcPr>
          <w:p w14:paraId="4D0AD72E" w14:textId="38BF5B4C" w:rsidR="007360B6" w:rsidRPr="0028614E" w:rsidRDefault="007360B6" w:rsidP="007360B6">
            <w:pPr>
              <w:widowControl w:val="0"/>
              <w:jc w:val="both"/>
              <w:rPr>
                <w:b/>
              </w:rPr>
            </w:pPr>
            <w:r w:rsidRPr="0028614E">
              <w:rPr>
                <w:b/>
              </w:rPr>
              <w:t>Ekonomikas ministrijas 29.04.2019 atzinums</w:t>
            </w:r>
          </w:p>
          <w:p w14:paraId="3CB7ACB3" w14:textId="5D8FB0A9" w:rsidR="007360B6" w:rsidRPr="0028614E" w:rsidRDefault="007360B6" w:rsidP="007360B6">
            <w:pPr>
              <w:widowControl w:val="0"/>
              <w:jc w:val="both"/>
            </w:pPr>
            <w:r w:rsidRPr="0028614E">
              <w:t>Papildus, lai būtu pilnīga skaidrība attiecībā uz VARAM plāniem darbībām ar Latvijai piešķirto emisijas kvotu apjomu un to izlietojumu, lūgums VARAM sniegt informāciju par to, kādā veidā un kad VARAM plāno izpildīt Direktīvas Nr.2003/87/EK 10.d panta 4.punktā minēto pienākumu – līdz 2019. gada 30. septembrim Eiropas Komisijai paziņot attiecīgos kvotu apjomus izmantošanai saskaņā ar Direktīvas Nr.2003/87/EK 10. panta 2. punkta b) apakšpunktu, 10.c un 10.d pantu, kā arī to, uz kāda lēmuma pamata šāds paziņojums Eiropas Komisijai tiks sniegts.</w:t>
            </w:r>
          </w:p>
          <w:p w14:paraId="6D692FFB" w14:textId="77777777" w:rsidR="007360B6" w:rsidRPr="0028614E" w:rsidRDefault="007360B6" w:rsidP="007360B6">
            <w:pPr>
              <w:widowControl w:val="0"/>
              <w:jc w:val="both"/>
            </w:pPr>
            <w:r w:rsidRPr="0028614E">
              <w:t>Norādām, ka Direktīva Nr.2003/87/EK paredz vairākas iespējas darbībām ar Latvijai pieejamām emisijas kvotām:</w:t>
            </w:r>
          </w:p>
          <w:p w14:paraId="7762B208" w14:textId="77777777" w:rsidR="007360B6" w:rsidRPr="0028614E" w:rsidRDefault="007360B6" w:rsidP="007360B6">
            <w:pPr>
              <w:widowControl w:val="0"/>
              <w:jc w:val="both"/>
            </w:pPr>
            <w:r w:rsidRPr="0028614E">
              <w:t>1.</w:t>
            </w:r>
            <w:r w:rsidRPr="0028614E">
              <w:tab/>
              <w:t>Emisijas kvotu pamatapjoms;</w:t>
            </w:r>
          </w:p>
          <w:p w14:paraId="2054D4DE" w14:textId="77777777" w:rsidR="007360B6" w:rsidRPr="0028614E" w:rsidRDefault="007360B6" w:rsidP="007360B6">
            <w:pPr>
              <w:widowControl w:val="0"/>
              <w:jc w:val="both"/>
            </w:pPr>
            <w:r w:rsidRPr="0028614E">
              <w:t>2.</w:t>
            </w:r>
            <w:r w:rsidRPr="0028614E">
              <w:tab/>
              <w:t>Emisijas kvotas, kuras ir piešķirtas solidaritātes, izaugsmes un starpsavienojumu labad (Ziņojuma projektā – solidaritātes emisijas kvotas) – šīs emisijas kvotas ir iespējams:</w:t>
            </w:r>
          </w:p>
          <w:p w14:paraId="71771B24" w14:textId="77777777" w:rsidR="007360B6" w:rsidRPr="0028614E" w:rsidRDefault="007360B6" w:rsidP="007360B6">
            <w:pPr>
              <w:pStyle w:val="ListParagraph"/>
              <w:widowControl w:val="0"/>
              <w:jc w:val="both"/>
              <w:rPr>
                <w:rFonts w:ascii="Times New Roman" w:hAnsi="Times New Roman"/>
                <w:sz w:val="24"/>
                <w:szCs w:val="24"/>
                <w:lang w:val="lv-LV"/>
              </w:rPr>
            </w:pPr>
            <w:r w:rsidRPr="0028614E">
              <w:rPr>
                <w:rFonts w:ascii="Times New Roman" w:hAnsi="Times New Roman"/>
                <w:sz w:val="24"/>
                <w:szCs w:val="24"/>
                <w:lang w:val="lv-LV"/>
              </w:rPr>
              <w:t>a.</w:t>
            </w:r>
            <w:r w:rsidRPr="0028614E">
              <w:rPr>
                <w:rFonts w:ascii="Times New Roman" w:hAnsi="Times New Roman"/>
                <w:sz w:val="24"/>
                <w:szCs w:val="24"/>
                <w:lang w:val="lv-LV"/>
              </w:rPr>
              <w:tab/>
              <w:t xml:space="preserve">iekļaut emisijas kvotu </w:t>
            </w:r>
            <w:r w:rsidRPr="0028614E">
              <w:rPr>
                <w:rFonts w:ascii="Times New Roman" w:hAnsi="Times New Roman"/>
                <w:sz w:val="24"/>
                <w:szCs w:val="24"/>
                <w:lang w:val="lv-LV"/>
              </w:rPr>
              <w:lastRenderedPageBreak/>
              <w:t xml:space="preserve">pamatapjomā un izsolīt, </w:t>
            </w:r>
          </w:p>
          <w:p w14:paraId="015933C3" w14:textId="77777777" w:rsidR="007360B6" w:rsidRPr="0028614E" w:rsidRDefault="007360B6" w:rsidP="007360B6">
            <w:pPr>
              <w:pStyle w:val="ListParagraph"/>
              <w:widowControl w:val="0"/>
              <w:jc w:val="both"/>
              <w:rPr>
                <w:rFonts w:ascii="Times New Roman" w:hAnsi="Times New Roman"/>
                <w:sz w:val="24"/>
                <w:szCs w:val="24"/>
                <w:lang w:val="lv-LV"/>
              </w:rPr>
            </w:pPr>
            <w:r w:rsidRPr="0028614E">
              <w:rPr>
                <w:rFonts w:ascii="Times New Roman" w:hAnsi="Times New Roman"/>
                <w:sz w:val="24"/>
                <w:szCs w:val="24"/>
                <w:lang w:val="lv-LV"/>
              </w:rPr>
              <w:t>b.</w:t>
            </w:r>
            <w:r w:rsidRPr="0028614E">
              <w:rPr>
                <w:rFonts w:ascii="Times New Roman" w:hAnsi="Times New Roman"/>
                <w:sz w:val="24"/>
                <w:szCs w:val="24"/>
                <w:lang w:val="lv-LV"/>
              </w:rPr>
              <w:tab/>
              <w:t>iekļaut Direktīva Nr.2003/87/EK 10.d pantā minētajā Modernizācijas fondā (turpmāk – Modernizācijas fonds),</w:t>
            </w:r>
          </w:p>
          <w:p w14:paraId="562360BB" w14:textId="77777777" w:rsidR="007360B6" w:rsidRPr="0028614E" w:rsidRDefault="007360B6" w:rsidP="007360B6">
            <w:pPr>
              <w:pStyle w:val="ListParagraph"/>
              <w:widowControl w:val="0"/>
              <w:jc w:val="both"/>
              <w:rPr>
                <w:rFonts w:ascii="Times New Roman" w:hAnsi="Times New Roman"/>
                <w:sz w:val="24"/>
                <w:szCs w:val="24"/>
                <w:lang w:val="lv-LV"/>
              </w:rPr>
            </w:pPr>
            <w:r w:rsidRPr="0028614E">
              <w:rPr>
                <w:rFonts w:ascii="Times New Roman" w:hAnsi="Times New Roman"/>
                <w:sz w:val="24"/>
                <w:szCs w:val="24"/>
                <w:lang w:val="lv-LV"/>
              </w:rPr>
              <w:t>c.</w:t>
            </w:r>
            <w:r w:rsidRPr="0028614E">
              <w:rPr>
                <w:rFonts w:ascii="Times New Roman" w:hAnsi="Times New Roman"/>
                <w:sz w:val="24"/>
                <w:szCs w:val="24"/>
                <w:lang w:val="lv-LV"/>
              </w:rPr>
              <w:tab/>
              <w:t>novirzīt bezmaksas emisijas kvotu piešķiršanai elektroenerģijas ražotājiem;</w:t>
            </w:r>
          </w:p>
          <w:p w14:paraId="2642DC2C" w14:textId="77777777" w:rsidR="007360B6" w:rsidRPr="0028614E" w:rsidRDefault="007360B6" w:rsidP="007360B6">
            <w:pPr>
              <w:widowControl w:val="0"/>
              <w:jc w:val="both"/>
            </w:pPr>
            <w:r w:rsidRPr="0028614E">
              <w:t>3.</w:t>
            </w:r>
            <w:r w:rsidRPr="0028614E">
              <w:tab/>
              <w:t>Emisijas kvotas, kas bez maksas ir piešķiramas elektroenerģijas ražotājiem – šīs emisijas kvotas ir iespējams:</w:t>
            </w:r>
          </w:p>
          <w:p w14:paraId="1046F83C" w14:textId="77777777" w:rsidR="007360B6" w:rsidRPr="0028614E" w:rsidRDefault="007360B6" w:rsidP="007360B6">
            <w:pPr>
              <w:pStyle w:val="ListParagraph"/>
              <w:widowControl w:val="0"/>
              <w:jc w:val="both"/>
              <w:rPr>
                <w:rFonts w:ascii="Times New Roman" w:hAnsi="Times New Roman"/>
                <w:sz w:val="24"/>
                <w:szCs w:val="24"/>
                <w:lang w:val="lv-LV"/>
              </w:rPr>
            </w:pPr>
            <w:r w:rsidRPr="0028614E">
              <w:rPr>
                <w:rFonts w:ascii="Times New Roman" w:hAnsi="Times New Roman"/>
                <w:sz w:val="24"/>
                <w:szCs w:val="24"/>
                <w:lang w:val="lv-LV"/>
              </w:rPr>
              <w:t>a.</w:t>
            </w:r>
            <w:r w:rsidRPr="0028614E">
              <w:rPr>
                <w:rFonts w:ascii="Times New Roman" w:hAnsi="Times New Roman"/>
                <w:sz w:val="24"/>
                <w:szCs w:val="24"/>
                <w:lang w:val="lv-LV"/>
              </w:rPr>
              <w:tab/>
              <w:t>iekļaut emisijas kvotu pamatapjomā un izsolīt;</w:t>
            </w:r>
          </w:p>
          <w:p w14:paraId="5A42B172" w14:textId="72E844CC" w:rsidR="007360B6" w:rsidRPr="0028614E" w:rsidRDefault="007360B6" w:rsidP="007360B6">
            <w:pPr>
              <w:widowControl w:val="0"/>
              <w:jc w:val="both"/>
            </w:pPr>
            <w:r w:rsidRPr="0028614E">
              <w:t>b.</w:t>
            </w:r>
            <w:r w:rsidRPr="0028614E">
              <w:tab/>
              <w:t>iekļaut Modernizācijas fondā.</w:t>
            </w:r>
          </w:p>
        </w:tc>
        <w:tc>
          <w:tcPr>
            <w:tcW w:w="3119" w:type="dxa"/>
            <w:tcBorders>
              <w:top w:val="single" w:sz="6" w:space="0" w:color="000000"/>
              <w:left w:val="single" w:sz="6" w:space="0" w:color="000000"/>
              <w:bottom w:val="single" w:sz="6" w:space="0" w:color="000000"/>
              <w:right w:val="single" w:sz="6" w:space="0" w:color="000000"/>
            </w:tcBorders>
          </w:tcPr>
          <w:p w14:paraId="3B728F61" w14:textId="77777777" w:rsidR="007360B6" w:rsidRPr="0028614E" w:rsidRDefault="007360B6" w:rsidP="007360B6">
            <w:pPr>
              <w:jc w:val="both"/>
              <w:rPr>
                <w:b/>
                <w:lang w:eastAsia="x-none"/>
              </w:rPr>
            </w:pPr>
            <w:r w:rsidRPr="0028614E">
              <w:rPr>
                <w:b/>
                <w:lang w:eastAsia="x-none"/>
              </w:rPr>
              <w:lastRenderedPageBreak/>
              <w:t>Ņemts vērā</w:t>
            </w:r>
          </w:p>
          <w:p w14:paraId="6D79A220" w14:textId="3593DDBC" w:rsidR="007360B6" w:rsidRPr="0028614E" w:rsidRDefault="007360B6" w:rsidP="007360B6">
            <w:pPr>
              <w:jc w:val="both"/>
              <w:rPr>
                <w:lang w:eastAsia="x-none"/>
              </w:rPr>
            </w:pPr>
            <w:r w:rsidRPr="0028614E">
              <w:rPr>
                <w:lang w:eastAsia="x-none"/>
              </w:rPr>
              <w:t xml:space="preserve">Konceptuālais ziņojums ir izstrādāts, lai izpildītu likuma “Par piesārņojumu” Pārejas noteikumos noteikto uzdevumu Ministru kabinetam pieņemt lēmumu atbalstīt bezmaksas emisijas kvotu piešķiršanu elektroenerģijas ražošanai vai lēmumu šādu piešķiršanu neatbalstīt. </w:t>
            </w:r>
          </w:p>
          <w:p w14:paraId="642E7088" w14:textId="77777777" w:rsidR="007360B6" w:rsidRPr="0028614E" w:rsidRDefault="007360B6" w:rsidP="007360B6">
            <w:pPr>
              <w:jc w:val="both"/>
              <w:rPr>
                <w:lang w:eastAsia="x-none"/>
              </w:rPr>
            </w:pPr>
          </w:p>
          <w:p w14:paraId="4B9E4731" w14:textId="7DB0B373" w:rsidR="007360B6" w:rsidRPr="0028614E" w:rsidRDefault="007360B6" w:rsidP="007360B6">
            <w:pPr>
              <w:jc w:val="both"/>
              <w:rPr>
                <w:lang w:eastAsia="x-none"/>
              </w:rPr>
            </w:pPr>
            <w:r w:rsidRPr="0028614E">
              <w:rPr>
                <w:lang w:eastAsia="x-none"/>
              </w:rPr>
              <w:t>Informējam, ka pēc konceptuālā ziņojuma apstiprināšanas VARAM plāno sarunas, iesaistot Ekonomikas ministriju, Satiksmes ministriju un Zemkopības ministriju, lai panāktu vienošanos par Direktīvas Nr. 2003/87/EK 10.d pantā noteiktajām iespējamajām darbībām ar Latvijai pieejamām emisijas kvotām.</w:t>
            </w:r>
          </w:p>
        </w:tc>
        <w:tc>
          <w:tcPr>
            <w:tcW w:w="3118" w:type="dxa"/>
            <w:tcBorders>
              <w:top w:val="single" w:sz="4" w:space="0" w:color="auto"/>
              <w:left w:val="single" w:sz="4" w:space="0" w:color="auto"/>
              <w:bottom w:val="single" w:sz="4" w:space="0" w:color="auto"/>
            </w:tcBorders>
          </w:tcPr>
          <w:p w14:paraId="121E0868" w14:textId="77777777" w:rsidR="007360B6" w:rsidRPr="0028614E" w:rsidRDefault="007360B6" w:rsidP="007360B6">
            <w:pPr>
              <w:jc w:val="both"/>
              <w:rPr>
                <w:rFonts w:eastAsia="Calibri"/>
              </w:rPr>
            </w:pPr>
          </w:p>
        </w:tc>
      </w:tr>
      <w:tr w:rsidR="007360B6" w:rsidRPr="0028614E" w14:paraId="28F7A1AB" w14:textId="77777777" w:rsidTr="00990F63">
        <w:tc>
          <w:tcPr>
            <w:tcW w:w="559" w:type="dxa"/>
            <w:tcBorders>
              <w:top w:val="single" w:sz="6" w:space="0" w:color="000000"/>
              <w:left w:val="single" w:sz="6" w:space="0" w:color="000000"/>
              <w:bottom w:val="single" w:sz="6" w:space="0" w:color="000000"/>
              <w:right w:val="single" w:sz="6" w:space="0" w:color="000000"/>
            </w:tcBorders>
          </w:tcPr>
          <w:p w14:paraId="226AD4A6" w14:textId="515DA135" w:rsidR="007360B6" w:rsidRPr="0028614E" w:rsidRDefault="00990F63" w:rsidP="00990F63">
            <w:pPr>
              <w:pStyle w:val="naisc"/>
              <w:spacing w:before="0" w:after="0"/>
              <w:jc w:val="left"/>
            </w:pPr>
            <w:r w:rsidRPr="0028614E">
              <w:t>12.</w:t>
            </w:r>
          </w:p>
        </w:tc>
        <w:tc>
          <w:tcPr>
            <w:tcW w:w="3402" w:type="dxa"/>
            <w:tcBorders>
              <w:top w:val="single" w:sz="6" w:space="0" w:color="000000"/>
              <w:left w:val="single" w:sz="6" w:space="0" w:color="000000"/>
              <w:bottom w:val="single" w:sz="6" w:space="0" w:color="000000"/>
              <w:right w:val="single" w:sz="6" w:space="0" w:color="000000"/>
            </w:tcBorders>
          </w:tcPr>
          <w:p w14:paraId="776CA6EA" w14:textId="38170F2E" w:rsidR="007360B6" w:rsidRPr="0028614E" w:rsidRDefault="007360B6" w:rsidP="007360B6">
            <w:pPr>
              <w:jc w:val="both"/>
              <w:rPr>
                <w:b/>
              </w:rPr>
            </w:pPr>
            <w:r w:rsidRPr="0028614E">
              <w:rPr>
                <w:b/>
              </w:rPr>
              <w:t>Vispārīgi</w:t>
            </w:r>
          </w:p>
        </w:tc>
        <w:tc>
          <w:tcPr>
            <w:tcW w:w="4111" w:type="dxa"/>
            <w:tcBorders>
              <w:top w:val="single" w:sz="6" w:space="0" w:color="000000"/>
              <w:left w:val="single" w:sz="6" w:space="0" w:color="000000"/>
              <w:bottom w:val="single" w:sz="6" w:space="0" w:color="000000"/>
              <w:right w:val="single" w:sz="6" w:space="0" w:color="000000"/>
            </w:tcBorders>
          </w:tcPr>
          <w:p w14:paraId="1DFDDEEF" w14:textId="77777777" w:rsidR="007360B6" w:rsidRPr="0028614E" w:rsidRDefault="007360B6" w:rsidP="007360B6">
            <w:pPr>
              <w:widowControl w:val="0"/>
              <w:jc w:val="both"/>
              <w:rPr>
                <w:b/>
              </w:rPr>
            </w:pPr>
            <w:r w:rsidRPr="0028614E">
              <w:rPr>
                <w:b/>
              </w:rPr>
              <w:t>Ekonomikas ministrijas 23.05.2019 atzinums</w:t>
            </w:r>
          </w:p>
          <w:p w14:paraId="38D6674A" w14:textId="76ABA6E0" w:rsidR="007360B6" w:rsidRPr="0028614E" w:rsidRDefault="007360B6" w:rsidP="007360B6">
            <w:pPr>
              <w:widowControl w:val="0"/>
              <w:jc w:val="both"/>
              <w:rPr>
                <w:bCs/>
              </w:rPr>
            </w:pPr>
            <w:r w:rsidRPr="0028614E">
              <w:rPr>
                <w:bCs/>
              </w:rPr>
              <w:t>2) Lūdzam Ziņojuma projektā iekļaut informāciju arī par netiešiem ieguvumiem no modernizācijas projektu veikšanas</w:t>
            </w:r>
            <w:r w:rsidR="00E83C92">
              <w:rPr>
                <w:bCs/>
              </w:rPr>
              <w:t>.</w:t>
            </w:r>
          </w:p>
          <w:p w14:paraId="1E4C4B35" w14:textId="14455954" w:rsidR="007360B6" w:rsidRPr="0028614E" w:rsidRDefault="007360B6" w:rsidP="007360B6">
            <w:pPr>
              <w:widowControl w:val="0"/>
              <w:jc w:val="both"/>
              <w:rPr>
                <w:bCs/>
              </w:rPr>
            </w:pPr>
            <w:r w:rsidRPr="0028614E">
              <w:rPr>
                <w:bCs/>
              </w:rPr>
              <w:t xml:space="preserve">Šobrīd Ziņojuma projektā ir iekļauta tikai informācija par negatīvo ietekmi uz valsts budžetu tādā gadījumā, ja tiktu atbalstīta emisijas kvotu bezmaksas piešķiršana elektroenerģijas ražotājiem, tomēr nav pat pieminēti netiešie ieguvumi, kādi varētu veidoties valsts budžetā un sabiedrībai kopumā, ja, </w:t>
            </w:r>
            <w:r w:rsidRPr="0028614E">
              <w:rPr>
                <w:bCs/>
              </w:rPr>
              <w:lastRenderedPageBreak/>
              <w:t>piemēram, elektroenerģijas ražotāji īstenotu modernizācijas projektus.</w:t>
            </w:r>
          </w:p>
        </w:tc>
        <w:tc>
          <w:tcPr>
            <w:tcW w:w="3119" w:type="dxa"/>
            <w:tcBorders>
              <w:top w:val="single" w:sz="6" w:space="0" w:color="000000"/>
              <w:left w:val="single" w:sz="6" w:space="0" w:color="000000"/>
              <w:bottom w:val="single" w:sz="6" w:space="0" w:color="000000"/>
              <w:right w:val="single" w:sz="6" w:space="0" w:color="000000"/>
            </w:tcBorders>
          </w:tcPr>
          <w:p w14:paraId="3A98841C" w14:textId="77777777" w:rsidR="007360B6" w:rsidRPr="00FA5D94" w:rsidRDefault="007360B6" w:rsidP="007360B6">
            <w:pPr>
              <w:jc w:val="both"/>
              <w:rPr>
                <w:b/>
                <w:lang w:eastAsia="x-none"/>
              </w:rPr>
            </w:pPr>
            <w:r w:rsidRPr="00FA5D94">
              <w:rPr>
                <w:b/>
                <w:lang w:eastAsia="x-none"/>
              </w:rPr>
              <w:lastRenderedPageBreak/>
              <w:t>Daļēji ņemts vērā</w:t>
            </w:r>
          </w:p>
          <w:p w14:paraId="0810F5F9" w14:textId="77777777" w:rsidR="007360B6" w:rsidRPr="00FA5D94" w:rsidRDefault="007360B6" w:rsidP="007360B6">
            <w:pPr>
              <w:jc w:val="both"/>
              <w:rPr>
                <w:lang w:eastAsia="x-none"/>
              </w:rPr>
            </w:pPr>
            <w:r w:rsidRPr="00FA5D94">
              <w:rPr>
                <w:lang w:eastAsia="x-none"/>
              </w:rPr>
              <w:t xml:space="preserve">Konceptuālais ziņojums ir izstrādāts, lai izpildītu likuma “Par piesārņojumu” Pārejas noteikumos noteikto uzdevumu Ministru kabinetam pieņemt lēmumu atbalstīt bezmaksas emisijas kvotu piešķiršanu elektroenerģijas ražošanai vai lēmumu šādu piešķiršanu neatbalstīt. </w:t>
            </w:r>
          </w:p>
          <w:p w14:paraId="0DB91618" w14:textId="6B86DBDB" w:rsidR="007360B6" w:rsidRPr="00FA5D94" w:rsidRDefault="007360B6" w:rsidP="007360B6">
            <w:pPr>
              <w:jc w:val="both"/>
              <w:rPr>
                <w:lang w:eastAsia="x-none"/>
              </w:rPr>
            </w:pPr>
            <w:r w:rsidRPr="00FA5D94">
              <w:rPr>
                <w:lang w:eastAsia="x-none"/>
              </w:rPr>
              <w:t xml:space="preserve">VARAM ieskatā konceptuālā ziņojuma 7. tabulā ir aprakstīti </w:t>
            </w:r>
            <w:r w:rsidRPr="00FA5D94">
              <w:rPr>
                <w:lang w:eastAsia="x-none"/>
              </w:rPr>
              <w:lastRenderedPageBreak/>
              <w:t>potenciālie zaudējumi valsts budžetā, balstoties uz konceptuālajā ziņojumā aplūkotajiem scenārijiem.</w:t>
            </w:r>
          </w:p>
          <w:p w14:paraId="6FEDEED1" w14:textId="40820D2A" w:rsidR="007360B6" w:rsidRPr="0028614E" w:rsidRDefault="007360B6" w:rsidP="007360B6">
            <w:pPr>
              <w:jc w:val="both"/>
              <w:rPr>
                <w:lang w:eastAsia="x-none"/>
              </w:rPr>
            </w:pPr>
            <w:r w:rsidRPr="00FA5D94">
              <w:rPr>
                <w:lang w:eastAsia="x-none"/>
              </w:rPr>
              <w:t>Vienlaikus informējam, ka pēc konceptuālā ziņojuma apstiprināšanas VARAM plāno sarunas, iesaistot Ekonomikas ministriju, Satiksmes ministriju un Zemkopības ministriju, lai panāktu vienošanos par Direktīvas Nr. 2003/87/EK 10.d pantā noteiktajām iespējamajām darbībām ar Latvijai pieejamām emisijas kvotām.</w:t>
            </w:r>
          </w:p>
        </w:tc>
        <w:tc>
          <w:tcPr>
            <w:tcW w:w="3118" w:type="dxa"/>
            <w:tcBorders>
              <w:top w:val="single" w:sz="4" w:space="0" w:color="auto"/>
              <w:left w:val="single" w:sz="4" w:space="0" w:color="auto"/>
              <w:bottom w:val="single" w:sz="4" w:space="0" w:color="auto"/>
            </w:tcBorders>
          </w:tcPr>
          <w:p w14:paraId="15EFBB78" w14:textId="77777777" w:rsidR="007360B6" w:rsidRPr="0028614E" w:rsidRDefault="007360B6" w:rsidP="007360B6">
            <w:pPr>
              <w:jc w:val="both"/>
              <w:rPr>
                <w:rFonts w:eastAsia="Calibri"/>
              </w:rPr>
            </w:pPr>
          </w:p>
        </w:tc>
      </w:tr>
    </w:tbl>
    <w:p w14:paraId="7092ECFC" w14:textId="269FEA75" w:rsidR="00D45E44" w:rsidRPr="0028614E" w:rsidRDefault="006763BA" w:rsidP="00D45E44">
      <w:r w:rsidRPr="0028614E">
        <w:tab/>
      </w:r>
    </w:p>
    <w:p w14:paraId="4F9A7F60" w14:textId="77AFE458" w:rsidR="00D45E44" w:rsidRPr="0028614E" w:rsidRDefault="00D45E44" w:rsidP="00D45E44"/>
    <w:p w14:paraId="2EE060D3" w14:textId="77777777" w:rsidR="00D45E44" w:rsidRPr="0028614E" w:rsidRDefault="00D45E44" w:rsidP="00D45E44"/>
    <w:p w14:paraId="70EF3C77" w14:textId="77777777" w:rsidR="00D45E44" w:rsidRPr="0028614E" w:rsidRDefault="00D45E44" w:rsidP="00D45E44">
      <w:pPr>
        <w:rPr>
          <w:sz w:val="20"/>
          <w:szCs w:val="20"/>
        </w:rPr>
      </w:pPr>
      <w:r w:rsidRPr="0028614E">
        <w:rPr>
          <w:sz w:val="20"/>
          <w:szCs w:val="20"/>
        </w:rPr>
        <w:t xml:space="preserve">Atbildīgā amatpersona: </w:t>
      </w:r>
    </w:p>
    <w:p w14:paraId="1D1F4698" w14:textId="77777777" w:rsidR="009B5CB0" w:rsidRPr="0028614E" w:rsidRDefault="009B5CB0" w:rsidP="00D45E44">
      <w:pPr>
        <w:rPr>
          <w:sz w:val="20"/>
          <w:szCs w:val="20"/>
        </w:rPr>
      </w:pPr>
    </w:p>
    <w:p w14:paraId="24EF9BD1" w14:textId="164E1AC7" w:rsidR="00D45E44" w:rsidRPr="0028614E" w:rsidRDefault="00D45E44" w:rsidP="00D45E44">
      <w:pPr>
        <w:rPr>
          <w:sz w:val="20"/>
          <w:szCs w:val="20"/>
        </w:rPr>
      </w:pPr>
      <w:r w:rsidRPr="0028614E">
        <w:rPr>
          <w:sz w:val="20"/>
          <w:szCs w:val="20"/>
        </w:rPr>
        <w:t>E.</w:t>
      </w:r>
      <w:r w:rsidR="00BA781C">
        <w:rPr>
          <w:sz w:val="20"/>
          <w:szCs w:val="20"/>
        </w:rPr>
        <w:t> </w:t>
      </w:r>
      <w:r w:rsidRPr="0028614E">
        <w:rPr>
          <w:sz w:val="20"/>
          <w:szCs w:val="20"/>
        </w:rPr>
        <w:t xml:space="preserve">Baltroka, </w:t>
      </w:r>
      <w:hyperlink r:id="rId8" w:history="1">
        <w:r w:rsidRPr="0028614E">
          <w:rPr>
            <w:rStyle w:val="Hyperlink"/>
            <w:sz w:val="20"/>
            <w:szCs w:val="20"/>
          </w:rPr>
          <w:t>elina.baltroka@varam.gov.lv</w:t>
        </w:r>
      </w:hyperlink>
      <w:r w:rsidRPr="0028614E">
        <w:rPr>
          <w:sz w:val="20"/>
          <w:szCs w:val="20"/>
        </w:rPr>
        <w:t>;</w:t>
      </w:r>
    </w:p>
    <w:p w14:paraId="47318044" w14:textId="4D660D33" w:rsidR="00551B1F" w:rsidRPr="0028614E" w:rsidRDefault="00551B1F" w:rsidP="00D45E44">
      <w:pPr>
        <w:rPr>
          <w:sz w:val="20"/>
          <w:szCs w:val="20"/>
        </w:rPr>
      </w:pPr>
      <w:r w:rsidRPr="0028614E">
        <w:rPr>
          <w:sz w:val="20"/>
          <w:szCs w:val="20"/>
        </w:rPr>
        <w:t>G.</w:t>
      </w:r>
      <w:r w:rsidR="00BA781C">
        <w:rPr>
          <w:sz w:val="20"/>
          <w:szCs w:val="20"/>
        </w:rPr>
        <w:t> </w:t>
      </w:r>
      <w:bookmarkStart w:id="0" w:name="_GoBack"/>
      <w:bookmarkEnd w:id="0"/>
      <w:r w:rsidRPr="0028614E">
        <w:rPr>
          <w:sz w:val="20"/>
          <w:szCs w:val="20"/>
        </w:rPr>
        <w:t xml:space="preserve">Zustenieks, </w:t>
      </w:r>
      <w:hyperlink r:id="rId9" w:history="1">
        <w:r w:rsidRPr="0028614E">
          <w:rPr>
            <w:rStyle w:val="Hyperlink"/>
            <w:sz w:val="20"/>
            <w:szCs w:val="20"/>
          </w:rPr>
          <w:t>gusts.zustenieks@varam.gov.lv</w:t>
        </w:r>
      </w:hyperlink>
      <w:r w:rsidRPr="0028614E">
        <w:rPr>
          <w:sz w:val="20"/>
          <w:szCs w:val="20"/>
        </w:rPr>
        <w:t xml:space="preserve"> </w:t>
      </w:r>
    </w:p>
    <w:sectPr w:rsidR="00551B1F" w:rsidRPr="0028614E" w:rsidSect="001D6E1B">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FBD15" w14:textId="77777777" w:rsidR="00055C47" w:rsidRDefault="00055C47" w:rsidP="00D45E44">
      <w:r>
        <w:separator/>
      </w:r>
    </w:p>
  </w:endnote>
  <w:endnote w:type="continuationSeparator" w:id="0">
    <w:p w14:paraId="3E318BB2" w14:textId="77777777" w:rsidR="00055C47" w:rsidRDefault="00055C47" w:rsidP="00D45E44">
      <w:r>
        <w:continuationSeparator/>
      </w:r>
    </w:p>
  </w:endnote>
  <w:endnote w:type="continuationNotice" w:id="1">
    <w:p w14:paraId="7AC32D00" w14:textId="77777777" w:rsidR="00D72ADF" w:rsidRDefault="00D72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DokChampa">
    <w:charset w:val="00"/>
    <w:family w:val="swiss"/>
    <w:pitch w:val="variable"/>
    <w:sig w:usb0="03000003" w:usb1="00000000" w:usb2="00000000" w:usb3="00000000" w:csb0="00010001" w:csb1="00000000"/>
  </w:font>
  <w:font w:name="Verdana">
    <w:panose1 w:val="020B0604030504040204"/>
    <w:charset w:val="BA"/>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78124" w14:textId="0A16912A" w:rsidR="00055C47" w:rsidRPr="00446AE4" w:rsidRDefault="00055C47" w:rsidP="001D6E1B">
    <w:pPr>
      <w:pStyle w:val="Footer"/>
      <w:rPr>
        <w:sz w:val="20"/>
        <w:szCs w:val="20"/>
      </w:rPr>
    </w:pPr>
    <w:r w:rsidRPr="00446AE4">
      <w:rPr>
        <w:sz w:val="20"/>
        <w:szCs w:val="20"/>
      </w:rPr>
      <w:fldChar w:fldCharType="begin"/>
    </w:r>
    <w:r w:rsidRPr="00446AE4">
      <w:rPr>
        <w:sz w:val="20"/>
        <w:szCs w:val="20"/>
      </w:rPr>
      <w:instrText xml:space="preserve"> FILENAME   \* MERGEFORMAT </w:instrText>
    </w:r>
    <w:r w:rsidRPr="00446AE4">
      <w:rPr>
        <w:sz w:val="20"/>
        <w:szCs w:val="20"/>
      </w:rPr>
      <w:fldChar w:fldCharType="separate"/>
    </w:r>
    <w:r>
      <w:rPr>
        <w:noProof/>
        <w:sz w:val="20"/>
        <w:szCs w:val="20"/>
      </w:rPr>
      <w:t>VARAMIzz_180619_bezmaksas_kvotu_pieskirsana</w:t>
    </w:r>
    <w:r w:rsidRPr="00446AE4">
      <w:rPr>
        <w:sz w:val="20"/>
        <w:szCs w:val="20"/>
      </w:rPr>
      <w:fldChar w:fldCharType="end"/>
    </w:r>
  </w:p>
  <w:p w14:paraId="0FA237A5" w14:textId="77777777" w:rsidR="00055C47" w:rsidRPr="00F13E2F" w:rsidRDefault="00055C47">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5E2CE" w14:textId="054BEB33" w:rsidR="00055C47" w:rsidRPr="00B67DFF" w:rsidRDefault="00055C47">
    <w:pPr>
      <w:pStyle w:val="Footer"/>
      <w:rPr>
        <w:sz w:val="20"/>
        <w:szCs w:val="20"/>
      </w:rPr>
    </w:pPr>
    <w:r w:rsidRPr="00B67DFF">
      <w:rPr>
        <w:sz w:val="20"/>
        <w:szCs w:val="20"/>
      </w:rPr>
      <w:fldChar w:fldCharType="begin"/>
    </w:r>
    <w:r w:rsidRPr="00B67DFF">
      <w:rPr>
        <w:sz w:val="20"/>
        <w:szCs w:val="20"/>
      </w:rPr>
      <w:instrText xml:space="preserve"> FILENAME   \* MERGEFORMAT </w:instrText>
    </w:r>
    <w:r w:rsidRPr="00B67DFF">
      <w:rPr>
        <w:sz w:val="20"/>
        <w:szCs w:val="20"/>
      </w:rPr>
      <w:fldChar w:fldCharType="separate"/>
    </w:r>
    <w:r>
      <w:rPr>
        <w:noProof/>
        <w:sz w:val="20"/>
        <w:szCs w:val="20"/>
      </w:rPr>
      <w:t>VARAMIzz_180619_bezmaksas_kvotu_pieskirsana</w:t>
    </w:r>
    <w:r w:rsidRPr="00B67DFF">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65055" w14:textId="77777777" w:rsidR="00055C47" w:rsidRDefault="00055C47" w:rsidP="00D45E44">
      <w:r>
        <w:separator/>
      </w:r>
    </w:p>
  </w:footnote>
  <w:footnote w:type="continuationSeparator" w:id="0">
    <w:p w14:paraId="508A2FD1" w14:textId="77777777" w:rsidR="00055C47" w:rsidRDefault="00055C47" w:rsidP="00D45E44">
      <w:r>
        <w:continuationSeparator/>
      </w:r>
    </w:p>
  </w:footnote>
  <w:footnote w:type="continuationNotice" w:id="1">
    <w:p w14:paraId="2AFAA0DF" w14:textId="77777777" w:rsidR="00D72ADF" w:rsidRDefault="00D72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8D69F" w14:textId="77777777" w:rsidR="00055C47" w:rsidRDefault="00055C47"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2E81A2" w14:textId="77777777" w:rsidR="00055C47" w:rsidRDefault="00055C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B56A5" w14:textId="77777777" w:rsidR="00055C47" w:rsidRDefault="00055C47" w:rsidP="001D6E1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81C">
      <w:rPr>
        <w:rStyle w:val="PageNumber"/>
        <w:noProof/>
      </w:rPr>
      <w:t>2</w:t>
    </w:r>
    <w:r>
      <w:rPr>
        <w:rStyle w:val="PageNumber"/>
      </w:rPr>
      <w:fldChar w:fldCharType="end"/>
    </w:r>
  </w:p>
  <w:p w14:paraId="6FB7C138" w14:textId="77777777" w:rsidR="00055C47" w:rsidRDefault="00055C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C3"/>
    <w:multiLevelType w:val="hybridMultilevel"/>
    <w:tmpl w:val="DA326BB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 w15:restartNumberingAfterBreak="0">
    <w:nsid w:val="08165DD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051C34"/>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D57703"/>
    <w:multiLevelType w:val="hybridMultilevel"/>
    <w:tmpl w:val="CFD0E8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6AB5B49"/>
    <w:multiLevelType w:val="hybridMultilevel"/>
    <w:tmpl w:val="7E3E926A"/>
    <w:lvl w:ilvl="0" w:tplc="5DA044DE">
      <w:start w:val="1"/>
      <w:numFmt w:val="bullet"/>
      <w:lvlText w:val="-"/>
      <w:lvlJc w:val="left"/>
      <w:pPr>
        <w:ind w:left="405" w:hanging="360"/>
      </w:pPr>
      <w:rPr>
        <w:rFonts w:ascii="Times New Roman" w:eastAsia="Times New Roman" w:hAnsi="Times New Roman" w:cs="Times New Roman"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5"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6" w15:restartNumberingAfterBreak="0">
    <w:nsid w:val="1BC21881"/>
    <w:multiLevelType w:val="hybridMultilevel"/>
    <w:tmpl w:val="1DB0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081A35"/>
    <w:multiLevelType w:val="hybridMultilevel"/>
    <w:tmpl w:val="59A4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9650A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9" w15:restartNumberingAfterBreak="0">
    <w:nsid w:val="290969D5"/>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FD6027"/>
    <w:multiLevelType w:val="hybridMultilevel"/>
    <w:tmpl w:val="2AC069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87F1E0E"/>
    <w:multiLevelType w:val="multilevel"/>
    <w:tmpl w:val="7D9C4ADE"/>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99D0535"/>
    <w:multiLevelType w:val="hybridMultilevel"/>
    <w:tmpl w:val="A22C23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BE4A3A"/>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D05FEC"/>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363DD1"/>
    <w:multiLevelType w:val="hybridMultilevel"/>
    <w:tmpl w:val="9B769BB6"/>
    <w:lvl w:ilvl="0" w:tplc="101A3428">
      <w:start w:val="1"/>
      <w:numFmt w:val="bullet"/>
      <w:lvlText w:val="•"/>
      <w:lvlJc w:val="left"/>
      <w:pPr>
        <w:tabs>
          <w:tab w:val="num" w:pos="720"/>
        </w:tabs>
        <w:ind w:left="720" w:hanging="360"/>
      </w:pPr>
      <w:rPr>
        <w:rFonts w:ascii="Times New Roman" w:hAnsi="Times New Roman" w:hint="default"/>
      </w:rPr>
    </w:lvl>
    <w:lvl w:ilvl="1" w:tplc="35B00B7E" w:tentative="1">
      <w:start w:val="1"/>
      <w:numFmt w:val="bullet"/>
      <w:lvlText w:val="•"/>
      <w:lvlJc w:val="left"/>
      <w:pPr>
        <w:tabs>
          <w:tab w:val="num" w:pos="1440"/>
        </w:tabs>
        <w:ind w:left="1440" w:hanging="360"/>
      </w:pPr>
      <w:rPr>
        <w:rFonts w:ascii="Times New Roman" w:hAnsi="Times New Roman" w:hint="default"/>
      </w:rPr>
    </w:lvl>
    <w:lvl w:ilvl="2" w:tplc="4D0E9006" w:tentative="1">
      <w:start w:val="1"/>
      <w:numFmt w:val="bullet"/>
      <w:lvlText w:val="•"/>
      <w:lvlJc w:val="left"/>
      <w:pPr>
        <w:tabs>
          <w:tab w:val="num" w:pos="2160"/>
        </w:tabs>
        <w:ind w:left="2160" w:hanging="360"/>
      </w:pPr>
      <w:rPr>
        <w:rFonts w:ascii="Times New Roman" w:hAnsi="Times New Roman" w:hint="default"/>
      </w:rPr>
    </w:lvl>
    <w:lvl w:ilvl="3" w:tplc="C9D0E1EE" w:tentative="1">
      <w:start w:val="1"/>
      <w:numFmt w:val="bullet"/>
      <w:lvlText w:val="•"/>
      <w:lvlJc w:val="left"/>
      <w:pPr>
        <w:tabs>
          <w:tab w:val="num" w:pos="2880"/>
        </w:tabs>
        <w:ind w:left="2880" w:hanging="360"/>
      </w:pPr>
      <w:rPr>
        <w:rFonts w:ascii="Times New Roman" w:hAnsi="Times New Roman" w:hint="default"/>
      </w:rPr>
    </w:lvl>
    <w:lvl w:ilvl="4" w:tplc="E84672AC" w:tentative="1">
      <w:start w:val="1"/>
      <w:numFmt w:val="bullet"/>
      <w:lvlText w:val="•"/>
      <w:lvlJc w:val="left"/>
      <w:pPr>
        <w:tabs>
          <w:tab w:val="num" w:pos="3600"/>
        </w:tabs>
        <w:ind w:left="3600" w:hanging="360"/>
      </w:pPr>
      <w:rPr>
        <w:rFonts w:ascii="Times New Roman" w:hAnsi="Times New Roman" w:hint="default"/>
      </w:rPr>
    </w:lvl>
    <w:lvl w:ilvl="5" w:tplc="9F5621FE" w:tentative="1">
      <w:start w:val="1"/>
      <w:numFmt w:val="bullet"/>
      <w:lvlText w:val="•"/>
      <w:lvlJc w:val="left"/>
      <w:pPr>
        <w:tabs>
          <w:tab w:val="num" w:pos="4320"/>
        </w:tabs>
        <w:ind w:left="4320" w:hanging="360"/>
      </w:pPr>
      <w:rPr>
        <w:rFonts w:ascii="Times New Roman" w:hAnsi="Times New Roman" w:hint="default"/>
      </w:rPr>
    </w:lvl>
    <w:lvl w:ilvl="6" w:tplc="89A6211E" w:tentative="1">
      <w:start w:val="1"/>
      <w:numFmt w:val="bullet"/>
      <w:lvlText w:val="•"/>
      <w:lvlJc w:val="left"/>
      <w:pPr>
        <w:tabs>
          <w:tab w:val="num" w:pos="5040"/>
        </w:tabs>
        <w:ind w:left="5040" w:hanging="360"/>
      </w:pPr>
      <w:rPr>
        <w:rFonts w:ascii="Times New Roman" w:hAnsi="Times New Roman" w:hint="default"/>
      </w:rPr>
    </w:lvl>
    <w:lvl w:ilvl="7" w:tplc="FC2847EA" w:tentative="1">
      <w:start w:val="1"/>
      <w:numFmt w:val="bullet"/>
      <w:lvlText w:val="•"/>
      <w:lvlJc w:val="left"/>
      <w:pPr>
        <w:tabs>
          <w:tab w:val="num" w:pos="5760"/>
        </w:tabs>
        <w:ind w:left="5760" w:hanging="360"/>
      </w:pPr>
      <w:rPr>
        <w:rFonts w:ascii="Times New Roman" w:hAnsi="Times New Roman" w:hint="default"/>
      </w:rPr>
    </w:lvl>
    <w:lvl w:ilvl="8" w:tplc="327C4F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D044E98"/>
    <w:multiLevelType w:val="hybridMultilevel"/>
    <w:tmpl w:val="0016C310"/>
    <w:lvl w:ilvl="0" w:tplc="DE5AA668">
      <w:start w:val="1"/>
      <w:numFmt w:val="decimal"/>
      <w:lvlText w:val="%1)"/>
      <w:lvlJc w:val="left"/>
      <w:pPr>
        <w:ind w:left="360" w:hanging="360"/>
      </w:pPr>
      <w:rPr>
        <w:rFonts w:hint="default"/>
      </w:rPr>
    </w:lvl>
    <w:lvl w:ilvl="1" w:tplc="956260A0" w:tentative="1">
      <w:start w:val="1"/>
      <w:numFmt w:val="lowerLetter"/>
      <w:lvlText w:val="%2."/>
      <w:lvlJc w:val="left"/>
      <w:pPr>
        <w:ind w:left="1080" w:hanging="360"/>
      </w:pPr>
    </w:lvl>
    <w:lvl w:ilvl="2" w:tplc="3AE25218" w:tentative="1">
      <w:start w:val="1"/>
      <w:numFmt w:val="lowerRoman"/>
      <w:lvlText w:val="%3."/>
      <w:lvlJc w:val="right"/>
      <w:pPr>
        <w:ind w:left="1800" w:hanging="180"/>
      </w:pPr>
    </w:lvl>
    <w:lvl w:ilvl="3" w:tplc="E1029D96" w:tentative="1">
      <w:start w:val="1"/>
      <w:numFmt w:val="decimal"/>
      <w:lvlText w:val="%4."/>
      <w:lvlJc w:val="left"/>
      <w:pPr>
        <w:ind w:left="2520" w:hanging="360"/>
      </w:pPr>
    </w:lvl>
    <w:lvl w:ilvl="4" w:tplc="1DDCCF0A" w:tentative="1">
      <w:start w:val="1"/>
      <w:numFmt w:val="lowerLetter"/>
      <w:lvlText w:val="%5."/>
      <w:lvlJc w:val="left"/>
      <w:pPr>
        <w:ind w:left="3240" w:hanging="360"/>
      </w:pPr>
    </w:lvl>
    <w:lvl w:ilvl="5" w:tplc="40DA718A" w:tentative="1">
      <w:start w:val="1"/>
      <w:numFmt w:val="lowerRoman"/>
      <w:lvlText w:val="%6."/>
      <w:lvlJc w:val="right"/>
      <w:pPr>
        <w:ind w:left="3960" w:hanging="180"/>
      </w:pPr>
    </w:lvl>
    <w:lvl w:ilvl="6" w:tplc="1BEEEF30" w:tentative="1">
      <w:start w:val="1"/>
      <w:numFmt w:val="decimal"/>
      <w:lvlText w:val="%7."/>
      <w:lvlJc w:val="left"/>
      <w:pPr>
        <w:ind w:left="4680" w:hanging="360"/>
      </w:pPr>
    </w:lvl>
    <w:lvl w:ilvl="7" w:tplc="B6986388" w:tentative="1">
      <w:start w:val="1"/>
      <w:numFmt w:val="lowerLetter"/>
      <w:lvlText w:val="%8."/>
      <w:lvlJc w:val="left"/>
      <w:pPr>
        <w:ind w:left="5400" w:hanging="360"/>
      </w:pPr>
    </w:lvl>
    <w:lvl w:ilvl="8" w:tplc="C110208C" w:tentative="1">
      <w:start w:val="1"/>
      <w:numFmt w:val="lowerRoman"/>
      <w:lvlText w:val="%9."/>
      <w:lvlJc w:val="right"/>
      <w:pPr>
        <w:ind w:left="6120" w:hanging="180"/>
      </w:pPr>
    </w:lvl>
  </w:abstractNum>
  <w:abstractNum w:abstractNumId="17" w15:restartNumberingAfterBreak="0">
    <w:nsid w:val="4E293C01"/>
    <w:multiLevelType w:val="hybridMultilevel"/>
    <w:tmpl w:val="7DEEA85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0D54A28"/>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9" w15:restartNumberingAfterBreak="0">
    <w:nsid w:val="589504CD"/>
    <w:multiLevelType w:val="hybridMultilevel"/>
    <w:tmpl w:val="A450038A"/>
    <w:lvl w:ilvl="0" w:tplc="028E6448">
      <w:start w:val="1"/>
      <w:numFmt w:val="decimal"/>
      <w:lvlText w:val="%1."/>
      <w:lvlJc w:val="left"/>
      <w:pPr>
        <w:ind w:left="653" w:hanging="360"/>
      </w:pPr>
      <w:rPr>
        <w:rFonts w:ascii="Times New Roman" w:eastAsia="Times New Roman" w:hAnsi="Times New Roman" w:cs="Times New Roman"/>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0" w15:restartNumberingAfterBreak="0">
    <w:nsid w:val="5B673CEC"/>
    <w:multiLevelType w:val="hybridMultilevel"/>
    <w:tmpl w:val="30D60B22"/>
    <w:lvl w:ilvl="0" w:tplc="644E8914">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1">
    <w:nsid w:val="69955616"/>
    <w:multiLevelType w:val="hybridMultilevel"/>
    <w:tmpl w:val="25081F8C"/>
    <w:lvl w:ilvl="0" w:tplc="FFFFFFFF">
      <w:start w:val="1"/>
      <w:numFmt w:val="decimal"/>
      <w:lvlText w:val="%1)"/>
      <w:lvlJc w:val="left"/>
      <w:pPr>
        <w:ind w:left="1211"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69FD4BA9"/>
    <w:multiLevelType w:val="hybridMultilevel"/>
    <w:tmpl w:val="9ACC08C0"/>
    <w:lvl w:ilvl="0" w:tplc="354E79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6D6A38EB"/>
    <w:multiLevelType w:val="hybridMultilevel"/>
    <w:tmpl w:val="BD0891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4227A7"/>
    <w:multiLevelType w:val="hybridMultilevel"/>
    <w:tmpl w:val="BEF67F7E"/>
    <w:lvl w:ilvl="0" w:tplc="740A0DD4">
      <w:numFmt w:val="bullet"/>
      <w:lvlText w:val="-"/>
      <w:lvlJc w:val="left"/>
      <w:pPr>
        <w:ind w:left="720" w:hanging="360"/>
      </w:pPr>
      <w:rPr>
        <w:rFonts w:ascii="Calibri" w:eastAsia="Times New Roman" w:hAnsi="Calibri" w:cs="Calibri"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5465872"/>
    <w:multiLevelType w:val="hybridMultilevel"/>
    <w:tmpl w:val="B75CECDA"/>
    <w:lvl w:ilvl="0" w:tplc="B92EC43C">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80120D7"/>
    <w:multiLevelType w:val="hybridMultilevel"/>
    <w:tmpl w:val="6EA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BE25152"/>
    <w:multiLevelType w:val="hybridMultilevel"/>
    <w:tmpl w:val="6EEA9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512479"/>
    <w:multiLevelType w:val="multilevel"/>
    <w:tmpl w:val="C9F6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6"/>
  </w:num>
  <w:num w:numId="3">
    <w:abstractNumId w:val="9"/>
  </w:num>
  <w:num w:numId="4">
    <w:abstractNumId w:val="20"/>
  </w:num>
  <w:num w:numId="5">
    <w:abstractNumId w:val="2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4"/>
  </w:num>
  <w:num w:numId="11">
    <w:abstractNumId w:val="19"/>
  </w:num>
  <w:num w:numId="12">
    <w:abstractNumId w:val="26"/>
  </w:num>
  <w:num w:numId="13">
    <w:abstractNumId w:val="14"/>
  </w:num>
  <w:num w:numId="14">
    <w:abstractNumId w:val="2"/>
  </w:num>
  <w:num w:numId="15">
    <w:abstractNumId w:val="7"/>
  </w:num>
  <w:num w:numId="16">
    <w:abstractNumId w:val="12"/>
  </w:num>
  <w:num w:numId="17">
    <w:abstractNumId w:val="0"/>
  </w:num>
  <w:num w:numId="18">
    <w:abstractNumId w:val="27"/>
  </w:num>
  <w:num w:numId="19">
    <w:abstractNumId w:val="23"/>
  </w:num>
  <w:num w:numId="20">
    <w:abstractNumId w:val="11"/>
  </w:num>
  <w:num w:numId="21">
    <w:abstractNumId w:val="28"/>
  </w:num>
  <w:num w:numId="22">
    <w:abstractNumId w:val="17"/>
  </w:num>
  <w:num w:numId="23">
    <w:abstractNumId w:val="3"/>
  </w:num>
  <w:num w:numId="24">
    <w:abstractNumId w:val="24"/>
  </w:num>
  <w:num w:numId="25">
    <w:abstractNumId w:val="15"/>
  </w:num>
  <w:num w:numId="26">
    <w:abstractNumId w:val="10"/>
  </w:num>
  <w:num w:numId="27">
    <w:abstractNumId w:val="1"/>
  </w:num>
  <w:num w:numId="28">
    <w:abstractNumId w:val="8"/>
  </w:num>
  <w:num w:numId="29">
    <w:abstractNumId w:val="16"/>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E44"/>
    <w:rsid w:val="000004F0"/>
    <w:rsid w:val="000107BB"/>
    <w:rsid w:val="00014269"/>
    <w:rsid w:val="000167EE"/>
    <w:rsid w:val="00020F84"/>
    <w:rsid w:val="00020F90"/>
    <w:rsid w:val="0002724B"/>
    <w:rsid w:val="00027EE6"/>
    <w:rsid w:val="00041ADA"/>
    <w:rsid w:val="000421BC"/>
    <w:rsid w:val="00044DC8"/>
    <w:rsid w:val="00055C47"/>
    <w:rsid w:val="0006239B"/>
    <w:rsid w:val="00064ECF"/>
    <w:rsid w:val="000733D2"/>
    <w:rsid w:val="000771AD"/>
    <w:rsid w:val="0008039F"/>
    <w:rsid w:val="00085592"/>
    <w:rsid w:val="00095C44"/>
    <w:rsid w:val="000967CD"/>
    <w:rsid w:val="000A08DF"/>
    <w:rsid w:val="000A168E"/>
    <w:rsid w:val="000A2A2D"/>
    <w:rsid w:val="000A3332"/>
    <w:rsid w:val="000A3669"/>
    <w:rsid w:val="000A6574"/>
    <w:rsid w:val="000A6D0D"/>
    <w:rsid w:val="000B038D"/>
    <w:rsid w:val="000B484F"/>
    <w:rsid w:val="000B67BF"/>
    <w:rsid w:val="000B7FDA"/>
    <w:rsid w:val="000C770E"/>
    <w:rsid w:val="000D681B"/>
    <w:rsid w:val="000E3959"/>
    <w:rsid w:val="000E5A2F"/>
    <w:rsid w:val="000E66EC"/>
    <w:rsid w:val="000E6AD1"/>
    <w:rsid w:val="000F3C46"/>
    <w:rsid w:val="000F525A"/>
    <w:rsid w:val="000F5917"/>
    <w:rsid w:val="00101E6D"/>
    <w:rsid w:val="00101F95"/>
    <w:rsid w:val="00116C08"/>
    <w:rsid w:val="00132389"/>
    <w:rsid w:val="0014391F"/>
    <w:rsid w:val="0015078D"/>
    <w:rsid w:val="00150B19"/>
    <w:rsid w:val="00163906"/>
    <w:rsid w:val="00173E96"/>
    <w:rsid w:val="0017647A"/>
    <w:rsid w:val="001767FB"/>
    <w:rsid w:val="00181AFD"/>
    <w:rsid w:val="001911F9"/>
    <w:rsid w:val="00191C11"/>
    <w:rsid w:val="001952D0"/>
    <w:rsid w:val="001A144B"/>
    <w:rsid w:val="001A265A"/>
    <w:rsid w:val="001C6111"/>
    <w:rsid w:val="001D6E1B"/>
    <w:rsid w:val="001D71DF"/>
    <w:rsid w:val="001D76DF"/>
    <w:rsid w:val="001E755A"/>
    <w:rsid w:val="001F5A6E"/>
    <w:rsid w:val="00201E76"/>
    <w:rsid w:val="00201E88"/>
    <w:rsid w:val="002159C3"/>
    <w:rsid w:val="00217B95"/>
    <w:rsid w:val="00223E2B"/>
    <w:rsid w:val="002444C2"/>
    <w:rsid w:val="002470C5"/>
    <w:rsid w:val="002472AA"/>
    <w:rsid w:val="00256C82"/>
    <w:rsid w:val="0026658A"/>
    <w:rsid w:val="00271D74"/>
    <w:rsid w:val="0028355B"/>
    <w:rsid w:val="0028614E"/>
    <w:rsid w:val="002A362D"/>
    <w:rsid w:val="002B04C5"/>
    <w:rsid w:val="002B0A7F"/>
    <w:rsid w:val="002B4E02"/>
    <w:rsid w:val="002D7310"/>
    <w:rsid w:val="002E04CA"/>
    <w:rsid w:val="002E2BCD"/>
    <w:rsid w:val="002E4396"/>
    <w:rsid w:val="002F1086"/>
    <w:rsid w:val="002F790E"/>
    <w:rsid w:val="00301564"/>
    <w:rsid w:val="00313F1C"/>
    <w:rsid w:val="00316EAB"/>
    <w:rsid w:val="0032311D"/>
    <w:rsid w:val="00331011"/>
    <w:rsid w:val="00350777"/>
    <w:rsid w:val="00355827"/>
    <w:rsid w:val="00365B11"/>
    <w:rsid w:val="003720E6"/>
    <w:rsid w:val="003723EF"/>
    <w:rsid w:val="00380C25"/>
    <w:rsid w:val="00384111"/>
    <w:rsid w:val="00387347"/>
    <w:rsid w:val="00391213"/>
    <w:rsid w:val="00392BD8"/>
    <w:rsid w:val="003942BF"/>
    <w:rsid w:val="003B2751"/>
    <w:rsid w:val="003B6862"/>
    <w:rsid w:val="003D07E3"/>
    <w:rsid w:val="003E546C"/>
    <w:rsid w:val="003F1F5F"/>
    <w:rsid w:val="00400729"/>
    <w:rsid w:val="004113EB"/>
    <w:rsid w:val="00413124"/>
    <w:rsid w:val="00414448"/>
    <w:rsid w:val="00414543"/>
    <w:rsid w:val="00433ADC"/>
    <w:rsid w:val="00453BE4"/>
    <w:rsid w:val="004614F2"/>
    <w:rsid w:val="00471885"/>
    <w:rsid w:val="00485C69"/>
    <w:rsid w:val="004A72C2"/>
    <w:rsid w:val="004B14CA"/>
    <w:rsid w:val="004B2243"/>
    <w:rsid w:val="004B245B"/>
    <w:rsid w:val="004B64A0"/>
    <w:rsid w:val="004C10B6"/>
    <w:rsid w:val="004C31D5"/>
    <w:rsid w:val="004D3F43"/>
    <w:rsid w:val="004D426B"/>
    <w:rsid w:val="00516B41"/>
    <w:rsid w:val="005229F6"/>
    <w:rsid w:val="00523668"/>
    <w:rsid w:val="0052601D"/>
    <w:rsid w:val="00531C73"/>
    <w:rsid w:val="00536FF8"/>
    <w:rsid w:val="005419E6"/>
    <w:rsid w:val="0054479C"/>
    <w:rsid w:val="00545763"/>
    <w:rsid w:val="0055161F"/>
    <w:rsid w:val="00551B1F"/>
    <w:rsid w:val="00554B2A"/>
    <w:rsid w:val="00561A7E"/>
    <w:rsid w:val="00562D42"/>
    <w:rsid w:val="00563C9C"/>
    <w:rsid w:val="005656FB"/>
    <w:rsid w:val="005831EE"/>
    <w:rsid w:val="00586C2C"/>
    <w:rsid w:val="00597B9C"/>
    <w:rsid w:val="005A5DE5"/>
    <w:rsid w:val="005A6746"/>
    <w:rsid w:val="005B331C"/>
    <w:rsid w:val="005D0565"/>
    <w:rsid w:val="005D46FF"/>
    <w:rsid w:val="005D68A6"/>
    <w:rsid w:val="005E2E1F"/>
    <w:rsid w:val="006001E1"/>
    <w:rsid w:val="006027EC"/>
    <w:rsid w:val="00606385"/>
    <w:rsid w:val="00622590"/>
    <w:rsid w:val="00637759"/>
    <w:rsid w:val="00646C64"/>
    <w:rsid w:val="00646D6E"/>
    <w:rsid w:val="00647D7F"/>
    <w:rsid w:val="00672E77"/>
    <w:rsid w:val="006763BA"/>
    <w:rsid w:val="006838F2"/>
    <w:rsid w:val="006859DE"/>
    <w:rsid w:val="006954E6"/>
    <w:rsid w:val="00697976"/>
    <w:rsid w:val="006A3483"/>
    <w:rsid w:val="006A601C"/>
    <w:rsid w:val="006D500A"/>
    <w:rsid w:val="006F0F44"/>
    <w:rsid w:val="006F5B54"/>
    <w:rsid w:val="00705CE2"/>
    <w:rsid w:val="00706469"/>
    <w:rsid w:val="007360B6"/>
    <w:rsid w:val="00737CA4"/>
    <w:rsid w:val="00741670"/>
    <w:rsid w:val="007469F0"/>
    <w:rsid w:val="00752991"/>
    <w:rsid w:val="00767692"/>
    <w:rsid w:val="007827FA"/>
    <w:rsid w:val="007838FC"/>
    <w:rsid w:val="00785181"/>
    <w:rsid w:val="007861D9"/>
    <w:rsid w:val="00792DB4"/>
    <w:rsid w:val="00794F96"/>
    <w:rsid w:val="007A454F"/>
    <w:rsid w:val="007B189F"/>
    <w:rsid w:val="007B4B1D"/>
    <w:rsid w:val="007B7544"/>
    <w:rsid w:val="007C69C3"/>
    <w:rsid w:val="007E338E"/>
    <w:rsid w:val="007E5D0C"/>
    <w:rsid w:val="007E67CB"/>
    <w:rsid w:val="007F1468"/>
    <w:rsid w:val="007F3A30"/>
    <w:rsid w:val="007F6690"/>
    <w:rsid w:val="008059BE"/>
    <w:rsid w:val="00807312"/>
    <w:rsid w:val="008110F3"/>
    <w:rsid w:val="0082691D"/>
    <w:rsid w:val="008302F6"/>
    <w:rsid w:val="008403DB"/>
    <w:rsid w:val="008469C8"/>
    <w:rsid w:val="00851D27"/>
    <w:rsid w:val="00867C3F"/>
    <w:rsid w:val="00872523"/>
    <w:rsid w:val="00883AE3"/>
    <w:rsid w:val="00890848"/>
    <w:rsid w:val="00891DEE"/>
    <w:rsid w:val="00893D37"/>
    <w:rsid w:val="008A14A0"/>
    <w:rsid w:val="008A6BCC"/>
    <w:rsid w:val="008B2891"/>
    <w:rsid w:val="008B3884"/>
    <w:rsid w:val="008B5445"/>
    <w:rsid w:val="008B6016"/>
    <w:rsid w:val="008C5407"/>
    <w:rsid w:val="008C62B8"/>
    <w:rsid w:val="008E0924"/>
    <w:rsid w:val="008E0A14"/>
    <w:rsid w:val="008E1F4F"/>
    <w:rsid w:val="008E3398"/>
    <w:rsid w:val="008E5D51"/>
    <w:rsid w:val="008E73A6"/>
    <w:rsid w:val="008F22AA"/>
    <w:rsid w:val="008F282E"/>
    <w:rsid w:val="00903B22"/>
    <w:rsid w:val="009178E1"/>
    <w:rsid w:val="009248DD"/>
    <w:rsid w:val="00930A01"/>
    <w:rsid w:val="00932B76"/>
    <w:rsid w:val="00941F38"/>
    <w:rsid w:val="009501BB"/>
    <w:rsid w:val="00950F3B"/>
    <w:rsid w:val="00966566"/>
    <w:rsid w:val="009668CD"/>
    <w:rsid w:val="0097289F"/>
    <w:rsid w:val="009866F3"/>
    <w:rsid w:val="009869F4"/>
    <w:rsid w:val="00990F63"/>
    <w:rsid w:val="009959BD"/>
    <w:rsid w:val="00995F5D"/>
    <w:rsid w:val="009A1CB0"/>
    <w:rsid w:val="009A4DCD"/>
    <w:rsid w:val="009A6A17"/>
    <w:rsid w:val="009B5CB0"/>
    <w:rsid w:val="009B7AA9"/>
    <w:rsid w:val="009C144C"/>
    <w:rsid w:val="009C53C2"/>
    <w:rsid w:val="009C7A15"/>
    <w:rsid w:val="009E0EF4"/>
    <w:rsid w:val="009E1E38"/>
    <w:rsid w:val="009E2F61"/>
    <w:rsid w:val="009F1361"/>
    <w:rsid w:val="009F5C16"/>
    <w:rsid w:val="00A05748"/>
    <w:rsid w:val="00A11015"/>
    <w:rsid w:val="00A134CB"/>
    <w:rsid w:val="00A15CA1"/>
    <w:rsid w:val="00A23695"/>
    <w:rsid w:val="00A24EFE"/>
    <w:rsid w:val="00A30AE7"/>
    <w:rsid w:val="00A33116"/>
    <w:rsid w:val="00A35912"/>
    <w:rsid w:val="00A35D6A"/>
    <w:rsid w:val="00A516F2"/>
    <w:rsid w:val="00A52339"/>
    <w:rsid w:val="00A62A90"/>
    <w:rsid w:val="00A66230"/>
    <w:rsid w:val="00A7572E"/>
    <w:rsid w:val="00A862B6"/>
    <w:rsid w:val="00A86A18"/>
    <w:rsid w:val="00A94945"/>
    <w:rsid w:val="00A94B9A"/>
    <w:rsid w:val="00AB7615"/>
    <w:rsid w:val="00AD112B"/>
    <w:rsid w:val="00AD2D2F"/>
    <w:rsid w:val="00AE1041"/>
    <w:rsid w:val="00AE3366"/>
    <w:rsid w:val="00AF578B"/>
    <w:rsid w:val="00B013EF"/>
    <w:rsid w:val="00B12240"/>
    <w:rsid w:val="00B15F3A"/>
    <w:rsid w:val="00B167E2"/>
    <w:rsid w:val="00B1699E"/>
    <w:rsid w:val="00B25E11"/>
    <w:rsid w:val="00B315D1"/>
    <w:rsid w:val="00B43708"/>
    <w:rsid w:val="00B44A55"/>
    <w:rsid w:val="00B452DE"/>
    <w:rsid w:val="00B45645"/>
    <w:rsid w:val="00B50587"/>
    <w:rsid w:val="00B51D54"/>
    <w:rsid w:val="00B54FED"/>
    <w:rsid w:val="00B613DC"/>
    <w:rsid w:val="00B62718"/>
    <w:rsid w:val="00B63775"/>
    <w:rsid w:val="00B679EE"/>
    <w:rsid w:val="00B734BB"/>
    <w:rsid w:val="00B75A38"/>
    <w:rsid w:val="00B804CB"/>
    <w:rsid w:val="00B80E4A"/>
    <w:rsid w:val="00B84333"/>
    <w:rsid w:val="00B84E16"/>
    <w:rsid w:val="00B91861"/>
    <w:rsid w:val="00B925F8"/>
    <w:rsid w:val="00B935C8"/>
    <w:rsid w:val="00B94F24"/>
    <w:rsid w:val="00BA0B2F"/>
    <w:rsid w:val="00BA3D81"/>
    <w:rsid w:val="00BA781C"/>
    <w:rsid w:val="00BB164E"/>
    <w:rsid w:val="00BB6956"/>
    <w:rsid w:val="00BC61A4"/>
    <w:rsid w:val="00BD104D"/>
    <w:rsid w:val="00BD3679"/>
    <w:rsid w:val="00BE1F5F"/>
    <w:rsid w:val="00BE5785"/>
    <w:rsid w:val="00BF2744"/>
    <w:rsid w:val="00BF451C"/>
    <w:rsid w:val="00BF7D5B"/>
    <w:rsid w:val="00C06FCA"/>
    <w:rsid w:val="00C10F74"/>
    <w:rsid w:val="00C12271"/>
    <w:rsid w:val="00C2260D"/>
    <w:rsid w:val="00C424EC"/>
    <w:rsid w:val="00C74DE9"/>
    <w:rsid w:val="00C80928"/>
    <w:rsid w:val="00C8316C"/>
    <w:rsid w:val="00C83854"/>
    <w:rsid w:val="00C921BE"/>
    <w:rsid w:val="00C9451C"/>
    <w:rsid w:val="00C95F40"/>
    <w:rsid w:val="00C97FF7"/>
    <w:rsid w:val="00CA374B"/>
    <w:rsid w:val="00CB52FD"/>
    <w:rsid w:val="00CB7825"/>
    <w:rsid w:val="00CC0004"/>
    <w:rsid w:val="00CC60EF"/>
    <w:rsid w:val="00CD4F46"/>
    <w:rsid w:val="00CD5136"/>
    <w:rsid w:val="00CE0CAE"/>
    <w:rsid w:val="00CE34FB"/>
    <w:rsid w:val="00CF7822"/>
    <w:rsid w:val="00D14824"/>
    <w:rsid w:val="00D268E6"/>
    <w:rsid w:val="00D41EC6"/>
    <w:rsid w:val="00D42445"/>
    <w:rsid w:val="00D44646"/>
    <w:rsid w:val="00D45E44"/>
    <w:rsid w:val="00D50C40"/>
    <w:rsid w:val="00D57314"/>
    <w:rsid w:val="00D63915"/>
    <w:rsid w:val="00D72ADF"/>
    <w:rsid w:val="00D8512D"/>
    <w:rsid w:val="00D8729E"/>
    <w:rsid w:val="00D923EA"/>
    <w:rsid w:val="00DA15F1"/>
    <w:rsid w:val="00DA79D7"/>
    <w:rsid w:val="00DB1795"/>
    <w:rsid w:val="00DB2526"/>
    <w:rsid w:val="00DB41FE"/>
    <w:rsid w:val="00DC0E2D"/>
    <w:rsid w:val="00E0237F"/>
    <w:rsid w:val="00E064F6"/>
    <w:rsid w:val="00E22124"/>
    <w:rsid w:val="00E32F64"/>
    <w:rsid w:val="00E365E8"/>
    <w:rsid w:val="00E43584"/>
    <w:rsid w:val="00E4677E"/>
    <w:rsid w:val="00E46A82"/>
    <w:rsid w:val="00E4702F"/>
    <w:rsid w:val="00E564DD"/>
    <w:rsid w:val="00E60BC7"/>
    <w:rsid w:val="00E63267"/>
    <w:rsid w:val="00E66F18"/>
    <w:rsid w:val="00E73FE8"/>
    <w:rsid w:val="00E76D27"/>
    <w:rsid w:val="00E80C3A"/>
    <w:rsid w:val="00E83C92"/>
    <w:rsid w:val="00E90B24"/>
    <w:rsid w:val="00E967A0"/>
    <w:rsid w:val="00EB48E9"/>
    <w:rsid w:val="00EB5BD2"/>
    <w:rsid w:val="00EC0006"/>
    <w:rsid w:val="00EC2BDF"/>
    <w:rsid w:val="00EC7EF4"/>
    <w:rsid w:val="00ED1B73"/>
    <w:rsid w:val="00ED5973"/>
    <w:rsid w:val="00EE3ACF"/>
    <w:rsid w:val="00EF1E6C"/>
    <w:rsid w:val="00EF2722"/>
    <w:rsid w:val="00EF58C4"/>
    <w:rsid w:val="00EF5DC0"/>
    <w:rsid w:val="00EF77AC"/>
    <w:rsid w:val="00F029A2"/>
    <w:rsid w:val="00F02E89"/>
    <w:rsid w:val="00F02F63"/>
    <w:rsid w:val="00F13B55"/>
    <w:rsid w:val="00F2462D"/>
    <w:rsid w:val="00F246E2"/>
    <w:rsid w:val="00F2504A"/>
    <w:rsid w:val="00F30E90"/>
    <w:rsid w:val="00F30F11"/>
    <w:rsid w:val="00F32933"/>
    <w:rsid w:val="00F353CF"/>
    <w:rsid w:val="00F40130"/>
    <w:rsid w:val="00F4180B"/>
    <w:rsid w:val="00F503EE"/>
    <w:rsid w:val="00F554F3"/>
    <w:rsid w:val="00F826BF"/>
    <w:rsid w:val="00FA0B02"/>
    <w:rsid w:val="00FA41E6"/>
    <w:rsid w:val="00FA5D94"/>
    <w:rsid w:val="00FB3182"/>
    <w:rsid w:val="00FB39A7"/>
    <w:rsid w:val="00FB3E75"/>
    <w:rsid w:val="00FD2653"/>
    <w:rsid w:val="00FD30E4"/>
    <w:rsid w:val="00FD4DE3"/>
    <w:rsid w:val="00FD7131"/>
    <w:rsid w:val="00FE513C"/>
    <w:rsid w:val="00FE6177"/>
    <w:rsid w:val="00FF2B0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C2771"/>
  <w15:docId w15:val="{A2DA5FB1-A1CC-47C4-B92D-47400CAF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E44"/>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link w:val="Heading1Char"/>
    <w:uiPriority w:val="99"/>
    <w:qFormat/>
    <w:rsid w:val="00D45E44"/>
    <w:pPr>
      <w:spacing w:before="100" w:beforeAutospacing="1" w:after="100" w:afterAutospacing="1"/>
      <w:outlineLvl w:val="0"/>
    </w:pPr>
    <w:rPr>
      <w:rFonts w:ascii="Cambria" w:hAnsi="Cambria"/>
      <w:b/>
      <w:bCs/>
      <w:color w:val="365F91"/>
      <w:sz w:val="28"/>
      <w:szCs w:val="28"/>
      <w:lang w:val="x-none" w:eastAsia="x-none"/>
    </w:rPr>
  </w:style>
  <w:style w:type="paragraph" w:styleId="Heading2">
    <w:name w:val="heading 2"/>
    <w:basedOn w:val="Normal"/>
    <w:next w:val="Normal"/>
    <w:link w:val="Heading2Char"/>
    <w:semiHidden/>
    <w:unhideWhenUsed/>
    <w:qFormat/>
    <w:rsid w:val="00D45E44"/>
    <w:pPr>
      <w:keepNext/>
      <w:spacing w:before="240" w:after="60"/>
      <w:outlineLvl w:val="1"/>
    </w:pPr>
    <w:rPr>
      <w:rFonts w:ascii="Calibri Light" w:hAnsi="Calibri Light"/>
      <w:b/>
      <w:bCs/>
      <w:i/>
      <w:iCs/>
      <w:sz w:val="28"/>
      <w:szCs w:val="28"/>
      <w:lang w:val="x-none" w:eastAsia="x-none"/>
    </w:rPr>
  </w:style>
  <w:style w:type="paragraph" w:styleId="Heading3">
    <w:name w:val="heading 3"/>
    <w:basedOn w:val="Normal"/>
    <w:next w:val="Normal"/>
    <w:link w:val="Heading3Char"/>
    <w:unhideWhenUsed/>
    <w:qFormat/>
    <w:rsid w:val="00D45E44"/>
    <w:pPr>
      <w:keepNext/>
      <w:spacing w:before="240" w:after="60"/>
      <w:outlineLvl w:val="2"/>
    </w:pPr>
    <w:rPr>
      <w:rFonts w:ascii="Calibri Light" w:hAnsi="Calibri Light"/>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E44"/>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semiHidden/>
    <w:rsid w:val="00D45E44"/>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rsid w:val="00D45E44"/>
    <w:rPr>
      <w:rFonts w:ascii="Calibri Light" w:eastAsia="Times New Roman" w:hAnsi="Calibri Light" w:cs="Times New Roman"/>
      <w:b/>
      <w:bCs/>
      <w:sz w:val="26"/>
      <w:szCs w:val="26"/>
      <w:lang w:val="x-none" w:eastAsia="x-none"/>
    </w:rPr>
  </w:style>
  <w:style w:type="character" w:styleId="Hyperlink">
    <w:name w:val="Hyperlink"/>
    <w:uiPriority w:val="99"/>
    <w:semiHidden/>
    <w:rsid w:val="00D45E44"/>
    <w:rPr>
      <w:rFonts w:cs="Times New Roman"/>
      <w:color w:val="0000FF"/>
      <w:u w:val="single"/>
    </w:rPr>
  </w:style>
  <w:style w:type="character" w:styleId="FollowedHyperlink">
    <w:name w:val="FollowedHyperlink"/>
    <w:uiPriority w:val="99"/>
    <w:semiHidden/>
    <w:rsid w:val="00D45E44"/>
    <w:rPr>
      <w:rFonts w:cs="Times New Roman"/>
      <w:color w:val="800080"/>
      <w:u w:val="single"/>
    </w:rPr>
  </w:style>
  <w:style w:type="paragraph" w:customStyle="1" w:styleId="h1">
    <w:name w:val="h1"/>
    <w:basedOn w:val="Normal"/>
    <w:uiPriority w:val="99"/>
    <w:rsid w:val="00D45E44"/>
    <w:pPr>
      <w:spacing w:after="150"/>
    </w:pPr>
    <w:rPr>
      <w:color w:val="306060"/>
      <w:sz w:val="31"/>
      <w:szCs w:val="31"/>
    </w:rPr>
  </w:style>
  <w:style w:type="paragraph" w:customStyle="1" w:styleId="h2">
    <w:name w:val="h2"/>
    <w:basedOn w:val="Normal"/>
    <w:uiPriority w:val="99"/>
    <w:rsid w:val="00D45E44"/>
    <w:pPr>
      <w:spacing w:before="100" w:beforeAutospacing="1" w:after="100" w:afterAutospacing="1"/>
    </w:pPr>
    <w:rPr>
      <w:color w:val="306060"/>
    </w:rPr>
  </w:style>
  <w:style w:type="paragraph" w:customStyle="1" w:styleId="a">
    <w:name w:val="a"/>
    <w:basedOn w:val="Normal"/>
    <w:uiPriority w:val="99"/>
    <w:rsid w:val="00D45E44"/>
    <w:pPr>
      <w:spacing w:before="100" w:beforeAutospacing="1" w:after="100" w:afterAutospacing="1"/>
    </w:pPr>
    <w:rPr>
      <w:color w:val="306060"/>
    </w:rPr>
  </w:style>
  <w:style w:type="paragraph" w:customStyle="1" w:styleId="b">
    <w:name w:val="b"/>
    <w:basedOn w:val="Normal"/>
    <w:uiPriority w:val="99"/>
    <w:rsid w:val="00D45E44"/>
    <w:pPr>
      <w:spacing w:before="100" w:beforeAutospacing="1" w:after="100" w:afterAutospacing="1"/>
    </w:pPr>
    <w:rPr>
      <w:color w:val="306060"/>
    </w:rPr>
  </w:style>
  <w:style w:type="paragraph" w:customStyle="1" w:styleId="body">
    <w:name w:val="body"/>
    <w:basedOn w:val="Normal"/>
    <w:uiPriority w:val="99"/>
    <w:rsid w:val="00D45E44"/>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D45E44"/>
    <w:pPr>
      <w:spacing w:before="100" w:beforeAutospacing="1" w:after="100" w:afterAutospacing="1"/>
    </w:pPr>
    <w:rPr>
      <w:color w:val="F0F8F8"/>
    </w:rPr>
  </w:style>
  <w:style w:type="paragraph" w:customStyle="1" w:styleId="radio">
    <w:name w:val="radio"/>
    <w:basedOn w:val="Normal"/>
    <w:uiPriority w:val="99"/>
    <w:rsid w:val="00D45E44"/>
    <w:pPr>
      <w:spacing w:before="100" w:beforeAutospacing="1" w:after="100" w:afterAutospacing="1"/>
    </w:pPr>
  </w:style>
  <w:style w:type="paragraph" w:customStyle="1" w:styleId="headcol">
    <w:name w:val="headcol"/>
    <w:basedOn w:val="Normal"/>
    <w:uiPriority w:val="99"/>
    <w:rsid w:val="00D45E44"/>
    <w:pPr>
      <w:spacing w:before="100" w:beforeAutospacing="1" w:after="100" w:afterAutospacing="1"/>
    </w:pPr>
    <w:rPr>
      <w:color w:val="F0F8F8"/>
    </w:rPr>
  </w:style>
  <w:style w:type="paragraph" w:customStyle="1" w:styleId="titlecol">
    <w:name w:val="titlecol"/>
    <w:basedOn w:val="Normal"/>
    <w:uiPriority w:val="99"/>
    <w:rsid w:val="00D45E44"/>
    <w:pPr>
      <w:spacing w:before="100" w:beforeAutospacing="1" w:after="100" w:afterAutospacing="1"/>
      <w:jc w:val="right"/>
    </w:pPr>
    <w:rPr>
      <w:b/>
      <w:bCs/>
    </w:rPr>
  </w:style>
  <w:style w:type="paragraph" w:customStyle="1" w:styleId="th">
    <w:name w:val="th"/>
    <w:basedOn w:val="Normal"/>
    <w:uiPriority w:val="99"/>
    <w:rsid w:val="00D45E44"/>
    <w:pPr>
      <w:spacing w:before="100" w:beforeAutospacing="1" w:after="100" w:afterAutospacing="1"/>
    </w:pPr>
    <w:rPr>
      <w:b/>
      <w:bCs/>
      <w:color w:val="333333"/>
    </w:rPr>
  </w:style>
  <w:style w:type="paragraph" w:customStyle="1" w:styleId="thr">
    <w:name w:val="thr"/>
    <w:basedOn w:val="Normal"/>
    <w:uiPriority w:val="99"/>
    <w:rsid w:val="00D45E44"/>
    <w:pPr>
      <w:spacing w:before="100" w:beforeAutospacing="1" w:after="100" w:afterAutospacing="1"/>
      <w:jc w:val="right"/>
    </w:pPr>
  </w:style>
  <w:style w:type="paragraph" w:customStyle="1" w:styleId="bdc">
    <w:name w:val="bdc"/>
    <w:basedOn w:val="Normal"/>
    <w:uiPriority w:val="99"/>
    <w:rsid w:val="00D45E44"/>
    <w:pPr>
      <w:spacing w:before="100" w:beforeAutospacing="1" w:after="100" w:afterAutospacing="1"/>
    </w:pPr>
    <w:rPr>
      <w:b/>
      <w:bCs/>
    </w:rPr>
  </w:style>
  <w:style w:type="paragraph" w:customStyle="1" w:styleId="input">
    <w:name w:val="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D45E44"/>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D45E44"/>
    <w:pPr>
      <w:shd w:val="clear" w:color="auto" w:fill="F0F8F8"/>
      <w:spacing w:before="100" w:beforeAutospacing="1" w:after="100" w:afterAutospacing="1"/>
    </w:pPr>
    <w:rPr>
      <w:color w:val="333333"/>
    </w:rPr>
  </w:style>
  <w:style w:type="paragraph" w:customStyle="1" w:styleId="top1">
    <w:name w:val="top1"/>
    <w:basedOn w:val="Normal"/>
    <w:uiPriority w:val="99"/>
    <w:rsid w:val="00D45E44"/>
    <w:pPr>
      <w:spacing w:before="100" w:beforeAutospacing="1" w:after="100" w:afterAutospacing="1"/>
    </w:pPr>
  </w:style>
  <w:style w:type="paragraph" w:customStyle="1" w:styleId="logo">
    <w:name w:val="logo"/>
    <w:basedOn w:val="Normal"/>
    <w:uiPriority w:val="99"/>
    <w:rsid w:val="00D45E44"/>
    <w:pPr>
      <w:spacing w:before="100" w:beforeAutospacing="1" w:after="100" w:afterAutospacing="1"/>
    </w:pPr>
  </w:style>
  <w:style w:type="paragraph" w:customStyle="1" w:styleId="top2">
    <w:name w:val="top2"/>
    <w:basedOn w:val="Normal"/>
    <w:uiPriority w:val="99"/>
    <w:rsid w:val="00D45E44"/>
    <w:pPr>
      <w:spacing w:before="100" w:beforeAutospacing="1" w:after="100" w:afterAutospacing="1"/>
    </w:pPr>
  </w:style>
  <w:style w:type="paragraph" w:customStyle="1" w:styleId="hline">
    <w:name w:val="hline"/>
    <w:basedOn w:val="Normal"/>
    <w:uiPriority w:val="99"/>
    <w:rsid w:val="00D45E44"/>
    <w:pPr>
      <w:spacing w:before="100" w:beforeAutospacing="1" w:after="100" w:afterAutospacing="1"/>
    </w:pPr>
  </w:style>
  <w:style w:type="paragraph" w:customStyle="1" w:styleId="vline">
    <w:name w:val="vline"/>
    <w:basedOn w:val="Normal"/>
    <w:uiPriority w:val="99"/>
    <w:rsid w:val="00D45E44"/>
    <w:pPr>
      <w:spacing w:before="100" w:beforeAutospacing="1" w:after="100" w:afterAutospacing="1"/>
    </w:pPr>
  </w:style>
  <w:style w:type="paragraph" w:customStyle="1" w:styleId="zvabri">
    <w:name w:val="zvabri"/>
    <w:basedOn w:val="Normal"/>
    <w:uiPriority w:val="99"/>
    <w:rsid w:val="00D45E44"/>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D45E44"/>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basedOn w:val="DefaultParagraphFont"/>
    <w:link w:val="z-TopofForm"/>
    <w:uiPriority w:val="99"/>
    <w:semiHidden/>
    <w:rsid w:val="00D45E44"/>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rsid w:val="00D45E44"/>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basedOn w:val="DefaultParagraphFont"/>
    <w:link w:val="z-BottomofForm"/>
    <w:uiPriority w:val="99"/>
    <w:rsid w:val="00D45E44"/>
    <w:rPr>
      <w:rFonts w:ascii="Arial" w:eastAsia="Times New Roman" w:hAnsi="Arial" w:cs="Times New Roman"/>
      <w:vanish/>
      <w:sz w:val="16"/>
      <w:szCs w:val="16"/>
      <w:lang w:val="x-none" w:eastAsia="x-none"/>
    </w:rPr>
  </w:style>
  <w:style w:type="paragraph" w:styleId="NormalWeb">
    <w:name w:val="Normal (Web)"/>
    <w:basedOn w:val="Normal"/>
    <w:uiPriority w:val="99"/>
    <w:rsid w:val="00D45E44"/>
    <w:pPr>
      <w:spacing w:before="100" w:beforeAutospacing="1" w:after="100" w:afterAutospacing="1"/>
    </w:pPr>
  </w:style>
  <w:style w:type="paragraph" w:customStyle="1" w:styleId="naisf">
    <w:name w:val="naisf"/>
    <w:basedOn w:val="Normal"/>
    <w:rsid w:val="00D45E44"/>
    <w:pPr>
      <w:spacing w:before="75" w:after="75"/>
      <w:ind w:firstLine="375"/>
      <w:jc w:val="both"/>
    </w:pPr>
  </w:style>
  <w:style w:type="paragraph" w:customStyle="1" w:styleId="nais1">
    <w:name w:val="nais1"/>
    <w:basedOn w:val="Normal"/>
    <w:uiPriority w:val="99"/>
    <w:rsid w:val="00D45E44"/>
    <w:pPr>
      <w:spacing w:before="75" w:after="75"/>
      <w:ind w:left="450" w:firstLine="375"/>
      <w:jc w:val="both"/>
    </w:pPr>
  </w:style>
  <w:style w:type="paragraph" w:customStyle="1" w:styleId="nais2">
    <w:name w:val="nais2"/>
    <w:basedOn w:val="Normal"/>
    <w:uiPriority w:val="99"/>
    <w:rsid w:val="00D45E44"/>
    <w:pPr>
      <w:spacing w:before="75" w:after="75"/>
      <w:ind w:left="900" w:firstLine="375"/>
      <w:jc w:val="both"/>
    </w:pPr>
  </w:style>
  <w:style w:type="paragraph" w:customStyle="1" w:styleId="naispant">
    <w:name w:val="naispant"/>
    <w:basedOn w:val="Normal"/>
    <w:uiPriority w:val="99"/>
    <w:rsid w:val="00D45E44"/>
    <w:pPr>
      <w:spacing w:before="75" w:after="75"/>
      <w:ind w:left="375" w:firstLine="375"/>
      <w:jc w:val="both"/>
    </w:pPr>
    <w:rPr>
      <w:b/>
      <w:bCs/>
    </w:rPr>
  </w:style>
  <w:style w:type="paragraph" w:customStyle="1" w:styleId="naisvisr">
    <w:name w:val="naisvisr"/>
    <w:basedOn w:val="Normal"/>
    <w:uiPriority w:val="99"/>
    <w:rsid w:val="00D45E44"/>
    <w:pPr>
      <w:spacing w:before="150" w:after="150"/>
      <w:jc w:val="center"/>
    </w:pPr>
    <w:rPr>
      <w:b/>
      <w:bCs/>
      <w:sz w:val="28"/>
      <w:szCs w:val="28"/>
    </w:rPr>
  </w:style>
  <w:style w:type="paragraph" w:customStyle="1" w:styleId="naisnod">
    <w:name w:val="naisnod"/>
    <w:basedOn w:val="Normal"/>
    <w:uiPriority w:val="99"/>
    <w:rsid w:val="00D45E44"/>
    <w:pPr>
      <w:spacing w:before="150" w:after="150"/>
      <w:jc w:val="center"/>
    </w:pPr>
    <w:rPr>
      <w:b/>
      <w:bCs/>
    </w:rPr>
  </w:style>
  <w:style w:type="paragraph" w:customStyle="1" w:styleId="naislab">
    <w:name w:val="naislab"/>
    <w:basedOn w:val="Normal"/>
    <w:uiPriority w:val="99"/>
    <w:rsid w:val="00D45E44"/>
    <w:pPr>
      <w:spacing w:before="75" w:after="75"/>
      <w:jc w:val="right"/>
    </w:pPr>
  </w:style>
  <w:style w:type="paragraph" w:customStyle="1" w:styleId="naiskr">
    <w:name w:val="naiskr"/>
    <w:basedOn w:val="Normal"/>
    <w:rsid w:val="00D45E44"/>
    <w:pPr>
      <w:spacing w:before="75" w:after="75"/>
    </w:pPr>
  </w:style>
  <w:style w:type="paragraph" w:customStyle="1" w:styleId="naisc">
    <w:name w:val="naisc"/>
    <w:basedOn w:val="Normal"/>
    <w:rsid w:val="00D45E44"/>
    <w:pPr>
      <w:spacing w:before="75" w:after="75"/>
      <w:jc w:val="center"/>
    </w:pPr>
  </w:style>
  <w:style w:type="character" w:styleId="Strong">
    <w:name w:val="Strong"/>
    <w:uiPriority w:val="22"/>
    <w:qFormat/>
    <w:rsid w:val="00D45E44"/>
    <w:rPr>
      <w:rFonts w:cs="Times New Roman"/>
      <w:b/>
      <w:bCs/>
    </w:rPr>
  </w:style>
  <w:style w:type="character" w:customStyle="1" w:styleId="th1">
    <w:name w:val="th1"/>
    <w:uiPriority w:val="99"/>
    <w:rsid w:val="00D45E44"/>
    <w:rPr>
      <w:rFonts w:cs="Times New Roman"/>
      <w:b/>
      <w:bCs/>
      <w:color w:val="333333"/>
    </w:rPr>
  </w:style>
  <w:style w:type="character" w:styleId="Emphasis">
    <w:name w:val="Emphasis"/>
    <w:uiPriority w:val="99"/>
    <w:qFormat/>
    <w:rsid w:val="00D45E44"/>
    <w:rPr>
      <w:rFonts w:cs="Times New Roman"/>
      <w:i/>
      <w:iCs/>
    </w:rPr>
  </w:style>
  <w:style w:type="paragraph" w:styleId="BalloonText">
    <w:name w:val="Balloon Text"/>
    <w:basedOn w:val="Normal"/>
    <w:link w:val="BalloonTextChar"/>
    <w:uiPriority w:val="99"/>
    <w:semiHidden/>
    <w:rsid w:val="00D45E4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45E44"/>
    <w:rPr>
      <w:rFonts w:ascii="Tahoma" w:eastAsia="Times New Roman" w:hAnsi="Tahoma" w:cs="Times New Roman"/>
      <w:sz w:val="16"/>
      <w:szCs w:val="16"/>
      <w:lang w:val="x-none" w:eastAsia="x-none"/>
    </w:rPr>
  </w:style>
  <w:style w:type="table" w:styleId="TableGrid">
    <w:name w:val="Table Grid"/>
    <w:basedOn w:val="TableNormal"/>
    <w:uiPriority w:val="99"/>
    <w:rsid w:val="00D45E44"/>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D45E44"/>
    <w:pPr>
      <w:ind w:firstLine="709"/>
      <w:jc w:val="both"/>
    </w:pPr>
    <w:rPr>
      <w:sz w:val="28"/>
      <w:szCs w:val="28"/>
      <w:lang w:eastAsia="x-none"/>
    </w:rPr>
  </w:style>
  <w:style w:type="character" w:customStyle="1" w:styleId="BodyTextIndent3Char">
    <w:name w:val="Body Text Indent 3 Char"/>
    <w:basedOn w:val="DefaultParagraphFont"/>
    <w:link w:val="BodyTextIndent3"/>
    <w:uiPriority w:val="99"/>
    <w:rsid w:val="00D45E44"/>
    <w:rPr>
      <w:rFonts w:ascii="Times New Roman" w:eastAsia="Times New Roman" w:hAnsi="Times New Roman" w:cs="Times New Roman"/>
      <w:sz w:val="28"/>
      <w:szCs w:val="28"/>
      <w:lang w:eastAsia="x-none"/>
    </w:rPr>
  </w:style>
  <w:style w:type="paragraph" w:styleId="Header">
    <w:name w:val="header"/>
    <w:basedOn w:val="Normal"/>
    <w:link w:val="HeaderChar"/>
    <w:uiPriority w:val="99"/>
    <w:rsid w:val="00D45E44"/>
    <w:pPr>
      <w:tabs>
        <w:tab w:val="center" w:pos="4153"/>
        <w:tab w:val="right" w:pos="8306"/>
      </w:tabs>
    </w:pPr>
  </w:style>
  <w:style w:type="character" w:customStyle="1" w:styleId="HeaderChar">
    <w:name w:val="Header Char"/>
    <w:basedOn w:val="DefaultParagraphFont"/>
    <w:link w:val="Header"/>
    <w:uiPriority w:val="99"/>
    <w:rsid w:val="00D45E44"/>
    <w:rPr>
      <w:rFonts w:ascii="Times New Roman" w:eastAsia="Times New Roman" w:hAnsi="Times New Roman" w:cs="Times New Roman"/>
      <w:sz w:val="24"/>
      <w:szCs w:val="24"/>
      <w:lang w:eastAsia="lv-LV"/>
    </w:rPr>
  </w:style>
  <w:style w:type="character" w:styleId="PageNumber">
    <w:name w:val="page number"/>
    <w:uiPriority w:val="99"/>
    <w:rsid w:val="00D45E44"/>
    <w:rPr>
      <w:rFonts w:cs="Times New Roman"/>
    </w:rPr>
  </w:style>
  <w:style w:type="paragraph" w:styleId="Footer">
    <w:name w:val="footer"/>
    <w:basedOn w:val="Normal"/>
    <w:link w:val="FooterChar"/>
    <w:uiPriority w:val="99"/>
    <w:rsid w:val="00D45E44"/>
    <w:pPr>
      <w:tabs>
        <w:tab w:val="center" w:pos="4153"/>
        <w:tab w:val="right" w:pos="8306"/>
      </w:tabs>
    </w:pPr>
  </w:style>
  <w:style w:type="character" w:customStyle="1" w:styleId="FooterChar">
    <w:name w:val="Footer Char"/>
    <w:basedOn w:val="DefaultParagraphFont"/>
    <w:link w:val="Footer"/>
    <w:uiPriority w:val="99"/>
    <w:rsid w:val="00D45E44"/>
    <w:rPr>
      <w:rFonts w:ascii="Times New Roman" w:eastAsia="Times New Roman" w:hAnsi="Times New Roman" w:cs="Times New Roman"/>
      <w:sz w:val="24"/>
      <w:szCs w:val="24"/>
      <w:lang w:eastAsia="lv-LV"/>
    </w:rPr>
  </w:style>
  <w:style w:type="paragraph" w:styleId="ListParagraph">
    <w:name w:val="List Paragraph"/>
    <w:aliases w:val="2,Strip,H&amp;P List Paragraph,Medium Grid 1 - Accent 21,Bullets,Normal bullet 2,Bullet list,Numbered List,List Paragraph1,Paragraph,Bullet point 1,1st level - Bullet List Paragraph,Lettre d'introduction,Paragrafo elenco,List Paragraph11"/>
    <w:basedOn w:val="Normal"/>
    <w:link w:val="ListParagraphChar"/>
    <w:qFormat/>
    <w:rsid w:val="00D45E44"/>
    <w:pPr>
      <w:spacing w:after="200" w:line="276" w:lineRule="auto"/>
      <w:ind w:left="720"/>
      <w:contextualSpacing/>
    </w:pPr>
    <w:rPr>
      <w:rFonts w:ascii="Calibri" w:hAnsi="Calibri"/>
      <w:sz w:val="22"/>
      <w:szCs w:val="22"/>
      <w:lang w:val="x-none" w:eastAsia="en-US"/>
    </w:rPr>
  </w:style>
  <w:style w:type="character" w:styleId="CommentReference">
    <w:name w:val="annotation reference"/>
    <w:uiPriority w:val="99"/>
    <w:unhideWhenUsed/>
    <w:rsid w:val="00D45E44"/>
    <w:rPr>
      <w:sz w:val="16"/>
      <w:szCs w:val="16"/>
    </w:rPr>
  </w:style>
  <w:style w:type="paragraph" w:styleId="CommentText">
    <w:name w:val="annotation text"/>
    <w:basedOn w:val="Normal"/>
    <w:link w:val="CommentTextChar"/>
    <w:uiPriority w:val="99"/>
    <w:unhideWhenUsed/>
    <w:rsid w:val="00D45E44"/>
    <w:rPr>
      <w:sz w:val="20"/>
      <w:szCs w:val="20"/>
    </w:rPr>
  </w:style>
  <w:style w:type="character" w:customStyle="1" w:styleId="CommentTextChar">
    <w:name w:val="Comment Text Char"/>
    <w:basedOn w:val="DefaultParagraphFont"/>
    <w:link w:val="CommentText"/>
    <w:uiPriority w:val="99"/>
    <w:rsid w:val="00D45E44"/>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D45E44"/>
    <w:rPr>
      <w:b/>
      <w:bCs/>
      <w:lang w:val="x-none" w:eastAsia="x-none"/>
    </w:rPr>
  </w:style>
  <w:style w:type="character" w:customStyle="1" w:styleId="CommentSubjectChar">
    <w:name w:val="Comment Subject Char"/>
    <w:basedOn w:val="CommentTextChar"/>
    <w:link w:val="CommentSubject"/>
    <w:rsid w:val="00D45E44"/>
    <w:rPr>
      <w:rFonts w:ascii="Times New Roman" w:eastAsia="Times New Roman" w:hAnsi="Times New Roman" w:cs="Times New Roman"/>
      <w:b/>
      <w:bCs/>
      <w:sz w:val="20"/>
      <w:szCs w:val="20"/>
      <w:lang w:val="x-none" w:eastAsia="x-none"/>
    </w:rPr>
  </w:style>
  <w:style w:type="paragraph" w:customStyle="1" w:styleId="tv213">
    <w:name w:val="tv213"/>
    <w:basedOn w:val="Normal"/>
    <w:rsid w:val="00D45E44"/>
    <w:pPr>
      <w:spacing w:before="100" w:beforeAutospacing="1" w:after="100" w:afterAutospacing="1"/>
    </w:pPr>
  </w:style>
  <w:style w:type="character" w:customStyle="1" w:styleId="italic">
    <w:name w:val="italic"/>
    <w:rsid w:val="00D45E44"/>
  </w:style>
  <w:style w:type="character" w:customStyle="1" w:styleId="ListParagraphChar">
    <w:name w:val="List Paragraph Char"/>
    <w:aliases w:val="2 Char,Strip Char,H&amp;P List Paragraph Char,Medium Grid 1 - Accent 21 Char,Bullets Char,Normal bullet 2 Char,Bullet list Char,Numbered List Char,List Paragraph1 Char,Paragraph Char,Bullet point 1 Char,Lettre d'introduction Char"/>
    <w:link w:val="ListParagraph"/>
    <w:rsid w:val="00D45E44"/>
    <w:rPr>
      <w:rFonts w:ascii="Calibri" w:eastAsia="Times New Roman" w:hAnsi="Calibri" w:cs="Times New Roman"/>
      <w:lang w:val="x-none"/>
    </w:rPr>
  </w:style>
  <w:style w:type="paragraph" w:styleId="FootnoteText">
    <w:name w:val="footnote text"/>
    <w:aliases w:val="Char,(Diplomarbeit),(Diplomarbeit)1,(Diplomarbeit)2,(Diplomarbeit)3,(Diplomarbeit)4,(Diplomarbeit)5,(Diplomarbeit)6,(Diplomarbeit)7,-E Fußnotentext,Footnote,Fußnote,Fußnote Char,Fußnote Char Char Char,Fußnotentext Ursprung,footnote text,o"/>
    <w:basedOn w:val="Normal"/>
    <w:link w:val="FootnoteTextChar"/>
    <w:uiPriority w:val="99"/>
    <w:unhideWhenUsed/>
    <w:qFormat/>
    <w:rsid w:val="00D45E44"/>
    <w:pPr>
      <w:widowControl w:val="0"/>
      <w:spacing w:after="200" w:line="276" w:lineRule="auto"/>
    </w:pPr>
    <w:rPr>
      <w:rFonts w:ascii="Calibri" w:eastAsia="Calibri" w:hAnsi="Calibri"/>
      <w:sz w:val="20"/>
      <w:szCs w:val="20"/>
      <w:lang w:val="en-US" w:eastAsia="en-US"/>
    </w:rPr>
  </w:style>
  <w:style w:type="character" w:customStyle="1" w:styleId="FootnoteTextChar">
    <w:name w:val="Footnote Text Char"/>
    <w:aliases w:val="Char Char,(Diplomarbeit) Char,(Diplomarbeit)1 Char,(Diplomarbeit)2 Char,(Diplomarbeit)3 Char,(Diplomarbeit)4 Char,(Diplomarbeit)5 Char,(Diplomarbeit)6 Char,(Diplomarbeit)7 Char,-E Fußnotentext Char,Footnote Char,Fußnote Char1,o Char"/>
    <w:basedOn w:val="DefaultParagraphFont"/>
    <w:link w:val="FootnoteText"/>
    <w:uiPriority w:val="99"/>
    <w:rsid w:val="00D45E44"/>
    <w:rPr>
      <w:rFonts w:ascii="Calibri" w:eastAsia="Calibri" w:hAnsi="Calibri" w:cs="Times New Roman"/>
      <w:sz w:val="20"/>
      <w:szCs w:val="20"/>
      <w:lang w:val="en-US"/>
    </w:rPr>
  </w:style>
  <w:style w:type="character" w:styleId="FootnoteReference">
    <w:name w:val="footnote reference"/>
    <w:aliases w:val="Footnote Reference Number,SUPERS,-E Fußnotenzeichen,(Diplomarbeit FZ),(Diplomarbeit FZ)1,(Diplomarbeit FZ)2,(Diplomarbeit FZ)3,(Diplomarbeit FZ)4,(Diplomarbeit FZ)5,(Diplomarbeit FZ)6,(Diplomarbeit FZ)7,(Diplomarbeit FZ)8,fr,BVI fnr,N"/>
    <w:link w:val="FootnoteRefernece"/>
    <w:uiPriority w:val="99"/>
    <w:unhideWhenUsed/>
    <w:qFormat/>
    <w:rsid w:val="00D45E44"/>
    <w:rPr>
      <w:vertAlign w:val="superscript"/>
    </w:rPr>
  </w:style>
  <w:style w:type="character" w:customStyle="1" w:styleId="spelle">
    <w:name w:val="spelle"/>
    <w:rsid w:val="00D45E44"/>
  </w:style>
  <w:style w:type="paragraph" w:styleId="BodyText">
    <w:name w:val="Body Text"/>
    <w:basedOn w:val="Normal"/>
    <w:link w:val="BodyTextChar"/>
    <w:uiPriority w:val="99"/>
    <w:unhideWhenUsed/>
    <w:rsid w:val="00D45E44"/>
    <w:pPr>
      <w:spacing w:after="120"/>
    </w:pPr>
    <w:rPr>
      <w:lang w:val="x-none" w:eastAsia="x-none"/>
    </w:rPr>
  </w:style>
  <w:style w:type="character" w:customStyle="1" w:styleId="BodyTextChar">
    <w:name w:val="Body Text Char"/>
    <w:basedOn w:val="DefaultParagraphFont"/>
    <w:link w:val="BodyText"/>
    <w:uiPriority w:val="99"/>
    <w:rsid w:val="00D45E44"/>
    <w:rPr>
      <w:rFonts w:ascii="Times New Roman" w:eastAsia="Times New Roman" w:hAnsi="Times New Roman" w:cs="Times New Roman"/>
      <w:sz w:val="24"/>
      <w:szCs w:val="24"/>
      <w:lang w:val="x-none" w:eastAsia="x-none"/>
    </w:rPr>
  </w:style>
  <w:style w:type="table" w:customStyle="1" w:styleId="ListTable5Dark-Accent33">
    <w:name w:val="List Table 5 Dark - Accent 33"/>
    <w:basedOn w:val="TableNormal"/>
    <w:next w:val="ListTable5Dark-Accent31"/>
    <w:uiPriority w:val="50"/>
    <w:rsid w:val="00D45E44"/>
    <w:pPr>
      <w:spacing w:after="0" w:line="240" w:lineRule="auto"/>
    </w:pPr>
    <w:rPr>
      <w:rFonts w:ascii="Calibri" w:eastAsia="Calibri" w:hAnsi="Calibri" w:cs="DokChampa"/>
      <w:color w:val="FFFFFF"/>
      <w:lang w:val="en-US"/>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45E44"/>
    <w:pPr>
      <w:spacing w:after="0" w:line="240" w:lineRule="auto"/>
    </w:pPr>
    <w:rPr>
      <w:rFonts w:ascii="Times New Roman" w:eastAsia="Times New Roman" w:hAnsi="Times New Roman" w:cs="Times New Roman"/>
      <w:color w:val="FFFFFF"/>
      <w:sz w:val="20"/>
      <w:szCs w:val="20"/>
      <w:lang w:eastAsia="lv-LV"/>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customStyle="1" w:styleId="FootnoteCharacters">
    <w:name w:val="Footnote Characters"/>
    <w:rsid w:val="00D45E44"/>
    <w:rPr>
      <w:rFonts w:ascii="Times New Roman" w:hAnsi="Times New Roman"/>
      <w:sz w:val="20"/>
    </w:rPr>
  </w:style>
  <w:style w:type="paragraph" w:customStyle="1" w:styleId="FootnoteText2">
    <w:name w:val="Footnote Text2"/>
    <w:basedOn w:val="TOC4"/>
    <w:rsid w:val="00D45E44"/>
    <w:pPr>
      <w:tabs>
        <w:tab w:val="left" w:pos="1540"/>
        <w:tab w:val="right" w:leader="dot" w:pos="9061"/>
      </w:tabs>
      <w:suppressAutoHyphens/>
      <w:ind w:left="0"/>
    </w:pPr>
    <w:rPr>
      <w:rFonts w:ascii="Calibri Light" w:hAnsi="Calibri Light" w:cs="Calibri"/>
      <w:i/>
      <w:sz w:val="18"/>
      <w:lang w:val="en-US" w:eastAsia="zh-CN"/>
    </w:rPr>
  </w:style>
  <w:style w:type="paragraph" w:styleId="TOC4">
    <w:name w:val="toc 4"/>
    <w:basedOn w:val="Normal"/>
    <w:next w:val="Normal"/>
    <w:autoRedefine/>
    <w:rsid w:val="00D45E44"/>
    <w:pPr>
      <w:ind w:left="720"/>
    </w:pPr>
  </w:style>
  <w:style w:type="paragraph" w:customStyle="1" w:styleId="FootnoteRefernece">
    <w:name w:val="Footnote Refernece"/>
    <w:aliases w:val="ftref,Odwołanie przypisu,Footnotes refss,Ref,de nota al pie,E,E FNZ"/>
    <w:basedOn w:val="Normal"/>
    <w:next w:val="Normal"/>
    <w:link w:val="FootnoteReference"/>
    <w:uiPriority w:val="99"/>
    <w:rsid w:val="00D45E44"/>
    <w:pPr>
      <w:spacing w:after="160" w:line="240" w:lineRule="exact"/>
      <w:jc w:val="both"/>
    </w:pPr>
    <w:rPr>
      <w:rFonts w:asciiTheme="minorHAnsi" w:eastAsiaTheme="minorHAnsi" w:hAnsiTheme="minorHAnsi" w:cstheme="minorBidi"/>
      <w:sz w:val="22"/>
      <w:szCs w:val="22"/>
      <w:vertAlign w:val="superscript"/>
      <w:lang w:eastAsia="en-US"/>
    </w:rPr>
  </w:style>
  <w:style w:type="paragraph" w:customStyle="1" w:styleId="Default">
    <w:name w:val="Default"/>
    <w:rsid w:val="00D45E44"/>
    <w:pPr>
      <w:autoSpaceDE w:val="0"/>
      <w:autoSpaceDN w:val="0"/>
      <w:adjustRightInd w:val="0"/>
      <w:spacing w:after="0" w:line="240" w:lineRule="auto"/>
    </w:pPr>
    <w:rPr>
      <w:rFonts w:ascii="Verdana" w:eastAsia="Calibri" w:hAnsi="Verdana" w:cs="Verdana"/>
      <w:color w:val="000000"/>
      <w:sz w:val="24"/>
      <w:szCs w:val="24"/>
    </w:rPr>
  </w:style>
  <w:style w:type="paragraph" w:customStyle="1" w:styleId="Body0">
    <w:name w:val="Body"/>
    <w:rsid w:val="00D45E44"/>
    <w:pPr>
      <w:pBdr>
        <w:top w:val="nil"/>
        <w:left w:val="nil"/>
        <w:bottom w:val="nil"/>
        <w:right w:val="nil"/>
        <w:between w:val="nil"/>
        <w:bar w:val="nil"/>
      </w:pBdr>
      <w:spacing w:after="0" w:line="240" w:lineRule="auto"/>
      <w:jc w:val="both"/>
    </w:pPr>
    <w:rPr>
      <w:rFonts w:ascii="Times New Roman" w:eastAsia="Times New Roman" w:hAnsi="Times New Roman" w:cs="Times New Roman"/>
      <w:color w:val="000000"/>
      <w:sz w:val="24"/>
      <w:szCs w:val="24"/>
      <w:u w:color="000000"/>
      <w:bdr w:val="nil"/>
      <w:lang w:eastAsia="lv-LV"/>
    </w:rPr>
  </w:style>
  <w:style w:type="paragraph" w:customStyle="1" w:styleId="pamattekststabul">
    <w:name w:val="pamattekststabul"/>
    <w:basedOn w:val="Normal"/>
    <w:rsid w:val="00D45E44"/>
    <w:pPr>
      <w:spacing w:before="100" w:beforeAutospacing="1" w:after="100" w:afterAutospacing="1"/>
    </w:pPr>
    <w:rPr>
      <w:lang w:val="en-US" w:eastAsia="en-US"/>
    </w:rPr>
  </w:style>
  <w:style w:type="paragraph" w:customStyle="1" w:styleId="ManualNumPar1">
    <w:name w:val="Manual NumPar 1"/>
    <w:basedOn w:val="Normal"/>
    <w:next w:val="Normal"/>
    <w:rsid w:val="00D45E44"/>
    <w:pPr>
      <w:spacing w:before="120" w:after="120"/>
      <w:ind w:left="850" w:hanging="850"/>
      <w:jc w:val="both"/>
    </w:pPr>
    <w:rPr>
      <w:rFonts w:eastAsia="Calibri"/>
      <w:szCs w:val="22"/>
      <w:lang w:eastAsia="en-US"/>
    </w:rPr>
  </w:style>
  <w:style w:type="paragraph" w:customStyle="1" w:styleId="ChapterTitle">
    <w:name w:val="ChapterTitle"/>
    <w:basedOn w:val="Normal"/>
    <w:next w:val="Normal"/>
    <w:rsid w:val="00D45E44"/>
    <w:pPr>
      <w:keepNext/>
      <w:spacing w:before="120" w:after="360"/>
      <w:jc w:val="center"/>
    </w:pPr>
    <w:rPr>
      <w:rFonts w:eastAsia="Calibri"/>
      <w:b/>
      <w:sz w:val="32"/>
      <w:szCs w:val="22"/>
      <w:lang w:eastAsia="en-US"/>
    </w:rPr>
  </w:style>
  <w:style w:type="paragraph" w:customStyle="1" w:styleId="Point0number">
    <w:name w:val="Point 0 (number)"/>
    <w:basedOn w:val="Normal"/>
    <w:rsid w:val="00D45E44"/>
    <w:pPr>
      <w:numPr>
        <w:numId w:val="6"/>
      </w:numPr>
      <w:tabs>
        <w:tab w:val="clear" w:pos="850"/>
        <w:tab w:val="num" w:pos="360"/>
      </w:tabs>
      <w:spacing w:before="120" w:after="120"/>
      <w:ind w:left="0" w:firstLine="0"/>
      <w:jc w:val="both"/>
    </w:pPr>
    <w:rPr>
      <w:rFonts w:eastAsia="Calibri"/>
      <w:szCs w:val="22"/>
      <w:lang w:eastAsia="en-US"/>
    </w:rPr>
  </w:style>
  <w:style w:type="paragraph" w:customStyle="1" w:styleId="Point1number">
    <w:name w:val="Point 1 (number)"/>
    <w:basedOn w:val="Normal"/>
    <w:rsid w:val="00D45E44"/>
    <w:pPr>
      <w:numPr>
        <w:ilvl w:val="2"/>
        <w:numId w:val="6"/>
      </w:numPr>
      <w:tabs>
        <w:tab w:val="clear" w:pos="1417"/>
        <w:tab w:val="num" w:pos="360"/>
      </w:tabs>
      <w:spacing w:before="120" w:after="120"/>
      <w:ind w:left="0" w:firstLine="0"/>
      <w:jc w:val="both"/>
    </w:pPr>
    <w:rPr>
      <w:rFonts w:eastAsia="Calibri"/>
      <w:szCs w:val="22"/>
      <w:lang w:eastAsia="en-US"/>
    </w:rPr>
  </w:style>
  <w:style w:type="paragraph" w:customStyle="1" w:styleId="Point2number">
    <w:name w:val="Point 2 (number)"/>
    <w:basedOn w:val="Normal"/>
    <w:rsid w:val="00D45E44"/>
    <w:pPr>
      <w:numPr>
        <w:ilvl w:val="4"/>
        <w:numId w:val="6"/>
      </w:numPr>
      <w:tabs>
        <w:tab w:val="clear" w:pos="1984"/>
        <w:tab w:val="num" w:pos="360"/>
      </w:tabs>
      <w:spacing w:before="120" w:after="120"/>
      <w:ind w:left="0" w:firstLine="0"/>
      <w:jc w:val="both"/>
    </w:pPr>
    <w:rPr>
      <w:rFonts w:eastAsia="Calibri"/>
      <w:szCs w:val="22"/>
      <w:lang w:eastAsia="en-US"/>
    </w:rPr>
  </w:style>
  <w:style w:type="paragraph" w:customStyle="1" w:styleId="Point3number">
    <w:name w:val="Point 3 (number)"/>
    <w:basedOn w:val="Normal"/>
    <w:rsid w:val="00D45E44"/>
    <w:pPr>
      <w:numPr>
        <w:ilvl w:val="6"/>
        <w:numId w:val="6"/>
      </w:numPr>
      <w:tabs>
        <w:tab w:val="clear" w:pos="2551"/>
        <w:tab w:val="num" w:pos="360"/>
      </w:tabs>
      <w:spacing w:before="120" w:after="120"/>
      <w:ind w:left="0" w:firstLine="0"/>
      <w:jc w:val="both"/>
    </w:pPr>
    <w:rPr>
      <w:rFonts w:eastAsia="Calibri"/>
      <w:szCs w:val="22"/>
      <w:lang w:eastAsia="en-US"/>
    </w:rPr>
  </w:style>
  <w:style w:type="paragraph" w:customStyle="1" w:styleId="Point0letter">
    <w:name w:val="Point 0 (letter)"/>
    <w:basedOn w:val="Normal"/>
    <w:rsid w:val="00D45E44"/>
    <w:pPr>
      <w:numPr>
        <w:ilvl w:val="1"/>
        <w:numId w:val="6"/>
      </w:numPr>
      <w:tabs>
        <w:tab w:val="clear" w:pos="850"/>
        <w:tab w:val="num" w:pos="360"/>
      </w:tabs>
      <w:spacing w:before="120" w:after="120"/>
      <w:ind w:left="0" w:firstLine="0"/>
      <w:jc w:val="both"/>
    </w:pPr>
    <w:rPr>
      <w:rFonts w:eastAsia="Calibri"/>
      <w:szCs w:val="22"/>
      <w:lang w:eastAsia="en-US"/>
    </w:rPr>
  </w:style>
  <w:style w:type="paragraph" w:customStyle="1" w:styleId="Point1letter">
    <w:name w:val="Point 1 (letter)"/>
    <w:basedOn w:val="Normal"/>
    <w:rsid w:val="00D45E44"/>
    <w:pPr>
      <w:numPr>
        <w:ilvl w:val="3"/>
        <w:numId w:val="6"/>
      </w:numPr>
      <w:tabs>
        <w:tab w:val="clear" w:pos="1417"/>
        <w:tab w:val="num" w:pos="360"/>
      </w:tabs>
      <w:spacing w:before="120" w:after="120"/>
      <w:ind w:left="0" w:firstLine="0"/>
      <w:jc w:val="both"/>
    </w:pPr>
    <w:rPr>
      <w:rFonts w:eastAsia="Calibri"/>
      <w:szCs w:val="22"/>
      <w:lang w:eastAsia="en-US"/>
    </w:rPr>
  </w:style>
  <w:style w:type="paragraph" w:customStyle="1" w:styleId="Point2letter">
    <w:name w:val="Point 2 (letter)"/>
    <w:basedOn w:val="Normal"/>
    <w:rsid w:val="00D45E44"/>
    <w:pPr>
      <w:numPr>
        <w:ilvl w:val="5"/>
        <w:numId w:val="6"/>
      </w:numPr>
      <w:tabs>
        <w:tab w:val="clear" w:pos="1984"/>
        <w:tab w:val="num" w:pos="360"/>
      </w:tabs>
      <w:spacing w:before="120" w:after="120"/>
      <w:ind w:left="0" w:firstLine="0"/>
      <w:jc w:val="both"/>
    </w:pPr>
    <w:rPr>
      <w:rFonts w:eastAsia="Calibri"/>
      <w:szCs w:val="22"/>
      <w:lang w:eastAsia="en-US"/>
    </w:rPr>
  </w:style>
  <w:style w:type="paragraph" w:customStyle="1" w:styleId="Point3letter">
    <w:name w:val="Point 3 (letter)"/>
    <w:basedOn w:val="Normal"/>
    <w:rsid w:val="00D45E44"/>
    <w:pPr>
      <w:numPr>
        <w:ilvl w:val="7"/>
        <w:numId w:val="6"/>
      </w:numPr>
      <w:tabs>
        <w:tab w:val="clear" w:pos="2551"/>
        <w:tab w:val="num" w:pos="360"/>
      </w:tabs>
      <w:spacing w:before="120" w:after="120"/>
      <w:ind w:left="0" w:firstLine="0"/>
      <w:jc w:val="both"/>
    </w:pPr>
    <w:rPr>
      <w:rFonts w:eastAsia="Calibri"/>
      <w:szCs w:val="22"/>
      <w:lang w:eastAsia="en-US"/>
    </w:rPr>
  </w:style>
  <w:style w:type="paragraph" w:customStyle="1" w:styleId="Point4letter">
    <w:name w:val="Point 4 (letter)"/>
    <w:basedOn w:val="Normal"/>
    <w:rsid w:val="00D45E44"/>
    <w:pPr>
      <w:numPr>
        <w:ilvl w:val="8"/>
        <w:numId w:val="6"/>
      </w:numPr>
      <w:tabs>
        <w:tab w:val="clear" w:pos="3118"/>
        <w:tab w:val="num" w:pos="360"/>
      </w:tabs>
      <w:spacing w:before="120" w:after="120"/>
      <w:ind w:left="0" w:firstLine="0"/>
      <w:jc w:val="both"/>
    </w:pPr>
    <w:rPr>
      <w:rFonts w:eastAsia="Calibri"/>
      <w:szCs w:val="22"/>
      <w:lang w:eastAsia="en-US"/>
    </w:rPr>
  </w:style>
  <w:style w:type="paragraph" w:customStyle="1" w:styleId="Titrearticle">
    <w:name w:val="Titre article"/>
    <w:basedOn w:val="Normal"/>
    <w:next w:val="Normal"/>
    <w:rsid w:val="00D45E44"/>
    <w:pPr>
      <w:keepNext/>
      <w:spacing w:before="360" w:after="120"/>
      <w:jc w:val="center"/>
    </w:pPr>
    <w:rPr>
      <w:rFonts w:eastAsia="Calibri"/>
      <w:i/>
      <w:szCs w:val="22"/>
      <w:lang w:eastAsia="en-US"/>
    </w:rPr>
  </w:style>
  <w:style w:type="character" w:customStyle="1" w:styleId="None">
    <w:name w:val="None"/>
    <w:rsid w:val="00D45E44"/>
  </w:style>
  <w:style w:type="paragraph" w:customStyle="1" w:styleId="CharCharCharChar">
    <w:name w:val="Char Char Char Char"/>
    <w:aliases w:val="Char2"/>
    <w:basedOn w:val="Normal"/>
    <w:next w:val="Normal"/>
    <w:uiPriority w:val="99"/>
    <w:rsid w:val="00D45E44"/>
    <w:pPr>
      <w:widowControl w:val="0"/>
      <w:autoSpaceDE w:val="0"/>
      <w:autoSpaceDN w:val="0"/>
      <w:adjustRightInd w:val="0"/>
      <w:spacing w:after="160" w:line="240" w:lineRule="exact"/>
      <w:jc w:val="both"/>
    </w:pPr>
    <w:rPr>
      <w:rFonts w:ascii="Calibri" w:hAnsi="Calibri"/>
      <w:sz w:val="20"/>
      <w:szCs w:val="20"/>
      <w:vertAlign w:val="superscript"/>
    </w:rPr>
  </w:style>
  <w:style w:type="paragraph" w:customStyle="1" w:styleId="xmsonormal">
    <w:name w:val="x_msonormal"/>
    <w:basedOn w:val="Normal"/>
    <w:rsid w:val="00D45E44"/>
    <w:pPr>
      <w:spacing w:before="100" w:beforeAutospacing="1" w:after="100" w:afterAutospacing="1"/>
    </w:pPr>
  </w:style>
  <w:style w:type="paragraph" w:customStyle="1" w:styleId="mt-translation">
    <w:name w:val="mt-translation"/>
    <w:basedOn w:val="Normal"/>
    <w:rsid w:val="00D45E44"/>
    <w:pPr>
      <w:spacing w:before="100" w:beforeAutospacing="1" w:after="100" w:afterAutospacing="1"/>
    </w:pPr>
    <w:rPr>
      <w:lang w:val="en-GB" w:eastAsia="en-GB"/>
    </w:rPr>
  </w:style>
  <w:style w:type="paragraph" w:customStyle="1" w:styleId="xmsolistparagraph">
    <w:name w:val="x_msolistparagraph"/>
    <w:basedOn w:val="Normal"/>
    <w:rsid w:val="00D45E44"/>
    <w:pPr>
      <w:spacing w:before="100" w:beforeAutospacing="1" w:after="100" w:afterAutospacing="1"/>
    </w:pPr>
  </w:style>
  <w:style w:type="paragraph" w:customStyle="1" w:styleId="BodyA">
    <w:name w:val="Body A"/>
    <w:rsid w:val="00D45E44"/>
    <w:pPr>
      <w:spacing w:after="0" w:line="240" w:lineRule="auto"/>
    </w:pPr>
    <w:rPr>
      <w:rFonts w:ascii="Helvetica" w:eastAsia="Arial Unicode MS" w:hAnsi="Helvetica" w:cs="Arial Unicode MS"/>
      <w:color w:val="000000"/>
      <w:u w:color="000000"/>
      <w:lang w:eastAsia="lv-LV"/>
    </w:rPr>
  </w:style>
  <w:style w:type="paragraph" w:styleId="Revision">
    <w:name w:val="Revision"/>
    <w:hidden/>
    <w:uiPriority w:val="99"/>
    <w:semiHidden/>
    <w:rsid w:val="00A7572E"/>
    <w:pPr>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uiPriority w:val="99"/>
    <w:semiHidden/>
    <w:unhideWhenUsed/>
    <w:rsid w:val="00064ECF"/>
    <w:pPr>
      <w:spacing w:after="120"/>
      <w:ind w:left="283"/>
    </w:pPr>
  </w:style>
  <w:style w:type="character" w:customStyle="1" w:styleId="BodyTextIndentChar">
    <w:name w:val="Body Text Indent Char"/>
    <w:basedOn w:val="DefaultParagraphFont"/>
    <w:link w:val="BodyTextIndent"/>
    <w:uiPriority w:val="99"/>
    <w:semiHidden/>
    <w:rsid w:val="00064ECF"/>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912">
      <w:bodyDiv w:val="1"/>
      <w:marLeft w:val="0"/>
      <w:marRight w:val="0"/>
      <w:marTop w:val="0"/>
      <w:marBottom w:val="0"/>
      <w:divBdr>
        <w:top w:val="none" w:sz="0" w:space="0" w:color="auto"/>
        <w:left w:val="none" w:sz="0" w:space="0" w:color="auto"/>
        <w:bottom w:val="none" w:sz="0" w:space="0" w:color="auto"/>
        <w:right w:val="none" w:sz="0" w:space="0" w:color="auto"/>
      </w:divBdr>
    </w:div>
    <w:div w:id="90707316">
      <w:bodyDiv w:val="1"/>
      <w:marLeft w:val="0"/>
      <w:marRight w:val="0"/>
      <w:marTop w:val="0"/>
      <w:marBottom w:val="0"/>
      <w:divBdr>
        <w:top w:val="none" w:sz="0" w:space="0" w:color="auto"/>
        <w:left w:val="none" w:sz="0" w:space="0" w:color="auto"/>
        <w:bottom w:val="none" w:sz="0" w:space="0" w:color="auto"/>
        <w:right w:val="none" w:sz="0" w:space="0" w:color="auto"/>
      </w:divBdr>
    </w:div>
    <w:div w:id="651448684">
      <w:bodyDiv w:val="1"/>
      <w:marLeft w:val="0"/>
      <w:marRight w:val="0"/>
      <w:marTop w:val="0"/>
      <w:marBottom w:val="0"/>
      <w:divBdr>
        <w:top w:val="none" w:sz="0" w:space="0" w:color="auto"/>
        <w:left w:val="none" w:sz="0" w:space="0" w:color="auto"/>
        <w:bottom w:val="none" w:sz="0" w:space="0" w:color="auto"/>
        <w:right w:val="none" w:sz="0" w:space="0" w:color="auto"/>
      </w:divBdr>
    </w:div>
    <w:div w:id="1111125547">
      <w:bodyDiv w:val="1"/>
      <w:marLeft w:val="0"/>
      <w:marRight w:val="0"/>
      <w:marTop w:val="0"/>
      <w:marBottom w:val="0"/>
      <w:divBdr>
        <w:top w:val="none" w:sz="0" w:space="0" w:color="auto"/>
        <w:left w:val="none" w:sz="0" w:space="0" w:color="auto"/>
        <w:bottom w:val="none" w:sz="0" w:space="0" w:color="auto"/>
        <w:right w:val="none" w:sz="0" w:space="0" w:color="auto"/>
      </w:divBdr>
    </w:div>
    <w:div w:id="1178352386">
      <w:bodyDiv w:val="1"/>
      <w:marLeft w:val="0"/>
      <w:marRight w:val="0"/>
      <w:marTop w:val="0"/>
      <w:marBottom w:val="0"/>
      <w:divBdr>
        <w:top w:val="none" w:sz="0" w:space="0" w:color="auto"/>
        <w:left w:val="none" w:sz="0" w:space="0" w:color="auto"/>
        <w:bottom w:val="none" w:sz="0" w:space="0" w:color="auto"/>
        <w:right w:val="none" w:sz="0" w:space="0" w:color="auto"/>
      </w:divBdr>
    </w:div>
    <w:div w:id="1236472931">
      <w:bodyDiv w:val="1"/>
      <w:marLeft w:val="0"/>
      <w:marRight w:val="0"/>
      <w:marTop w:val="0"/>
      <w:marBottom w:val="0"/>
      <w:divBdr>
        <w:top w:val="none" w:sz="0" w:space="0" w:color="auto"/>
        <w:left w:val="none" w:sz="0" w:space="0" w:color="auto"/>
        <w:bottom w:val="none" w:sz="0" w:space="0" w:color="auto"/>
        <w:right w:val="none" w:sz="0" w:space="0" w:color="auto"/>
      </w:divBdr>
    </w:div>
    <w:div w:id="1249343363">
      <w:bodyDiv w:val="1"/>
      <w:marLeft w:val="0"/>
      <w:marRight w:val="0"/>
      <w:marTop w:val="0"/>
      <w:marBottom w:val="0"/>
      <w:divBdr>
        <w:top w:val="none" w:sz="0" w:space="0" w:color="auto"/>
        <w:left w:val="none" w:sz="0" w:space="0" w:color="auto"/>
        <w:bottom w:val="none" w:sz="0" w:space="0" w:color="auto"/>
        <w:right w:val="none" w:sz="0" w:space="0" w:color="auto"/>
      </w:divBdr>
    </w:div>
    <w:div w:id="1736277992">
      <w:bodyDiv w:val="1"/>
      <w:marLeft w:val="0"/>
      <w:marRight w:val="0"/>
      <w:marTop w:val="0"/>
      <w:marBottom w:val="0"/>
      <w:divBdr>
        <w:top w:val="none" w:sz="0" w:space="0" w:color="auto"/>
        <w:left w:val="none" w:sz="0" w:space="0" w:color="auto"/>
        <w:bottom w:val="none" w:sz="0" w:space="0" w:color="auto"/>
        <w:right w:val="none" w:sz="0" w:space="0" w:color="auto"/>
      </w:divBdr>
    </w:div>
    <w:div w:id="1940258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na.baltroka@vara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usts.zustenieks@vara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A9E03-B42D-455F-AC8D-E93D00DE3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15</Pages>
  <Words>15015</Words>
  <Characters>8560</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Izziņa par atzinumos sniegtajiem iebildumiem</vt:lpstr>
    </vt:vector>
  </TitlesOfParts>
  <Company>Vides aizsardzības un reģionālās attīstības ministrija</Company>
  <LinksUpToDate>false</LinksUpToDate>
  <CharactersWithSpaces>23528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Izziņa</dc:subject>
  <dc:creator>Elina.Baltroka@varam.gov.lv</dc:creator>
  <cp:keywords/>
  <dc:description/>
  <cp:lastModifiedBy>Dmitrijs Dmitrijevs</cp:lastModifiedBy>
  <cp:revision>15</cp:revision>
  <cp:lastPrinted>2019-04-29T11:44:00Z</cp:lastPrinted>
  <dcterms:created xsi:type="dcterms:W3CDTF">2019-06-12T07:40:00Z</dcterms:created>
  <dcterms:modified xsi:type="dcterms:W3CDTF">2019-06-20T11:41:00Z</dcterms:modified>
  <cp:category>Vides politika</cp:category>
</cp:coreProperties>
</file>