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4DCAA" w14:textId="77777777" w:rsidR="00326E75" w:rsidRDefault="00326E75" w:rsidP="002F6F80">
      <w:pPr>
        <w:spacing w:after="0"/>
        <w:ind w:right="-625"/>
        <w:rPr>
          <w:rFonts w:ascii="Times New Roman" w:hAnsi="Times New Roman" w:cs="Times New Roman"/>
          <w:sz w:val="24"/>
          <w:szCs w:val="24"/>
        </w:rPr>
      </w:pPr>
    </w:p>
    <w:p w14:paraId="5A925314" w14:textId="77777777" w:rsidR="00326E75" w:rsidRDefault="00326E75" w:rsidP="001D7EE2">
      <w:pPr>
        <w:spacing w:after="0"/>
        <w:ind w:right="-625" w:firstLine="567"/>
        <w:rPr>
          <w:rFonts w:ascii="Times New Roman" w:hAnsi="Times New Roman" w:cs="Times New Roman"/>
          <w:sz w:val="24"/>
          <w:szCs w:val="24"/>
        </w:rPr>
      </w:pPr>
    </w:p>
    <w:p w14:paraId="3A8A00A1" w14:textId="77777777" w:rsidR="00326E75" w:rsidRDefault="00326E75" w:rsidP="001D7EE2">
      <w:pPr>
        <w:spacing w:after="0"/>
        <w:ind w:right="-625" w:firstLine="567"/>
        <w:rPr>
          <w:rFonts w:ascii="Times New Roman" w:hAnsi="Times New Roman" w:cs="Times New Roman"/>
          <w:sz w:val="24"/>
          <w:szCs w:val="24"/>
        </w:rPr>
      </w:pPr>
    </w:p>
    <w:p w14:paraId="5B46FC93" w14:textId="77777777" w:rsidR="00326E75" w:rsidRDefault="00326E75" w:rsidP="001D7EE2">
      <w:pPr>
        <w:spacing w:after="0"/>
        <w:ind w:right="-625" w:firstLine="567"/>
        <w:rPr>
          <w:rFonts w:ascii="Times New Roman" w:hAnsi="Times New Roman" w:cs="Times New Roman"/>
          <w:sz w:val="24"/>
          <w:szCs w:val="24"/>
        </w:rPr>
      </w:pPr>
    </w:p>
    <w:p w14:paraId="4D54764F" w14:textId="77777777" w:rsidR="00326E75" w:rsidRDefault="00326E75" w:rsidP="001D7EE2">
      <w:pPr>
        <w:spacing w:after="0"/>
        <w:ind w:right="-625" w:firstLine="567"/>
        <w:rPr>
          <w:rFonts w:ascii="Times New Roman" w:hAnsi="Times New Roman" w:cs="Times New Roman"/>
          <w:sz w:val="24"/>
          <w:szCs w:val="24"/>
        </w:rPr>
      </w:pPr>
    </w:p>
    <w:p w14:paraId="3C4B858C" w14:textId="77777777" w:rsidR="00326E75" w:rsidRDefault="00326E75" w:rsidP="001D7EE2">
      <w:pPr>
        <w:spacing w:after="0"/>
        <w:ind w:right="-625" w:firstLine="567"/>
        <w:rPr>
          <w:rFonts w:ascii="Times New Roman" w:hAnsi="Times New Roman" w:cs="Times New Roman"/>
          <w:sz w:val="24"/>
          <w:szCs w:val="24"/>
        </w:rPr>
      </w:pPr>
    </w:p>
    <w:p w14:paraId="384F2553" w14:textId="77777777" w:rsidR="00D64BCF" w:rsidRDefault="00D64BCF" w:rsidP="001D7EE2">
      <w:pPr>
        <w:spacing w:after="0"/>
        <w:ind w:right="-625" w:firstLine="567"/>
        <w:rPr>
          <w:rFonts w:ascii="Times New Roman" w:hAnsi="Times New Roman" w:cs="Times New Roman"/>
          <w:b/>
          <w:sz w:val="28"/>
          <w:szCs w:val="24"/>
        </w:rPr>
      </w:pPr>
    </w:p>
    <w:p w14:paraId="4F57B658" w14:textId="77777777" w:rsidR="00D64BCF" w:rsidRDefault="00D64BCF" w:rsidP="001D7EE2">
      <w:pPr>
        <w:spacing w:after="0"/>
        <w:ind w:right="-625" w:firstLine="567"/>
        <w:rPr>
          <w:rFonts w:ascii="Times New Roman" w:hAnsi="Times New Roman" w:cs="Times New Roman"/>
          <w:b/>
          <w:sz w:val="28"/>
          <w:szCs w:val="24"/>
        </w:rPr>
      </w:pPr>
    </w:p>
    <w:p w14:paraId="72FB3BF6" w14:textId="77777777" w:rsidR="00D64BCF" w:rsidRDefault="00D64BCF" w:rsidP="001D7EE2">
      <w:pPr>
        <w:spacing w:after="0"/>
        <w:ind w:right="-625" w:firstLine="567"/>
        <w:rPr>
          <w:rFonts w:ascii="Times New Roman" w:hAnsi="Times New Roman" w:cs="Times New Roman"/>
          <w:b/>
          <w:sz w:val="28"/>
          <w:szCs w:val="24"/>
        </w:rPr>
      </w:pPr>
    </w:p>
    <w:p w14:paraId="2B383F16" w14:textId="77777777" w:rsidR="00D64BCF" w:rsidRDefault="00D64BCF" w:rsidP="001D7EE2">
      <w:pPr>
        <w:spacing w:after="0"/>
        <w:ind w:right="-625" w:firstLine="567"/>
        <w:rPr>
          <w:rFonts w:ascii="Times New Roman" w:hAnsi="Times New Roman" w:cs="Times New Roman"/>
          <w:b/>
          <w:sz w:val="28"/>
          <w:szCs w:val="24"/>
        </w:rPr>
      </w:pPr>
    </w:p>
    <w:p w14:paraId="27D8E611" w14:textId="77777777" w:rsidR="00D64BCF" w:rsidRDefault="00D64BCF" w:rsidP="001D7EE2">
      <w:pPr>
        <w:spacing w:after="0"/>
        <w:ind w:right="-625" w:firstLine="567"/>
        <w:rPr>
          <w:rFonts w:ascii="Times New Roman" w:hAnsi="Times New Roman" w:cs="Times New Roman"/>
          <w:b/>
          <w:sz w:val="28"/>
          <w:szCs w:val="24"/>
        </w:rPr>
      </w:pPr>
    </w:p>
    <w:p w14:paraId="46FEE10F" w14:textId="77777777" w:rsidR="00D64BCF" w:rsidRDefault="00D64BCF" w:rsidP="001D7EE2">
      <w:pPr>
        <w:spacing w:after="0"/>
        <w:ind w:right="-625" w:firstLine="567"/>
        <w:rPr>
          <w:rFonts w:ascii="Times New Roman" w:hAnsi="Times New Roman" w:cs="Times New Roman"/>
          <w:b/>
          <w:sz w:val="28"/>
          <w:szCs w:val="24"/>
        </w:rPr>
      </w:pPr>
    </w:p>
    <w:p w14:paraId="3B0CCFD8" w14:textId="77777777" w:rsidR="00D64BCF" w:rsidRDefault="00D64BCF" w:rsidP="001D7EE2">
      <w:pPr>
        <w:spacing w:after="0"/>
        <w:ind w:right="-625" w:firstLine="567"/>
        <w:rPr>
          <w:rFonts w:ascii="Times New Roman" w:hAnsi="Times New Roman" w:cs="Times New Roman"/>
          <w:b/>
          <w:sz w:val="28"/>
          <w:szCs w:val="24"/>
        </w:rPr>
      </w:pPr>
    </w:p>
    <w:p w14:paraId="758E71AC" w14:textId="77777777" w:rsidR="00D64BCF" w:rsidRDefault="00D64BCF" w:rsidP="001D7EE2">
      <w:pPr>
        <w:spacing w:after="0"/>
        <w:ind w:right="-625" w:firstLine="567"/>
        <w:rPr>
          <w:rFonts w:ascii="Times New Roman" w:hAnsi="Times New Roman" w:cs="Times New Roman"/>
          <w:b/>
          <w:sz w:val="28"/>
          <w:szCs w:val="24"/>
        </w:rPr>
      </w:pPr>
    </w:p>
    <w:p w14:paraId="74ABDC60" w14:textId="77777777" w:rsidR="00D64BCF" w:rsidRDefault="00D64BCF" w:rsidP="001D7EE2">
      <w:pPr>
        <w:spacing w:after="0"/>
        <w:ind w:right="-625" w:firstLine="567"/>
        <w:rPr>
          <w:rFonts w:ascii="Times New Roman" w:hAnsi="Times New Roman" w:cs="Times New Roman"/>
          <w:b/>
          <w:sz w:val="28"/>
          <w:szCs w:val="24"/>
        </w:rPr>
      </w:pPr>
    </w:p>
    <w:p w14:paraId="003249B0" w14:textId="77777777" w:rsidR="00D64BCF" w:rsidRDefault="00D64BCF" w:rsidP="001D7EE2">
      <w:pPr>
        <w:spacing w:after="0"/>
        <w:ind w:right="-625" w:firstLine="567"/>
        <w:jc w:val="center"/>
        <w:rPr>
          <w:rFonts w:ascii="Times New Roman" w:hAnsi="Times New Roman" w:cs="Times New Roman"/>
          <w:b/>
          <w:sz w:val="28"/>
          <w:szCs w:val="24"/>
        </w:rPr>
      </w:pPr>
      <w:r w:rsidRPr="00D64BCF">
        <w:rPr>
          <w:rFonts w:ascii="Times New Roman" w:hAnsi="Times New Roman" w:cs="Times New Roman"/>
          <w:b/>
          <w:sz w:val="28"/>
          <w:szCs w:val="24"/>
        </w:rPr>
        <w:t>Konceptuālais ziņojums</w:t>
      </w:r>
    </w:p>
    <w:p w14:paraId="24418D53" w14:textId="77777777" w:rsidR="00D64BCF" w:rsidRPr="00D64BCF" w:rsidRDefault="00D64BCF" w:rsidP="001D7EE2">
      <w:pPr>
        <w:spacing w:after="0"/>
        <w:ind w:right="-625" w:firstLine="567"/>
        <w:jc w:val="center"/>
        <w:rPr>
          <w:rFonts w:ascii="Times New Roman" w:hAnsi="Times New Roman" w:cs="Times New Roman"/>
          <w:b/>
          <w:sz w:val="28"/>
          <w:szCs w:val="24"/>
        </w:rPr>
      </w:pPr>
    </w:p>
    <w:p w14:paraId="01D77F53" w14:textId="2D2F6B3E" w:rsidR="00326E75" w:rsidRDefault="00D64BCF" w:rsidP="001D7EE2">
      <w:pPr>
        <w:spacing w:after="0"/>
        <w:ind w:right="-625" w:firstLine="567"/>
        <w:jc w:val="center"/>
        <w:rPr>
          <w:rFonts w:ascii="Times New Roman" w:hAnsi="Times New Roman" w:cs="Times New Roman"/>
          <w:sz w:val="24"/>
          <w:szCs w:val="24"/>
        </w:rPr>
      </w:pPr>
      <w:r>
        <w:rPr>
          <w:rFonts w:ascii="Times New Roman" w:hAnsi="Times New Roman" w:cs="Times New Roman"/>
          <w:b/>
          <w:sz w:val="28"/>
          <w:szCs w:val="24"/>
        </w:rPr>
        <w:t>P</w:t>
      </w:r>
      <w:r w:rsidRPr="00D64BCF">
        <w:rPr>
          <w:rFonts w:ascii="Times New Roman" w:hAnsi="Times New Roman" w:cs="Times New Roman"/>
          <w:b/>
          <w:sz w:val="28"/>
          <w:szCs w:val="24"/>
        </w:rPr>
        <w:t>ar bezmaksas emisijas kvotu piešķiršanu elektroenerģijas ražo</w:t>
      </w:r>
      <w:r w:rsidR="00F15A8B">
        <w:rPr>
          <w:rFonts w:ascii="Times New Roman" w:hAnsi="Times New Roman" w:cs="Times New Roman"/>
          <w:b/>
          <w:sz w:val="28"/>
          <w:szCs w:val="24"/>
        </w:rPr>
        <w:t xml:space="preserve">tājiem </w:t>
      </w:r>
      <w:r w:rsidR="00322D11">
        <w:rPr>
          <w:rFonts w:ascii="Times New Roman" w:hAnsi="Times New Roman" w:cs="Times New Roman"/>
          <w:b/>
          <w:sz w:val="28"/>
          <w:szCs w:val="24"/>
        </w:rPr>
        <w:t xml:space="preserve">Eiropas Savienības emisiju tirdzniecības sistēmas </w:t>
      </w:r>
      <w:r w:rsidR="00991F40" w:rsidRPr="00991F40">
        <w:rPr>
          <w:rFonts w:ascii="Times New Roman" w:hAnsi="Times New Roman" w:cs="Times New Roman"/>
          <w:b/>
          <w:sz w:val="28"/>
          <w:szCs w:val="24"/>
        </w:rPr>
        <w:t>2021.</w:t>
      </w:r>
      <w:r w:rsidR="00F46BBA">
        <w:rPr>
          <w:rFonts w:ascii="Times New Roman" w:hAnsi="Times New Roman" w:cs="Times New Roman"/>
          <w:b/>
          <w:sz w:val="28"/>
          <w:szCs w:val="24"/>
        </w:rPr>
        <w:t xml:space="preserve"> </w:t>
      </w:r>
      <w:r w:rsidR="00991F40" w:rsidRPr="00991F40">
        <w:rPr>
          <w:rFonts w:ascii="Times New Roman" w:hAnsi="Times New Roman" w:cs="Times New Roman"/>
          <w:b/>
          <w:sz w:val="28"/>
          <w:szCs w:val="24"/>
        </w:rPr>
        <w:t>-</w:t>
      </w:r>
      <w:r w:rsidR="00F46BBA">
        <w:rPr>
          <w:rFonts w:ascii="Times New Roman" w:hAnsi="Times New Roman" w:cs="Times New Roman"/>
          <w:b/>
          <w:sz w:val="28"/>
          <w:szCs w:val="24"/>
        </w:rPr>
        <w:t xml:space="preserve"> </w:t>
      </w:r>
      <w:r w:rsidR="005D4EC4">
        <w:rPr>
          <w:rFonts w:ascii="Times New Roman" w:hAnsi="Times New Roman" w:cs="Times New Roman"/>
          <w:b/>
          <w:sz w:val="28"/>
          <w:szCs w:val="24"/>
        </w:rPr>
        <w:t>2030. </w:t>
      </w:r>
      <w:r w:rsidR="00991F40" w:rsidRPr="00991F40">
        <w:rPr>
          <w:rFonts w:ascii="Times New Roman" w:hAnsi="Times New Roman" w:cs="Times New Roman"/>
          <w:b/>
          <w:sz w:val="28"/>
          <w:szCs w:val="24"/>
        </w:rPr>
        <w:t>gada periodā</w:t>
      </w:r>
    </w:p>
    <w:p w14:paraId="433C50AB" w14:textId="77777777" w:rsidR="00326E75" w:rsidRDefault="00326E75" w:rsidP="001D7EE2">
      <w:pPr>
        <w:spacing w:after="0"/>
        <w:ind w:right="-625" w:firstLine="567"/>
        <w:rPr>
          <w:rFonts w:ascii="Times New Roman" w:hAnsi="Times New Roman" w:cs="Times New Roman"/>
          <w:sz w:val="24"/>
          <w:szCs w:val="24"/>
        </w:rPr>
      </w:pPr>
    </w:p>
    <w:p w14:paraId="7BEF8ED4" w14:textId="77777777" w:rsidR="00326E75" w:rsidRDefault="00326E75" w:rsidP="001D7EE2">
      <w:pPr>
        <w:spacing w:after="0"/>
        <w:ind w:right="-625" w:firstLine="567"/>
        <w:rPr>
          <w:rFonts w:ascii="Times New Roman" w:hAnsi="Times New Roman" w:cs="Times New Roman"/>
          <w:sz w:val="24"/>
          <w:szCs w:val="24"/>
        </w:rPr>
      </w:pPr>
    </w:p>
    <w:p w14:paraId="304762A3" w14:textId="77777777" w:rsidR="00326E75" w:rsidRDefault="00326E75" w:rsidP="001D7EE2">
      <w:pPr>
        <w:spacing w:after="0"/>
        <w:ind w:right="-625" w:firstLine="567"/>
        <w:rPr>
          <w:rFonts w:ascii="Times New Roman" w:hAnsi="Times New Roman" w:cs="Times New Roman"/>
          <w:sz w:val="24"/>
          <w:szCs w:val="24"/>
        </w:rPr>
      </w:pPr>
    </w:p>
    <w:p w14:paraId="3D9FD85D" w14:textId="77777777" w:rsidR="00326E75" w:rsidRDefault="00326E75" w:rsidP="001D7EE2">
      <w:pPr>
        <w:spacing w:after="0"/>
        <w:ind w:right="-625" w:firstLine="567"/>
        <w:rPr>
          <w:rFonts w:ascii="Times New Roman" w:hAnsi="Times New Roman" w:cs="Times New Roman"/>
          <w:sz w:val="24"/>
          <w:szCs w:val="24"/>
        </w:rPr>
      </w:pPr>
    </w:p>
    <w:p w14:paraId="383C36C3" w14:textId="77777777" w:rsidR="00326E75" w:rsidRDefault="00326E75" w:rsidP="001D7EE2">
      <w:pPr>
        <w:spacing w:after="0"/>
        <w:ind w:right="-625" w:firstLine="567"/>
        <w:rPr>
          <w:rFonts w:ascii="Times New Roman" w:hAnsi="Times New Roman" w:cs="Times New Roman"/>
          <w:sz w:val="24"/>
          <w:szCs w:val="24"/>
        </w:rPr>
      </w:pPr>
    </w:p>
    <w:p w14:paraId="790D9B8C" w14:textId="77777777" w:rsidR="009B0C11" w:rsidRPr="00326E75" w:rsidRDefault="009B0C11" w:rsidP="001D7EE2">
      <w:pPr>
        <w:spacing w:after="0"/>
        <w:ind w:right="-625" w:firstLine="567"/>
        <w:rPr>
          <w:rFonts w:ascii="Times New Roman" w:hAnsi="Times New Roman" w:cs="Times New Roman"/>
          <w:sz w:val="24"/>
          <w:szCs w:val="24"/>
        </w:rPr>
      </w:pPr>
      <w:r w:rsidRPr="00326E75">
        <w:rPr>
          <w:rFonts w:ascii="Times New Roman" w:hAnsi="Times New Roman" w:cs="Times New Roman"/>
          <w:sz w:val="24"/>
          <w:szCs w:val="24"/>
        </w:rPr>
        <w:br w:type="page"/>
      </w:r>
    </w:p>
    <w:sdt>
      <w:sdtPr>
        <w:rPr>
          <w:rFonts w:asciiTheme="majorBidi" w:eastAsiaTheme="minorHAnsi" w:hAnsiTheme="majorBidi" w:cstheme="minorBidi"/>
          <w:b w:val="0"/>
          <w:bCs w:val="0"/>
          <w:color w:val="auto"/>
          <w:sz w:val="24"/>
          <w:szCs w:val="24"/>
          <w:lang w:val="lv-LV" w:eastAsia="en-US"/>
        </w:rPr>
        <w:id w:val="370500079"/>
        <w:docPartObj>
          <w:docPartGallery w:val="Table of Contents"/>
          <w:docPartUnique/>
        </w:docPartObj>
      </w:sdtPr>
      <w:sdtEndPr>
        <w:rPr>
          <w:rFonts w:asciiTheme="minorHAnsi" w:hAnsiTheme="minorHAnsi"/>
          <w:noProof/>
          <w:sz w:val="22"/>
          <w:szCs w:val="22"/>
        </w:rPr>
      </w:sdtEndPr>
      <w:sdtContent>
        <w:p w14:paraId="1A15395B" w14:textId="77777777" w:rsidR="00114263" w:rsidRPr="00331489" w:rsidRDefault="00114263" w:rsidP="001D7EE2">
          <w:pPr>
            <w:pStyle w:val="TOCHeading"/>
            <w:spacing w:before="0" w:line="259" w:lineRule="auto"/>
            <w:jc w:val="center"/>
            <w:rPr>
              <w:rFonts w:asciiTheme="majorBidi" w:hAnsiTheme="majorBidi"/>
              <w:color w:val="auto"/>
              <w:sz w:val="24"/>
              <w:szCs w:val="24"/>
              <w:lang w:val="lv-LV"/>
            </w:rPr>
          </w:pPr>
          <w:r w:rsidRPr="00331489">
            <w:rPr>
              <w:rFonts w:asciiTheme="majorBidi" w:hAnsiTheme="majorBidi"/>
              <w:color w:val="auto"/>
              <w:sz w:val="24"/>
              <w:szCs w:val="24"/>
              <w:lang w:val="lv-LV"/>
            </w:rPr>
            <w:t>Saturs</w:t>
          </w:r>
        </w:p>
        <w:p w14:paraId="0A3AF069" w14:textId="77777777" w:rsidR="0021790D" w:rsidRPr="0021790D" w:rsidRDefault="00114263">
          <w:pPr>
            <w:pStyle w:val="TOC1"/>
            <w:tabs>
              <w:tab w:val="right" w:leader="dot" w:pos="8296"/>
            </w:tabs>
            <w:rPr>
              <w:rFonts w:ascii="Times New Roman" w:eastAsiaTheme="minorEastAsia" w:hAnsi="Times New Roman" w:cs="Times New Roman"/>
              <w:noProof/>
              <w:sz w:val="24"/>
              <w:szCs w:val="24"/>
              <w:lang w:eastAsia="lv-LV"/>
            </w:rPr>
          </w:pPr>
          <w:r w:rsidRPr="00DC2999">
            <w:rPr>
              <w:rFonts w:ascii="Times New Roman" w:hAnsi="Times New Roman" w:cs="Times New Roman"/>
              <w:sz w:val="24"/>
              <w:szCs w:val="24"/>
            </w:rPr>
            <w:fldChar w:fldCharType="begin"/>
          </w:r>
          <w:r w:rsidRPr="000806DC">
            <w:rPr>
              <w:rFonts w:ascii="Times New Roman" w:hAnsi="Times New Roman" w:cs="Times New Roman"/>
              <w:sz w:val="24"/>
              <w:szCs w:val="24"/>
            </w:rPr>
            <w:instrText xml:space="preserve"> TOC \o "1-3" \h \z \u </w:instrText>
          </w:r>
          <w:r w:rsidRPr="00DC2999">
            <w:rPr>
              <w:rFonts w:ascii="Times New Roman" w:hAnsi="Times New Roman" w:cs="Times New Roman"/>
              <w:sz w:val="24"/>
              <w:szCs w:val="24"/>
            </w:rPr>
            <w:fldChar w:fldCharType="separate"/>
          </w:r>
          <w:hyperlink w:anchor="_Toc5694308" w:history="1">
            <w:r w:rsidR="0021790D" w:rsidRPr="0021790D">
              <w:rPr>
                <w:rStyle w:val="Hyperlink"/>
                <w:rFonts w:ascii="Times New Roman" w:hAnsi="Times New Roman" w:cs="Times New Roman"/>
                <w:noProof/>
                <w:sz w:val="24"/>
                <w:szCs w:val="24"/>
              </w:rPr>
              <w:t>I Kopsavilkums</w:t>
            </w:r>
            <w:r w:rsidR="0021790D" w:rsidRPr="0021790D">
              <w:rPr>
                <w:rFonts w:ascii="Times New Roman" w:hAnsi="Times New Roman" w:cs="Times New Roman"/>
                <w:noProof/>
                <w:webHidden/>
                <w:sz w:val="24"/>
                <w:szCs w:val="24"/>
              </w:rPr>
              <w:tab/>
            </w:r>
            <w:r w:rsidR="0021790D" w:rsidRPr="0021790D">
              <w:rPr>
                <w:rFonts w:ascii="Times New Roman" w:hAnsi="Times New Roman" w:cs="Times New Roman"/>
                <w:noProof/>
                <w:webHidden/>
                <w:sz w:val="24"/>
                <w:szCs w:val="24"/>
              </w:rPr>
              <w:fldChar w:fldCharType="begin"/>
            </w:r>
            <w:r w:rsidR="0021790D" w:rsidRPr="0021790D">
              <w:rPr>
                <w:rFonts w:ascii="Times New Roman" w:hAnsi="Times New Roman" w:cs="Times New Roman"/>
                <w:noProof/>
                <w:webHidden/>
                <w:sz w:val="24"/>
                <w:szCs w:val="24"/>
              </w:rPr>
              <w:instrText xml:space="preserve"> PAGEREF _Toc5694308 \h </w:instrText>
            </w:r>
            <w:r w:rsidR="0021790D" w:rsidRPr="0021790D">
              <w:rPr>
                <w:rFonts w:ascii="Times New Roman" w:hAnsi="Times New Roman" w:cs="Times New Roman"/>
                <w:noProof/>
                <w:webHidden/>
                <w:sz w:val="24"/>
                <w:szCs w:val="24"/>
              </w:rPr>
            </w:r>
            <w:r w:rsidR="0021790D" w:rsidRPr="0021790D">
              <w:rPr>
                <w:rFonts w:ascii="Times New Roman" w:hAnsi="Times New Roman" w:cs="Times New Roman"/>
                <w:noProof/>
                <w:webHidden/>
                <w:sz w:val="24"/>
                <w:szCs w:val="24"/>
              </w:rPr>
              <w:fldChar w:fldCharType="separate"/>
            </w:r>
            <w:r w:rsidR="0021790D" w:rsidRPr="0021790D">
              <w:rPr>
                <w:rFonts w:ascii="Times New Roman" w:hAnsi="Times New Roman" w:cs="Times New Roman"/>
                <w:noProof/>
                <w:webHidden/>
                <w:sz w:val="24"/>
                <w:szCs w:val="24"/>
              </w:rPr>
              <w:t>3</w:t>
            </w:r>
            <w:r w:rsidR="0021790D" w:rsidRPr="0021790D">
              <w:rPr>
                <w:rFonts w:ascii="Times New Roman" w:hAnsi="Times New Roman" w:cs="Times New Roman"/>
                <w:noProof/>
                <w:webHidden/>
                <w:sz w:val="24"/>
                <w:szCs w:val="24"/>
              </w:rPr>
              <w:fldChar w:fldCharType="end"/>
            </w:r>
          </w:hyperlink>
        </w:p>
        <w:p w14:paraId="122596A2" w14:textId="77777777" w:rsidR="0021790D" w:rsidRPr="0021790D" w:rsidRDefault="005C5150">
          <w:pPr>
            <w:pStyle w:val="TOC1"/>
            <w:tabs>
              <w:tab w:val="right" w:leader="dot" w:pos="8296"/>
            </w:tabs>
            <w:rPr>
              <w:rFonts w:ascii="Times New Roman" w:eastAsiaTheme="minorEastAsia" w:hAnsi="Times New Roman" w:cs="Times New Roman"/>
              <w:noProof/>
              <w:sz w:val="24"/>
              <w:szCs w:val="24"/>
              <w:lang w:eastAsia="lv-LV"/>
            </w:rPr>
          </w:pPr>
          <w:hyperlink w:anchor="_Toc5694309" w:history="1">
            <w:r w:rsidR="0021790D" w:rsidRPr="0021790D">
              <w:rPr>
                <w:rStyle w:val="Hyperlink"/>
                <w:rFonts w:ascii="Times New Roman" w:hAnsi="Times New Roman" w:cs="Times New Roman"/>
                <w:noProof/>
                <w:sz w:val="24"/>
                <w:szCs w:val="24"/>
              </w:rPr>
              <w:t>II Esošās situācijas raksturojums un problēmas apraksts</w:t>
            </w:r>
            <w:r w:rsidR="0021790D" w:rsidRPr="0021790D">
              <w:rPr>
                <w:rFonts w:ascii="Times New Roman" w:hAnsi="Times New Roman" w:cs="Times New Roman"/>
                <w:noProof/>
                <w:webHidden/>
                <w:sz w:val="24"/>
                <w:szCs w:val="24"/>
              </w:rPr>
              <w:tab/>
            </w:r>
            <w:r w:rsidR="0021790D" w:rsidRPr="0021790D">
              <w:rPr>
                <w:rFonts w:ascii="Times New Roman" w:hAnsi="Times New Roman" w:cs="Times New Roman"/>
                <w:noProof/>
                <w:webHidden/>
                <w:sz w:val="24"/>
                <w:szCs w:val="24"/>
              </w:rPr>
              <w:fldChar w:fldCharType="begin"/>
            </w:r>
            <w:r w:rsidR="0021790D" w:rsidRPr="0021790D">
              <w:rPr>
                <w:rFonts w:ascii="Times New Roman" w:hAnsi="Times New Roman" w:cs="Times New Roman"/>
                <w:noProof/>
                <w:webHidden/>
                <w:sz w:val="24"/>
                <w:szCs w:val="24"/>
              </w:rPr>
              <w:instrText xml:space="preserve"> PAGEREF _Toc5694309 \h </w:instrText>
            </w:r>
            <w:r w:rsidR="0021790D" w:rsidRPr="0021790D">
              <w:rPr>
                <w:rFonts w:ascii="Times New Roman" w:hAnsi="Times New Roman" w:cs="Times New Roman"/>
                <w:noProof/>
                <w:webHidden/>
                <w:sz w:val="24"/>
                <w:szCs w:val="24"/>
              </w:rPr>
            </w:r>
            <w:r w:rsidR="0021790D" w:rsidRPr="0021790D">
              <w:rPr>
                <w:rFonts w:ascii="Times New Roman" w:hAnsi="Times New Roman" w:cs="Times New Roman"/>
                <w:noProof/>
                <w:webHidden/>
                <w:sz w:val="24"/>
                <w:szCs w:val="24"/>
              </w:rPr>
              <w:fldChar w:fldCharType="separate"/>
            </w:r>
            <w:r w:rsidR="0021790D" w:rsidRPr="0021790D">
              <w:rPr>
                <w:rFonts w:ascii="Times New Roman" w:hAnsi="Times New Roman" w:cs="Times New Roman"/>
                <w:noProof/>
                <w:webHidden/>
                <w:sz w:val="24"/>
                <w:szCs w:val="24"/>
              </w:rPr>
              <w:t>4</w:t>
            </w:r>
            <w:r w:rsidR="0021790D" w:rsidRPr="0021790D">
              <w:rPr>
                <w:rFonts w:ascii="Times New Roman" w:hAnsi="Times New Roman" w:cs="Times New Roman"/>
                <w:noProof/>
                <w:webHidden/>
                <w:sz w:val="24"/>
                <w:szCs w:val="24"/>
              </w:rPr>
              <w:fldChar w:fldCharType="end"/>
            </w:r>
          </w:hyperlink>
        </w:p>
        <w:p w14:paraId="471077F4" w14:textId="77777777" w:rsidR="0021790D" w:rsidRPr="0021790D" w:rsidRDefault="005C5150">
          <w:pPr>
            <w:pStyle w:val="TOC2"/>
            <w:tabs>
              <w:tab w:val="right" w:leader="dot" w:pos="8296"/>
            </w:tabs>
            <w:rPr>
              <w:rFonts w:ascii="Times New Roman" w:eastAsiaTheme="minorEastAsia" w:hAnsi="Times New Roman" w:cs="Times New Roman"/>
              <w:noProof/>
              <w:sz w:val="24"/>
              <w:szCs w:val="24"/>
              <w:lang w:eastAsia="lv-LV"/>
            </w:rPr>
          </w:pPr>
          <w:hyperlink w:anchor="_Toc5694310" w:history="1">
            <w:r w:rsidR="0021790D" w:rsidRPr="0021790D">
              <w:rPr>
                <w:rStyle w:val="Hyperlink"/>
                <w:rFonts w:ascii="Times New Roman" w:hAnsi="Times New Roman" w:cs="Times New Roman"/>
                <w:noProof/>
                <w:sz w:val="24"/>
                <w:szCs w:val="24"/>
              </w:rPr>
              <w:t>2.1. Starptautiskā un Eiropas Savienības klimata politika</w:t>
            </w:r>
            <w:r w:rsidR="0021790D" w:rsidRPr="0021790D">
              <w:rPr>
                <w:rFonts w:ascii="Times New Roman" w:hAnsi="Times New Roman" w:cs="Times New Roman"/>
                <w:noProof/>
                <w:webHidden/>
                <w:sz w:val="24"/>
                <w:szCs w:val="24"/>
              </w:rPr>
              <w:tab/>
            </w:r>
            <w:r w:rsidR="0021790D" w:rsidRPr="0021790D">
              <w:rPr>
                <w:rFonts w:ascii="Times New Roman" w:hAnsi="Times New Roman" w:cs="Times New Roman"/>
                <w:noProof/>
                <w:webHidden/>
                <w:sz w:val="24"/>
                <w:szCs w:val="24"/>
              </w:rPr>
              <w:fldChar w:fldCharType="begin"/>
            </w:r>
            <w:r w:rsidR="0021790D" w:rsidRPr="0021790D">
              <w:rPr>
                <w:rFonts w:ascii="Times New Roman" w:hAnsi="Times New Roman" w:cs="Times New Roman"/>
                <w:noProof/>
                <w:webHidden/>
                <w:sz w:val="24"/>
                <w:szCs w:val="24"/>
              </w:rPr>
              <w:instrText xml:space="preserve"> PAGEREF _Toc5694310 \h </w:instrText>
            </w:r>
            <w:r w:rsidR="0021790D" w:rsidRPr="0021790D">
              <w:rPr>
                <w:rFonts w:ascii="Times New Roman" w:hAnsi="Times New Roman" w:cs="Times New Roman"/>
                <w:noProof/>
                <w:webHidden/>
                <w:sz w:val="24"/>
                <w:szCs w:val="24"/>
              </w:rPr>
            </w:r>
            <w:r w:rsidR="0021790D" w:rsidRPr="0021790D">
              <w:rPr>
                <w:rFonts w:ascii="Times New Roman" w:hAnsi="Times New Roman" w:cs="Times New Roman"/>
                <w:noProof/>
                <w:webHidden/>
                <w:sz w:val="24"/>
                <w:szCs w:val="24"/>
              </w:rPr>
              <w:fldChar w:fldCharType="separate"/>
            </w:r>
            <w:r w:rsidR="0021790D" w:rsidRPr="0021790D">
              <w:rPr>
                <w:rFonts w:ascii="Times New Roman" w:hAnsi="Times New Roman" w:cs="Times New Roman"/>
                <w:noProof/>
                <w:webHidden/>
                <w:sz w:val="24"/>
                <w:szCs w:val="24"/>
              </w:rPr>
              <w:t>4</w:t>
            </w:r>
            <w:r w:rsidR="0021790D" w:rsidRPr="0021790D">
              <w:rPr>
                <w:rFonts w:ascii="Times New Roman" w:hAnsi="Times New Roman" w:cs="Times New Roman"/>
                <w:noProof/>
                <w:webHidden/>
                <w:sz w:val="24"/>
                <w:szCs w:val="24"/>
              </w:rPr>
              <w:fldChar w:fldCharType="end"/>
            </w:r>
          </w:hyperlink>
        </w:p>
        <w:p w14:paraId="5DD6A0D5" w14:textId="77777777" w:rsidR="0021790D" w:rsidRPr="0021790D" w:rsidRDefault="005C5150">
          <w:pPr>
            <w:pStyle w:val="TOC2"/>
            <w:tabs>
              <w:tab w:val="right" w:leader="dot" w:pos="8296"/>
            </w:tabs>
            <w:rPr>
              <w:rFonts w:ascii="Times New Roman" w:eastAsiaTheme="minorEastAsia" w:hAnsi="Times New Roman" w:cs="Times New Roman"/>
              <w:noProof/>
              <w:sz w:val="24"/>
              <w:szCs w:val="24"/>
              <w:lang w:eastAsia="lv-LV"/>
            </w:rPr>
          </w:pPr>
          <w:hyperlink w:anchor="_Toc5694311" w:history="1">
            <w:r w:rsidR="0021790D" w:rsidRPr="0021790D">
              <w:rPr>
                <w:rStyle w:val="Hyperlink"/>
                <w:rFonts w:ascii="Times New Roman" w:hAnsi="Times New Roman" w:cs="Times New Roman"/>
                <w:noProof/>
                <w:sz w:val="24"/>
                <w:szCs w:val="24"/>
              </w:rPr>
              <w:t>2.2. Nosacījumi derogācijas izmantošanai</w:t>
            </w:r>
            <w:r w:rsidR="0021790D" w:rsidRPr="0021790D">
              <w:rPr>
                <w:rFonts w:ascii="Times New Roman" w:hAnsi="Times New Roman" w:cs="Times New Roman"/>
                <w:noProof/>
                <w:webHidden/>
                <w:sz w:val="24"/>
                <w:szCs w:val="24"/>
              </w:rPr>
              <w:tab/>
            </w:r>
            <w:r w:rsidR="0021790D" w:rsidRPr="0021790D">
              <w:rPr>
                <w:rFonts w:ascii="Times New Roman" w:hAnsi="Times New Roman" w:cs="Times New Roman"/>
                <w:noProof/>
                <w:webHidden/>
                <w:sz w:val="24"/>
                <w:szCs w:val="24"/>
              </w:rPr>
              <w:fldChar w:fldCharType="begin"/>
            </w:r>
            <w:r w:rsidR="0021790D" w:rsidRPr="0021790D">
              <w:rPr>
                <w:rFonts w:ascii="Times New Roman" w:hAnsi="Times New Roman" w:cs="Times New Roman"/>
                <w:noProof/>
                <w:webHidden/>
                <w:sz w:val="24"/>
                <w:szCs w:val="24"/>
              </w:rPr>
              <w:instrText xml:space="preserve"> PAGEREF _Toc5694311 \h </w:instrText>
            </w:r>
            <w:r w:rsidR="0021790D" w:rsidRPr="0021790D">
              <w:rPr>
                <w:rFonts w:ascii="Times New Roman" w:hAnsi="Times New Roman" w:cs="Times New Roman"/>
                <w:noProof/>
                <w:webHidden/>
                <w:sz w:val="24"/>
                <w:szCs w:val="24"/>
              </w:rPr>
            </w:r>
            <w:r w:rsidR="0021790D" w:rsidRPr="0021790D">
              <w:rPr>
                <w:rFonts w:ascii="Times New Roman" w:hAnsi="Times New Roman" w:cs="Times New Roman"/>
                <w:noProof/>
                <w:webHidden/>
                <w:sz w:val="24"/>
                <w:szCs w:val="24"/>
              </w:rPr>
              <w:fldChar w:fldCharType="separate"/>
            </w:r>
            <w:r w:rsidR="0021790D" w:rsidRPr="0021790D">
              <w:rPr>
                <w:rFonts w:ascii="Times New Roman" w:hAnsi="Times New Roman" w:cs="Times New Roman"/>
                <w:noProof/>
                <w:webHidden/>
                <w:sz w:val="24"/>
                <w:szCs w:val="24"/>
              </w:rPr>
              <w:t>5</w:t>
            </w:r>
            <w:r w:rsidR="0021790D" w:rsidRPr="0021790D">
              <w:rPr>
                <w:rFonts w:ascii="Times New Roman" w:hAnsi="Times New Roman" w:cs="Times New Roman"/>
                <w:noProof/>
                <w:webHidden/>
                <w:sz w:val="24"/>
                <w:szCs w:val="24"/>
              </w:rPr>
              <w:fldChar w:fldCharType="end"/>
            </w:r>
          </w:hyperlink>
        </w:p>
        <w:p w14:paraId="0DE4F961" w14:textId="77777777" w:rsidR="0021790D" w:rsidRPr="0021790D" w:rsidRDefault="005C5150">
          <w:pPr>
            <w:pStyle w:val="TOC2"/>
            <w:tabs>
              <w:tab w:val="right" w:leader="dot" w:pos="8296"/>
            </w:tabs>
            <w:rPr>
              <w:rFonts w:ascii="Times New Roman" w:eastAsiaTheme="minorEastAsia" w:hAnsi="Times New Roman" w:cs="Times New Roman"/>
              <w:noProof/>
              <w:sz w:val="24"/>
              <w:szCs w:val="24"/>
              <w:lang w:eastAsia="lv-LV"/>
            </w:rPr>
          </w:pPr>
          <w:hyperlink w:anchor="_Toc5694312" w:history="1">
            <w:r w:rsidR="0021790D" w:rsidRPr="0021790D">
              <w:rPr>
                <w:rStyle w:val="Hyperlink"/>
                <w:rFonts w:ascii="Times New Roman" w:hAnsi="Times New Roman" w:cs="Times New Roman"/>
                <w:noProof/>
                <w:sz w:val="24"/>
                <w:szCs w:val="24"/>
              </w:rPr>
              <w:t>2.3. Latvijas siltumnīcefekta gāzu emisiju struktūra</w:t>
            </w:r>
            <w:r w:rsidR="0021790D" w:rsidRPr="0021790D">
              <w:rPr>
                <w:rFonts w:ascii="Times New Roman" w:hAnsi="Times New Roman" w:cs="Times New Roman"/>
                <w:noProof/>
                <w:webHidden/>
                <w:sz w:val="24"/>
                <w:szCs w:val="24"/>
              </w:rPr>
              <w:tab/>
            </w:r>
            <w:r w:rsidR="0021790D" w:rsidRPr="0021790D">
              <w:rPr>
                <w:rFonts w:ascii="Times New Roman" w:hAnsi="Times New Roman" w:cs="Times New Roman"/>
                <w:noProof/>
                <w:webHidden/>
                <w:sz w:val="24"/>
                <w:szCs w:val="24"/>
              </w:rPr>
              <w:fldChar w:fldCharType="begin"/>
            </w:r>
            <w:r w:rsidR="0021790D" w:rsidRPr="0021790D">
              <w:rPr>
                <w:rFonts w:ascii="Times New Roman" w:hAnsi="Times New Roman" w:cs="Times New Roman"/>
                <w:noProof/>
                <w:webHidden/>
                <w:sz w:val="24"/>
                <w:szCs w:val="24"/>
              </w:rPr>
              <w:instrText xml:space="preserve"> PAGEREF _Toc5694312 \h </w:instrText>
            </w:r>
            <w:r w:rsidR="0021790D" w:rsidRPr="0021790D">
              <w:rPr>
                <w:rFonts w:ascii="Times New Roman" w:hAnsi="Times New Roman" w:cs="Times New Roman"/>
                <w:noProof/>
                <w:webHidden/>
                <w:sz w:val="24"/>
                <w:szCs w:val="24"/>
              </w:rPr>
            </w:r>
            <w:r w:rsidR="0021790D" w:rsidRPr="0021790D">
              <w:rPr>
                <w:rFonts w:ascii="Times New Roman" w:hAnsi="Times New Roman" w:cs="Times New Roman"/>
                <w:noProof/>
                <w:webHidden/>
                <w:sz w:val="24"/>
                <w:szCs w:val="24"/>
              </w:rPr>
              <w:fldChar w:fldCharType="separate"/>
            </w:r>
            <w:r w:rsidR="0021790D" w:rsidRPr="0021790D">
              <w:rPr>
                <w:rFonts w:ascii="Times New Roman" w:hAnsi="Times New Roman" w:cs="Times New Roman"/>
                <w:noProof/>
                <w:webHidden/>
                <w:sz w:val="24"/>
                <w:szCs w:val="24"/>
              </w:rPr>
              <w:t>8</w:t>
            </w:r>
            <w:r w:rsidR="0021790D" w:rsidRPr="0021790D">
              <w:rPr>
                <w:rFonts w:ascii="Times New Roman" w:hAnsi="Times New Roman" w:cs="Times New Roman"/>
                <w:noProof/>
                <w:webHidden/>
                <w:sz w:val="24"/>
                <w:szCs w:val="24"/>
              </w:rPr>
              <w:fldChar w:fldCharType="end"/>
            </w:r>
          </w:hyperlink>
        </w:p>
        <w:p w14:paraId="243FA43B" w14:textId="77777777" w:rsidR="0021790D" w:rsidRPr="0021790D" w:rsidRDefault="005C5150">
          <w:pPr>
            <w:pStyle w:val="TOC2"/>
            <w:tabs>
              <w:tab w:val="right" w:leader="dot" w:pos="8296"/>
            </w:tabs>
            <w:rPr>
              <w:rFonts w:ascii="Times New Roman" w:eastAsiaTheme="minorEastAsia" w:hAnsi="Times New Roman" w:cs="Times New Roman"/>
              <w:noProof/>
              <w:sz w:val="24"/>
              <w:szCs w:val="24"/>
              <w:lang w:eastAsia="lv-LV"/>
            </w:rPr>
          </w:pPr>
          <w:hyperlink w:anchor="_Toc5694313" w:history="1">
            <w:r w:rsidR="0021790D" w:rsidRPr="0021790D">
              <w:rPr>
                <w:rStyle w:val="Hyperlink"/>
                <w:rFonts w:ascii="Times New Roman" w:hAnsi="Times New Roman" w:cs="Times New Roman"/>
                <w:noProof/>
                <w:sz w:val="24"/>
                <w:szCs w:val="24"/>
              </w:rPr>
              <w:t>2.4. Elektroenerģijas ražošana Latvijā un iespējamie pretendenti derogācijai Latvijā</w:t>
            </w:r>
            <w:r w:rsidR="0021790D" w:rsidRPr="0021790D">
              <w:rPr>
                <w:rFonts w:ascii="Times New Roman" w:hAnsi="Times New Roman" w:cs="Times New Roman"/>
                <w:noProof/>
                <w:webHidden/>
                <w:sz w:val="24"/>
                <w:szCs w:val="24"/>
              </w:rPr>
              <w:tab/>
            </w:r>
            <w:r w:rsidR="0021790D" w:rsidRPr="0021790D">
              <w:rPr>
                <w:rFonts w:ascii="Times New Roman" w:hAnsi="Times New Roman" w:cs="Times New Roman"/>
                <w:noProof/>
                <w:webHidden/>
                <w:sz w:val="24"/>
                <w:szCs w:val="24"/>
              </w:rPr>
              <w:fldChar w:fldCharType="begin"/>
            </w:r>
            <w:r w:rsidR="0021790D" w:rsidRPr="0021790D">
              <w:rPr>
                <w:rFonts w:ascii="Times New Roman" w:hAnsi="Times New Roman" w:cs="Times New Roman"/>
                <w:noProof/>
                <w:webHidden/>
                <w:sz w:val="24"/>
                <w:szCs w:val="24"/>
              </w:rPr>
              <w:instrText xml:space="preserve"> PAGEREF _Toc5694313 \h </w:instrText>
            </w:r>
            <w:r w:rsidR="0021790D" w:rsidRPr="0021790D">
              <w:rPr>
                <w:rFonts w:ascii="Times New Roman" w:hAnsi="Times New Roman" w:cs="Times New Roman"/>
                <w:noProof/>
                <w:webHidden/>
                <w:sz w:val="24"/>
                <w:szCs w:val="24"/>
              </w:rPr>
            </w:r>
            <w:r w:rsidR="0021790D" w:rsidRPr="0021790D">
              <w:rPr>
                <w:rFonts w:ascii="Times New Roman" w:hAnsi="Times New Roman" w:cs="Times New Roman"/>
                <w:noProof/>
                <w:webHidden/>
                <w:sz w:val="24"/>
                <w:szCs w:val="24"/>
              </w:rPr>
              <w:fldChar w:fldCharType="separate"/>
            </w:r>
            <w:r w:rsidR="0021790D" w:rsidRPr="0021790D">
              <w:rPr>
                <w:rFonts w:ascii="Times New Roman" w:hAnsi="Times New Roman" w:cs="Times New Roman"/>
                <w:noProof/>
                <w:webHidden/>
                <w:sz w:val="24"/>
                <w:szCs w:val="24"/>
              </w:rPr>
              <w:t>9</w:t>
            </w:r>
            <w:r w:rsidR="0021790D" w:rsidRPr="0021790D">
              <w:rPr>
                <w:rFonts w:ascii="Times New Roman" w:hAnsi="Times New Roman" w:cs="Times New Roman"/>
                <w:noProof/>
                <w:webHidden/>
                <w:sz w:val="24"/>
                <w:szCs w:val="24"/>
              </w:rPr>
              <w:fldChar w:fldCharType="end"/>
            </w:r>
          </w:hyperlink>
        </w:p>
        <w:p w14:paraId="388C226F" w14:textId="77777777" w:rsidR="0021790D" w:rsidRPr="0021790D" w:rsidRDefault="005C5150">
          <w:pPr>
            <w:pStyle w:val="TOC2"/>
            <w:tabs>
              <w:tab w:val="right" w:leader="dot" w:pos="8296"/>
            </w:tabs>
            <w:rPr>
              <w:rFonts w:ascii="Times New Roman" w:eastAsiaTheme="minorEastAsia" w:hAnsi="Times New Roman" w:cs="Times New Roman"/>
              <w:noProof/>
              <w:sz w:val="24"/>
              <w:szCs w:val="24"/>
              <w:lang w:eastAsia="lv-LV"/>
            </w:rPr>
          </w:pPr>
          <w:hyperlink w:anchor="_Toc5694314" w:history="1">
            <w:r w:rsidR="0021790D" w:rsidRPr="0021790D">
              <w:rPr>
                <w:rStyle w:val="Hyperlink"/>
                <w:rFonts w:ascii="Times New Roman" w:hAnsi="Times New Roman" w:cs="Times New Roman"/>
                <w:noProof/>
                <w:sz w:val="24"/>
                <w:szCs w:val="24"/>
              </w:rPr>
              <w:t>2.5. Latvijai pieejamais derogācijas apjoms un ietekme uz Emisijas kvotu izsolīšanas instrumentu</w:t>
            </w:r>
            <w:r w:rsidR="0021790D" w:rsidRPr="0021790D">
              <w:rPr>
                <w:rFonts w:ascii="Times New Roman" w:hAnsi="Times New Roman" w:cs="Times New Roman"/>
                <w:noProof/>
                <w:webHidden/>
                <w:sz w:val="24"/>
                <w:szCs w:val="24"/>
              </w:rPr>
              <w:tab/>
            </w:r>
            <w:r w:rsidR="0021790D" w:rsidRPr="0021790D">
              <w:rPr>
                <w:rFonts w:ascii="Times New Roman" w:hAnsi="Times New Roman" w:cs="Times New Roman"/>
                <w:noProof/>
                <w:webHidden/>
                <w:sz w:val="24"/>
                <w:szCs w:val="24"/>
              </w:rPr>
              <w:fldChar w:fldCharType="begin"/>
            </w:r>
            <w:r w:rsidR="0021790D" w:rsidRPr="0021790D">
              <w:rPr>
                <w:rFonts w:ascii="Times New Roman" w:hAnsi="Times New Roman" w:cs="Times New Roman"/>
                <w:noProof/>
                <w:webHidden/>
                <w:sz w:val="24"/>
                <w:szCs w:val="24"/>
              </w:rPr>
              <w:instrText xml:space="preserve"> PAGEREF _Toc5694314 \h </w:instrText>
            </w:r>
            <w:r w:rsidR="0021790D" w:rsidRPr="0021790D">
              <w:rPr>
                <w:rFonts w:ascii="Times New Roman" w:hAnsi="Times New Roman" w:cs="Times New Roman"/>
                <w:noProof/>
                <w:webHidden/>
                <w:sz w:val="24"/>
                <w:szCs w:val="24"/>
              </w:rPr>
            </w:r>
            <w:r w:rsidR="0021790D" w:rsidRPr="0021790D">
              <w:rPr>
                <w:rFonts w:ascii="Times New Roman" w:hAnsi="Times New Roman" w:cs="Times New Roman"/>
                <w:noProof/>
                <w:webHidden/>
                <w:sz w:val="24"/>
                <w:szCs w:val="24"/>
              </w:rPr>
              <w:fldChar w:fldCharType="separate"/>
            </w:r>
            <w:r w:rsidR="0021790D" w:rsidRPr="0021790D">
              <w:rPr>
                <w:rFonts w:ascii="Times New Roman" w:hAnsi="Times New Roman" w:cs="Times New Roman"/>
                <w:noProof/>
                <w:webHidden/>
                <w:sz w:val="24"/>
                <w:szCs w:val="24"/>
              </w:rPr>
              <w:t>14</w:t>
            </w:r>
            <w:r w:rsidR="0021790D" w:rsidRPr="0021790D">
              <w:rPr>
                <w:rFonts w:ascii="Times New Roman" w:hAnsi="Times New Roman" w:cs="Times New Roman"/>
                <w:noProof/>
                <w:webHidden/>
                <w:sz w:val="24"/>
                <w:szCs w:val="24"/>
              </w:rPr>
              <w:fldChar w:fldCharType="end"/>
            </w:r>
          </w:hyperlink>
        </w:p>
        <w:p w14:paraId="7311BC3C" w14:textId="77777777" w:rsidR="0021790D" w:rsidRPr="0021790D" w:rsidRDefault="005C5150">
          <w:pPr>
            <w:pStyle w:val="TOC1"/>
            <w:tabs>
              <w:tab w:val="right" w:leader="dot" w:pos="8296"/>
            </w:tabs>
            <w:rPr>
              <w:rFonts w:ascii="Times New Roman" w:eastAsiaTheme="minorEastAsia" w:hAnsi="Times New Roman" w:cs="Times New Roman"/>
              <w:noProof/>
              <w:sz w:val="24"/>
              <w:szCs w:val="24"/>
              <w:lang w:eastAsia="lv-LV"/>
            </w:rPr>
          </w:pPr>
          <w:hyperlink w:anchor="_Toc5694315" w:history="1">
            <w:r w:rsidR="0021790D" w:rsidRPr="0021790D">
              <w:rPr>
                <w:rStyle w:val="Hyperlink"/>
                <w:rFonts w:ascii="Times New Roman" w:hAnsi="Times New Roman" w:cs="Times New Roman"/>
                <w:noProof/>
                <w:sz w:val="24"/>
                <w:szCs w:val="24"/>
              </w:rPr>
              <w:t>III Risinājuma varianti</w:t>
            </w:r>
            <w:r w:rsidR="0021790D" w:rsidRPr="0021790D">
              <w:rPr>
                <w:rFonts w:ascii="Times New Roman" w:hAnsi="Times New Roman" w:cs="Times New Roman"/>
                <w:noProof/>
                <w:webHidden/>
                <w:sz w:val="24"/>
                <w:szCs w:val="24"/>
              </w:rPr>
              <w:tab/>
            </w:r>
            <w:r w:rsidR="0021790D" w:rsidRPr="0021790D">
              <w:rPr>
                <w:rFonts w:ascii="Times New Roman" w:hAnsi="Times New Roman" w:cs="Times New Roman"/>
                <w:noProof/>
                <w:webHidden/>
                <w:sz w:val="24"/>
                <w:szCs w:val="24"/>
              </w:rPr>
              <w:fldChar w:fldCharType="begin"/>
            </w:r>
            <w:r w:rsidR="0021790D" w:rsidRPr="0021790D">
              <w:rPr>
                <w:rFonts w:ascii="Times New Roman" w:hAnsi="Times New Roman" w:cs="Times New Roman"/>
                <w:noProof/>
                <w:webHidden/>
                <w:sz w:val="24"/>
                <w:szCs w:val="24"/>
              </w:rPr>
              <w:instrText xml:space="preserve"> PAGEREF _Toc5694315 \h </w:instrText>
            </w:r>
            <w:r w:rsidR="0021790D" w:rsidRPr="0021790D">
              <w:rPr>
                <w:rFonts w:ascii="Times New Roman" w:hAnsi="Times New Roman" w:cs="Times New Roman"/>
                <w:noProof/>
                <w:webHidden/>
                <w:sz w:val="24"/>
                <w:szCs w:val="24"/>
              </w:rPr>
            </w:r>
            <w:r w:rsidR="0021790D" w:rsidRPr="0021790D">
              <w:rPr>
                <w:rFonts w:ascii="Times New Roman" w:hAnsi="Times New Roman" w:cs="Times New Roman"/>
                <w:noProof/>
                <w:webHidden/>
                <w:sz w:val="24"/>
                <w:szCs w:val="24"/>
              </w:rPr>
              <w:fldChar w:fldCharType="separate"/>
            </w:r>
            <w:r w:rsidR="0021790D" w:rsidRPr="0021790D">
              <w:rPr>
                <w:rFonts w:ascii="Times New Roman" w:hAnsi="Times New Roman" w:cs="Times New Roman"/>
                <w:noProof/>
                <w:webHidden/>
                <w:sz w:val="24"/>
                <w:szCs w:val="24"/>
              </w:rPr>
              <w:t>16</w:t>
            </w:r>
            <w:r w:rsidR="0021790D" w:rsidRPr="0021790D">
              <w:rPr>
                <w:rFonts w:ascii="Times New Roman" w:hAnsi="Times New Roman" w:cs="Times New Roman"/>
                <w:noProof/>
                <w:webHidden/>
                <w:sz w:val="24"/>
                <w:szCs w:val="24"/>
              </w:rPr>
              <w:fldChar w:fldCharType="end"/>
            </w:r>
          </w:hyperlink>
        </w:p>
        <w:p w14:paraId="0A6F47AE" w14:textId="77777777" w:rsidR="0021790D" w:rsidRPr="0021790D" w:rsidRDefault="005C5150">
          <w:pPr>
            <w:pStyle w:val="TOC1"/>
            <w:tabs>
              <w:tab w:val="right" w:leader="dot" w:pos="8296"/>
            </w:tabs>
            <w:rPr>
              <w:rFonts w:ascii="Times New Roman" w:eastAsiaTheme="minorEastAsia" w:hAnsi="Times New Roman" w:cs="Times New Roman"/>
              <w:noProof/>
              <w:sz w:val="24"/>
              <w:szCs w:val="24"/>
              <w:lang w:eastAsia="lv-LV"/>
            </w:rPr>
          </w:pPr>
          <w:hyperlink w:anchor="_Toc5694316" w:history="1">
            <w:r w:rsidR="0021790D" w:rsidRPr="0021790D">
              <w:rPr>
                <w:rStyle w:val="Hyperlink"/>
                <w:rFonts w:ascii="Times New Roman" w:hAnsi="Times New Roman" w:cs="Times New Roman"/>
                <w:noProof/>
                <w:sz w:val="24"/>
                <w:szCs w:val="24"/>
              </w:rPr>
              <w:t>IV Ietekme uz problēmas risināšanu</w:t>
            </w:r>
            <w:r w:rsidR="0021790D" w:rsidRPr="0021790D">
              <w:rPr>
                <w:rFonts w:ascii="Times New Roman" w:hAnsi="Times New Roman" w:cs="Times New Roman"/>
                <w:noProof/>
                <w:webHidden/>
                <w:sz w:val="24"/>
                <w:szCs w:val="24"/>
              </w:rPr>
              <w:tab/>
            </w:r>
            <w:r w:rsidR="0021790D" w:rsidRPr="0021790D">
              <w:rPr>
                <w:rFonts w:ascii="Times New Roman" w:hAnsi="Times New Roman" w:cs="Times New Roman"/>
                <w:noProof/>
                <w:webHidden/>
                <w:sz w:val="24"/>
                <w:szCs w:val="24"/>
              </w:rPr>
              <w:fldChar w:fldCharType="begin"/>
            </w:r>
            <w:r w:rsidR="0021790D" w:rsidRPr="0021790D">
              <w:rPr>
                <w:rFonts w:ascii="Times New Roman" w:hAnsi="Times New Roman" w:cs="Times New Roman"/>
                <w:noProof/>
                <w:webHidden/>
                <w:sz w:val="24"/>
                <w:szCs w:val="24"/>
              </w:rPr>
              <w:instrText xml:space="preserve"> PAGEREF _Toc5694316 \h </w:instrText>
            </w:r>
            <w:r w:rsidR="0021790D" w:rsidRPr="0021790D">
              <w:rPr>
                <w:rFonts w:ascii="Times New Roman" w:hAnsi="Times New Roman" w:cs="Times New Roman"/>
                <w:noProof/>
                <w:webHidden/>
                <w:sz w:val="24"/>
                <w:szCs w:val="24"/>
              </w:rPr>
            </w:r>
            <w:r w:rsidR="0021790D" w:rsidRPr="0021790D">
              <w:rPr>
                <w:rFonts w:ascii="Times New Roman" w:hAnsi="Times New Roman" w:cs="Times New Roman"/>
                <w:noProof/>
                <w:webHidden/>
                <w:sz w:val="24"/>
                <w:szCs w:val="24"/>
              </w:rPr>
              <w:fldChar w:fldCharType="separate"/>
            </w:r>
            <w:r w:rsidR="0021790D" w:rsidRPr="0021790D">
              <w:rPr>
                <w:rFonts w:ascii="Times New Roman" w:hAnsi="Times New Roman" w:cs="Times New Roman"/>
                <w:noProof/>
                <w:webHidden/>
                <w:sz w:val="24"/>
                <w:szCs w:val="24"/>
              </w:rPr>
              <w:t>19</w:t>
            </w:r>
            <w:r w:rsidR="0021790D" w:rsidRPr="0021790D">
              <w:rPr>
                <w:rFonts w:ascii="Times New Roman" w:hAnsi="Times New Roman" w:cs="Times New Roman"/>
                <w:noProof/>
                <w:webHidden/>
                <w:sz w:val="24"/>
                <w:szCs w:val="24"/>
              </w:rPr>
              <w:fldChar w:fldCharType="end"/>
            </w:r>
          </w:hyperlink>
        </w:p>
        <w:p w14:paraId="6A1D97AE" w14:textId="77777777" w:rsidR="0021790D" w:rsidRPr="0021790D" w:rsidRDefault="005C5150">
          <w:pPr>
            <w:pStyle w:val="TOC1"/>
            <w:tabs>
              <w:tab w:val="right" w:leader="dot" w:pos="8296"/>
            </w:tabs>
            <w:rPr>
              <w:rFonts w:ascii="Times New Roman" w:eastAsiaTheme="minorEastAsia" w:hAnsi="Times New Roman" w:cs="Times New Roman"/>
              <w:noProof/>
              <w:sz w:val="24"/>
              <w:szCs w:val="24"/>
              <w:lang w:eastAsia="lv-LV"/>
            </w:rPr>
          </w:pPr>
          <w:hyperlink w:anchor="_Toc5694317" w:history="1">
            <w:r w:rsidR="0021790D" w:rsidRPr="0021790D">
              <w:rPr>
                <w:rStyle w:val="Hyperlink"/>
                <w:rFonts w:ascii="Times New Roman" w:hAnsi="Times New Roman" w:cs="Times New Roman"/>
                <w:noProof/>
                <w:sz w:val="24"/>
                <w:szCs w:val="24"/>
              </w:rPr>
              <w:t>V Piedāvātā risinājuma ietekme uz valsts un pašvaldību budžetu</w:t>
            </w:r>
            <w:r w:rsidR="0021790D" w:rsidRPr="0021790D">
              <w:rPr>
                <w:rFonts w:ascii="Times New Roman" w:hAnsi="Times New Roman" w:cs="Times New Roman"/>
                <w:noProof/>
                <w:webHidden/>
                <w:sz w:val="24"/>
                <w:szCs w:val="24"/>
              </w:rPr>
              <w:tab/>
            </w:r>
            <w:r w:rsidR="0021790D" w:rsidRPr="0021790D">
              <w:rPr>
                <w:rFonts w:ascii="Times New Roman" w:hAnsi="Times New Roman" w:cs="Times New Roman"/>
                <w:noProof/>
                <w:webHidden/>
                <w:sz w:val="24"/>
                <w:szCs w:val="24"/>
              </w:rPr>
              <w:fldChar w:fldCharType="begin"/>
            </w:r>
            <w:r w:rsidR="0021790D" w:rsidRPr="0021790D">
              <w:rPr>
                <w:rFonts w:ascii="Times New Roman" w:hAnsi="Times New Roman" w:cs="Times New Roman"/>
                <w:noProof/>
                <w:webHidden/>
                <w:sz w:val="24"/>
                <w:szCs w:val="24"/>
              </w:rPr>
              <w:instrText xml:space="preserve"> PAGEREF _Toc5694317 \h </w:instrText>
            </w:r>
            <w:r w:rsidR="0021790D" w:rsidRPr="0021790D">
              <w:rPr>
                <w:rFonts w:ascii="Times New Roman" w:hAnsi="Times New Roman" w:cs="Times New Roman"/>
                <w:noProof/>
                <w:webHidden/>
                <w:sz w:val="24"/>
                <w:szCs w:val="24"/>
              </w:rPr>
            </w:r>
            <w:r w:rsidR="0021790D" w:rsidRPr="0021790D">
              <w:rPr>
                <w:rFonts w:ascii="Times New Roman" w:hAnsi="Times New Roman" w:cs="Times New Roman"/>
                <w:noProof/>
                <w:webHidden/>
                <w:sz w:val="24"/>
                <w:szCs w:val="24"/>
              </w:rPr>
              <w:fldChar w:fldCharType="separate"/>
            </w:r>
            <w:r w:rsidR="0021790D" w:rsidRPr="0021790D">
              <w:rPr>
                <w:rFonts w:ascii="Times New Roman" w:hAnsi="Times New Roman" w:cs="Times New Roman"/>
                <w:noProof/>
                <w:webHidden/>
                <w:sz w:val="24"/>
                <w:szCs w:val="24"/>
              </w:rPr>
              <w:t>19</w:t>
            </w:r>
            <w:r w:rsidR="0021790D" w:rsidRPr="0021790D">
              <w:rPr>
                <w:rFonts w:ascii="Times New Roman" w:hAnsi="Times New Roman" w:cs="Times New Roman"/>
                <w:noProof/>
                <w:webHidden/>
                <w:sz w:val="24"/>
                <w:szCs w:val="24"/>
              </w:rPr>
              <w:fldChar w:fldCharType="end"/>
            </w:r>
          </w:hyperlink>
        </w:p>
        <w:p w14:paraId="16EEF399" w14:textId="77777777" w:rsidR="00114263" w:rsidRDefault="00114263" w:rsidP="001D7EE2">
          <w:pPr>
            <w:spacing w:after="0"/>
          </w:pPr>
          <w:r w:rsidRPr="00DC2999">
            <w:rPr>
              <w:rFonts w:ascii="Times New Roman" w:hAnsi="Times New Roman" w:cs="Times New Roman"/>
              <w:b/>
              <w:bCs/>
              <w:noProof/>
              <w:sz w:val="24"/>
              <w:szCs w:val="24"/>
            </w:rPr>
            <w:fldChar w:fldCharType="end"/>
          </w:r>
        </w:p>
      </w:sdtContent>
    </w:sdt>
    <w:p w14:paraId="6803EF79" w14:textId="3406E124" w:rsidR="007C34B6" w:rsidRDefault="007C34B6" w:rsidP="001D7EE2">
      <w:pPr>
        <w:spacing w:after="0"/>
        <w:ind w:right="-625" w:firstLine="567"/>
        <w:rPr>
          <w:rFonts w:ascii="Times New Roman" w:hAnsi="Times New Roman" w:cs="Times New Roman"/>
          <w:sz w:val="24"/>
          <w:szCs w:val="24"/>
        </w:rPr>
      </w:pPr>
    </w:p>
    <w:p w14:paraId="73F02392" w14:textId="77777777" w:rsidR="003E5B3B" w:rsidRDefault="003E5B3B" w:rsidP="001D7EE2">
      <w:pPr>
        <w:spacing w:after="0"/>
        <w:ind w:right="-625" w:firstLine="567"/>
        <w:rPr>
          <w:rFonts w:ascii="Times New Roman" w:hAnsi="Times New Roman" w:cs="Times New Roman"/>
          <w:sz w:val="24"/>
          <w:szCs w:val="24"/>
        </w:rPr>
      </w:pPr>
    </w:p>
    <w:p w14:paraId="5E9191CC" w14:textId="77777777" w:rsidR="00C079FA" w:rsidRDefault="00C079FA" w:rsidP="001D7EE2">
      <w:pPr>
        <w:spacing w:after="0"/>
        <w:ind w:right="-625" w:firstLine="567"/>
        <w:rPr>
          <w:rFonts w:ascii="Times New Roman" w:hAnsi="Times New Roman" w:cs="Times New Roman"/>
          <w:sz w:val="24"/>
          <w:szCs w:val="24"/>
        </w:rPr>
      </w:pPr>
    </w:p>
    <w:p w14:paraId="11931F65" w14:textId="77777777" w:rsidR="00C079FA" w:rsidRDefault="00C079FA" w:rsidP="001D7EE2">
      <w:pPr>
        <w:spacing w:after="0"/>
        <w:ind w:right="-625" w:firstLine="567"/>
        <w:rPr>
          <w:rFonts w:ascii="Times New Roman" w:hAnsi="Times New Roman" w:cs="Times New Roman"/>
          <w:sz w:val="24"/>
          <w:szCs w:val="24"/>
        </w:rPr>
      </w:pPr>
    </w:p>
    <w:p w14:paraId="542828D4" w14:textId="77777777" w:rsidR="00C079FA" w:rsidRDefault="00C079FA" w:rsidP="001D7EE2">
      <w:pPr>
        <w:spacing w:after="0"/>
        <w:ind w:right="-625" w:firstLine="567"/>
        <w:rPr>
          <w:rFonts w:ascii="Times New Roman" w:hAnsi="Times New Roman" w:cs="Times New Roman"/>
          <w:sz w:val="24"/>
          <w:szCs w:val="24"/>
        </w:rPr>
      </w:pPr>
    </w:p>
    <w:p w14:paraId="23B31D44" w14:textId="77777777" w:rsidR="0075705B" w:rsidRDefault="0075705B" w:rsidP="001D7EE2">
      <w:pPr>
        <w:spacing w:after="0"/>
        <w:ind w:right="-625" w:firstLine="567"/>
        <w:rPr>
          <w:rFonts w:ascii="Times New Roman" w:hAnsi="Times New Roman" w:cs="Times New Roman"/>
          <w:sz w:val="24"/>
          <w:szCs w:val="24"/>
        </w:rPr>
      </w:pPr>
      <w:r>
        <w:rPr>
          <w:rFonts w:ascii="Times New Roman" w:hAnsi="Times New Roman" w:cs="Times New Roman"/>
          <w:sz w:val="24"/>
          <w:szCs w:val="24"/>
        </w:rPr>
        <w:br w:type="page"/>
      </w:r>
    </w:p>
    <w:p w14:paraId="297681C9" w14:textId="77777777" w:rsidR="0075705B" w:rsidRPr="003E5B3B" w:rsidRDefault="00F3686B" w:rsidP="001D7EE2">
      <w:pPr>
        <w:pStyle w:val="Heading1"/>
        <w:spacing w:before="0" w:after="0" w:line="259" w:lineRule="auto"/>
      </w:pPr>
      <w:bookmarkStart w:id="0" w:name="_Toc5694308"/>
      <w:r w:rsidRPr="003E5B3B">
        <w:lastRenderedPageBreak/>
        <w:t>I</w:t>
      </w:r>
      <w:r w:rsidR="008B2F34" w:rsidRPr="003E5B3B">
        <w:t xml:space="preserve"> </w:t>
      </w:r>
      <w:r w:rsidR="0062198F" w:rsidRPr="003E5B3B">
        <w:t>Kopsavilkums</w:t>
      </w:r>
      <w:bookmarkEnd w:id="0"/>
    </w:p>
    <w:p w14:paraId="425DCBD1" w14:textId="12A26981" w:rsidR="003613CB" w:rsidRDefault="00E924A1" w:rsidP="00CF43E1">
      <w:pPr>
        <w:spacing w:after="0"/>
        <w:ind w:right="-625" w:firstLine="567"/>
        <w:jc w:val="both"/>
        <w:rPr>
          <w:rFonts w:ascii="Times New Roman" w:hAnsi="Times New Roman" w:cs="Times New Roman"/>
          <w:sz w:val="24"/>
          <w:szCs w:val="24"/>
        </w:rPr>
      </w:pPr>
      <w:r>
        <w:rPr>
          <w:rFonts w:ascii="Times New Roman" w:hAnsi="Times New Roman" w:cs="Times New Roman"/>
          <w:sz w:val="24"/>
          <w:szCs w:val="24"/>
        </w:rPr>
        <w:t>Atbilstoši</w:t>
      </w:r>
      <w:r w:rsidR="00EA2A03">
        <w:rPr>
          <w:rFonts w:ascii="Times New Roman" w:hAnsi="Times New Roman" w:cs="Times New Roman"/>
          <w:sz w:val="24"/>
          <w:szCs w:val="24"/>
        </w:rPr>
        <w:t xml:space="preserve"> 2003</w:t>
      </w:r>
      <w:r w:rsidR="005B307B">
        <w:rPr>
          <w:rFonts w:ascii="Times New Roman" w:hAnsi="Times New Roman" w:cs="Times New Roman"/>
          <w:sz w:val="24"/>
          <w:szCs w:val="24"/>
        </w:rPr>
        <w:t>. </w:t>
      </w:r>
      <w:r w:rsidR="00EA2A03">
        <w:rPr>
          <w:rFonts w:ascii="Times New Roman" w:hAnsi="Times New Roman" w:cs="Times New Roman"/>
          <w:sz w:val="24"/>
          <w:szCs w:val="24"/>
        </w:rPr>
        <w:t>gada 13</w:t>
      </w:r>
      <w:r w:rsidR="005B307B">
        <w:rPr>
          <w:rFonts w:ascii="Times New Roman" w:hAnsi="Times New Roman" w:cs="Times New Roman"/>
          <w:sz w:val="24"/>
          <w:szCs w:val="24"/>
        </w:rPr>
        <w:t>. </w:t>
      </w:r>
      <w:r w:rsidR="00EA2A03">
        <w:rPr>
          <w:rFonts w:ascii="Times New Roman" w:hAnsi="Times New Roman" w:cs="Times New Roman"/>
          <w:sz w:val="24"/>
          <w:szCs w:val="24"/>
        </w:rPr>
        <w:t>oktobra</w:t>
      </w:r>
      <w:r>
        <w:rPr>
          <w:rFonts w:ascii="Times New Roman" w:hAnsi="Times New Roman" w:cs="Times New Roman"/>
          <w:sz w:val="24"/>
          <w:szCs w:val="24"/>
        </w:rPr>
        <w:t xml:space="preserve"> </w:t>
      </w:r>
      <w:r w:rsidR="00A670F7" w:rsidRPr="00A670F7">
        <w:rPr>
          <w:rFonts w:ascii="Times New Roman" w:hAnsi="Times New Roman" w:cs="Times New Roman"/>
          <w:sz w:val="24"/>
          <w:szCs w:val="24"/>
        </w:rPr>
        <w:t>Eiropas Parlamenta un Padomes Direktīva</w:t>
      </w:r>
      <w:r w:rsidR="00A670F7">
        <w:rPr>
          <w:rFonts w:ascii="Times New Roman" w:hAnsi="Times New Roman" w:cs="Times New Roman"/>
          <w:sz w:val="24"/>
          <w:szCs w:val="24"/>
        </w:rPr>
        <w:t>s</w:t>
      </w:r>
      <w:r w:rsidR="00A670F7" w:rsidRPr="00A670F7">
        <w:rPr>
          <w:rFonts w:ascii="Times New Roman" w:hAnsi="Times New Roman" w:cs="Times New Roman"/>
          <w:sz w:val="24"/>
          <w:szCs w:val="24"/>
        </w:rPr>
        <w:t xml:space="preserve"> 2003/87/EK</w:t>
      </w:r>
      <w:r w:rsidR="00A670F7">
        <w:rPr>
          <w:rFonts w:ascii="Times New Roman" w:hAnsi="Times New Roman" w:cs="Times New Roman"/>
          <w:sz w:val="24"/>
          <w:szCs w:val="24"/>
        </w:rPr>
        <w:t xml:space="preserve">, </w:t>
      </w:r>
      <w:r w:rsidR="00A670F7" w:rsidRPr="00A670F7">
        <w:rPr>
          <w:rFonts w:ascii="Times New Roman" w:hAnsi="Times New Roman" w:cs="Times New Roman"/>
          <w:sz w:val="24"/>
          <w:szCs w:val="24"/>
        </w:rPr>
        <w:t>ar kuru nosaka sistēmu siltumnīcas efektu izraisošo gāzu emisijas kvotu tirdzniecībai Savienībā un groza Padomes Direktīvu 96/61/EK</w:t>
      </w:r>
      <w:r w:rsidR="00A670F7">
        <w:rPr>
          <w:rFonts w:ascii="Times New Roman" w:hAnsi="Times New Roman" w:cs="Times New Roman"/>
          <w:sz w:val="24"/>
          <w:szCs w:val="24"/>
        </w:rPr>
        <w:t xml:space="preserve"> (turpmāk </w:t>
      </w:r>
      <w:r w:rsidR="00B172B2">
        <w:rPr>
          <w:rFonts w:ascii="Times New Roman" w:hAnsi="Times New Roman" w:cs="Times New Roman"/>
          <w:sz w:val="24"/>
          <w:szCs w:val="24"/>
        </w:rPr>
        <w:t>–</w:t>
      </w:r>
      <w:r w:rsidR="00A670F7">
        <w:rPr>
          <w:rFonts w:ascii="Times New Roman" w:hAnsi="Times New Roman" w:cs="Times New Roman"/>
          <w:sz w:val="24"/>
          <w:szCs w:val="24"/>
        </w:rPr>
        <w:t xml:space="preserve"> </w:t>
      </w:r>
      <w:r w:rsidRPr="00640247">
        <w:rPr>
          <w:rFonts w:ascii="Times New Roman" w:hAnsi="Times New Roman" w:cs="Times New Roman"/>
          <w:sz w:val="24"/>
          <w:szCs w:val="24"/>
        </w:rPr>
        <w:t>D</w:t>
      </w:r>
      <w:r w:rsidR="00A670F7">
        <w:rPr>
          <w:rFonts w:ascii="Times New Roman" w:hAnsi="Times New Roman" w:cs="Times New Roman"/>
          <w:sz w:val="24"/>
          <w:szCs w:val="24"/>
        </w:rPr>
        <w:t>irektīva</w:t>
      </w:r>
      <w:r w:rsidRPr="00640247">
        <w:rPr>
          <w:rFonts w:ascii="Times New Roman" w:hAnsi="Times New Roman" w:cs="Times New Roman"/>
          <w:sz w:val="24"/>
          <w:szCs w:val="24"/>
        </w:rPr>
        <w:t xml:space="preserve"> 2003/87/EK</w:t>
      </w:r>
      <w:r w:rsidR="00A670F7">
        <w:rPr>
          <w:rFonts w:ascii="Times New Roman" w:hAnsi="Times New Roman" w:cs="Times New Roman"/>
          <w:sz w:val="24"/>
          <w:szCs w:val="24"/>
        </w:rPr>
        <w:t>)</w:t>
      </w:r>
      <w:r w:rsidRPr="00640247">
        <w:rPr>
          <w:rFonts w:ascii="Times New Roman" w:hAnsi="Times New Roman" w:cs="Times New Roman"/>
          <w:sz w:val="24"/>
          <w:szCs w:val="24"/>
        </w:rPr>
        <w:t xml:space="preserve"> 10.a panta 3.</w:t>
      </w:r>
      <w:r>
        <w:rPr>
          <w:rFonts w:ascii="Times New Roman" w:hAnsi="Times New Roman" w:cs="Times New Roman"/>
          <w:sz w:val="24"/>
          <w:szCs w:val="24"/>
        </w:rPr>
        <w:t> </w:t>
      </w:r>
      <w:r w:rsidRPr="00640247">
        <w:rPr>
          <w:rFonts w:ascii="Times New Roman" w:hAnsi="Times New Roman" w:cs="Times New Roman"/>
          <w:sz w:val="24"/>
          <w:szCs w:val="24"/>
        </w:rPr>
        <w:t>punkta</w:t>
      </w:r>
      <w:r>
        <w:rPr>
          <w:rFonts w:ascii="Times New Roman" w:hAnsi="Times New Roman" w:cs="Times New Roman"/>
          <w:sz w:val="24"/>
          <w:szCs w:val="24"/>
        </w:rPr>
        <w:t>m</w:t>
      </w:r>
      <w:r w:rsidRPr="00640247">
        <w:rPr>
          <w:rFonts w:ascii="Times New Roman" w:hAnsi="Times New Roman" w:cs="Times New Roman"/>
          <w:sz w:val="24"/>
          <w:szCs w:val="24"/>
        </w:rPr>
        <w:t xml:space="preserve">, elektroenerģijas ražošanas iekārtām </w:t>
      </w:r>
      <w:r w:rsidR="00156ED0" w:rsidRPr="00640247">
        <w:rPr>
          <w:rFonts w:ascii="Times New Roman" w:hAnsi="Times New Roman" w:cs="Times New Roman"/>
          <w:sz w:val="24"/>
          <w:szCs w:val="24"/>
        </w:rPr>
        <w:t>netiek piešķirta</w:t>
      </w:r>
      <w:r w:rsidR="00156ED0">
        <w:rPr>
          <w:rFonts w:ascii="Times New Roman" w:hAnsi="Times New Roman" w:cs="Times New Roman"/>
          <w:sz w:val="24"/>
          <w:szCs w:val="24"/>
        </w:rPr>
        <w:t xml:space="preserve">s </w:t>
      </w:r>
      <w:r>
        <w:rPr>
          <w:rFonts w:ascii="Times New Roman" w:hAnsi="Times New Roman" w:cs="Times New Roman"/>
          <w:sz w:val="24"/>
          <w:szCs w:val="24"/>
        </w:rPr>
        <w:t xml:space="preserve">bezmaksas </w:t>
      </w:r>
      <w:r w:rsidRPr="00640247">
        <w:rPr>
          <w:rFonts w:ascii="Times New Roman" w:hAnsi="Times New Roman" w:cs="Times New Roman"/>
          <w:sz w:val="24"/>
          <w:szCs w:val="24"/>
        </w:rPr>
        <w:t>emisijas kvotas</w:t>
      </w:r>
      <w:r w:rsidR="003613CB">
        <w:rPr>
          <w:rFonts w:ascii="Times New Roman" w:hAnsi="Times New Roman" w:cs="Times New Roman"/>
          <w:sz w:val="24"/>
          <w:szCs w:val="24"/>
        </w:rPr>
        <w:t>, taču saskaņā ar 2018</w:t>
      </w:r>
      <w:r w:rsidR="005B307B">
        <w:rPr>
          <w:rFonts w:ascii="Times New Roman" w:hAnsi="Times New Roman" w:cs="Times New Roman"/>
          <w:sz w:val="24"/>
          <w:szCs w:val="24"/>
        </w:rPr>
        <w:t>. </w:t>
      </w:r>
      <w:r w:rsidR="003613CB">
        <w:rPr>
          <w:rFonts w:ascii="Times New Roman" w:hAnsi="Times New Roman" w:cs="Times New Roman"/>
          <w:sz w:val="24"/>
          <w:szCs w:val="24"/>
        </w:rPr>
        <w:t>gada 14</w:t>
      </w:r>
      <w:r w:rsidR="005B307B">
        <w:rPr>
          <w:rFonts w:ascii="Times New Roman" w:hAnsi="Times New Roman" w:cs="Times New Roman"/>
          <w:sz w:val="24"/>
          <w:szCs w:val="24"/>
        </w:rPr>
        <w:t>. </w:t>
      </w:r>
      <w:r w:rsidR="003613CB">
        <w:rPr>
          <w:rFonts w:ascii="Times New Roman" w:hAnsi="Times New Roman" w:cs="Times New Roman"/>
          <w:sz w:val="24"/>
          <w:szCs w:val="24"/>
        </w:rPr>
        <w:t>martā pieņemto</w:t>
      </w:r>
      <w:r w:rsidR="0051276A">
        <w:rPr>
          <w:rFonts w:ascii="Times New Roman" w:hAnsi="Times New Roman" w:cs="Times New Roman"/>
          <w:sz w:val="24"/>
          <w:szCs w:val="24"/>
        </w:rPr>
        <w:t xml:space="preserve"> </w:t>
      </w:r>
      <w:r w:rsidR="003613CB" w:rsidRPr="003613CB">
        <w:rPr>
          <w:rFonts w:ascii="Times New Roman" w:hAnsi="Times New Roman" w:cs="Times New Roman"/>
          <w:sz w:val="24"/>
          <w:szCs w:val="24"/>
        </w:rPr>
        <w:t>Eiropas</w:t>
      </w:r>
      <w:r w:rsidR="003613CB">
        <w:rPr>
          <w:rFonts w:ascii="Times New Roman" w:hAnsi="Times New Roman" w:cs="Times New Roman"/>
          <w:sz w:val="24"/>
          <w:szCs w:val="24"/>
        </w:rPr>
        <w:t xml:space="preserve"> Parlamenta un Padomes Direktīvu</w:t>
      </w:r>
      <w:r w:rsidR="003613CB" w:rsidRPr="003613CB">
        <w:rPr>
          <w:rFonts w:ascii="Times New Roman" w:hAnsi="Times New Roman" w:cs="Times New Roman"/>
          <w:sz w:val="24"/>
          <w:szCs w:val="24"/>
        </w:rPr>
        <w:t xml:space="preserve"> </w:t>
      </w:r>
      <w:r w:rsidR="003613CB">
        <w:rPr>
          <w:rFonts w:ascii="Times New Roman" w:hAnsi="Times New Roman" w:cs="Times New Roman"/>
          <w:sz w:val="24"/>
          <w:szCs w:val="24"/>
        </w:rPr>
        <w:t>2018/410</w:t>
      </w:r>
      <w:r w:rsidR="00A00CC4">
        <w:rPr>
          <w:rStyle w:val="FootnoteReference"/>
          <w:rFonts w:ascii="Times New Roman" w:hAnsi="Times New Roman" w:cs="Times New Roman"/>
          <w:sz w:val="24"/>
          <w:szCs w:val="24"/>
        </w:rPr>
        <w:footnoteReference w:id="2"/>
      </w:r>
      <w:r w:rsidR="003613CB">
        <w:rPr>
          <w:rFonts w:ascii="Times New Roman" w:hAnsi="Times New Roman" w:cs="Times New Roman"/>
          <w:sz w:val="24"/>
          <w:szCs w:val="24"/>
        </w:rPr>
        <w:t xml:space="preserve">, </w:t>
      </w:r>
      <w:r w:rsidR="003613CB" w:rsidRPr="003613CB">
        <w:rPr>
          <w:rFonts w:ascii="Times New Roman" w:hAnsi="Times New Roman" w:cs="Times New Roman"/>
          <w:sz w:val="24"/>
          <w:szCs w:val="24"/>
        </w:rPr>
        <w:t xml:space="preserve">ar ko groza Direktīvu 2003/87/EK, lai sekmētu emisiju </w:t>
      </w:r>
      <w:proofErr w:type="spellStart"/>
      <w:r w:rsidR="003613CB" w:rsidRPr="003613CB">
        <w:rPr>
          <w:rFonts w:ascii="Times New Roman" w:hAnsi="Times New Roman" w:cs="Times New Roman"/>
          <w:sz w:val="24"/>
          <w:szCs w:val="24"/>
        </w:rPr>
        <w:t>izmaksefektīvu</w:t>
      </w:r>
      <w:proofErr w:type="spellEnd"/>
      <w:r w:rsidR="003613CB" w:rsidRPr="003613CB">
        <w:rPr>
          <w:rFonts w:ascii="Times New Roman" w:hAnsi="Times New Roman" w:cs="Times New Roman"/>
          <w:sz w:val="24"/>
          <w:szCs w:val="24"/>
        </w:rPr>
        <w:t xml:space="preserve"> samazināšanu un investīcijas </w:t>
      </w:r>
      <w:proofErr w:type="spellStart"/>
      <w:r w:rsidR="003613CB" w:rsidRPr="003613CB">
        <w:rPr>
          <w:rFonts w:ascii="Times New Roman" w:hAnsi="Times New Roman" w:cs="Times New Roman"/>
          <w:sz w:val="24"/>
          <w:szCs w:val="24"/>
        </w:rPr>
        <w:t>mazoglekļa</w:t>
      </w:r>
      <w:proofErr w:type="spellEnd"/>
      <w:r w:rsidR="003613CB" w:rsidRPr="003613CB">
        <w:rPr>
          <w:rFonts w:ascii="Times New Roman" w:hAnsi="Times New Roman" w:cs="Times New Roman"/>
          <w:sz w:val="24"/>
          <w:szCs w:val="24"/>
        </w:rPr>
        <w:t xml:space="preserve"> risinā</w:t>
      </w:r>
      <w:r w:rsidR="003613CB">
        <w:rPr>
          <w:rFonts w:ascii="Times New Roman" w:hAnsi="Times New Roman" w:cs="Times New Roman"/>
          <w:sz w:val="24"/>
          <w:szCs w:val="24"/>
        </w:rPr>
        <w:t>jumos, un Lēmumu 2015/1814</w:t>
      </w:r>
      <w:r w:rsidR="00AA794A">
        <w:rPr>
          <w:rFonts w:ascii="Times New Roman" w:hAnsi="Times New Roman" w:cs="Times New Roman"/>
          <w:sz w:val="24"/>
          <w:szCs w:val="24"/>
        </w:rPr>
        <w:t xml:space="preserve"> (</w:t>
      </w:r>
      <w:r w:rsidR="00A75223">
        <w:rPr>
          <w:rFonts w:ascii="Times New Roman" w:hAnsi="Times New Roman" w:cs="Times New Roman"/>
          <w:sz w:val="24"/>
          <w:szCs w:val="24"/>
        </w:rPr>
        <w:t xml:space="preserve">turpmāk – </w:t>
      </w:r>
      <w:r w:rsidR="00AA794A">
        <w:rPr>
          <w:rFonts w:ascii="Times New Roman" w:hAnsi="Times New Roman" w:cs="Times New Roman"/>
          <w:sz w:val="24"/>
          <w:szCs w:val="24"/>
        </w:rPr>
        <w:t>Direktīva 2018/410)</w:t>
      </w:r>
      <w:r w:rsidR="003613CB">
        <w:rPr>
          <w:rFonts w:ascii="Times New Roman" w:hAnsi="Times New Roman" w:cs="Times New Roman"/>
          <w:sz w:val="24"/>
          <w:szCs w:val="24"/>
        </w:rPr>
        <w:t xml:space="preserve"> ir paredzēts izņēmums (</w:t>
      </w:r>
      <w:proofErr w:type="spellStart"/>
      <w:r w:rsidR="003613CB">
        <w:rPr>
          <w:rFonts w:ascii="Times New Roman" w:hAnsi="Times New Roman" w:cs="Times New Roman"/>
          <w:sz w:val="24"/>
          <w:szCs w:val="24"/>
        </w:rPr>
        <w:t>derogācija</w:t>
      </w:r>
      <w:proofErr w:type="spellEnd"/>
      <w:r w:rsidR="003613CB">
        <w:rPr>
          <w:rFonts w:ascii="Times New Roman" w:hAnsi="Times New Roman" w:cs="Times New Roman"/>
          <w:sz w:val="24"/>
          <w:szCs w:val="24"/>
        </w:rPr>
        <w:t xml:space="preserve">). </w:t>
      </w:r>
    </w:p>
    <w:p w14:paraId="2360FBED" w14:textId="2498FC2E" w:rsidR="003613CB" w:rsidRDefault="003613CB" w:rsidP="001D7EE2">
      <w:pPr>
        <w:spacing w:after="0"/>
        <w:ind w:right="-625" w:firstLine="567"/>
        <w:jc w:val="both"/>
        <w:rPr>
          <w:rFonts w:ascii="Times New Roman" w:hAnsi="Times New Roman" w:cs="Times New Roman"/>
          <w:sz w:val="24"/>
          <w:szCs w:val="24"/>
        </w:rPr>
      </w:pPr>
      <w:r>
        <w:rPr>
          <w:rFonts w:ascii="Times New Roman" w:hAnsi="Times New Roman" w:cs="Times New Roman"/>
          <w:sz w:val="24"/>
          <w:szCs w:val="24"/>
        </w:rPr>
        <w:t xml:space="preserve">Saskaņā 2018. gada 14. martā grozīto Direktīvas 2003/87/EK 10.c pantu </w:t>
      </w:r>
      <w:r w:rsidR="00E924A1" w:rsidRPr="00640247">
        <w:rPr>
          <w:rFonts w:ascii="Times New Roman" w:hAnsi="Times New Roman" w:cs="Times New Roman"/>
          <w:sz w:val="24"/>
          <w:szCs w:val="24"/>
        </w:rPr>
        <w:t xml:space="preserve"> </w:t>
      </w:r>
      <w:r>
        <w:rPr>
          <w:rFonts w:ascii="Times New Roman" w:hAnsi="Times New Roman" w:cs="Times New Roman"/>
          <w:sz w:val="24"/>
          <w:szCs w:val="24"/>
        </w:rPr>
        <w:t>dalībvalsti</w:t>
      </w:r>
      <w:r w:rsidR="00F15A8B" w:rsidRPr="00F15A8B">
        <w:rPr>
          <w:rFonts w:ascii="Times New Roman" w:hAnsi="Times New Roman" w:cs="Times New Roman"/>
          <w:sz w:val="24"/>
          <w:szCs w:val="24"/>
        </w:rPr>
        <w:t xml:space="preserve">s, kuru </w:t>
      </w:r>
      <w:r>
        <w:rPr>
          <w:rFonts w:ascii="Times New Roman" w:hAnsi="Times New Roman" w:cs="Times New Roman"/>
          <w:sz w:val="24"/>
          <w:szCs w:val="24"/>
        </w:rPr>
        <w:t>iekšzemes kopprodukts (</w:t>
      </w:r>
      <w:r w:rsidR="00995869">
        <w:rPr>
          <w:rFonts w:ascii="Times New Roman" w:hAnsi="Times New Roman" w:cs="Times New Roman"/>
          <w:sz w:val="24"/>
          <w:szCs w:val="24"/>
        </w:rPr>
        <w:t xml:space="preserve">turpmāk </w:t>
      </w:r>
      <w:r w:rsidR="00DC43E6">
        <w:rPr>
          <w:rFonts w:ascii="Times New Roman" w:hAnsi="Times New Roman" w:cs="Times New Roman"/>
          <w:sz w:val="24"/>
          <w:szCs w:val="24"/>
        </w:rPr>
        <w:t xml:space="preserve">– </w:t>
      </w:r>
      <w:r w:rsidR="00F15A8B" w:rsidRPr="00F15A8B">
        <w:rPr>
          <w:rFonts w:ascii="Times New Roman" w:hAnsi="Times New Roman" w:cs="Times New Roman"/>
          <w:sz w:val="24"/>
          <w:szCs w:val="24"/>
        </w:rPr>
        <w:t>IKP</w:t>
      </w:r>
      <w:r>
        <w:rPr>
          <w:rFonts w:ascii="Times New Roman" w:hAnsi="Times New Roman" w:cs="Times New Roman"/>
          <w:sz w:val="24"/>
          <w:szCs w:val="24"/>
        </w:rPr>
        <w:t>)</w:t>
      </w:r>
      <w:r w:rsidR="00F15A8B" w:rsidRPr="00F15A8B">
        <w:rPr>
          <w:rFonts w:ascii="Times New Roman" w:hAnsi="Times New Roman" w:cs="Times New Roman"/>
          <w:sz w:val="24"/>
          <w:szCs w:val="24"/>
        </w:rPr>
        <w:t xml:space="preserve"> uz vienu iedzīvotāju, izsakot tirgus cenās (</w:t>
      </w:r>
      <w:proofErr w:type="spellStart"/>
      <w:r w:rsidR="00E66CA7">
        <w:rPr>
          <w:rFonts w:ascii="Times New Roman" w:hAnsi="Times New Roman" w:cs="Times New Roman"/>
          <w:i/>
          <w:sz w:val="24"/>
          <w:szCs w:val="24"/>
        </w:rPr>
        <w:t>euro</w:t>
      </w:r>
      <w:proofErr w:type="spellEnd"/>
      <w:r w:rsidR="0069481F">
        <w:rPr>
          <w:rFonts w:ascii="Times New Roman" w:hAnsi="Times New Roman" w:cs="Times New Roman"/>
          <w:sz w:val="24"/>
          <w:szCs w:val="24"/>
        </w:rPr>
        <w:t>), 2013. gadā nesasniedza 60</w:t>
      </w:r>
      <w:r w:rsidR="00F15A8B" w:rsidRPr="00F15A8B">
        <w:rPr>
          <w:rFonts w:ascii="Times New Roman" w:hAnsi="Times New Roman" w:cs="Times New Roman"/>
          <w:sz w:val="24"/>
          <w:szCs w:val="24"/>
        </w:rPr>
        <w:t xml:space="preserve">% no </w:t>
      </w:r>
      <w:r w:rsidR="00533447">
        <w:rPr>
          <w:rFonts w:ascii="Times New Roman" w:hAnsi="Times New Roman" w:cs="Times New Roman"/>
          <w:sz w:val="24"/>
          <w:szCs w:val="24"/>
        </w:rPr>
        <w:t xml:space="preserve">Eiropas Savienības (turpmāk – </w:t>
      </w:r>
      <w:r w:rsidR="00BE6865">
        <w:rPr>
          <w:rFonts w:ascii="Times New Roman" w:hAnsi="Times New Roman" w:cs="Times New Roman"/>
          <w:sz w:val="24"/>
          <w:szCs w:val="24"/>
        </w:rPr>
        <w:t>ES</w:t>
      </w:r>
      <w:r w:rsidR="00533447">
        <w:rPr>
          <w:rFonts w:ascii="Times New Roman" w:hAnsi="Times New Roman" w:cs="Times New Roman"/>
          <w:sz w:val="24"/>
          <w:szCs w:val="24"/>
        </w:rPr>
        <w:t>)</w:t>
      </w:r>
      <w:r w:rsidR="00F15A8B" w:rsidRPr="00F15A8B">
        <w:rPr>
          <w:rFonts w:ascii="Times New Roman" w:hAnsi="Times New Roman" w:cs="Times New Roman"/>
          <w:sz w:val="24"/>
          <w:szCs w:val="24"/>
        </w:rPr>
        <w:t xml:space="preserve"> vidējā rādītāja, var </w:t>
      </w:r>
      <w:r>
        <w:rPr>
          <w:rFonts w:ascii="Times New Roman" w:hAnsi="Times New Roman" w:cs="Times New Roman"/>
          <w:sz w:val="24"/>
          <w:szCs w:val="24"/>
        </w:rPr>
        <w:t xml:space="preserve">izlemt </w:t>
      </w:r>
      <w:r w:rsidR="00F15A8B" w:rsidRPr="00F15A8B">
        <w:rPr>
          <w:rFonts w:ascii="Times New Roman" w:hAnsi="Times New Roman" w:cs="Times New Roman"/>
          <w:sz w:val="24"/>
          <w:szCs w:val="24"/>
        </w:rPr>
        <w:t xml:space="preserve">piešķirt bezmaksas </w:t>
      </w:r>
      <w:r w:rsidR="00DF4E5C">
        <w:rPr>
          <w:rFonts w:ascii="Times New Roman" w:hAnsi="Times New Roman" w:cs="Times New Roman"/>
          <w:sz w:val="24"/>
          <w:szCs w:val="24"/>
        </w:rPr>
        <w:t xml:space="preserve">emisijas </w:t>
      </w:r>
      <w:r w:rsidR="00F15A8B" w:rsidRPr="00F15A8B">
        <w:rPr>
          <w:rFonts w:ascii="Times New Roman" w:hAnsi="Times New Roman" w:cs="Times New Roman"/>
          <w:sz w:val="24"/>
          <w:szCs w:val="24"/>
        </w:rPr>
        <w:t>kvotas elektroenerģijas ražošanas iekārtām</w:t>
      </w:r>
      <w:r w:rsidR="00F15A8B">
        <w:rPr>
          <w:rFonts w:ascii="Times New Roman" w:hAnsi="Times New Roman" w:cs="Times New Roman"/>
          <w:sz w:val="24"/>
          <w:szCs w:val="24"/>
        </w:rPr>
        <w:t>. Saskaņā ar Direktīvas 2003/87/EK 10.c pantu izņēmums</w:t>
      </w:r>
      <w:r w:rsidR="00F15A8B" w:rsidRPr="00F15A8B">
        <w:rPr>
          <w:rFonts w:ascii="Times New Roman" w:hAnsi="Times New Roman" w:cs="Times New Roman"/>
          <w:sz w:val="24"/>
          <w:szCs w:val="24"/>
        </w:rPr>
        <w:t xml:space="preserve"> zaudē spēku 2030. gada 31. decembrī.</w:t>
      </w:r>
      <w:r w:rsidR="00F15A8B">
        <w:rPr>
          <w:rFonts w:ascii="Times New Roman" w:hAnsi="Times New Roman" w:cs="Times New Roman"/>
          <w:sz w:val="24"/>
          <w:szCs w:val="24"/>
        </w:rPr>
        <w:t xml:space="preserve"> Latvija atbilst </w:t>
      </w:r>
      <w:r w:rsidR="00995869">
        <w:rPr>
          <w:rFonts w:ascii="Times New Roman" w:hAnsi="Times New Roman" w:cs="Times New Roman"/>
          <w:sz w:val="24"/>
          <w:szCs w:val="24"/>
        </w:rPr>
        <w:t xml:space="preserve">Direktīvas 2003/87/EK 10.c </w:t>
      </w:r>
      <w:r w:rsidR="00E924A1">
        <w:rPr>
          <w:rFonts w:ascii="Times New Roman" w:hAnsi="Times New Roman" w:cs="Times New Roman"/>
          <w:sz w:val="24"/>
          <w:szCs w:val="24"/>
        </w:rPr>
        <w:t>pantā noteikta</w:t>
      </w:r>
      <w:r w:rsidR="00F15A8B">
        <w:rPr>
          <w:rFonts w:ascii="Times New Roman" w:hAnsi="Times New Roman" w:cs="Times New Roman"/>
          <w:sz w:val="24"/>
          <w:szCs w:val="24"/>
        </w:rPr>
        <w:t>ja</w:t>
      </w:r>
      <w:r w:rsidR="00E924A1">
        <w:rPr>
          <w:rFonts w:ascii="Times New Roman" w:hAnsi="Times New Roman" w:cs="Times New Roman"/>
          <w:sz w:val="24"/>
          <w:szCs w:val="24"/>
        </w:rPr>
        <w:t>m kritērijam</w:t>
      </w:r>
      <w:r w:rsidR="00995869">
        <w:rPr>
          <w:rFonts w:ascii="Times New Roman" w:hAnsi="Times New Roman" w:cs="Times New Roman"/>
          <w:sz w:val="24"/>
          <w:szCs w:val="24"/>
        </w:rPr>
        <w:t>.</w:t>
      </w:r>
      <w:r>
        <w:rPr>
          <w:rFonts w:ascii="Times New Roman" w:hAnsi="Times New Roman" w:cs="Times New Roman"/>
          <w:sz w:val="24"/>
          <w:szCs w:val="24"/>
        </w:rPr>
        <w:t xml:space="preserve"> </w:t>
      </w:r>
    </w:p>
    <w:p w14:paraId="5AAD7542" w14:textId="47BB4E15" w:rsidR="00E924A1" w:rsidRDefault="00F32DF6" w:rsidP="001D7EE2">
      <w:pPr>
        <w:spacing w:after="0"/>
        <w:ind w:right="-625" w:firstLine="567"/>
        <w:jc w:val="both"/>
        <w:rPr>
          <w:rFonts w:ascii="Times New Roman" w:hAnsi="Times New Roman" w:cs="Times New Roman"/>
          <w:sz w:val="24"/>
          <w:szCs w:val="24"/>
        </w:rPr>
      </w:pPr>
      <w:r>
        <w:rPr>
          <w:rFonts w:ascii="Times New Roman" w:hAnsi="Times New Roman" w:cs="Times New Roman"/>
          <w:sz w:val="24"/>
          <w:szCs w:val="24"/>
        </w:rPr>
        <w:t>Konceptuālais ziņojums</w:t>
      </w:r>
      <w:r w:rsidR="00DE78F5">
        <w:rPr>
          <w:rFonts w:ascii="Times New Roman" w:hAnsi="Times New Roman" w:cs="Times New Roman"/>
          <w:sz w:val="24"/>
          <w:szCs w:val="24"/>
        </w:rPr>
        <w:t xml:space="preserve"> (turpmāk – Ziņojums)</w:t>
      </w:r>
      <w:r>
        <w:rPr>
          <w:rFonts w:ascii="Times New Roman" w:hAnsi="Times New Roman" w:cs="Times New Roman"/>
          <w:sz w:val="24"/>
          <w:szCs w:val="24"/>
        </w:rPr>
        <w:t xml:space="preserve"> </w:t>
      </w:r>
      <w:r w:rsidR="003613CB">
        <w:rPr>
          <w:rFonts w:ascii="Times New Roman" w:hAnsi="Times New Roman" w:cs="Times New Roman"/>
          <w:sz w:val="24"/>
          <w:szCs w:val="24"/>
        </w:rPr>
        <w:t xml:space="preserve">ir </w:t>
      </w:r>
      <w:r>
        <w:rPr>
          <w:rFonts w:ascii="Times New Roman" w:hAnsi="Times New Roman" w:cs="Times New Roman"/>
          <w:sz w:val="24"/>
          <w:szCs w:val="24"/>
        </w:rPr>
        <w:t>izstrādāts, lai nodrošinātu lēmuma pieņemšanu</w:t>
      </w:r>
      <w:r w:rsidRPr="00F32DF6">
        <w:rPr>
          <w:rFonts w:ascii="Times New Roman" w:hAnsi="Times New Roman" w:cs="Times New Roman"/>
          <w:sz w:val="24"/>
          <w:szCs w:val="24"/>
        </w:rPr>
        <w:t xml:space="preserve"> par </w:t>
      </w:r>
      <w:r w:rsidR="003613CB">
        <w:rPr>
          <w:rFonts w:ascii="Times New Roman" w:hAnsi="Times New Roman" w:cs="Times New Roman"/>
          <w:sz w:val="24"/>
          <w:szCs w:val="24"/>
        </w:rPr>
        <w:t>Direktīvas 2003/87/EK</w:t>
      </w:r>
      <w:r w:rsidR="00A00CC4">
        <w:rPr>
          <w:rStyle w:val="FootnoteReference"/>
          <w:rFonts w:ascii="Times New Roman" w:hAnsi="Times New Roman" w:cs="Times New Roman"/>
          <w:sz w:val="24"/>
          <w:szCs w:val="24"/>
        </w:rPr>
        <w:footnoteReference w:id="3"/>
      </w:r>
      <w:r w:rsidR="00A00CC4">
        <w:rPr>
          <w:rFonts w:ascii="Times New Roman" w:hAnsi="Times New Roman" w:cs="Times New Roman"/>
          <w:sz w:val="24"/>
          <w:szCs w:val="24"/>
        </w:rPr>
        <w:t xml:space="preserve"> </w:t>
      </w:r>
      <w:r w:rsidR="003613CB">
        <w:rPr>
          <w:rFonts w:ascii="Times New Roman" w:hAnsi="Times New Roman" w:cs="Times New Roman"/>
          <w:sz w:val="24"/>
          <w:szCs w:val="24"/>
        </w:rPr>
        <w:t xml:space="preserve">10.c pantā noteiktās </w:t>
      </w:r>
      <w:proofErr w:type="spellStart"/>
      <w:r w:rsidR="003613CB">
        <w:rPr>
          <w:rFonts w:ascii="Times New Roman" w:hAnsi="Times New Roman" w:cs="Times New Roman"/>
          <w:sz w:val="24"/>
          <w:szCs w:val="24"/>
        </w:rPr>
        <w:t>derogācijas</w:t>
      </w:r>
      <w:proofErr w:type="spellEnd"/>
      <w:r w:rsidR="003613CB">
        <w:rPr>
          <w:rFonts w:ascii="Times New Roman" w:hAnsi="Times New Roman" w:cs="Times New Roman"/>
          <w:sz w:val="24"/>
          <w:szCs w:val="24"/>
        </w:rPr>
        <w:t xml:space="preserve"> izmantošanu jeb </w:t>
      </w:r>
      <w:r w:rsidRPr="00F32DF6">
        <w:rPr>
          <w:rFonts w:ascii="Times New Roman" w:hAnsi="Times New Roman" w:cs="Times New Roman"/>
          <w:sz w:val="24"/>
          <w:szCs w:val="24"/>
        </w:rPr>
        <w:t>bezmaksas emisijas kvotu</w:t>
      </w:r>
      <w:r>
        <w:rPr>
          <w:rFonts w:ascii="Times New Roman" w:hAnsi="Times New Roman" w:cs="Times New Roman"/>
          <w:sz w:val="24"/>
          <w:szCs w:val="24"/>
        </w:rPr>
        <w:t xml:space="preserve"> piešķiršanu vai nepiešķiršanu</w:t>
      </w:r>
      <w:r w:rsidRPr="00F32DF6">
        <w:rPr>
          <w:rFonts w:ascii="Times New Roman" w:hAnsi="Times New Roman" w:cs="Times New Roman"/>
          <w:sz w:val="24"/>
          <w:szCs w:val="24"/>
        </w:rPr>
        <w:t xml:space="preserve"> elektroenerģijas ražošanas iekārtām 2021. - 2030. gada </w:t>
      </w:r>
      <w:r w:rsidR="00FF0472">
        <w:rPr>
          <w:rFonts w:ascii="Times New Roman" w:hAnsi="Times New Roman" w:cs="Times New Roman"/>
          <w:sz w:val="24"/>
          <w:szCs w:val="24"/>
        </w:rPr>
        <w:t xml:space="preserve">ES </w:t>
      </w:r>
      <w:r w:rsidR="00FA1CE6" w:rsidRPr="00247B25">
        <w:rPr>
          <w:rFonts w:ascii="Times New Roman" w:hAnsi="Times New Roman" w:cs="Times New Roman"/>
          <w:sz w:val="24"/>
          <w:szCs w:val="24"/>
        </w:rPr>
        <w:t>emisijas kvotu tirdzniecības sistēma</w:t>
      </w:r>
      <w:r w:rsidR="00A22A7A">
        <w:rPr>
          <w:rFonts w:ascii="Times New Roman" w:hAnsi="Times New Roman" w:cs="Times New Roman"/>
          <w:sz w:val="24"/>
          <w:szCs w:val="24"/>
        </w:rPr>
        <w:t>s</w:t>
      </w:r>
      <w:r w:rsidR="00DF4E5C">
        <w:rPr>
          <w:rFonts w:ascii="Times New Roman" w:hAnsi="Times New Roman" w:cs="Times New Roman"/>
          <w:sz w:val="24"/>
          <w:szCs w:val="24"/>
        </w:rPr>
        <w:t xml:space="preserve"> </w:t>
      </w:r>
      <w:r w:rsidR="00533447">
        <w:rPr>
          <w:rFonts w:ascii="Times New Roman" w:hAnsi="Times New Roman" w:cs="Times New Roman"/>
          <w:sz w:val="24"/>
          <w:szCs w:val="24"/>
        </w:rPr>
        <w:t xml:space="preserve">(turpmāk </w:t>
      </w:r>
      <w:r w:rsidR="00DC43E6">
        <w:rPr>
          <w:rFonts w:ascii="Times New Roman" w:hAnsi="Times New Roman" w:cs="Times New Roman"/>
          <w:sz w:val="24"/>
          <w:szCs w:val="24"/>
        </w:rPr>
        <w:t xml:space="preserve">– </w:t>
      </w:r>
      <w:r w:rsidR="00533447">
        <w:rPr>
          <w:rFonts w:ascii="Times New Roman" w:hAnsi="Times New Roman" w:cs="Times New Roman"/>
          <w:sz w:val="24"/>
          <w:szCs w:val="24"/>
        </w:rPr>
        <w:t xml:space="preserve">ETS) </w:t>
      </w:r>
      <w:r w:rsidRPr="00F32DF6">
        <w:rPr>
          <w:rFonts w:ascii="Times New Roman" w:hAnsi="Times New Roman" w:cs="Times New Roman"/>
          <w:sz w:val="24"/>
          <w:szCs w:val="24"/>
        </w:rPr>
        <w:t>periodā</w:t>
      </w:r>
      <w:r>
        <w:rPr>
          <w:rFonts w:ascii="Times New Roman" w:hAnsi="Times New Roman" w:cs="Times New Roman"/>
          <w:sz w:val="24"/>
          <w:szCs w:val="24"/>
        </w:rPr>
        <w:t>.</w:t>
      </w:r>
      <w:r w:rsidR="00A44AD9">
        <w:rPr>
          <w:rFonts w:ascii="Times New Roman" w:hAnsi="Times New Roman" w:cs="Times New Roman"/>
          <w:sz w:val="24"/>
          <w:szCs w:val="24"/>
        </w:rPr>
        <w:t xml:space="preserve"> </w:t>
      </w:r>
    </w:p>
    <w:p w14:paraId="4B784DBA" w14:textId="77AF62CD" w:rsidR="00315CB5" w:rsidRPr="00315CB5" w:rsidRDefault="003613CB" w:rsidP="001D7EE2">
      <w:pPr>
        <w:spacing w:after="0"/>
        <w:ind w:right="-625" w:firstLine="567"/>
        <w:jc w:val="both"/>
        <w:rPr>
          <w:rFonts w:ascii="Times New Roman" w:hAnsi="Times New Roman" w:cs="Times New Roman"/>
          <w:sz w:val="24"/>
          <w:szCs w:val="24"/>
        </w:rPr>
      </w:pPr>
      <w:r>
        <w:rPr>
          <w:rFonts w:ascii="Times New Roman" w:hAnsi="Times New Roman" w:cs="Times New Roman"/>
          <w:sz w:val="24"/>
          <w:szCs w:val="24"/>
        </w:rPr>
        <w:t xml:space="preserve">Bezmaksas </w:t>
      </w:r>
      <w:r w:rsidR="00CF43E1">
        <w:rPr>
          <w:rFonts w:ascii="Times New Roman" w:hAnsi="Times New Roman" w:cs="Times New Roman"/>
          <w:sz w:val="24"/>
          <w:szCs w:val="24"/>
        </w:rPr>
        <w:t xml:space="preserve">emisijas </w:t>
      </w:r>
      <w:r>
        <w:rPr>
          <w:rFonts w:ascii="Times New Roman" w:hAnsi="Times New Roman" w:cs="Times New Roman"/>
          <w:sz w:val="24"/>
          <w:szCs w:val="24"/>
        </w:rPr>
        <w:t xml:space="preserve">kvotu piešķiršana elektroenerģijas ražošanai bija pieejama arī 2013. – 2020. gada </w:t>
      </w:r>
      <w:r w:rsidR="00FF0472">
        <w:rPr>
          <w:rFonts w:ascii="Times New Roman" w:hAnsi="Times New Roman" w:cs="Times New Roman"/>
          <w:sz w:val="24"/>
          <w:szCs w:val="24"/>
        </w:rPr>
        <w:t>ES ETS</w:t>
      </w:r>
      <w:r>
        <w:rPr>
          <w:rFonts w:ascii="Times New Roman" w:hAnsi="Times New Roman" w:cs="Times New Roman"/>
          <w:sz w:val="24"/>
          <w:szCs w:val="24"/>
        </w:rPr>
        <w:t xml:space="preserve"> periodā</w:t>
      </w:r>
      <w:r w:rsidR="00FF0472">
        <w:rPr>
          <w:rFonts w:ascii="Times New Roman" w:hAnsi="Times New Roman" w:cs="Times New Roman"/>
          <w:sz w:val="24"/>
          <w:szCs w:val="24"/>
        </w:rPr>
        <w:t>.</w:t>
      </w:r>
      <w:r>
        <w:rPr>
          <w:rFonts w:ascii="Times New Roman" w:hAnsi="Times New Roman" w:cs="Times New Roman"/>
          <w:sz w:val="24"/>
          <w:szCs w:val="24"/>
        </w:rPr>
        <w:t xml:space="preserve"> </w:t>
      </w:r>
      <w:r w:rsidR="00315CB5" w:rsidRPr="00315CB5">
        <w:rPr>
          <w:rFonts w:ascii="Times New Roman" w:hAnsi="Times New Roman" w:cs="Times New Roman"/>
          <w:sz w:val="24"/>
          <w:szCs w:val="24"/>
        </w:rPr>
        <w:t>2011.</w:t>
      </w:r>
      <w:r w:rsidR="005A58F2">
        <w:rPr>
          <w:rFonts w:ascii="Times New Roman" w:hAnsi="Times New Roman" w:cs="Times New Roman"/>
          <w:sz w:val="24"/>
          <w:szCs w:val="24"/>
        </w:rPr>
        <w:t xml:space="preserve"> </w:t>
      </w:r>
      <w:r w:rsidR="00315CB5" w:rsidRPr="00315CB5">
        <w:rPr>
          <w:rFonts w:ascii="Times New Roman" w:hAnsi="Times New Roman" w:cs="Times New Roman"/>
          <w:sz w:val="24"/>
          <w:szCs w:val="24"/>
        </w:rPr>
        <w:t>gada 30.</w:t>
      </w:r>
      <w:r w:rsidR="005A58F2">
        <w:rPr>
          <w:rFonts w:ascii="Times New Roman" w:hAnsi="Times New Roman" w:cs="Times New Roman"/>
          <w:sz w:val="24"/>
          <w:szCs w:val="24"/>
        </w:rPr>
        <w:t xml:space="preserve"> </w:t>
      </w:r>
      <w:r w:rsidR="00315CB5" w:rsidRPr="00315CB5">
        <w:rPr>
          <w:rFonts w:ascii="Times New Roman" w:hAnsi="Times New Roman" w:cs="Times New Roman"/>
          <w:sz w:val="24"/>
          <w:szCs w:val="24"/>
        </w:rPr>
        <w:t xml:space="preserve">augustā </w:t>
      </w:r>
      <w:r w:rsidR="005A58F2">
        <w:rPr>
          <w:rFonts w:ascii="Times New Roman" w:hAnsi="Times New Roman" w:cs="Times New Roman"/>
          <w:sz w:val="24"/>
          <w:szCs w:val="24"/>
        </w:rPr>
        <w:t>Ministru kabinets</w:t>
      </w:r>
      <w:r w:rsidR="00315CB5" w:rsidRPr="00315CB5">
        <w:rPr>
          <w:rFonts w:ascii="Times New Roman" w:hAnsi="Times New Roman" w:cs="Times New Roman"/>
          <w:sz w:val="24"/>
          <w:szCs w:val="24"/>
        </w:rPr>
        <w:t xml:space="preserve"> pieņēma lēmumu neatbalstīt bezmaksas emisijas kvotu piešķiršanu elektroenerģijas ražošanai 2013.</w:t>
      </w:r>
      <w:r w:rsidR="005A58F2">
        <w:rPr>
          <w:rFonts w:ascii="Times New Roman" w:hAnsi="Times New Roman" w:cs="Times New Roman"/>
          <w:sz w:val="24"/>
          <w:szCs w:val="24"/>
        </w:rPr>
        <w:t xml:space="preserve"> </w:t>
      </w:r>
      <w:r w:rsidR="00315CB5" w:rsidRPr="00315CB5">
        <w:rPr>
          <w:rFonts w:ascii="Times New Roman" w:hAnsi="Times New Roman" w:cs="Times New Roman"/>
          <w:sz w:val="24"/>
          <w:szCs w:val="24"/>
        </w:rPr>
        <w:t>-</w:t>
      </w:r>
      <w:r w:rsidR="005A58F2">
        <w:rPr>
          <w:rFonts w:ascii="Times New Roman" w:hAnsi="Times New Roman" w:cs="Times New Roman"/>
          <w:sz w:val="24"/>
          <w:szCs w:val="24"/>
        </w:rPr>
        <w:t xml:space="preserve"> </w:t>
      </w:r>
      <w:r w:rsidR="00315CB5" w:rsidRPr="00315CB5">
        <w:rPr>
          <w:rFonts w:ascii="Times New Roman" w:hAnsi="Times New Roman" w:cs="Times New Roman"/>
          <w:sz w:val="24"/>
          <w:szCs w:val="24"/>
        </w:rPr>
        <w:t>2020.</w:t>
      </w:r>
      <w:r w:rsidR="00DC43E6">
        <w:rPr>
          <w:rFonts w:ascii="Times New Roman" w:hAnsi="Times New Roman" w:cs="Times New Roman"/>
          <w:sz w:val="24"/>
          <w:szCs w:val="24"/>
        </w:rPr>
        <w:t> </w:t>
      </w:r>
      <w:r w:rsidR="00315CB5" w:rsidRPr="00315CB5">
        <w:rPr>
          <w:rFonts w:ascii="Times New Roman" w:hAnsi="Times New Roman" w:cs="Times New Roman"/>
          <w:sz w:val="24"/>
          <w:szCs w:val="24"/>
        </w:rPr>
        <w:t>gadam.</w:t>
      </w:r>
      <w:r w:rsidR="005A58F2">
        <w:rPr>
          <w:rStyle w:val="FootnoteReference"/>
          <w:rFonts w:ascii="Times New Roman" w:hAnsi="Times New Roman" w:cs="Times New Roman"/>
          <w:sz w:val="24"/>
          <w:szCs w:val="24"/>
        </w:rPr>
        <w:footnoteReference w:id="4"/>
      </w:r>
    </w:p>
    <w:p w14:paraId="614AAFDC" w14:textId="0813B3C7" w:rsidR="00DE78F5" w:rsidRPr="00DE78F5" w:rsidRDefault="008B776A" w:rsidP="00DE78F5">
      <w:pPr>
        <w:spacing w:after="0"/>
        <w:ind w:right="-625"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E78F5">
        <w:rPr>
          <w:rFonts w:ascii="Times New Roman" w:hAnsi="Times New Roman" w:cs="Times New Roman"/>
          <w:sz w:val="24"/>
          <w:szCs w:val="24"/>
        </w:rPr>
        <w:t>Z</w:t>
      </w:r>
      <w:r w:rsidR="00DE78F5" w:rsidRPr="00DE78F5">
        <w:rPr>
          <w:rFonts w:ascii="Times New Roman" w:hAnsi="Times New Roman" w:cs="Times New Roman"/>
          <w:sz w:val="24"/>
          <w:szCs w:val="24"/>
        </w:rPr>
        <w:t xml:space="preserve">iņojumā apkopota informācija par </w:t>
      </w:r>
      <w:r w:rsidR="00DE78F5">
        <w:rPr>
          <w:rFonts w:ascii="Times New Roman" w:hAnsi="Times New Roman" w:cs="Times New Roman"/>
          <w:sz w:val="24"/>
          <w:szCs w:val="24"/>
        </w:rPr>
        <w:t>starptautiskās un ES klimata politikas ietvaru, bezmaksas kvotu piešķiršanas nosacījumiem saskaņā ar Direktīvas 2003/87/EK 10.c pantu un iespējamajiem pretendentiem bezmaksas emisij</w:t>
      </w:r>
      <w:r w:rsidR="00E41569">
        <w:rPr>
          <w:rFonts w:ascii="Times New Roman" w:hAnsi="Times New Roman" w:cs="Times New Roman"/>
          <w:sz w:val="24"/>
          <w:szCs w:val="24"/>
        </w:rPr>
        <w:t>as</w:t>
      </w:r>
      <w:r w:rsidR="00DE78F5">
        <w:rPr>
          <w:rFonts w:ascii="Times New Roman" w:hAnsi="Times New Roman" w:cs="Times New Roman"/>
          <w:sz w:val="24"/>
          <w:szCs w:val="24"/>
        </w:rPr>
        <w:t xml:space="preserve"> kvotu saņemšan</w:t>
      </w:r>
      <w:r w:rsidR="00DF4E5C">
        <w:rPr>
          <w:rFonts w:ascii="Times New Roman" w:hAnsi="Times New Roman" w:cs="Times New Roman"/>
          <w:sz w:val="24"/>
          <w:szCs w:val="24"/>
        </w:rPr>
        <w:t>ai</w:t>
      </w:r>
      <w:r w:rsidR="00DE78F5">
        <w:rPr>
          <w:rFonts w:ascii="Times New Roman" w:hAnsi="Times New Roman" w:cs="Times New Roman"/>
          <w:sz w:val="24"/>
          <w:szCs w:val="24"/>
        </w:rPr>
        <w:t>. Z</w:t>
      </w:r>
      <w:r w:rsidR="00DE78F5" w:rsidRPr="00DE78F5">
        <w:rPr>
          <w:rFonts w:ascii="Times New Roman" w:hAnsi="Times New Roman" w:cs="Times New Roman"/>
          <w:sz w:val="24"/>
          <w:szCs w:val="24"/>
        </w:rPr>
        <w:t xml:space="preserve">iņojumā </w:t>
      </w:r>
      <w:r w:rsidR="00DE78F5">
        <w:rPr>
          <w:rFonts w:ascii="Times New Roman" w:hAnsi="Times New Roman" w:cs="Times New Roman"/>
          <w:sz w:val="24"/>
          <w:szCs w:val="24"/>
        </w:rPr>
        <w:t xml:space="preserve">ir sniegta informācija </w:t>
      </w:r>
      <w:r w:rsidR="00DE78F5" w:rsidRPr="00DE78F5">
        <w:rPr>
          <w:rFonts w:ascii="Times New Roman" w:hAnsi="Times New Roman" w:cs="Times New Roman"/>
          <w:sz w:val="24"/>
          <w:szCs w:val="24"/>
        </w:rPr>
        <w:t>par pašreizējo situāciju emisijas kvotu piešķiršanā elektroenerģijas ražošanas iekārtām un esošo atbalstu Latvijas ETS operatoriem</w:t>
      </w:r>
      <w:r w:rsidR="0069481F">
        <w:rPr>
          <w:rFonts w:ascii="Times New Roman" w:hAnsi="Times New Roman" w:cs="Times New Roman"/>
          <w:sz w:val="24"/>
          <w:szCs w:val="24"/>
        </w:rPr>
        <w:t>, kas vienlaikus ir arī elektroenerģijas ražotāji</w:t>
      </w:r>
      <w:r w:rsidR="00DE78F5" w:rsidRPr="00DE78F5">
        <w:rPr>
          <w:rFonts w:ascii="Times New Roman" w:hAnsi="Times New Roman" w:cs="Times New Roman"/>
          <w:sz w:val="24"/>
          <w:szCs w:val="24"/>
        </w:rPr>
        <w:t xml:space="preserve">, kā arī informācija par papildus atbalsta negatīvo ietekmi, radot valsts budžeta ieņēmumu samazinājumu, jo šāda atbalsta piešķiršanas gadījumā nebūs iespējams pārdot atbilstošu </w:t>
      </w:r>
      <w:r w:rsidR="0069481F">
        <w:rPr>
          <w:rFonts w:ascii="Times New Roman" w:hAnsi="Times New Roman" w:cs="Times New Roman"/>
          <w:sz w:val="24"/>
          <w:szCs w:val="24"/>
        </w:rPr>
        <w:t xml:space="preserve">emisijas </w:t>
      </w:r>
      <w:r w:rsidR="00DE78F5" w:rsidRPr="00DE78F5">
        <w:rPr>
          <w:rFonts w:ascii="Times New Roman" w:hAnsi="Times New Roman" w:cs="Times New Roman"/>
          <w:sz w:val="24"/>
          <w:szCs w:val="24"/>
        </w:rPr>
        <w:t>kvotu skaitu emisijas kvotu izsolēs.</w:t>
      </w:r>
      <w:r w:rsidR="00DE78F5">
        <w:rPr>
          <w:rFonts w:ascii="Times New Roman" w:hAnsi="Times New Roman" w:cs="Times New Roman"/>
          <w:sz w:val="24"/>
          <w:szCs w:val="24"/>
        </w:rPr>
        <w:t xml:space="preserve"> Ziņojumā ir piedāvāti un analizēti </w:t>
      </w:r>
      <w:r w:rsidR="003D3E12">
        <w:rPr>
          <w:rFonts w:ascii="Times New Roman" w:hAnsi="Times New Roman" w:cs="Times New Roman"/>
          <w:sz w:val="24"/>
          <w:szCs w:val="24"/>
        </w:rPr>
        <w:t xml:space="preserve">divi </w:t>
      </w:r>
      <w:r w:rsidR="00DE78F5">
        <w:rPr>
          <w:rFonts w:ascii="Times New Roman" w:hAnsi="Times New Roman" w:cs="Times New Roman"/>
          <w:sz w:val="24"/>
          <w:szCs w:val="24"/>
        </w:rPr>
        <w:t xml:space="preserve">iespējamās tālākās rīcības </w:t>
      </w:r>
      <w:r w:rsidR="0069481F">
        <w:rPr>
          <w:rFonts w:ascii="Times New Roman" w:hAnsi="Times New Roman" w:cs="Times New Roman"/>
          <w:sz w:val="24"/>
          <w:szCs w:val="24"/>
        </w:rPr>
        <w:t>scenāriji</w:t>
      </w:r>
      <w:r w:rsidR="00DE78F5">
        <w:rPr>
          <w:rFonts w:ascii="Times New Roman" w:hAnsi="Times New Roman" w:cs="Times New Roman"/>
          <w:sz w:val="24"/>
          <w:szCs w:val="24"/>
        </w:rPr>
        <w:t xml:space="preserve">, to priekšrocības un trūkumi. </w:t>
      </w:r>
    </w:p>
    <w:p w14:paraId="09497C38" w14:textId="77777777" w:rsidR="00DE78F5" w:rsidRDefault="00DE78F5" w:rsidP="001D7EE2">
      <w:pPr>
        <w:spacing w:after="0"/>
        <w:ind w:right="-625" w:firstLine="567"/>
        <w:jc w:val="both"/>
        <w:rPr>
          <w:rFonts w:ascii="Times New Roman" w:hAnsi="Times New Roman" w:cs="Times New Roman"/>
          <w:sz w:val="24"/>
          <w:szCs w:val="24"/>
        </w:rPr>
      </w:pPr>
    </w:p>
    <w:p w14:paraId="632F1608" w14:textId="77777777" w:rsidR="00DE78F5" w:rsidRDefault="00DE78F5" w:rsidP="001D7EE2">
      <w:pPr>
        <w:spacing w:after="0"/>
        <w:ind w:right="-625" w:firstLine="567"/>
        <w:jc w:val="both"/>
        <w:rPr>
          <w:rFonts w:ascii="Times New Roman" w:hAnsi="Times New Roman" w:cs="Times New Roman"/>
          <w:sz w:val="24"/>
          <w:szCs w:val="24"/>
        </w:rPr>
      </w:pPr>
    </w:p>
    <w:p w14:paraId="206D18C2" w14:textId="77777777" w:rsidR="00DE78F5" w:rsidRDefault="00DE78F5">
      <w:pPr>
        <w:rPr>
          <w:rFonts w:ascii="Times New Roman" w:eastAsiaTheme="majorEastAsia" w:hAnsi="Times New Roman" w:cstheme="majorBidi"/>
          <w:b/>
          <w:sz w:val="28"/>
          <w:szCs w:val="32"/>
        </w:rPr>
      </w:pPr>
      <w:r>
        <w:br w:type="page"/>
      </w:r>
    </w:p>
    <w:p w14:paraId="145B9AE1" w14:textId="77777777" w:rsidR="00E20FE4" w:rsidRPr="003E5B3B" w:rsidRDefault="001F3165" w:rsidP="00EB27B9">
      <w:pPr>
        <w:pStyle w:val="Heading1"/>
        <w:spacing w:before="0" w:after="0" w:line="259" w:lineRule="auto"/>
        <w:ind w:right="-625"/>
      </w:pPr>
      <w:bookmarkStart w:id="1" w:name="_Toc5694309"/>
      <w:r w:rsidRPr="003E5B3B">
        <w:lastRenderedPageBreak/>
        <w:t>II</w:t>
      </w:r>
      <w:r w:rsidR="008B2F34" w:rsidRPr="003E5B3B">
        <w:t xml:space="preserve"> </w:t>
      </w:r>
      <w:r w:rsidR="0062198F" w:rsidRPr="003E5B3B">
        <w:t>Esošās situācijas ra</w:t>
      </w:r>
      <w:r w:rsidR="00251740" w:rsidRPr="003E5B3B">
        <w:t>ksturojums</w:t>
      </w:r>
      <w:r w:rsidR="00085DF2" w:rsidRPr="003E5B3B">
        <w:t xml:space="preserve"> un problēmas apraksts</w:t>
      </w:r>
      <w:bookmarkEnd w:id="1"/>
    </w:p>
    <w:p w14:paraId="19515965" w14:textId="77777777" w:rsidR="003F6A1F" w:rsidRPr="003F6A1F" w:rsidRDefault="003F6A1F" w:rsidP="001D7EE2">
      <w:pPr>
        <w:pStyle w:val="Heading2"/>
        <w:spacing w:before="0"/>
      </w:pPr>
      <w:bookmarkStart w:id="2" w:name="_Toc5694310"/>
      <w:r>
        <w:t xml:space="preserve">2.1. </w:t>
      </w:r>
      <w:r w:rsidRPr="003F6A1F">
        <w:t>Starptautiskā un E</w:t>
      </w:r>
      <w:r w:rsidR="003136D1">
        <w:t xml:space="preserve">iropas </w:t>
      </w:r>
      <w:r w:rsidRPr="003F6A1F">
        <w:t>S</w:t>
      </w:r>
      <w:r w:rsidR="003136D1">
        <w:t>avienības</w:t>
      </w:r>
      <w:r w:rsidRPr="003F6A1F">
        <w:t xml:space="preserve"> klimata politika</w:t>
      </w:r>
      <w:bookmarkEnd w:id="2"/>
    </w:p>
    <w:p w14:paraId="60DF3F3F" w14:textId="79A3A951" w:rsidR="00E45DB8" w:rsidRDefault="00156ED0" w:rsidP="001D7EE2">
      <w:pPr>
        <w:spacing w:after="0"/>
        <w:ind w:right="-625" w:firstLine="567"/>
        <w:jc w:val="both"/>
        <w:rPr>
          <w:rFonts w:ascii="Times New Roman" w:hAnsi="Times New Roman" w:cs="Times New Roman"/>
          <w:sz w:val="24"/>
          <w:szCs w:val="24"/>
        </w:rPr>
      </w:pPr>
      <w:r>
        <w:rPr>
          <w:rFonts w:ascii="Times New Roman" w:hAnsi="Times New Roman" w:cs="Times New Roman"/>
          <w:sz w:val="24"/>
          <w:szCs w:val="24"/>
        </w:rPr>
        <w:t xml:space="preserve">2015. gada 12. decembrī tika pieņemts </w:t>
      </w:r>
      <w:r w:rsidR="00FA1CE6">
        <w:rPr>
          <w:rFonts w:ascii="Times New Roman" w:hAnsi="Times New Roman" w:cs="Times New Roman"/>
          <w:sz w:val="24"/>
          <w:szCs w:val="24"/>
        </w:rPr>
        <w:t>Apvienoto Nāciju Organizācijas (turpmāk</w:t>
      </w:r>
      <w:r w:rsidR="00400EC3">
        <w:rPr>
          <w:rFonts w:ascii="Times New Roman" w:hAnsi="Times New Roman" w:cs="Times New Roman"/>
          <w:sz w:val="24"/>
          <w:szCs w:val="24"/>
        </w:rPr>
        <w:t xml:space="preserve"> –</w:t>
      </w:r>
      <w:r w:rsidR="00DF4E5C">
        <w:rPr>
          <w:rFonts w:ascii="Times New Roman" w:hAnsi="Times New Roman" w:cs="Times New Roman"/>
          <w:sz w:val="24"/>
          <w:szCs w:val="24"/>
        </w:rPr>
        <w:t>ANO</w:t>
      </w:r>
      <w:r w:rsidR="00FA1CE6">
        <w:rPr>
          <w:rFonts w:ascii="Times New Roman" w:hAnsi="Times New Roman" w:cs="Times New Roman"/>
          <w:sz w:val="24"/>
          <w:szCs w:val="24"/>
        </w:rPr>
        <w:t>)</w:t>
      </w:r>
      <w:r w:rsidR="00E45DB8">
        <w:rPr>
          <w:rFonts w:ascii="Times New Roman" w:hAnsi="Times New Roman" w:cs="Times New Roman"/>
          <w:sz w:val="24"/>
          <w:szCs w:val="24"/>
        </w:rPr>
        <w:t xml:space="preserve"> Vispārējās konvencijas par klimata pārmaiņām Parīzes nolīgums</w:t>
      </w:r>
      <w:r w:rsidR="00DF4E5C">
        <w:rPr>
          <w:rFonts w:ascii="Times New Roman" w:hAnsi="Times New Roman" w:cs="Times New Roman"/>
          <w:sz w:val="24"/>
          <w:szCs w:val="24"/>
        </w:rPr>
        <w:t xml:space="preserve"> (turpmāk – Parīzes nolīgums),</w:t>
      </w:r>
      <w:r w:rsidR="00E45DB8">
        <w:rPr>
          <w:rFonts w:ascii="Times New Roman" w:hAnsi="Times New Roman" w:cs="Times New Roman"/>
          <w:sz w:val="24"/>
          <w:szCs w:val="24"/>
        </w:rPr>
        <w:t xml:space="preserve"> un tā mērķis </w:t>
      </w:r>
      <w:r w:rsidR="00EB27B9">
        <w:rPr>
          <w:rFonts w:ascii="Times New Roman" w:hAnsi="Times New Roman" w:cs="Times New Roman"/>
          <w:sz w:val="24"/>
          <w:szCs w:val="24"/>
        </w:rPr>
        <w:t xml:space="preserve">saskaņā ar 2. panta 1. punkta a) apakšpunktu </w:t>
      </w:r>
      <w:r w:rsidR="00E45DB8">
        <w:rPr>
          <w:rFonts w:ascii="Times New Roman" w:hAnsi="Times New Roman" w:cs="Times New Roman"/>
          <w:sz w:val="24"/>
          <w:szCs w:val="24"/>
        </w:rPr>
        <w:t xml:space="preserve">ir </w:t>
      </w:r>
      <w:r w:rsidR="00A44AD9" w:rsidRPr="00A44AD9">
        <w:rPr>
          <w:rFonts w:ascii="Times New Roman" w:hAnsi="Times New Roman" w:cs="Times New Roman"/>
          <w:sz w:val="24"/>
          <w:szCs w:val="24"/>
        </w:rPr>
        <w:t>ierobežot globālo vidējās tempe</w:t>
      </w:r>
      <w:r w:rsidR="00A44AD9">
        <w:rPr>
          <w:rFonts w:ascii="Times New Roman" w:hAnsi="Times New Roman" w:cs="Times New Roman"/>
          <w:sz w:val="24"/>
          <w:szCs w:val="24"/>
        </w:rPr>
        <w:t>ratūras pieaugumu krietni zem 2</w:t>
      </w:r>
      <w:r w:rsidR="00A44AD9" w:rsidRPr="00A44AD9">
        <w:rPr>
          <w:rFonts w:ascii="Times New Roman" w:hAnsi="Times New Roman" w:cs="Times New Roman"/>
          <w:sz w:val="24"/>
          <w:szCs w:val="24"/>
        </w:rPr>
        <w:t>°C atzīmes un tie</w:t>
      </w:r>
      <w:r w:rsidR="00A44AD9">
        <w:rPr>
          <w:rFonts w:ascii="Times New Roman" w:hAnsi="Times New Roman" w:cs="Times New Roman"/>
          <w:sz w:val="24"/>
          <w:szCs w:val="24"/>
        </w:rPr>
        <w:t>k</w:t>
      </w:r>
      <w:r w:rsidR="00A44AD9" w:rsidRPr="00A44AD9">
        <w:rPr>
          <w:rFonts w:ascii="Times New Roman" w:hAnsi="Times New Roman" w:cs="Times New Roman"/>
          <w:sz w:val="24"/>
          <w:szCs w:val="24"/>
        </w:rPr>
        <w:t xml:space="preserve">ties temperatūras kāpumu iegrožot līdz 1,5°C salīdzinājumā ar </w:t>
      </w:r>
      <w:proofErr w:type="spellStart"/>
      <w:r w:rsidR="00A44AD9" w:rsidRPr="00A44AD9">
        <w:rPr>
          <w:rFonts w:ascii="Times New Roman" w:hAnsi="Times New Roman" w:cs="Times New Roman"/>
          <w:sz w:val="24"/>
          <w:szCs w:val="24"/>
        </w:rPr>
        <w:t>pirmsindustriālā</w:t>
      </w:r>
      <w:proofErr w:type="spellEnd"/>
      <w:r w:rsidR="00A44AD9" w:rsidRPr="00A44AD9">
        <w:rPr>
          <w:rFonts w:ascii="Times New Roman" w:hAnsi="Times New Roman" w:cs="Times New Roman"/>
          <w:sz w:val="24"/>
          <w:szCs w:val="24"/>
        </w:rPr>
        <w:t xml:space="preserve"> laikmeta līmeni</w:t>
      </w:r>
      <w:r w:rsidR="00E45DB8">
        <w:rPr>
          <w:rFonts w:ascii="Times New Roman" w:hAnsi="Times New Roman" w:cs="Times New Roman"/>
          <w:sz w:val="24"/>
          <w:szCs w:val="24"/>
        </w:rPr>
        <w:t xml:space="preserve">. </w:t>
      </w:r>
      <w:r>
        <w:rPr>
          <w:rFonts w:ascii="Times New Roman" w:hAnsi="Times New Roman" w:cs="Times New Roman"/>
          <w:sz w:val="24"/>
          <w:szCs w:val="24"/>
        </w:rPr>
        <w:t xml:space="preserve">Saskaņā ar Parīzes nolīguma mērķiem </w:t>
      </w:r>
      <w:r w:rsidR="007E2FF9">
        <w:rPr>
          <w:rFonts w:ascii="Times New Roman" w:hAnsi="Times New Roman" w:cs="Times New Roman"/>
          <w:sz w:val="24"/>
          <w:szCs w:val="24"/>
        </w:rPr>
        <w:t xml:space="preserve">(Parīzes nolīguma 2. pants) </w:t>
      </w:r>
      <w:r w:rsidR="00E45DB8">
        <w:rPr>
          <w:rFonts w:ascii="Times New Roman" w:hAnsi="Times New Roman" w:cs="Times New Roman"/>
          <w:sz w:val="24"/>
          <w:szCs w:val="24"/>
        </w:rPr>
        <w:t>ES ietvaros ir apstiprināti nosacījumi un mērķi</w:t>
      </w:r>
      <w:r>
        <w:rPr>
          <w:rFonts w:ascii="Times New Roman" w:hAnsi="Times New Roman" w:cs="Times New Roman"/>
          <w:sz w:val="24"/>
          <w:szCs w:val="24"/>
        </w:rPr>
        <w:t xml:space="preserve"> </w:t>
      </w:r>
      <w:r w:rsidR="00124D95">
        <w:rPr>
          <w:rFonts w:ascii="Times New Roman" w:hAnsi="Times New Roman" w:cs="Times New Roman"/>
          <w:sz w:val="24"/>
          <w:szCs w:val="24"/>
        </w:rPr>
        <w:t xml:space="preserve">siltumnīcefekta gāzu (turpmāk – </w:t>
      </w:r>
      <w:r w:rsidR="00BE6865">
        <w:rPr>
          <w:rFonts w:ascii="Times New Roman" w:hAnsi="Times New Roman" w:cs="Times New Roman"/>
          <w:sz w:val="24"/>
          <w:szCs w:val="24"/>
        </w:rPr>
        <w:t>SEG</w:t>
      </w:r>
      <w:r w:rsidR="00124D95">
        <w:rPr>
          <w:rFonts w:ascii="Times New Roman" w:hAnsi="Times New Roman" w:cs="Times New Roman"/>
          <w:sz w:val="24"/>
          <w:szCs w:val="24"/>
        </w:rPr>
        <w:t>)</w:t>
      </w:r>
      <w:r w:rsidR="00E45DB8">
        <w:rPr>
          <w:rFonts w:ascii="Times New Roman" w:hAnsi="Times New Roman" w:cs="Times New Roman"/>
          <w:sz w:val="24"/>
          <w:szCs w:val="24"/>
        </w:rPr>
        <w:t xml:space="preserve"> emisiju samazināšanai </w:t>
      </w:r>
      <w:r w:rsidR="00DF4E5C">
        <w:rPr>
          <w:rFonts w:ascii="Times New Roman" w:hAnsi="Times New Roman" w:cs="Times New Roman"/>
          <w:sz w:val="24"/>
          <w:szCs w:val="24"/>
        </w:rPr>
        <w:t xml:space="preserve">līdz </w:t>
      </w:r>
      <w:r w:rsidR="00E45DB8">
        <w:rPr>
          <w:rFonts w:ascii="Times New Roman" w:hAnsi="Times New Roman" w:cs="Times New Roman"/>
          <w:sz w:val="24"/>
          <w:szCs w:val="24"/>
        </w:rPr>
        <w:t xml:space="preserve">2030. gadam. </w:t>
      </w:r>
    </w:p>
    <w:p w14:paraId="6F8A3FA2" w14:textId="1E6E573F" w:rsidR="00156ED0" w:rsidRPr="00156ED0" w:rsidRDefault="00156ED0" w:rsidP="001D7EE2">
      <w:pPr>
        <w:spacing w:after="0"/>
        <w:ind w:right="-625" w:firstLine="567"/>
        <w:jc w:val="both"/>
        <w:rPr>
          <w:rFonts w:ascii="Times New Roman" w:hAnsi="Times New Roman" w:cs="Times New Roman"/>
          <w:sz w:val="24"/>
          <w:szCs w:val="24"/>
        </w:rPr>
      </w:pPr>
      <w:r>
        <w:rPr>
          <w:rFonts w:ascii="Times New Roman" w:hAnsi="Times New Roman" w:cs="Times New Roman"/>
          <w:sz w:val="24"/>
          <w:szCs w:val="24"/>
        </w:rPr>
        <w:t xml:space="preserve">Rīcība klimata pārmaiņu ierobežošanā </w:t>
      </w:r>
      <w:r w:rsidRPr="00156ED0">
        <w:rPr>
          <w:rFonts w:ascii="Times New Roman" w:hAnsi="Times New Roman" w:cs="Times New Roman"/>
          <w:sz w:val="24"/>
          <w:szCs w:val="24"/>
        </w:rPr>
        <w:t xml:space="preserve">ir viena no ES prioritātēm. ES ietvaros ir noteikts kopējs ES SEG emisiju samazināšanas mērķis, un tas ir sadalīts divās daļās – ES </w:t>
      </w:r>
      <w:r>
        <w:rPr>
          <w:rFonts w:ascii="Times New Roman" w:hAnsi="Times New Roman" w:cs="Times New Roman"/>
          <w:sz w:val="24"/>
          <w:szCs w:val="24"/>
        </w:rPr>
        <w:t>E</w:t>
      </w:r>
      <w:r w:rsidRPr="00156ED0">
        <w:rPr>
          <w:rFonts w:ascii="Times New Roman" w:hAnsi="Times New Roman" w:cs="Times New Roman"/>
          <w:sz w:val="24"/>
          <w:szCs w:val="24"/>
        </w:rPr>
        <w:t xml:space="preserve">TS iekļautās darbības un ES ETS neiekļautās </w:t>
      </w:r>
      <w:r>
        <w:rPr>
          <w:rFonts w:ascii="Times New Roman" w:hAnsi="Times New Roman" w:cs="Times New Roman"/>
          <w:sz w:val="24"/>
          <w:szCs w:val="24"/>
        </w:rPr>
        <w:t>darbības (turpmāk – ne-ETS). E</w:t>
      </w:r>
      <w:r w:rsidRPr="00156ED0">
        <w:rPr>
          <w:rFonts w:ascii="Times New Roman" w:hAnsi="Times New Roman" w:cs="Times New Roman"/>
          <w:sz w:val="24"/>
          <w:szCs w:val="24"/>
        </w:rPr>
        <w:t>S ETS operatoriem kopīgi visā ES ir jāsamazina SEG emisiju apjoms par 21 % līdz 2020. gadam un par 43 % līdz 2030.</w:t>
      </w:r>
      <w:r w:rsidR="00EB27B9">
        <w:rPr>
          <w:rFonts w:ascii="Times New Roman" w:hAnsi="Times New Roman" w:cs="Times New Roman"/>
          <w:sz w:val="24"/>
          <w:szCs w:val="24"/>
        </w:rPr>
        <w:t> </w:t>
      </w:r>
      <w:r w:rsidRPr="00156ED0">
        <w:rPr>
          <w:rFonts w:ascii="Times New Roman" w:hAnsi="Times New Roman" w:cs="Times New Roman"/>
          <w:sz w:val="24"/>
          <w:szCs w:val="24"/>
        </w:rPr>
        <w:t>gadam (salīdzinot ar šo ES ETS operatoru SEG emisiju apjomu 2005. gadā).</w:t>
      </w:r>
      <w:r>
        <w:rPr>
          <w:rFonts w:ascii="Times New Roman" w:hAnsi="Times New Roman" w:cs="Times New Roman"/>
          <w:sz w:val="24"/>
          <w:szCs w:val="24"/>
        </w:rPr>
        <w:t xml:space="preserve"> K</w:t>
      </w:r>
      <w:r w:rsidRPr="00156ED0">
        <w:rPr>
          <w:rFonts w:ascii="Times New Roman" w:hAnsi="Times New Roman" w:cs="Times New Roman"/>
          <w:sz w:val="24"/>
          <w:szCs w:val="24"/>
        </w:rPr>
        <w:t>opējais ES ne-ETS SEG emisiju apjoms ir jāsamazina par 10 % līdz 2020. gadam un par 30 % līdz 2030. gadam (salīdzinot ar šo ne-ETS darbību SEG emisiju apjomu 2005. gadā).</w:t>
      </w:r>
    </w:p>
    <w:p w14:paraId="25B80B56" w14:textId="31ED0524" w:rsidR="00156ED0" w:rsidRPr="00156ED0" w:rsidRDefault="00156ED0" w:rsidP="001D7EE2">
      <w:pPr>
        <w:spacing w:after="0"/>
        <w:ind w:right="-625" w:firstLine="567"/>
        <w:jc w:val="both"/>
        <w:rPr>
          <w:rFonts w:ascii="Times New Roman" w:hAnsi="Times New Roman" w:cs="Times New Roman"/>
          <w:sz w:val="24"/>
          <w:szCs w:val="24"/>
        </w:rPr>
      </w:pPr>
      <w:r w:rsidRPr="00156ED0">
        <w:rPr>
          <w:rFonts w:ascii="Times New Roman" w:hAnsi="Times New Roman" w:cs="Times New Roman"/>
          <w:sz w:val="24"/>
          <w:szCs w:val="24"/>
        </w:rPr>
        <w:t xml:space="preserve">ES ETS mērķa izpildei ir apstiprināti ES ETS darbības nosacījumi un noteikta ES ETS operatoru atbildība. ES ETS operatoru SEG emisiju apjoma samazināšanas pasākumi </w:t>
      </w:r>
      <w:r>
        <w:rPr>
          <w:rFonts w:ascii="Times New Roman" w:hAnsi="Times New Roman" w:cs="Times New Roman"/>
          <w:sz w:val="24"/>
          <w:szCs w:val="24"/>
        </w:rPr>
        <w:t>tiek noteikti harmonizētā veidā</w:t>
      </w:r>
      <w:r w:rsidRPr="00156ED0">
        <w:rPr>
          <w:rFonts w:ascii="Times New Roman" w:hAnsi="Times New Roman" w:cs="Times New Roman"/>
          <w:sz w:val="24"/>
          <w:szCs w:val="24"/>
        </w:rPr>
        <w:t xml:space="preserve">, un šo pasākumu izstrādi un īstenošanu nodrošina EK kopā ar ES dalībvalstīm, īstenojot </w:t>
      </w:r>
      <w:r w:rsidR="00031A2A">
        <w:rPr>
          <w:rFonts w:ascii="Times New Roman" w:hAnsi="Times New Roman" w:cs="Times New Roman"/>
          <w:sz w:val="24"/>
          <w:szCs w:val="24"/>
        </w:rPr>
        <w:t xml:space="preserve">Direktīvu </w:t>
      </w:r>
      <w:r>
        <w:rPr>
          <w:rFonts w:ascii="Times New Roman" w:hAnsi="Times New Roman" w:cs="Times New Roman"/>
          <w:sz w:val="24"/>
          <w:szCs w:val="24"/>
        </w:rPr>
        <w:t>2003/87/EK</w:t>
      </w:r>
      <w:r w:rsidRPr="00156ED0">
        <w:rPr>
          <w:rFonts w:ascii="Times New Roman" w:hAnsi="Times New Roman" w:cs="Times New Roman"/>
          <w:sz w:val="24"/>
          <w:szCs w:val="24"/>
        </w:rPr>
        <w:t>. ES ETS piedalās arī Latvijas komersanti.</w:t>
      </w:r>
    </w:p>
    <w:p w14:paraId="2097A1DC" w14:textId="4AE27444" w:rsidR="00E45DB8" w:rsidRPr="00E45DB8" w:rsidRDefault="00156ED0" w:rsidP="00CF43E1">
      <w:pPr>
        <w:spacing w:after="0"/>
        <w:ind w:right="-625" w:firstLine="567"/>
        <w:jc w:val="both"/>
        <w:rPr>
          <w:rFonts w:ascii="Times New Roman" w:hAnsi="Times New Roman" w:cs="Times New Roman"/>
          <w:sz w:val="24"/>
          <w:szCs w:val="24"/>
        </w:rPr>
      </w:pPr>
      <w:r w:rsidRPr="00156ED0">
        <w:rPr>
          <w:rFonts w:ascii="Times New Roman" w:hAnsi="Times New Roman" w:cs="Times New Roman"/>
          <w:sz w:val="24"/>
          <w:szCs w:val="24"/>
        </w:rPr>
        <w:t xml:space="preserve">Ne-ETS SEG emisiju samazināšanas mērķa izpildes saistības ir pārdalītas katrai ES dalībvalstij, t.sk. Latvijai. Dalībvalstu ne-ETS mērķi un prasības atbilstības mērķiem nodrošināšanai ir noteikti </w:t>
      </w:r>
      <w:r w:rsidR="00031A2A">
        <w:rPr>
          <w:rFonts w:ascii="Times New Roman" w:hAnsi="Times New Roman" w:cs="Times New Roman"/>
          <w:sz w:val="24"/>
          <w:szCs w:val="24"/>
        </w:rPr>
        <w:t>ES līmenī. P</w:t>
      </w:r>
      <w:r w:rsidRPr="00156ED0">
        <w:rPr>
          <w:rFonts w:ascii="Times New Roman" w:hAnsi="Times New Roman" w:cs="Times New Roman"/>
          <w:sz w:val="24"/>
          <w:szCs w:val="24"/>
        </w:rPr>
        <w:t xml:space="preserve">eriodam līdz 2020. gadam katras ES dalībvalsts mērķis un tā izpildes nosacījumi ir izteikti </w:t>
      </w:r>
      <w:r w:rsidR="00CB5916" w:rsidRPr="00CB5916">
        <w:rPr>
          <w:rFonts w:ascii="Times New Roman" w:hAnsi="Times New Roman" w:cs="Times New Roman"/>
          <w:sz w:val="24"/>
          <w:szCs w:val="24"/>
        </w:rPr>
        <w:t>Eiro</w:t>
      </w:r>
      <w:r w:rsidR="00CB5916">
        <w:rPr>
          <w:rFonts w:ascii="Times New Roman" w:hAnsi="Times New Roman" w:cs="Times New Roman"/>
          <w:sz w:val="24"/>
          <w:szCs w:val="24"/>
        </w:rPr>
        <w:t>pas Parlamenta un Padomes Lēmumā</w:t>
      </w:r>
      <w:r w:rsidR="00CB5916" w:rsidRPr="00CB5916">
        <w:rPr>
          <w:rFonts w:ascii="Times New Roman" w:hAnsi="Times New Roman" w:cs="Times New Roman"/>
          <w:sz w:val="24"/>
          <w:szCs w:val="24"/>
        </w:rPr>
        <w:t xml:space="preserve"> 406/2009/EK par dalībvalstu pasākumiem siltumnīcefektu izraisošu gāzu emisiju samazināšanai, lai izpildītu Kopienas saistības siltumnīcas efektu izraisošu gāzu emisiju samazināšanas jomā līdz 2020. gadam</w:t>
      </w:r>
      <w:r w:rsidR="00CB5916">
        <w:rPr>
          <w:rFonts w:ascii="Times New Roman" w:hAnsi="Times New Roman" w:cs="Times New Roman"/>
          <w:sz w:val="24"/>
          <w:szCs w:val="24"/>
        </w:rPr>
        <w:t>. P</w:t>
      </w:r>
      <w:r w:rsidRPr="00156ED0">
        <w:rPr>
          <w:rFonts w:ascii="Times New Roman" w:hAnsi="Times New Roman" w:cs="Times New Roman"/>
          <w:sz w:val="24"/>
          <w:szCs w:val="24"/>
        </w:rPr>
        <w:t>eriodam no 2021. gada līdz 2030. gadam katras ES dalībvalsts mērķis un tā izpildes nosacījum</w:t>
      </w:r>
      <w:r>
        <w:rPr>
          <w:rFonts w:ascii="Times New Roman" w:hAnsi="Times New Roman" w:cs="Times New Roman"/>
          <w:sz w:val="24"/>
          <w:szCs w:val="24"/>
        </w:rPr>
        <w:t>i ir izteikti E</w:t>
      </w:r>
      <w:r w:rsidR="00E45DB8" w:rsidRPr="00E45DB8">
        <w:rPr>
          <w:rFonts w:ascii="Times New Roman" w:hAnsi="Times New Roman" w:cs="Times New Roman"/>
          <w:sz w:val="24"/>
          <w:szCs w:val="24"/>
        </w:rPr>
        <w:t>iro</w:t>
      </w:r>
      <w:r>
        <w:rPr>
          <w:rFonts w:ascii="Times New Roman" w:hAnsi="Times New Roman" w:cs="Times New Roman"/>
          <w:sz w:val="24"/>
          <w:szCs w:val="24"/>
        </w:rPr>
        <w:t>pas Parlamenta un Padomes Regulā</w:t>
      </w:r>
      <w:r w:rsidR="00E45DB8" w:rsidRPr="00E45DB8">
        <w:rPr>
          <w:rFonts w:ascii="Times New Roman" w:hAnsi="Times New Roman" w:cs="Times New Roman"/>
          <w:sz w:val="24"/>
          <w:szCs w:val="24"/>
        </w:rPr>
        <w:t xml:space="preserve"> 2018/842 par saistošiem ikgadējiem siltumnīcefekta gāzu emisiju samazinājumiem, kas d</w:t>
      </w:r>
      <w:r w:rsidR="00400EC3">
        <w:rPr>
          <w:rFonts w:ascii="Times New Roman" w:hAnsi="Times New Roman" w:cs="Times New Roman"/>
          <w:sz w:val="24"/>
          <w:szCs w:val="24"/>
        </w:rPr>
        <w:t>alībvalstīm jāpanāk no 2021. </w:t>
      </w:r>
      <w:r w:rsidR="00E45DB8" w:rsidRPr="00E45DB8">
        <w:rPr>
          <w:rFonts w:ascii="Times New Roman" w:hAnsi="Times New Roman" w:cs="Times New Roman"/>
          <w:sz w:val="24"/>
          <w:szCs w:val="24"/>
        </w:rPr>
        <w:t>līdz 2030. gadam un kas dod ieguldījumu rīcībā klimata politikas jomā, lai izpildītu Parīzes nolīgumā paredzētās saistības, un ar ko groza Regulu Nr.</w:t>
      </w:r>
      <w:r w:rsidR="004453C8">
        <w:rPr>
          <w:rFonts w:ascii="Times New Roman" w:hAnsi="Times New Roman" w:cs="Times New Roman"/>
          <w:sz w:val="24"/>
          <w:szCs w:val="24"/>
        </w:rPr>
        <w:t> </w:t>
      </w:r>
      <w:r w:rsidR="00E45DB8" w:rsidRPr="00E45DB8">
        <w:rPr>
          <w:rFonts w:ascii="Times New Roman" w:hAnsi="Times New Roman" w:cs="Times New Roman"/>
          <w:sz w:val="24"/>
          <w:szCs w:val="24"/>
        </w:rPr>
        <w:t>525/2013</w:t>
      </w:r>
      <w:r>
        <w:rPr>
          <w:rFonts w:ascii="Times New Roman" w:hAnsi="Times New Roman" w:cs="Times New Roman"/>
          <w:sz w:val="24"/>
          <w:szCs w:val="24"/>
        </w:rPr>
        <w:t xml:space="preserve"> (turpmāk – Regula 2018/842). </w:t>
      </w:r>
      <w:r w:rsidR="00E45DB8" w:rsidRPr="00E45DB8">
        <w:rPr>
          <w:rFonts w:ascii="Times New Roman" w:hAnsi="Times New Roman" w:cs="Times New Roman"/>
          <w:sz w:val="24"/>
          <w:szCs w:val="24"/>
        </w:rPr>
        <w:t>Latvijai</w:t>
      </w:r>
      <w:r w:rsidR="0007227A">
        <w:rPr>
          <w:rFonts w:ascii="Times New Roman" w:hAnsi="Times New Roman" w:cs="Times New Roman"/>
          <w:sz w:val="24"/>
          <w:szCs w:val="24"/>
        </w:rPr>
        <w:t xml:space="preserve"> saskaņā ar Regulas 2018/842 </w:t>
      </w:r>
      <w:r w:rsidR="00487B3E">
        <w:rPr>
          <w:rFonts w:ascii="Times New Roman" w:hAnsi="Times New Roman" w:cs="Times New Roman"/>
          <w:sz w:val="24"/>
          <w:szCs w:val="24"/>
        </w:rPr>
        <w:t>I</w:t>
      </w:r>
      <w:r w:rsidR="004453C8">
        <w:rPr>
          <w:rFonts w:ascii="Times New Roman" w:hAnsi="Times New Roman" w:cs="Times New Roman"/>
          <w:sz w:val="24"/>
          <w:szCs w:val="24"/>
        </w:rPr>
        <w:t> </w:t>
      </w:r>
      <w:r w:rsidR="0007227A">
        <w:rPr>
          <w:rFonts w:ascii="Times New Roman" w:hAnsi="Times New Roman" w:cs="Times New Roman"/>
          <w:sz w:val="24"/>
          <w:szCs w:val="24"/>
        </w:rPr>
        <w:t>pielikumu</w:t>
      </w:r>
      <w:r w:rsidR="00E45DB8" w:rsidRPr="00E45DB8">
        <w:rPr>
          <w:rFonts w:ascii="Times New Roman" w:hAnsi="Times New Roman" w:cs="Times New Roman"/>
          <w:sz w:val="24"/>
          <w:szCs w:val="24"/>
        </w:rPr>
        <w:t xml:space="preserve"> laika periodā līdz 2030. gadam ir jānodrošina SEG emisiju samazinājums </w:t>
      </w:r>
      <w:r w:rsidR="00CF750B">
        <w:rPr>
          <w:rFonts w:ascii="Times New Roman" w:hAnsi="Times New Roman" w:cs="Times New Roman"/>
          <w:sz w:val="24"/>
          <w:szCs w:val="24"/>
        </w:rPr>
        <w:t>līdz</w:t>
      </w:r>
      <w:r w:rsidR="00CF750B" w:rsidRPr="00E45DB8">
        <w:rPr>
          <w:rFonts w:ascii="Times New Roman" w:hAnsi="Times New Roman" w:cs="Times New Roman"/>
          <w:sz w:val="24"/>
          <w:szCs w:val="24"/>
        </w:rPr>
        <w:t xml:space="preserve"> </w:t>
      </w:r>
      <w:r w:rsidR="00E45DB8" w:rsidRPr="00E45DB8">
        <w:rPr>
          <w:rFonts w:ascii="Times New Roman" w:hAnsi="Times New Roman" w:cs="Times New Roman"/>
          <w:sz w:val="24"/>
          <w:szCs w:val="24"/>
        </w:rPr>
        <w:t xml:space="preserve">6% </w:t>
      </w:r>
      <w:r w:rsidR="00CF750B">
        <w:rPr>
          <w:rFonts w:ascii="Times New Roman" w:hAnsi="Times New Roman" w:cs="Times New Roman"/>
          <w:sz w:val="24"/>
          <w:szCs w:val="24"/>
        </w:rPr>
        <w:t xml:space="preserve">samazinājumam </w:t>
      </w:r>
      <w:r w:rsidR="00E45DB8" w:rsidRPr="00E45DB8">
        <w:rPr>
          <w:rFonts w:ascii="Times New Roman" w:hAnsi="Times New Roman" w:cs="Times New Roman"/>
          <w:sz w:val="24"/>
          <w:szCs w:val="24"/>
        </w:rPr>
        <w:t>salīdzinājumā ar 2005</w:t>
      </w:r>
      <w:r w:rsidR="00400EC3">
        <w:rPr>
          <w:rFonts w:ascii="Times New Roman" w:hAnsi="Times New Roman" w:cs="Times New Roman"/>
          <w:sz w:val="24"/>
          <w:szCs w:val="24"/>
        </w:rPr>
        <w:t>. </w:t>
      </w:r>
      <w:r w:rsidR="00CF750B" w:rsidRPr="00E45DB8">
        <w:rPr>
          <w:rFonts w:ascii="Times New Roman" w:hAnsi="Times New Roman" w:cs="Times New Roman"/>
          <w:sz w:val="24"/>
          <w:szCs w:val="24"/>
        </w:rPr>
        <w:t>gad</w:t>
      </w:r>
      <w:r w:rsidR="00CF750B">
        <w:rPr>
          <w:rFonts w:ascii="Times New Roman" w:hAnsi="Times New Roman" w:cs="Times New Roman"/>
          <w:sz w:val="24"/>
          <w:szCs w:val="24"/>
        </w:rPr>
        <w:t>a</w:t>
      </w:r>
      <w:r w:rsidR="00CF750B" w:rsidRPr="00E45DB8">
        <w:rPr>
          <w:rFonts w:ascii="Times New Roman" w:hAnsi="Times New Roman" w:cs="Times New Roman"/>
          <w:sz w:val="24"/>
          <w:szCs w:val="24"/>
        </w:rPr>
        <w:t xml:space="preserve"> </w:t>
      </w:r>
      <w:r>
        <w:rPr>
          <w:rFonts w:ascii="Times New Roman" w:hAnsi="Times New Roman" w:cs="Times New Roman"/>
          <w:sz w:val="24"/>
          <w:szCs w:val="24"/>
        </w:rPr>
        <w:t>ne-ETS SEG emisijām</w:t>
      </w:r>
      <w:r w:rsidR="00E45DB8" w:rsidRPr="00E45DB8">
        <w:rPr>
          <w:rFonts w:ascii="Times New Roman" w:hAnsi="Times New Roman" w:cs="Times New Roman"/>
          <w:sz w:val="24"/>
          <w:szCs w:val="24"/>
        </w:rPr>
        <w:t xml:space="preserve">. </w:t>
      </w:r>
    </w:p>
    <w:p w14:paraId="74293090" w14:textId="1AFE02A7" w:rsidR="007D7741" w:rsidRDefault="00E45DB8" w:rsidP="001D7EE2">
      <w:pPr>
        <w:spacing w:after="0"/>
        <w:ind w:right="-625" w:firstLine="567"/>
        <w:jc w:val="both"/>
        <w:rPr>
          <w:rFonts w:ascii="Times New Roman" w:hAnsi="Times New Roman" w:cs="Times New Roman"/>
          <w:sz w:val="24"/>
          <w:szCs w:val="24"/>
        </w:rPr>
      </w:pPr>
      <w:r w:rsidRPr="00E45DB8">
        <w:rPr>
          <w:rFonts w:ascii="Times New Roman" w:hAnsi="Times New Roman" w:cs="Times New Roman"/>
          <w:sz w:val="24"/>
          <w:szCs w:val="24"/>
        </w:rPr>
        <w:t xml:space="preserve">SEG </w:t>
      </w:r>
      <w:r w:rsidR="007D7741">
        <w:rPr>
          <w:rFonts w:ascii="Times New Roman" w:hAnsi="Times New Roman" w:cs="Times New Roman"/>
          <w:sz w:val="24"/>
          <w:szCs w:val="24"/>
        </w:rPr>
        <w:t>emisiju samazināšanas mērķu izpildē</w:t>
      </w:r>
      <w:r w:rsidRPr="00E45DB8">
        <w:rPr>
          <w:rFonts w:ascii="Times New Roman" w:hAnsi="Times New Roman" w:cs="Times New Roman"/>
          <w:sz w:val="24"/>
          <w:szCs w:val="24"/>
        </w:rPr>
        <w:t xml:space="preserve"> periodā </w:t>
      </w:r>
      <w:r w:rsidR="00337D03">
        <w:rPr>
          <w:rFonts w:ascii="Times New Roman" w:hAnsi="Times New Roman" w:cs="Times New Roman"/>
          <w:sz w:val="24"/>
          <w:szCs w:val="24"/>
        </w:rPr>
        <w:t>no 2021. līdz</w:t>
      </w:r>
      <w:r w:rsidRPr="00E45DB8">
        <w:rPr>
          <w:rFonts w:ascii="Times New Roman" w:hAnsi="Times New Roman" w:cs="Times New Roman"/>
          <w:sz w:val="24"/>
          <w:szCs w:val="24"/>
        </w:rPr>
        <w:t xml:space="preserve"> 2030. gadam</w:t>
      </w:r>
      <w:r w:rsidR="007D7741">
        <w:rPr>
          <w:rFonts w:ascii="Times New Roman" w:hAnsi="Times New Roman" w:cs="Times New Roman"/>
          <w:sz w:val="24"/>
          <w:szCs w:val="24"/>
        </w:rPr>
        <w:t xml:space="preserve"> gan ES ETS, gan ne-ETS sektoros ir nozīmīgi ņemt vērā </w:t>
      </w:r>
      <w:r w:rsidRPr="00E45DB8">
        <w:rPr>
          <w:rFonts w:ascii="Times New Roman" w:hAnsi="Times New Roman" w:cs="Times New Roman"/>
          <w:sz w:val="24"/>
          <w:szCs w:val="24"/>
        </w:rPr>
        <w:t xml:space="preserve">ilgtermiņa kontekstu, jo SEG emisiju samazināšanai nepieciešamā tehnoloģiju un procesu vispusīgā nomaiņa ir jāplāno un jāievieš savlaicīgi. </w:t>
      </w:r>
      <w:r w:rsidR="007D7741">
        <w:rPr>
          <w:rFonts w:ascii="Times New Roman" w:hAnsi="Times New Roman" w:cs="Times New Roman"/>
          <w:sz w:val="24"/>
          <w:szCs w:val="24"/>
        </w:rPr>
        <w:t>Ļoti būtiski ir</w:t>
      </w:r>
      <w:r w:rsidRPr="00E45DB8">
        <w:rPr>
          <w:rFonts w:ascii="Times New Roman" w:hAnsi="Times New Roman" w:cs="Times New Roman"/>
          <w:sz w:val="24"/>
          <w:szCs w:val="24"/>
        </w:rPr>
        <w:t xml:space="preserve"> izvairīties no investīcijām, kas dēļ investīciju perioda atmaksāšanās sagaidīšanas nepieciešamības “iesaldē” Latvijas SEG emisijas. </w:t>
      </w:r>
    </w:p>
    <w:p w14:paraId="3CAD723F" w14:textId="7299F1BC" w:rsidR="00CB5916" w:rsidRDefault="007D7741" w:rsidP="001D7EE2">
      <w:pPr>
        <w:spacing w:after="0"/>
        <w:ind w:right="-625" w:firstLine="567"/>
        <w:jc w:val="both"/>
        <w:rPr>
          <w:rFonts w:ascii="Times New Roman" w:hAnsi="Times New Roman" w:cs="Times New Roman"/>
          <w:sz w:val="24"/>
          <w:szCs w:val="24"/>
        </w:rPr>
      </w:pPr>
      <w:r>
        <w:rPr>
          <w:rFonts w:ascii="Times New Roman" w:hAnsi="Times New Roman" w:cs="Times New Roman"/>
          <w:sz w:val="24"/>
          <w:szCs w:val="24"/>
        </w:rPr>
        <w:t xml:space="preserve">2018. gada 28. novembrī EK nāca klajā ar paziņojumu “Tīru planētu </w:t>
      </w:r>
      <w:r w:rsidRPr="007D7741">
        <w:rPr>
          <w:rFonts w:ascii="Times New Roman" w:hAnsi="Times New Roman" w:cs="Times New Roman"/>
          <w:sz w:val="24"/>
          <w:szCs w:val="24"/>
        </w:rPr>
        <w:t xml:space="preserve">visiem! Stratēģisks Eiropas ilgtermiņa redzējums par pārticīgu, modernu, konkurētspējīgu un </w:t>
      </w:r>
      <w:proofErr w:type="spellStart"/>
      <w:r w:rsidRPr="007D7741">
        <w:rPr>
          <w:rFonts w:ascii="Times New Roman" w:hAnsi="Times New Roman" w:cs="Times New Roman"/>
          <w:sz w:val="24"/>
          <w:szCs w:val="24"/>
        </w:rPr>
        <w:t>klimatneitrālu</w:t>
      </w:r>
      <w:proofErr w:type="spellEnd"/>
      <w:r w:rsidRPr="007D7741">
        <w:rPr>
          <w:rFonts w:ascii="Times New Roman" w:hAnsi="Times New Roman" w:cs="Times New Roman"/>
          <w:sz w:val="24"/>
          <w:szCs w:val="24"/>
        </w:rPr>
        <w:t xml:space="preserve"> ekonomiku</w:t>
      </w:r>
      <w:r>
        <w:rPr>
          <w:rFonts w:ascii="Times New Roman" w:hAnsi="Times New Roman" w:cs="Times New Roman"/>
          <w:sz w:val="24"/>
          <w:szCs w:val="24"/>
        </w:rPr>
        <w:t>”</w:t>
      </w:r>
      <w:r w:rsidR="00CB5916">
        <w:rPr>
          <w:rFonts w:ascii="Times New Roman" w:hAnsi="Times New Roman" w:cs="Times New Roman"/>
          <w:sz w:val="24"/>
          <w:szCs w:val="24"/>
        </w:rPr>
        <w:t xml:space="preserve"> (turpmāk – EK p</w:t>
      </w:r>
      <w:r w:rsidR="006C502C">
        <w:rPr>
          <w:rFonts w:ascii="Times New Roman" w:hAnsi="Times New Roman" w:cs="Times New Roman"/>
          <w:sz w:val="24"/>
          <w:szCs w:val="24"/>
        </w:rPr>
        <w:t>a</w:t>
      </w:r>
      <w:r w:rsidR="00CB5916">
        <w:rPr>
          <w:rFonts w:ascii="Times New Roman" w:hAnsi="Times New Roman" w:cs="Times New Roman"/>
          <w:sz w:val="24"/>
          <w:szCs w:val="24"/>
        </w:rPr>
        <w:t>ziņojums</w:t>
      </w:r>
      <w:r w:rsidR="00CF750B">
        <w:rPr>
          <w:rFonts w:ascii="Times New Roman" w:hAnsi="Times New Roman" w:cs="Times New Roman"/>
          <w:sz w:val="24"/>
          <w:szCs w:val="24"/>
        </w:rPr>
        <w:t>). Tajā</w:t>
      </w:r>
      <w:r>
        <w:rPr>
          <w:rFonts w:ascii="Times New Roman" w:hAnsi="Times New Roman" w:cs="Times New Roman"/>
          <w:sz w:val="24"/>
          <w:szCs w:val="24"/>
        </w:rPr>
        <w:t xml:space="preserve"> ir </w:t>
      </w:r>
      <w:r w:rsidR="003F6A1F">
        <w:rPr>
          <w:rFonts w:ascii="Times New Roman" w:hAnsi="Times New Roman" w:cs="Times New Roman"/>
          <w:sz w:val="24"/>
          <w:szCs w:val="24"/>
        </w:rPr>
        <w:t>izklāstīts redzējums</w:t>
      </w:r>
      <w:r w:rsidR="00CF750B">
        <w:rPr>
          <w:rFonts w:ascii="Times New Roman" w:hAnsi="Times New Roman" w:cs="Times New Roman"/>
          <w:sz w:val="24"/>
          <w:szCs w:val="24"/>
        </w:rPr>
        <w:t xml:space="preserve"> par to</w:t>
      </w:r>
      <w:r w:rsidR="003F6A1F">
        <w:rPr>
          <w:rFonts w:ascii="Times New Roman" w:hAnsi="Times New Roman" w:cs="Times New Roman"/>
          <w:sz w:val="24"/>
          <w:szCs w:val="24"/>
        </w:rPr>
        <w:t>, kādā</w:t>
      </w:r>
      <w:r w:rsidR="00E45DB8" w:rsidRPr="00E45DB8">
        <w:rPr>
          <w:rFonts w:ascii="Times New Roman" w:hAnsi="Times New Roman" w:cs="Times New Roman"/>
          <w:sz w:val="24"/>
          <w:szCs w:val="24"/>
        </w:rPr>
        <w:t xml:space="preserve"> </w:t>
      </w:r>
      <w:r w:rsidR="00CF750B">
        <w:rPr>
          <w:rFonts w:ascii="Times New Roman" w:hAnsi="Times New Roman" w:cs="Times New Roman"/>
          <w:sz w:val="24"/>
          <w:szCs w:val="24"/>
        </w:rPr>
        <w:t xml:space="preserve">veidā </w:t>
      </w:r>
      <w:r>
        <w:rPr>
          <w:rFonts w:ascii="Times New Roman" w:hAnsi="Times New Roman" w:cs="Times New Roman"/>
          <w:sz w:val="24"/>
          <w:szCs w:val="24"/>
        </w:rPr>
        <w:t xml:space="preserve">ES </w:t>
      </w:r>
      <w:r w:rsidR="00E45DB8" w:rsidRPr="00E45DB8">
        <w:rPr>
          <w:rFonts w:ascii="Times New Roman" w:hAnsi="Times New Roman" w:cs="Times New Roman"/>
          <w:sz w:val="24"/>
          <w:szCs w:val="24"/>
        </w:rPr>
        <w:t xml:space="preserve">līdz 2050. gadam </w:t>
      </w:r>
      <w:r w:rsidR="003F6A1F">
        <w:rPr>
          <w:rFonts w:ascii="Times New Roman" w:hAnsi="Times New Roman" w:cs="Times New Roman"/>
          <w:sz w:val="24"/>
          <w:szCs w:val="24"/>
        </w:rPr>
        <w:t xml:space="preserve">būtu iespējams </w:t>
      </w:r>
      <w:r w:rsidR="00E45DB8" w:rsidRPr="00E45DB8">
        <w:rPr>
          <w:rFonts w:ascii="Times New Roman" w:hAnsi="Times New Roman" w:cs="Times New Roman"/>
          <w:sz w:val="24"/>
          <w:szCs w:val="24"/>
        </w:rPr>
        <w:t>sasniegt klimata neitralitāti</w:t>
      </w:r>
      <w:r w:rsidR="003F6A1F">
        <w:rPr>
          <w:rFonts w:ascii="Times New Roman" w:hAnsi="Times New Roman" w:cs="Times New Roman"/>
          <w:sz w:val="24"/>
          <w:szCs w:val="24"/>
        </w:rPr>
        <w:t xml:space="preserve">. Klimata neitralitāte saskaņā ar EK redzējumu nozīmē, ka </w:t>
      </w:r>
      <w:r w:rsidR="00E45DB8" w:rsidRPr="00E45DB8">
        <w:rPr>
          <w:rFonts w:ascii="Times New Roman" w:hAnsi="Times New Roman" w:cs="Times New Roman"/>
          <w:sz w:val="24"/>
          <w:szCs w:val="24"/>
        </w:rPr>
        <w:t xml:space="preserve">SEG emisijas tiek līdzsvarotas ar </w:t>
      </w:r>
      <w:r w:rsidR="006C502C">
        <w:rPr>
          <w:rFonts w:ascii="Times New Roman" w:hAnsi="Times New Roman" w:cs="Times New Roman"/>
          <w:sz w:val="24"/>
          <w:szCs w:val="24"/>
        </w:rPr>
        <w:t>oglekļa dioksīda</w:t>
      </w:r>
      <w:r w:rsidR="00E45DB8" w:rsidRPr="00E45DB8">
        <w:rPr>
          <w:rFonts w:ascii="Times New Roman" w:hAnsi="Times New Roman" w:cs="Times New Roman"/>
          <w:sz w:val="24"/>
          <w:szCs w:val="24"/>
        </w:rPr>
        <w:t xml:space="preserve"> </w:t>
      </w:r>
      <w:r w:rsidR="0051276A">
        <w:rPr>
          <w:rFonts w:ascii="Times New Roman" w:hAnsi="Times New Roman" w:cs="Times New Roman"/>
          <w:sz w:val="24"/>
          <w:szCs w:val="24"/>
        </w:rPr>
        <w:t>(turpmāk – CO</w:t>
      </w:r>
      <w:r w:rsidR="0051276A" w:rsidRPr="00E25EF5">
        <w:rPr>
          <w:rFonts w:ascii="Times New Roman" w:hAnsi="Times New Roman" w:cs="Times New Roman"/>
          <w:sz w:val="24"/>
          <w:szCs w:val="24"/>
          <w:vertAlign w:val="subscript"/>
        </w:rPr>
        <w:t>2</w:t>
      </w:r>
      <w:r w:rsidR="0051276A">
        <w:rPr>
          <w:rFonts w:ascii="Times New Roman" w:hAnsi="Times New Roman" w:cs="Times New Roman"/>
          <w:sz w:val="24"/>
          <w:szCs w:val="24"/>
        </w:rPr>
        <w:t xml:space="preserve">) </w:t>
      </w:r>
      <w:r w:rsidR="00E45DB8" w:rsidRPr="00E45DB8">
        <w:rPr>
          <w:rFonts w:ascii="Times New Roman" w:hAnsi="Times New Roman" w:cs="Times New Roman"/>
          <w:sz w:val="24"/>
          <w:szCs w:val="24"/>
        </w:rPr>
        <w:t xml:space="preserve">piesaisti vai </w:t>
      </w:r>
      <w:r w:rsidR="0051276A">
        <w:rPr>
          <w:rFonts w:ascii="Times New Roman" w:hAnsi="Times New Roman" w:cs="Times New Roman"/>
          <w:sz w:val="24"/>
          <w:szCs w:val="24"/>
        </w:rPr>
        <w:t>CO</w:t>
      </w:r>
      <w:r w:rsidR="0051276A" w:rsidRPr="00E25EF5">
        <w:rPr>
          <w:rFonts w:ascii="Times New Roman" w:hAnsi="Times New Roman" w:cs="Times New Roman"/>
          <w:sz w:val="24"/>
          <w:szCs w:val="24"/>
          <w:vertAlign w:val="subscript"/>
        </w:rPr>
        <w:t>2</w:t>
      </w:r>
      <w:r w:rsidR="006C502C">
        <w:rPr>
          <w:rFonts w:ascii="Times New Roman" w:hAnsi="Times New Roman" w:cs="Times New Roman"/>
          <w:sz w:val="24"/>
          <w:szCs w:val="24"/>
        </w:rPr>
        <w:t xml:space="preserve"> </w:t>
      </w:r>
      <w:r w:rsidR="00E45DB8" w:rsidRPr="00E45DB8">
        <w:rPr>
          <w:rFonts w:ascii="Times New Roman" w:hAnsi="Times New Roman" w:cs="Times New Roman"/>
          <w:sz w:val="24"/>
          <w:szCs w:val="24"/>
        </w:rPr>
        <w:t xml:space="preserve">uztveršanas un uzglabāšanas tehnoloģijām. </w:t>
      </w:r>
    </w:p>
    <w:p w14:paraId="6402F71B" w14:textId="66FA0A52" w:rsidR="00BA5A6F" w:rsidRDefault="001E72EC" w:rsidP="001D7EE2">
      <w:pPr>
        <w:spacing w:after="0"/>
        <w:ind w:right="-625" w:firstLine="567"/>
        <w:jc w:val="both"/>
        <w:rPr>
          <w:rFonts w:ascii="Times New Roman" w:hAnsi="Times New Roman" w:cs="Times New Roman"/>
          <w:sz w:val="24"/>
          <w:szCs w:val="24"/>
        </w:rPr>
      </w:pPr>
      <w:r>
        <w:rPr>
          <w:rFonts w:ascii="Times New Roman" w:hAnsi="Times New Roman" w:cs="Times New Roman"/>
          <w:sz w:val="24"/>
          <w:szCs w:val="24"/>
        </w:rPr>
        <w:lastRenderedPageBreak/>
        <w:t>EK paziņojum</w:t>
      </w:r>
      <w:r w:rsidR="00BA5A6F">
        <w:rPr>
          <w:rFonts w:ascii="Times New Roman" w:hAnsi="Times New Roman" w:cs="Times New Roman"/>
          <w:sz w:val="24"/>
          <w:szCs w:val="24"/>
        </w:rPr>
        <w:t xml:space="preserve">ā </w:t>
      </w:r>
      <w:r w:rsidR="003F377C">
        <w:rPr>
          <w:rFonts w:ascii="Times New Roman" w:hAnsi="Times New Roman" w:cs="Times New Roman"/>
          <w:sz w:val="24"/>
          <w:szCs w:val="24"/>
        </w:rPr>
        <w:t xml:space="preserve">tiek </w:t>
      </w:r>
      <w:r w:rsidR="003F377C" w:rsidRPr="003F377C">
        <w:rPr>
          <w:rFonts w:ascii="Times New Roman" w:hAnsi="Times New Roman" w:cs="Times New Roman"/>
          <w:sz w:val="24"/>
          <w:szCs w:val="24"/>
        </w:rPr>
        <w:t>aplūkoti astoņi scenāriji SEG e</w:t>
      </w:r>
      <w:r w:rsidR="00400EC3">
        <w:rPr>
          <w:rFonts w:ascii="Times New Roman" w:hAnsi="Times New Roman" w:cs="Times New Roman"/>
          <w:sz w:val="24"/>
          <w:szCs w:val="24"/>
        </w:rPr>
        <w:t>misiju samazinājumam līdz 2050. </w:t>
      </w:r>
      <w:r w:rsidR="003F377C" w:rsidRPr="003F377C">
        <w:rPr>
          <w:rFonts w:ascii="Times New Roman" w:hAnsi="Times New Roman" w:cs="Times New Roman"/>
          <w:sz w:val="24"/>
          <w:szCs w:val="24"/>
        </w:rPr>
        <w:t>gadam</w:t>
      </w:r>
      <w:r w:rsidR="003F377C">
        <w:rPr>
          <w:rFonts w:ascii="Times New Roman" w:hAnsi="Times New Roman" w:cs="Times New Roman"/>
          <w:sz w:val="24"/>
          <w:szCs w:val="24"/>
        </w:rPr>
        <w:t xml:space="preserve">, un visi izvērtētie scenāriji paredz, ka līdz 2050. gadam notiks plaša energosistēmas elektrifikācija, ko virzīs atjaunojamo energoresursu (turpmāk – AER) praktiska pielietošana. </w:t>
      </w:r>
    </w:p>
    <w:p w14:paraId="4A76166F" w14:textId="69A4A5A7" w:rsidR="00CB5916" w:rsidRDefault="001E72EC" w:rsidP="001D7EE2">
      <w:pPr>
        <w:spacing w:after="0"/>
        <w:ind w:right="-625" w:firstLine="567"/>
        <w:jc w:val="both"/>
        <w:rPr>
          <w:rFonts w:ascii="Times New Roman" w:hAnsi="Times New Roman" w:cs="Times New Roman"/>
          <w:sz w:val="24"/>
          <w:szCs w:val="24"/>
        </w:rPr>
      </w:pPr>
      <w:r>
        <w:rPr>
          <w:rFonts w:ascii="Times New Roman" w:hAnsi="Times New Roman" w:cs="Times New Roman"/>
          <w:sz w:val="24"/>
          <w:szCs w:val="24"/>
        </w:rPr>
        <w:t xml:space="preserve">EK paziņojumā ir teikts, ka tehnoloģiskās iespējas enerģētikas sektora dekarbonizācijai ir </w:t>
      </w:r>
      <w:r w:rsidR="005B58DC">
        <w:rPr>
          <w:rFonts w:ascii="Times New Roman" w:hAnsi="Times New Roman" w:cs="Times New Roman"/>
          <w:sz w:val="24"/>
          <w:szCs w:val="24"/>
        </w:rPr>
        <w:t xml:space="preserve">jau šobrīd </w:t>
      </w:r>
      <w:r>
        <w:rPr>
          <w:rFonts w:ascii="Times New Roman" w:hAnsi="Times New Roman" w:cs="Times New Roman"/>
          <w:sz w:val="24"/>
          <w:szCs w:val="24"/>
        </w:rPr>
        <w:t xml:space="preserve">pieejamas tirgū. Šobrīd pieejamie </w:t>
      </w:r>
      <w:r w:rsidR="003F377C">
        <w:rPr>
          <w:rFonts w:ascii="Times New Roman" w:hAnsi="Times New Roman" w:cs="Times New Roman"/>
          <w:sz w:val="24"/>
          <w:szCs w:val="24"/>
        </w:rPr>
        <w:t>AER</w:t>
      </w:r>
      <w:r>
        <w:rPr>
          <w:rFonts w:ascii="Times New Roman" w:hAnsi="Times New Roman" w:cs="Times New Roman"/>
          <w:sz w:val="24"/>
          <w:szCs w:val="24"/>
        </w:rPr>
        <w:t>, kas izmantojami vai nu elektroenerģijas vai siltum</w:t>
      </w:r>
      <w:r w:rsidR="005B58DC">
        <w:rPr>
          <w:rFonts w:ascii="Times New Roman" w:hAnsi="Times New Roman" w:cs="Times New Roman"/>
          <w:sz w:val="24"/>
          <w:szCs w:val="24"/>
        </w:rPr>
        <w:t>a</w:t>
      </w:r>
      <w:r>
        <w:rPr>
          <w:rFonts w:ascii="Times New Roman" w:hAnsi="Times New Roman" w:cs="Times New Roman"/>
          <w:sz w:val="24"/>
          <w:szCs w:val="24"/>
        </w:rPr>
        <w:t xml:space="preserve"> ražošanai vai kā kurināmais</w:t>
      </w:r>
      <w:r w:rsidR="006C502C">
        <w:rPr>
          <w:rFonts w:ascii="Times New Roman" w:hAnsi="Times New Roman" w:cs="Times New Roman"/>
          <w:sz w:val="24"/>
          <w:szCs w:val="24"/>
        </w:rPr>
        <w:t>,</w:t>
      </w:r>
      <w:r>
        <w:rPr>
          <w:rFonts w:ascii="Times New Roman" w:hAnsi="Times New Roman" w:cs="Times New Roman"/>
          <w:sz w:val="24"/>
          <w:szCs w:val="24"/>
        </w:rPr>
        <w:t xml:space="preserve"> ir vējš, saule, ģeotermālā enerģija, plūdmaiņas, viļņu un cita okeāna enerģija, hidroelektroenerģija, biomasa, atkritumu gāze, notekūdeņu attīrīšanas </w:t>
      </w:r>
      <w:r w:rsidR="005B58DC">
        <w:rPr>
          <w:rFonts w:ascii="Times New Roman" w:hAnsi="Times New Roman" w:cs="Times New Roman"/>
          <w:sz w:val="24"/>
          <w:szCs w:val="24"/>
        </w:rPr>
        <w:t>iekārtu</w:t>
      </w:r>
      <w:r>
        <w:rPr>
          <w:rFonts w:ascii="Times New Roman" w:hAnsi="Times New Roman" w:cs="Times New Roman"/>
          <w:sz w:val="24"/>
          <w:szCs w:val="24"/>
        </w:rPr>
        <w:t xml:space="preserve"> gāze un biogāze. </w:t>
      </w:r>
      <w:r w:rsidR="0008597A">
        <w:rPr>
          <w:rFonts w:ascii="Times New Roman" w:hAnsi="Times New Roman" w:cs="Times New Roman"/>
          <w:sz w:val="24"/>
          <w:szCs w:val="24"/>
        </w:rPr>
        <w:t>EK paziņojumā visos apskatītajos scenārijos</w:t>
      </w:r>
      <w:r w:rsidR="005B58DC">
        <w:rPr>
          <w:rFonts w:ascii="Times New Roman" w:hAnsi="Times New Roman" w:cs="Times New Roman"/>
          <w:sz w:val="24"/>
          <w:szCs w:val="24"/>
        </w:rPr>
        <w:t xml:space="preserve"> tiek pieņemts, ka līdz 2050. gadam notiks plaša apmēra elektrifikācija, ko virzīs AER izmantošanas palielināšanās. Līdz 2050. gadam tiek prognozēts, ka ES elektrības apjoms kopējā enerģijas pieprasījumā dubultosies, tam sasniedzot 53%. </w:t>
      </w:r>
    </w:p>
    <w:p w14:paraId="6B38F4A1" w14:textId="3D53119C" w:rsidR="00E45DB8" w:rsidRDefault="00E45DB8" w:rsidP="001D7EE2">
      <w:pPr>
        <w:spacing w:after="0"/>
        <w:ind w:right="-625" w:firstLine="567"/>
        <w:jc w:val="both"/>
        <w:rPr>
          <w:rFonts w:ascii="Times New Roman" w:hAnsi="Times New Roman" w:cs="Times New Roman"/>
          <w:sz w:val="24"/>
          <w:szCs w:val="24"/>
        </w:rPr>
      </w:pPr>
      <w:r w:rsidRPr="00E45DB8">
        <w:rPr>
          <w:rFonts w:ascii="Times New Roman" w:hAnsi="Times New Roman" w:cs="Times New Roman"/>
          <w:sz w:val="24"/>
          <w:szCs w:val="24"/>
        </w:rPr>
        <w:t>Parīzes nolīgum</w:t>
      </w:r>
      <w:r w:rsidR="0007227A">
        <w:rPr>
          <w:rFonts w:ascii="Times New Roman" w:hAnsi="Times New Roman" w:cs="Times New Roman"/>
          <w:sz w:val="24"/>
          <w:szCs w:val="24"/>
        </w:rPr>
        <w:t>a 14. pants</w:t>
      </w:r>
      <w:r w:rsidRPr="00E45DB8">
        <w:rPr>
          <w:rFonts w:ascii="Times New Roman" w:hAnsi="Times New Roman" w:cs="Times New Roman"/>
          <w:sz w:val="24"/>
          <w:szCs w:val="24"/>
        </w:rPr>
        <w:t xml:space="preserve"> nosaka nepieciešamību pēc regulāras progresa izvērtēšanas</w:t>
      </w:r>
      <w:r w:rsidR="0007227A">
        <w:rPr>
          <w:rFonts w:ascii="Times New Roman" w:hAnsi="Times New Roman" w:cs="Times New Roman"/>
          <w:sz w:val="24"/>
          <w:szCs w:val="24"/>
        </w:rPr>
        <w:t>. Progresa izvērtēšanas iznākums sniegs informāciju valstīm ambīciju atjaunošanā un paaugstināšanā</w:t>
      </w:r>
      <w:r w:rsidRPr="00E45DB8">
        <w:rPr>
          <w:rFonts w:ascii="Times New Roman" w:hAnsi="Times New Roman" w:cs="Times New Roman"/>
          <w:sz w:val="24"/>
          <w:szCs w:val="24"/>
        </w:rPr>
        <w:t xml:space="preserve">. Tādējādi, </w:t>
      </w:r>
      <w:r w:rsidR="003F6A1F">
        <w:rPr>
          <w:rFonts w:ascii="Times New Roman" w:hAnsi="Times New Roman" w:cs="Times New Roman"/>
          <w:sz w:val="24"/>
          <w:szCs w:val="24"/>
        </w:rPr>
        <w:t xml:space="preserve">pieņemot lēmumus, kas ietekmēs Latvijas SEG emisijas </w:t>
      </w:r>
      <w:r w:rsidRPr="00E45DB8">
        <w:rPr>
          <w:rFonts w:ascii="Times New Roman" w:hAnsi="Times New Roman" w:cs="Times New Roman"/>
          <w:sz w:val="24"/>
          <w:szCs w:val="24"/>
        </w:rPr>
        <w:t>2021</w:t>
      </w:r>
      <w:r w:rsidR="003F6A1F">
        <w:rPr>
          <w:rFonts w:ascii="Times New Roman" w:hAnsi="Times New Roman" w:cs="Times New Roman"/>
          <w:sz w:val="24"/>
          <w:szCs w:val="24"/>
        </w:rPr>
        <w:t xml:space="preserve">. </w:t>
      </w:r>
      <w:r w:rsidRPr="00E45DB8">
        <w:rPr>
          <w:rFonts w:ascii="Times New Roman" w:hAnsi="Times New Roman" w:cs="Times New Roman"/>
          <w:sz w:val="24"/>
          <w:szCs w:val="24"/>
        </w:rPr>
        <w:t>-</w:t>
      </w:r>
      <w:r w:rsidR="003F6A1F">
        <w:rPr>
          <w:rFonts w:ascii="Times New Roman" w:hAnsi="Times New Roman" w:cs="Times New Roman"/>
          <w:sz w:val="24"/>
          <w:szCs w:val="24"/>
        </w:rPr>
        <w:t xml:space="preserve"> 2030. gada periodā, ir nepieciešams ņemt vērā, ka ES un globālā mērogā SEG emisiju samazināšanas mērķi kļūs arvien ambiciozāki un elastības vai atbalsts SEG emisiju intensīvām nozarēm ilgtermiņā nebūs pieejams.</w:t>
      </w:r>
    </w:p>
    <w:p w14:paraId="6C207FAE" w14:textId="77777777" w:rsidR="00C1003A" w:rsidRDefault="00C1003A" w:rsidP="001D7EE2">
      <w:pPr>
        <w:spacing w:after="0"/>
        <w:ind w:right="-625" w:firstLine="567"/>
        <w:jc w:val="both"/>
        <w:rPr>
          <w:rFonts w:ascii="Times New Roman" w:hAnsi="Times New Roman" w:cs="Times New Roman"/>
          <w:sz w:val="24"/>
          <w:szCs w:val="24"/>
        </w:rPr>
      </w:pPr>
    </w:p>
    <w:p w14:paraId="45D9C807" w14:textId="77777777" w:rsidR="00E25EF5" w:rsidRPr="00E45DB8" w:rsidRDefault="00E25EF5" w:rsidP="001D7EE2">
      <w:pPr>
        <w:spacing w:after="0"/>
        <w:ind w:right="-625" w:firstLine="567"/>
        <w:jc w:val="both"/>
        <w:rPr>
          <w:rFonts w:ascii="Times New Roman" w:hAnsi="Times New Roman" w:cs="Times New Roman"/>
          <w:sz w:val="24"/>
          <w:szCs w:val="24"/>
        </w:rPr>
      </w:pPr>
    </w:p>
    <w:p w14:paraId="030DA91F" w14:textId="77777777" w:rsidR="00E20FE4" w:rsidRDefault="003F6A1F" w:rsidP="001D7EE2">
      <w:pPr>
        <w:pStyle w:val="Heading2"/>
        <w:spacing w:before="0"/>
      </w:pPr>
      <w:bookmarkStart w:id="3" w:name="_Toc5694311"/>
      <w:r>
        <w:t xml:space="preserve">2.2. Nosacījumi </w:t>
      </w:r>
      <w:proofErr w:type="spellStart"/>
      <w:r>
        <w:t>derogācijas</w:t>
      </w:r>
      <w:proofErr w:type="spellEnd"/>
      <w:r>
        <w:t xml:space="preserve"> izmantošanai</w:t>
      </w:r>
      <w:bookmarkEnd w:id="3"/>
    </w:p>
    <w:p w14:paraId="3E1DBBA4" w14:textId="4B3E0DDB" w:rsidR="00BA1427" w:rsidRPr="00AD1058" w:rsidRDefault="00BA1427" w:rsidP="001D7EE2">
      <w:pPr>
        <w:spacing w:after="0"/>
        <w:ind w:right="-625" w:firstLine="567"/>
        <w:jc w:val="both"/>
        <w:rPr>
          <w:rFonts w:ascii="Times New Roman" w:hAnsi="Times New Roman" w:cs="Times New Roman"/>
          <w:sz w:val="24"/>
          <w:szCs w:val="24"/>
        </w:rPr>
      </w:pPr>
      <w:r>
        <w:rPr>
          <w:rFonts w:ascii="Times New Roman" w:hAnsi="Times New Roman" w:cs="Times New Roman"/>
          <w:sz w:val="24"/>
          <w:szCs w:val="24"/>
        </w:rPr>
        <w:t>ES ETS mērķis ir palīdzēt ES dalībvalstīm sasniegt SEG emisiju samazināšana</w:t>
      </w:r>
      <w:r w:rsidR="00CA4A1A">
        <w:rPr>
          <w:rFonts w:ascii="Times New Roman" w:hAnsi="Times New Roman" w:cs="Times New Roman"/>
          <w:sz w:val="24"/>
          <w:szCs w:val="24"/>
        </w:rPr>
        <w:t>s</w:t>
      </w:r>
      <w:r>
        <w:rPr>
          <w:rFonts w:ascii="Times New Roman" w:hAnsi="Times New Roman" w:cs="Times New Roman"/>
          <w:sz w:val="24"/>
          <w:szCs w:val="24"/>
        </w:rPr>
        <w:t xml:space="preserve"> </w:t>
      </w:r>
      <w:r w:rsidR="00CA4A1A">
        <w:rPr>
          <w:rFonts w:ascii="Times New Roman" w:hAnsi="Times New Roman" w:cs="Times New Roman"/>
          <w:sz w:val="24"/>
          <w:szCs w:val="24"/>
        </w:rPr>
        <w:t xml:space="preserve">mērķus </w:t>
      </w:r>
      <w:r>
        <w:rPr>
          <w:rFonts w:ascii="Times New Roman" w:hAnsi="Times New Roman" w:cs="Times New Roman"/>
          <w:sz w:val="24"/>
          <w:szCs w:val="24"/>
        </w:rPr>
        <w:t xml:space="preserve">izmaksu efektīvā veidā. ES ETS ir ES klimata pārmaiņu mazināšanas politikas stūrakmens. ES </w:t>
      </w:r>
      <w:r w:rsidRPr="003F377C">
        <w:rPr>
          <w:rFonts w:ascii="Times New Roman" w:hAnsi="Times New Roman" w:cs="Times New Roman"/>
          <w:sz w:val="24"/>
          <w:szCs w:val="24"/>
        </w:rPr>
        <w:t>līmenī ES ETS aptver vairāk kā 10 000 iekārtu enerģētikas un ražošanas sektoros, kas kopumā ir atbildīgi par ap 40% ES S</w:t>
      </w:r>
      <w:r w:rsidRPr="00B46F07">
        <w:rPr>
          <w:rFonts w:ascii="Times New Roman" w:hAnsi="Times New Roman" w:cs="Times New Roman"/>
          <w:sz w:val="24"/>
          <w:szCs w:val="24"/>
        </w:rPr>
        <w:t>EG emisijām. ES ETS darbību ES un Latvijā uzsāka 2005.</w:t>
      </w:r>
      <w:r w:rsidRPr="00434CAB">
        <w:rPr>
          <w:rFonts w:ascii="Times New Roman" w:hAnsi="Times New Roman" w:cs="Times New Roman"/>
          <w:sz w:val="24"/>
          <w:szCs w:val="24"/>
        </w:rPr>
        <w:t xml:space="preserve"> gada 1. </w:t>
      </w:r>
      <w:r w:rsidRPr="0064208C">
        <w:rPr>
          <w:rFonts w:ascii="Times New Roman" w:hAnsi="Times New Roman" w:cs="Times New Roman"/>
          <w:sz w:val="24"/>
          <w:szCs w:val="24"/>
        </w:rPr>
        <w:t xml:space="preserve">janvārī. </w:t>
      </w:r>
      <w:r w:rsidR="00CA4A1A" w:rsidRPr="003F377C">
        <w:rPr>
          <w:rFonts w:ascii="Times New Roman" w:hAnsi="Times New Roman" w:cs="Times New Roman"/>
          <w:sz w:val="24"/>
          <w:szCs w:val="24"/>
        </w:rPr>
        <w:t xml:space="preserve">ES ETS darbība notiek </w:t>
      </w:r>
      <w:r w:rsidRPr="003F377C">
        <w:rPr>
          <w:rFonts w:ascii="Times New Roman" w:hAnsi="Times New Roman" w:cs="Times New Roman"/>
          <w:sz w:val="24"/>
          <w:szCs w:val="24"/>
        </w:rPr>
        <w:t>vairākos periodos</w:t>
      </w:r>
      <w:r w:rsidR="008227BA" w:rsidRPr="003F377C">
        <w:rPr>
          <w:rFonts w:ascii="Times New Roman" w:hAnsi="Times New Roman" w:cs="Times New Roman"/>
          <w:sz w:val="24"/>
          <w:szCs w:val="24"/>
        </w:rPr>
        <w:t xml:space="preserve">: </w:t>
      </w:r>
      <w:r w:rsidRPr="00A93673">
        <w:rPr>
          <w:rFonts w:ascii="Times New Roman" w:hAnsi="Times New Roman" w:cs="Times New Roman"/>
          <w:sz w:val="24"/>
          <w:szCs w:val="24"/>
        </w:rPr>
        <w:t xml:space="preserve">2005. </w:t>
      </w:r>
      <w:r w:rsidR="00CA6C65">
        <w:rPr>
          <w:rFonts w:ascii="Times New Roman" w:hAnsi="Times New Roman" w:cs="Times New Roman"/>
          <w:sz w:val="24"/>
          <w:szCs w:val="24"/>
        </w:rPr>
        <w:t>–</w:t>
      </w:r>
      <w:r w:rsidRPr="00A93673">
        <w:rPr>
          <w:rFonts w:ascii="Times New Roman" w:hAnsi="Times New Roman" w:cs="Times New Roman"/>
          <w:sz w:val="24"/>
          <w:szCs w:val="24"/>
        </w:rPr>
        <w:t xml:space="preserve"> 2007.</w:t>
      </w:r>
      <w:r w:rsidR="008227BA" w:rsidRPr="00A93673">
        <w:rPr>
          <w:rFonts w:ascii="Times New Roman" w:hAnsi="Times New Roman" w:cs="Times New Roman"/>
          <w:sz w:val="24"/>
          <w:szCs w:val="24"/>
        </w:rPr>
        <w:t> </w:t>
      </w:r>
      <w:r w:rsidRPr="00A93673">
        <w:rPr>
          <w:rFonts w:ascii="Times New Roman" w:hAnsi="Times New Roman" w:cs="Times New Roman"/>
          <w:sz w:val="24"/>
          <w:szCs w:val="24"/>
        </w:rPr>
        <w:t xml:space="preserve">gada periods, 2008. </w:t>
      </w:r>
      <w:r w:rsidR="00CA6C65">
        <w:rPr>
          <w:rFonts w:ascii="Times New Roman" w:hAnsi="Times New Roman" w:cs="Times New Roman"/>
          <w:sz w:val="24"/>
          <w:szCs w:val="24"/>
        </w:rPr>
        <w:t>–</w:t>
      </w:r>
      <w:r w:rsidRPr="00A93673">
        <w:rPr>
          <w:rFonts w:ascii="Times New Roman" w:hAnsi="Times New Roman" w:cs="Times New Roman"/>
          <w:sz w:val="24"/>
          <w:szCs w:val="24"/>
        </w:rPr>
        <w:t xml:space="preserve"> 2012. gada periods, 2013. </w:t>
      </w:r>
      <w:r w:rsidR="00CA6C65">
        <w:rPr>
          <w:rFonts w:ascii="Times New Roman" w:hAnsi="Times New Roman" w:cs="Times New Roman"/>
          <w:sz w:val="24"/>
          <w:szCs w:val="24"/>
        </w:rPr>
        <w:t xml:space="preserve">– </w:t>
      </w:r>
      <w:r w:rsidRPr="00A93673">
        <w:rPr>
          <w:rFonts w:ascii="Times New Roman" w:hAnsi="Times New Roman" w:cs="Times New Roman"/>
          <w:sz w:val="24"/>
          <w:szCs w:val="24"/>
        </w:rPr>
        <w:t>2020. gada periods, 2021. – 2030. gada periods.</w:t>
      </w:r>
      <w:r w:rsidR="00AD1058" w:rsidRPr="00A93673">
        <w:rPr>
          <w:rFonts w:ascii="Times New Roman" w:hAnsi="Times New Roman" w:cs="Times New Roman"/>
          <w:sz w:val="24"/>
          <w:szCs w:val="24"/>
        </w:rPr>
        <w:t xml:space="preserve"> Saskaņā </w:t>
      </w:r>
      <w:r w:rsidR="00A93673" w:rsidRPr="00E25EF5">
        <w:rPr>
          <w:rFonts w:ascii="Times New Roman" w:hAnsi="Times New Roman" w:cs="Times New Roman"/>
          <w:sz w:val="24"/>
          <w:szCs w:val="24"/>
        </w:rPr>
        <w:t xml:space="preserve"> ar </w:t>
      </w:r>
      <w:r w:rsidR="00F84BAF" w:rsidRPr="00A93673">
        <w:rPr>
          <w:rFonts w:ascii="Times New Roman" w:hAnsi="Times New Roman" w:cs="Times New Roman"/>
          <w:sz w:val="24"/>
          <w:szCs w:val="24"/>
          <w:shd w:val="clear" w:color="auto" w:fill="FFFFFF"/>
        </w:rPr>
        <w:t xml:space="preserve">Eiropas Parlamenta un Padomes </w:t>
      </w:r>
      <w:r w:rsidR="00CA6C65">
        <w:rPr>
          <w:rFonts w:ascii="Times New Roman" w:hAnsi="Times New Roman" w:cs="Times New Roman"/>
          <w:sz w:val="24"/>
          <w:szCs w:val="24"/>
          <w:shd w:val="clear" w:color="auto" w:fill="FFFFFF"/>
        </w:rPr>
        <w:t xml:space="preserve">2009. gada 23. aprīļa </w:t>
      </w:r>
      <w:r w:rsidR="00F84BAF" w:rsidRPr="00A93673">
        <w:rPr>
          <w:rFonts w:ascii="Times New Roman" w:hAnsi="Times New Roman" w:cs="Times New Roman"/>
          <w:sz w:val="24"/>
          <w:szCs w:val="24"/>
          <w:shd w:val="clear" w:color="auto" w:fill="FFFFFF"/>
        </w:rPr>
        <w:t>Direktīvas 2009/29/EK, ar ko Direktīvu 2003/87/EK groza, lai uzlabotu un paplašinātu Kopienas siltumnīcas efektu izraisošo gāzu emisiju kvotu tirdzniecības sistēmu</w:t>
      </w:r>
      <w:r w:rsidR="00A93673" w:rsidRPr="00E25EF5">
        <w:rPr>
          <w:rFonts w:ascii="Times New Roman" w:hAnsi="Times New Roman" w:cs="Times New Roman"/>
          <w:sz w:val="24"/>
          <w:szCs w:val="24"/>
          <w:shd w:val="clear" w:color="auto" w:fill="FFFFFF"/>
        </w:rPr>
        <w:t>,</w:t>
      </w:r>
      <w:r w:rsidR="00F84BAF" w:rsidRPr="00A93673">
        <w:rPr>
          <w:rFonts w:ascii="Times New Roman" w:hAnsi="Times New Roman" w:cs="Times New Roman"/>
          <w:sz w:val="24"/>
          <w:szCs w:val="24"/>
        </w:rPr>
        <w:t xml:space="preserve"> pirmā panta 11.</w:t>
      </w:r>
      <w:r w:rsidR="00A93673" w:rsidRPr="00E25EF5">
        <w:rPr>
          <w:rFonts w:ascii="Times New Roman" w:hAnsi="Times New Roman" w:cs="Times New Roman"/>
          <w:sz w:val="24"/>
          <w:szCs w:val="24"/>
        </w:rPr>
        <w:t xml:space="preserve"> </w:t>
      </w:r>
      <w:r w:rsidR="00F84BAF" w:rsidRPr="00A93673">
        <w:rPr>
          <w:rFonts w:ascii="Times New Roman" w:hAnsi="Times New Roman" w:cs="Times New Roman"/>
          <w:sz w:val="24"/>
          <w:szCs w:val="24"/>
        </w:rPr>
        <w:t xml:space="preserve">punktu </w:t>
      </w:r>
      <w:r w:rsidR="00AD1058" w:rsidRPr="00A93673">
        <w:rPr>
          <w:rFonts w:ascii="Times New Roman" w:hAnsi="Times New Roman" w:cs="Times New Roman"/>
          <w:sz w:val="24"/>
          <w:szCs w:val="24"/>
        </w:rPr>
        <w:t>sākot ar ES</w:t>
      </w:r>
      <w:r w:rsidR="00AD1058" w:rsidRPr="003F377C">
        <w:rPr>
          <w:rFonts w:ascii="Times New Roman" w:hAnsi="Times New Roman" w:cs="Times New Roman"/>
          <w:sz w:val="24"/>
          <w:szCs w:val="24"/>
        </w:rPr>
        <w:t xml:space="preserve"> ETS 3. periodu ES dalībvalstis izsola emisijas kvotas. ES ETS 4</w:t>
      </w:r>
      <w:r w:rsidR="008227BA" w:rsidRPr="003F377C">
        <w:rPr>
          <w:rFonts w:ascii="Times New Roman" w:hAnsi="Times New Roman" w:cs="Times New Roman"/>
          <w:sz w:val="24"/>
          <w:szCs w:val="24"/>
        </w:rPr>
        <w:t>. </w:t>
      </w:r>
      <w:r w:rsidR="00AD1058" w:rsidRPr="003F377C">
        <w:rPr>
          <w:rFonts w:ascii="Times New Roman" w:hAnsi="Times New Roman" w:cs="Times New Roman"/>
          <w:sz w:val="24"/>
          <w:szCs w:val="24"/>
        </w:rPr>
        <w:t>periodā Latvijas labā kopējais izsolāmais apjoms veidojas no izsolāmā emisijas kvotu pamatapjoma</w:t>
      </w:r>
      <w:r w:rsidR="00AD1058" w:rsidRPr="00B46F07">
        <w:rPr>
          <w:rStyle w:val="FootnoteReference"/>
          <w:rFonts w:ascii="Times New Roman" w:hAnsi="Times New Roman" w:cs="Times New Roman"/>
          <w:sz w:val="24"/>
          <w:szCs w:val="24"/>
        </w:rPr>
        <w:footnoteReference w:id="5"/>
      </w:r>
      <w:r w:rsidR="00AD1058" w:rsidRPr="00B46F07">
        <w:rPr>
          <w:rFonts w:ascii="Times New Roman" w:hAnsi="Times New Roman" w:cs="Times New Roman"/>
          <w:sz w:val="24"/>
          <w:szCs w:val="24"/>
        </w:rPr>
        <w:t xml:space="preserve"> un </w:t>
      </w:r>
      <w:r w:rsidR="00AD1058" w:rsidRPr="00434CAB">
        <w:rPr>
          <w:rFonts w:ascii="Times New Roman" w:eastAsia="Arial Unicode MS" w:hAnsi="Times New Roman" w:cs="Times New Roman"/>
          <w:sz w:val="24"/>
          <w:szCs w:val="24"/>
          <w:shd w:val="clear" w:color="auto" w:fill="FFFFFF"/>
        </w:rPr>
        <w:t xml:space="preserve">emisijas </w:t>
      </w:r>
      <w:r w:rsidR="00AD1058" w:rsidRPr="00AA794A">
        <w:rPr>
          <w:rFonts w:ascii="Times New Roman" w:eastAsia="Arial Unicode MS" w:hAnsi="Times New Roman" w:cs="Times New Roman"/>
          <w:sz w:val="24"/>
          <w:szCs w:val="24"/>
          <w:shd w:val="clear" w:color="auto" w:fill="FFFFFF"/>
        </w:rPr>
        <w:t xml:space="preserve">kvotām, kas piešķirtas dažām dalībvalstīm, t.sk. Latvijai, solidaritātes, izaugsmes un </w:t>
      </w:r>
      <w:proofErr w:type="spellStart"/>
      <w:r w:rsidR="00AD1058" w:rsidRPr="00AA794A">
        <w:rPr>
          <w:rFonts w:ascii="Times New Roman" w:eastAsia="Arial Unicode MS" w:hAnsi="Times New Roman" w:cs="Times New Roman"/>
          <w:sz w:val="24"/>
          <w:szCs w:val="24"/>
          <w:shd w:val="clear" w:color="auto" w:fill="FFFFFF"/>
        </w:rPr>
        <w:t>starpsavienojumu</w:t>
      </w:r>
      <w:proofErr w:type="spellEnd"/>
      <w:r w:rsidR="00AD1058" w:rsidRPr="00AA794A">
        <w:rPr>
          <w:rFonts w:ascii="Times New Roman" w:eastAsia="Arial Unicode MS" w:hAnsi="Times New Roman" w:cs="Times New Roman"/>
          <w:sz w:val="24"/>
          <w:szCs w:val="24"/>
          <w:shd w:val="clear" w:color="auto" w:fill="FFFFFF"/>
        </w:rPr>
        <w:t xml:space="preserve"> labad (turpmāk - solidaritātes emisijas kvotas</w:t>
      </w:r>
      <w:r w:rsidR="00AD1058" w:rsidRPr="00AD50BD">
        <w:rPr>
          <w:rStyle w:val="FootnoteReference"/>
          <w:rFonts w:ascii="Times New Roman" w:eastAsia="Arial Unicode MS" w:hAnsi="Times New Roman" w:cs="Times New Roman"/>
          <w:sz w:val="24"/>
          <w:szCs w:val="24"/>
          <w:shd w:val="clear" w:color="auto" w:fill="FFFFFF"/>
        </w:rPr>
        <w:footnoteReference w:id="6"/>
      </w:r>
      <w:r w:rsidR="00AD1058" w:rsidRPr="00AD50BD">
        <w:rPr>
          <w:rFonts w:ascii="Times New Roman" w:eastAsia="Arial Unicode MS" w:hAnsi="Times New Roman" w:cs="Times New Roman"/>
          <w:sz w:val="24"/>
          <w:szCs w:val="24"/>
          <w:shd w:val="clear" w:color="auto" w:fill="FFFFFF"/>
        </w:rPr>
        <w:t>). Saskaņā ar likuma “P</w:t>
      </w:r>
      <w:r w:rsidR="005B3A6B" w:rsidRPr="00AD50BD">
        <w:rPr>
          <w:rFonts w:ascii="Times New Roman" w:eastAsia="Arial Unicode MS" w:hAnsi="Times New Roman" w:cs="Times New Roman"/>
          <w:sz w:val="24"/>
          <w:szCs w:val="24"/>
          <w:shd w:val="clear" w:color="auto" w:fill="FFFFFF"/>
        </w:rPr>
        <w:t>ar piesā</w:t>
      </w:r>
      <w:r w:rsidR="00AD1058" w:rsidRPr="0098642F">
        <w:rPr>
          <w:rFonts w:ascii="Times New Roman" w:eastAsia="Arial Unicode MS" w:hAnsi="Times New Roman" w:cs="Times New Roman"/>
          <w:sz w:val="24"/>
          <w:szCs w:val="24"/>
          <w:shd w:val="clear" w:color="auto" w:fill="FFFFFF"/>
        </w:rPr>
        <w:t>rņojumu” 32</w:t>
      </w:r>
      <w:r w:rsidR="00AD1058" w:rsidRPr="0098642F">
        <w:rPr>
          <w:rFonts w:ascii="Times New Roman" w:eastAsia="Arial Unicode MS" w:hAnsi="Times New Roman" w:cs="Times New Roman"/>
          <w:sz w:val="24"/>
          <w:szCs w:val="24"/>
          <w:shd w:val="clear" w:color="auto" w:fill="FFFFFF"/>
          <w:vertAlign w:val="superscript"/>
        </w:rPr>
        <w:t>2</w:t>
      </w:r>
      <w:r w:rsidR="00AD1058" w:rsidRPr="0098642F">
        <w:rPr>
          <w:rFonts w:ascii="Times New Roman" w:eastAsia="Arial Unicode MS" w:hAnsi="Times New Roman" w:cs="Times New Roman"/>
          <w:sz w:val="24"/>
          <w:szCs w:val="24"/>
          <w:shd w:val="clear" w:color="auto" w:fill="FFFFFF"/>
        </w:rPr>
        <w:t>.</w:t>
      </w:r>
      <w:r w:rsidR="008227BA" w:rsidRPr="0098642F">
        <w:rPr>
          <w:rFonts w:ascii="Times New Roman" w:eastAsia="Arial Unicode MS" w:hAnsi="Times New Roman" w:cs="Times New Roman"/>
          <w:sz w:val="24"/>
          <w:szCs w:val="24"/>
          <w:shd w:val="clear" w:color="auto" w:fill="FFFFFF"/>
        </w:rPr>
        <w:t> </w:t>
      </w:r>
      <w:r w:rsidR="00AD1058" w:rsidRPr="0098642F">
        <w:rPr>
          <w:rFonts w:ascii="Times New Roman" w:eastAsia="Arial Unicode MS" w:hAnsi="Times New Roman" w:cs="Times New Roman"/>
          <w:sz w:val="24"/>
          <w:szCs w:val="24"/>
          <w:shd w:val="clear" w:color="auto" w:fill="FFFFFF"/>
        </w:rPr>
        <w:t>panta 4</w:t>
      </w:r>
      <w:r w:rsidR="00AD1058" w:rsidRPr="0098642F">
        <w:rPr>
          <w:rFonts w:ascii="Times New Roman" w:eastAsia="Arial Unicode MS" w:hAnsi="Times New Roman" w:cs="Times New Roman"/>
          <w:sz w:val="24"/>
          <w:szCs w:val="24"/>
          <w:shd w:val="clear" w:color="auto" w:fill="FFFFFF"/>
          <w:vertAlign w:val="superscript"/>
        </w:rPr>
        <w:t>4</w:t>
      </w:r>
      <w:r w:rsidR="00AD1058" w:rsidRPr="0098642F">
        <w:rPr>
          <w:rFonts w:ascii="Times New Roman" w:eastAsia="Arial Unicode MS" w:hAnsi="Times New Roman" w:cs="Times New Roman"/>
          <w:sz w:val="24"/>
          <w:szCs w:val="24"/>
          <w:shd w:val="clear" w:color="auto" w:fill="FFFFFF"/>
        </w:rPr>
        <w:t xml:space="preserve">. daļu izsoļu </w:t>
      </w:r>
      <w:r w:rsidR="00AD1058" w:rsidRPr="003F377C">
        <w:rPr>
          <w:rFonts w:ascii="Times New Roman" w:hAnsi="Times New Roman" w:cs="Times New Roman"/>
          <w:sz w:val="24"/>
          <w:szCs w:val="24"/>
          <w:shd w:val="clear" w:color="auto" w:fill="FFFFFF"/>
        </w:rPr>
        <w:t>ieņēmumus izmanto, lai mazinātu klimata pārmaiņas un nodrošinātu pielāgošanos klimata pārmaiņām</w:t>
      </w:r>
      <w:r w:rsidR="005B3A6B" w:rsidRPr="003F377C">
        <w:rPr>
          <w:rFonts w:ascii="Times New Roman" w:hAnsi="Times New Roman" w:cs="Times New Roman"/>
          <w:sz w:val="24"/>
          <w:szCs w:val="24"/>
          <w:shd w:val="clear" w:color="auto" w:fill="FFFFFF"/>
        </w:rPr>
        <w:t xml:space="preserve">. Saskaņā ar </w:t>
      </w:r>
      <w:r w:rsidR="005B3A6B" w:rsidRPr="004223F9">
        <w:rPr>
          <w:rFonts w:ascii="Times New Roman" w:eastAsia="Arial Unicode MS" w:hAnsi="Times New Roman" w:cs="Times New Roman"/>
          <w:sz w:val="24"/>
          <w:szCs w:val="24"/>
          <w:shd w:val="clear" w:color="auto" w:fill="FFFFFF"/>
        </w:rPr>
        <w:t>likuma “Par piesārņojumu” 32</w:t>
      </w:r>
      <w:r w:rsidR="005B3A6B" w:rsidRPr="004223F9">
        <w:rPr>
          <w:rFonts w:ascii="Times New Roman" w:eastAsia="Arial Unicode MS" w:hAnsi="Times New Roman" w:cs="Times New Roman"/>
          <w:sz w:val="24"/>
          <w:szCs w:val="24"/>
          <w:shd w:val="clear" w:color="auto" w:fill="FFFFFF"/>
          <w:vertAlign w:val="superscript"/>
        </w:rPr>
        <w:t>2</w:t>
      </w:r>
      <w:r w:rsidR="005B3A6B" w:rsidRPr="004223F9">
        <w:rPr>
          <w:rFonts w:ascii="Times New Roman" w:eastAsia="Arial Unicode MS" w:hAnsi="Times New Roman" w:cs="Times New Roman"/>
          <w:sz w:val="24"/>
          <w:szCs w:val="24"/>
          <w:shd w:val="clear" w:color="auto" w:fill="FFFFFF"/>
        </w:rPr>
        <w:t>. panta 3</w:t>
      </w:r>
      <w:r w:rsidR="005B3A6B" w:rsidRPr="004223F9">
        <w:rPr>
          <w:rFonts w:ascii="Times New Roman" w:eastAsia="Arial Unicode MS" w:hAnsi="Times New Roman" w:cs="Times New Roman"/>
          <w:sz w:val="24"/>
          <w:szCs w:val="24"/>
          <w:shd w:val="clear" w:color="auto" w:fill="FFFFFF"/>
          <w:vertAlign w:val="superscript"/>
        </w:rPr>
        <w:t>2</w:t>
      </w:r>
      <w:r w:rsidR="005B3A6B" w:rsidRPr="004223F9">
        <w:rPr>
          <w:rFonts w:ascii="Times New Roman" w:eastAsia="Arial Unicode MS" w:hAnsi="Times New Roman" w:cs="Times New Roman"/>
          <w:sz w:val="24"/>
          <w:szCs w:val="24"/>
          <w:shd w:val="clear" w:color="auto" w:fill="FFFFFF"/>
        </w:rPr>
        <w:t>. daļu</w:t>
      </w:r>
      <w:r w:rsidR="005B3A6B" w:rsidRPr="003F377C">
        <w:rPr>
          <w:rFonts w:ascii="Times New Roman" w:hAnsi="Times New Roman" w:cs="Times New Roman"/>
          <w:sz w:val="24"/>
          <w:szCs w:val="24"/>
          <w:shd w:val="clear" w:color="auto" w:fill="FFFFFF"/>
        </w:rPr>
        <w:t xml:space="preserve"> </w:t>
      </w:r>
      <w:r w:rsidR="00364E1D" w:rsidRPr="003F377C">
        <w:rPr>
          <w:rFonts w:ascii="Times New Roman" w:hAnsi="Times New Roman" w:cs="Times New Roman"/>
          <w:sz w:val="24"/>
          <w:szCs w:val="24"/>
          <w:shd w:val="clear" w:color="auto" w:fill="FFFFFF"/>
        </w:rPr>
        <w:t xml:space="preserve">visi </w:t>
      </w:r>
      <w:r w:rsidR="005B3A6B" w:rsidRPr="003F377C">
        <w:rPr>
          <w:rFonts w:ascii="Times New Roman" w:hAnsi="Times New Roman" w:cs="Times New Roman"/>
          <w:sz w:val="24"/>
          <w:szCs w:val="24"/>
          <w:shd w:val="clear" w:color="auto" w:fill="FFFFFF"/>
        </w:rPr>
        <w:t xml:space="preserve">emisijas kvotu izsoļu ieņēmumi ir nacionālās programmas Emisijas kvotu izsolīšanas instrumenta (turpmāk –EKII) finanšu avots. </w:t>
      </w:r>
      <w:proofErr w:type="spellStart"/>
      <w:r w:rsidR="005B3A6B" w:rsidRPr="003F377C">
        <w:rPr>
          <w:rFonts w:ascii="Times New Roman" w:hAnsi="Times New Roman" w:cs="Times New Roman"/>
          <w:sz w:val="24"/>
          <w:szCs w:val="24"/>
          <w:shd w:val="clear" w:color="auto" w:fill="FFFFFF"/>
        </w:rPr>
        <w:t>Derogācijai</w:t>
      </w:r>
      <w:proofErr w:type="spellEnd"/>
      <w:r w:rsidR="005B3A6B" w:rsidRPr="003F377C">
        <w:rPr>
          <w:rFonts w:ascii="Times New Roman" w:hAnsi="Times New Roman" w:cs="Times New Roman"/>
          <w:sz w:val="24"/>
          <w:szCs w:val="24"/>
          <w:shd w:val="clear" w:color="auto" w:fill="FFFFFF"/>
        </w:rPr>
        <w:t xml:space="preserve"> pieejamie emisiju kvotu apjomi ir tieši atkarīgi no Latvijas izsolāmajiem emisijas kvotu apjomiem.</w:t>
      </w:r>
    </w:p>
    <w:p w14:paraId="15B450F5" w14:textId="59779E85" w:rsidR="00F75E38" w:rsidRDefault="00F75E38" w:rsidP="001F6D99">
      <w:pPr>
        <w:spacing w:after="0"/>
        <w:ind w:right="-625" w:firstLine="567"/>
        <w:jc w:val="both"/>
        <w:rPr>
          <w:rFonts w:ascii="Times New Roman" w:hAnsi="Times New Roman" w:cs="Times New Roman"/>
          <w:sz w:val="24"/>
          <w:szCs w:val="24"/>
        </w:rPr>
      </w:pPr>
      <w:r>
        <w:rPr>
          <w:rFonts w:ascii="Times New Roman" w:hAnsi="Times New Roman" w:cs="Times New Roman"/>
          <w:sz w:val="24"/>
          <w:szCs w:val="24"/>
        </w:rPr>
        <w:t xml:space="preserve">Direktīva </w:t>
      </w:r>
      <w:r w:rsidR="003F6A1F">
        <w:rPr>
          <w:rFonts w:ascii="Times New Roman" w:hAnsi="Times New Roman" w:cs="Times New Roman"/>
          <w:sz w:val="24"/>
          <w:szCs w:val="24"/>
        </w:rPr>
        <w:t xml:space="preserve">2018/410 </w:t>
      </w:r>
      <w:r w:rsidRPr="00DD700D">
        <w:rPr>
          <w:rFonts w:ascii="Times New Roman" w:hAnsi="Times New Roman" w:cs="Times New Roman"/>
          <w:sz w:val="24"/>
          <w:szCs w:val="24"/>
        </w:rPr>
        <w:t>nosaka</w:t>
      </w:r>
      <w:r>
        <w:rPr>
          <w:rFonts w:ascii="Times New Roman" w:hAnsi="Times New Roman" w:cs="Times New Roman"/>
          <w:sz w:val="24"/>
          <w:szCs w:val="24"/>
        </w:rPr>
        <w:t xml:space="preserve"> ES ETS </w:t>
      </w:r>
      <w:r w:rsidRPr="00122AD2">
        <w:rPr>
          <w:rFonts w:ascii="Times New Roman" w:hAnsi="Times New Roman" w:cs="Times New Roman"/>
          <w:sz w:val="24"/>
          <w:szCs w:val="24"/>
        </w:rPr>
        <w:t>ceturto periodu</w:t>
      </w:r>
      <w:r w:rsidR="00E32DD4">
        <w:rPr>
          <w:rFonts w:ascii="Times New Roman" w:hAnsi="Times New Roman" w:cs="Times New Roman"/>
          <w:sz w:val="24"/>
          <w:szCs w:val="24"/>
        </w:rPr>
        <w:t xml:space="preserve"> –</w:t>
      </w:r>
      <w:r w:rsidRPr="00122AD2">
        <w:rPr>
          <w:rFonts w:ascii="Times New Roman" w:hAnsi="Times New Roman" w:cs="Times New Roman"/>
          <w:sz w:val="24"/>
          <w:szCs w:val="24"/>
        </w:rPr>
        <w:t xml:space="preserve"> 2021.</w:t>
      </w:r>
      <w:r>
        <w:rPr>
          <w:rFonts w:ascii="Times New Roman" w:hAnsi="Times New Roman" w:cs="Times New Roman"/>
          <w:sz w:val="24"/>
          <w:szCs w:val="24"/>
        </w:rPr>
        <w:t xml:space="preserve"> </w:t>
      </w:r>
      <w:r w:rsidRPr="00122AD2">
        <w:rPr>
          <w:rFonts w:ascii="Times New Roman" w:hAnsi="Times New Roman" w:cs="Times New Roman"/>
          <w:sz w:val="24"/>
          <w:szCs w:val="24"/>
        </w:rPr>
        <w:t>-</w:t>
      </w:r>
      <w:r>
        <w:rPr>
          <w:rFonts w:ascii="Times New Roman" w:hAnsi="Times New Roman" w:cs="Times New Roman"/>
          <w:sz w:val="24"/>
          <w:szCs w:val="24"/>
        </w:rPr>
        <w:t xml:space="preserve"> </w:t>
      </w:r>
      <w:r w:rsidRPr="00122AD2">
        <w:rPr>
          <w:rFonts w:ascii="Times New Roman" w:hAnsi="Times New Roman" w:cs="Times New Roman"/>
          <w:sz w:val="24"/>
          <w:szCs w:val="24"/>
        </w:rPr>
        <w:t>2030.</w:t>
      </w:r>
      <w:r>
        <w:rPr>
          <w:rFonts w:ascii="Times New Roman" w:hAnsi="Times New Roman" w:cs="Times New Roman"/>
          <w:sz w:val="24"/>
          <w:szCs w:val="24"/>
        </w:rPr>
        <w:t> </w:t>
      </w:r>
      <w:r w:rsidR="00E32DD4">
        <w:rPr>
          <w:rFonts w:ascii="Times New Roman" w:hAnsi="Times New Roman" w:cs="Times New Roman"/>
          <w:sz w:val="24"/>
          <w:szCs w:val="24"/>
        </w:rPr>
        <w:t xml:space="preserve">gads – </w:t>
      </w:r>
      <w:r>
        <w:rPr>
          <w:rFonts w:ascii="Times New Roman" w:hAnsi="Times New Roman" w:cs="Times New Roman"/>
          <w:sz w:val="24"/>
          <w:szCs w:val="24"/>
        </w:rPr>
        <w:t>un atbilstoši šīs Direktīvas 10.c panta</w:t>
      </w:r>
      <w:r w:rsidR="00CA4A1A">
        <w:rPr>
          <w:rFonts w:ascii="Times New Roman" w:hAnsi="Times New Roman" w:cs="Times New Roman"/>
          <w:sz w:val="24"/>
          <w:szCs w:val="24"/>
        </w:rPr>
        <w:t xml:space="preserve"> 1.</w:t>
      </w:r>
      <w:r w:rsidR="00364E1D">
        <w:rPr>
          <w:rFonts w:ascii="Times New Roman" w:hAnsi="Times New Roman" w:cs="Times New Roman"/>
          <w:sz w:val="24"/>
          <w:szCs w:val="24"/>
        </w:rPr>
        <w:t> </w:t>
      </w:r>
      <w:r w:rsidR="00CA4A1A">
        <w:rPr>
          <w:rFonts w:ascii="Times New Roman" w:hAnsi="Times New Roman" w:cs="Times New Roman"/>
          <w:sz w:val="24"/>
          <w:szCs w:val="24"/>
        </w:rPr>
        <w:t>punktam</w:t>
      </w:r>
      <w:r>
        <w:rPr>
          <w:rFonts w:ascii="Times New Roman" w:hAnsi="Times New Roman" w:cs="Times New Roman"/>
          <w:sz w:val="24"/>
          <w:szCs w:val="24"/>
        </w:rPr>
        <w:t xml:space="preserve"> ES </w:t>
      </w:r>
      <w:r w:rsidRPr="00A60D0F">
        <w:rPr>
          <w:rFonts w:ascii="Times New Roman" w:hAnsi="Times New Roman" w:cs="Times New Roman"/>
          <w:sz w:val="24"/>
          <w:szCs w:val="24"/>
        </w:rPr>
        <w:t xml:space="preserve">dalībvalstīs, kuru </w:t>
      </w:r>
      <w:r>
        <w:rPr>
          <w:rFonts w:ascii="Times New Roman" w:hAnsi="Times New Roman" w:cs="Times New Roman"/>
          <w:sz w:val="24"/>
          <w:szCs w:val="24"/>
        </w:rPr>
        <w:t>IKP</w:t>
      </w:r>
      <w:r w:rsidRPr="00A60D0F">
        <w:rPr>
          <w:rFonts w:ascii="Times New Roman" w:hAnsi="Times New Roman" w:cs="Times New Roman"/>
          <w:sz w:val="24"/>
          <w:szCs w:val="24"/>
        </w:rPr>
        <w:t xml:space="preserve"> uz vienu iedzīvotāju, izsakot tirgus cenās (</w:t>
      </w:r>
      <w:proofErr w:type="spellStart"/>
      <w:r w:rsidR="00E66CA7">
        <w:rPr>
          <w:rFonts w:ascii="Times New Roman" w:hAnsi="Times New Roman" w:cs="Times New Roman"/>
          <w:i/>
          <w:sz w:val="24"/>
          <w:szCs w:val="24"/>
        </w:rPr>
        <w:t>euro</w:t>
      </w:r>
      <w:proofErr w:type="spellEnd"/>
      <w:r w:rsidRPr="00A60D0F">
        <w:rPr>
          <w:rFonts w:ascii="Times New Roman" w:hAnsi="Times New Roman" w:cs="Times New Roman"/>
          <w:sz w:val="24"/>
          <w:szCs w:val="24"/>
        </w:rPr>
        <w:t>), 20</w:t>
      </w:r>
      <w:r>
        <w:rPr>
          <w:rFonts w:ascii="Times New Roman" w:hAnsi="Times New Roman" w:cs="Times New Roman"/>
          <w:sz w:val="24"/>
          <w:szCs w:val="24"/>
        </w:rPr>
        <w:t>13. gadā nesasniedza 60 </w:t>
      </w:r>
      <w:r w:rsidRPr="00A60D0F">
        <w:rPr>
          <w:rFonts w:ascii="Times New Roman" w:hAnsi="Times New Roman" w:cs="Times New Roman"/>
          <w:sz w:val="24"/>
          <w:szCs w:val="24"/>
        </w:rPr>
        <w:t xml:space="preserve">% no </w:t>
      </w:r>
      <w:r>
        <w:rPr>
          <w:rFonts w:ascii="Times New Roman" w:hAnsi="Times New Roman" w:cs="Times New Roman"/>
          <w:sz w:val="24"/>
          <w:szCs w:val="24"/>
        </w:rPr>
        <w:t xml:space="preserve">ES </w:t>
      </w:r>
      <w:r w:rsidRPr="00A60D0F">
        <w:rPr>
          <w:rFonts w:ascii="Times New Roman" w:hAnsi="Times New Roman" w:cs="Times New Roman"/>
          <w:sz w:val="24"/>
          <w:szCs w:val="24"/>
        </w:rPr>
        <w:t xml:space="preserve">vidējā rādītāja, var pagaidu kārtā </w:t>
      </w:r>
      <w:r w:rsidRPr="00A60D0F">
        <w:rPr>
          <w:rFonts w:ascii="Times New Roman" w:hAnsi="Times New Roman" w:cs="Times New Roman"/>
          <w:sz w:val="24"/>
          <w:szCs w:val="24"/>
        </w:rPr>
        <w:lastRenderedPageBreak/>
        <w:t>piešķirt bezmaksas kvotas elektroenerģijas ražošanas iekārtām nolūkā modernizēt, diversificēt un ilgtspējīgi pārveidot enerģētikas nozari.</w:t>
      </w:r>
      <w:r w:rsidR="00DF4E5C">
        <w:rPr>
          <w:rFonts w:ascii="Times New Roman" w:hAnsi="Times New Roman" w:cs="Times New Roman"/>
          <w:sz w:val="24"/>
          <w:szCs w:val="24"/>
        </w:rPr>
        <w:t xml:space="preserve"> Ar vārdu savienojumu </w:t>
      </w:r>
      <w:r w:rsidR="00DF4E5C">
        <w:rPr>
          <w:rFonts w:ascii="Times New Roman" w:hAnsi="Times New Roman" w:cs="Times New Roman"/>
          <w:i/>
          <w:sz w:val="24"/>
          <w:szCs w:val="24"/>
        </w:rPr>
        <w:t>“pagaidu kārtā”</w:t>
      </w:r>
      <w:r w:rsidR="00DF4E5C">
        <w:rPr>
          <w:rFonts w:ascii="Times New Roman" w:hAnsi="Times New Roman" w:cs="Times New Roman"/>
          <w:sz w:val="24"/>
          <w:szCs w:val="24"/>
        </w:rPr>
        <w:t xml:space="preserve"> saprotams, ka </w:t>
      </w:r>
      <w:proofErr w:type="spellStart"/>
      <w:r w:rsidR="00DF4E5C">
        <w:rPr>
          <w:rFonts w:ascii="Times New Roman" w:hAnsi="Times New Roman" w:cs="Times New Roman"/>
          <w:sz w:val="24"/>
          <w:szCs w:val="24"/>
        </w:rPr>
        <w:t>derogācija</w:t>
      </w:r>
      <w:proofErr w:type="spellEnd"/>
      <w:r w:rsidR="00DF4E5C">
        <w:rPr>
          <w:rFonts w:ascii="Times New Roman" w:hAnsi="Times New Roman" w:cs="Times New Roman"/>
          <w:sz w:val="24"/>
          <w:szCs w:val="24"/>
        </w:rPr>
        <w:t xml:space="preserve"> ir pieejama laika periodā no 2021. līdz 2030. gadam. </w:t>
      </w:r>
      <w:r>
        <w:rPr>
          <w:rFonts w:ascii="Times New Roman" w:hAnsi="Times New Roman" w:cs="Times New Roman"/>
          <w:sz w:val="24"/>
          <w:szCs w:val="24"/>
        </w:rPr>
        <w:t xml:space="preserve">Saskaņā ar </w:t>
      </w:r>
      <w:r w:rsidR="00CB5916" w:rsidRPr="00CB5916">
        <w:rPr>
          <w:rFonts w:ascii="Times New Roman" w:hAnsi="Times New Roman" w:cs="Times New Roman"/>
          <w:sz w:val="24"/>
          <w:szCs w:val="24"/>
        </w:rPr>
        <w:t>Direktīvas 2003/87/EK</w:t>
      </w:r>
      <w:r w:rsidR="00CB5916">
        <w:rPr>
          <w:rFonts w:ascii="Times New Roman" w:hAnsi="Times New Roman" w:cs="Times New Roman"/>
          <w:sz w:val="24"/>
          <w:szCs w:val="24"/>
        </w:rPr>
        <w:t xml:space="preserve"> 10.c panta 1. punkta</w:t>
      </w:r>
      <w:r w:rsidR="00CB5916" w:rsidRPr="00CB5916">
        <w:rPr>
          <w:rFonts w:ascii="Times New Roman" w:hAnsi="Times New Roman" w:cs="Times New Roman"/>
          <w:sz w:val="24"/>
          <w:szCs w:val="24"/>
        </w:rPr>
        <w:t xml:space="preserve"> </w:t>
      </w:r>
      <w:r>
        <w:rPr>
          <w:rFonts w:ascii="Times New Roman" w:hAnsi="Times New Roman" w:cs="Times New Roman"/>
          <w:sz w:val="24"/>
          <w:szCs w:val="24"/>
        </w:rPr>
        <w:t xml:space="preserve">nosacījumiem piešķirto līdzekļu izlietojumam jābūt </w:t>
      </w:r>
      <w:r w:rsidR="00CA4A1A">
        <w:rPr>
          <w:rFonts w:ascii="Times New Roman" w:hAnsi="Times New Roman" w:cs="Times New Roman"/>
          <w:sz w:val="24"/>
          <w:szCs w:val="24"/>
        </w:rPr>
        <w:t>saskanīgam</w:t>
      </w:r>
      <w:r w:rsidR="00CA4A1A" w:rsidRPr="00A60D0F">
        <w:rPr>
          <w:rFonts w:ascii="Times New Roman" w:hAnsi="Times New Roman" w:cs="Times New Roman"/>
          <w:sz w:val="24"/>
          <w:szCs w:val="24"/>
        </w:rPr>
        <w:t xml:space="preserve"> </w:t>
      </w:r>
      <w:r w:rsidRPr="00A60D0F">
        <w:rPr>
          <w:rFonts w:ascii="Times New Roman" w:hAnsi="Times New Roman" w:cs="Times New Roman"/>
          <w:sz w:val="24"/>
          <w:szCs w:val="24"/>
        </w:rPr>
        <w:t xml:space="preserve">ar pāreju uz drošu un ilgtspējīgu </w:t>
      </w:r>
      <w:r w:rsidRPr="003613CB">
        <w:rPr>
          <w:rFonts w:ascii="Times New Roman" w:hAnsi="Times New Roman" w:cs="Times New Roman"/>
          <w:sz w:val="24"/>
          <w:szCs w:val="24"/>
        </w:rPr>
        <w:t>oglekļa mazietilpīgu ekonomiku</w:t>
      </w:r>
      <w:r w:rsidRPr="0001748C">
        <w:rPr>
          <w:rFonts w:ascii="Times New Roman" w:hAnsi="Times New Roman" w:cs="Times New Roman"/>
          <w:sz w:val="24"/>
          <w:szCs w:val="24"/>
        </w:rPr>
        <w:t>, k</w:t>
      </w:r>
      <w:r>
        <w:rPr>
          <w:rFonts w:ascii="Times New Roman" w:hAnsi="Times New Roman" w:cs="Times New Roman"/>
          <w:sz w:val="24"/>
          <w:szCs w:val="24"/>
        </w:rPr>
        <w:t xml:space="preserve">ā arī </w:t>
      </w:r>
      <w:r w:rsidRPr="00A60D0F">
        <w:rPr>
          <w:rFonts w:ascii="Times New Roman" w:hAnsi="Times New Roman" w:cs="Times New Roman"/>
          <w:sz w:val="24"/>
          <w:szCs w:val="24"/>
        </w:rPr>
        <w:t xml:space="preserve">ar mērķiem, ko paredz </w:t>
      </w:r>
      <w:r>
        <w:rPr>
          <w:rFonts w:ascii="Times New Roman" w:hAnsi="Times New Roman" w:cs="Times New Roman"/>
          <w:sz w:val="24"/>
          <w:szCs w:val="24"/>
        </w:rPr>
        <w:t>ES</w:t>
      </w:r>
      <w:r w:rsidRPr="00A60D0F">
        <w:rPr>
          <w:rFonts w:ascii="Times New Roman" w:hAnsi="Times New Roman" w:cs="Times New Roman"/>
          <w:sz w:val="24"/>
          <w:szCs w:val="24"/>
        </w:rPr>
        <w:t xml:space="preserve"> klimata un enerģētikas politika</w:t>
      </w:r>
      <w:r>
        <w:rPr>
          <w:rFonts w:ascii="Times New Roman" w:hAnsi="Times New Roman" w:cs="Times New Roman"/>
          <w:sz w:val="24"/>
          <w:szCs w:val="24"/>
        </w:rPr>
        <w:t>s satvars laikposmam līdz 2030. </w:t>
      </w:r>
      <w:r w:rsidRPr="00A60D0F">
        <w:rPr>
          <w:rFonts w:ascii="Times New Roman" w:hAnsi="Times New Roman" w:cs="Times New Roman"/>
          <w:sz w:val="24"/>
          <w:szCs w:val="24"/>
        </w:rPr>
        <w:t>gadam un Parīzes nolīgum</w:t>
      </w:r>
      <w:r w:rsidR="00CA4A1A">
        <w:rPr>
          <w:rFonts w:ascii="Times New Roman" w:hAnsi="Times New Roman" w:cs="Times New Roman"/>
          <w:sz w:val="24"/>
          <w:szCs w:val="24"/>
        </w:rPr>
        <w:t>s</w:t>
      </w:r>
      <w:r w:rsidRPr="00A60D0F">
        <w:rPr>
          <w:rFonts w:ascii="Times New Roman" w:hAnsi="Times New Roman" w:cs="Times New Roman"/>
          <w:sz w:val="24"/>
          <w:szCs w:val="24"/>
        </w:rPr>
        <w:t xml:space="preserve">. </w:t>
      </w:r>
    </w:p>
    <w:p w14:paraId="6C7AF7EE" w14:textId="1089CBCB" w:rsidR="006D24A1" w:rsidRDefault="006D24A1" w:rsidP="006D24A1">
      <w:pPr>
        <w:spacing w:after="0"/>
        <w:ind w:right="-625" w:firstLine="567"/>
        <w:jc w:val="both"/>
        <w:rPr>
          <w:rFonts w:ascii="Times New Roman" w:hAnsi="Times New Roman" w:cs="Times New Roman"/>
          <w:sz w:val="24"/>
          <w:szCs w:val="24"/>
        </w:rPr>
      </w:pPr>
      <w:r w:rsidRPr="00000CFE">
        <w:rPr>
          <w:rFonts w:ascii="Times New Roman" w:hAnsi="Times New Roman" w:cs="Times New Roman"/>
          <w:sz w:val="24"/>
          <w:szCs w:val="24"/>
        </w:rPr>
        <w:t xml:space="preserve">Saskaņā ar </w:t>
      </w:r>
      <w:r>
        <w:rPr>
          <w:rFonts w:ascii="Times New Roman" w:hAnsi="Times New Roman" w:cs="Times New Roman"/>
          <w:sz w:val="24"/>
          <w:szCs w:val="24"/>
        </w:rPr>
        <w:t xml:space="preserve">Direktīvas 2003/87/EK 10.c panta 1. punktu bezmaksas emisijas kvotas </w:t>
      </w:r>
      <w:r w:rsidRPr="00000CFE">
        <w:rPr>
          <w:rFonts w:ascii="Times New Roman" w:hAnsi="Times New Roman" w:cs="Times New Roman"/>
          <w:sz w:val="24"/>
          <w:szCs w:val="24"/>
        </w:rPr>
        <w:t>var piešķirt elektroenerģijas ražošanas iekārtām</w:t>
      </w:r>
      <w:r>
        <w:rPr>
          <w:rFonts w:ascii="Times New Roman" w:hAnsi="Times New Roman" w:cs="Times New Roman"/>
          <w:sz w:val="24"/>
          <w:szCs w:val="24"/>
        </w:rPr>
        <w:t xml:space="preserve">, kas saskaņā ar Direktīvā 2003/87/EK </w:t>
      </w:r>
      <w:r w:rsidR="00807037">
        <w:rPr>
          <w:rFonts w:ascii="Times New Roman" w:hAnsi="Times New Roman" w:cs="Times New Roman"/>
          <w:sz w:val="24"/>
          <w:szCs w:val="24"/>
        </w:rPr>
        <w:t xml:space="preserve">3. pantā u) apakšpunktā </w:t>
      </w:r>
      <w:r>
        <w:rPr>
          <w:rFonts w:ascii="Times New Roman" w:hAnsi="Times New Roman" w:cs="Times New Roman"/>
          <w:sz w:val="24"/>
          <w:szCs w:val="24"/>
        </w:rPr>
        <w:t xml:space="preserve">iekļauto definīciju </w:t>
      </w:r>
      <w:r w:rsidRPr="00000CFE">
        <w:rPr>
          <w:rFonts w:ascii="Times New Roman" w:hAnsi="Times New Roman" w:cs="Times New Roman"/>
          <w:sz w:val="24"/>
          <w:szCs w:val="24"/>
        </w:rPr>
        <w:t xml:space="preserve">ir </w:t>
      </w:r>
      <w:r>
        <w:rPr>
          <w:rFonts w:ascii="Times New Roman" w:hAnsi="Times New Roman" w:cs="Times New Roman"/>
          <w:sz w:val="24"/>
          <w:szCs w:val="24"/>
        </w:rPr>
        <w:t>“</w:t>
      </w:r>
      <w:r w:rsidRPr="001618DE">
        <w:rPr>
          <w:rFonts w:ascii="Times New Roman" w:hAnsi="Times New Roman" w:cs="Times New Roman"/>
          <w:i/>
          <w:sz w:val="24"/>
          <w:szCs w:val="24"/>
        </w:rPr>
        <w:t xml:space="preserve">iekārta, kurā 2005. gada janvārī vai pēc tam ražota elektroenerģija pārdošanai </w:t>
      </w:r>
      <w:proofErr w:type="spellStart"/>
      <w:r w:rsidRPr="001618DE">
        <w:rPr>
          <w:rFonts w:ascii="Times New Roman" w:hAnsi="Times New Roman" w:cs="Times New Roman"/>
          <w:i/>
          <w:sz w:val="24"/>
          <w:szCs w:val="24"/>
        </w:rPr>
        <w:t>trešām</w:t>
      </w:r>
      <w:proofErr w:type="spellEnd"/>
      <w:r w:rsidRPr="001618DE">
        <w:rPr>
          <w:rFonts w:ascii="Times New Roman" w:hAnsi="Times New Roman" w:cs="Times New Roman"/>
          <w:i/>
          <w:sz w:val="24"/>
          <w:szCs w:val="24"/>
        </w:rPr>
        <w:t xml:space="preserve"> personām un kurā no Direktīvas 2003/87/EK I pielikumā uzskaitītajām darbībām tiek veikta vienīgi “kurināmā sadedzināšana”</w:t>
      </w:r>
      <w:r w:rsidR="00CB5916">
        <w:rPr>
          <w:rFonts w:ascii="Times New Roman" w:hAnsi="Times New Roman" w:cs="Times New Roman"/>
          <w:sz w:val="24"/>
          <w:szCs w:val="24"/>
        </w:rPr>
        <w:t>”</w:t>
      </w:r>
      <w:r>
        <w:rPr>
          <w:rFonts w:ascii="Times New Roman" w:hAnsi="Times New Roman" w:cs="Times New Roman"/>
          <w:sz w:val="24"/>
          <w:szCs w:val="24"/>
        </w:rPr>
        <w:t>. Saskaņā ar iepriekš minētajiem nosacījumiem bezmaksas emisijas kvotu pretendenti Direktīvas 2003/87/EK 10</w:t>
      </w:r>
      <w:r w:rsidR="00CB5916">
        <w:rPr>
          <w:rFonts w:ascii="Times New Roman" w:hAnsi="Times New Roman" w:cs="Times New Roman"/>
          <w:sz w:val="24"/>
          <w:szCs w:val="24"/>
        </w:rPr>
        <w:t>.</w:t>
      </w:r>
      <w:r>
        <w:rPr>
          <w:rFonts w:ascii="Times New Roman" w:hAnsi="Times New Roman" w:cs="Times New Roman"/>
          <w:sz w:val="24"/>
          <w:szCs w:val="24"/>
        </w:rPr>
        <w:t>c</w:t>
      </w:r>
      <w:r w:rsidR="00807037">
        <w:rPr>
          <w:rFonts w:ascii="Times New Roman" w:hAnsi="Times New Roman" w:cs="Times New Roman"/>
          <w:sz w:val="24"/>
          <w:szCs w:val="24"/>
        </w:rPr>
        <w:t> </w:t>
      </w:r>
      <w:r>
        <w:rPr>
          <w:rFonts w:ascii="Times New Roman" w:hAnsi="Times New Roman" w:cs="Times New Roman"/>
          <w:sz w:val="24"/>
          <w:szCs w:val="24"/>
        </w:rPr>
        <w:t xml:space="preserve">panta ietvaros ir ES ETS dalībnieki, kas ražo elektroenerģiju. </w:t>
      </w:r>
    </w:p>
    <w:p w14:paraId="06859235" w14:textId="115BE7F7" w:rsidR="006E2330" w:rsidRDefault="006D24A1" w:rsidP="001618DE">
      <w:pPr>
        <w:spacing w:after="0"/>
        <w:ind w:right="-625" w:firstLine="567"/>
        <w:jc w:val="both"/>
        <w:rPr>
          <w:rFonts w:ascii="Times New Roman" w:hAnsi="Times New Roman" w:cs="Times New Roman"/>
          <w:sz w:val="24"/>
          <w:szCs w:val="24"/>
        </w:rPr>
      </w:pPr>
      <w:r>
        <w:rPr>
          <w:rFonts w:ascii="Times New Roman" w:hAnsi="Times New Roman" w:cs="Times New Roman"/>
          <w:sz w:val="24"/>
          <w:szCs w:val="24"/>
        </w:rPr>
        <w:t xml:space="preserve">Pamatojoties uz </w:t>
      </w:r>
      <w:r w:rsidR="003F377C">
        <w:rPr>
          <w:rFonts w:ascii="Times New Roman" w:hAnsi="Times New Roman" w:cs="Times New Roman"/>
          <w:sz w:val="24"/>
          <w:szCs w:val="24"/>
        </w:rPr>
        <w:t xml:space="preserve">Direktīvas </w:t>
      </w:r>
      <w:r>
        <w:rPr>
          <w:rFonts w:ascii="Times New Roman" w:hAnsi="Times New Roman" w:cs="Times New Roman"/>
          <w:sz w:val="24"/>
          <w:szCs w:val="24"/>
        </w:rPr>
        <w:t>2003/87/EK</w:t>
      </w:r>
      <w:r w:rsidR="003F377C">
        <w:rPr>
          <w:rFonts w:ascii="Times New Roman" w:hAnsi="Times New Roman" w:cs="Times New Roman"/>
          <w:sz w:val="24"/>
          <w:szCs w:val="24"/>
        </w:rPr>
        <w:t xml:space="preserve"> 10.c pantā</w:t>
      </w:r>
      <w:r>
        <w:rPr>
          <w:rFonts w:ascii="Times New Roman" w:hAnsi="Times New Roman" w:cs="Times New Roman"/>
          <w:sz w:val="24"/>
          <w:szCs w:val="24"/>
        </w:rPr>
        <w:t xml:space="preserve"> izklāstītajiem nosacījumiem, </w:t>
      </w:r>
      <w:proofErr w:type="spellStart"/>
      <w:r>
        <w:rPr>
          <w:rFonts w:ascii="Times New Roman" w:hAnsi="Times New Roman" w:cs="Times New Roman"/>
          <w:sz w:val="24"/>
          <w:szCs w:val="24"/>
        </w:rPr>
        <w:t>derogācijas</w:t>
      </w:r>
      <w:proofErr w:type="spellEnd"/>
      <w:r>
        <w:rPr>
          <w:rFonts w:ascii="Times New Roman" w:hAnsi="Times New Roman" w:cs="Times New Roman"/>
          <w:sz w:val="24"/>
          <w:szCs w:val="24"/>
        </w:rPr>
        <w:t xml:space="preserve"> mērķis ir veicināt SEG emisiju samazināšanu, veicot investīcijas elektroenerģijas ražošanas iekārtu modernizācijai. </w:t>
      </w:r>
      <w:r w:rsidR="006E2330">
        <w:rPr>
          <w:rFonts w:ascii="Times New Roman" w:hAnsi="Times New Roman" w:cs="Times New Roman"/>
          <w:sz w:val="24"/>
          <w:szCs w:val="24"/>
        </w:rPr>
        <w:t xml:space="preserve">Atbalsts tiktu piešķirts kā bezmaksas emisiju kvotas un to </w:t>
      </w:r>
      <w:proofErr w:type="spellStart"/>
      <w:r w:rsidR="006E2330">
        <w:rPr>
          <w:rFonts w:ascii="Times New Roman" w:hAnsi="Times New Roman" w:cs="Times New Roman"/>
          <w:sz w:val="24"/>
          <w:szCs w:val="24"/>
        </w:rPr>
        <w:t>monetizāciju</w:t>
      </w:r>
      <w:proofErr w:type="spellEnd"/>
      <w:r w:rsidR="006E2330">
        <w:rPr>
          <w:rFonts w:ascii="Times New Roman" w:hAnsi="Times New Roman" w:cs="Times New Roman"/>
          <w:sz w:val="24"/>
          <w:szCs w:val="24"/>
        </w:rPr>
        <w:t xml:space="preserve"> veiktu atbalsta saņēmējs. </w:t>
      </w:r>
    </w:p>
    <w:p w14:paraId="257BE761" w14:textId="6DF534C0" w:rsidR="006E2330" w:rsidRPr="00315CB5" w:rsidRDefault="00CF43E1" w:rsidP="006E2330">
      <w:pPr>
        <w:spacing w:after="0"/>
        <w:ind w:right="-625" w:firstLine="567"/>
        <w:jc w:val="both"/>
        <w:rPr>
          <w:rFonts w:ascii="Times New Roman" w:hAnsi="Times New Roman" w:cs="Times New Roman"/>
          <w:sz w:val="24"/>
          <w:szCs w:val="24"/>
        </w:rPr>
      </w:pPr>
      <w:r>
        <w:rPr>
          <w:rFonts w:ascii="Times New Roman" w:hAnsi="Times New Roman" w:cs="Times New Roman"/>
          <w:sz w:val="24"/>
          <w:szCs w:val="24"/>
        </w:rPr>
        <w:t>Bezmaksas emisijas</w:t>
      </w:r>
      <w:r w:rsidR="00F75E38">
        <w:rPr>
          <w:rFonts w:ascii="Times New Roman" w:hAnsi="Times New Roman" w:cs="Times New Roman"/>
          <w:sz w:val="24"/>
          <w:szCs w:val="24"/>
        </w:rPr>
        <w:t xml:space="preserve"> kvotu piešķiršana </w:t>
      </w:r>
      <w:r w:rsidR="00F75E38" w:rsidRPr="00BA1427">
        <w:rPr>
          <w:rFonts w:ascii="Times New Roman" w:hAnsi="Times New Roman" w:cs="Times New Roman"/>
          <w:sz w:val="24"/>
          <w:szCs w:val="24"/>
        </w:rPr>
        <w:t>elektroenerģijas ražo</w:t>
      </w:r>
      <w:r w:rsidR="00BA1427" w:rsidRPr="00BA1427">
        <w:rPr>
          <w:rFonts w:ascii="Times New Roman" w:hAnsi="Times New Roman" w:cs="Times New Roman"/>
          <w:sz w:val="24"/>
          <w:szCs w:val="24"/>
        </w:rPr>
        <w:t>šanas</w:t>
      </w:r>
      <w:r w:rsidR="00BA1427">
        <w:rPr>
          <w:rFonts w:ascii="Times New Roman" w:hAnsi="Times New Roman" w:cs="Times New Roman"/>
          <w:sz w:val="24"/>
          <w:szCs w:val="24"/>
        </w:rPr>
        <w:t xml:space="preserve"> iekārtām</w:t>
      </w:r>
      <w:r w:rsidR="00F75E38">
        <w:rPr>
          <w:rFonts w:ascii="Times New Roman" w:hAnsi="Times New Roman" w:cs="Times New Roman"/>
          <w:sz w:val="24"/>
          <w:szCs w:val="24"/>
        </w:rPr>
        <w:t xml:space="preserve"> bija iespējama arī ES ETS </w:t>
      </w:r>
      <w:r w:rsidR="00BA1427">
        <w:rPr>
          <w:rFonts w:ascii="Times New Roman" w:hAnsi="Times New Roman" w:cs="Times New Roman"/>
          <w:sz w:val="24"/>
          <w:szCs w:val="24"/>
        </w:rPr>
        <w:t>trešajā</w:t>
      </w:r>
      <w:r w:rsidR="00F75E38">
        <w:rPr>
          <w:rFonts w:ascii="Times New Roman" w:hAnsi="Times New Roman" w:cs="Times New Roman"/>
          <w:sz w:val="24"/>
          <w:szCs w:val="24"/>
        </w:rPr>
        <w:t xml:space="preserve"> periodā (2013. – 2020. gadam). </w:t>
      </w:r>
      <w:proofErr w:type="spellStart"/>
      <w:r w:rsidR="00137CCC">
        <w:rPr>
          <w:rFonts w:ascii="Times New Roman" w:hAnsi="Times New Roman" w:cs="Times New Roman"/>
          <w:sz w:val="24"/>
          <w:szCs w:val="24"/>
        </w:rPr>
        <w:t>Derogācijai</w:t>
      </w:r>
      <w:proofErr w:type="spellEnd"/>
      <w:r w:rsidR="00137CCC">
        <w:rPr>
          <w:rFonts w:ascii="Times New Roman" w:hAnsi="Times New Roman" w:cs="Times New Roman"/>
          <w:sz w:val="24"/>
          <w:szCs w:val="24"/>
        </w:rPr>
        <w:t xml:space="preserve"> </w:t>
      </w:r>
      <w:r w:rsidR="00BA1427">
        <w:rPr>
          <w:rFonts w:ascii="Times New Roman" w:hAnsi="Times New Roman" w:cs="Times New Roman"/>
          <w:sz w:val="24"/>
          <w:szCs w:val="24"/>
        </w:rPr>
        <w:t xml:space="preserve">ES </w:t>
      </w:r>
      <w:r w:rsidR="00137CCC">
        <w:rPr>
          <w:rFonts w:ascii="Times New Roman" w:hAnsi="Times New Roman" w:cs="Times New Roman"/>
          <w:sz w:val="24"/>
          <w:szCs w:val="24"/>
        </w:rPr>
        <w:t xml:space="preserve">ETS </w:t>
      </w:r>
      <w:r w:rsidR="00BA1427">
        <w:rPr>
          <w:rFonts w:ascii="Times New Roman" w:hAnsi="Times New Roman" w:cs="Times New Roman"/>
          <w:sz w:val="24"/>
          <w:szCs w:val="24"/>
        </w:rPr>
        <w:t>trešajā</w:t>
      </w:r>
      <w:r w:rsidR="00137CCC">
        <w:rPr>
          <w:rFonts w:ascii="Times New Roman" w:hAnsi="Times New Roman" w:cs="Times New Roman"/>
          <w:sz w:val="24"/>
          <w:szCs w:val="24"/>
        </w:rPr>
        <w:t xml:space="preserve"> periodā varēja pieteikties atsevišķas ES dalībvalstis, t.sk., Latvija. ETS </w:t>
      </w:r>
      <w:r w:rsidR="00BA1427">
        <w:rPr>
          <w:rFonts w:ascii="Times New Roman" w:hAnsi="Times New Roman" w:cs="Times New Roman"/>
          <w:sz w:val="24"/>
          <w:szCs w:val="24"/>
        </w:rPr>
        <w:t>trešajā</w:t>
      </w:r>
      <w:r w:rsidR="00137CCC">
        <w:rPr>
          <w:rFonts w:ascii="Times New Roman" w:hAnsi="Times New Roman" w:cs="Times New Roman"/>
          <w:sz w:val="24"/>
          <w:szCs w:val="24"/>
        </w:rPr>
        <w:t xml:space="preserve"> periodā valstij, kas gribēja pieteikties </w:t>
      </w:r>
      <w:proofErr w:type="spellStart"/>
      <w:r w:rsidR="00137CCC">
        <w:rPr>
          <w:rFonts w:ascii="Times New Roman" w:hAnsi="Times New Roman" w:cs="Times New Roman"/>
          <w:sz w:val="24"/>
          <w:szCs w:val="24"/>
        </w:rPr>
        <w:t>derogācijai</w:t>
      </w:r>
      <w:proofErr w:type="spellEnd"/>
      <w:r w:rsidR="00137CCC">
        <w:rPr>
          <w:rFonts w:ascii="Times New Roman" w:hAnsi="Times New Roman" w:cs="Times New Roman"/>
          <w:sz w:val="24"/>
          <w:szCs w:val="24"/>
        </w:rPr>
        <w:t>, b</w:t>
      </w:r>
      <w:r w:rsidR="003F6A1F">
        <w:rPr>
          <w:rFonts w:ascii="Times New Roman" w:hAnsi="Times New Roman" w:cs="Times New Roman"/>
          <w:sz w:val="24"/>
          <w:szCs w:val="24"/>
        </w:rPr>
        <w:t xml:space="preserve">ija jāiesniedz </w:t>
      </w:r>
      <w:r w:rsidR="003F6A1F" w:rsidRPr="00331489">
        <w:rPr>
          <w:rFonts w:ascii="Times New Roman" w:hAnsi="Times New Roman" w:cs="Times New Roman"/>
          <w:sz w:val="24"/>
          <w:szCs w:val="24"/>
        </w:rPr>
        <w:t xml:space="preserve">EK </w:t>
      </w:r>
      <w:r w:rsidR="00137CCC" w:rsidRPr="00331489">
        <w:rPr>
          <w:rFonts w:ascii="Times New Roman" w:hAnsi="Times New Roman" w:cs="Times New Roman"/>
          <w:sz w:val="24"/>
          <w:szCs w:val="24"/>
        </w:rPr>
        <w:t>valsts plāns, kurā bija jāparedz ieguldījumus infrastruktūras modernizēšanai un atjaunināšanai u</w:t>
      </w:r>
      <w:r w:rsidR="00BA1427" w:rsidRPr="00331489">
        <w:rPr>
          <w:rFonts w:ascii="Times New Roman" w:hAnsi="Times New Roman" w:cs="Times New Roman"/>
          <w:sz w:val="24"/>
          <w:szCs w:val="24"/>
        </w:rPr>
        <w:t>n</w:t>
      </w:r>
      <w:r w:rsidR="00137CCC" w:rsidRPr="00331489">
        <w:rPr>
          <w:rFonts w:ascii="Times New Roman" w:hAnsi="Times New Roman" w:cs="Times New Roman"/>
          <w:sz w:val="24"/>
          <w:szCs w:val="24"/>
        </w:rPr>
        <w:t xml:space="preserve"> tīrajām tehnoloģijām.</w:t>
      </w:r>
      <w:r w:rsidR="00137CCC" w:rsidRPr="00137CCC">
        <w:rPr>
          <w:rFonts w:ascii="Times New Roman" w:hAnsi="Times New Roman" w:cs="Times New Roman"/>
          <w:sz w:val="24"/>
          <w:szCs w:val="24"/>
        </w:rPr>
        <w:t xml:space="preserve"> Valsts plānā </w:t>
      </w:r>
      <w:r w:rsidR="00137CCC">
        <w:rPr>
          <w:rFonts w:ascii="Times New Roman" w:hAnsi="Times New Roman" w:cs="Times New Roman"/>
          <w:sz w:val="24"/>
          <w:szCs w:val="24"/>
        </w:rPr>
        <w:t>bija jā</w:t>
      </w:r>
      <w:r w:rsidR="00137CCC" w:rsidRPr="00137CCC">
        <w:rPr>
          <w:rFonts w:ascii="Times New Roman" w:hAnsi="Times New Roman" w:cs="Times New Roman"/>
          <w:sz w:val="24"/>
          <w:szCs w:val="24"/>
        </w:rPr>
        <w:t xml:space="preserve">paredz arī valsts enerģētikas kompleksa </w:t>
      </w:r>
      <w:r w:rsidR="00137CCC">
        <w:rPr>
          <w:rFonts w:ascii="Times New Roman" w:hAnsi="Times New Roman" w:cs="Times New Roman"/>
          <w:sz w:val="24"/>
          <w:szCs w:val="24"/>
        </w:rPr>
        <w:t>un piegāžu avotu diversifikācija</w:t>
      </w:r>
      <w:r w:rsidR="00137CCC" w:rsidRPr="00137CCC">
        <w:rPr>
          <w:rFonts w:ascii="Times New Roman" w:hAnsi="Times New Roman" w:cs="Times New Roman"/>
          <w:sz w:val="24"/>
          <w:szCs w:val="24"/>
        </w:rPr>
        <w:t xml:space="preserve"> tādā apjomā, kas iespēju robežās ir līdzvērtīgs bezmaksas</w:t>
      </w:r>
      <w:r w:rsidR="00BA1427">
        <w:rPr>
          <w:rFonts w:ascii="Times New Roman" w:hAnsi="Times New Roman" w:cs="Times New Roman"/>
          <w:sz w:val="24"/>
          <w:szCs w:val="24"/>
        </w:rPr>
        <w:t xml:space="preserve"> emisijas</w:t>
      </w:r>
      <w:r w:rsidR="00137CCC" w:rsidRPr="00137CCC">
        <w:rPr>
          <w:rFonts w:ascii="Times New Roman" w:hAnsi="Times New Roman" w:cs="Times New Roman"/>
          <w:sz w:val="24"/>
          <w:szCs w:val="24"/>
        </w:rPr>
        <w:t xml:space="preserve"> kvotu tirgus vērtībai attiecībā uz iecerētajiem ieguldījumiem, ņemot vērā nepieciešamību pēc iespējas samazināt tiešo ietekmi uz cenu palielināšanos.</w:t>
      </w:r>
      <w:r w:rsidR="00137CCC">
        <w:rPr>
          <w:rFonts w:ascii="Times New Roman" w:hAnsi="Times New Roman" w:cs="Times New Roman"/>
          <w:sz w:val="24"/>
          <w:szCs w:val="24"/>
        </w:rPr>
        <w:t xml:space="preserve"> Dalībvalstij</w:t>
      </w:r>
      <w:r w:rsidR="00137CCC" w:rsidRPr="00137CCC">
        <w:rPr>
          <w:rFonts w:ascii="Times New Roman" w:hAnsi="Times New Roman" w:cs="Times New Roman"/>
          <w:sz w:val="24"/>
          <w:szCs w:val="24"/>
        </w:rPr>
        <w:t>, kas vēl</w:t>
      </w:r>
      <w:r w:rsidR="00137CCC">
        <w:rPr>
          <w:rFonts w:ascii="Times New Roman" w:hAnsi="Times New Roman" w:cs="Times New Roman"/>
          <w:sz w:val="24"/>
          <w:szCs w:val="24"/>
        </w:rPr>
        <w:t>ējās</w:t>
      </w:r>
      <w:r w:rsidR="00137CCC" w:rsidRPr="00137CCC">
        <w:rPr>
          <w:rFonts w:ascii="Times New Roman" w:hAnsi="Times New Roman" w:cs="Times New Roman"/>
          <w:sz w:val="24"/>
          <w:szCs w:val="24"/>
        </w:rPr>
        <w:t xml:space="preserve"> sadalīt kvotas, pamatojoties uz šo </w:t>
      </w:r>
      <w:proofErr w:type="spellStart"/>
      <w:r w:rsidR="0001748C">
        <w:rPr>
          <w:rFonts w:ascii="Times New Roman" w:hAnsi="Times New Roman" w:cs="Times New Roman"/>
          <w:sz w:val="24"/>
          <w:szCs w:val="24"/>
        </w:rPr>
        <w:t>derogāciju</w:t>
      </w:r>
      <w:proofErr w:type="spellEnd"/>
      <w:r w:rsidR="00137CCC" w:rsidRPr="00137CCC">
        <w:rPr>
          <w:rFonts w:ascii="Times New Roman" w:hAnsi="Times New Roman" w:cs="Times New Roman"/>
          <w:sz w:val="24"/>
          <w:szCs w:val="24"/>
        </w:rPr>
        <w:t>, līdz 2011.</w:t>
      </w:r>
      <w:r w:rsidR="00CA6C65">
        <w:rPr>
          <w:rFonts w:ascii="Times New Roman" w:hAnsi="Times New Roman" w:cs="Times New Roman"/>
          <w:sz w:val="24"/>
          <w:szCs w:val="24"/>
        </w:rPr>
        <w:t> </w:t>
      </w:r>
      <w:r w:rsidR="00137CCC" w:rsidRPr="00137CCC">
        <w:rPr>
          <w:rFonts w:ascii="Times New Roman" w:hAnsi="Times New Roman" w:cs="Times New Roman"/>
          <w:sz w:val="24"/>
          <w:szCs w:val="24"/>
        </w:rPr>
        <w:t>gada 30.</w:t>
      </w:r>
      <w:r w:rsidR="00CA6C65">
        <w:rPr>
          <w:rFonts w:ascii="Times New Roman" w:hAnsi="Times New Roman" w:cs="Times New Roman"/>
          <w:sz w:val="24"/>
          <w:szCs w:val="24"/>
        </w:rPr>
        <w:t> </w:t>
      </w:r>
      <w:r w:rsidR="00137CCC" w:rsidRPr="00137CCC">
        <w:rPr>
          <w:rFonts w:ascii="Times New Roman" w:hAnsi="Times New Roman" w:cs="Times New Roman"/>
          <w:sz w:val="24"/>
          <w:szCs w:val="24"/>
        </w:rPr>
        <w:t xml:space="preserve">septembrim </w:t>
      </w:r>
      <w:r w:rsidR="0001748C">
        <w:rPr>
          <w:rFonts w:ascii="Times New Roman" w:hAnsi="Times New Roman" w:cs="Times New Roman"/>
          <w:sz w:val="24"/>
          <w:szCs w:val="24"/>
        </w:rPr>
        <w:t>bija jā</w:t>
      </w:r>
      <w:r w:rsidR="00137CCC" w:rsidRPr="00137CCC">
        <w:rPr>
          <w:rFonts w:ascii="Times New Roman" w:hAnsi="Times New Roman" w:cs="Times New Roman"/>
          <w:sz w:val="24"/>
          <w:szCs w:val="24"/>
        </w:rPr>
        <w:t xml:space="preserve">iesniedz </w:t>
      </w:r>
      <w:r>
        <w:rPr>
          <w:rFonts w:ascii="Times New Roman" w:hAnsi="Times New Roman" w:cs="Times New Roman"/>
          <w:sz w:val="24"/>
          <w:szCs w:val="24"/>
        </w:rPr>
        <w:t>EK</w:t>
      </w:r>
      <w:r w:rsidR="00137CCC" w:rsidRPr="00137CCC">
        <w:rPr>
          <w:rFonts w:ascii="Times New Roman" w:hAnsi="Times New Roman" w:cs="Times New Roman"/>
          <w:sz w:val="24"/>
          <w:szCs w:val="24"/>
        </w:rPr>
        <w:t xml:space="preserve"> pieteikum</w:t>
      </w:r>
      <w:r w:rsidR="0001748C">
        <w:rPr>
          <w:rFonts w:ascii="Times New Roman" w:hAnsi="Times New Roman" w:cs="Times New Roman"/>
          <w:sz w:val="24"/>
          <w:szCs w:val="24"/>
        </w:rPr>
        <w:t>s, kurā tika</w:t>
      </w:r>
      <w:r w:rsidR="00137CCC" w:rsidRPr="00137CCC">
        <w:rPr>
          <w:rFonts w:ascii="Times New Roman" w:hAnsi="Times New Roman" w:cs="Times New Roman"/>
          <w:sz w:val="24"/>
          <w:szCs w:val="24"/>
        </w:rPr>
        <w:t xml:space="preserve"> iekļauta ierosinātā sadales metodika un individuālas sadale</w:t>
      </w:r>
      <w:r w:rsidR="0001748C">
        <w:rPr>
          <w:rFonts w:ascii="Times New Roman" w:hAnsi="Times New Roman" w:cs="Times New Roman"/>
          <w:sz w:val="24"/>
          <w:szCs w:val="24"/>
        </w:rPr>
        <w:t xml:space="preserve"> (t.sk. saskaņā ar valsts plānu iecerēto ieguldījumu monitoringa un ieviešanas noteikumus). </w:t>
      </w:r>
      <w:r w:rsidR="006E2330" w:rsidRPr="00315CB5">
        <w:rPr>
          <w:rFonts w:ascii="Times New Roman" w:hAnsi="Times New Roman" w:cs="Times New Roman"/>
          <w:sz w:val="24"/>
          <w:szCs w:val="24"/>
        </w:rPr>
        <w:t>2011.</w:t>
      </w:r>
      <w:r w:rsidR="006E2330">
        <w:rPr>
          <w:rFonts w:ascii="Times New Roman" w:hAnsi="Times New Roman" w:cs="Times New Roman"/>
          <w:sz w:val="24"/>
          <w:szCs w:val="24"/>
        </w:rPr>
        <w:t xml:space="preserve"> </w:t>
      </w:r>
      <w:r w:rsidR="006E2330" w:rsidRPr="00315CB5">
        <w:rPr>
          <w:rFonts w:ascii="Times New Roman" w:hAnsi="Times New Roman" w:cs="Times New Roman"/>
          <w:sz w:val="24"/>
          <w:szCs w:val="24"/>
        </w:rPr>
        <w:t>gada 30.</w:t>
      </w:r>
      <w:r w:rsidR="006E2330">
        <w:rPr>
          <w:rFonts w:ascii="Times New Roman" w:hAnsi="Times New Roman" w:cs="Times New Roman"/>
          <w:sz w:val="24"/>
          <w:szCs w:val="24"/>
        </w:rPr>
        <w:t xml:space="preserve"> </w:t>
      </w:r>
      <w:r w:rsidR="006E2330" w:rsidRPr="00315CB5">
        <w:rPr>
          <w:rFonts w:ascii="Times New Roman" w:hAnsi="Times New Roman" w:cs="Times New Roman"/>
          <w:sz w:val="24"/>
          <w:szCs w:val="24"/>
        </w:rPr>
        <w:t xml:space="preserve">augustā </w:t>
      </w:r>
      <w:r w:rsidR="006E2330">
        <w:rPr>
          <w:rFonts w:ascii="Times New Roman" w:hAnsi="Times New Roman" w:cs="Times New Roman"/>
          <w:sz w:val="24"/>
          <w:szCs w:val="24"/>
        </w:rPr>
        <w:t>Ministru kabinets</w:t>
      </w:r>
      <w:r w:rsidR="006E2330" w:rsidRPr="00315CB5">
        <w:rPr>
          <w:rFonts w:ascii="Times New Roman" w:hAnsi="Times New Roman" w:cs="Times New Roman"/>
          <w:sz w:val="24"/>
          <w:szCs w:val="24"/>
        </w:rPr>
        <w:t xml:space="preserve"> pieņēma lēmumu neatbalstīt bezmaksas emisijas kvotu piešķiršanu elektroenerģijas ražošanai 2013.</w:t>
      </w:r>
      <w:r w:rsidR="006E2330">
        <w:rPr>
          <w:rFonts w:ascii="Times New Roman" w:hAnsi="Times New Roman" w:cs="Times New Roman"/>
          <w:sz w:val="24"/>
          <w:szCs w:val="24"/>
        </w:rPr>
        <w:t xml:space="preserve"> </w:t>
      </w:r>
      <w:r w:rsidR="00CA6C65">
        <w:rPr>
          <w:rFonts w:ascii="Times New Roman" w:hAnsi="Times New Roman" w:cs="Times New Roman"/>
          <w:sz w:val="24"/>
          <w:szCs w:val="24"/>
        </w:rPr>
        <w:t>–</w:t>
      </w:r>
      <w:r w:rsidR="006E2330">
        <w:rPr>
          <w:rFonts w:ascii="Times New Roman" w:hAnsi="Times New Roman" w:cs="Times New Roman"/>
          <w:sz w:val="24"/>
          <w:szCs w:val="24"/>
        </w:rPr>
        <w:t xml:space="preserve"> </w:t>
      </w:r>
      <w:r w:rsidR="006E2330" w:rsidRPr="00315CB5">
        <w:rPr>
          <w:rFonts w:ascii="Times New Roman" w:hAnsi="Times New Roman" w:cs="Times New Roman"/>
          <w:sz w:val="24"/>
          <w:szCs w:val="24"/>
        </w:rPr>
        <w:t>2020.</w:t>
      </w:r>
      <w:r w:rsidR="006E2330">
        <w:rPr>
          <w:rFonts w:ascii="Times New Roman" w:hAnsi="Times New Roman" w:cs="Times New Roman"/>
          <w:sz w:val="24"/>
          <w:szCs w:val="24"/>
        </w:rPr>
        <w:t xml:space="preserve"> </w:t>
      </w:r>
      <w:r w:rsidR="006E2330" w:rsidRPr="00315CB5">
        <w:rPr>
          <w:rFonts w:ascii="Times New Roman" w:hAnsi="Times New Roman" w:cs="Times New Roman"/>
          <w:sz w:val="24"/>
          <w:szCs w:val="24"/>
        </w:rPr>
        <w:t>gadam.</w:t>
      </w:r>
      <w:r w:rsidR="006E2330">
        <w:rPr>
          <w:rStyle w:val="FootnoteReference"/>
          <w:rFonts w:ascii="Times New Roman" w:hAnsi="Times New Roman" w:cs="Times New Roman"/>
          <w:sz w:val="24"/>
          <w:szCs w:val="24"/>
        </w:rPr>
        <w:footnoteReference w:id="7"/>
      </w:r>
    </w:p>
    <w:p w14:paraId="62BCE8EE" w14:textId="596E63F2" w:rsidR="00CB5916" w:rsidRDefault="00CB5916" w:rsidP="00450453">
      <w:pPr>
        <w:spacing w:after="0"/>
        <w:ind w:right="-624"/>
        <w:jc w:val="both"/>
        <w:rPr>
          <w:rFonts w:ascii="Times New Roman" w:hAnsi="Times New Roman" w:cs="Times New Roman"/>
          <w:sz w:val="24"/>
          <w:szCs w:val="24"/>
        </w:rPr>
      </w:pPr>
      <w:r>
        <w:rPr>
          <w:rFonts w:ascii="Times New Roman" w:hAnsi="Times New Roman" w:cs="Times New Roman"/>
          <w:sz w:val="24"/>
          <w:szCs w:val="24"/>
        </w:rPr>
        <w:tab/>
      </w:r>
      <w:r w:rsidR="002421BD">
        <w:rPr>
          <w:rFonts w:ascii="Times New Roman" w:hAnsi="Times New Roman" w:cs="Times New Roman"/>
          <w:sz w:val="24"/>
          <w:szCs w:val="24"/>
        </w:rPr>
        <w:t xml:space="preserve">Ņemot vērā to, ka </w:t>
      </w:r>
      <w:r w:rsidR="000A4F1D">
        <w:rPr>
          <w:rFonts w:ascii="Times New Roman" w:hAnsi="Times New Roman" w:cs="Times New Roman"/>
          <w:sz w:val="24"/>
          <w:szCs w:val="24"/>
        </w:rPr>
        <w:t xml:space="preserve">saskaņā ar iepriekš minēto </w:t>
      </w:r>
      <w:r w:rsidR="00CE2F7A" w:rsidRPr="00E24E95">
        <w:rPr>
          <w:rFonts w:ascii="Times New Roman" w:hAnsi="Times New Roman" w:cs="Times New Roman"/>
          <w:sz w:val="24"/>
          <w:szCs w:val="24"/>
        </w:rPr>
        <w:t xml:space="preserve">Latvija </w:t>
      </w:r>
      <w:r w:rsidR="00CE2F7A">
        <w:rPr>
          <w:rFonts w:ascii="Times New Roman" w:hAnsi="Times New Roman" w:cs="Times New Roman"/>
          <w:sz w:val="24"/>
          <w:szCs w:val="24"/>
        </w:rPr>
        <w:t>atbilst Direktīvas 2003/87/EK 10.c panta 1</w:t>
      </w:r>
      <w:r w:rsidR="00CE2F7A" w:rsidRPr="00640247">
        <w:rPr>
          <w:rFonts w:ascii="Times New Roman" w:hAnsi="Times New Roman" w:cs="Times New Roman"/>
          <w:sz w:val="24"/>
          <w:szCs w:val="24"/>
        </w:rPr>
        <w:t>.</w:t>
      </w:r>
      <w:r w:rsidR="00CE2F7A">
        <w:rPr>
          <w:rFonts w:ascii="Times New Roman" w:hAnsi="Times New Roman" w:cs="Times New Roman"/>
          <w:sz w:val="24"/>
          <w:szCs w:val="24"/>
        </w:rPr>
        <w:t> </w:t>
      </w:r>
      <w:r w:rsidR="00CE2F7A" w:rsidRPr="00640247">
        <w:rPr>
          <w:rFonts w:ascii="Times New Roman" w:hAnsi="Times New Roman" w:cs="Times New Roman"/>
          <w:sz w:val="24"/>
          <w:szCs w:val="24"/>
        </w:rPr>
        <w:t>punkta</w:t>
      </w:r>
      <w:r w:rsidR="00CE2F7A">
        <w:rPr>
          <w:rFonts w:ascii="Times New Roman" w:hAnsi="Times New Roman" w:cs="Times New Roman"/>
          <w:sz w:val="24"/>
          <w:szCs w:val="24"/>
        </w:rPr>
        <w:t xml:space="preserve"> nosacījumam, Latvijai ir</w:t>
      </w:r>
      <w:r w:rsidR="00CE2F7A" w:rsidRPr="00254311">
        <w:rPr>
          <w:rFonts w:ascii="Times New Roman" w:hAnsi="Times New Roman" w:cs="Times New Roman"/>
          <w:sz w:val="24"/>
          <w:szCs w:val="24"/>
        </w:rPr>
        <w:t xml:space="preserve"> dota izvēles iespēja piešķirt bezmaksas emisijas kvotas elektroenerģijas ražošanas iekārtām</w:t>
      </w:r>
      <w:r w:rsidR="002421BD">
        <w:rPr>
          <w:rFonts w:ascii="Times New Roman" w:hAnsi="Times New Roman" w:cs="Times New Roman"/>
          <w:sz w:val="24"/>
          <w:szCs w:val="24"/>
        </w:rPr>
        <w:t xml:space="preserve"> ES ETS ceturtajā periodā</w:t>
      </w:r>
      <w:r w:rsidR="00CE2F7A" w:rsidRPr="00254311">
        <w:rPr>
          <w:rFonts w:ascii="Times New Roman" w:hAnsi="Times New Roman" w:cs="Times New Roman"/>
          <w:sz w:val="24"/>
          <w:szCs w:val="24"/>
        </w:rPr>
        <w:t xml:space="preserve">, ievērojot </w:t>
      </w:r>
      <w:r w:rsidR="00CE2F7A">
        <w:rPr>
          <w:rFonts w:ascii="Times New Roman" w:hAnsi="Times New Roman" w:cs="Times New Roman"/>
          <w:sz w:val="24"/>
          <w:szCs w:val="24"/>
        </w:rPr>
        <w:t xml:space="preserve">turpmāk norādītos </w:t>
      </w:r>
      <w:r w:rsidR="00CE2F7A" w:rsidRPr="001F6D99">
        <w:rPr>
          <w:rFonts w:ascii="Times New Roman" w:hAnsi="Times New Roman" w:cs="Times New Roman"/>
          <w:sz w:val="24"/>
          <w:szCs w:val="24"/>
        </w:rPr>
        <w:t xml:space="preserve">emisijas kvotu piešķiršanas </w:t>
      </w:r>
      <w:r w:rsidR="001D7EE2" w:rsidRPr="00EA59DE">
        <w:rPr>
          <w:rFonts w:ascii="Times New Roman" w:hAnsi="Times New Roman" w:cs="Times New Roman"/>
          <w:sz w:val="24"/>
          <w:szCs w:val="24"/>
        </w:rPr>
        <w:t>nosacījumus</w:t>
      </w:r>
      <w:r w:rsidR="00BB24A4" w:rsidRPr="00EA59DE">
        <w:rPr>
          <w:rFonts w:ascii="Times New Roman" w:hAnsi="Times New Roman" w:cs="Times New Roman"/>
          <w:sz w:val="24"/>
          <w:szCs w:val="24"/>
        </w:rPr>
        <w:t xml:space="preserve"> – investīciju mērķis, vērtība, </w:t>
      </w:r>
      <w:proofErr w:type="spellStart"/>
      <w:r w:rsidR="00BB24A4" w:rsidRPr="00EA59DE">
        <w:rPr>
          <w:rFonts w:ascii="Times New Roman" w:hAnsi="Times New Roman" w:cs="Times New Roman"/>
          <w:sz w:val="24"/>
          <w:szCs w:val="24"/>
        </w:rPr>
        <w:t>pēcfinansēšana</w:t>
      </w:r>
      <w:proofErr w:type="spellEnd"/>
      <w:r w:rsidR="00BB24A4" w:rsidRPr="00EA59DE">
        <w:rPr>
          <w:rFonts w:ascii="Times New Roman" w:hAnsi="Times New Roman" w:cs="Times New Roman"/>
          <w:sz w:val="24"/>
          <w:szCs w:val="24"/>
        </w:rPr>
        <w:t>, ziņošana</w:t>
      </w:r>
      <w:r w:rsidR="00EA59DE" w:rsidRPr="00EA59DE">
        <w:rPr>
          <w:rFonts w:ascii="Times New Roman" w:hAnsi="Times New Roman" w:cs="Times New Roman"/>
          <w:sz w:val="24"/>
          <w:szCs w:val="24"/>
        </w:rPr>
        <w:t>,</w:t>
      </w:r>
      <w:r w:rsidR="00BB24A4" w:rsidRPr="00EA59DE">
        <w:rPr>
          <w:rFonts w:ascii="Times New Roman" w:hAnsi="Times New Roman" w:cs="Times New Roman"/>
          <w:sz w:val="24"/>
          <w:szCs w:val="24"/>
        </w:rPr>
        <w:t xml:space="preserve"> procedūra</w:t>
      </w:r>
      <w:r w:rsidR="00EA59DE" w:rsidRPr="00EA59DE">
        <w:rPr>
          <w:rFonts w:ascii="Times New Roman" w:hAnsi="Times New Roman" w:cs="Times New Roman"/>
          <w:sz w:val="24"/>
          <w:szCs w:val="24"/>
        </w:rPr>
        <w:t xml:space="preserve">, pieejamā </w:t>
      </w:r>
      <w:r w:rsidR="00021B9E">
        <w:rPr>
          <w:rFonts w:ascii="Times New Roman" w:hAnsi="Times New Roman" w:cs="Times New Roman"/>
          <w:sz w:val="24"/>
          <w:szCs w:val="24"/>
        </w:rPr>
        <w:t>emisijas kvotu piešķīruma ierobežojumi</w:t>
      </w:r>
      <w:r w:rsidR="001D7EE2" w:rsidRPr="00EA59DE">
        <w:rPr>
          <w:rFonts w:ascii="Times New Roman" w:hAnsi="Times New Roman" w:cs="Times New Roman"/>
          <w:sz w:val="24"/>
          <w:szCs w:val="24"/>
        </w:rPr>
        <w:t>.</w:t>
      </w:r>
    </w:p>
    <w:p w14:paraId="64A9F67C" w14:textId="77777777" w:rsidR="00331489" w:rsidRDefault="00331489" w:rsidP="00450453">
      <w:pPr>
        <w:spacing w:after="0"/>
        <w:ind w:right="-624"/>
        <w:jc w:val="both"/>
        <w:rPr>
          <w:rFonts w:ascii="Times New Roman" w:hAnsi="Times New Roman" w:cs="Times New Roman"/>
          <w:sz w:val="24"/>
          <w:szCs w:val="24"/>
        </w:rPr>
      </w:pPr>
    </w:p>
    <w:p w14:paraId="20829E96" w14:textId="04DCA43F" w:rsidR="001E4863" w:rsidRPr="00EA59DE" w:rsidRDefault="001E4863" w:rsidP="00450453">
      <w:pPr>
        <w:pStyle w:val="ListParagraph"/>
        <w:numPr>
          <w:ilvl w:val="0"/>
          <w:numId w:val="29"/>
        </w:numPr>
        <w:spacing w:after="0"/>
        <w:ind w:right="-625"/>
        <w:jc w:val="both"/>
        <w:rPr>
          <w:rFonts w:ascii="Times New Roman" w:hAnsi="Times New Roman" w:cs="Times New Roman"/>
          <w:b/>
          <w:sz w:val="24"/>
          <w:szCs w:val="24"/>
        </w:rPr>
      </w:pPr>
      <w:r w:rsidRPr="00EA59DE">
        <w:rPr>
          <w:rFonts w:ascii="Times New Roman" w:hAnsi="Times New Roman" w:cs="Times New Roman"/>
          <w:b/>
          <w:sz w:val="24"/>
          <w:szCs w:val="24"/>
        </w:rPr>
        <w:t>Investīciju mērķis</w:t>
      </w:r>
    </w:p>
    <w:p w14:paraId="744BB204" w14:textId="7450D512" w:rsidR="004207A2" w:rsidRDefault="007D7A52" w:rsidP="001F6D99">
      <w:pPr>
        <w:spacing w:after="0"/>
        <w:ind w:right="-625" w:firstLine="360"/>
        <w:jc w:val="both"/>
        <w:rPr>
          <w:rFonts w:ascii="Times New Roman" w:hAnsi="Times New Roman" w:cs="Times New Roman"/>
          <w:sz w:val="24"/>
          <w:szCs w:val="24"/>
        </w:rPr>
      </w:pPr>
      <w:r w:rsidRPr="00EA59DE">
        <w:rPr>
          <w:rFonts w:ascii="Times New Roman" w:hAnsi="Times New Roman" w:cs="Times New Roman"/>
          <w:sz w:val="24"/>
          <w:szCs w:val="24"/>
        </w:rPr>
        <w:t xml:space="preserve">Saskaņā ar Direktīvas 2003/87/EK </w:t>
      </w:r>
      <w:r w:rsidR="00434CAB">
        <w:rPr>
          <w:rFonts w:ascii="Times New Roman" w:hAnsi="Times New Roman" w:cs="Times New Roman"/>
          <w:sz w:val="24"/>
          <w:szCs w:val="24"/>
        </w:rPr>
        <w:t>10.c panta 1. un 2. punkt</w:t>
      </w:r>
      <w:r w:rsidR="0064208C">
        <w:rPr>
          <w:rFonts w:ascii="Times New Roman" w:hAnsi="Times New Roman" w:cs="Times New Roman"/>
          <w:sz w:val="24"/>
          <w:szCs w:val="24"/>
        </w:rPr>
        <w:t>u</w:t>
      </w:r>
      <w:r w:rsidR="00434CAB">
        <w:rPr>
          <w:rFonts w:ascii="Times New Roman" w:hAnsi="Times New Roman" w:cs="Times New Roman"/>
          <w:sz w:val="24"/>
          <w:szCs w:val="24"/>
        </w:rPr>
        <w:t xml:space="preserve"> </w:t>
      </w:r>
      <w:r w:rsidRPr="00EA59DE">
        <w:rPr>
          <w:rFonts w:ascii="Times New Roman" w:hAnsi="Times New Roman" w:cs="Times New Roman"/>
          <w:sz w:val="24"/>
          <w:szCs w:val="24"/>
        </w:rPr>
        <w:t xml:space="preserve">atbalstāmas ir </w:t>
      </w:r>
      <w:r w:rsidR="002421BD" w:rsidRPr="00EA59DE">
        <w:rPr>
          <w:rFonts w:ascii="Times New Roman" w:hAnsi="Times New Roman" w:cs="Times New Roman"/>
          <w:sz w:val="24"/>
          <w:szCs w:val="24"/>
        </w:rPr>
        <w:t>esoš</w:t>
      </w:r>
      <w:r w:rsidR="002421BD">
        <w:rPr>
          <w:rFonts w:ascii="Times New Roman" w:hAnsi="Times New Roman" w:cs="Times New Roman"/>
          <w:sz w:val="24"/>
          <w:szCs w:val="24"/>
        </w:rPr>
        <w:t>o</w:t>
      </w:r>
      <w:r w:rsidR="002421BD" w:rsidRPr="00EA59DE">
        <w:rPr>
          <w:rFonts w:ascii="Times New Roman" w:hAnsi="Times New Roman" w:cs="Times New Roman"/>
          <w:sz w:val="24"/>
          <w:szCs w:val="24"/>
        </w:rPr>
        <w:t xml:space="preserve"> ES ETS operator</w:t>
      </w:r>
      <w:r w:rsidR="002421BD">
        <w:rPr>
          <w:rFonts w:ascii="Times New Roman" w:hAnsi="Times New Roman" w:cs="Times New Roman"/>
          <w:sz w:val="24"/>
          <w:szCs w:val="24"/>
        </w:rPr>
        <w:t>u</w:t>
      </w:r>
      <w:r w:rsidR="002421BD" w:rsidRPr="00EA59DE">
        <w:rPr>
          <w:rFonts w:ascii="Times New Roman" w:hAnsi="Times New Roman" w:cs="Times New Roman"/>
          <w:sz w:val="24"/>
          <w:szCs w:val="24"/>
        </w:rPr>
        <w:t xml:space="preserve"> </w:t>
      </w:r>
      <w:r w:rsidRPr="00EA59DE">
        <w:rPr>
          <w:rFonts w:ascii="Times New Roman" w:hAnsi="Times New Roman" w:cs="Times New Roman"/>
          <w:sz w:val="24"/>
          <w:szCs w:val="24"/>
        </w:rPr>
        <w:t>jaunas investīcijas elektroenerģijas ražošanas iekārtā</w:t>
      </w:r>
      <w:r w:rsidR="002421BD">
        <w:rPr>
          <w:rFonts w:ascii="Times New Roman" w:hAnsi="Times New Roman" w:cs="Times New Roman"/>
          <w:sz w:val="24"/>
          <w:szCs w:val="24"/>
        </w:rPr>
        <w:t>s.</w:t>
      </w:r>
      <w:r w:rsidR="00B46F07">
        <w:rPr>
          <w:rFonts w:ascii="Times New Roman" w:hAnsi="Times New Roman" w:cs="Times New Roman"/>
          <w:sz w:val="24"/>
          <w:szCs w:val="24"/>
        </w:rPr>
        <w:t xml:space="preserve"> </w:t>
      </w:r>
      <w:r w:rsidR="002421BD">
        <w:rPr>
          <w:rFonts w:ascii="Times New Roman" w:hAnsi="Times New Roman" w:cs="Times New Roman"/>
          <w:sz w:val="24"/>
          <w:szCs w:val="24"/>
        </w:rPr>
        <w:t>I</w:t>
      </w:r>
      <w:r w:rsidRPr="00EA59DE">
        <w:rPr>
          <w:rFonts w:ascii="Times New Roman" w:hAnsi="Times New Roman" w:cs="Times New Roman"/>
          <w:sz w:val="24"/>
          <w:szCs w:val="24"/>
        </w:rPr>
        <w:t xml:space="preserve">nvestīcijām ir jābūt papildinošām, nepārprotami jāatbilst nomaiņas un modernizācijas vajadzībām un </w:t>
      </w:r>
      <w:r w:rsidR="00A65D02" w:rsidRPr="00EA59DE">
        <w:rPr>
          <w:rFonts w:ascii="Times New Roman" w:hAnsi="Times New Roman" w:cs="Times New Roman"/>
          <w:sz w:val="24"/>
          <w:szCs w:val="24"/>
        </w:rPr>
        <w:t xml:space="preserve">tās </w:t>
      </w:r>
      <w:r w:rsidRPr="00EA59DE">
        <w:rPr>
          <w:rFonts w:ascii="Times New Roman" w:hAnsi="Times New Roman" w:cs="Times New Roman"/>
          <w:sz w:val="24"/>
          <w:szCs w:val="24"/>
        </w:rPr>
        <w:t xml:space="preserve">nedrīkst radīt tirgus virzītu </w:t>
      </w:r>
      <w:proofErr w:type="spellStart"/>
      <w:r w:rsidRPr="00EA59DE">
        <w:rPr>
          <w:rFonts w:ascii="Times New Roman" w:hAnsi="Times New Roman" w:cs="Times New Roman"/>
          <w:sz w:val="24"/>
          <w:szCs w:val="24"/>
        </w:rPr>
        <w:t>energopieprasījuma</w:t>
      </w:r>
      <w:proofErr w:type="spellEnd"/>
      <w:r w:rsidRPr="00EA59DE">
        <w:rPr>
          <w:rFonts w:ascii="Times New Roman" w:hAnsi="Times New Roman" w:cs="Times New Roman"/>
          <w:sz w:val="24"/>
          <w:szCs w:val="24"/>
        </w:rPr>
        <w:t xml:space="preserve"> pieaugumu. </w:t>
      </w:r>
    </w:p>
    <w:p w14:paraId="4EDB89E3" w14:textId="77777777" w:rsidR="00E25EF5" w:rsidRDefault="00E25EF5" w:rsidP="001F6D99">
      <w:pPr>
        <w:spacing w:after="0"/>
        <w:ind w:right="-625" w:firstLine="360"/>
        <w:jc w:val="both"/>
        <w:rPr>
          <w:rFonts w:ascii="Times New Roman" w:hAnsi="Times New Roman" w:cs="Times New Roman"/>
          <w:sz w:val="24"/>
          <w:szCs w:val="24"/>
        </w:rPr>
      </w:pPr>
    </w:p>
    <w:p w14:paraId="6761E097" w14:textId="77777777" w:rsidR="00331489" w:rsidRPr="00EA59DE" w:rsidRDefault="00331489" w:rsidP="001F6D99">
      <w:pPr>
        <w:spacing w:after="0"/>
        <w:ind w:right="-625" w:firstLine="360"/>
        <w:jc w:val="both"/>
        <w:rPr>
          <w:rFonts w:ascii="Times New Roman" w:hAnsi="Times New Roman" w:cs="Times New Roman"/>
          <w:sz w:val="24"/>
          <w:szCs w:val="24"/>
        </w:rPr>
      </w:pPr>
    </w:p>
    <w:p w14:paraId="48BC31F5" w14:textId="5FF622E0" w:rsidR="004207A2" w:rsidRPr="00EA59DE" w:rsidRDefault="004207A2" w:rsidP="00450453">
      <w:pPr>
        <w:pStyle w:val="ListParagraph"/>
        <w:numPr>
          <w:ilvl w:val="0"/>
          <w:numId w:val="29"/>
        </w:numPr>
        <w:spacing w:after="0"/>
        <w:ind w:right="-625"/>
        <w:jc w:val="both"/>
        <w:rPr>
          <w:rFonts w:ascii="Times New Roman" w:hAnsi="Times New Roman" w:cs="Times New Roman"/>
          <w:b/>
          <w:sz w:val="24"/>
          <w:szCs w:val="24"/>
        </w:rPr>
      </w:pPr>
      <w:r w:rsidRPr="00EA59DE">
        <w:rPr>
          <w:rFonts w:ascii="Times New Roman" w:hAnsi="Times New Roman" w:cs="Times New Roman"/>
          <w:b/>
          <w:sz w:val="24"/>
          <w:szCs w:val="24"/>
        </w:rPr>
        <w:t>Investīciju vērtība</w:t>
      </w:r>
    </w:p>
    <w:p w14:paraId="41631D61" w14:textId="69C938F9" w:rsidR="00BB24A4" w:rsidRDefault="00747093" w:rsidP="001F6D99">
      <w:pPr>
        <w:spacing w:after="0"/>
        <w:ind w:right="-625" w:firstLine="360"/>
        <w:jc w:val="both"/>
        <w:rPr>
          <w:rFonts w:ascii="Times New Roman" w:hAnsi="Times New Roman" w:cs="Times New Roman"/>
          <w:sz w:val="24"/>
          <w:szCs w:val="24"/>
        </w:rPr>
      </w:pPr>
      <w:r>
        <w:rPr>
          <w:rFonts w:ascii="Times New Roman" w:hAnsi="Times New Roman" w:cs="Times New Roman"/>
          <w:sz w:val="24"/>
          <w:szCs w:val="24"/>
        </w:rPr>
        <w:t>Par veiktajām investīcijām elektroenerģijas ražošanas iekārtām atbalstam tiks piešķirtas bezmaksas kvotas, nevis naudas līdzekļi</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w:t>
      </w:r>
      <w:r w:rsidRPr="00747093">
        <w:rPr>
          <w:rFonts w:ascii="Times New Roman" w:hAnsi="Times New Roman" w:cs="Times New Roman"/>
          <w:sz w:val="24"/>
          <w:szCs w:val="24"/>
        </w:rPr>
        <w:t xml:space="preserve"> </w:t>
      </w:r>
      <w:r w:rsidRPr="00EA59DE">
        <w:rPr>
          <w:rFonts w:ascii="Times New Roman" w:hAnsi="Times New Roman" w:cs="Times New Roman"/>
          <w:sz w:val="24"/>
          <w:szCs w:val="24"/>
        </w:rPr>
        <w:t xml:space="preserve">Ar </w:t>
      </w:r>
      <w:r w:rsidR="0064208C">
        <w:rPr>
          <w:rFonts w:ascii="Times New Roman" w:hAnsi="Times New Roman" w:cs="Times New Roman"/>
          <w:sz w:val="24"/>
          <w:szCs w:val="24"/>
        </w:rPr>
        <w:t>bezmaksas emisijas kvotām</w:t>
      </w:r>
      <w:r w:rsidR="0064208C" w:rsidRPr="00EA59DE">
        <w:rPr>
          <w:rFonts w:ascii="Times New Roman" w:hAnsi="Times New Roman" w:cs="Times New Roman"/>
          <w:sz w:val="24"/>
          <w:szCs w:val="24"/>
        </w:rPr>
        <w:t xml:space="preserve"> </w:t>
      </w:r>
      <w:r w:rsidRPr="00EA59DE">
        <w:rPr>
          <w:rFonts w:ascii="Times New Roman" w:hAnsi="Times New Roman" w:cs="Times New Roman"/>
          <w:sz w:val="24"/>
          <w:szCs w:val="24"/>
        </w:rPr>
        <w:t>tiek segtas līdz 70 % no investīciju izmaksām, piešķirot bezmaksas emisijas kvotas</w:t>
      </w:r>
      <w:r>
        <w:rPr>
          <w:rFonts w:ascii="Times New Roman" w:hAnsi="Times New Roman" w:cs="Times New Roman"/>
          <w:sz w:val="24"/>
          <w:szCs w:val="24"/>
        </w:rPr>
        <w:t>.</w:t>
      </w:r>
      <w:r w:rsidRPr="00EA59DE">
        <w:rPr>
          <w:rFonts w:ascii="Times New Roman" w:hAnsi="Times New Roman" w:cs="Times New Roman"/>
          <w:sz w:val="24"/>
          <w:szCs w:val="24"/>
        </w:rPr>
        <w:t xml:space="preserve"> </w:t>
      </w:r>
      <w:r>
        <w:rPr>
          <w:rFonts w:ascii="Times New Roman" w:hAnsi="Times New Roman" w:cs="Times New Roman"/>
          <w:sz w:val="24"/>
          <w:szCs w:val="24"/>
        </w:rPr>
        <w:t>Pārējās</w:t>
      </w:r>
      <w:r w:rsidRPr="00EA59DE">
        <w:rPr>
          <w:rFonts w:ascii="Times New Roman" w:hAnsi="Times New Roman" w:cs="Times New Roman"/>
          <w:sz w:val="24"/>
          <w:szCs w:val="24"/>
        </w:rPr>
        <w:t xml:space="preserve"> izmaksas </w:t>
      </w:r>
      <w:r>
        <w:rPr>
          <w:rFonts w:ascii="Times New Roman" w:hAnsi="Times New Roman" w:cs="Times New Roman"/>
          <w:sz w:val="24"/>
          <w:szCs w:val="24"/>
        </w:rPr>
        <w:t xml:space="preserve">(vismaz 30% no investīciju apjoma) </w:t>
      </w:r>
      <w:r w:rsidRPr="00EA59DE">
        <w:rPr>
          <w:rFonts w:ascii="Times New Roman" w:hAnsi="Times New Roman" w:cs="Times New Roman"/>
          <w:sz w:val="24"/>
          <w:szCs w:val="24"/>
        </w:rPr>
        <w:t>sedz privātas juridiskās personas</w:t>
      </w:r>
      <w:r w:rsidR="006E2330">
        <w:rPr>
          <w:rFonts w:ascii="Times New Roman" w:hAnsi="Times New Roman" w:cs="Times New Roman"/>
          <w:sz w:val="24"/>
          <w:szCs w:val="24"/>
        </w:rPr>
        <w:t>, kas varētu būt gan pats uzņēmums, kam pieder iekārta, gan arī kāds cits investors</w:t>
      </w:r>
      <w:r w:rsidRPr="00EA59DE">
        <w:rPr>
          <w:rFonts w:ascii="Times New Roman" w:hAnsi="Times New Roman" w:cs="Times New Roman"/>
          <w:sz w:val="24"/>
          <w:szCs w:val="24"/>
        </w:rPr>
        <w:t xml:space="preserve">. </w:t>
      </w:r>
      <w:r>
        <w:rPr>
          <w:rFonts w:ascii="Times New Roman" w:hAnsi="Times New Roman" w:cs="Times New Roman"/>
          <w:sz w:val="24"/>
          <w:szCs w:val="24"/>
        </w:rPr>
        <w:t xml:space="preserve"> </w:t>
      </w:r>
      <w:r w:rsidR="00CE2F7A" w:rsidRPr="00EA59DE">
        <w:rPr>
          <w:rFonts w:ascii="Times New Roman" w:hAnsi="Times New Roman" w:cs="Times New Roman"/>
          <w:sz w:val="24"/>
          <w:szCs w:val="24"/>
        </w:rPr>
        <w:t>Saskaņā ar Direktīvas 2003/87/EK 10.c pant</w:t>
      </w:r>
      <w:r w:rsidR="0064208C">
        <w:rPr>
          <w:rFonts w:ascii="Times New Roman" w:hAnsi="Times New Roman" w:cs="Times New Roman"/>
          <w:sz w:val="24"/>
          <w:szCs w:val="24"/>
        </w:rPr>
        <w:t>a 3. punktu</w:t>
      </w:r>
      <w:r w:rsidR="00CE2F7A" w:rsidRPr="00EA59DE">
        <w:rPr>
          <w:rFonts w:ascii="Times New Roman" w:hAnsi="Times New Roman" w:cs="Times New Roman"/>
          <w:sz w:val="24"/>
          <w:szCs w:val="24"/>
        </w:rPr>
        <w:t xml:space="preserve"> </w:t>
      </w:r>
      <w:r w:rsidR="00717D2C" w:rsidRPr="00EA59DE">
        <w:rPr>
          <w:rFonts w:ascii="Times New Roman" w:hAnsi="Times New Roman" w:cs="Times New Roman"/>
          <w:sz w:val="24"/>
          <w:szCs w:val="24"/>
        </w:rPr>
        <w:t xml:space="preserve">plānoto </w:t>
      </w:r>
      <w:r w:rsidR="00CE2F7A" w:rsidRPr="00EA59DE">
        <w:rPr>
          <w:rFonts w:ascii="Times New Roman" w:hAnsi="Times New Roman" w:cs="Times New Roman"/>
          <w:sz w:val="24"/>
          <w:szCs w:val="24"/>
        </w:rPr>
        <w:t xml:space="preserve">investīciju vērtībai ir jābūt vismaz vienādai ar piešķirto bezmaksas </w:t>
      </w:r>
      <w:r w:rsidR="002421BD">
        <w:rPr>
          <w:rFonts w:ascii="Times New Roman" w:hAnsi="Times New Roman" w:cs="Times New Roman"/>
          <w:sz w:val="24"/>
          <w:szCs w:val="24"/>
        </w:rPr>
        <w:t xml:space="preserve">emisijas </w:t>
      </w:r>
      <w:r w:rsidR="00CE2F7A" w:rsidRPr="00EA59DE">
        <w:rPr>
          <w:rFonts w:ascii="Times New Roman" w:hAnsi="Times New Roman" w:cs="Times New Roman"/>
          <w:sz w:val="24"/>
          <w:szCs w:val="24"/>
        </w:rPr>
        <w:t xml:space="preserve">kvotu tirgus vērtību, kas ir </w:t>
      </w:r>
      <w:r w:rsidR="002421BD">
        <w:rPr>
          <w:rFonts w:ascii="Times New Roman" w:hAnsi="Times New Roman" w:cs="Times New Roman"/>
          <w:sz w:val="24"/>
          <w:szCs w:val="24"/>
        </w:rPr>
        <w:t xml:space="preserve">emisijas </w:t>
      </w:r>
      <w:r w:rsidR="002421BD" w:rsidRPr="00EA59DE">
        <w:rPr>
          <w:rFonts w:ascii="Times New Roman" w:hAnsi="Times New Roman" w:cs="Times New Roman"/>
          <w:sz w:val="24"/>
          <w:szCs w:val="24"/>
        </w:rPr>
        <w:t>kvot</w:t>
      </w:r>
      <w:r w:rsidR="002421BD">
        <w:rPr>
          <w:rFonts w:ascii="Times New Roman" w:hAnsi="Times New Roman" w:cs="Times New Roman"/>
          <w:sz w:val="24"/>
          <w:szCs w:val="24"/>
        </w:rPr>
        <w:t>as</w:t>
      </w:r>
      <w:r w:rsidR="002421BD" w:rsidRPr="00EA59DE">
        <w:rPr>
          <w:rFonts w:ascii="Times New Roman" w:hAnsi="Times New Roman" w:cs="Times New Roman"/>
          <w:sz w:val="24"/>
          <w:szCs w:val="24"/>
        </w:rPr>
        <w:t xml:space="preserve"> </w:t>
      </w:r>
      <w:r w:rsidR="00CE2F7A" w:rsidRPr="00EA59DE">
        <w:rPr>
          <w:rFonts w:ascii="Times New Roman" w:hAnsi="Times New Roman" w:cs="Times New Roman"/>
          <w:sz w:val="24"/>
          <w:szCs w:val="24"/>
        </w:rPr>
        <w:t>vidējā cena kopējā izsoles platformā</w:t>
      </w:r>
      <w:r w:rsidR="00860D7D">
        <w:rPr>
          <w:rStyle w:val="FootnoteReference"/>
          <w:rFonts w:ascii="Times New Roman" w:hAnsi="Times New Roman" w:cs="Times New Roman"/>
          <w:sz w:val="24"/>
          <w:szCs w:val="24"/>
        </w:rPr>
        <w:footnoteReference w:id="9"/>
      </w:r>
      <w:r w:rsidR="00CE2F7A" w:rsidRPr="00EA59DE">
        <w:rPr>
          <w:rFonts w:ascii="Times New Roman" w:hAnsi="Times New Roman" w:cs="Times New Roman"/>
          <w:sz w:val="24"/>
          <w:szCs w:val="24"/>
        </w:rPr>
        <w:t xml:space="preserve"> iepriekšējā kalendārajā gadā. </w:t>
      </w:r>
    </w:p>
    <w:p w14:paraId="30F1F020" w14:textId="77777777" w:rsidR="00331489" w:rsidRPr="00EA59DE" w:rsidRDefault="00331489" w:rsidP="001F6D99">
      <w:pPr>
        <w:spacing w:after="0"/>
        <w:ind w:right="-625" w:firstLine="360"/>
        <w:jc w:val="both"/>
        <w:rPr>
          <w:rFonts w:ascii="Times New Roman" w:hAnsi="Times New Roman" w:cs="Times New Roman"/>
          <w:sz w:val="24"/>
          <w:szCs w:val="24"/>
        </w:rPr>
      </w:pPr>
    </w:p>
    <w:p w14:paraId="256C5F8B" w14:textId="51422884" w:rsidR="004207A2" w:rsidRPr="00EA59DE" w:rsidRDefault="004207A2" w:rsidP="00450453">
      <w:pPr>
        <w:pStyle w:val="ListParagraph"/>
        <w:numPr>
          <w:ilvl w:val="0"/>
          <w:numId w:val="29"/>
        </w:numPr>
        <w:spacing w:after="0"/>
        <w:ind w:right="-625"/>
        <w:jc w:val="both"/>
        <w:rPr>
          <w:rFonts w:ascii="Times New Roman" w:hAnsi="Times New Roman" w:cs="Times New Roman"/>
          <w:b/>
          <w:sz w:val="24"/>
          <w:szCs w:val="24"/>
        </w:rPr>
      </w:pPr>
      <w:r w:rsidRPr="00EA59DE">
        <w:rPr>
          <w:rFonts w:ascii="Times New Roman" w:hAnsi="Times New Roman" w:cs="Times New Roman"/>
          <w:b/>
          <w:sz w:val="24"/>
          <w:szCs w:val="24"/>
        </w:rPr>
        <w:t xml:space="preserve">Projektu </w:t>
      </w:r>
      <w:proofErr w:type="spellStart"/>
      <w:r w:rsidRPr="00EA59DE">
        <w:rPr>
          <w:rFonts w:ascii="Times New Roman" w:hAnsi="Times New Roman" w:cs="Times New Roman"/>
          <w:b/>
          <w:sz w:val="24"/>
          <w:szCs w:val="24"/>
        </w:rPr>
        <w:t>pēcfinansēšana</w:t>
      </w:r>
      <w:proofErr w:type="spellEnd"/>
    </w:p>
    <w:p w14:paraId="42F25C1E" w14:textId="679BA031" w:rsidR="00A65D02" w:rsidRDefault="002015DA" w:rsidP="00A65D02">
      <w:pPr>
        <w:spacing w:after="0"/>
        <w:ind w:right="-625" w:firstLine="360"/>
        <w:jc w:val="both"/>
        <w:rPr>
          <w:rFonts w:ascii="Times New Roman" w:hAnsi="Times New Roman" w:cs="Times New Roman"/>
          <w:sz w:val="24"/>
          <w:szCs w:val="24"/>
        </w:rPr>
      </w:pPr>
      <w:r w:rsidRPr="00EA59DE">
        <w:rPr>
          <w:rFonts w:ascii="Times New Roman" w:hAnsi="Times New Roman" w:cs="Times New Roman"/>
          <w:sz w:val="24"/>
          <w:szCs w:val="24"/>
        </w:rPr>
        <w:t>Saskaņā ar Direktīvas 2003/87/EK</w:t>
      </w:r>
      <w:r w:rsidR="0064208C">
        <w:rPr>
          <w:rFonts w:ascii="Times New Roman" w:hAnsi="Times New Roman" w:cs="Times New Roman"/>
          <w:sz w:val="24"/>
          <w:szCs w:val="24"/>
        </w:rPr>
        <w:t xml:space="preserve"> 10.c panta 6. punktu </w:t>
      </w:r>
      <w:r w:rsidR="00A65D02" w:rsidRPr="00EA59DE">
        <w:rPr>
          <w:rFonts w:ascii="Times New Roman" w:hAnsi="Times New Roman" w:cs="Times New Roman"/>
          <w:sz w:val="24"/>
          <w:szCs w:val="24"/>
        </w:rPr>
        <w:t xml:space="preserve">bezmaksas emisijas </w:t>
      </w:r>
      <w:r w:rsidRPr="00EA59DE">
        <w:rPr>
          <w:rFonts w:ascii="Times New Roman" w:hAnsi="Times New Roman" w:cs="Times New Roman"/>
          <w:sz w:val="24"/>
          <w:szCs w:val="24"/>
        </w:rPr>
        <w:t>k</w:t>
      </w:r>
      <w:r w:rsidR="00CE2F7A" w:rsidRPr="00EA59DE">
        <w:rPr>
          <w:rFonts w:ascii="Times New Roman" w:hAnsi="Times New Roman" w:cs="Times New Roman"/>
          <w:sz w:val="24"/>
          <w:szCs w:val="24"/>
        </w:rPr>
        <w:t xml:space="preserve">votas operatoriem piešķir, kad tie pierāda, ka ir veiktas investīcijas saskaņā ar konkursa procesa noteikumiem. Ja investīciju rezultātā rodas papildu elektroenerģijas ražošanas jauda, attiecīgais operators arī pierāda, ka tas vai cits saistīts operators pirms papildu jaudas darbības sākuma ir pārtraucis ekspluatēt atbilstīgu apjomu elektroenerģijas ražošanas jaudas ar lielāku </w:t>
      </w:r>
      <w:proofErr w:type="spellStart"/>
      <w:r w:rsidR="00CE2F7A" w:rsidRPr="00EA59DE">
        <w:rPr>
          <w:rFonts w:ascii="Times New Roman" w:hAnsi="Times New Roman" w:cs="Times New Roman"/>
          <w:sz w:val="24"/>
          <w:szCs w:val="24"/>
        </w:rPr>
        <w:t>emisijietilpību</w:t>
      </w:r>
      <w:proofErr w:type="spellEnd"/>
      <w:r w:rsidR="00CE2F7A" w:rsidRPr="00EA59DE">
        <w:rPr>
          <w:rFonts w:ascii="Times New Roman" w:hAnsi="Times New Roman" w:cs="Times New Roman"/>
          <w:sz w:val="24"/>
          <w:szCs w:val="24"/>
        </w:rPr>
        <w:t>.</w:t>
      </w:r>
    </w:p>
    <w:p w14:paraId="4C95CB59" w14:textId="77777777" w:rsidR="00331489" w:rsidRPr="00EA59DE" w:rsidRDefault="00331489" w:rsidP="00A65D02">
      <w:pPr>
        <w:spacing w:after="0"/>
        <w:ind w:right="-625" w:firstLine="360"/>
        <w:jc w:val="both"/>
        <w:rPr>
          <w:rFonts w:ascii="Times New Roman" w:hAnsi="Times New Roman" w:cs="Times New Roman"/>
          <w:sz w:val="24"/>
          <w:szCs w:val="24"/>
        </w:rPr>
      </w:pPr>
    </w:p>
    <w:p w14:paraId="3143895C" w14:textId="0F3DAC7D" w:rsidR="00BB24A4" w:rsidRPr="00EA59DE" w:rsidRDefault="00BB24A4" w:rsidP="00450453">
      <w:pPr>
        <w:pStyle w:val="ListParagraph"/>
        <w:numPr>
          <w:ilvl w:val="0"/>
          <w:numId w:val="29"/>
        </w:numPr>
        <w:spacing w:after="0"/>
        <w:ind w:right="-625"/>
        <w:jc w:val="both"/>
        <w:rPr>
          <w:rFonts w:ascii="Times New Roman" w:hAnsi="Times New Roman" w:cs="Times New Roman"/>
          <w:b/>
          <w:sz w:val="24"/>
          <w:szCs w:val="24"/>
        </w:rPr>
      </w:pPr>
      <w:r w:rsidRPr="00EA59DE">
        <w:rPr>
          <w:rFonts w:ascii="Times New Roman" w:hAnsi="Times New Roman" w:cs="Times New Roman"/>
          <w:b/>
          <w:sz w:val="24"/>
          <w:szCs w:val="24"/>
        </w:rPr>
        <w:t>Ziņošanas nosacījumi par atbalsta realizāciju</w:t>
      </w:r>
    </w:p>
    <w:p w14:paraId="66C4C7BC" w14:textId="585D5BAE" w:rsidR="00CE2F7A" w:rsidRDefault="00C1003A" w:rsidP="00A65D02">
      <w:pPr>
        <w:spacing w:after="0"/>
        <w:ind w:right="-625" w:firstLine="360"/>
        <w:jc w:val="both"/>
        <w:rPr>
          <w:rFonts w:ascii="Times New Roman" w:hAnsi="Times New Roman" w:cs="Times New Roman"/>
          <w:sz w:val="24"/>
          <w:szCs w:val="24"/>
        </w:rPr>
      </w:pPr>
      <w:r w:rsidRPr="00EA59DE">
        <w:rPr>
          <w:rFonts w:ascii="Times New Roman" w:hAnsi="Times New Roman" w:cs="Times New Roman"/>
          <w:sz w:val="24"/>
          <w:szCs w:val="24"/>
        </w:rPr>
        <w:t>E</w:t>
      </w:r>
      <w:r w:rsidR="002015DA" w:rsidRPr="00EA59DE">
        <w:rPr>
          <w:rFonts w:ascii="Times New Roman" w:hAnsi="Times New Roman" w:cs="Times New Roman"/>
          <w:sz w:val="24"/>
          <w:szCs w:val="24"/>
        </w:rPr>
        <w:t>lektroenerģijas ražotājiem un tīkla operatoriem</w:t>
      </w:r>
      <w:r w:rsidRPr="00EA59DE">
        <w:rPr>
          <w:rFonts w:ascii="Times New Roman" w:hAnsi="Times New Roman" w:cs="Times New Roman"/>
          <w:sz w:val="24"/>
          <w:szCs w:val="24"/>
        </w:rPr>
        <w:t xml:space="preserve">, kas saņem </w:t>
      </w:r>
      <w:r w:rsidR="006E2330">
        <w:rPr>
          <w:rFonts w:ascii="Times New Roman" w:hAnsi="Times New Roman" w:cs="Times New Roman"/>
          <w:sz w:val="24"/>
          <w:szCs w:val="24"/>
        </w:rPr>
        <w:t xml:space="preserve">bezmaksas kvotas </w:t>
      </w:r>
      <w:proofErr w:type="spellStart"/>
      <w:r w:rsidR="006E2330">
        <w:rPr>
          <w:rFonts w:ascii="Times New Roman" w:hAnsi="Times New Roman" w:cs="Times New Roman"/>
          <w:sz w:val="24"/>
          <w:szCs w:val="24"/>
        </w:rPr>
        <w:t>derogācijas</w:t>
      </w:r>
      <w:proofErr w:type="spellEnd"/>
      <w:r w:rsidR="006E2330">
        <w:rPr>
          <w:rFonts w:ascii="Times New Roman" w:hAnsi="Times New Roman" w:cs="Times New Roman"/>
          <w:sz w:val="24"/>
          <w:szCs w:val="24"/>
        </w:rPr>
        <w:t xml:space="preserve"> kārtā</w:t>
      </w:r>
      <w:r w:rsidR="002421BD">
        <w:rPr>
          <w:rFonts w:ascii="Times New Roman" w:hAnsi="Times New Roman" w:cs="Times New Roman"/>
          <w:sz w:val="24"/>
          <w:szCs w:val="24"/>
        </w:rPr>
        <w:t>,</w:t>
      </w:r>
      <w:r w:rsidR="002015DA" w:rsidRPr="00EA59DE">
        <w:rPr>
          <w:rFonts w:ascii="Times New Roman" w:hAnsi="Times New Roman" w:cs="Times New Roman"/>
          <w:sz w:val="24"/>
          <w:szCs w:val="24"/>
        </w:rPr>
        <w:t xml:space="preserve"> katru gadu līdz 28</w:t>
      </w:r>
      <w:r w:rsidR="007B1C6A" w:rsidRPr="00EA59DE">
        <w:rPr>
          <w:rFonts w:ascii="Times New Roman" w:hAnsi="Times New Roman" w:cs="Times New Roman"/>
          <w:sz w:val="24"/>
          <w:szCs w:val="24"/>
        </w:rPr>
        <w:t>.</w:t>
      </w:r>
      <w:r w:rsidR="007B1C6A">
        <w:rPr>
          <w:rFonts w:ascii="Times New Roman" w:hAnsi="Times New Roman" w:cs="Times New Roman"/>
          <w:sz w:val="24"/>
          <w:szCs w:val="24"/>
        </w:rPr>
        <w:t> </w:t>
      </w:r>
      <w:r w:rsidR="002015DA" w:rsidRPr="00EA59DE">
        <w:rPr>
          <w:rFonts w:ascii="Times New Roman" w:hAnsi="Times New Roman" w:cs="Times New Roman"/>
          <w:sz w:val="24"/>
          <w:szCs w:val="24"/>
        </w:rPr>
        <w:t>februārim būs jāziņo</w:t>
      </w:r>
      <w:r w:rsidR="006E2330">
        <w:rPr>
          <w:rFonts w:ascii="Times New Roman" w:hAnsi="Times New Roman" w:cs="Times New Roman"/>
          <w:sz w:val="24"/>
          <w:szCs w:val="24"/>
        </w:rPr>
        <w:t xml:space="preserve"> </w:t>
      </w:r>
      <w:r w:rsidR="002015DA" w:rsidRPr="00EA59DE">
        <w:rPr>
          <w:rFonts w:ascii="Times New Roman" w:hAnsi="Times New Roman" w:cs="Times New Roman"/>
          <w:sz w:val="24"/>
          <w:szCs w:val="24"/>
        </w:rPr>
        <w:t>par investīciju realizāciju</w:t>
      </w:r>
      <w:r w:rsidR="006E2330">
        <w:rPr>
          <w:rFonts w:ascii="Times New Roman" w:hAnsi="Times New Roman" w:cs="Times New Roman"/>
          <w:sz w:val="24"/>
          <w:szCs w:val="24"/>
        </w:rPr>
        <w:t xml:space="preserve"> dalībvalsts kompetentajai iestādei</w:t>
      </w:r>
      <w:r w:rsidR="002015DA" w:rsidRPr="00EA59DE">
        <w:rPr>
          <w:rFonts w:ascii="Times New Roman" w:hAnsi="Times New Roman" w:cs="Times New Roman"/>
          <w:sz w:val="24"/>
          <w:szCs w:val="24"/>
        </w:rPr>
        <w:t xml:space="preserve">, tostarp par līdzsvaru starp bezmaksas kvotām un investīciju izmaksām, un atbalstīto investīciju veidiem. Dalībvalstīm par to būs jāiesniedz ziņojumus </w:t>
      </w:r>
      <w:r w:rsidR="00A65D02" w:rsidRPr="00EA59DE">
        <w:rPr>
          <w:rFonts w:ascii="Times New Roman" w:hAnsi="Times New Roman" w:cs="Times New Roman"/>
          <w:sz w:val="24"/>
          <w:szCs w:val="24"/>
        </w:rPr>
        <w:t>EK</w:t>
      </w:r>
      <w:r w:rsidR="002015DA" w:rsidRPr="00EA59DE">
        <w:rPr>
          <w:rFonts w:ascii="Times New Roman" w:hAnsi="Times New Roman" w:cs="Times New Roman"/>
          <w:sz w:val="24"/>
          <w:szCs w:val="24"/>
        </w:rPr>
        <w:t xml:space="preserve">, un </w:t>
      </w:r>
      <w:r w:rsidR="00A65D02" w:rsidRPr="00EA59DE">
        <w:rPr>
          <w:rFonts w:ascii="Times New Roman" w:hAnsi="Times New Roman" w:cs="Times New Roman"/>
          <w:sz w:val="24"/>
          <w:szCs w:val="24"/>
        </w:rPr>
        <w:t>EK</w:t>
      </w:r>
      <w:r w:rsidR="002015DA" w:rsidRPr="00EA59DE">
        <w:rPr>
          <w:rFonts w:ascii="Times New Roman" w:hAnsi="Times New Roman" w:cs="Times New Roman"/>
          <w:sz w:val="24"/>
          <w:szCs w:val="24"/>
        </w:rPr>
        <w:t xml:space="preserve"> ziņojumus publiskos.</w:t>
      </w:r>
    </w:p>
    <w:p w14:paraId="29A6F95D" w14:textId="77777777" w:rsidR="00331489" w:rsidRPr="00EA59DE" w:rsidRDefault="00331489" w:rsidP="00A65D02">
      <w:pPr>
        <w:spacing w:after="0"/>
        <w:ind w:right="-625" w:firstLine="360"/>
        <w:jc w:val="both"/>
        <w:rPr>
          <w:rFonts w:ascii="Times New Roman" w:hAnsi="Times New Roman" w:cs="Times New Roman"/>
          <w:sz w:val="24"/>
          <w:szCs w:val="24"/>
        </w:rPr>
      </w:pPr>
    </w:p>
    <w:p w14:paraId="5FE9A6F2" w14:textId="109300EC" w:rsidR="00BB24A4" w:rsidRPr="0064208C" w:rsidRDefault="0064208C" w:rsidP="00450453">
      <w:pPr>
        <w:pStyle w:val="ListParagraph"/>
        <w:numPr>
          <w:ilvl w:val="0"/>
          <w:numId w:val="29"/>
        </w:numPr>
        <w:spacing w:after="0"/>
        <w:ind w:right="-624"/>
        <w:jc w:val="both"/>
        <w:rPr>
          <w:rFonts w:ascii="Times New Roman" w:hAnsi="Times New Roman" w:cs="Times New Roman"/>
          <w:b/>
          <w:sz w:val="24"/>
          <w:szCs w:val="24"/>
        </w:rPr>
      </w:pPr>
      <w:r w:rsidRPr="00E25EF5">
        <w:rPr>
          <w:rFonts w:ascii="Times New Roman" w:hAnsi="Times New Roman" w:cs="Times New Roman"/>
          <w:b/>
          <w:sz w:val="24"/>
          <w:szCs w:val="24"/>
        </w:rPr>
        <w:t xml:space="preserve">Bezmaksas emisijas kvotu </w:t>
      </w:r>
      <w:r w:rsidR="00BB24A4" w:rsidRPr="0064208C">
        <w:rPr>
          <w:rFonts w:ascii="Times New Roman" w:hAnsi="Times New Roman" w:cs="Times New Roman"/>
          <w:b/>
          <w:sz w:val="24"/>
          <w:szCs w:val="24"/>
        </w:rPr>
        <w:t>piešķiršanas procedūra</w:t>
      </w:r>
    </w:p>
    <w:p w14:paraId="21B6713A" w14:textId="0240F679" w:rsidR="00BB24A4" w:rsidRPr="00EA59DE" w:rsidRDefault="00BB24A4" w:rsidP="00BB24A4">
      <w:pPr>
        <w:spacing w:after="0"/>
        <w:ind w:right="-624" w:firstLine="720"/>
        <w:jc w:val="both"/>
        <w:rPr>
          <w:rFonts w:ascii="Times New Roman" w:hAnsi="Times New Roman" w:cs="Times New Roman"/>
          <w:sz w:val="24"/>
          <w:szCs w:val="24"/>
        </w:rPr>
      </w:pPr>
      <w:r w:rsidRPr="00EA59DE">
        <w:rPr>
          <w:rFonts w:ascii="Times New Roman" w:hAnsi="Times New Roman" w:cs="Times New Roman"/>
          <w:sz w:val="24"/>
          <w:szCs w:val="24"/>
        </w:rPr>
        <w:t xml:space="preserve">Ja ar bezmaksas emisijas kvotām atbalstāmo investīciju projektu vērtība ir lielāka par 12,5 miljoniem </w:t>
      </w:r>
      <w:proofErr w:type="spellStart"/>
      <w:r w:rsidRPr="00EA59DE">
        <w:rPr>
          <w:rFonts w:ascii="Times New Roman" w:hAnsi="Times New Roman" w:cs="Times New Roman"/>
          <w:i/>
          <w:sz w:val="24"/>
          <w:szCs w:val="24"/>
        </w:rPr>
        <w:t>euro</w:t>
      </w:r>
      <w:proofErr w:type="spellEnd"/>
      <w:r w:rsidRPr="00EA59DE">
        <w:rPr>
          <w:rFonts w:ascii="Times New Roman" w:hAnsi="Times New Roman" w:cs="Times New Roman"/>
          <w:sz w:val="24"/>
          <w:szCs w:val="24"/>
        </w:rPr>
        <w:t xml:space="preserve">, bezmaksas emisijas kvotu piešķiršana ir </w:t>
      </w:r>
      <w:r w:rsidR="002421BD" w:rsidRPr="00EA59DE">
        <w:rPr>
          <w:rFonts w:ascii="Times New Roman" w:hAnsi="Times New Roman" w:cs="Times New Roman"/>
          <w:sz w:val="24"/>
          <w:szCs w:val="24"/>
        </w:rPr>
        <w:t>jā</w:t>
      </w:r>
      <w:r w:rsidR="002421BD">
        <w:rPr>
          <w:rFonts w:ascii="Times New Roman" w:hAnsi="Times New Roman" w:cs="Times New Roman"/>
          <w:sz w:val="24"/>
          <w:szCs w:val="24"/>
        </w:rPr>
        <w:t>veic,</w:t>
      </w:r>
      <w:r w:rsidR="002421BD" w:rsidRPr="00EA59DE">
        <w:rPr>
          <w:rFonts w:ascii="Times New Roman" w:hAnsi="Times New Roman" w:cs="Times New Roman"/>
          <w:sz w:val="24"/>
          <w:szCs w:val="24"/>
        </w:rPr>
        <w:t xml:space="preserve"> </w:t>
      </w:r>
      <w:r w:rsidRPr="00EA59DE">
        <w:rPr>
          <w:rFonts w:ascii="Times New Roman" w:hAnsi="Times New Roman" w:cs="Times New Roman"/>
          <w:sz w:val="24"/>
          <w:szCs w:val="24"/>
        </w:rPr>
        <w:t xml:space="preserve">izmantojot konkursa procesu vienā vai vairākās kārtās laikā no 2021. līdz 2030. gadam. Ja konkursā atlasītais investīciju projekts tiek atcelts vai netiek sasniegti iecerētie rādītāji, tam paredzētās </w:t>
      </w:r>
      <w:r w:rsidR="00FD3F53">
        <w:rPr>
          <w:rFonts w:ascii="Times New Roman" w:hAnsi="Times New Roman" w:cs="Times New Roman"/>
          <w:sz w:val="24"/>
          <w:szCs w:val="24"/>
        </w:rPr>
        <w:t xml:space="preserve">emisijas </w:t>
      </w:r>
      <w:r w:rsidRPr="00EA59DE">
        <w:rPr>
          <w:rFonts w:ascii="Times New Roman" w:hAnsi="Times New Roman" w:cs="Times New Roman"/>
          <w:sz w:val="24"/>
          <w:szCs w:val="24"/>
        </w:rPr>
        <w:t>kvotas var izmantot konkursa vienā papildu kārtā, lai finansētu citas investīcijas.</w:t>
      </w:r>
    </w:p>
    <w:p w14:paraId="6F227357" w14:textId="52248E63" w:rsidR="00BB24A4" w:rsidRPr="00EA59DE" w:rsidRDefault="00BB24A4" w:rsidP="00BB24A4">
      <w:pPr>
        <w:spacing w:after="0"/>
        <w:ind w:right="-624" w:firstLine="720"/>
        <w:jc w:val="both"/>
        <w:rPr>
          <w:rFonts w:ascii="Times New Roman" w:hAnsi="Times New Roman" w:cs="Times New Roman"/>
          <w:sz w:val="24"/>
          <w:szCs w:val="24"/>
        </w:rPr>
      </w:pPr>
      <w:r w:rsidRPr="00EA59DE">
        <w:rPr>
          <w:rFonts w:ascii="Times New Roman" w:hAnsi="Times New Roman" w:cs="Times New Roman"/>
          <w:sz w:val="24"/>
          <w:szCs w:val="24"/>
        </w:rPr>
        <w:t xml:space="preserve">Ja ar bezmaksas emisijas kvotām atbalstāmo investīciju projektu vērtība ir mazāka par 12,5 miljoniem </w:t>
      </w:r>
      <w:proofErr w:type="spellStart"/>
      <w:r w:rsidRPr="00EA59DE">
        <w:rPr>
          <w:rFonts w:ascii="Times New Roman" w:hAnsi="Times New Roman" w:cs="Times New Roman"/>
          <w:i/>
          <w:sz w:val="24"/>
          <w:szCs w:val="24"/>
        </w:rPr>
        <w:t>euro</w:t>
      </w:r>
      <w:proofErr w:type="spellEnd"/>
      <w:r w:rsidRPr="00EA59DE">
        <w:rPr>
          <w:rFonts w:ascii="Times New Roman" w:hAnsi="Times New Roman" w:cs="Times New Roman"/>
          <w:b/>
          <w:i/>
          <w:sz w:val="24"/>
          <w:szCs w:val="24"/>
        </w:rPr>
        <w:t xml:space="preserve"> </w:t>
      </w:r>
      <w:r w:rsidR="00FD3F53" w:rsidRPr="00FD3F53">
        <w:rPr>
          <w:rFonts w:ascii="Times New Roman" w:hAnsi="Times New Roman" w:cs="Times New Roman"/>
          <w:sz w:val="24"/>
          <w:szCs w:val="24"/>
        </w:rPr>
        <w:t xml:space="preserve">investīciju </w:t>
      </w:r>
      <w:r w:rsidRPr="00EA59DE">
        <w:rPr>
          <w:rFonts w:ascii="Times New Roman" w:hAnsi="Times New Roman" w:cs="Times New Roman"/>
          <w:sz w:val="24"/>
          <w:szCs w:val="24"/>
        </w:rPr>
        <w:t>projekti var tikt atlasīti konkursa procesā</w:t>
      </w:r>
      <w:r w:rsidR="00612155">
        <w:rPr>
          <w:rFonts w:ascii="Times New Roman" w:hAnsi="Times New Roman" w:cs="Times New Roman"/>
          <w:sz w:val="24"/>
          <w:szCs w:val="24"/>
        </w:rPr>
        <w:t>,</w:t>
      </w:r>
      <w:r w:rsidRPr="00EA59DE">
        <w:rPr>
          <w:rFonts w:ascii="Times New Roman" w:hAnsi="Times New Roman" w:cs="Times New Roman"/>
          <w:sz w:val="24"/>
          <w:szCs w:val="24"/>
        </w:rPr>
        <w:t xml:space="preserve"> kā noteikts</w:t>
      </w:r>
      <w:r w:rsidR="0064208C" w:rsidRPr="0064208C">
        <w:t xml:space="preserve"> </w:t>
      </w:r>
      <w:r w:rsidR="0064208C" w:rsidRPr="0064208C">
        <w:rPr>
          <w:rFonts w:ascii="Times New Roman" w:hAnsi="Times New Roman" w:cs="Times New Roman"/>
          <w:sz w:val="24"/>
          <w:szCs w:val="24"/>
        </w:rPr>
        <w:t>Direktīvas 2003/87/EK 10.c panta 2. punktā</w:t>
      </w:r>
      <w:r w:rsidR="0064208C">
        <w:rPr>
          <w:rFonts w:ascii="Times New Roman" w:hAnsi="Times New Roman" w:cs="Times New Roman"/>
          <w:sz w:val="24"/>
          <w:szCs w:val="24"/>
        </w:rPr>
        <w:t>.</w:t>
      </w:r>
      <w:r w:rsidRPr="00EA59DE">
        <w:rPr>
          <w:rFonts w:ascii="Times New Roman" w:hAnsi="Times New Roman" w:cs="Times New Roman"/>
          <w:sz w:val="24"/>
          <w:szCs w:val="24"/>
        </w:rPr>
        <w:t xml:space="preserve"> </w:t>
      </w:r>
      <w:r w:rsidR="0064208C">
        <w:rPr>
          <w:rFonts w:ascii="Times New Roman" w:hAnsi="Times New Roman" w:cs="Times New Roman"/>
          <w:sz w:val="24"/>
          <w:szCs w:val="24"/>
        </w:rPr>
        <w:t>P</w:t>
      </w:r>
      <w:r w:rsidRPr="00EA59DE">
        <w:rPr>
          <w:rFonts w:ascii="Times New Roman" w:hAnsi="Times New Roman" w:cs="Times New Roman"/>
          <w:sz w:val="24"/>
          <w:szCs w:val="24"/>
        </w:rPr>
        <w:t>rojektiem, k</w:t>
      </w:r>
      <w:r w:rsidR="00CA6C65">
        <w:rPr>
          <w:rFonts w:ascii="Times New Roman" w:hAnsi="Times New Roman" w:cs="Times New Roman"/>
          <w:sz w:val="24"/>
          <w:szCs w:val="24"/>
        </w:rPr>
        <w:t>uru vērtība ir lielāka par 12,5 </w:t>
      </w:r>
      <w:r w:rsidRPr="00EA59DE">
        <w:rPr>
          <w:rFonts w:ascii="Times New Roman" w:hAnsi="Times New Roman" w:cs="Times New Roman"/>
          <w:sz w:val="24"/>
          <w:szCs w:val="24"/>
        </w:rPr>
        <w:t xml:space="preserve">miljoniem </w:t>
      </w:r>
      <w:proofErr w:type="spellStart"/>
      <w:r w:rsidRPr="00EA59DE">
        <w:rPr>
          <w:rFonts w:ascii="Times New Roman" w:hAnsi="Times New Roman" w:cs="Times New Roman"/>
          <w:i/>
          <w:sz w:val="24"/>
          <w:szCs w:val="24"/>
        </w:rPr>
        <w:t>euro</w:t>
      </w:r>
      <w:proofErr w:type="spellEnd"/>
      <w:r w:rsidRPr="00EA59DE">
        <w:rPr>
          <w:rFonts w:ascii="Times New Roman" w:hAnsi="Times New Roman" w:cs="Times New Roman"/>
          <w:i/>
          <w:sz w:val="24"/>
          <w:szCs w:val="24"/>
        </w:rPr>
        <w:t xml:space="preserve"> </w:t>
      </w:r>
      <w:r w:rsidRPr="00EA59DE">
        <w:rPr>
          <w:rFonts w:ascii="Times New Roman" w:hAnsi="Times New Roman" w:cs="Times New Roman"/>
          <w:sz w:val="24"/>
          <w:szCs w:val="24"/>
        </w:rPr>
        <w:t xml:space="preserve">vai arī projekti jāatlasa, pamatojoties uz objektīviem un pārredzamiem kritērijiem. </w:t>
      </w:r>
    </w:p>
    <w:p w14:paraId="17AFD66E" w14:textId="77777777" w:rsidR="00BB24A4" w:rsidRPr="00EA59DE" w:rsidRDefault="00BB24A4" w:rsidP="00BB24A4">
      <w:pPr>
        <w:spacing w:after="0"/>
        <w:ind w:right="-624" w:firstLine="720"/>
        <w:jc w:val="both"/>
      </w:pPr>
      <w:r w:rsidRPr="00EA59DE">
        <w:rPr>
          <w:rFonts w:ascii="Times New Roman" w:hAnsi="Times New Roman" w:cs="Times New Roman"/>
          <w:sz w:val="24"/>
          <w:szCs w:val="24"/>
        </w:rPr>
        <w:t xml:space="preserve">Ja vienā un tajā pašā iekārtā veic vairākas investīcijas, jānosaka, vai kopējās investīcijas nepārsniedz 12,5  miljonu </w:t>
      </w:r>
      <w:proofErr w:type="spellStart"/>
      <w:r w:rsidRPr="00EA59DE">
        <w:rPr>
          <w:rFonts w:ascii="Times New Roman" w:hAnsi="Times New Roman" w:cs="Times New Roman"/>
          <w:i/>
          <w:sz w:val="24"/>
          <w:szCs w:val="24"/>
        </w:rPr>
        <w:t>euro</w:t>
      </w:r>
      <w:proofErr w:type="spellEnd"/>
      <w:r w:rsidRPr="00EA59DE">
        <w:rPr>
          <w:rFonts w:ascii="Times New Roman" w:hAnsi="Times New Roman" w:cs="Times New Roman"/>
          <w:sz w:val="24"/>
          <w:szCs w:val="24"/>
        </w:rPr>
        <w:t>. Vairākas investīcijas vienā iekārtā vērtē kā vienotu veselumu, izņemot gadījumos, kas atsevišķās investīcijas ir tehniski vai finansiāli dzīvotspējīgas neatkarīgi viena no otras.</w:t>
      </w:r>
      <w:r w:rsidRPr="00EA59DE">
        <w:t xml:space="preserve"> </w:t>
      </w:r>
    </w:p>
    <w:p w14:paraId="262F5329" w14:textId="113C4019" w:rsidR="00A15D6A" w:rsidRPr="00EA59DE" w:rsidRDefault="00BB24A4" w:rsidP="00801092">
      <w:pPr>
        <w:spacing w:after="0"/>
        <w:ind w:right="-625" w:firstLine="360"/>
        <w:jc w:val="both"/>
        <w:rPr>
          <w:rFonts w:ascii="Times New Roman" w:hAnsi="Times New Roman" w:cs="Times New Roman"/>
          <w:sz w:val="24"/>
          <w:szCs w:val="24"/>
        </w:rPr>
      </w:pPr>
      <w:r w:rsidRPr="00EA59DE">
        <w:rPr>
          <w:rFonts w:ascii="Times New Roman" w:hAnsi="Times New Roman" w:cs="Times New Roman"/>
          <w:bCs/>
          <w:sz w:val="24"/>
          <w:szCs w:val="24"/>
        </w:rPr>
        <w:lastRenderedPageBreak/>
        <w:t>Augstāk aprakstītais konkurss saskaņā ar Direktīvas 2003/87/EK 10.c panta 2. punktu būs jāorganizē</w:t>
      </w:r>
      <w:r w:rsidR="00A15D6A" w:rsidRPr="00EA59DE">
        <w:rPr>
          <w:rFonts w:ascii="Times New Roman" w:hAnsi="Times New Roman" w:cs="Times New Roman"/>
          <w:bCs/>
          <w:sz w:val="24"/>
          <w:szCs w:val="24"/>
        </w:rPr>
        <w:t xml:space="preserve"> </w:t>
      </w:r>
      <w:r w:rsidR="00A65D02" w:rsidRPr="00EA59DE">
        <w:rPr>
          <w:rFonts w:ascii="Times New Roman" w:hAnsi="Times New Roman" w:cs="Times New Roman"/>
          <w:bCs/>
          <w:sz w:val="24"/>
          <w:szCs w:val="24"/>
        </w:rPr>
        <w:t>l</w:t>
      </w:r>
      <w:r w:rsidR="00CE2F7A" w:rsidRPr="00EA59DE">
        <w:rPr>
          <w:rFonts w:ascii="Times New Roman" w:hAnsi="Times New Roman" w:cs="Times New Roman"/>
          <w:bCs/>
          <w:sz w:val="24"/>
          <w:szCs w:val="24"/>
        </w:rPr>
        <w:t>īdz 2019. gada 30. jūnijam</w:t>
      </w:r>
      <w:r w:rsidRPr="00EA59DE">
        <w:rPr>
          <w:rFonts w:ascii="Times New Roman" w:hAnsi="Times New Roman" w:cs="Times New Roman"/>
          <w:bCs/>
          <w:sz w:val="24"/>
          <w:szCs w:val="24"/>
        </w:rPr>
        <w:t xml:space="preserve">. </w:t>
      </w:r>
      <w:r w:rsidR="00FD3F53">
        <w:rPr>
          <w:rFonts w:ascii="Times New Roman" w:hAnsi="Times New Roman" w:cs="Times New Roman"/>
          <w:bCs/>
          <w:sz w:val="24"/>
          <w:szCs w:val="24"/>
        </w:rPr>
        <w:t>Dalībvalstīm jānodrošina, ka m</w:t>
      </w:r>
      <w:r w:rsidRPr="00EA59DE">
        <w:rPr>
          <w:rFonts w:ascii="Times New Roman" w:hAnsi="Times New Roman" w:cs="Times New Roman"/>
          <w:bCs/>
          <w:sz w:val="24"/>
          <w:szCs w:val="24"/>
        </w:rPr>
        <w:t>inētais konkursa process:</w:t>
      </w:r>
      <w:r w:rsidR="00A15D6A" w:rsidRPr="00EA59DE">
        <w:rPr>
          <w:rFonts w:ascii="Times New Roman" w:hAnsi="Times New Roman" w:cs="Times New Roman"/>
          <w:bCs/>
          <w:sz w:val="24"/>
          <w:szCs w:val="24"/>
        </w:rPr>
        <w:t xml:space="preserve"> </w:t>
      </w:r>
    </w:p>
    <w:p w14:paraId="009619E6" w14:textId="77777777" w:rsidR="00A15D6A" w:rsidRPr="00EA59DE" w:rsidRDefault="00A15D6A" w:rsidP="00A15D6A">
      <w:pPr>
        <w:pStyle w:val="ListParagraph"/>
        <w:numPr>
          <w:ilvl w:val="0"/>
          <w:numId w:val="3"/>
        </w:numPr>
        <w:spacing w:after="0" w:line="259" w:lineRule="auto"/>
        <w:ind w:left="567" w:right="-625"/>
        <w:jc w:val="both"/>
        <w:rPr>
          <w:rFonts w:ascii="Times New Roman" w:hAnsi="Times New Roman" w:cs="Times New Roman"/>
          <w:sz w:val="24"/>
          <w:szCs w:val="24"/>
        </w:rPr>
      </w:pPr>
      <w:r w:rsidRPr="00EA59DE">
        <w:rPr>
          <w:rFonts w:ascii="Times New Roman" w:hAnsi="Times New Roman" w:cs="Times New Roman"/>
          <w:sz w:val="24"/>
          <w:szCs w:val="24"/>
        </w:rPr>
        <w:t xml:space="preserve">atbilst </w:t>
      </w:r>
      <w:proofErr w:type="spellStart"/>
      <w:r w:rsidRPr="00EA59DE">
        <w:rPr>
          <w:rFonts w:ascii="Times New Roman" w:hAnsi="Times New Roman" w:cs="Times New Roman"/>
          <w:sz w:val="24"/>
          <w:szCs w:val="24"/>
        </w:rPr>
        <w:t>pārredzamības</w:t>
      </w:r>
      <w:proofErr w:type="spellEnd"/>
      <w:r w:rsidRPr="00EA59DE">
        <w:rPr>
          <w:rFonts w:ascii="Times New Roman" w:hAnsi="Times New Roman" w:cs="Times New Roman"/>
          <w:sz w:val="24"/>
          <w:szCs w:val="24"/>
        </w:rPr>
        <w:t>, nediskriminēšanas, vienlīdzīgas attieksmes un pareizas finanšu pārvaldības principiem;</w:t>
      </w:r>
    </w:p>
    <w:p w14:paraId="196C4368" w14:textId="4F73C524" w:rsidR="00A15D6A" w:rsidRPr="00EA59DE" w:rsidRDefault="00FD3F53" w:rsidP="00A15D6A">
      <w:pPr>
        <w:pStyle w:val="ListParagraph"/>
        <w:numPr>
          <w:ilvl w:val="0"/>
          <w:numId w:val="3"/>
        </w:numPr>
        <w:spacing w:after="0" w:line="259" w:lineRule="auto"/>
        <w:ind w:left="567" w:right="-625"/>
        <w:jc w:val="both"/>
        <w:rPr>
          <w:rFonts w:ascii="Times New Roman" w:hAnsi="Times New Roman" w:cs="Times New Roman"/>
          <w:sz w:val="24"/>
          <w:szCs w:val="24"/>
        </w:rPr>
      </w:pPr>
      <w:r>
        <w:rPr>
          <w:rFonts w:ascii="Times New Roman" w:hAnsi="Times New Roman" w:cs="Times New Roman"/>
          <w:sz w:val="24"/>
          <w:szCs w:val="24"/>
        </w:rPr>
        <w:t>paredz</w:t>
      </w:r>
      <w:r w:rsidR="00A15D6A" w:rsidRPr="00EA59DE">
        <w:rPr>
          <w:rFonts w:ascii="Times New Roman" w:hAnsi="Times New Roman" w:cs="Times New Roman"/>
          <w:sz w:val="24"/>
          <w:szCs w:val="24"/>
        </w:rPr>
        <w:t>, ka konkursā var piedalīties tikai tādi projekti, kas sekmē energoresursu struktūras un piegādes avotu diversifikāciju, nepieciešamo pārstrukturēšanu, infrastruktūras uzlabošanu un modernizēšanu vides ziņā, tīrās tehnoloģijas, piemēram, atjaunojamo energoresursu tehnoloģijas, vai enerģijas ražošanas nozares, piemēram, efektīvas un ilgtspējīgas centralizētās siltumapgādes, pārvades un piešķiršanas nozares modernizāciju;</w:t>
      </w:r>
    </w:p>
    <w:p w14:paraId="69629EC2" w14:textId="77777777" w:rsidR="00A15D6A" w:rsidRPr="00EA59DE" w:rsidRDefault="00A15D6A" w:rsidP="00A15D6A">
      <w:pPr>
        <w:pStyle w:val="ListParagraph"/>
        <w:numPr>
          <w:ilvl w:val="0"/>
          <w:numId w:val="3"/>
        </w:numPr>
        <w:spacing w:after="0" w:line="259" w:lineRule="auto"/>
        <w:ind w:left="567" w:right="-625"/>
        <w:jc w:val="both"/>
        <w:rPr>
          <w:rFonts w:ascii="Times New Roman" w:hAnsi="Times New Roman" w:cs="Times New Roman"/>
          <w:sz w:val="24"/>
          <w:szCs w:val="24"/>
        </w:rPr>
      </w:pPr>
      <w:r w:rsidRPr="00EA59DE">
        <w:rPr>
          <w:rFonts w:ascii="Times New Roman" w:hAnsi="Times New Roman" w:cs="Times New Roman"/>
          <w:sz w:val="24"/>
          <w:szCs w:val="24"/>
        </w:rPr>
        <w:t>nosaka skaidrus, objektīvus, pārredzamus un nediskriminējošus atlases kritērijus, pēc kuriem projektus sarindo, lai nodrošinātu, ka tiek atlasīti tikai tādi projekti, kas:</w:t>
      </w:r>
    </w:p>
    <w:p w14:paraId="077163BD" w14:textId="77777777" w:rsidR="00A15D6A" w:rsidRPr="00EA59DE" w:rsidRDefault="00A15D6A" w:rsidP="00A15D6A">
      <w:pPr>
        <w:pStyle w:val="ListParagraph"/>
        <w:numPr>
          <w:ilvl w:val="0"/>
          <w:numId w:val="4"/>
        </w:numPr>
        <w:spacing w:after="0" w:line="259" w:lineRule="auto"/>
        <w:ind w:left="993" w:right="-625"/>
        <w:jc w:val="both"/>
        <w:rPr>
          <w:rFonts w:ascii="Times New Roman" w:hAnsi="Times New Roman" w:cs="Times New Roman"/>
          <w:sz w:val="24"/>
          <w:szCs w:val="24"/>
        </w:rPr>
      </w:pPr>
      <w:r w:rsidRPr="00EA59DE">
        <w:rPr>
          <w:rFonts w:ascii="Times New Roman" w:hAnsi="Times New Roman" w:cs="Times New Roman"/>
          <w:sz w:val="24"/>
          <w:szCs w:val="24"/>
        </w:rPr>
        <w:t>pamatojoties uz izmaksu un ieguvumu analīzi, dod neto pozitīvu ieguvumu no emisiju samazināšanas viedokļa un ļauj panākt iepriekš noteiktu un ievērojamu CO</w:t>
      </w:r>
      <w:r w:rsidRPr="00EA59DE">
        <w:rPr>
          <w:rFonts w:ascii="Times New Roman" w:hAnsi="Times New Roman" w:cs="Times New Roman"/>
          <w:sz w:val="24"/>
          <w:szCs w:val="24"/>
          <w:vertAlign w:val="subscript"/>
        </w:rPr>
        <w:t>2</w:t>
      </w:r>
      <w:r w:rsidRPr="00EA59DE">
        <w:rPr>
          <w:rFonts w:ascii="Times New Roman" w:hAnsi="Times New Roman" w:cs="Times New Roman"/>
          <w:sz w:val="24"/>
          <w:szCs w:val="24"/>
        </w:rPr>
        <w:t xml:space="preserve"> emisiju samazinājumu, ņemot vērā projekta izmēru;</w:t>
      </w:r>
    </w:p>
    <w:p w14:paraId="240C10FE" w14:textId="77777777" w:rsidR="00A15D6A" w:rsidRPr="00EA59DE" w:rsidRDefault="00A15D6A" w:rsidP="00A15D6A">
      <w:pPr>
        <w:pStyle w:val="ListParagraph"/>
        <w:numPr>
          <w:ilvl w:val="0"/>
          <w:numId w:val="4"/>
        </w:numPr>
        <w:spacing w:after="0" w:line="259" w:lineRule="auto"/>
        <w:ind w:left="993" w:right="-625"/>
        <w:jc w:val="both"/>
        <w:rPr>
          <w:rFonts w:ascii="Times New Roman" w:hAnsi="Times New Roman" w:cs="Times New Roman"/>
          <w:sz w:val="24"/>
          <w:szCs w:val="24"/>
        </w:rPr>
      </w:pPr>
      <w:r w:rsidRPr="00EA59DE">
        <w:rPr>
          <w:rFonts w:ascii="Times New Roman" w:hAnsi="Times New Roman" w:cs="Times New Roman"/>
          <w:sz w:val="24"/>
          <w:szCs w:val="24"/>
        </w:rPr>
        <w:t xml:space="preserve">ir papildinoši, nepārprotami atbilst nomaiņas un modernizācijas vajadzībām un nerada tirgus virzītu </w:t>
      </w:r>
      <w:proofErr w:type="spellStart"/>
      <w:r w:rsidRPr="00EA59DE">
        <w:rPr>
          <w:rFonts w:ascii="Times New Roman" w:hAnsi="Times New Roman" w:cs="Times New Roman"/>
          <w:sz w:val="24"/>
          <w:szCs w:val="24"/>
        </w:rPr>
        <w:t>energopieprasījuma</w:t>
      </w:r>
      <w:proofErr w:type="spellEnd"/>
      <w:r w:rsidRPr="00EA59DE">
        <w:rPr>
          <w:rFonts w:ascii="Times New Roman" w:hAnsi="Times New Roman" w:cs="Times New Roman"/>
          <w:sz w:val="24"/>
          <w:szCs w:val="24"/>
        </w:rPr>
        <w:t xml:space="preserve"> pieaugumu;</w:t>
      </w:r>
    </w:p>
    <w:p w14:paraId="7DF4B71D" w14:textId="77777777" w:rsidR="00A15D6A" w:rsidRPr="00EA59DE" w:rsidRDefault="00A15D6A" w:rsidP="00A15D6A">
      <w:pPr>
        <w:pStyle w:val="ListParagraph"/>
        <w:numPr>
          <w:ilvl w:val="0"/>
          <w:numId w:val="4"/>
        </w:numPr>
        <w:spacing w:after="0" w:line="259" w:lineRule="auto"/>
        <w:ind w:left="993" w:right="-625"/>
        <w:jc w:val="both"/>
        <w:rPr>
          <w:rFonts w:ascii="Times New Roman" w:hAnsi="Times New Roman" w:cs="Times New Roman"/>
          <w:sz w:val="24"/>
          <w:szCs w:val="24"/>
        </w:rPr>
      </w:pPr>
      <w:r w:rsidRPr="00EA59DE">
        <w:rPr>
          <w:rFonts w:ascii="Times New Roman" w:hAnsi="Times New Roman" w:cs="Times New Roman"/>
          <w:sz w:val="24"/>
          <w:szCs w:val="24"/>
        </w:rPr>
        <w:t xml:space="preserve">ir ekonomiski visizdevīgākie; </w:t>
      </w:r>
    </w:p>
    <w:p w14:paraId="3021C162" w14:textId="77777777" w:rsidR="00A15D6A" w:rsidRDefault="00A15D6A" w:rsidP="00A15D6A">
      <w:pPr>
        <w:pStyle w:val="ListParagraph"/>
        <w:numPr>
          <w:ilvl w:val="0"/>
          <w:numId w:val="4"/>
        </w:numPr>
        <w:spacing w:after="0" w:line="259" w:lineRule="auto"/>
        <w:ind w:left="993" w:right="-625"/>
        <w:jc w:val="both"/>
        <w:rPr>
          <w:rFonts w:ascii="Times New Roman" w:hAnsi="Times New Roman" w:cs="Times New Roman"/>
          <w:sz w:val="24"/>
          <w:szCs w:val="24"/>
        </w:rPr>
      </w:pPr>
      <w:r w:rsidRPr="00EA59DE">
        <w:rPr>
          <w:rFonts w:ascii="Times New Roman" w:hAnsi="Times New Roman" w:cs="Times New Roman"/>
          <w:sz w:val="24"/>
          <w:szCs w:val="24"/>
        </w:rPr>
        <w:t xml:space="preserve">neatbalsta vai neuzlabo ļoti </w:t>
      </w:r>
      <w:proofErr w:type="spellStart"/>
      <w:r w:rsidRPr="00EA59DE">
        <w:rPr>
          <w:rFonts w:ascii="Times New Roman" w:hAnsi="Times New Roman" w:cs="Times New Roman"/>
          <w:sz w:val="24"/>
          <w:szCs w:val="24"/>
        </w:rPr>
        <w:t>emisijietilpīgas</w:t>
      </w:r>
      <w:proofErr w:type="spellEnd"/>
      <w:r w:rsidRPr="00EA59DE">
        <w:rPr>
          <w:rFonts w:ascii="Times New Roman" w:hAnsi="Times New Roman" w:cs="Times New Roman"/>
          <w:sz w:val="24"/>
          <w:szCs w:val="24"/>
        </w:rPr>
        <w:t xml:space="preserve"> elektroenerģijas ražošanas finansiālo dzīvotspēju, nedz arī palielina atkarību no </w:t>
      </w:r>
      <w:proofErr w:type="spellStart"/>
      <w:r w:rsidRPr="00EA59DE">
        <w:rPr>
          <w:rFonts w:ascii="Times New Roman" w:hAnsi="Times New Roman" w:cs="Times New Roman"/>
          <w:sz w:val="24"/>
          <w:szCs w:val="24"/>
        </w:rPr>
        <w:t>emisijietilpīga</w:t>
      </w:r>
      <w:proofErr w:type="spellEnd"/>
      <w:r w:rsidRPr="00EA59DE">
        <w:rPr>
          <w:rFonts w:ascii="Times New Roman" w:hAnsi="Times New Roman" w:cs="Times New Roman"/>
          <w:sz w:val="24"/>
          <w:szCs w:val="24"/>
        </w:rPr>
        <w:t xml:space="preserve"> fosilā kurināmā.</w:t>
      </w:r>
    </w:p>
    <w:p w14:paraId="05B92B12" w14:textId="77777777" w:rsidR="00331489" w:rsidRPr="00331489" w:rsidRDefault="00331489" w:rsidP="00331489">
      <w:pPr>
        <w:spacing w:after="0"/>
        <w:ind w:right="-625"/>
        <w:jc w:val="both"/>
        <w:rPr>
          <w:rFonts w:ascii="Times New Roman" w:hAnsi="Times New Roman" w:cs="Times New Roman"/>
          <w:sz w:val="24"/>
          <w:szCs w:val="24"/>
        </w:rPr>
      </w:pPr>
    </w:p>
    <w:p w14:paraId="269AEBBB" w14:textId="43791594" w:rsidR="000E33BD" w:rsidRPr="00EA59DE" w:rsidRDefault="000E33BD" w:rsidP="00450453">
      <w:pPr>
        <w:pStyle w:val="ListParagraph"/>
        <w:numPr>
          <w:ilvl w:val="0"/>
          <w:numId w:val="29"/>
        </w:numPr>
        <w:spacing w:after="0"/>
        <w:ind w:right="-625"/>
        <w:jc w:val="both"/>
        <w:rPr>
          <w:rFonts w:ascii="Times New Roman" w:eastAsia="Arial Unicode MS" w:hAnsi="Times New Roman" w:cs="Times New Roman"/>
          <w:b/>
          <w:sz w:val="24"/>
          <w:szCs w:val="24"/>
          <w:shd w:val="clear" w:color="auto" w:fill="FFFFFF"/>
        </w:rPr>
      </w:pPr>
      <w:r w:rsidRPr="00EA59DE">
        <w:rPr>
          <w:rFonts w:ascii="Times New Roman" w:eastAsia="Arial Unicode MS" w:hAnsi="Times New Roman" w:cs="Times New Roman"/>
          <w:b/>
          <w:sz w:val="24"/>
          <w:szCs w:val="24"/>
          <w:shd w:val="clear" w:color="auto" w:fill="FFFFFF"/>
        </w:rPr>
        <w:t>Pieejamā</w:t>
      </w:r>
      <w:r w:rsidR="00021B9E">
        <w:rPr>
          <w:rFonts w:ascii="Times New Roman" w:eastAsia="Arial Unicode MS" w:hAnsi="Times New Roman" w:cs="Times New Roman"/>
          <w:b/>
          <w:sz w:val="24"/>
          <w:szCs w:val="24"/>
          <w:shd w:val="clear" w:color="auto" w:fill="FFFFFF"/>
        </w:rPr>
        <w:t xml:space="preserve"> emisijas kvotu piešķīruma ierobežojumi</w:t>
      </w:r>
    </w:p>
    <w:p w14:paraId="18901037" w14:textId="61F3BC23" w:rsidR="00021B9E" w:rsidRPr="00E25EF5" w:rsidRDefault="00A31845" w:rsidP="00E25EF5">
      <w:pPr>
        <w:spacing w:after="0"/>
        <w:ind w:right="-625" w:firstLine="360"/>
        <w:jc w:val="both"/>
        <w:rPr>
          <w:rFonts w:ascii="Times New Roman" w:eastAsia="Arial Unicode MS" w:hAnsi="Times New Roman" w:cs="Times New Roman"/>
          <w:sz w:val="24"/>
          <w:szCs w:val="24"/>
          <w:shd w:val="clear" w:color="auto" w:fill="FFFFFF"/>
        </w:rPr>
      </w:pPr>
      <w:r w:rsidRPr="00EA59DE">
        <w:rPr>
          <w:rFonts w:ascii="Times New Roman" w:eastAsia="Arial Unicode MS" w:hAnsi="Times New Roman" w:cs="Times New Roman"/>
          <w:sz w:val="24"/>
          <w:szCs w:val="24"/>
          <w:shd w:val="clear" w:color="auto" w:fill="FFFFFF"/>
        </w:rPr>
        <w:t>Direktīv</w:t>
      </w:r>
      <w:r w:rsidR="000E33BD" w:rsidRPr="00EA59DE">
        <w:rPr>
          <w:rFonts w:ascii="Times New Roman" w:eastAsia="Arial Unicode MS" w:hAnsi="Times New Roman" w:cs="Times New Roman"/>
          <w:sz w:val="24"/>
          <w:szCs w:val="24"/>
          <w:shd w:val="clear" w:color="auto" w:fill="FFFFFF"/>
        </w:rPr>
        <w:t>ā</w:t>
      </w:r>
      <w:r w:rsidRPr="00EA59DE">
        <w:rPr>
          <w:rFonts w:ascii="Times New Roman" w:eastAsia="Arial Unicode MS" w:hAnsi="Times New Roman" w:cs="Times New Roman"/>
          <w:sz w:val="24"/>
          <w:szCs w:val="24"/>
          <w:shd w:val="clear" w:color="auto" w:fill="FFFFFF"/>
        </w:rPr>
        <w:t xml:space="preserve"> 2003/87</w:t>
      </w:r>
      <w:r w:rsidR="000E33BD" w:rsidRPr="00EA59DE">
        <w:rPr>
          <w:rFonts w:ascii="Times New Roman" w:eastAsia="Arial Unicode MS" w:hAnsi="Times New Roman" w:cs="Times New Roman"/>
          <w:sz w:val="24"/>
          <w:szCs w:val="24"/>
          <w:shd w:val="clear" w:color="auto" w:fill="FFFFFF"/>
        </w:rPr>
        <w:t>/EK</w:t>
      </w:r>
      <w:r w:rsidRPr="00EA59DE">
        <w:rPr>
          <w:rFonts w:ascii="Times New Roman" w:eastAsia="Arial Unicode MS" w:hAnsi="Times New Roman" w:cs="Times New Roman"/>
          <w:sz w:val="24"/>
          <w:szCs w:val="24"/>
          <w:shd w:val="clear" w:color="auto" w:fill="FFFFFF"/>
        </w:rPr>
        <w:t xml:space="preserve"> </w:t>
      </w:r>
      <w:r w:rsidR="00C60D8C">
        <w:rPr>
          <w:rFonts w:ascii="Times New Roman" w:eastAsia="Arial Unicode MS" w:hAnsi="Times New Roman" w:cs="Times New Roman"/>
          <w:sz w:val="24"/>
          <w:szCs w:val="24"/>
          <w:shd w:val="clear" w:color="auto" w:fill="FFFFFF"/>
        </w:rPr>
        <w:t xml:space="preserve">10.c panta 4. </w:t>
      </w:r>
      <w:r w:rsidR="007226A6">
        <w:rPr>
          <w:rFonts w:ascii="Times New Roman" w:eastAsia="Arial Unicode MS" w:hAnsi="Times New Roman" w:cs="Times New Roman"/>
          <w:sz w:val="24"/>
          <w:szCs w:val="24"/>
          <w:shd w:val="clear" w:color="auto" w:fill="FFFFFF"/>
        </w:rPr>
        <w:t>punkt</w:t>
      </w:r>
      <w:r w:rsidR="00C60D8C">
        <w:rPr>
          <w:rFonts w:ascii="Times New Roman" w:eastAsia="Arial Unicode MS" w:hAnsi="Times New Roman" w:cs="Times New Roman"/>
          <w:sz w:val="24"/>
          <w:szCs w:val="24"/>
          <w:shd w:val="clear" w:color="auto" w:fill="FFFFFF"/>
        </w:rPr>
        <w:t xml:space="preserve">ā </w:t>
      </w:r>
      <w:r w:rsidRPr="00EA59DE">
        <w:rPr>
          <w:rFonts w:ascii="Times New Roman" w:eastAsia="Arial Unicode MS" w:hAnsi="Times New Roman" w:cs="Times New Roman"/>
          <w:sz w:val="24"/>
          <w:szCs w:val="24"/>
          <w:shd w:val="clear" w:color="auto" w:fill="FFFFFF"/>
        </w:rPr>
        <w:t>ir noteikti piešķiramie limiti bezmaksas kvotu kopējam piešķīruma apjomam ene</w:t>
      </w:r>
      <w:r w:rsidR="00595913" w:rsidRPr="00EA59DE">
        <w:rPr>
          <w:rFonts w:ascii="Times New Roman" w:eastAsia="Arial Unicode MS" w:hAnsi="Times New Roman" w:cs="Times New Roman"/>
          <w:sz w:val="24"/>
          <w:szCs w:val="24"/>
          <w:shd w:val="clear" w:color="auto" w:fill="FFFFFF"/>
        </w:rPr>
        <w:t>rģētikas nozares modernizācijai</w:t>
      </w:r>
      <w:r w:rsidR="00A8029E">
        <w:rPr>
          <w:rFonts w:ascii="Times New Roman" w:eastAsia="Arial Unicode MS" w:hAnsi="Times New Roman" w:cs="Times New Roman"/>
          <w:sz w:val="24"/>
          <w:szCs w:val="24"/>
          <w:shd w:val="clear" w:color="auto" w:fill="FFFFFF"/>
        </w:rPr>
        <w:t xml:space="preserve">. </w:t>
      </w:r>
      <w:r w:rsidR="00595913" w:rsidRPr="00E25EF5">
        <w:rPr>
          <w:rFonts w:ascii="Times New Roman" w:eastAsia="Arial Unicode MS" w:hAnsi="Times New Roman" w:cs="Times New Roman"/>
          <w:sz w:val="24"/>
          <w:szCs w:val="24"/>
          <w:shd w:val="clear" w:color="auto" w:fill="FFFFFF"/>
        </w:rPr>
        <w:t>Saskaņā ar 10.c panta 4</w:t>
      </w:r>
      <w:r w:rsidR="007226A6">
        <w:rPr>
          <w:rFonts w:ascii="Times New Roman" w:eastAsia="Arial Unicode MS" w:hAnsi="Times New Roman" w:cs="Times New Roman"/>
          <w:sz w:val="24"/>
          <w:szCs w:val="24"/>
          <w:shd w:val="clear" w:color="auto" w:fill="FFFFFF"/>
        </w:rPr>
        <w:t>. punkt</w:t>
      </w:r>
      <w:r w:rsidR="00595913" w:rsidRPr="00E25EF5">
        <w:rPr>
          <w:rFonts w:ascii="Times New Roman" w:eastAsia="Arial Unicode MS" w:hAnsi="Times New Roman" w:cs="Times New Roman"/>
          <w:sz w:val="24"/>
          <w:szCs w:val="24"/>
          <w:shd w:val="clear" w:color="auto" w:fill="FFFFFF"/>
        </w:rPr>
        <w:t>u k</w:t>
      </w:r>
      <w:r w:rsidRPr="00E25EF5">
        <w:rPr>
          <w:rFonts w:ascii="Times New Roman" w:eastAsia="Arial Unicode MS" w:hAnsi="Times New Roman" w:cs="Times New Roman"/>
          <w:sz w:val="24"/>
          <w:szCs w:val="24"/>
          <w:shd w:val="clear" w:color="auto" w:fill="FFFFFF"/>
        </w:rPr>
        <w:t xml:space="preserve">opējais enerģētikas nozares modernizēšanai piešķirto bezmaksas kvotu apjoms nav lielāks par 40 % no kvotu apjoma, ko attiecīgā dalībvalsts saņems laikposmā no 2021. līdz 2030. gadam saskaņā ar </w:t>
      </w:r>
      <w:r w:rsidRPr="00E25EF5">
        <w:rPr>
          <w:rFonts w:ascii="Times New Roman" w:hAnsi="Times New Roman" w:cs="Times New Roman"/>
          <w:sz w:val="24"/>
          <w:szCs w:val="24"/>
        </w:rPr>
        <w:t>Direktīvas 2003/87/EK</w:t>
      </w:r>
      <w:r w:rsidRPr="00E25EF5">
        <w:rPr>
          <w:rFonts w:ascii="Times New Roman" w:eastAsia="Arial Unicode MS" w:hAnsi="Times New Roman" w:cs="Times New Roman"/>
          <w:sz w:val="24"/>
          <w:szCs w:val="24"/>
          <w:shd w:val="clear" w:color="auto" w:fill="FFFFFF"/>
        </w:rPr>
        <w:t xml:space="preserve"> 10. panta 2. punkta a) apakšpunktu</w:t>
      </w:r>
      <w:r w:rsidR="00D12866" w:rsidRPr="00EA59DE">
        <w:rPr>
          <w:rStyle w:val="FootnoteReference"/>
          <w:rFonts w:ascii="Times New Roman" w:eastAsia="Arial Unicode MS" w:hAnsi="Times New Roman" w:cs="Times New Roman"/>
          <w:sz w:val="24"/>
          <w:szCs w:val="24"/>
          <w:shd w:val="clear" w:color="auto" w:fill="FFFFFF"/>
        </w:rPr>
        <w:footnoteReference w:id="10"/>
      </w:r>
      <w:r w:rsidRPr="00E25EF5">
        <w:rPr>
          <w:rFonts w:ascii="Times New Roman" w:eastAsia="Arial Unicode MS" w:hAnsi="Times New Roman" w:cs="Times New Roman"/>
          <w:sz w:val="24"/>
          <w:szCs w:val="24"/>
          <w:shd w:val="clear" w:color="auto" w:fill="FFFFFF"/>
        </w:rPr>
        <w:t xml:space="preserve"> jeb provizoriski tas </w:t>
      </w:r>
      <w:r w:rsidR="00FD3F53" w:rsidRPr="00E25EF5">
        <w:rPr>
          <w:rFonts w:ascii="Times New Roman" w:eastAsia="Arial Unicode MS" w:hAnsi="Times New Roman" w:cs="Times New Roman"/>
          <w:sz w:val="24"/>
          <w:szCs w:val="24"/>
          <w:shd w:val="clear" w:color="auto" w:fill="FFFFFF"/>
        </w:rPr>
        <w:t xml:space="preserve">ir </w:t>
      </w:r>
      <w:r w:rsidRPr="00E25EF5">
        <w:rPr>
          <w:rFonts w:ascii="Times New Roman" w:eastAsia="Arial Unicode MS" w:hAnsi="Times New Roman" w:cs="Times New Roman"/>
          <w:sz w:val="24"/>
          <w:szCs w:val="24"/>
          <w:shd w:val="clear" w:color="auto" w:fill="FFFFFF"/>
        </w:rPr>
        <w:t>nepiln</w:t>
      </w:r>
      <w:r w:rsidR="00FD3F53" w:rsidRPr="00E25EF5">
        <w:rPr>
          <w:rFonts w:ascii="Times New Roman" w:eastAsia="Arial Unicode MS" w:hAnsi="Times New Roman" w:cs="Times New Roman"/>
          <w:sz w:val="24"/>
          <w:szCs w:val="24"/>
          <w:shd w:val="clear" w:color="auto" w:fill="FFFFFF"/>
        </w:rPr>
        <w:t>i</w:t>
      </w:r>
      <w:r w:rsidRPr="00E25EF5">
        <w:rPr>
          <w:rFonts w:ascii="Times New Roman" w:eastAsia="Arial Unicode MS" w:hAnsi="Times New Roman" w:cs="Times New Roman"/>
          <w:sz w:val="24"/>
          <w:szCs w:val="24"/>
          <w:shd w:val="clear" w:color="auto" w:fill="FFFFFF"/>
        </w:rPr>
        <w:t xml:space="preserve"> 4,12 </w:t>
      </w:r>
      <w:r w:rsidR="00FD3F53" w:rsidRPr="00E25EF5">
        <w:rPr>
          <w:rFonts w:ascii="Times New Roman" w:eastAsia="Arial Unicode MS" w:hAnsi="Times New Roman" w:cs="Times New Roman"/>
          <w:sz w:val="24"/>
          <w:szCs w:val="24"/>
          <w:shd w:val="clear" w:color="auto" w:fill="FFFFFF"/>
        </w:rPr>
        <w:t xml:space="preserve">miljoni </w:t>
      </w:r>
      <w:r w:rsidR="005A34DD" w:rsidRPr="00E25EF5">
        <w:rPr>
          <w:rFonts w:ascii="Times New Roman" w:eastAsia="Arial Unicode MS" w:hAnsi="Times New Roman" w:cs="Times New Roman"/>
          <w:sz w:val="24"/>
          <w:szCs w:val="24"/>
          <w:shd w:val="clear" w:color="auto" w:fill="FFFFFF"/>
        </w:rPr>
        <w:t>emisijas</w:t>
      </w:r>
      <w:r w:rsidRPr="00E25EF5">
        <w:rPr>
          <w:rFonts w:ascii="Times New Roman" w:eastAsia="Arial Unicode MS" w:hAnsi="Times New Roman" w:cs="Times New Roman"/>
          <w:sz w:val="24"/>
          <w:szCs w:val="24"/>
          <w:shd w:val="clear" w:color="auto" w:fill="FFFFFF"/>
        </w:rPr>
        <w:t xml:space="preserve"> kvotu</w:t>
      </w:r>
      <w:r w:rsidR="005A34DD" w:rsidRPr="00E25EF5">
        <w:rPr>
          <w:rFonts w:ascii="Times New Roman" w:eastAsia="Arial Unicode MS" w:hAnsi="Times New Roman" w:cs="Times New Roman"/>
          <w:sz w:val="24"/>
          <w:szCs w:val="24"/>
          <w:shd w:val="clear" w:color="auto" w:fill="FFFFFF"/>
        </w:rPr>
        <w:t xml:space="preserve"> (turpmāk – </w:t>
      </w:r>
      <w:proofErr w:type="spellStart"/>
      <w:r w:rsidR="00292EB5" w:rsidRPr="00E25EF5">
        <w:rPr>
          <w:rFonts w:ascii="Times New Roman" w:eastAsia="Arial Unicode MS" w:hAnsi="Times New Roman" w:cs="Times New Roman"/>
          <w:b/>
          <w:sz w:val="24"/>
          <w:szCs w:val="24"/>
          <w:shd w:val="clear" w:color="auto" w:fill="FFFFFF"/>
        </w:rPr>
        <w:t>Derogācijas</w:t>
      </w:r>
      <w:proofErr w:type="spellEnd"/>
      <w:r w:rsidR="00292EB5" w:rsidRPr="00E25EF5">
        <w:rPr>
          <w:rFonts w:ascii="Times New Roman" w:eastAsia="Arial Unicode MS" w:hAnsi="Times New Roman" w:cs="Times New Roman"/>
          <w:sz w:val="24"/>
          <w:szCs w:val="24"/>
          <w:shd w:val="clear" w:color="auto" w:fill="FFFFFF"/>
        </w:rPr>
        <w:t xml:space="preserve"> </w:t>
      </w:r>
      <w:r w:rsidR="00A93673" w:rsidRPr="00A93673">
        <w:rPr>
          <w:rFonts w:ascii="Times New Roman" w:eastAsia="Arial Unicode MS" w:hAnsi="Times New Roman" w:cs="Times New Roman"/>
          <w:b/>
          <w:sz w:val="24"/>
          <w:szCs w:val="24"/>
          <w:shd w:val="clear" w:color="auto" w:fill="FFFFFF"/>
        </w:rPr>
        <w:t>scenārijs</w:t>
      </w:r>
      <w:r w:rsidR="005A34DD" w:rsidRPr="00E25EF5">
        <w:rPr>
          <w:rFonts w:ascii="Times New Roman" w:eastAsia="Arial Unicode MS" w:hAnsi="Times New Roman" w:cs="Times New Roman"/>
          <w:sz w:val="24"/>
          <w:szCs w:val="24"/>
          <w:shd w:val="clear" w:color="auto" w:fill="FFFFFF"/>
        </w:rPr>
        <w:t>)</w:t>
      </w:r>
      <w:r w:rsidRPr="00E25EF5">
        <w:rPr>
          <w:rFonts w:ascii="Times New Roman" w:eastAsia="Arial Unicode MS" w:hAnsi="Times New Roman" w:cs="Times New Roman"/>
          <w:sz w:val="24"/>
          <w:szCs w:val="24"/>
          <w:shd w:val="clear" w:color="auto" w:fill="FFFFFF"/>
        </w:rPr>
        <w:t xml:space="preserve">. </w:t>
      </w:r>
    </w:p>
    <w:p w14:paraId="2CC8CFAE" w14:textId="77777777" w:rsidR="00F546AF" w:rsidRPr="00021B9E" w:rsidRDefault="00F546AF" w:rsidP="00021B9E">
      <w:pPr>
        <w:spacing w:after="0"/>
        <w:ind w:right="-625" w:firstLine="360"/>
        <w:jc w:val="both"/>
        <w:rPr>
          <w:rFonts w:ascii="Times New Roman" w:eastAsia="Arial Unicode MS" w:hAnsi="Times New Roman" w:cs="Times New Roman"/>
          <w:sz w:val="24"/>
          <w:szCs w:val="24"/>
          <w:shd w:val="clear" w:color="auto" w:fill="FFFFFF"/>
        </w:rPr>
      </w:pPr>
    </w:p>
    <w:p w14:paraId="44EDBA00" w14:textId="5B2C7141" w:rsidR="00F75E38" w:rsidRPr="00D432DA" w:rsidRDefault="00801092" w:rsidP="00E25EF5">
      <w:pPr>
        <w:pStyle w:val="Heading2"/>
        <w:spacing w:before="0"/>
        <w:ind w:right="-624"/>
      </w:pPr>
      <w:bookmarkStart w:id="4" w:name="_Toc5694312"/>
      <w:r>
        <w:t>2.</w:t>
      </w:r>
      <w:r w:rsidR="00A8029E">
        <w:t>3</w:t>
      </w:r>
      <w:r>
        <w:t xml:space="preserve">. </w:t>
      </w:r>
      <w:r w:rsidR="00F75E38" w:rsidRPr="00D432DA">
        <w:t>Latvija</w:t>
      </w:r>
      <w:r>
        <w:t>s siltumnīcefekta gāzu emisiju struktūra</w:t>
      </w:r>
      <w:bookmarkEnd w:id="4"/>
    </w:p>
    <w:p w14:paraId="6F056DA2" w14:textId="5E856E25" w:rsidR="004A7A1F" w:rsidRPr="004A7A1F" w:rsidRDefault="004A7A1F" w:rsidP="001D7EE2">
      <w:pPr>
        <w:spacing w:after="0"/>
        <w:ind w:right="-625" w:firstLine="567"/>
        <w:jc w:val="both"/>
        <w:rPr>
          <w:rFonts w:ascii="Times New Roman" w:hAnsi="Times New Roman" w:cs="Times New Roman"/>
          <w:sz w:val="24"/>
          <w:szCs w:val="24"/>
        </w:rPr>
      </w:pPr>
      <w:r w:rsidRPr="004A7A1F">
        <w:rPr>
          <w:rFonts w:ascii="Times New Roman" w:hAnsi="Times New Roman" w:cs="Times New Roman"/>
          <w:sz w:val="24"/>
          <w:szCs w:val="24"/>
        </w:rPr>
        <w:t>Atbilstoši 2018. gada SEG inventarizācijai par 1990. - 2016. gadu</w:t>
      </w:r>
      <w:r>
        <w:rPr>
          <w:rStyle w:val="FootnoteReference"/>
          <w:rFonts w:ascii="Times New Roman" w:hAnsi="Times New Roman"/>
          <w:sz w:val="24"/>
          <w:szCs w:val="24"/>
        </w:rPr>
        <w:footnoteReference w:id="11"/>
      </w:r>
      <w:r w:rsidRPr="00D33828">
        <w:rPr>
          <w:rFonts w:ascii="Times New Roman" w:hAnsi="Times New Roman"/>
          <w:sz w:val="24"/>
          <w:szCs w:val="24"/>
        </w:rPr>
        <w:t xml:space="preserve"> </w:t>
      </w:r>
      <w:r w:rsidRPr="004A7A1F">
        <w:rPr>
          <w:rFonts w:ascii="Times New Roman" w:hAnsi="Times New Roman" w:cs="Times New Roman"/>
          <w:sz w:val="24"/>
          <w:szCs w:val="24"/>
        </w:rPr>
        <w:t>(turpmāk – 2018.</w:t>
      </w:r>
      <w:r w:rsidR="009755A4">
        <w:rPr>
          <w:rFonts w:ascii="Times New Roman" w:hAnsi="Times New Roman" w:cs="Times New Roman"/>
          <w:sz w:val="24"/>
          <w:szCs w:val="24"/>
        </w:rPr>
        <w:t> </w:t>
      </w:r>
      <w:r w:rsidRPr="004A7A1F">
        <w:rPr>
          <w:rFonts w:ascii="Times New Roman" w:hAnsi="Times New Roman" w:cs="Times New Roman"/>
          <w:sz w:val="24"/>
          <w:szCs w:val="24"/>
        </w:rPr>
        <w:t>gada SEG inventarizācija) un aptuvenai SEG inventarizācijai par 2017. gadu</w:t>
      </w:r>
      <w:r w:rsidR="001E2E5A">
        <w:rPr>
          <w:rStyle w:val="FootnoteReference"/>
          <w:rFonts w:ascii="Times New Roman" w:hAnsi="Times New Roman"/>
          <w:sz w:val="24"/>
          <w:szCs w:val="24"/>
        </w:rPr>
        <w:footnoteReference w:id="12"/>
      </w:r>
      <w:r w:rsidR="001E2E5A">
        <w:rPr>
          <w:rFonts w:ascii="Times New Roman" w:hAnsi="Times New Roman" w:cs="Times New Roman"/>
          <w:sz w:val="24"/>
          <w:szCs w:val="24"/>
        </w:rPr>
        <w:t xml:space="preserve"> </w:t>
      </w:r>
      <w:r w:rsidRPr="004A7A1F">
        <w:rPr>
          <w:rFonts w:ascii="Times New Roman" w:hAnsi="Times New Roman" w:cs="Times New Roman"/>
          <w:sz w:val="24"/>
          <w:szCs w:val="24"/>
        </w:rPr>
        <w:t>Latvijas kopējās SEG emisijas no 1990. gada līdz 2016.</w:t>
      </w:r>
      <w:r w:rsidR="00801092">
        <w:rPr>
          <w:rFonts w:ascii="Times New Roman" w:hAnsi="Times New Roman" w:cs="Times New Roman"/>
          <w:sz w:val="24"/>
          <w:szCs w:val="24"/>
        </w:rPr>
        <w:t xml:space="preserve"> </w:t>
      </w:r>
      <w:r w:rsidRPr="004A7A1F">
        <w:rPr>
          <w:rFonts w:ascii="Times New Roman" w:hAnsi="Times New Roman" w:cs="Times New Roman"/>
          <w:sz w:val="24"/>
          <w:szCs w:val="24"/>
        </w:rPr>
        <w:t>gadam un līdz 2017. gadam ir samazinātas attiecīgi par 57,3% un 57,4 %, savukārt laika posmā no 2005. gada līdz 2016. gadam un 2017.</w:t>
      </w:r>
      <w:r w:rsidR="009755A4">
        <w:rPr>
          <w:rFonts w:ascii="Times New Roman" w:hAnsi="Times New Roman" w:cs="Times New Roman"/>
          <w:sz w:val="24"/>
          <w:szCs w:val="24"/>
        </w:rPr>
        <w:t> </w:t>
      </w:r>
      <w:r w:rsidRPr="004A7A1F">
        <w:rPr>
          <w:rFonts w:ascii="Times New Roman" w:hAnsi="Times New Roman" w:cs="Times New Roman"/>
          <w:sz w:val="24"/>
          <w:szCs w:val="24"/>
        </w:rPr>
        <w:t xml:space="preserve">gadam Latvijas kopējās SEG emisijas ir samazinātas </w:t>
      </w:r>
      <w:r w:rsidR="00B66F39" w:rsidRPr="004A7A1F">
        <w:rPr>
          <w:rFonts w:ascii="Times New Roman" w:hAnsi="Times New Roman" w:cs="Times New Roman"/>
          <w:sz w:val="24"/>
          <w:szCs w:val="24"/>
        </w:rPr>
        <w:t xml:space="preserve">attiecīgi </w:t>
      </w:r>
      <w:r w:rsidRPr="004A7A1F">
        <w:rPr>
          <w:rFonts w:ascii="Times New Roman" w:hAnsi="Times New Roman" w:cs="Times New Roman"/>
          <w:sz w:val="24"/>
          <w:szCs w:val="24"/>
        </w:rPr>
        <w:t xml:space="preserve">par 1,3% un 1,6 %.  Kopējās Latvijas SEG emisijas 2016. gadā bija 11 306,39 </w:t>
      </w:r>
      <w:proofErr w:type="spellStart"/>
      <w:r w:rsidRPr="004A7A1F">
        <w:rPr>
          <w:rFonts w:ascii="Times New Roman" w:hAnsi="Times New Roman" w:cs="Times New Roman"/>
          <w:sz w:val="24"/>
          <w:szCs w:val="24"/>
        </w:rPr>
        <w:t>kt</w:t>
      </w:r>
      <w:proofErr w:type="spellEnd"/>
      <w:r w:rsidRPr="004A7A1F">
        <w:rPr>
          <w:rFonts w:ascii="Times New Roman" w:hAnsi="Times New Roman" w:cs="Times New Roman"/>
          <w:sz w:val="24"/>
          <w:szCs w:val="24"/>
        </w:rPr>
        <w:t xml:space="preserve"> CO</w:t>
      </w:r>
      <w:r w:rsidRPr="00D432DA">
        <w:rPr>
          <w:rFonts w:ascii="Times New Roman" w:hAnsi="Times New Roman" w:cs="Times New Roman"/>
          <w:sz w:val="24"/>
          <w:szCs w:val="24"/>
          <w:vertAlign w:val="subscript"/>
        </w:rPr>
        <w:t>2</w:t>
      </w:r>
      <w:r w:rsidRPr="004A7A1F">
        <w:rPr>
          <w:rFonts w:ascii="Times New Roman" w:hAnsi="Times New Roman" w:cs="Times New Roman"/>
          <w:sz w:val="24"/>
          <w:szCs w:val="24"/>
        </w:rPr>
        <w:t xml:space="preserve"> ekv</w:t>
      </w:r>
      <w:r w:rsidR="00AD50BD">
        <w:rPr>
          <w:rFonts w:ascii="Times New Roman" w:hAnsi="Times New Roman" w:cs="Times New Roman"/>
          <w:sz w:val="24"/>
          <w:szCs w:val="24"/>
        </w:rPr>
        <w:t xml:space="preserve">ivalents (turpmāk - </w:t>
      </w:r>
      <w:proofErr w:type="spellStart"/>
      <w:r w:rsidR="00AD50BD">
        <w:rPr>
          <w:rFonts w:ascii="Times New Roman" w:hAnsi="Times New Roman" w:cs="Times New Roman"/>
          <w:sz w:val="24"/>
          <w:szCs w:val="24"/>
        </w:rPr>
        <w:t>ekv</w:t>
      </w:r>
      <w:proofErr w:type="spellEnd"/>
      <w:r w:rsidR="00AD50BD">
        <w:rPr>
          <w:rFonts w:ascii="Times New Roman" w:hAnsi="Times New Roman" w:cs="Times New Roman"/>
          <w:sz w:val="24"/>
          <w:szCs w:val="24"/>
        </w:rPr>
        <w:t>.)</w:t>
      </w:r>
      <w:r w:rsidR="007226A6">
        <w:rPr>
          <w:rFonts w:ascii="Times New Roman" w:hAnsi="Times New Roman" w:cs="Times New Roman"/>
          <w:sz w:val="24"/>
          <w:szCs w:val="24"/>
        </w:rPr>
        <w:t>,</w:t>
      </w:r>
      <w:r w:rsidR="00AD50BD" w:rsidRPr="004A7A1F">
        <w:rPr>
          <w:rFonts w:ascii="Times New Roman" w:hAnsi="Times New Roman" w:cs="Times New Roman"/>
          <w:sz w:val="24"/>
          <w:szCs w:val="24"/>
        </w:rPr>
        <w:t xml:space="preserve"> </w:t>
      </w:r>
      <w:r w:rsidRPr="004A7A1F">
        <w:rPr>
          <w:rFonts w:ascii="Times New Roman" w:hAnsi="Times New Roman" w:cs="Times New Roman"/>
          <w:sz w:val="24"/>
          <w:szCs w:val="24"/>
        </w:rPr>
        <w:t>bet aptuvenās 2017.</w:t>
      </w:r>
      <w:r w:rsidR="009755A4">
        <w:rPr>
          <w:rFonts w:ascii="Times New Roman" w:hAnsi="Times New Roman" w:cs="Times New Roman"/>
          <w:sz w:val="24"/>
          <w:szCs w:val="24"/>
        </w:rPr>
        <w:t> </w:t>
      </w:r>
      <w:r w:rsidRPr="004A7A1F">
        <w:rPr>
          <w:rFonts w:ascii="Times New Roman" w:hAnsi="Times New Roman" w:cs="Times New Roman"/>
          <w:sz w:val="24"/>
          <w:szCs w:val="24"/>
        </w:rPr>
        <w:t xml:space="preserve">gada SEG emisijas – 11 275,43 </w:t>
      </w:r>
      <w:proofErr w:type="spellStart"/>
      <w:r w:rsidRPr="004A7A1F">
        <w:rPr>
          <w:rFonts w:ascii="Times New Roman" w:hAnsi="Times New Roman" w:cs="Times New Roman"/>
          <w:sz w:val="24"/>
          <w:szCs w:val="24"/>
        </w:rPr>
        <w:t>kt</w:t>
      </w:r>
      <w:proofErr w:type="spellEnd"/>
      <w:r w:rsidRPr="004A7A1F">
        <w:rPr>
          <w:rFonts w:ascii="Times New Roman" w:hAnsi="Times New Roman" w:cs="Times New Roman"/>
          <w:sz w:val="24"/>
          <w:szCs w:val="24"/>
        </w:rPr>
        <w:t xml:space="preserve"> CO</w:t>
      </w:r>
      <w:r w:rsidRPr="00D432DA">
        <w:rPr>
          <w:rFonts w:ascii="Times New Roman" w:hAnsi="Times New Roman" w:cs="Times New Roman"/>
          <w:sz w:val="24"/>
          <w:szCs w:val="24"/>
          <w:vertAlign w:val="subscript"/>
        </w:rPr>
        <w:t>2</w:t>
      </w:r>
      <w:r w:rsidRPr="004A7A1F">
        <w:rPr>
          <w:rFonts w:ascii="Times New Roman" w:hAnsi="Times New Roman" w:cs="Times New Roman"/>
          <w:sz w:val="24"/>
          <w:szCs w:val="24"/>
        </w:rPr>
        <w:t xml:space="preserve"> </w:t>
      </w:r>
      <w:proofErr w:type="spellStart"/>
      <w:r w:rsidRPr="004A7A1F">
        <w:rPr>
          <w:rFonts w:ascii="Times New Roman" w:hAnsi="Times New Roman" w:cs="Times New Roman"/>
          <w:sz w:val="24"/>
          <w:szCs w:val="24"/>
        </w:rPr>
        <w:t>ekv</w:t>
      </w:r>
      <w:proofErr w:type="spellEnd"/>
      <w:r w:rsidRPr="004A7A1F">
        <w:rPr>
          <w:rFonts w:ascii="Times New Roman" w:hAnsi="Times New Roman" w:cs="Times New Roman"/>
          <w:sz w:val="24"/>
          <w:szCs w:val="24"/>
        </w:rPr>
        <w:t xml:space="preserve">. </w:t>
      </w:r>
    </w:p>
    <w:p w14:paraId="3E4BE5AD" w14:textId="6CD1E816" w:rsidR="004A7A1F" w:rsidRPr="0034141D" w:rsidRDefault="004A7A1F" w:rsidP="001D7EE2">
      <w:pPr>
        <w:spacing w:after="0"/>
        <w:ind w:right="-625" w:firstLine="567"/>
        <w:jc w:val="both"/>
        <w:rPr>
          <w:rFonts w:ascii="Times New Roman" w:hAnsi="Times New Roman" w:cs="Times New Roman"/>
          <w:sz w:val="24"/>
          <w:szCs w:val="24"/>
        </w:rPr>
      </w:pPr>
      <w:r w:rsidRPr="004A7A1F">
        <w:rPr>
          <w:rFonts w:ascii="Times New Roman" w:hAnsi="Times New Roman" w:cs="Times New Roman"/>
          <w:sz w:val="24"/>
          <w:szCs w:val="24"/>
        </w:rPr>
        <w:t xml:space="preserve">2016. gadā enerģētikas sektors bija vislielākais SEG emisiju avots radot 64% no kopējām Latvijas SEG emisijām. Lielāko daļu no enerģētikas sektora emisijām rada transporta sektors – 44.2%. </w:t>
      </w:r>
      <w:r w:rsidR="0034141D" w:rsidRPr="0034141D">
        <w:rPr>
          <w:rFonts w:ascii="Times New Roman" w:hAnsi="Times New Roman" w:cs="Times New Roman"/>
          <w:sz w:val="24"/>
          <w:szCs w:val="24"/>
        </w:rPr>
        <w:t>Enerģētikas sektora emisijas 2016. gadā ir samazinājušās par 62,7% salīdzinot ar 1990.</w:t>
      </w:r>
      <w:r w:rsidR="009755A4">
        <w:rPr>
          <w:rFonts w:ascii="Times New Roman" w:hAnsi="Times New Roman" w:cs="Times New Roman"/>
          <w:sz w:val="24"/>
          <w:szCs w:val="24"/>
        </w:rPr>
        <w:t> </w:t>
      </w:r>
      <w:r w:rsidR="0034141D" w:rsidRPr="0034141D">
        <w:rPr>
          <w:rFonts w:ascii="Times New Roman" w:hAnsi="Times New Roman" w:cs="Times New Roman"/>
          <w:sz w:val="24"/>
          <w:szCs w:val="24"/>
        </w:rPr>
        <w:t>gadu, savukārt, salīdzinot ar 2005. gadu emisijas ir samazinājušās par 10%.</w:t>
      </w:r>
      <w:r w:rsidR="007B75C2">
        <w:rPr>
          <w:rFonts w:ascii="Times New Roman" w:hAnsi="Times New Roman" w:cs="Times New Roman"/>
          <w:sz w:val="24"/>
          <w:szCs w:val="24"/>
        </w:rPr>
        <w:t xml:space="preserve"> </w:t>
      </w:r>
    </w:p>
    <w:p w14:paraId="00B6E136" w14:textId="77777777" w:rsidR="004A7A1F" w:rsidRPr="004A7A1F" w:rsidRDefault="004A7A1F" w:rsidP="001D7EE2">
      <w:pPr>
        <w:spacing w:after="0"/>
        <w:ind w:right="-625" w:firstLine="567"/>
        <w:jc w:val="both"/>
        <w:rPr>
          <w:rFonts w:ascii="Times New Roman" w:hAnsi="Times New Roman" w:cs="Times New Roman"/>
          <w:sz w:val="24"/>
          <w:szCs w:val="24"/>
        </w:rPr>
      </w:pPr>
      <w:r w:rsidRPr="004A7A1F">
        <w:rPr>
          <w:rFonts w:ascii="Times New Roman" w:hAnsi="Times New Roman" w:cs="Times New Roman"/>
          <w:sz w:val="24"/>
          <w:szCs w:val="24"/>
        </w:rPr>
        <w:lastRenderedPageBreak/>
        <w:t xml:space="preserve">2016. gadā Latvijas kopējā SEG emisiju apjomā dominēja ne-ETS darbību SEG emisiju apjoms – 80,6 %, savukārt 2017. gada aptuvenais ne-ETS darbību SEG emisiju apjoma īpatsvars kopējā Latvijas SEG emisiju apjomā ir mazliet lielāks – 81,8 %. </w:t>
      </w:r>
    </w:p>
    <w:p w14:paraId="02EA9369" w14:textId="77777777" w:rsidR="004A7A1F" w:rsidRDefault="004A7A1F" w:rsidP="001D7EE2">
      <w:pPr>
        <w:spacing w:after="0"/>
        <w:ind w:right="-625" w:firstLine="567"/>
        <w:jc w:val="both"/>
        <w:rPr>
          <w:rFonts w:ascii="Times New Roman" w:hAnsi="Times New Roman" w:cs="Times New Roman"/>
          <w:sz w:val="24"/>
          <w:szCs w:val="24"/>
        </w:rPr>
      </w:pPr>
      <w:r w:rsidRPr="004A7A1F">
        <w:rPr>
          <w:rFonts w:ascii="Times New Roman" w:hAnsi="Times New Roman" w:cs="Times New Roman"/>
          <w:sz w:val="24"/>
          <w:szCs w:val="24"/>
        </w:rPr>
        <w:t xml:space="preserve">Latvijas ETS operatoru radītais SEG emisiju apjoms 2016. gadā bija 2197 </w:t>
      </w:r>
      <w:proofErr w:type="spellStart"/>
      <w:r w:rsidRPr="004A7A1F">
        <w:rPr>
          <w:rFonts w:ascii="Times New Roman" w:hAnsi="Times New Roman" w:cs="Times New Roman"/>
          <w:sz w:val="24"/>
          <w:szCs w:val="24"/>
        </w:rPr>
        <w:t>kt</w:t>
      </w:r>
      <w:proofErr w:type="spellEnd"/>
      <w:r w:rsidRPr="004A7A1F">
        <w:rPr>
          <w:rFonts w:ascii="Times New Roman" w:hAnsi="Times New Roman" w:cs="Times New Roman"/>
          <w:sz w:val="24"/>
          <w:szCs w:val="24"/>
        </w:rPr>
        <w:t xml:space="preserve"> CO</w:t>
      </w:r>
      <w:r w:rsidRPr="00D432DA">
        <w:rPr>
          <w:rFonts w:ascii="Times New Roman" w:hAnsi="Times New Roman" w:cs="Times New Roman"/>
          <w:sz w:val="24"/>
          <w:szCs w:val="24"/>
          <w:vertAlign w:val="subscript"/>
        </w:rPr>
        <w:t>2</w:t>
      </w:r>
      <w:r w:rsidRPr="004A7A1F">
        <w:rPr>
          <w:rFonts w:ascii="Times New Roman" w:hAnsi="Times New Roman" w:cs="Times New Roman"/>
          <w:sz w:val="24"/>
          <w:szCs w:val="24"/>
        </w:rPr>
        <w:t xml:space="preserve"> </w:t>
      </w:r>
      <w:proofErr w:type="spellStart"/>
      <w:r w:rsidRPr="004A7A1F">
        <w:rPr>
          <w:rFonts w:ascii="Times New Roman" w:hAnsi="Times New Roman" w:cs="Times New Roman"/>
          <w:sz w:val="24"/>
          <w:szCs w:val="24"/>
        </w:rPr>
        <w:t>ekv</w:t>
      </w:r>
      <w:proofErr w:type="spellEnd"/>
      <w:r w:rsidRPr="004A7A1F">
        <w:rPr>
          <w:rFonts w:ascii="Times New Roman" w:hAnsi="Times New Roman" w:cs="Times New Roman"/>
          <w:sz w:val="24"/>
          <w:szCs w:val="24"/>
        </w:rPr>
        <w:t xml:space="preserve">., bet 2017. gadā – 2049,8 </w:t>
      </w:r>
      <w:proofErr w:type="spellStart"/>
      <w:r w:rsidRPr="004A7A1F">
        <w:rPr>
          <w:rFonts w:ascii="Times New Roman" w:hAnsi="Times New Roman" w:cs="Times New Roman"/>
          <w:sz w:val="24"/>
          <w:szCs w:val="24"/>
        </w:rPr>
        <w:t>kt</w:t>
      </w:r>
      <w:proofErr w:type="spellEnd"/>
      <w:r w:rsidRPr="004A7A1F">
        <w:rPr>
          <w:rFonts w:ascii="Times New Roman" w:hAnsi="Times New Roman" w:cs="Times New Roman"/>
          <w:sz w:val="24"/>
          <w:szCs w:val="24"/>
        </w:rPr>
        <w:t xml:space="preserve"> CO</w:t>
      </w:r>
      <w:r w:rsidRPr="00D432DA">
        <w:rPr>
          <w:rFonts w:ascii="Times New Roman" w:hAnsi="Times New Roman" w:cs="Times New Roman"/>
          <w:sz w:val="24"/>
          <w:szCs w:val="24"/>
          <w:vertAlign w:val="subscript"/>
        </w:rPr>
        <w:t>2</w:t>
      </w:r>
      <w:r w:rsidRPr="004A7A1F">
        <w:rPr>
          <w:rFonts w:ascii="Times New Roman" w:hAnsi="Times New Roman" w:cs="Times New Roman"/>
          <w:sz w:val="24"/>
          <w:szCs w:val="24"/>
        </w:rPr>
        <w:t xml:space="preserve"> </w:t>
      </w:r>
      <w:proofErr w:type="spellStart"/>
      <w:r w:rsidRPr="004A7A1F">
        <w:rPr>
          <w:rFonts w:ascii="Times New Roman" w:hAnsi="Times New Roman" w:cs="Times New Roman"/>
          <w:sz w:val="24"/>
          <w:szCs w:val="24"/>
        </w:rPr>
        <w:t>ekv</w:t>
      </w:r>
      <w:proofErr w:type="spellEnd"/>
      <w:r w:rsidRPr="004A7A1F">
        <w:rPr>
          <w:rFonts w:ascii="Times New Roman" w:hAnsi="Times New Roman" w:cs="Times New Roman"/>
          <w:sz w:val="24"/>
          <w:szCs w:val="24"/>
        </w:rPr>
        <w:t>. jeb attiecīgi 19,4 % vai 18,2 % no kopējā Latvijas SEG emisiju apjoma. Salīdzinot ar 2005. gadu Latvijas ETS operatori līdz 2016. gadam bija samazinājuši savas SEG emisijas par 23 % u</w:t>
      </w:r>
      <w:r w:rsidR="00801092">
        <w:rPr>
          <w:rFonts w:ascii="Times New Roman" w:hAnsi="Times New Roman" w:cs="Times New Roman"/>
          <w:sz w:val="24"/>
          <w:szCs w:val="24"/>
        </w:rPr>
        <w:t>n līdz 2017. gadam – par 28,2 % (skatīt 1. tabulu).</w:t>
      </w:r>
      <w:r>
        <w:rPr>
          <w:rFonts w:ascii="Times New Roman" w:hAnsi="Times New Roman" w:cs="Times New Roman"/>
          <w:sz w:val="24"/>
          <w:szCs w:val="24"/>
        </w:rPr>
        <w:t xml:space="preserve"> </w:t>
      </w:r>
    </w:p>
    <w:p w14:paraId="7C25DEDC" w14:textId="77777777" w:rsidR="00801092" w:rsidRPr="001031F1" w:rsidRDefault="00801092" w:rsidP="001D7EE2">
      <w:pPr>
        <w:spacing w:after="0"/>
        <w:ind w:right="-625" w:firstLine="567"/>
        <w:jc w:val="both"/>
        <w:rPr>
          <w:rFonts w:ascii="Times New Roman" w:hAnsi="Times New Roman" w:cs="Times New Roman"/>
          <w:i/>
          <w:sz w:val="24"/>
          <w:szCs w:val="24"/>
        </w:rPr>
      </w:pPr>
    </w:p>
    <w:p w14:paraId="53E3A0B5" w14:textId="77777777" w:rsidR="00B45BC0" w:rsidRPr="001031F1" w:rsidRDefault="00801092" w:rsidP="00801092">
      <w:pPr>
        <w:pStyle w:val="Caption"/>
        <w:spacing w:before="0" w:after="0" w:line="259" w:lineRule="auto"/>
        <w:ind w:right="-483"/>
        <w:jc w:val="right"/>
        <w:rPr>
          <w:i/>
          <w:sz w:val="22"/>
          <w:szCs w:val="22"/>
        </w:rPr>
      </w:pPr>
      <w:bookmarkStart w:id="5" w:name="_Toc531333154"/>
      <w:r w:rsidRPr="001031F1">
        <w:rPr>
          <w:i/>
          <w:sz w:val="22"/>
          <w:szCs w:val="22"/>
        </w:rPr>
        <w:t>1.t</w:t>
      </w:r>
      <w:r w:rsidR="00B45BC0" w:rsidRPr="001031F1">
        <w:rPr>
          <w:i/>
          <w:sz w:val="22"/>
          <w:szCs w:val="22"/>
        </w:rPr>
        <w:t>abula. Latvijas SEG emisiju apjoma īpatsvars 2016.</w:t>
      </w:r>
      <w:r w:rsidR="00CD09F4" w:rsidRPr="001031F1">
        <w:rPr>
          <w:i/>
          <w:sz w:val="22"/>
          <w:szCs w:val="22"/>
        </w:rPr>
        <w:t xml:space="preserve"> </w:t>
      </w:r>
      <w:r w:rsidR="00B45BC0" w:rsidRPr="001031F1">
        <w:rPr>
          <w:i/>
          <w:sz w:val="22"/>
          <w:szCs w:val="22"/>
        </w:rPr>
        <w:t>gadā (%)</w:t>
      </w:r>
      <w:bookmarkEnd w:id="5"/>
    </w:p>
    <w:tbl>
      <w:tblPr>
        <w:tblStyle w:val="TableGridLight1"/>
        <w:tblW w:w="8931" w:type="dxa"/>
        <w:tblLook w:val="04A0" w:firstRow="1" w:lastRow="0" w:firstColumn="1" w:lastColumn="0" w:noHBand="0" w:noVBand="1"/>
      </w:tblPr>
      <w:tblGrid>
        <w:gridCol w:w="5807"/>
        <w:gridCol w:w="3124"/>
      </w:tblGrid>
      <w:tr w:rsidR="00801092" w:rsidRPr="001031F1" w14:paraId="3A49C3A0" w14:textId="77777777" w:rsidTr="00801092">
        <w:trPr>
          <w:trHeight w:val="382"/>
        </w:trPr>
        <w:tc>
          <w:tcPr>
            <w:tcW w:w="5807" w:type="dxa"/>
            <w:hideMark/>
          </w:tcPr>
          <w:p w14:paraId="5E9917F1" w14:textId="77777777" w:rsidR="00801092" w:rsidRPr="001031F1" w:rsidRDefault="00801092" w:rsidP="001D7EE2">
            <w:pPr>
              <w:spacing w:line="259" w:lineRule="auto"/>
              <w:jc w:val="center"/>
              <w:rPr>
                <w:rFonts w:ascii="Times New Roman" w:eastAsia="Times New Roman" w:hAnsi="Times New Roman" w:cs="Times New Roman"/>
                <w:b/>
                <w:bCs/>
                <w:lang w:eastAsia="lv-LV"/>
              </w:rPr>
            </w:pPr>
          </w:p>
        </w:tc>
        <w:tc>
          <w:tcPr>
            <w:tcW w:w="3124" w:type="dxa"/>
          </w:tcPr>
          <w:p w14:paraId="323870BD" w14:textId="77777777" w:rsidR="00801092" w:rsidRPr="001031F1" w:rsidRDefault="00801092" w:rsidP="00801092">
            <w:pPr>
              <w:jc w:val="center"/>
              <w:rPr>
                <w:rFonts w:ascii="Times New Roman" w:hAnsi="Times New Roman" w:cs="Times New Roman"/>
                <w:b/>
                <w:bCs/>
              </w:rPr>
            </w:pPr>
            <w:r w:rsidRPr="001031F1">
              <w:rPr>
                <w:rFonts w:ascii="Times New Roman" w:hAnsi="Times New Roman" w:cs="Times New Roman"/>
                <w:b/>
                <w:bCs/>
              </w:rPr>
              <w:t>Īpatsvars (%) kopējā SEG emisiju apjomā</w:t>
            </w:r>
          </w:p>
        </w:tc>
      </w:tr>
      <w:tr w:rsidR="00801092" w:rsidRPr="001031F1" w14:paraId="246A86C9" w14:textId="77777777" w:rsidTr="00801092">
        <w:trPr>
          <w:trHeight w:val="300"/>
        </w:trPr>
        <w:tc>
          <w:tcPr>
            <w:tcW w:w="5807" w:type="dxa"/>
            <w:hideMark/>
          </w:tcPr>
          <w:p w14:paraId="3AE2971C" w14:textId="77777777" w:rsidR="00801092" w:rsidRPr="001031F1" w:rsidRDefault="00801092" w:rsidP="001D7EE2">
            <w:pPr>
              <w:spacing w:line="259" w:lineRule="auto"/>
              <w:rPr>
                <w:rFonts w:ascii="Times New Roman" w:eastAsia="Times New Roman" w:hAnsi="Times New Roman" w:cs="Times New Roman"/>
                <w:b/>
                <w:bCs/>
                <w:lang w:eastAsia="lv-LV"/>
              </w:rPr>
            </w:pPr>
            <w:r w:rsidRPr="001031F1">
              <w:rPr>
                <w:rFonts w:ascii="Times New Roman" w:eastAsia="Times New Roman" w:hAnsi="Times New Roman" w:cs="Times New Roman"/>
                <w:b/>
                <w:bCs/>
                <w:lang w:eastAsia="lv-LV"/>
              </w:rPr>
              <w:t>ETS sektors</w:t>
            </w:r>
          </w:p>
        </w:tc>
        <w:tc>
          <w:tcPr>
            <w:tcW w:w="3124" w:type="dxa"/>
          </w:tcPr>
          <w:p w14:paraId="21CBD9AD" w14:textId="77777777" w:rsidR="00801092" w:rsidRPr="001031F1" w:rsidRDefault="00801092" w:rsidP="001D7EE2">
            <w:pPr>
              <w:spacing w:line="259" w:lineRule="auto"/>
              <w:jc w:val="center"/>
              <w:rPr>
                <w:rFonts w:ascii="Times New Roman" w:eastAsia="Times New Roman" w:hAnsi="Times New Roman" w:cs="Times New Roman"/>
                <w:b/>
                <w:bCs/>
                <w:lang w:eastAsia="lv-LV"/>
              </w:rPr>
            </w:pPr>
            <w:r w:rsidRPr="001031F1">
              <w:rPr>
                <w:rFonts w:ascii="Times New Roman" w:eastAsia="Times New Roman" w:hAnsi="Times New Roman" w:cs="Times New Roman"/>
                <w:b/>
                <w:bCs/>
                <w:lang w:eastAsia="lv-LV"/>
              </w:rPr>
              <w:t>19,43</w:t>
            </w:r>
          </w:p>
        </w:tc>
      </w:tr>
      <w:tr w:rsidR="00801092" w:rsidRPr="001031F1" w14:paraId="4FC85D77" w14:textId="77777777" w:rsidTr="00801092">
        <w:trPr>
          <w:trHeight w:val="300"/>
        </w:trPr>
        <w:tc>
          <w:tcPr>
            <w:tcW w:w="5807" w:type="dxa"/>
            <w:hideMark/>
          </w:tcPr>
          <w:p w14:paraId="25C184B1" w14:textId="77777777" w:rsidR="00801092" w:rsidRPr="001031F1" w:rsidRDefault="00801092" w:rsidP="001D7EE2">
            <w:pPr>
              <w:spacing w:line="259" w:lineRule="auto"/>
              <w:ind w:firstLine="179"/>
              <w:rPr>
                <w:rFonts w:ascii="Times New Roman" w:eastAsia="Times New Roman" w:hAnsi="Times New Roman" w:cs="Times New Roman"/>
                <w:lang w:eastAsia="lv-LV"/>
              </w:rPr>
            </w:pPr>
            <w:r w:rsidRPr="001031F1">
              <w:rPr>
                <w:rFonts w:ascii="Times New Roman" w:eastAsia="Times New Roman" w:hAnsi="Times New Roman" w:cs="Times New Roman"/>
                <w:lang w:eastAsia="lv-LV"/>
              </w:rPr>
              <w:t>ETS enerģētika</w:t>
            </w:r>
          </w:p>
        </w:tc>
        <w:tc>
          <w:tcPr>
            <w:tcW w:w="3124" w:type="dxa"/>
          </w:tcPr>
          <w:p w14:paraId="0C0C5292" w14:textId="77777777" w:rsidR="00801092" w:rsidRPr="001031F1" w:rsidRDefault="00801092" w:rsidP="001D7EE2">
            <w:pPr>
              <w:spacing w:line="259" w:lineRule="auto"/>
              <w:jc w:val="center"/>
              <w:rPr>
                <w:rFonts w:ascii="Times New Roman" w:hAnsi="Times New Roman" w:cs="Times New Roman"/>
              </w:rPr>
            </w:pPr>
            <w:r w:rsidRPr="001031F1">
              <w:rPr>
                <w:rFonts w:ascii="Times New Roman" w:hAnsi="Times New Roman" w:cs="Times New Roman"/>
              </w:rPr>
              <w:t>16,15</w:t>
            </w:r>
          </w:p>
        </w:tc>
      </w:tr>
      <w:tr w:rsidR="00801092" w:rsidRPr="001031F1" w14:paraId="578DD157" w14:textId="77777777" w:rsidTr="00801092">
        <w:trPr>
          <w:trHeight w:val="315"/>
        </w:trPr>
        <w:tc>
          <w:tcPr>
            <w:tcW w:w="5807" w:type="dxa"/>
            <w:hideMark/>
          </w:tcPr>
          <w:p w14:paraId="54B6816F" w14:textId="77777777" w:rsidR="00801092" w:rsidRPr="001031F1" w:rsidRDefault="00801092" w:rsidP="001D7EE2">
            <w:pPr>
              <w:spacing w:line="259" w:lineRule="auto"/>
              <w:ind w:firstLine="179"/>
              <w:rPr>
                <w:rFonts w:ascii="Times New Roman" w:eastAsia="Times New Roman" w:hAnsi="Times New Roman" w:cs="Times New Roman"/>
                <w:lang w:eastAsia="lv-LV"/>
              </w:rPr>
            </w:pPr>
            <w:r w:rsidRPr="001031F1">
              <w:rPr>
                <w:rFonts w:ascii="Times New Roman" w:eastAsia="Times New Roman" w:hAnsi="Times New Roman" w:cs="Times New Roman"/>
                <w:lang w:eastAsia="lv-LV"/>
              </w:rPr>
              <w:t>ETS rūpnieciskie procesi</w:t>
            </w:r>
          </w:p>
        </w:tc>
        <w:tc>
          <w:tcPr>
            <w:tcW w:w="3124" w:type="dxa"/>
          </w:tcPr>
          <w:p w14:paraId="78906C0B" w14:textId="77777777" w:rsidR="00801092" w:rsidRPr="001031F1" w:rsidRDefault="00801092" w:rsidP="001D7EE2">
            <w:pPr>
              <w:spacing w:line="259" w:lineRule="auto"/>
              <w:jc w:val="center"/>
              <w:rPr>
                <w:rFonts w:ascii="Times New Roman" w:hAnsi="Times New Roman" w:cs="Times New Roman"/>
              </w:rPr>
            </w:pPr>
            <w:r w:rsidRPr="001031F1">
              <w:rPr>
                <w:rFonts w:ascii="Times New Roman" w:hAnsi="Times New Roman" w:cs="Times New Roman"/>
              </w:rPr>
              <w:t>3,28</w:t>
            </w:r>
          </w:p>
        </w:tc>
      </w:tr>
      <w:tr w:rsidR="00801092" w:rsidRPr="001031F1" w14:paraId="2F2DD4E8" w14:textId="77777777" w:rsidTr="00801092">
        <w:trPr>
          <w:trHeight w:val="300"/>
        </w:trPr>
        <w:tc>
          <w:tcPr>
            <w:tcW w:w="5807" w:type="dxa"/>
          </w:tcPr>
          <w:p w14:paraId="76A4CD72" w14:textId="77777777" w:rsidR="00801092" w:rsidRPr="001031F1" w:rsidRDefault="00801092" w:rsidP="001D7EE2">
            <w:pPr>
              <w:spacing w:line="259" w:lineRule="auto"/>
              <w:rPr>
                <w:rFonts w:ascii="Times New Roman" w:eastAsia="Times New Roman" w:hAnsi="Times New Roman" w:cs="Times New Roman"/>
                <w:b/>
                <w:bCs/>
                <w:lang w:eastAsia="lv-LV"/>
              </w:rPr>
            </w:pPr>
            <w:r w:rsidRPr="001031F1">
              <w:rPr>
                <w:rFonts w:ascii="Times New Roman" w:eastAsia="Times New Roman" w:hAnsi="Times New Roman" w:cs="Times New Roman"/>
                <w:b/>
                <w:bCs/>
                <w:lang w:eastAsia="lv-LV"/>
              </w:rPr>
              <w:t>Ne-ETS darbības</w:t>
            </w:r>
          </w:p>
        </w:tc>
        <w:tc>
          <w:tcPr>
            <w:tcW w:w="3124" w:type="dxa"/>
          </w:tcPr>
          <w:p w14:paraId="2B6A7C43" w14:textId="77777777" w:rsidR="00801092" w:rsidRPr="001031F1" w:rsidRDefault="00801092" w:rsidP="001D7EE2">
            <w:pPr>
              <w:spacing w:line="259" w:lineRule="auto"/>
              <w:jc w:val="center"/>
              <w:rPr>
                <w:rFonts w:ascii="Times New Roman" w:hAnsi="Times New Roman" w:cs="Times New Roman"/>
                <w:bCs/>
              </w:rPr>
            </w:pPr>
            <w:r w:rsidRPr="001031F1">
              <w:rPr>
                <w:rFonts w:ascii="Times New Roman" w:hAnsi="Times New Roman" w:cs="Times New Roman"/>
                <w:bCs/>
              </w:rPr>
              <w:t>80,57</w:t>
            </w:r>
          </w:p>
        </w:tc>
      </w:tr>
      <w:tr w:rsidR="00801092" w:rsidRPr="001031F1" w14:paraId="131ED2B2" w14:textId="77777777" w:rsidTr="00801092">
        <w:trPr>
          <w:trHeight w:val="300"/>
        </w:trPr>
        <w:tc>
          <w:tcPr>
            <w:tcW w:w="5807" w:type="dxa"/>
            <w:hideMark/>
          </w:tcPr>
          <w:p w14:paraId="0C4D9576" w14:textId="77777777" w:rsidR="00801092" w:rsidRPr="001031F1" w:rsidRDefault="00801092" w:rsidP="001D7EE2">
            <w:pPr>
              <w:spacing w:line="259" w:lineRule="auto"/>
              <w:rPr>
                <w:rFonts w:ascii="Times New Roman" w:eastAsia="Times New Roman" w:hAnsi="Times New Roman" w:cs="Times New Roman"/>
                <w:b/>
                <w:bCs/>
                <w:lang w:eastAsia="lv-LV"/>
              </w:rPr>
            </w:pPr>
            <w:r w:rsidRPr="001031F1">
              <w:rPr>
                <w:rFonts w:ascii="Times New Roman" w:eastAsia="Times New Roman" w:hAnsi="Times New Roman" w:cs="Times New Roman"/>
                <w:b/>
                <w:bCs/>
                <w:lang w:eastAsia="lv-LV"/>
              </w:rPr>
              <w:t>ne-ETS enerģētika</w:t>
            </w:r>
          </w:p>
        </w:tc>
        <w:tc>
          <w:tcPr>
            <w:tcW w:w="3124" w:type="dxa"/>
          </w:tcPr>
          <w:p w14:paraId="176B86CB" w14:textId="77777777" w:rsidR="00801092" w:rsidRPr="001031F1" w:rsidRDefault="00801092" w:rsidP="001D7EE2">
            <w:pPr>
              <w:spacing w:line="259" w:lineRule="auto"/>
              <w:jc w:val="center"/>
              <w:rPr>
                <w:rFonts w:ascii="Times New Roman" w:hAnsi="Times New Roman" w:cs="Times New Roman"/>
              </w:rPr>
            </w:pPr>
            <w:r w:rsidRPr="001031F1">
              <w:rPr>
                <w:rFonts w:ascii="Times New Roman" w:hAnsi="Times New Roman" w:cs="Times New Roman"/>
              </w:rPr>
              <w:t>48,03</w:t>
            </w:r>
          </w:p>
        </w:tc>
      </w:tr>
      <w:tr w:rsidR="00801092" w:rsidRPr="001031F1" w14:paraId="08D9A485" w14:textId="77777777" w:rsidTr="00801092">
        <w:trPr>
          <w:trHeight w:val="300"/>
        </w:trPr>
        <w:tc>
          <w:tcPr>
            <w:tcW w:w="5807" w:type="dxa"/>
            <w:noWrap/>
            <w:hideMark/>
          </w:tcPr>
          <w:p w14:paraId="2085ABF1" w14:textId="77777777" w:rsidR="00801092" w:rsidRPr="001031F1" w:rsidRDefault="00801092" w:rsidP="001D7EE2">
            <w:pPr>
              <w:spacing w:line="259" w:lineRule="auto"/>
              <w:ind w:firstLine="179"/>
              <w:rPr>
                <w:rFonts w:ascii="Times New Roman" w:eastAsia="Times New Roman" w:hAnsi="Times New Roman" w:cs="Times New Roman"/>
                <w:bCs/>
                <w:lang w:eastAsia="lv-LV"/>
              </w:rPr>
            </w:pPr>
            <w:r w:rsidRPr="001031F1">
              <w:rPr>
                <w:rFonts w:ascii="Times New Roman" w:eastAsia="Times New Roman" w:hAnsi="Times New Roman" w:cs="Times New Roman"/>
                <w:bCs/>
                <w:lang w:eastAsia="lv-LV"/>
              </w:rPr>
              <w:t>transports</w:t>
            </w:r>
          </w:p>
        </w:tc>
        <w:tc>
          <w:tcPr>
            <w:tcW w:w="3124" w:type="dxa"/>
          </w:tcPr>
          <w:p w14:paraId="4321F5A5" w14:textId="77777777" w:rsidR="00801092" w:rsidRPr="001031F1" w:rsidRDefault="00801092" w:rsidP="001D7EE2">
            <w:pPr>
              <w:spacing w:line="259" w:lineRule="auto"/>
              <w:jc w:val="center"/>
              <w:rPr>
                <w:rFonts w:ascii="Times New Roman" w:hAnsi="Times New Roman" w:cs="Times New Roman"/>
              </w:rPr>
            </w:pPr>
            <w:r w:rsidRPr="001031F1">
              <w:rPr>
                <w:rFonts w:ascii="Times New Roman" w:hAnsi="Times New Roman" w:cs="Times New Roman"/>
              </w:rPr>
              <w:t>28,39</w:t>
            </w:r>
          </w:p>
        </w:tc>
      </w:tr>
      <w:tr w:rsidR="00801092" w:rsidRPr="001031F1" w14:paraId="341B2E17" w14:textId="77777777" w:rsidTr="00801092">
        <w:trPr>
          <w:trHeight w:val="300"/>
        </w:trPr>
        <w:tc>
          <w:tcPr>
            <w:tcW w:w="5807" w:type="dxa"/>
            <w:hideMark/>
          </w:tcPr>
          <w:p w14:paraId="2089332C" w14:textId="77777777" w:rsidR="00801092" w:rsidRPr="001031F1" w:rsidRDefault="00801092" w:rsidP="001D7EE2">
            <w:pPr>
              <w:spacing w:line="259" w:lineRule="auto"/>
              <w:ind w:firstLine="179"/>
              <w:rPr>
                <w:rFonts w:ascii="Times New Roman" w:eastAsia="Times New Roman" w:hAnsi="Times New Roman" w:cs="Times New Roman"/>
                <w:lang w:eastAsia="lv-LV"/>
              </w:rPr>
            </w:pPr>
            <w:r w:rsidRPr="001031F1">
              <w:rPr>
                <w:rFonts w:ascii="Times New Roman" w:eastAsia="Times New Roman" w:hAnsi="Times New Roman" w:cs="Times New Roman"/>
                <w:lang w:eastAsia="lv-LV"/>
              </w:rPr>
              <w:t>mājsaimniecības</w:t>
            </w:r>
          </w:p>
        </w:tc>
        <w:tc>
          <w:tcPr>
            <w:tcW w:w="3124" w:type="dxa"/>
          </w:tcPr>
          <w:p w14:paraId="4A7CE2F2" w14:textId="77777777" w:rsidR="00801092" w:rsidRPr="001031F1" w:rsidRDefault="00801092" w:rsidP="001D7EE2">
            <w:pPr>
              <w:spacing w:line="259" w:lineRule="auto"/>
              <w:jc w:val="center"/>
              <w:rPr>
                <w:rFonts w:ascii="Times New Roman" w:hAnsi="Times New Roman" w:cs="Times New Roman"/>
              </w:rPr>
            </w:pPr>
            <w:r w:rsidRPr="001031F1">
              <w:rPr>
                <w:rFonts w:ascii="Times New Roman" w:hAnsi="Times New Roman" w:cs="Times New Roman"/>
              </w:rPr>
              <w:t>4,84</w:t>
            </w:r>
          </w:p>
        </w:tc>
      </w:tr>
      <w:tr w:rsidR="00801092" w:rsidRPr="001031F1" w14:paraId="74E2B036" w14:textId="77777777" w:rsidTr="00801092">
        <w:trPr>
          <w:trHeight w:val="300"/>
        </w:trPr>
        <w:tc>
          <w:tcPr>
            <w:tcW w:w="5807" w:type="dxa"/>
            <w:noWrap/>
            <w:hideMark/>
          </w:tcPr>
          <w:p w14:paraId="11C3E979" w14:textId="77777777" w:rsidR="00801092" w:rsidRPr="001031F1" w:rsidRDefault="00801092" w:rsidP="001D7EE2">
            <w:pPr>
              <w:spacing w:line="259" w:lineRule="auto"/>
              <w:ind w:firstLine="179"/>
              <w:rPr>
                <w:rFonts w:ascii="Times New Roman" w:eastAsia="Times New Roman" w:hAnsi="Times New Roman" w:cs="Times New Roman"/>
                <w:bCs/>
                <w:lang w:eastAsia="lv-LV"/>
              </w:rPr>
            </w:pPr>
            <w:r w:rsidRPr="001031F1">
              <w:rPr>
                <w:rFonts w:ascii="Times New Roman" w:eastAsia="Times New Roman" w:hAnsi="Times New Roman" w:cs="Times New Roman"/>
                <w:lang w:eastAsia="lv-LV"/>
              </w:rPr>
              <w:t>cita</w:t>
            </w:r>
            <w:r w:rsidRPr="001031F1">
              <w:rPr>
                <w:rFonts w:ascii="Times New Roman" w:eastAsia="Times New Roman" w:hAnsi="Times New Roman" w:cs="Times New Roman"/>
                <w:bCs/>
                <w:lang w:eastAsia="lv-LV"/>
              </w:rPr>
              <w:t xml:space="preserve"> ne-ETS enerģētika</w:t>
            </w:r>
          </w:p>
        </w:tc>
        <w:tc>
          <w:tcPr>
            <w:tcW w:w="3124" w:type="dxa"/>
          </w:tcPr>
          <w:p w14:paraId="23E07484" w14:textId="77777777" w:rsidR="00801092" w:rsidRPr="001031F1" w:rsidRDefault="00801092" w:rsidP="001D7EE2">
            <w:pPr>
              <w:spacing w:line="259" w:lineRule="auto"/>
              <w:jc w:val="center"/>
              <w:rPr>
                <w:rFonts w:ascii="Times New Roman" w:hAnsi="Times New Roman" w:cs="Times New Roman"/>
              </w:rPr>
            </w:pPr>
            <w:r w:rsidRPr="001031F1">
              <w:rPr>
                <w:rFonts w:ascii="Times New Roman" w:hAnsi="Times New Roman" w:cs="Times New Roman"/>
              </w:rPr>
              <w:t>14.80</w:t>
            </w:r>
          </w:p>
        </w:tc>
      </w:tr>
      <w:tr w:rsidR="00801092" w:rsidRPr="001031F1" w14:paraId="1D9E35E9" w14:textId="77777777" w:rsidTr="00801092">
        <w:trPr>
          <w:trHeight w:val="300"/>
        </w:trPr>
        <w:tc>
          <w:tcPr>
            <w:tcW w:w="5807" w:type="dxa"/>
            <w:noWrap/>
            <w:hideMark/>
          </w:tcPr>
          <w:p w14:paraId="378EF3AA" w14:textId="77777777" w:rsidR="00801092" w:rsidRPr="001031F1" w:rsidRDefault="00801092" w:rsidP="001D7EE2">
            <w:pPr>
              <w:spacing w:line="259" w:lineRule="auto"/>
              <w:rPr>
                <w:rFonts w:ascii="Times New Roman" w:eastAsia="Times New Roman" w:hAnsi="Times New Roman" w:cs="Times New Roman"/>
                <w:b/>
                <w:bCs/>
                <w:lang w:eastAsia="lv-LV"/>
              </w:rPr>
            </w:pPr>
            <w:r w:rsidRPr="001031F1">
              <w:rPr>
                <w:rFonts w:ascii="Times New Roman" w:eastAsia="Times New Roman" w:hAnsi="Times New Roman" w:cs="Times New Roman"/>
                <w:b/>
                <w:bCs/>
                <w:lang w:eastAsia="lv-LV"/>
              </w:rPr>
              <w:t>ne-ETS rūpnieciskie procesi un ķīmisko vielu izmantošana</w:t>
            </w:r>
          </w:p>
        </w:tc>
        <w:tc>
          <w:tcPr>
            <w:tcW w:w="3124" w:type="dxa"/>
          </w:tcPr>
          <w:p w14:paraId="022697E7" w14:textId="77777777" w:rsidR="00801092" w:rsidRPr="001031F1" w:rsidRDefault="00801092" w:rsidP="001D7EE2">
            <w:pPr>
              <w:spacing w:line="259" w:lineRule="auto"/>
              <w:jc w:val="center"/>
              <w:rPr>
                <w:rFonts w:ascii="Times New Roman" w:hAnsi="Times New Roman" w:cs="Times New Roman"/>
              </w:rPr>
            </w:pPr>
            <w:r w:rsidRPr="001031F1">
              <w:rPr>
                <w:rFonts w:ascii="Times New Roman" w:hAnsi="Times New Roman" w:cs="Times New Roman"/>
              </w:rPr>
              <w:t>2,56</w:t>
            </w:r>
          </w:p>
        </w:tc>
      </w:tr>
      <w:tr w:rsidR="00801092" w:rsidRPr="001031F1" w14:paraId="7680439E" w14:textId="77777777" w:rsidTr="00801092">
        <w:trPr>
          <w:trHeight w:val="300"/>
        </w:trPr>
        <w:tc>
          <w:tcPr>
            <w:tcW w:w="5807" w:type="dxa"/>
            <w:noWrap/>
            <w:hideMark/>
          </w:tcPr>
          <w:p w14:paraId="5986FFF1" w14:textId="77777777" w:rsidR="00801092" w:rsidRPr="001031F1" w:rsidRDefault="00801092" w:rsidP="001D7EE2">
            <w:pPr>
              <w:spacing w:line="259" w:lineRule="auto"/>
              <w:rPr>
                <w:rFonts w:ascii="Times New Roman" w:eastAsia="Times New Roman" w:hAnsi="Times New Roman" w:cs="Times New Roman"/>
                <w:b/>
                <w:bCs/>
                <w:lang w:eastAsia="lv-LV"/>
              </w:rPr>
            </w:pPr>
            <w:r w:rsidRPr="001031F1">
              <w:rPr>
                <w:rFonts w:ascii="Times New Roman" w:eastAsia="Times New Roman" w:hAnsi="Times New Roman" w:cs="Times New Roman"/>
                <w:b/>
                <w:bCs/>
                <w:lang w:eastAsia="lv-LV"/>
              </w:rPr>
              <w:t>lauksaimniecība</w:t>
            </w:r>
          </w:p>
        </w:tc>
        <w:tc>
          <w:tcPr>
            <w:tcW w:w="3124" w:type="dxa"/>
          </w:tcPr>
          <w:p w14:paraId="2B15984B" w14:textId="77777777" w:rsidR="00801092" w:rsidRPr="001031F1" w:rsidRDefault="00801092" w:rsidP="001D7EE2">
            <w:pPr>
              <w:spacing w:line="259" w:lineRule="auto"/>
              <w:jc w:val="center"/>
              <w:rPr>
                <w:rFonts w:ascii="Times New Roman" w:hAnsi="Times New Roman" w:cs="Times New Roman"/>
              </w:rPr>
            </w:pPr>
            <w:r w:rsidRPr="001031F1">
              <w:rPr>
                <w:rFonts w:ascii="Times New Roman" w:hAnsi="Times New Roman" w:cs="Times New Roman"/>
              </w:rPr>
              <w:t>23,56</w:t>
            </w:r>
          </w:p>
        </w:tc>
      </w:tr>
      <w:tr w:rsidR="00801092" w:rsidRPr="001031F1" w14:paraId="2300E7E1" w14:textId="77777777" w:rsidTr="00801092">
        <w:trPr>
          <w:trHeight w:val="300"/>
        </w:trPr>
        <w:tc>
          <w:tcPr>
            <w:tcW w:w="5807" w:type="dxa"/>
            <w:hideMark/>
          </w:tcPr>
          <w:p w14:paraId="31AF0474" w14:textId="77777777" w:rsidR="00801092" w:rsidRPr="001031F1" w:rsidRDefault="00801092" w:rsidP="001D7EE2">
            <w:pPr>
              <w:spacing w:line="259" w:lineRule="auto"/>
              <w:rPr>
                <w:rFonts w:ascii="Times New Roman" w:eastAsia="Times New Roman" w:hAnsi="Times New Roman" w:cs="Times New Roman"/>
                <w:b/>
                <w:bCs/>
                <w:lang w:eastAsia="lv-LV"/>
              </w:rPr>
            </w:pPr>
            <w:r w:rsidRPr="001031F1">
              <w:rPr>
                <w:rFonts w:ascii="Times New Roman" w:eastAsia="Times New Roman" w:hAnsi="Times New Roman" w:cs="Times New Roman"/>
                <w:b/>
                <w:bCs/>
                <w:lang w:eastAsia="lv-LV"/>
              </w:rPr>
              <w:t>atkritumu apsaimniekošana</w:t>
            </w:r>
          </w:p>
        </w:tc>
        <w:tc>
          <w:tcPr>
            <w:tcW w:w="3124" w:type="dxa"/>
          </w:tcPr>
          <w:p w14:paraId="224A99F4" w14:textId="77777777" w:rsidR="00801092" w:rsidRPr="001031F1" w:rsidRDefault="00801092" w:rsidP="001D7EE2">
            <w:pPr>
              <w:spacing w:line="259" w:lineRule="auto"/>
              <w:jc w:val="center"/>
              <w:rPr>
                <w:rFonts w:ascii="Times New Roman" w:hAnsi="Times New Roman" w:cs="Times New Roman"/>
              </w:rPr>
            </w:pPr>
            <w:r w:rsidRPr="001031F1">
              <w:rPr>
                <w:rFonts w:ascii="Times New Roman" w:hAnsi="Times New Roman" w:cs="Times New Roman"/>
              </w:rPr>
              <w:t>6,42</w:t>
            </w:r>
          </w:p>
        </w:tc>
      </w:tr>
    </w:tbl>
    <w:p w14:paraId="74CC6C17" w14:textId="77777777" w:rsidR="00B45BC0" w:rsidRDefault="00B45BC0" w:rsidP="001D7EE2">
      <w:pPr>
        <w:spacing w:after="0"/>
        <w:ind w:right="-625" w:firstLine="567"/>
        <w:jc w:val="both"/>
        <w:rPr>
          <w:rFonts w:ascii="Times New Roman" w:hAnsi="Times New Roman" w:cs="Times New Roman"/>
          <w:sz w:val="24"/>
          <w:szCs w:val="24"/>
        </w:rPr>
      </w:pPr>
    </w:p>
    <w:p w14:paraId="1444A149" w14:textId="2CE02085" w:rsidR="00F75E38" w:rsidRPr="00D432DA" w:rsidRDefault="00801092" w:rsidP="002F6F80">
      <w:pPr>
        <w:pStyle w:val="Heading2"/>
      </w:pPr>
      <w:bookmarkStart w:id="6" w:name="_Toc5694313"/>
      <w:r>
        <w:t>2.</w:t>
      </w:r>
      <w:r w:rsidR="000806DC">
        <w:t>4</w:t>
      </w:r>
      <w:r>
        <w:t xml:space="preserve">. </w:t>
      </w:r>
      <w:r w:rsidR="00F75E38" w:rsidRPr="00D432DA">
        <w:t>El</w:t>
      </w:r>
      <w:r>
        <w:t>ektroenerģijas ražošana Latvijā</w:t>
      </w:r>
      <w:r w:rsidR="00825E29">
        <w:t xml:space="preserve"> un iespējamie pretendenti </w:t>
      </w:r>
      <w:proofErr w:type="spellStart"/>
      <w:r w:rsidR="004836F7">
        <w:t>derogācijai</w:t>
      </w:r>
      <w:proofErr w:type="spellEnd"/>
      <w:r w:rsidR="004836F7">
        <w:t xml:space="preserve"> </w:t>
      </w:r>
      <w:r w:rsidR="00825E29">
        <w:t>Latvijā</w:t>
      </w:r>
      <w:bookmarkEnd w:id="6"/>
    </w:p>
    <w:p w14:paraId="27EC1DA0" w14:textId="6F8F77AD" w:rsidR="00B45BC0" w:rsidRDefault="00B45BC0" w:rsidP="001D7EE2">
      <w:pPr>
        <w:spacing w:after="0"/>
        <w:ind w:right="-625" w:firstLine="567"/>
        <w:jc w:val="both"/>
        <w:rPr>
          <w:rFonts w:ascii="Times New Roman" w:hAnsi="Times New Roman" w:cs="Times New Roman"/>
          <w:sz w:val="24"/>
          <w:szCs w:val="24"/>
        </w:rPr>
      </w:pPr>
      <w:r w:rsidRPr="00B45BC0">
        <w:rPr>
          <w:rFonts w:ascii="Times New Roman" w:hAnsi="Times New Roman" w:cs="Times New Roman"/>
          <w:sz w:val="24"/>
          <w:szCs w:val="24"/>
        </w:rPr>
        <w:t>2017. gadā Latvijā saražoja 753</w:t>
      </w:r>
      <w:r>
        <w:rPr>
          <w:rFonts w:ascii="Times New Roman" w:hAnsi="Times New Roman" w:cs="Times New Roman"/>
          <w:sz w:val="24"/>
          <w:szCs w:val="24"/>
        </w:rPr>
        <w:t xml:space="preserve">1 </w:t>
      </w:r>
      <w:r w:rsidR="00AD50BD">
        <w:rPr>
          <w:rFonts w:ascii="Times New Roman" w:hAnsi="Times New Roman" w:cs="Times New Roman"/>
          <w:sz w:val="24"/>
          <w:szCs w:val="24"/>
        </w:rPr>
        <w:t xml:space="preserve">gigavatstundas (turpmāk - </w:t>
      </w:r>
      <w:proofErr w:type="spellStart"/>
      <w:r>
        <w:rPr>
          <w:rFonts w:ascii="Times New Roman" w:hAnsi="Times New Roman" w:cs="Times New Roman"/>
          <w:sz w:val="24"/>
          <w:szCs w:val="24"/>
        </w:rPr>
        <w:t>GWh</w:t>
      </w:r>
      <w:proofErr w:type="spellEnd"/>
      <w:r w:rsidR="00AD50BD">
        <w:rPr>
          <w:rFonts w:ascii="Times New Roman" w:hAnsi="Times New Roman" w:cs="Times New Roman"/>
          <w:sz w:val="24"/>
          <w:szCs w:val="24"/>
        </w:rPr>
        <w:t>)</w:t>
      </w:r>
      <w:r>
        <w:rPr>
          <w:rFonts w:ascii="Times New Roman" w:hAnsi="Times New Roman" w:cs="Times New Roman"/>
          <w:sz w:val="24"/>
          <w:szCs w:val="24"/>
        </w:rPr>
        <w:t xml:space="preserve"> elektroenerģijas, no tā 5</w:t>
      </w:r>
      <w:r w:rsidRPr="00B45BC0">
        <w:rPr>
          <w:rFonts w:ascii="Times New Roman" w:hAnsi="Times New Roman" w:cs="Times New Roman"/>
          <w:sz w:val="24"/>
          <w:szCs w:val="24"/>
        </w:rPr>
        <w:t xml:space="preserve">461 </w:t>
      </w:r>
      <w:proofErr w:type="spellStart"/>
      <w:r w:rsidRPr="00B45BC0">
        <w:rPr>
          <w:rFonts w:ascii="Times New Roman" w:hAnsi="Times New Roman" w:cs="Times New Roman"/>
          <w:sz w:val="24"/>
          <w:szCs w:val="24"/>
        </w:rPr>
        <w:t>GWh</w:t>
      </w:r>
      <w:proofErr w:type="spellEnd"/>
      <w:r w:rsidRPr="00B45BC0">
        <w:rPr>
          <w:rFonts w:ascii="Times New Roman" w:hAnsi="Times New Roman" w:cs="Times New Roman"/>
          <w:sz w:val="24"/>
          <w:szCs w:val="24"/>
        </w:rPr>
        <w:t xml:space="preserve"> no </w:t>
      </w:r>
      <w:r>
        <w:rPr>
          <w:rFonts w:ascii="Times New Roman" w:hAnsi="Times New Roman" w:cs="Times New Roman"/>
          <w:sz w:val="24"/>
          <w:szCs w:val="24"/>
        </w:rPr>
        <w:t>atjaunojamajiem energoresursiem (turpmāk – AER)</w:t>
      </w:r>
      <w:r w:rsidRPr="00B45BC0">
        <w:rPr>
          <w:rFonts w:ascii="Times New Roman" w:hAnsi="Times New Roman" w:cs="Times New Roman"/>
          <w:sz w:val="24"/>
          <w:szCs w:val="24"/>
        </w:rPr>
        <w:t>, un salīdzinājumā ar 2016. gadu saražotais apjoms no AER pieauga par 56,8 %. Ievērojami pieauga saražotā primārā elektroenerģija – kāpums par 70,5 % jeb par 6,7</w:t>
      </w:r>
      <w:r w:rsidR="00AD50BD">
        <w:rPr>
          <w:rFonts w:ascii="Times New Roman" w:hAnsi="Times New Roman" w:cs="Times New Roman"/>
          <w:sz w:val="24"/>
          <w:szCs w:val="24"/>
        </w:rPr>
        <w:t xml:space="preserve"> </w:t>
      </w:r>
      <w:proofErr w:type="spellStart"/>
      <w:r w:rsidR="00AD50BD">
        <w:rPr>
          <w:rFonts w:ascii="Times New Roman" w:hAnsi="Times New Roman" w:cs="Times New Roman"/>
          <w:sz w:val="24"/>
          <w:szCs w:val="24"/>
        </w:rPr>
        <w:t>petadžouliem</w:t>
      </w:r>
      <w:proofErr w:type="spellEnd"/>
      <w:r w:rsidR="00AD50BD">
        <w:rPr>
          <w:rFonts w:ascii="Times New Roman" w:hAnsi="Times New Roman" w:cs="Times New Roman"/>
          <w:sz w:val="24"/>
          <w:szCs w:val="24"/>
        </w:rPr>
        <w:t xml:space="preserve"> (turpmāk –</w:t>
      </w:r>
      <w:r w:rsidRPr="00B45BC0">
        <w:rPr>
          <w:rFonts w:ascii="Times New Roman" w:hAnsi="Times New Roman" w:cs="Times New Roman"/>
          <w:sz w:val="24"/>
          <w:szCs w:val="24"/>
        </w:rPr>
        <w:t xml:space="preserve"> </w:t>
      </w:r>
      <w:r w:rsidRPr="00C7122C">
        <w:rPr>
          <w:rFonts w:ascii="Times New Roman" w:hAnsi="Times New Roman" w:cs="Times New Roman"/>
          <w:sz w:val="24"/>
          <w:szCs w:val="24"/>
        </w:rPr>
        <w:t>P</w:t>
      </w:r>
      <w:r w:rsidRPr="00B45BC0">
        <w:rPr>
          <w:rFonts w:ascii="Times New Roman" w:hAnsi="Times New Roman" w:cs="Times New Roman"/>
          <w:sz w:val="24"/>
          <w:szCs w:val="24"/>
        </w:rPr>
        <w:t>J</w:t>
      </w:r>
      <w:r w:rsidR="00AD50BD">
        <w:rPr>
          <w:rFonts w:ascii="Times New Roman" w:hAnsi="Times New Roman" w:cs="Times New Roman"/>
          <w:sz w:val="24"/>
          <w:szCs w:val="24"/>
        </w:rPr>
        <w:t>)</w:t>
      </w:r>
      <w:r w:rsidRPr="00B45BC0">
        <w:rPr>
          <w:rFonts w:ascii="Times New Roman" w:hAnsi="Times New Roman" w:cs="Times New Roman"/>
          <w:sz w:val="24"/>
          <w:szCs w:val="24"/>
        </w:rPr>
        <w:t xml:space="preserve"> (no tā </w:t>
      </w:r>
      <w:r>
        <w:rPr>
          <w:rFonts w:ascii="Times New Roman" w:hAnsi="Times New Roman" w:cs="Times New Roman"/>
          <w:sz w:val="24"/>
          <w:szCs w:val="24"/>
        </w:rPr>
        <w:t>hidroelektrostacijās</w:t>
      </w:r>
      <w:r w:rsidRPr="00B45BC0">
        <w:rPr>
          <w:rFonts w:ascii="Times New Roman" w:hAnsi="Times New Roman" w:cs="Times New Roman"/>
          <w:sz w:val="24"/>
          <w:szCs w:val="24"/>
        </w:rPr>
        <w:t xml:space="preserve"> kāpums par 73,2 % un </w:t>
      </w:r>
      <w:r>
        <w:rPr>
          <w:rFonts w:ascii="Times New Roman" w:hAnsi="Times New Roman" w:cs="Times New Roman"/>
          <w:sz w:val="24"/>
          <w:szCs w:val="24"/>
        </w:rPr>
        <w:t xml:space="preserve">vēja elektrostacijās </w:t>
      </w:r>
      <w:r w:rsidRPr="00B45BC0">
        <w:rPr>
          <w:rFonts w:ascii="Times New Roman" w:hAnsi="Times New Roman" w:cs="Times New Roman"/>
          <w:sz w:val="24"/>
          <w:szCs w:val="24"/>
        </w:rPr>
        <w:t xml:space="preserve">– par 17,1 %). Elektroenerģijas ražošanas pieaugumu 2017.gadā visvairāk ietekmēja augstā izstrāde </w:t>
      </w:r>
      <w:r>
        <w:rPr>
          <w:rFonts w:ascii="Times New Roman" w:hAnsi="Times New Roman" w:cs="Times New Roman"/>
          <w:sz w:val="24"/>
          <w:szCs w:val="24"/>
        </w:rPr>
        <w:t>hidroelektrostacijās</w:t>
      </w:r>
      <w:r w:rsidRPr="00B45BC0">
        <w:rPr>
          <w:rFonts w:ascii="Times New Roman" w:hAnsi="Times New Roman" w:cs="Times New Roman"/>
          <w:sz w:val="24"/>
          <w:szCs w:val="24"/>
        </w:rPr>
        <w:t>, kas skaidrojama ar netipiski augsto nokrišņu apjomu un lielo ūdens pieteci Daugavā. Pēdējo piecu gadu laikā saražotā elektroenerģija biomasas elektrostacijās un koģenerācijas stacijās pieauga no 215 līdz 525</w:t>
      </w:r>
      <w:r w:rsidR="001A30AD">
        <w:rPr>
          <w:rFonts w:ascii="Times New Roman" w:hAnsi="Times New Roman" w:cs="Times New Roman"/>
          <w:sz w:val="24"/>
          <w:szCs w:val="24"/>
        </w:rPr>
        <w:t> </w:t>
      </w:r>
      <w:proofErr w:type="spellStart"/>
      <w:r w:rsidRPr="00B45BC0">
        <w:rPr>
          <w:rFonts w:ascii="Times New Roman" w:hAnsi="Times New Roman" w:cs="Times New Roman"/>
          <w:sz w:val="24"/>
          <w:szCs w:val="24"/>
        </w:rPr>
        <w:t>GWh</w:t>
      </w:r>
      <w:proofErr w:type="spellEnd"/>
      <w:r w:rsidRPr="00B45BC0">
        <w:rPr>
          <w:rFonts w:ascii="Times New Roman" w:hAnsi="Times New Roman" w:cs="Times New Roman"/>
          <w:sz w:val="24"/>
          <w:szCs w:val="24"/>
        </w:rPr>
        <w:t xml:space="preserve"> un biogāzes koģenerācijas stacijās – no 288 līdz 405 </w:t>
      </w:r>
      <w:proofErr w:type="spellStart"/>
      <w:r w:rsidRPr="00B45BC0">
        <w:rPr>
          <w:rFonts w:ascii="Times New Roman" w:hAnsi="Times New Roman" w:cs="Times New Roman"/>
          <w:sz w:val="24"/>
          <w:szCs w:val="24"/>
        </w:rPr>
        <w:t>GWh</w:t>
      </w:r>
      <w:proofErr w:type="spellEnd"/>
      <w:r w:rsidRPr="00B45BC0">
        <w:rPr>
          <w:rFonts w:ascii="Times New Roman" w:hAnsi="Times New Roman" w:cs="Times New Roman"/>
          <w:sz w:val="24"/>
          <w:szCs w:val="24"/>
        </w:rPr>
        <w:t>.</w:t>
      </w:r>
      <w:r w:rsidR="009B411F">
        <w:rPr>
          <w:rStyle w:val="FootnoteReference"/>
          <w:rFonts w:ascii="Times New Roman" w:hAnsi="Times New Roman" w:cs="Times New Roman"/>
          <w:sz w:val="24"/>
          <w:szCs w:val="24"/>
        </w:rPr>
        <w:footnoteReference w:id="13"/>
      </w:r>
    </w:p>
    <w:p w14:paraId="28394E21" w14:textId="08D52403" w:rsidR="00603286" w:rsidRDefault="00C7122C" w:rsidP="00801092">
      <w:pPr>
        <w:spacing w:after="0"/>
        <w:ind w:right="-625" w:firstLine="567"/>
        <w:jc w:val="both"/>
        <w:rPr>
          <w:rFonts w:ascii="Times New Roman" w:hAnsi="Times New Roman" w:cs="Times New Roman"/>
          <w:sz w:val="24"/>
          <w:szCs w:val="24"/>
        </w:rPr>
      </w:pPr>
      <w:r w:rsidRPr="00C7122C">
        <w:rPr>
          <w:rFonts w:ascii="Times New Roman" w:hAnsi="Times New Roman" w:cs="Times New Roman"/>
          <w:sz w:val="24"/>
          <w:szCs w:val="24"/>
        </w:rPr>
        <w:t xml:space="preserve">No </w:t>
      </w:r>
      <w:r>
        <w:rPr>
          <w:rFonts w:ascii="Times New Roman" w:hAnsi="Times New Roman" w:cs="Times New Roman"/>
          <w:sz w:val="24"/>
          <w:szCs w:val="24"/>
        </w:rPr>
        <w:t>AER</w:t>
      </w:r>
      <w:r w:rsidRPr="00C7122C">
        <w:rPr>
          <w:rFonts w:ascii="Times New Roman" w:hAnsi="Times New Roman" w:cs="Times New Roman"/>
          <w:sz w:val="24"/>
          <w:szCs w:val="24"/>
        </w:rPr>
        <w:t xml:space="preserve"> ražotas enerģijas īpatsvars</w:t>
      </w:r>
      <w:r>
        <w:rPr>
          <w:rFonts w:ascii="Times New Roman" w:hAnsi="Times New Roman" w:cs="Times New Roman"/>
          <w:sz w:val="24"/>
          <w:szCs w:val="24"/>
        </w:rPr>
        <w:t xml:space="preserve"> </w:t>
      </w:r>
      <w:r w:rsidR="00BD36CF">
        <w:rPr>
          <w:rFonts w:ascii="Times New Roman" w:hAnsi="Times New Roman" w:cs="Times New Roman"/>
          <w:sz w:val="24"/>
          <w:szCs w:val="24"/>
        </w:rPr>
        <w:t xml:space="preserve">saražotajā </w:t>
      </w:r>
      <w:r>
        <w:rPr>
          <w:rFonts w:ascii="Times New Roman" w:hAnsi="Times New Roman" w:cs="Times New Roman"/>
          <w:sz w:val="24"/>
          <w:szCs w:val="24"/>
        </w:rPr>
        <w:t>elektroenerģijā 2015. gadā bij</w:t>
      </w:r>
      <w:r w:rsidR="00801092">
        <w:rPr>
          <w:rFonts w:ascii="Times New Roman" w:hAnsi="Times New Roman" w:cs="Times New Roman"/>
          <w:sz w:val="24"/>
          <w:szCs w:val="24"/>
        </w:rPr>
        <w:t>a 52,24% un 2016. gadā – 51,26%</w:t>
      </w:r>
      <w:r>
        <w:rPr>
          <w:rStyle w:val="FootnoteReference"/>
          <w:rFonts w:ascii="Times New Roman" w:hAnsi="Times New Roman" w:cs="Times New Roman"/>
          <w:sz w:val="24"/>
          <w:szCs w:val="24"/>
        </w:rPr>
        <w:footnoteReference w:id="14"/>
      </w:r>
      <w:r w:rsidR="00801092">
        <w:rPr>
          <w:rFonts w:ascii="Times New Roman" w:hAnsi="Times New Roman" w:cs="Times New Roman"/>
          <w:sz w:val="24"/>
          <w:szCs w:val="24"/>
        </w:rPr>
        <w:t xml:space="preserve"> (skatīt 2. tabulu).</w:t>
      </w:r>
      <w:r>
        <w:rPr>
          <w:rFonts w:ascii="Times New Roman" w:hAnsi="Times New Roman" w:cs="Times New Roman"/>
          <w:sz w:val="24"/>
          <w:szCs w:val="24"/>
        </w:rPr>
        <w:t xml:space="preserve"> </w:t>
      </w:r>
      <w:r w:rsidR="00B45BC0">
        <w:rPr>
          <w:rFonts w:ascii="Times New Roman" w:hAnsi="Times New Roman" w:cs="Times New Roman"/>
          <w:sz w:val="24"/>
          <w:szCs w:val="24"/>
        </w:rPr>
        <w:t xml:space="preserve">Saskaņā ar Sabiedrisko pakalpojumu regulēšanas komisijas apkopoto elektroenerģijas ražotāju sarakstu (aktualizēts 2019. gada </w:t>
      </w:r>
      <w:r w:rsidR="0098642F">
        <w:rPr>
          <w:rFonts w:ascii="Times New Roman" w:hAnsi="Times New Roman" w:cs="Times New Roman"/>
          <w:sz w:val="24"/>
          <w:szCs w:val="24"/>
        </w:rPr>
        <w:t>2</w:t>
      </w:r>
      <w:r w:rsidR="00B45BC0">
        <w:rPr>
          <w:rFonts w:ascii="Times New Roman" w:hAnsi="Times New Roman" w:cs="Times New Roman"/>
          <w:sz w:val="24"/>
          <w:szCs w:val="24"/>
        </w:rPr>
        <w:t xml:space="preserve">2. </w:t>
      </w:r>
      <w:r w:rsidR="0098642F">
        <w:rPr>
          <w:rFonts w:ascii="Times New Roman" w:hAnsi="Times New Roman" w:cs="Times New Roman"/>
          <w:sz w:val="24"/>
          <w:szCs w:val="24"/>
        </w:rPr>
        <w:t>martā</w:t>
      </w:r>
      <w:r w:rsidR="00B45BC0">
        <w:rPr>
          <w:rFonts w:ascii="Times New Roman" w:hAnsi="Times New Roman" w:cs="Times New Roman"/>
          <w:sz w:val="24"/>
          <w:szCs w:val="24"/>
        </w:rPr>
        <w:t>)</w:t>
      </w:r>
      <w:r w:rsidR="00B45BC0">
        <w:rPr>
          <w:rStyle w:val="FootnoteReference"/>
          <w:rFonts w:ascii="Times New Roman" w:hAnsi="Times New Roman" w:cs="Times New Roman"/>
          <w:sz w:val="24"/>
          <w:szCs w:val="24"/>
        </w:rPr>
        <w:footnoteReference w:id="15"/>
      </w:r>
      <w:r w:rsidR="00B45BC0">
        <w:rPr>
          <w:rFonts w:ascii="Times New Roman" w:hAnsi="Times New Roman" w:cs="Times New Roman"/>
          <w:sz w:val="24"/>
          <w:szCs w:val="24"/>
        </w:rPr>
        <w:t xml:space="preserve">, Latvijā ir </w:t>
      </w:r>
      <w:r w:rsidR="0098642F">
        <w:rPr>
          <w:rFonts w:ascii="Times New Roman" w:hAnsi="Times New Roman" w:cs="Times New Roman"/>
          <w:sz w:val="24"/>
          <w:szCs w:val="24"/>
        </w:rPr>
        <w:t xml:space="preserve">75 </w:t>
      </w:r>
      <w:r w:rsidR="00B45BC0">
        <w:rPr>
          <w:rFonts w:ascii="Times New Roman" w:hAnsi="Times New Roman" w:cs="Times New Roman"/>
          <w:sz w:val="24"/>
          <w:szCs w:val="24"/>
        </w:rPr>
        <w:t xml:space="preserve">elektroenerģijas ražotāji, kas ir uzsākuši darbību. </w:t>
      </w:r>
    </w:p>
    <w:p w14:paraId="39771B02" w14:textId="77777777" w:rsidR="00801092" w:rsidRDefault="00801092" w:rsidP="00801092">
      <w:pPr>
        <w:spacing w:after="0"/>
        <w:ind w:right="-625" w:firstLine="567"/>
        <w:jc w:val="both"/>
        <w:rPr>
          <w:rFonts w:ascii="Times New Roman" w:hAnsi="Times New Roman" w:cs="Times New Roman"/>
          <w:sz w:val="24"/>
          <w:szCs w:val="24"/>
        </w:rPr>
      </w:pPr>
    </w:p>
    <w:p w14:paraId="2953FF75" w14:textId="77777777" w:rsidR="003F75F6" w:rsidRPr="001031F1" w:rsidRDefault="00801092" w:rsidP="00801092">
      <w:pPr>
        <w:spacing w:after="0"/>
        <w:ind w:right="-625"/>
        <w:jc w:val="right"/>
        <w:rPr>
          <w:rFonts w:ascii="Times New Roman" w:hAnsi="Times New Roman" w:cs="Times New Roman"/>
          <w:b/>
          <w:i/>
        </w:rPr>
      </w:pPr>
      <w:r w:rsidRPr="001031F1">
        <w:rPr>
          <w:rFonts w:ascii="Times New Roman" w:hAnsi="Times New Roman" w:cs="Times New Roman"/>
          <w:b/>
          <w:i/>
        </w:rPr>
        <w:t>2.t</w:t>
      </w:r>
      <w:r w:rsidR="003F75F6" w:rsidRPr="001031F1">
        <w:rPr>
          <w:rFonts w:ascii="Times New Roman" w:hAnsi="Times New Roman" w:cs="Times New Roman"/>
          <w:b/>
          <w:i/>
        </w:rPr>
        <w:t>abula: Elektriskā jauda un saražotā elektroenerģija no</w:t>
      </w:r>
      <w:r w:rsidRPr="001031F1">
        <w:rPr>
          <w:rFonts w:ascii="Times New Roman" w:hAnsi="Times New Roman" w:cs="Times New Roman"/>
          <w:b/>
          <w:i/>
        </w:rPr>
        <w:t xml:space="preserve"> AER 2017. gadā</w:t>
      </w:r>
      <w:r w:rsidR="00D05BD9" w:rsidRPr="001031F1">
        <w:rPr>
          <w:rStyle w:val="FootnoteReference"/>
          <w:rFonts w:ascii="Times New Roman" w:hAnsi="Times New Roman" w:cs="Times New Roman"/>
          <w:b/>
          <w:i/>
        </w:rPr>
        <w:footnoteReference w:id="16"/>
      </w:r>
    </w:p>
    <w:tbl>
      <w:tblPr>
        <w:tblStyle w:val="TableGridLight1"/>
        <w:tblW w:w="8926" w:type="dxa"/>
        <w:tblLayout w:type="fixed"/>
        <w:tblLook w:val="04A0" w:firstRow="1" w:lastRow="0" w:firstColumn="1" w:lastColumn="0" w:noHBand="0" w:noVBand="1"/>
        <w:tblDescription w:val="ENG090. Elektriskā jauda un saražotā elektroenerģija no atjaunīgiem energoresursiem - Rādītāji, Atjaunīgo energoresursu elektrostaciju veids un Gads"/>
      </w:tblPr>
      <w:tblGrid>
        <w:gridCol w:w="4434"/>
        <w:gridCol w:w="1567"/>
        <w:gridCol w:w="2925"/>
      </w:tblGrid>
      <w:tr w:rsidR="00136D41" w:rsidRPr="001031F1" w14:paraId="233C2DC9" w14:textId="77777777" w:rsidTr="00801092">
        <w:tc>
          <w:tcPr>
            <w:tcW w:w="4434" w:type="dxa"/>
            <w:hideMark/>
          </w:tcPr>
          <w:p w14:paraId="167BFC48" w14:textId="77777777" w:rsidR="00136D41" w:rsidRPr="001031F1" w:rsidRDefault="00136D41" w:rsidP="001D7EE2">
            <w:pPr>
              <w:spacing w:line="259" w:lineRule="auto"/>
              <w:rPr>
                <w:rFonts w:asciiTheme="majorBidi" w:eastAsia="Times New Roman" w:hAnsiTheme="majorBidi" w:cstheme="majorBidi"/>
                <w:b/>
                <w:bCs/>
                <w:lang w:eastAsia="lv-LV"/>
              </w:rPr>
            </w:pPr>
          </w:p>
        </w:tc>
        <w:tc>
          <w:tcPr>
            <w:tcW w:w="1567" w:type="dxa"/>
          </w:tcPr>
          <w:p w14:paraId="2D8A024A" w14:textId="77777777" w:rsidR="00136D41" w:rsidRPr="001031F1" w:rsidRDefault="00136D41" w:rsidP="001D7EE2">
            <w:pPr>
              <w:spacing w:line="259" w:lineRule="auto"/>
              <w:jc w:val="center"/>
              <w:rPr>
                <w:rFonts w:asciiTheme="majorBidi" w:eastAsia="Times New Roman" w:hAnsiTheme="majorBidi" w:cstheme="majorBidi"/>
                <w:b/>
                <w:bCs/>
                <w:lang w:eastAsia="lv-LV"/>
              </w:rPr>
            </w:pPr>
            <w:r w:rsidRPr="001031F1">
              <w:rPr>
                <w:rFonts w:asciiTheme="majorBidi" w:eastAsia="Times New Roman" w:hAnsiTheme="majorBidi" w:cstheme="majorBidi"/>
                <w:b/>
                <w:bCs/>
                <w:lang w:eastAsia="lv-LV"/>
              </w:rPr>
              <w:t>Elektriskā jauda (MW)</w:t>
            </w:r>
          </w:p>
        </w:tc>
        <w:tc>
          <w:tcPr>
            <w:tcW w:w="2925" w:type="dxa"/>
            <w:hideMark/>
          </w:tcPr>
          <w:p w14:paraId="2286AA33" w14:textId="77777777" w:rsidR="00136D41" w:rsidRPr="001031F1" w:rsidRDefault="00136D41" w:rsidP="001D7EE2">
            <w:pPr>
              <w:spacing w:line="259" w:lineRule="auto"/>
              <w:jc w:val="center"/>
              <w:rPr>
                <w:rFonts w:asciiTheme="majorBidi" w:eastAsia="Times New Roman" w:hAnsiTheme="majorBidi" w:cstheme="majorBidi"/>
                <w:b/>
                <w:bCs/>
                <w:lang w:eastAsia="lv-LV"/>
              </w:rPr>
            </w:pPr>
            <w:r w:rsidRPr="001031F1">
              <w:rPr>
                <w:rFonts w:asciiTheme="majorBidi" w:eastAsia="Times New Roman" w:hAnsiTheme="majorBidi" w:cstheme="majorBidi"/>
                <w:b/>
                <w:bCs/>
                <w:lang w:eastAsia="lv-LV"/>
              </w:rPr>
              <w:t>Saražotā elektroenerģija (</w:t>
            </w:r>
            <w:proofErr w:type="spellStart"/>
            <w:r w:rsidRPr="001031F1">
              <w:rPr>
                <w:rFonts w:asciiTheme="majorBidi" w:eastAsia="Times New Roman" w:hAnsiTheme="majorBidi" w:cstheme="majorBidi"/>
                <w:b/>
                <w:bCs/>
                <w:lang w:eastAsia="lv-LV"/>
              </w:rPr>
              <w:t>GWh</w:t>
            </w:r>
            <w:proofErr w:type="spellEnd"/>
            <w:r w:rsidRPr="001031F1">
              <w:rPr>
                <w:rFonts w:asciiTheme="majorBidi" w:eastAsia="Times New Roman" w:hAnsiTheme="majorBidi" w:cstheme="majorBidi"/>
                <w:b/>
                <w:bCs/>
                <w:lang w:eastAsia="lv-LV"/>
              </w:rPr>
              <w:t>)</w:t>
            </w:r>
          </w:p>
        </w:tc>
      </w:tr>
      <w:tr w:rsidR="00136D41" w:rsidRPr="001031F1" w14:paraId="415A09EE" w14:textId="77777777" w:rsidTr="00801092">
        <w:tc>
          <w:tcPr>
            <w:tcW w:w="4434" w:type="dxa"/>
            <w:hideMark/>
          </w:tcPr>
          <w:p w14:paraId="56B547E4" w14:textId="77777777" w:rsidR="00136D41" w:rsidRPr="001031F1" w:rsidRDefault="00136D41" w:rsidP="001D7EE2">
            <w:pPr>
              <w:spacing w:line="259" w:lineRule="auto"/>
              <w:rPr>
                <w:rFonts w:asciiTheme="majorBidi" w:eastAsia="Times New Roman" w:hAnsiTheme="majorBidi" w:cstheme="majorBidi"/>
                <w:b/>
                <w:bCs/>
                <w:lang w:eastAsia="lv-LV"/>
              </w:rPr>
            </w:pPr>
            <w:r w:rsidRPr="001031F1">
              <w:rPr>
                <w:rFonts w:asciiTheme="majorBidi" w:eastAsia="Times New Roman" w:hAnsiTheme="majorBidi" w:cstheme="majorBidi"/>
                <w:lang w:eastAsia="lv-LV"/>
              </w:rPr>
              <w:t>Pavisam</w:t>
            </w:r>
          </w:p>
        </w:tc>
        <w:tc>
          <w:tcPr>
            <w:tcW w:w="1567" w:type="dxa"/>
          </w:tcPr>
          <w:p w14:paraId="0393E7CC" w14:textId="77777777" w:rsidR="00136D41" w:rsidRPr="001031F1" w:rsidRDefault="00136D41" w:rsidP="001D7EE2">
            <w:pPr>
              <w:spacing w:line="259" w:lineRule="auto"/>
              <w:jc w:val="center"/>
              <w:rPr>
                <w:rFonts w:asciiTheme="majorBidi" w:eastAsia="Times New Roman" w:hAnsiTheme="majorBidi" w:cstheme="majorBidi"/>
                <w:lang w:eastAsia="lv-LV"/>
              </w:rPr>
            </w:pPr>
            <w:r w:rsidRPr="001031F1">
              <w:rPr>
                <w:rFonts w:asciiTheme="majorBidi" w:eastAsia="Times New Roman" w:hAnsiTheme="majorBidi" w:cstheme="majorBidi"/>
                <w:lang w:eastAsia="lv-LV"/>
              </w:rPr>
              <w:t>1 796</w:t>
            </w:r>
          </w:p>
        </w:tc>
        <w:tc>
          <w:tcPr>
            <w:tcW w:w="2925" w:type="dxa"/>
            <w:noWrap/>
            <w:hideMark/>
          </w:tcPr>
          <w:p w14:paraId="5C303B26" w14:textId="77777777" w:rsidR="00136D41" w:rsidRPr="001031F1" w:rsidRDefault="00136D41" w:rsidP="001D7EE2">
            <w:pPr>
              <w:spacing w:line="259" w:lineRule="auto"/>
              <w:jc w:val="center"/>
              <w:rPr>
                <w:rFonts w:asciiTheme="majorBidi" w:eastAsia="Times New Roman" w:hAnsiTheme="majorBidi" w:cstheme="majorBidi"/>
                <w:lang w:eastAsia="lv-LV"/>
              </w:rPr>
            </w:pPr>
            <w:r w:rsidRPr="001031F1">
              <w:rPr>
                <w:rFonts w:asciiTheme="majorBidi" w:eastAsia="Times New Roman" w:hAnsiTheme="majorBidi" w:cstheme="majorBidi"/>
                <w:lang w:eastAsia="lv-LV"/>
              </w:rPr>
              <w:t>5 461</w:t>
            </w:r>
          </w:p>
        </w:tc>
      </w:tr>
      <w:tr w:rsidR="00136D41" w:rsidRPr="001031F1" w14:paraId="15EDF1AF" w14:textId="77777777" w:rsidTr="00801092">
        <w:tc>
          <w:tcPr>
            <w:tcW w:w="4434" w:type="dxa"/>
            <w:hideMark/>
          </w:tcPr>
          <w:p w14:paraId="363BC33B" w14:textId="77777777" w:rsidR="00136D41" w:rsidRPr="001031F1" w:rsidRDefault="00136D41" w:rsidP="001D7EE2">
            <w:pPr>
              <w:spacing w:line="259" w:lineRule="auto"/>
              <w:rPr>
                <w:rFonts w:asciiTheme="majorBidi" w:eastAsia="Times New Roman" w:hAnsiTheme="majorBidi" w:cstheme="majorBidi"/>
                <w:b/>
                <w:bCs/>
                <w:lang w:eastAsia="lv-LV"/>
              </w:rPr>
            </w:pPr>
            <w:r w:rsidRPr="001031F1">
              <w:rPr>
                <w:rFonts w:asciiTheme="majorBidi" w:eastAsia="Times New Roman" w:hAnsiTheme="majorBidi" w:cstheme="majorBidi"/>
                <w:lang w:eastAsia="lv-LV"/>
              </w:rPr>
              <w:t>Hidroelektrostacijas kopā</w:t>
            </w:r>
          </w:p>
        </w:tc>
        <w:tc>
          <w:tcPr>
            <w:tcW w:w="1567" w:type="dxa"/>
          </w:tcPr>
          <w:p w14:paraId="2DBD8B1F" w14:textId="77777777" w:rsidR="00136D41" w:rsidRPr="001031F1" w:rsidRDefault="00136D41" w:rsidP="001D7EE2">
            <w:pPr>
              <w:spacing w:line="259" w:lineRule="auto"/>
              <w:jc w:val="center"/>
              <w:rPr>
                <w:rFonts w:asciiTheme="majorBidi" w:eastAsia="Times New Roman" w:hAnsiTheme="majorBidi" w:cstheme="majorBidi"/>
                <w:lang w:eastAsia="lv-LV"/>
              </w:rPr>
            </w:pPr>
            <w:r w:rsidRPr="001031F1">
              <w:rPr>
                <w:rFonts w:asciiTheme="majorBidi" w:eastAsia="Times New Roman" w:hAnsiTheme="majorBidi" w:cstheme="majorBidi"/>
                <w:lang w:eastAsia="lv-LV"/>
              </w:rPr>
              <w:t>1 564</w:t>
            </w:r>
          </w:p>
        </w:tc>
        <w:tc>
          <w:tcPr>
            <w:tcW w:w="2925" w:type="dxa"/>
            <w:noWrap/>
            <w:hideMark/>
          </w:tcPr>
          <w:p w14:paraId="5B8EF230" w14:textId="77777777" w:rsidR="00136D41" w:rsidRPr="001031F1" w:rsidRDefault="00136D41" w:rsidP="001D7EE2">
            <w:pPr>
              <w:spacing w:line="259" w:lineRule="auto"/>
              <w:jc w:val="center"/>
              <w:rPr>
                <w:rFonts w:asciiTheme="majorBidi" w:eastAsia="Times New Roman" w:hAnsiTheme="majorBidi" w:cstheme="majorBidi"/>
                <w:lang w:eastAsia="lv-LV"/>
              </w:rPr>
            </w:pPr>
            <w:r w:rsidRPr="001031F1">
              <w:rPr>
                <w:rFonts w:asciiTheme="majorBidi" w:eastAsia="Times New Roman" w:hAnsiTheme="majorBidi" w:cstheme="majorBidi"/>
                <w:lang w:eastAsia="lv-LV"/>
              </w:rPr>
              <w:t>4 381</w:t>
            </w:r>
          </w:p>
        </w:tc>
      </w:tr>
      <w:tr w:rsidR="00136D41" w:rsidRPr="001031F1" w14:paraId="7B80BCF3" w14:textId="77777777" w:rsidTr="00801092">
        <w:tc>
          <w:tcPr>
            <w:tcW w:w="4434" w:type="dxa"/>
            <w:hideMark/>
          </w:tcPr>
          <w:p w14:paraId="645D7CAC" w14:textId="77777777" w:rsidR="00136D41" w:rsidRPr="001031F1" w:rsidRDefault="00136D41" w:rsidP="001D7EE2">
            <w:pPr>
              <w:spacing w:line="259" w:lineRule="auto"/>
              <w:rPr>
                <w:rFonts w:asciiTheme="majorBidi" w:eastAsia="Times New Roman" w:hAnsiTheme="majorBidi" w:cstheme="majorBidi"/>
                <w:b/>
                <w:bCs/>
                <w:lang w:eastAsia="lv-LV"/>
              </w:rPr>
            </w:pPr>
            <w:r w:rsidRPr="001031F1">
              <w:rPr>
                <w:rFonts w:asciiTheme="majorBidi" w:eastAsia="Times New Roman" w:hAnsiTheme="majorBidi" w:cstheme="majorBidi"/>
                <w:lang w:eastAsia="lv-LV"/>
              </w:rPr>
              <w:t xml:space="preserve">   &lt; 1 MW</w:t>
            </w:r>
          </w:p>
        </w:tc>
        <w:tc>
          <w:tcPr>
            <w:tcW w:w="1567" w:type="dxa"/>
          </w:tcPr>
          <w:p w14:paraId="7184B1DE" w14:textId="77777777" w:rsidR="00136D41" w:rsidRPr="001031F1" w:rsidRDefault="00136D41" w:rsidP="001D7EE2">
            <w:pPr>
              <w:spacing w:line="259" w:lineRule="auto"/>
              <w:jc w:val="center"/>
              <w:rPr>
                <w:rFonts w:asciiTheme="majorBidi" w:eastAsia="Times New Roman" w:hAnsiTheme="majorBidi" w:cstheme="majorBidi"/>
                <w:lang w:eastAsia="lv-LV"/>
              </w:rPr>
            </w:pPr>
            <w:r w:rsidRPr="001031F1">
              <w:rPr>
                <w:rFonts w:asciiTheme="majorBidi" w:eastAsia="Times New Roman" w:hAnsiTheme="majorBidi" w:cstheme="majorBidi"/>
                <w:lang w:eastAsia="lv-LV"/>
              </w:rPr>
              <w:t>27</w:t>
            </w:r>
          </w:p>
        </w:tc>
        <w:tc>
          <w:tcPr>
            <w:tcW w:w="2925" w:type="dxa"/>
            <w:noWrap/>
            <w:hideMark/>
          </w:tcPr>
          <w:p w14:paraId="0AA87442" w14:textId="77777777" w:rsidR="00136D41" w:rsidRPr="001031F1" w:rsidRDefault="00136D41" w:rsidP="001D7EE2">
            <w:pPr>
              <w:spacing w:line="259" w:lineRule="auto"/>
              <w:jc w:val="center"/>
              <w:rPr>
                <w:rFonts w:asciiTheme="majorBidi" w:eastAsia="Times New Roman" w:hAnsiTheme="majorBidi" w:cstheme="majorBidi"/>
                <w:lang w:eastAsia="lv-LV"/>
              </w:rPr>
            </w:pPr>
            <w:r w:rsidRPr="001031F1">
              <w:rPr>
                <w:rFonts w:asciiTheme="majorBidi" w:eastAsia="Times New Roman" w:hAnsiTheme="majorBidi" w:cstheme="majorBidi"/>
                <w:lang w:eastAsia="lv-LV"/>
              </w:rPr>
              <w:t>105</w:t>
            </w:r>
          </w:p>
        </w:tc>
      </w:tr>
      <w:tr w:rsidR="00136D41" w:rsidRPr="001031F1" w14:paraId="2976AB90" w14:textId="77777777" w:rsidTr="00801092">
        <w:tc>
          <w:tcPr>
            <w:tcW w:w="4434" w:type="dxa"/>
            <w:hideMark/>
          </w:tcPr>
          <w:p w14:paraId="14DDA03B" w14:textId="77777777" w:rsidR="00136D41" w:rsidRPr="001031F1" w:rsidRDefault="00136D41" w:rsidP="001D7EE2">
            <w:pPr>
              <w:spacing w:line="259" w:lineRule="auto"/>
              <w:rPr>
                <w:rFonts w:asciiTheme="majorBidi" w:eastAsia="Times New Roman" w:hAnsiTheme="majorBidi" w:cstheme="majorBidi"/>
                <w:b/>
                <w:bCs/>
                <w:lang w:eastAsia="lv-LV"/>
              </w:rPr>
            </w:pPr>
            <w:r w:rsidRPr="001031F1">
              <w:rPr>
                <w:rFonts w:asciiTheme="majorBidi" w:eastAsia="Times New Roman" w:hAnsiTheme="majorBidi" w:cstheme="majorBidi"/>
                <w:lang w:eastAsia="lv-LV"/>
              </w:rPr>
              <w:t xml:space="preserve">   1 MW&lt;=elektriskā jauda&lt;=10 MW</w:t>
            </w:r>
          </w:p>
        </w:tc>
        <w:tc>
          <w:tcPr>
            <w:tcW w:w="1567" w:type="dxa"/>
          </w:tcPr>
          <w:p w14:paraId="1558A4EB" w14:textId="77777777" w:rsidR="00136D41" w:rsidRPr="001031F1" w:rsidRDefault="00136D41" w:rsidP="001D7EE2">
            <w:pPr>
              <w:spacing w:line="259" w:lineRule="auto"/>
              <w:jc w:val="center"/>
              <w:rPr>
                <w:rFonts w:asciiTheme="majorBidi" w:eastAsia="Times New Roman" w:hAnsiTheme="majorBidi" w:cstheme="majorBidi"/>
                <w:lang w:eastAsia="lv-LV"/>
              </w:rPr>
            </w:pPr>
            <w:r w:rsidRPr="001031F1">
              <w:rPr>
                <w:rFonts w:asciiTheme="majorBidi" w:eastAsia="Times New Roman" w:hAnsiTheme="majorBidi" w:cstheme="majorBidi"/>
                <w:lang w:eastAsia="lv-LV"/>
              </w:rPr>
              <w:t>1</w:t>
            </w:r>
          </w:p>
        </w:tc>
        <w:tc>
          <w:tcPr>
            <w:tcW w:w="2925" w:type="dxa"/>
            <w:noWrap/>
            <w:hideMark/>
          </w:tcPr>
          <w:p w14:paraId="04BB88AB" w14:textId="77777777" w:rsidR="00136D41" w:rsidRPr="001031F1" w:rsidRDefault="00136D41" w:rsidP="001D7EE2">
            <w:pPr>
              <w:spacing w:line="259" w:lineRule="auto"/>
              <w:jc w:val="center"/>
              <w:rPr>
                <w:rFonts w:asciiTheme="majorBidi" w:eastAsia="Times New Roman" w:hAnsiTheme="majorBidi" w:cstheme="majorBidi"/>
                <w:lang w:eastAsia="lv-LV"/>
              </w:rPr>
            </w:pPr>
            <w:r w:rsidRPr="001031F1">
              <w:rPr>
                <w:rFonts w:asciiTheme="majorBidi" w:eastAsia="Times New Roman" w:hAnsiTheme="majorBidi" w:cstheme="majorBidi"/>
                <w:lang w:eastAsia="lv-LV"/>
              </w:rPr>
              <w:t>5</w:t>
            </w:r>
          </w:p>
        </w:tc>
      </w:tr>
      <w:tr w:rsidR="00136D41" w:rsidRPr="001031F1" w14:paraId="4CE9FCA4" w14:textId="77777777" w:rsidTr="00801092">
        <w:tc>
          <w:tcPr>
            <w:tcW w:w="4434" w:type="dxa"/>
            <w:hideMark/>
          </w:tcPr>
          <w:p w14:paraId="48A089EE" w14:textId="77777777" w:rsidR="00136D41" w:rsidRPr="001031F1" w:rsidRDefault="00136D41" w:rsidP="001D7EE2">
            <w:pPr>
              <w:spacing w:line="259" w:lineRule="auto"/>
              <w:rPr>
                <w:rFonts w:asciiTheme="majorBidi" w:eastAsia="Times New Roman" w:hAnsiTheme="majorBidi" w:cstheme="majorBidi"/>
                <w:b/>
                <w:bCs/>
                <w:lang w:eastAsia="lv-LV"/>
              </w:rPr>
            </w:pPr>
            <w:r w:rsidRPr="001031F1">
              <w:rPr>
                <w:rFonts w:asciiTheme="majorBidi" w:eastAsia="Times New Roman" w:hAnsiTheme="majorBidi" w:cstheme="majorBidi"/>
                <w:lang w:eastAsia="lv-LV"/>
              </w:rPr>
              <w:t xml:space="preserve">   &gt;10 MW</w:t>
            </w:r>
          </w:p>
        </w:tc>
        <w:tc>
          <w:tcPr>
            <w:tcW w:w="1567" w:type="dxa"/>
          </w:tcPr>
          <w:p w14:paraId="51D84866" w14:textId="77777777" w:rsidR="00136D41" w:rsidRPr="001031F1" w:rsidRDefault="00136D41" w:rsidP="001D7EE2">
            <w:pPr>
              <w:spacing w:line="259" w:lineRule="auto"/>
              <w:jc w:val="center"/>
              <w:rPr>
                <w:rFonts w:asciiTheme="majorBidi" w:eastAsia="Times New Roman" w:hAnsiTheme="majorBidi" w:cstheme="majorBidi"/>
                <w:lang w:eastAsia="lv-LV"/>
              </w:rPr>
            </w:pPr>
            <w:r w:rsidRPr="001031F1">
              <w:rPr>
                <w:rFonts w:asciiTheme="majorBidi" w:eastAsia="Times New Roman" w:hAnsiTheme="majorBidi" w:cstheme="majorBidi"/>
                <w:lang w:eastAsia="lv-LV"/>
              </w:rPr>
              <w:t>1 536</w:t>
            </w:r>
          </w:p>
        </w:tc>
        <w:tc>
          <w:tcPr>
            <w:tcW w:w="2925" w:type="dxa"/>
            <w:noWrap/>
            <w:hideMark/>
          </w:tcPr>
          <w:p w14:paraId="715E6232" w14:textId="77777777" w:rsidR="00136D41" w:rsidRPr="001031F1" w:rsidRDefault="00136D41" w:rsidP="001D7EE2">
            <w:pPr>
              <w:spacing w:line="259" w:lineRule="auto"/>
              <w:jc w:val="center"/>
              <w:rPr>
                <w:rFonts w:asciiTheme="majorBidi" w:eastAsia="Times New Roman" w:hAnsiTheme="majorBidi" w:cstheme="majorBidi"/>
                <w:lang w:eastAsia="lv-LV"/>
              </w:rPr>
            </w:pPr>
            <w:r w:rsidRPr="001031F1">
              <w:rPr>
                <w:rFonts w:asciiTheme="majorBidi" w:eastAsia="Times New Roman" w:hAnsiTheme="majorBidi" w:cstheme="majorBidi"/>
                <w:lang w:eastAsia="lv-LV"/>
              </w:rPr>
              <w:t>4 271</w:t>
            </w:r>
          </w:p>
        </w:tc>
      </w:tr>
      <w:tr w:rsidR="00136D41" w:rsidRPr="001031F1" w14:paraId="14D50F1E" w14:textId="77777777" w:rsidTr="00801092">
        <w:tc>
          <w:tcPr>
            <w:tcW w:w="4434" w:type="dxa"/>
            <w:hideMark/>
          </w:tcPr>
          <w:p w14:paraId="478E0FBF" w14:textId="77777777" w:rsidR="00136D41" w:rsidRPr="001031F1" w:rsidRDefault="00136D41" w:rsidP="001D7EE2">
            <w:pPr>
              <w:spacing w:line="259" w:lineRule="auto"/>
              <w:rPr>
                <w:rFonts w:asciiTheme="majorBidi" w:eastAsia="Times New Roman" w:hAnsiTheme="majorBidi" w:cstheme="majorBidi"/>
                <w:b/>
                <w:bCs/>
                <w:lang w:eastAsia="lv-LV"/>
              </w:rPr>
            </w:pPr>
            <w:r w:rsidRPr="001031F1">
              <w:rPr>
                <w:rFonts w:asciiTheme="majorBidi" w:eastAsia="Times New Roman" w:hAnsiTheme="majorBidi" w:cstheme="majorBidi"/>
                <w:lang w:eastAsia="lv-LV"/>
              </w:rPr>
              <w:t>Vēja elektrostacijas</w:t>
            </w:r>
          </w:p>
        </w:tc>
        <w:tc>
          <w:tcPr>
            <w:tcW w:w="1567" w:type="dxa"/>
          </w:tcPr>
          <w:p w14:paraId="2FFEE901" w14:textId="77777777" w:rsidR="00136D41" w:rsidRPr="001031F1" w:rsidRDefault="00136D41" w:rsidP="001D7EE2">
            <w:pPr>
              <w:spacing w:line="259" w:lineRule="auto"/>
              <w:jc w:val="center"/>
              <w:rPr>
                <w:rFonts w:asciiTheme="majorBidi" w:eastAsia="Times New Roman" w:hAnsiTheme="majorBidi" w:cstheme="majorBidi"/>
                <w:lang w:eastAsia="lv-LV"/>
              </w:rPr>
            </w:pPr>
            <w:r w:rsidRPr="001031F1">
              <w:rPr>
                <w:rFonts w:asciiTheme="majorBidi" w:eastAsia="Times New Roman" w:hAnsiTheme="majorBidi" w:cstheme="majorBidi"/>
                <w:lang w:eastAsia="lv-LV"/>
              </w:rPr>
              <w:t>77</w:t>
            </w:r>
          </w:p>
        </w:tc>
        <w:tc>
          <w:tcPr>
            <w:tcW w:w="2925" w:type="dxa"/>
            <w:noWrap/>
            <w:hideMark/>
          </w:tcPr>
          <w:p w14:paraId="613DA44D" w14:textId="77777777" w:rsidR="00136D41" w:rsidRPr="001031F1" w:rsidRDefault="00136D41" w:rsidP="001D7EE2">
            <w:pPr>
              <w:spacing w:line="259" w:lineRule="auto"/>
              <w:jc w:val="center"/>
              <w:rPr>
                <w:rFonts w:asciiTheme="majorBidi" w:eastAsia="Times New Roman" w:hAnsiTheme="majorBidi" w:cstheme="majorBidi"/>
                <w:lang w:eastAsia="lv-LV"/>
              </w:rPr>
            </w:pPr>
            <w:r w:rsidRPr="001031F1">
              <w:rPr>
                <w:rFonts w:asciiTheme="majorBidi" w:eastAsia="Times New Roman" w:hAnsiTheme="majorBidi" w:cstheme="majorBidi"/>
                <w:lang w:eastAsia="lv-LV"/>
              </w:rPr>
              <w:t>150</w:t>
            </w:r>
          </w:p>
        </w:tc>
      </w:tr>
      <w:tr w:rsidR="00136D41" w:rsidRPr="001031F1" w14:paraId="414CF345" w14:textId="77777777" w:rsidTr="00801092">
        <w:tc>
          <w:tcPr>
            <w:tcW w:w="4434" w:type="dxa"/>
            <w:hideMark/>
          </w:tcPr>
          <w:p w14:paraId="4CB1B003" w14:textId="77777777" w:rsidR="00136D41" w:rsidRPr="001031F1" w:rsidRDefault="00136D41" w:rsidP="001D7EE2">
            <w:pPr>
              <w:spacing w:line="259" w:lineRule="auto"/>
              <w:rPr>
                <w:rFonts w:asciiTheme="majorBidi" w:eastAsia="Times New Roman" w:hAnsiTheme="majorBidi" w:cstheme="majorBidi"/>
                <w:b/>
                <w:bCs/>
                <w:lang w:eastAsia="lv-LV"/>
              </w:rPr>
            </w:pPr>
            <w:r w:rsidRPr="001031F1">
              <w:rPr>
                <w:rFonts w:asciiTheme="majorBidi" w:eastAsia="Times New Roman" w:hAnsiTheme="majorBidi" w:cstheme="majorBidi"/>
                <w:lang w:eastAsia="lv-LV"/>
              </w:rPr>
              <w:t>Biomasas koģenerācijas stacijas un elektrostacijas</w:t>
            </w:r>
          </w:p>
        </w:tc>
        <w:tc>
          <w:tcPr>
            <w:tcW w:w="1567" w:type="dxa"/>
          </w:tcPr>
          <w:p w14:paraId="57BA532E" w14:textId="77777777" w:rsidR="00136D41" w:rsidRPr="001031F1" w:rsidRDefault="00136D41" w:rsidP="001D7EE2">
            <w:pPr>
              <w:spacing w:line="259" w:lineRule="auto"/>
              <w:jc w:val="center"/>
              <w:rPr>
                <w:rFonts w:asciiTheme="majorBidi" w:eastAsia="Times New Roman" w:hAnsiTheme="majorBidi" w:cstheme="majorBidi"/>
                <w:lang w:eastAsia="lv-LV"/>
              </w:rPr>
            </w:pPr>
            <w:r w:rsidRPr="001031F1">
              <w:rPr>
                <w:rFonts w:asciiTheme="majorBidi" w:eastAsia="Times New Roman" w:hAnsiTheme="majorBidi" w:cstheme="majorBidi"/>
                <w:lang w:eastAsia="lv-LV"/>
              </w:rPr>
              <w:t>94</w:t>
            </w:r>
          </w:p>
        </w:tc>
        <w:tc>
          <w:tcPr>
            <w:tcW w:w="2925" w:type="dxa"/>
            <w:noWrap/>
            <w:hideMark/>
          </w:tcPr>
          <w:p w14:paraId="221601BA" w14:textId="77777777" w:rsidR="00136D41" w:rsidRPr="001031F1" w:rsidRDefault="00136D41" w:rsidP="001D7EE2">
            <w:pPr>
              <w:spacing w:line="259" w:lineRule="auto"/>
              <w:jc w:val="center"/>
              <w:rPr>
                <w:rFonts w:asciiTheme="majorBidi" w:eastAsia="Times New Roman" w:hAnsiTheme="majorBidi" w:cstheme="majorBidi"/>
                <w:lang w:eastAsia="lv-LV"/>
              </w:rPr>
            </w:pPr>
            <w:r w:rsidRPr="001031F1">
              <w:rPr>
                <w:rFonts w:asciiTheme="majorBidi" w:eastAsia="Times New Roman" w:hAnsiTheme="majorBidi" w:cstheme="majorBidi"/>
                <w:lang w:eastAsia="lv-LV"/>
              </w:rPr>
              <w:t>525</w:t>
            </w:r>
          </w:p>
        </w:tc>
      </w:tr>
      <w:tr w:rsidR="00136D41" w:rsidRPr="001031F1" w14:paraId="293D495D" w14:textId="77777777" w:rsidTr="00801092">
        <w:tc>
          <w:tcPr>
            <w:tcW w:w="4434" w:type="dxa"/>
            <w:hideMark/>
          </w:tcPr>
          <w:p w14:paraId="401D6878" w14:textId="77777777" w:rsidR="00136D41" w:rsidRPr="001031F1" w:rsidRDefault="00136D41" w:rsidP="001D7EE2">
            <w:pPr>
              <w:spacing w:line="259" w:lineRule="auto"/>
              <w:rPr>
                <w:rFonts w:asciiTheme="majorBidi" w:eastAsia="Times New Roman" w:hAnsiTheme="majorBidi" w:cstheme="majorBidi"/>
                <w:b/>
                <w:bCs/>
                <w:lang w:eastAsia="lv-LV"/>
              </w:rPr>
            </w:pPr>
            <w:r w:rsidRPr="001031F1">
              <w:rPr>
                <w:rFonts w:asciiTheme="majorBidi" w:eastAsia="Times New Roman" w:hAnsiTheme="majorBidi" w:cstheme="majorBidi"/>
                <w:lang w:eastAsia="lv-LV"/>
              </w:rPr>
              <w:t>Biogāzes koģenerācijas stacijas kopā</w:t>
            </w:r>
          </w:p>
        </w:tc>
        <w:tc>
          <w:tcPr>
            <w:tcW w:w="1567" w:type="dxa"/>
          </w:tcPr>
          <w:p w14:paraId="433DAB98" w14:textId="77777777" w:rsidR="00136D41" w:rsidRPr="001031F1" w:rsidRDefault="00136D41" w:rsidP="001D7EE2">
            <w:pPr>
              <w:spacing w:line="259" w:lineRule="auto"/>
              <w:jc w:val="center"/>
              <w:rPr>
                <w:rFonts w:asciiTheme="majorBidi" w:eastAsia="Times New Roman" w:hAnsiTheme="majorBidi" w:cstheme="majorBidi"/>
                <w:lang w:eastAsia="lv-LV"/>
              </w:rPr>
            </w:pPr>
            <w:r w:rsidRPr="001031F1">
              <w:rPr>
                <w:rFonts w:asciiTheme="majorBidi" w:eastAsia="Times New Roman" w:hAnsiTheme="majorBidi" w:cstheme="majorBidi"/>
                <w:lang w:eastAsia="lv-LV"/>
              </w:rPr>
              <w:t>61</w:t>
            </w:r>
          </w:p>
        </w:tc>
        <w:tc>
          <w:tcPr>
            <w:tcW w:w="2925" w:type="dxa"/>
            <w:noWrap/>
            <w:hideMark/>
          </w:tcPr>
          <w:p w14:paraId="2FECC48E" w14:textId="77777777" w:rsidR="00136D41" w:rsidRPr="001031F1" w:rsidRDefault="00136D41" w:rsidP="001D7EE2">
            <w:pPr>
              <w:spacing w:line="259" w:lineRule="auto"/>
              <w:jc w:val="center"/>
              <w:rPr>
                <w:rFonts w:asciiTheme="majorBidi" w:eastAsia="Times New Roman" w:hAnsiTheme="majorBidi" w:cstheme="majorBidi"/>
                <w:lang w:eastAsia="lv-LV"/>
              </w:rPr>
            </w:pPr>
            <w:r w:rsidRPr="001031F1">
              <w:rPr>
                <w:rFonts w:asciiTheme="majorBidi" w:eastAsia="Times New Roman" w:hAnsiTheme="majorBidi" w:cstheme="majorBidi"/>
                <w:lang w:eastAsia="lv-LV"/>
              </w:rPr>
              <w:t>405</w:t>
            </w:r>
          </w:p>
        </w:tc>
      </w:tr>
      <w:tr w:rsidR="00136D41" w:rsidRPr="001031F1" w14:paraId="69BE7547" w14:textId="77777777" w:rsidTr="00801092">
        <w:tc>
          <w:tcPr>
            <w:tcW w:w="4434" w:type="dxa"/>
            <w:hideMark/>
          </w:tcPr>
          <w:p w14:paraId="2F343D18" w14:textId="77777777" w:rsidR="00136D41" w:rsidRPr="001031F1" w:rsidRDefault="00136D41" w:rsidP="001D7EE2">
            <w:pPr>
              <w:spacing w:line="259" w:lineRule="auto"/>
              <w:rPr>
                <w:rFonts w:asciiTheme="majorBidi" w:eastAsia="Times New Roman" w:hAnsiTheme="majorBidi" w:cstheme="majorBidi"/>
                <w:b/>
                <w:bCs/>
                <w:lang w:eastAsia="lv-LV"/>
              </w:rPr>
            </w:pPr>
            <w:r w:rsidRPr="001031F1">
              <w:rPr>
                <w:rFonts w:asciiTheme="majorBidi" w:eastAsia="Times New Roman" w:hAnsiTheme="majorBidi" w:cstheme="majorBidi"/>
                <w:lang w:eastAsia="lv-LV"/>
              </w:rPr>
              <w:t xml:space="preserve">   atkritumu poligonu gāzes, citas biogāzes       koģenerācijas stacijas</w:t>
            </w:r>
          </w:p>
        </w:tc>
        <w:tc>
          <w:tcPr>
            <w:tcW w:w="1567" w:type="dxa"/>
          </w:tcPr>
          <w:p w14:paraId="02188010" w14:textId="77777777" w:rsidR="00136D41" w:rsidRPr="001031F1" w:rsidRDefault="00136D41" w:rsidP="001D7EE2">
            <w:pPr>
              <w:spacing w:line="259" w:lineRule="auto"/>
              <w:jc w:val="center"/>
              <w:rPr>
                <w:rFonts w:asciiTheme="majorBidi" w:eastAsia="Times New Roman" w:hAnsiTheme="majorBidi" w:cstheme="majorBidi"/>
                <w:lang w:eastAsia="lv-LV"/>
              </w:rPr>
            </w:pPr>
            <w:r w:rsidRPr="001031F1">
              <w:rPr>
                <w:rFonts w:asciiTheme="majorBidi" w:eastAsia="Times New Roman" w:hAnsiTheme="majorBidi" w:cstheme="majorBidi"/>
                <w:lang w:eastAsia="lv-LV"/>
              </w:rPr>
              <w:t>59</w:t>
            </w:r>
          </w:p>
        </w:tc>
        <w:tc>
          <w:tcPr>
            <w:tcW w:w="2925" w:type="dxa"/>
            <w:noWrap/>
            <w:hideMark/>
          </w:tcPr>
          <w:p w14:paraId="00F59E16" w14:textId="77777777" w:rsidR="00136D41" w:rsidRPr="001031F1" w:rsidRDefault="00136D41" w:rsidP="001D7EE2">
            <w:pPr>
              <w:spacing w:line="259" w:lineRule="auto"/>
              <w:jc w:val="center"/>
              <w:rPr>
                <w:rFonts w:asciiTheme="majorBidi" w:eastAsia="Times New Roman" w:hAnsiTheme="majorBidi" w:cstheme="majorBidi"/>
                <w:lang w:eastAsia="lv-LV"/>
              </w:rPr>
            </w:pPr>
            <w:r w:rsidRPr="001031F1">
              <w:rPr>
                <w:rFonts w:asciiTheme="majorBidi" w:eastAsia="Times New Roman" w:hAnsiTheme="majorBidi" w:cstheme="majorBidi"/>
                <w:lang w:eastAsia="lv-LV"/>
              </w:rPr>
              <w:t>394</w:t>
            </w:r>
          </w:p>
        </w:tc>
      </w:tr>
      <w:tr w:rsidR="00136D41" w:rsidRPr="001031F1" w14:paraId="40B6DCA3" w14:textId="77777777" w:rsidTr="00801092">
        <w:tc>
          <w:tcPr>
            <w:tcW w:w="4434" w:type="dxa"/>
            <w:hideMark/>
          </w:tcPr>
          <w:p w14:paraId="4AA619FA" w14:textId="77777777" w:rsidR="00136D41" w:rsidRPr="001031F1" w:rsidRDefault="00136D41" w:rsidP="001D7EE2">
            <w:pPr>
              <w:spacing w:line="259" w:lineRule="auto"/>
              <w:rPr>
                <w:rFonts w:asciiTheme="majorBidi" w:eastAsia="Times New Roman" w:hAnsiTheme="majorBidi" w:cstheme="majorBidi"/>
                <w:b/>
                <w:bCs/>
                <w:lang w:eastAsia="lv-LV"/>
              </w:rPr>
            </w:pPr>
            <w:r w:rsidRPr="001031F1">
              <w:rPr>
                <w:rFonts w:asciiTheme="majorBidi" w:eastAsia="Times New Roman" w:hAnsiTheme="majorBidi" w:cstheme="majorBidi"/>
                <w:lang w:eastAsia="lv-LV"/>
              </w:rPr>
              <w:t xml:space="preserve">   notekūdeņu dūņu gāzes koģenerācijas    stacijas</w:t>
            </w:r>
          </w:p>
        </w:tc>
        <w:tc>
          <w:tcPr>
            <w:tcW w:w="1567" w:type="dxa"/>
          </w:tcPr>
          <w:p w14:paraId="613F55D9" w14:textId="77777777" w:rsidR="00136D41" w:rsidRPr="001031F1" w:rsidRDefault="00136D41" w:rsidP="001D7EE2">
            <w:pPr>
              <w:spacing w:line="259" w:lineRule="auto"/>
              <w:jc w:val="center"/>
              <w:rPr>
                <w:rFonts w:asciiTheme="majorBidi" w:eastAsia="Times New Roman" w:hAnsiTheme="majorBidi" w:cstheme="majorBidi"/>
                <w:lang w:eastAsia="lv-LV"/>
              </w:rPr>
            </w:pPr>
            <w:r w:rsidRPr="001031F1">
              <w:rPr>
                <w:rFonts w:asciiTheme="majorBidi" w:eastAsia="Times New Roman" w:hAnsiTheme="majorBidi" w:cstheme="majorBidi"/>
                <w:lang w:eastAsia="lv-LV"/>
              </w:rPr>
              <w:t>2</w:t>
            </w:r>
          </w:p>
        </w:tc>
        <w:tc>
          <w:tcPr>
            <w:tcW w:w="2925" w:type="dxa"/>
            <w:noWrap/>
            <w:hideMark/>
          </w:tcPr>
          <w:p w14:paraId="55CD515A" w14:textId="77777777" w:rsidR="00136D41" w:rsidRPr="001031F1" w:rsidRDefault="00136D41" w:rsidP="001D7EE2">
            <w:pPr>
              <w:spacing w:line="259" w:lineRule="auto"/>
              <w:jc w:val="center"/>
              <w:rPr>
                <w:rFonts w:asciiTheme="majorBidi" w:eastAsia="Times New Roman" w:hAnsiTheme="majorBidi" w:cstheme="majorBidi"/>
                <w:lang w:eastAsia="lv-LV"/>
              </w:rPr>
            </w:pPr>
            <w:r w:rsidRPr="001031F1">
              <w:rPr>
                <w:rFonts w:asciiTheme="majorBidi" w:eastAsia="Times New Roman" w:hAnsiTheme="majorBidi" w:cstheme="majorBidi"/>
                <w:lang w:eastAsia="lv-LV"/>
              </w:rPr>
              <w:t>11</w:t>
            </w:r>
          </w:p>
        </w:tc>
      </w:tr>
    </w:tbl>
    <w:p w14:paraId="423B251E" w14:textId="77777777" w:rsidR="003F75F6" w:rsidRPr="00603286" w:rsidRDefault="003F75F6" w:rsidP="001D7EE2">
      <w:pPr>
        <w:spacing w:after="0"/>
        <w:ind w:right="-625" w:firstLine="567"/>
        <w:jc w:val="both"/>
        <w:rPr>
          <w:rFonts w:ascii="Times New Roman" w:hAnsi="Times New Roman" w:cs="Times New Roman"/>
          <w:sz w:val="24"/>
          <w:szCs w:val="24"/>
        </w:rPr>
      </w:pPr>
    </w:p>
    <w:p w14:paraId="720BC9CF" w14:textId="73D32FEC" w:rsidR="00C7122C" w:rsidRDefault="00C7122C" w:rsidP="001D7EE2">
      <w:pPr>
        <w:spacing w:after="0"/>
        <w:ind w:right="-625" w:firstLine="567"/>
        <w:jc w:val="both"/>
        <w:rPr>
          <w:rFonts w:ascii="Times New Roman" w:hAnsi="Times New Roman" w:cs="Times New Roman"/>
          <w:sz w:val="24"/>
          <w:szCs w:val="24"/>
        </w:rPr>
      </w:pPr>
      <w:r w:rsidRPr="00D1156D">
        <w:rPr>
          <w:rFonts w:ascii="Times New Roman" w:hAnsi="Times New Roman" w:cs="Times New Roman"/>
          <w:sz w:val="24"/>
          <w:szCs w:val="24"/>
        </w:rPr>
        <w:t>Koģenerācijas stacijās saražotais elektroenerģijas daudzums 2017. gadā bija 3000,1</w:t>
      </w:r>
      <w:r w:rsidR="000D1749">
        <w:rPr>
          <w:rFonts w:ascii="Times New Roman" w:hAnsi="Times New Roman" w:cs="Times New Roman"/>
          <w:sz w:val="24"/>
          <w:szCs w:val="24"/>
        </w:rPr>
        <w:t> </w:t>
      </w:r>
      <w:proofErr w:type="spellStart"/>
      <w:r w:rsidRPr="00D1156D">
        <w:rPr>
          <w:rFonts w:ascii="Times New Roman" w:hAnsi="Times New Roman" w:cs="Times New Roman"/>
          <w:sz w:val="24"/>
          <w:szCs w:val="24"/>
        </w:rPr>
        <w:t>GWh</w:t>
      </w:r>
      <w:proofErr w:type="spellEnd"/>
      <w:r w:rsidRPr="00D1156D">
        <w:rPr>
          <w:rFonts w:ascii="Times New Roman" w:hAnsi="Times New Roman" w:cs="Times New Roman"/>
          <w:sz w:val="24"/>
          <w:szCs w:val="24"/>
        </w:rPr>
        <w:t xml:space="preserve">, kas veido 40 % no kopējā saražotā elektroenerģijas daudzuma Latvijā. No </w:t>
      </w:r>
      <w:r>
        <w:rPr>
          <w:rFonts w:ascii="Times New Roman" w:hAnsi="Times New Roman" w:cs="Times New Roman"/>
          <w:sz w:val="24"/>
          <w:szCs w:val="24"/>
        </w:rPr>
        <w:t xml:space="preserve">AER </w:t>
      </w:r>
      <w:r w:rsidRPr="00D1156D">
        <w:rPr>
          <w:rFonts w:ascii="Times New Roman" w:hAnsi="Times New Roman" w:cs="Times New Roman"/>
          <w:sz w:val="24"/>
          <w:szCs w:val="24"/>
        </w:rPr>
        <w:t xml:space="preserve">saražotās elektroenerģijas īpatsvars koģenerācijas stacijās palielinājās, 2017. gadā sasniedzot 31 %. </w:t>
      </w:r>
    </w:p>
    <w:p w14:paraId="6C1A045D" w14:textId="75359154" w:rsidR="000A567F" w:rsidRDefault="004058FC" w:rsidP="000A567F">
      <w:pPr>
        <w:spacing w:after="0"/>
        <w:ind w:right="-625" w:firstLine="567"/>
        <w:jc w:val="both"/>
        <w:rPr>
          <w:rFonts w:ascii="Times New Roman" w:hAnsi="Times New Roman" w:cs="Times New Roman"/>
          <w:sz w:val="24"/>
          <w:szCs w:val="24"/>
        </w:rPr>
      </w:pPr>
      <w:r w:rsidRPr="00E00616">
        <w:rPr>
          <w:rFonts w:ascii="Times New Roman" w:hAnsi="Times New Roman" w:cs="Times New Roman"/>
          <w:sz w:val="24"/>
          <w:szCs w:val="24"/>
        </w:rPr>
        <w:t>201</w:t>
      </w:r>
      <w:r>
        <w:rPr>
          <w:rFonts w:ascii="Times New Roman" w:hAnsi="Times New Roman" w:cs="Times New Roman"/>
          <w:sz w:val="24"/>
          <w:szCs w:val="24"/>
        </w:rPr>
        <w:t>8</w:t>
      </w:r>
      <w:r w:rsidR="00E00616" w:rsidRPr="00E00616">
        <w:rPr>
          <w:rFonts w:ascii="Times New Roman" w:hAnsi="Times New Roman" w:cs="Times New Roman"/>
          <w:sz w:val="24"/>
          <w:szCs w:val="24"/>
        </w:rPr>
        <w:t xml:space="preserve">. gadā Latvijā </w:t>
      </w:r>
      <w:r w:rsidR="00E41647">
        <w:rPr>
          <w:rFonts w:ascii="Times New Roman" w:hAnsi="Times New Roman" w:cs="Times New Roman"/>
          <w:sz w:val="24"/>
          <w:szCs w:val="24"/>
        </w:rPr>
        <w:t xml:space="preserve">bija </w:t>
      </w:r>
      <w:r w:rsidR="00E00616" w:rsidRPr="00E00616">
        <w:rPr>
          <w:rFonts w:ascii="Times New Roman" w:hAnsi="Times New Roman" w:cs="Times New Roman"/>
          <w:sz w:val="24"/>
          <w:szCs w:val="24"/>
        </w:rPr>
        <w:t>reģistrēti 1</w:t>
      </w:r>
      <w:r w:rsidR="000A567F">
        <w:rPr>
          <w:rFonts w:ascii="Times New Roman" w:hAnsi="Times New Roman" w:cs="Times New Roman"/>
          <w:sz w:val="24"/>
          <w:szCs w:val="24"/>
        </w:rPr>
        <w:t>7</w:t>
      </w:r>
      <w:r w:rsidR="00E00616" w:rsidRPr="00E00616">
        <w:rPr>
          <w:rFonts w:ascii="Times New Roman" w:hAnsi="Times New Roman" w:cs="Times New Roman"/>
          <w:sz w:val="24"/>
          <w:szCs w:val="24"/>
        </w:rPr>
        <w:t xml:space="preserve"> ETS operatori, kuri</w:t>
      </w:r>
      <w:r w:rsidR="00EA36FE">
        <w:rPr>
          <w:rFonts w:ascii="Times New Roman" w:hAnsi="Times New Roman" w:cs="Times New Roman"/>
          <w:sz w:val="24"/>
          <w:szCs w:val="24"/>
        </w:rPr>
        <w:t xml:space="preserve"> saskaņā ar tiem izsniegtajām SEG atļaujām ražoja elektroenerģiju </w:t>
      </w:r>
      <w:r w:rsidR="000A567F">
        <w:rPr>
          <w:rFonts w:ascii="Times New Roman" w:hAnsi="Times New Roman" w:cs="Times New Roman"/>
          <w:sz w:val="24"/>
          <w:szCs w:val="24"/>
        </w:rPr>
        <w:t>(skatīt – 3. tabulu)</w:t>
      </w:r>
      <w:r w:rsidR="00E00616" w:rsidRPr="00E00616">
        <w:rPr>
          <w:rFonts w:ascii="Times New Roman" w:hAnsi="Times New Roman" w:cs="Times New Roman"/>
          <w:sz w:val="24"/>
          <w:szCs w:val="24"/>
        </w:rPr>
        <w:t xml:space="preserve">. </w:t>
      </w:r>
      <w:r w:rsidR="00350A99" w:rsidRPr="00000CFE">
        <w:rPr>
          <w:rFonts w:ascii="Times New Roman" w:hAnsi="Times New Roman" w:cs="Times New Roman"/>
          <w:sz w:val="24"/>
          <w:szCs w:val="24"/>
        </w:rPr>
        <w:t xml:space="preserve">Saskaņā ar </w:t>
      </w:r>
      <w:r w:rsidR="00350A99">
        <w:rPr>
          <w:rFonts w:ascii="Times New Roman" w:hAnsi="Times New Roman" w:cs="Times New Roman"/>
          <w:sz w:val="24"/>
          <w:szCs w:val="24"/>
        </w:rPr>
        <w:t>Direktīva</w:t>
      </w:r>
      <w:r w:rsidR="00E274CF">
        <w:rPr>
          <w:rFonts w:ascii="Times New Roman" w:hAnsi="Times New Roman" w:cs="Times New Roman"/>
          <w:sz w:val="24"/>
          <w:szCs w:val="24"/>
        </w:rPr>
        <w:t xml:space="preserve">s 2003/87/EK </w:t>
      </w:r>
      <w:r w:rsidR="0098642F">
        <w:rPr>
          <w:rFonts w:ascii="Times New Roman" w:hAnsi="Times New Roman" w:cs="Times New Roman"/>
          <w:sz w:val="24"/>
          <w:szCs w:val="24"/>
        </w:rPr>
        <w:t>3.</w:t>
      </w:r>
      <w:r w:rsidR="008646BA">
        <w:rPr>
          <w:rFonts w:ascii="Times New Roman" w:hAnsi="Times New Roman" w:cs="Times New Roman"/>
          <w:sz w:val="24"/>
          <w:szCs w:val="24"/>
        </w:rPr>
        <w:t> </w:t>
      </w:r>
      <w:r w:rsidR="0098642F">
        <w:rPr>
          <w:rFonts w:ascii="Times New Roman" w:hAnsi="Times New Roman" w:cs="Times New Roman"/>
          <w:sz w:val="24"/>
          <w:szCs w:val="24"/>
        </w:rPr>
        <w:t xml:space="preserve">pantu un </w:t>
      </w:r>
      <w:r w:rsidR="00E274CF">
        <w:rPr>
          <w:rFonts w:ascii="Times New Roman" w:hAnsi="Times New Roman" w:cs="Times New Roman"/>
          <w:sz w:val="24"/>
          <w:szCs w:val="24"/>
        </w:rPr>
        <w:t>10.</w:t>
      </w:r>
      <w:r w:rsidR="00350A99">
        <w:rPr>
          <w:rFonts w:ascii="Times New Roman" w:hAnsi="Times New Roman" w:cs="Times New Roman"/>
          <w:sz w:val="24"/>
          <w:szCs w:val="24"/>
        </w:rPr>
        <w:t xml:space="preserve">c panta </w:t>
      </w:r>
      <w:r w:rsidR="0098642F">
        <w:rPr>
          <w:rFonts w:ascii="Times New Roman" w:hAnsi="Times New Roman" w:cs="Times New Roman"/>
          <w:sz w:val="24"/>
          <w:szCs w:val="24"/>
        </w:rPr>
        <w:t xml:space="preserve">1. punktu </w:t>
      </w:r>
      <w:r w:rsidR="00350A99">
        <w:rPr>
          <w:rFonts w:ascii="Times New Roman" w:hAnsi="Times New Roman" w:cs="Times New Roman"/>
          <w:sz w:val="24"/>
          <w:szCs w:val="24"/>
        </w:rPr>
        <w:t xml:space="preserve">bezmaksas emisijas kvotām varētu pieteikties </w:t>
      </w:r>
      <w:r w:rsidR="00B66F39">
        <w:rPr>
          <w:rFonts w:ascii="Times New Roman" w:hAnsi="Times New Roman" w:cs="Times New Roman"/>
          <w:sz w:val="24"/>
          <w:szCs w:val="24"/>
        </w:rPr>
        <w:t xml:space="preserve">tikai </w:t>
      </w:r>
      <w:r w:rsidR="00350A99">
        <w:rPr>
          <w:rFonts w:ascii="Times New Roman" w:hAnsi="Times New Roman" w:cs="Times New Roman"/>
          <w:sz w:val="24"/>
          <w:szCs w:val="24"/>
        </w:rPr>
        <w:t>tie Latvijas elektroenerģijas ražotāji, kas vienlaikus ir arī ES ETS</w:t>
      </w:r>
      <w:r w:rsidR="00331489">
        <w:rPr>
          <w:rFonts w:ascii="Times New Roman" w:hAnsi="Times New Roman" w:cs="Times New Roman"/>
          <w:sz w:val="24"/>
          <w:szCs w:val="24"/>
        </w:rPr>
        <w:t xml:space="preserve"> dalībnieki</w:t>
      </w:r>
      <w:r w:rsidR="000A567F">
        <w:rPr>
          <w:rFonts w:ascii="Times New Roman" w:hAnsi="Times New Roman" w:cs="Times New Roman"/>
          <w:sz w:val="24"/>
          <w:szCs w:val="24"/>
        </w:rPr>
        <w:t xml:space="preserve">. </w:t>
      </w:r>
    </w:p>
    <w:p w14:paraId="2E6EC0B9" w14:textId="77777777" w:rsidR="000F26DD" w:rsidRDefault="000F26DD" w:rsidP="000F26DD">
      <w:pPr>
        <w:spacing w:after="0"/>
        <w:ind w:right="-625" w:firstLine="567"/>
        <w:jc w:val="both"/>
        <w:rPr>
          <w:rFonts w:ascii="Times New Roman" w:hAnsi="Times New Roman" w:cs="Times New Roman"/>
          <w:sz w:val="24"/>
          <w:szCs w:val="24"/>
        </w:rPr>
      </w:pPr>
      <w:r w:rsidRPr="00560FA9">
        <w:rPr>
          <w:rFonts w:ascii="Times New Roman" w:hAnsi="Times New Roman" w:cs="Times New Roman"/>
          <w:sz w:val="24"/>
          <w:szCs w:val="24"/>
        </w:rPr>
        <w:t>Lai arī Latvija ir sasniegusi vien 65% no ES vidējā ekonomiskās attīstības līmeņa (IKP pēc pirktspējas paritātes uz vienu iedzīvotāju), Latvijā ir viens no lielākajiem valsts atbalsta līmeņiem enerģētikas nozarei. Laika posmā no 2008. līdz 2017.</w:t>
      </w:r>
      <w:r>
        <w:rPr>
          <w:rFonts w:ascii="Times New Roman" w:hAnsi="Times New Roman" w:cs="Times New Roman"/>
          <w:sz w:val="24"/>
          <w:szCs w:val="24"/>
        </w:rPr>
        <w:t xml:space="preserve"> </w:t>
      </w:r>
      <w:r w:rsidRPr="00560FA9">
        <w:rPr>
          <w:rFonts w:ascii="Times New Roman" w:hAnsi="Times New Roman" w:cs="Times New Roman"/>
          <w:sz w:val="24"/>
          <w:szCs w:val="24"/>
        </w:rPr>
        <w:t>gada beigām atbalsta apjoms vērtējams 1,8 mljrd</w:t>
      </w:r>
      <w:r w:rsidRPr="00F75775">
        <w:rPr>
          <w:rFonts w:ascii="Times New Roman" w:hAnsi="Times New Roman" w:cs="Times New Roman"/>
          <w:i/>
          <w:sz w:val="24"/>
          <w:szCs w:val="24"/>
        </w:rPr>
        <w:t>.</w:t>
      </w:r>
      <w:r w:rsidRPr="00560FA9">
        <w:rPr>
          <w:rFonts w:ascii="Times New Roman" w:hAnsi="Times New Roman" w:cs="Times New Roman"/>
          <w:sz w:val="24"/>
          <w:szCs w:val="24"/>
        </w:rPr>
        <w:t xml:space="preserve"> </w:t>
      </w:r>
      <w:proofErr w:type="spellStart"/>
      <w:r>
        <w:rPr>
          <w:rFonts w:ascii="Times New Roman" w:hAnsi="Times New Roman" w:cs="Times New Roman"/>
          <w:i/>
          <w:sz w:val="24"/>
          <w:szCs w:val="24"/>
        </w:rPr>
        <w:t>euro</w:t>
      </w:r>
      <w:proofErr w:type="spellEnd"/>
      <w:r w:rsidRPr="00560FA9">
        <w:rPr>
          <w:rFonts w:ascii="Times New Roman" w:hAnsi="Times New Roman" w:cs="Times New Roman"/>
          <w:sz w:val="24"/>
          <w:szCs w:val="24"/>
        </w:rPr>
        <w:t xml:space="preserve"> apmērā</w:t>
      </w:r>
      <w:r>
        <w:rPr>
          <w:rStyle w:val="FootnoteReference"/>
          <w:rFonts w:ascii="Times New Roman" w:hAnsi="Times New Roman" w:cs="Times New Roman"/>
          <w:sz w:val="24"/>
          <w:szCs w:val="24"/>
        </w:rPr>
        <w:footnoteReference w:id="17"/>
      </w:r>
      <w:r w:rsidRPr="00560FA9">
        <w:rPr>
          <w:rFonts w:ascii="Times New Roman" w:hAnsi="Times New Roman" w:cs="Times New Roman"/>
          <w:sz w:val="24"/>
          <w:szCs w:val="24"/>
        </w:rPr>
        <w:t>.</w:t>
      </w:r>
    </w:p>
    <w:p w14:paraId="707E8ABB" w14:textId="678C3BEF" w:rsidR="00EA36FE" w:rsidRPr="000D1749" w:rsidRDefault="000F26DD" w:rsidP="000F26DD">
      <w:pPr>
        <w:spacing w:after="0"/>
        <w:ind w:right="-625" w:firstLine="567"/>
        <w:jc w:val="both"/>
        <w:rPr>
          <w:rFonts w:ascii="Times New Roman" w:hAnsi="Times New Roman" w:cs="Times New Roman"/>
          <w:sz w:val="24"/>
          <w:szCs w:val="24"/>
        </w:rPr>
      </w:pPr>
      <w:r w:rsidRPr="0032302F">
        <w:rPr>
          <w:rFonts w:ascii="Times New Roman" w:hAnsi="Times New Roman" w:cs="Times New Roman"/>
          <w:sz w:val="24"/>
          <w:szCs w:val="24"/>
        </w:rPr>
        <w:t>2008.</w:t>
      </w:r>
      <w:r>
        <w:rPr>
          <w:rFonts w:ascii="Times New Roman" w:hAnsi="Times New Roman" w:cs="Times New Roman"/>
          <w:sz w:val="24"/>
          <w:szCs w:val="24"/>
        </w:rPr>
        <w:t xml:space="preserve"> </w:t>
      </w:r>
      <w:r w:rsidRPr="0032302F">
        <w:rPr>
          <w:rFonts w:ascii="Times New Roman" w:hAnsi="Times New Roman" w:cs="Times New Roman"/>
          <w:sz w:val="24"/>
          <w:szCs w:val="24"/>
        </w:rPr>
        <w:t>-</w:t>
      </w:r>
      <w:r>
        <w:rPr>
          <w:rFonts w:ascii="Times New Roman" w:hAnsi="Times New Roman" w:cs="Times New Roman"/>
          <w:sz w:val="24"/>
          <w:szCs w:val="24"/>
        </w:rPr>
        <w:t xml:space="preserve"> </w:t>
      </w:r>
      <w:r w:rsidRPr="0032302F">
        <w:rPr>
          <w:rFonts w:ascii="Times New Roman" w:hAnsi="Times New Roman" w:cs="Times New Roman"/>
          <w:sz w:val="24"/>
          <w:szCs w:val="24"/>
        </w:rPr>
        <w:t>2012.</w:t>
      </w:r>
      <w:r>
        <w:rPr>
          <w:rFonts w:ascii="Times New Roman" w:hAnsi="Times New Roman" w:cs="Times New Roman"/>
          <w:sz w:val="24"/>
          <w:szCs w:val="24"/>
        </w:rPr>
        <w:t> </w:t>
      </w:r>
      <w:r w:rsidRPr="0032302F">
        <w:rPr>
          <w:rFonts w:ascii="Times New Roman" w:hAnsi="Times New Roman" w:cs="Times New Roman"/>
          <w:sz w:val="24"/>
          <w:szCs w:val="24"/>
        </w:rPr>
        <w:t>gada periodā operatoriem</w:t>
      </w:r>
      <w:r>
        <w:rPr>
          <w:rFonts w:ascii="Times New Roman" w:hAnsi="Times New Roman" w:cs="Times New Roman"/>
          <w:sz w:val="24"/>
          <w:szCs w:val="24"/>
        </w:rPr>
        <w:t>, kas ražo elektroenerģiju tika piešķirts</w:t>
      </w:r>
      <w:r w:rsidRPr="0032302F">
        <w:rPr>
          <w:rFonts w:ascii="Times New Roman" w:hAnsi="Times New Roman" w:cs="Times New Roman"/>
          <w:sz w:val="24"/>
          <w:szCs w:val="24"/>
        </w:rPr>
        <w:t xml:space="preserve"> ievērojam</w:t>
      </w:r>
      <w:r w:rsidR="00EA36FE">
        <w:rPr>
          <w:rFonts w:ascii="Times New Roman" w:hAnsi="Times New Roman" w:cs="Times New Roman"/>
          <w:sz w:val="24"/>
          <w:szCs w:val="24"/>
        </w:rPr>
        <w:t>s</w:t>
      </w:r>
      <w:r w:rsidRPr="0032302F">
        <w:rPr>
          <w:rFonts w:ascii="Times New Roman" w:hAnsi="Times New Roman" w:cs="Times New Roman"/>
          <w:sz w:val="24"/>
          <w:szCs w:val="24"/>
        </w:rPr>
        <w:t xml:space="preserve"> daudzum</w:t>
      </w:r>
      <w:r w:rsidR="00EA36FE">
        <w:rPr>
          <w:rFonts w:ascii="Times New Roman" w:hAnsi="Times New Roman" w:cs="Times New Roman"/>
          <w:sz w:val="24"/>
          <w:szCs w:val="24"/>
        </w:rPr>
        <w:t>s bezmaksas</w:t>
      </w:r>
      <w:r w:rsidRPr="0032302F">
        <w:rPr>
          <w:rFonts w:ascii="Times New Roman" w:hAnsi="Times New Roman" w:cs="Times New Roman"/>
          <w:sz w:val="24"/>
          <w:szCs w:val="24"/>
        </w:rPr>
        <w:t xml:space="preserve"> emisijas kvot</w:t>
      </w:r>
      <w:r w:rsidR="00021B9E">
        <w:rPr>
          <w:rFonts w:ascii="Times New Roman" w:hAnsi="Times New Roman" w:cs="Times New Roman"/>
          <w:sz w:val="24"/>
          <w:szCs w:val="24"/>
        </w:rPr>
        <w:t>u</w:t>
      </w:r>
      <w:r w:rsidR="00EA36FE">
        <w:rPr>
          <w:rFonts w:ascii="Times New Roman" w:hAnsi="Times New Roman" w:cs="Times New Roman"/>
          <w:sz w:val="24"/>
          <w:szCs w:val="24"/>
        </w:rPr>
        <w:t>. Saskaņā ar 3. tabulā apkopoto informāciju bezmaksas piešķirto kvotu apjoms gandrīz visiem 3</w:t>
      </w:r>
      <w:r w:rsidR="00EA36FE" w:rsidRPr="000D1749">
        <w:rPr>
          <w:rFonts w:ascii="Times New Roman" w:hAnsi="Times New Roman" w:cs="Times New Roman"/>
          <w:sz w:val="24"/>
          <w:szCs w:val="24"/>
        </w:rPr>
        <w:t xml:space="preserve">. tabulā atspoguļotajiem ETS operatoriem būtiski pārsniedza šo operatoru faktiski nepieciešamo kvotu skaitu, balstoties uz verificēto SEG emisiju apjomu. </w:t>
      </w:r>
    </w:p>
    <w:p w14:paraId="20DEC7AF" w14:textId="0209F63D" w:rsidR="00EA36FE" w:rsidRPr="0097578F" w:rsidRDefault="00EA36FE" w:rsidP="000F26DD">
      <w:pPr>
        <w:spacing w:after="0"/>
        <w:ind w:right="-625" w:firstLine="567"/>
        <w:jc w:val="both"/>
        <w:rPr>
          <w:rFonts w:ascii="Times New Roman" w:hAnsi="Times New Roman" w:cs="Times New Roman"/>
          <w:sz w:val="24"/>
          <w:szCs w:val="24"/>
        </w:rPr>
      </w:pPr>
      <w:r w:rsidRPr="000D1749">
        <w:rPr>
          <w:rFonts w:ascii="Times New Roman" w:hAnsi="Times New Roman" w:cs="Times New Roman"/>
          <w:sz w:val="24"/>
          <w:szCs w:val="24"/>
        </w:rPr>
        <w:t xml:space="preserve">Balstoties uz pieejamo informāciju par 2013. – 2017. gadu, 3. tabulā </w:t>
      </w:r>
      <w:r w:rsidR="00F6052B">
        <w:rPr>
          <w:rFonts w:ascii="Times New Roman" w:hAnsi="Times New Roman" w:cs="Times New Roman"/>
          <w:sz w:val="24"/>
          <w:szCs w:val="24"/>
        </w:rPr>
        <w:t>ir apkopotas 2013. </w:t>
      </w:r>
      <w:r>
        <w:rPr>
          <w:rFonts w:ascii="Times New Roman" w:hAnsi="Times New Roman" w:cs="Times New Roman"/>
          <w:sz w:val="24"/>
          <w:szCs w:val="24"/>
        </w:rPr>
        <w:t>– 2017. gada periodā faktiski pārskaitītās bezmaksas emisijas kvotas</w:t>
      </w:r>
      <w:r w:rsidR="00470D2A">
        <w:rPr>
          <w:rFonts w:ascii="Times New Roman" w:hAnsi="Times New Roman" w:cs="Times New Roman"/>
          <w:sz w:val="24"/>
          <w:szCs w:val="24"/>
        </w:rPr>
        <w:t xml:space="preserve"> operatoriem</w:t>
      </w:r>
      <w:r>
        <w:rPr>
          <w:rFonts w:ascii="Times New Roman" w:hAnsi="Times New Roman" w:cs="Times New Roman"/>
          <w:sz w:val="24"/>
          <w:szCs w:val="24"/>
        </w:rPr>
        <w:t xml:space="preserve"> un </w:t>
      </w:r>
      <w:r w:rsidR="00470D2A">
        <w:rPr>
          <w:rFonts w:ascii="Times New Roman" w:hAnsi="Times New Roman" w:cs="Times New Roman"/>
          <w:sz w:val="24"/>
          <w:szCs w:val="24"/>
        </w:rPr>
        <w:t xml:space="preserve">operatoru </w:t>
      </w:r>
      <w:r>
        <w:rPr>
          <w:rFonts w:ascii="Times New Roman" w:hAnsi="Times New Roman" w:cs="Times New Roman"/>
          <w:sz w:val="24"/>
          <w:szCs w:val="24"/>
        </w:rPr>
        <w:t xml:space="preserve">verificēto SEG emisiju apjoms. Lai gan 2013. – 2017. gada periodā ne visi operatori var savas verificētās SEG emisijas </w:t>
      </w:r>
      <w:r w:rsidR="00331489">
        <w:rPr>
          <w:rFonts w:ascii="Times New Roman" w:hAnsi="Times New Roman" w:cs="Times New Roman"/>
          <w:sz w:val="24"/>
          <w:szCs w:val="24"/>
        </w:rPr>
        <w:t>kompensēt</w:t>
      </w:r>
      <w:r>
        <w:rPr>
          <w:rFonts w:ascii="Times New Roman" w:hAnsi="Times New Roman" w:cs="Times New Roman"/>
          <w:sz w:val="24"/>
          <w:szCs w:val="24"/>
        </w:rPr>
        <w:t xml:space="preserve"> ar bezmaksas piešķirtajām emisijas kvotām, jāņem vērā, ka ETS operatori 2008. – 2012. gada periodā pāri palikušās emisijas kvotas drīkstēja pārcelt izmantošanai 2013. – 2020. gada periodā, līdz ar to ne visos gadījumos novērojama situācija, k</w:t>
      </w:r>
      <w:r w:rsidR="00021B9E">
        <w:rPr>
          <w:rFonts w:ascii="Times New Roman" w:hAnsi="Times New Roman" w:cs="Times New Roman"/>
          <w:sz w:val="24"/>
          <w:szCs w:val="24"/>
        </w:rPr>
        <w:t>a operatoram emisijas kvotas būtu</w:t>
      </w:r>
      <w:r>
        <w:rPr>
          <w:rFonts w:ascii="Times New Roman" w:hAnsi="Times New Roman" w:cs="Times New Roman"/>
          <w:sz w:val="24"/>
          <w:szCs w:val="24"/>
        </w:rPr>
        <w:t xml:space="preserve"> jāpērk tirgū. </w:t>
      </w:r>
      <w:r w:rsidR="00470D2A">
        <w:rPr>
          <w:rFonts w:ascii="Times New Roman" w:hAnsi="Times New Roman" w:cs="Times New Roman"/>
          <w:sz w:val="24"/>
          <w:szCs w:val="24"/>
        </w:rPr>
        <w:t xml:space="preserve">Vairākiem ETS operatoriem joprojām ir pieejams ievērojams apjoms bezmaksas piešķirto emisijas kvotu. </w:t>
      </w:r>
      <w:r w:rsidR="0097578F">
        <w:rPr>
          <w:rFonts w:ascii="Times New Roman" w:hAnsi="Times New Roman" w:cs="Times New Roman"/>
          <w:sz w:val="24"/>
          <w:szCs w:val="24"/>
        </w:rPr>
        <w:t>Saskaņā ar likuma “Par piesārņojumu” 32</w:t>
      </w:r>
      <w:r w:rsidR="0097578F" w:rsidRPr="00E07A0B">
        <w:rPr>
          <w:rFonts w:ascii="Times New Roman" w:hAnsi="Times New Roman" w:cs="Times New Roman"/>
          <w:sz w:val="24"/>
          <w:szCs w:val="24"/>
          <w:vertAlign w:val="superscript"/>
        </w:rPr>
        <w:t>3</w:t>
      </w:r>
      <w:r w:rsidR="0097578F">
        <w:rPr>
          <w:rFonts w:ascii="Times New Roman" w:hAnsi="Times New Roman" w:cs="Times New Roman"/>
          <w:sz w:val="24"/>
          <w:szCs w:val="24"/>
        </w:rPr>
        <w:t xml:space="preserve">. pantu ETS operatoriem, kas </w:t>
      </w:r>
      <w:r w:rsidR="0097578F" w:rsidRPr="0097578F">
        <w:rPr>
          <w:rFonts w:ascii="Times New Roman" w:hAnsi="Times New Roman" w:cs="Times New Roman"/>
          <w:sz w:val="24"/>
          <w:szCs w:val="24"/>
        </w:rPr>
        <w:t>gūst finanšu līdzekļus no darījumiem ar tiem bez maksas piešķirtajām emisijas kvotām</w:t>
      </w:r>
      <w:r w:rsidR="0097578F">
        <w:rPr>
          <w:rFonts w:ascii="Times New Roman" w:hAnsi="Times New Roman" w:cs="Times New Roman"/>
          <w:sz w:val="24"/>
          <w:szCs w:val="24"/>
        </w:rPr>
        <w:t xml:space="preserve"> jāizmanto, lai </w:t>
      </w:r>
      <w:r w:rsidR="0097578F" w:rsidRPr="0097578F">
        <w:rPr>
          <w:rFonts w:ascii="Times New Roman" w:hAnsi="Times New Roman" w:cs="Times New Roman"/>
          <w:sz w:val="24"/>
          <w:szCs w:val="24"/>
        </w:rPr>
        <w:t xml:space="preserve">kompensētu iepriekš veiktos vai plānotos </w:t>
      </w:r>
      <w:r w:rsidR="0097578F">
        <w:rPr>
          <w:rFonts w:ascii="Times New Roman" w:hAnsi="Times New Roman" w:cs="Times New Roman"/>
          <w:sz w:val="24"/>
          <w:szCs w:val="24"/>
        </w:rPr>
        <w:t>SEG</w:t>
      </w:r>
      <w:r w:rsidR="0097578F" w:rsidRPr="0097578F">
        <w:rPr>
          <w:rFonts w:ascii="Times New Roman" w:hAnsi="Times New Roman" w:cs="Times New Roman"/>
          <w:sz w:val="24"/>
          <w:szCs w:val="24"/>
        </w:rPr>
        <w:t xml:space="preserve"> </w:t>
      </w:r>
      <w:r w:rsidR="0097578F">
        <w:rPr>
          <w:rFonts w:ascii="Times New Roman" w:hAnsi="Times New Roman" w:cs="Times New Roman"/>
          <w:sz w:val="24"/>
          <w:szCs w:val="24"/>
        </w:rPr>
        <w:t xml:space="preserve">emisiju samazināšanas pasākumus. </w:t>
      </w:r>
    </w:p>
    <w:p w14:paraId="33F038B6" w14:textId="4C580FD3" w:rsidR="00470D2A" w:rsidRDefault="00B66F39" w:rsidP="00252E6E">
      <w:pPr>
        <w:spacing w:after="0"/>
        <w:ind w:right="-625" w:firstLine="567"/>
        <w:jc w:val="both"/>
        <w:rPr>
          <w:rFonts w:ascii="Times New Roman" w:hAnsi="Times New Roman" w:cs="Times New Roman"/>
          <w:sz w:val="24"/>
          <w:szCs w:val="24"/>
        </w:rPr>
      </w:pPr>
      <w:r>
        <w:rPr>
          <w:rFonts w:ascii="Times New Roman" w:hAnsi="Times New Roman" w:cs="Times New Roman"/>
          <w:sz w:val="24"/>
          <w:szCs w:val="24"/>
        </w:rPr>
        <w:lastRenderedPageBreak/>
        <w:t>Turklāt e</w:t>
      </w:r>
      <w:r w:rsidR="00470D2A">
        <w:rPr>
          <w:rFonts w:ascii="Times New Roman" w:hAnsi="Times New Roman" w:cs="Times New Roman"/>
          <w:sz w:val="24"/>
          <w:szCs w:val="24"/>
        </w:rPr>
        <w:t xml:space="preserve">lektroenerģijas ražotāji </w:t>
      </w:r>
      <w:r>
        <w:rPr>
          <w:rFonts w:ascii="Times New Roman" w:hAnsi="Times New Roman" w:cs="Times New Roman"/>
          <w:sz w:val="24"/>
          <w:szCs w:val="24"/>
        </w:rPr>
        <w:t xml:space="preserve">Latvijā </w:t>
      </w:r>
      <w:r w:rsidR="00470D2A">
        <w:rPr>
          <w:rFonts w:ascii="Times New Roman" w:hAnsi="Times New Roman" w:cs="Times New Roman"/>
          <w:sz w:val="24"/>
          <w:szCs w:val="24"/>
        </w:rPr>
        <w:t xml:space="preserve">izmanto ne tikai atbalstu, kas tiem pienākas kā ETS </w:t>
      </w:r>
      <w:r w:rsidR="00470D2A" w:rsidRPr="005C5150">
        <w:rPr>
          <w:rFonts w:ascii="Times New Roman" w:hAnsi="Times New Roman" w:cs="Times New Roman"/>
          <w:sz w:val="24"/>
          <w:szCs w:val="24"/>
        </w:rPr>
        <w:t>dalībniekiem</w:t>
      </w:r>
      <w:r w:rsidR="00D95F8F" w:rsidRPr="005C5150">
        <w:rPr>
          <w:rFonts w:ascii="Times New Roman" w:hAnsi="Times New Roman" w:cs="Times New Roman"/>
          <w:sz w:val="24"/>
          <w:szCs w:val="24"/>
        </w:rPr>
        <w:t xml:space="preserve"> (bezmaksas emisijas kvotas)</w:t>
      </w:r>
      <w:r w:rsidR="00470D2A" w:rsidRPr="005C5150">
        <w:rPr>
          <w:rFonts w:ascii="Times New Roman" w:hAnsi="Times New Roman" w:cs="Times New Roman"/>
          <w:sz w:val="24"/>
          <w:szCs w:val="24"/>
        </w:rPr>
        <w:t>, bet</w:t>
      </w:r>
      <w:r w:rsidR="00470D2A">
        <w:rPr>
          <w:rFonts w:ascii="Times New Roman" w:hAnsi="Times New Roman" w:cs="Times New Roman"/>
          <w:sz w:val="24"/>
          <w:szCs w:val="24"/>
        </w:rPr>
        <w:t xml:space="preserve"> arī citus atbalsta mehānismus. 3. tabulā ir atzīmēti tie operatori, kas vienlaikus ir saņēmuši </w:t>
      </w:r>
      <w:r w:rsidR="00470D2A" w:rsidRPr="00470D2A">
        <w:rPr>
          <w:rFonts w:ascii="Times New Roman" w:hAnsi="Times New Roman" w:cs="Times New Roman"/>
          <w:sz w:val="24"/>
          <w:szCs w:val="24"/>
        </w:rPr>
        <w:t>tiesības pārdot saražoto elektroenerģiju obligātā iepirkuma ietvaros,</w:t>
      </w:r>
      <w:r w:rsidR="00470D2A">
        <w:rPr>
          <w:rFonts w:ascii="Times New Roman" w:hAnsi="Times New Roman" w:cs="Times New Roman"/>
          <w:sz w:val="24"/>
          <w:szCs w:val="24"/>
        </w:rPr>
        <w:t xml:space="preserve"> kā arī tie, kas saņēmuši ES Kohēzijas fonda pieejamo finansējumu. </w:t>
      </w:r>
      <w:bookmarkStart w:id="7" w:name="_GoBack"/>
      <w:bookmarkEnd w:id="7"/>
    </w:p>
    <w:p w14:paraId="57DF95A3" w14:textId="7C95BEC8" w:rsidR="00470D2A" w:rsidRPr="00A93673" w:rsidRDefault="00470D2A">
      <w:pPr>
        <w:spacing w:after="0"/>
        <w:ind w:right="-625" w:firstLine="567"/>
        <w:jc w:val="both"/>
        <w:rPr>
          <w:rFonts w:ascii="Times New Roman" w:hAnsi="Times New Roman" w:cs="Times New Roman"/>
          <w:sz w:val="24"/>
          <w:szCs w:val="24"/>
        </w:rPr>
      </w:pPr>
      <w:r>
        <w:rPr>
          <w:rFonts w:ascii="Times New Roman" w:hAnsi="Times New Roman" w:cs="Times New Roman"/>
          <w:sz w:val="24"/>
          <w:szCs w:val="24"/>
        </w:rPr>
        <w:t>Ņemot vērā augstāk minēto</w:t>
      </w:r>
      <w:r w:rsidRPr="00A93673">
        <w:rPr>
          <w:rFonts w:ascii="Times New Roman" w:hAnsi="Times New Roman" w:cs="Times New Roman"/>
          <w:sz w:val="24"/>
          <w:szCs w:val="24"/>
        </w:rPr>
        <w:t>, ir secināms, ka ETS operatori, kas vienlaikus ir arī elektroenerģijas ražotāji</w:t>
      </w:r>
      <w:r w:rsidR="00B66F39" w:rsidRPr="00A93673">
        <w:rPr>
          <w:rFonts w:ascii="Times New Roman" w:hAnsi="Times New Roman" w:cs="Times New Roman"/>
          <w:sz w:val="24"/>
          <w:szCs w:val="24"/>
        </w:rPr>
        <w:t>, Latvijā</w:t>
      </w:r>
      <w:r w:rsidRPr="00A93673">
        <w:rPr>
          <w:rFonts w:ascii="Times New Roman" w:hAnsi="Times New Roman" w:cs="Times New Roman"/>
          <w:sz w:val="24"/>
          <w:szCs w:val="24"/>
        </w:rPr>
        <w:t xml:space="preserve"> ir saņēmuši un turpina saņemt būtisku atbalstu.  Kopumā 2008. – 2012. gada periodā piešķirtais bezmaksas  emisijas kvotu apjoms krietni pārsniedza verificētās SEG emisijas. Šo pārpalikumu bija iespējams pārnest uz 2013. – 2020. gada periodu. Papildus tam arī 2013. – 2020. gada periodā  elektroenerģijas ražotāji turpina saņemt bezmaksas emisijas kvotas. </w:t>
      </w:r>
      <w:r w:rsidR="00144255" w:rsidRPr="00A93673">
        <w:rPr>
          <w:rFonts w:ascii="Times New Roman" w:hAnsi="Times New Roman" w:cs="Times New Roman"/>
          <w:sz w:val="24"/>
          <w:szCs w:val="24"/>
        </w:rPr>
        <w:t xml:space="preserve">Pēc būtības Latvijā nav uzņēmumu, kas vienlaikus ir arī ETS operatori, kas nebūtu saņēmuši atbalstu elektroenerģijas ražošanai. </w:t>
      </w:r>
    </w:p>
    <w:p w14:paraId="15BC5908" w14:textId="329D6255" w:rsidR="00144255" w:rsidRPr="00A93673" w:rsidRDefault="00E5158C" w:rsidP="00741DD8">
      <w:pPr>
        <w:spacing w:after="0"/>
        <w:ind w:right="-625" w:firstLine="567"/>
        <w:jc w:val="both"/>
        <w:rPr>
          <w:rFonts w:ascii="Times New Roman" w:hAnsi="Times New Roman" w:cs="Times New Roman"/>
          <w:sz w:val="24"/>
          <w:szCs w:val="24"/>
        </w:rPr>
      </w:pPr>
      <w:r w:rsidRPr="00A93673">
        <w:rPr>
          <w:rFonts w:ascii="Times New Roman" w:hAnsi="Times New Roman" w:cs="Times New Roman"/>
          <w:sz w:val="24"/>
          <w:szCs w:val="24"/>
        </w:rPr>
        <w:t>Savukārt, cenšoties izvērtēt iespējamo tehnoloģisko modernizācijas projektu iespējamību, kas varētu nodrošināt SEG emisiju samazinājumu (tātad – galvenokārt saistībā ar pāreju uz AER izmantošanu), var konstatēt, ka v</w:t>
      </w:r>
      <w:r w:rsidR="00757FDF" w:rsidRPr="00A93673">
        <w:rPr>
          <w:rFonts w:ascii="Times New Roman" w:hAnsi="Times New Roman" w:cs="Times New Roman"/>
          <w:sz w:val="24"/>
          <w:szCs w:val="24"/>
        </w:rPr>
        <w:t>airāk kā puse no 3.</w:t>
      </w:r>
      <w:r w:rsidR="000D1749" w:rsidRPr="00A93673">
        <w:rPr>
          <w:rFonts w:ascii="Times New Roman" w:hAnsi="Times New Roman" w:cs="Times New Roman"/>
          <w:sz w:val="24"/>
          <w:szCs w:val="24"/>
        </w:rPr>
        <w:t> </w:t>
      </w:r>
      <w:r w:rsidR="00757FDF" w:rsidRPr="00A93673">
        <w:rPr>
          <w:rFonts w:ascii="Times New Roman" w:hAnsi="Times New Roman" w:cs="Times New Roman"/>
          <w:sz w:val="24"/>
          <w:szCs w:val="24"/>
        </w:rPr>
        <w:t>tabulā identificētajiem ETS operatoriem elektroenerģijas ražotājiem jau šobrīd SEG atļaujās kā vienu no kurināmajiem ir norādījuši kādu no AER, lielākoties – šķeldu.  Vairāk kā puse izmanto arī dabasgāzi. Bezmaksas kvotas būtu piešķiramas operatoriem ar mērķi modernizēt to iekārtas, lai samazinātu SEG emisijas.  No 3.</w:t>
      </w:r>
      <w:r w:rsidR="000D1749" w:rsidRPr="00A93673">
        <w:rPr>
          <w:rFonts w:ascii="Times New Roman" w:hAnsi="Times New Roman" w:cs="Times New Roman"/>
          <w:sz w:val="24"/>
          <w:szCs w:val="24"/>
        </w:rPr>
        <w:t> </w:t>
      </w:r>
      <w:r w:rsidR="00757FDF" w:rsidRPr="00A93673">
        <w:rPr>
          <w:rFonts w:ascii="Times New Roman" w:hAnsi="Times New Roman" w:cs="Times New Roman"/>
          <w:sz w:val="24"/>
          <w:szCs w:val="24"/>
        </w:rPr>
        <w:t xml:space="preserve">tabulā identificētajiem ETS operatoriem ir tikai septiņi, kas elektroenerģijas ražošanai šobrīd izmanto tikai fosilo kurināmo. </w:t>
      </w:r>
    </w:p>
    <w:p w14:paraId="4C2A0A05" w14:textId="3A1B862D" w:rsidR="00144255" w:rsidRPr="00E25EF5" w:rsidRDefault="00A77EA9" w:rsidP="004F207B">
      <w:pPr>
        <w:spacing w:after="0"/>
        <w:ind w:right="-625" w:firstLine="567"/>
        <w:jc w:val="both"/>
        <w:rPr>
          <w:rFonts w:ascii="Times New Roman" w:hAnsi="Times New Roman" w:cs="Times New Roman"/>
          <w:sz w:val="24"/>
          <w:szCs w:val="24"/>
        </w:rPr>
      </w:pPr>
      <w:r w:rsidRPr="00A93673">
        <w:rPr>
          <w:rFonts w:ascii="Times New Roman" w:hAnsi="Times New Roman" w:cs="Times New Roman"/>
          <w:sz w:val="24"/>
          <w:szCs w:val="24"/>
        </w:rPr>
        <w:t>Papildus, j</w:t>
      </w:r>
      <w:r w:rsidR="004F207B" w:rsidRPr="00A93673">
        <w:rPr>
          <w:rFonts w:ascii="Times New Roman" w:hAnsi="Times New Roman" w:cs="Times New Roman"/>
          <w:sz w:val="24"/>
          <w:szCs w:val="24"/>
        </w:rPr>
        <w:t xml:space="preserve">āņem vērā, </w:t>
      </w:r>
      <w:r w:rsidR="00144255" w:rsidRPr="00A93673">
        <w:rPr>
          <w:rFonts w:ascii="Times New Roman" w:hAnsi="Times New Roman" w:cs="Times New Roman"/>
          <w:sz w:val="24"/>
          <w:szCs w:val="24"/>
        </w:rPr>
        <w:t xml:space="preserve">ka </w:t>
      </w:r>
      <w:r w:rsidR="004F207B" w:rsidRPr="00A93673">
        <w:rPr>
          <w:rFonts w:ascii="Times New Roman" w:hAnsi="Times New Roman" w:cs="Times New Roman"/>
          <w:sz w:val="24"/>
          <w:szCs w:val="24"/>
        </w:rPr>
        <w:t>atbalsta piešķiršana elektroenerģijas ražotājiem šobrīd tiek rūpīgi vērtēta</w:t>
      </w:r>
      <w:r w:rsidRPr="00A93673">
        <w:rPr>
          <w:rFonts w:ascii="Times New Roman" w:hAnsi="Times New Roman" w:cs="Times New Roman"/>
          <w:sz w:val="24"/>
          <w:szCs w:val="24"/>
        </w:rPr>
        <w:t xml:space="preserve"> kontekstā ar </w:t>
      </w:r>
      <w:r w:rsidR="00E5158C" w:rsidRPr="00A93673">
        <w:rPr>
          <w:rFonts w:ascii="Times New Roman" w:hAnsi="Times New Roman" w:cs="Times New Roman"/>
          <w:sz w:val="24"/>
          <w:szCs w:val="24"/>
        </w:rPr>
        <w:t>obligātā iepirkuma komponentes (OIK) atcelšanu</w:t>
      </w:r>
      <w:r w:rsidR="004F207B" w:rsidRPr="00A93673">
        <w:rPr>
          <w:rFonts w:ascii="Times New Roman" w:hAnsi="Times New Roman" w:cs="Times New Roman"/>
          <w:sz w:val="24"/>
          <w:szCs w:val="24"/>
        </w:rPr>
        <w:t>. Saeima 2019.</w:t>
      </w:r>
      <w:r w:rsidR="000D1749" w:rsidRPr="00A93673">
        <w:rPr>
          <w:rFonts w:ascii="Times New Roman" w:hAnsi="Times New Roman" w:cs="Times New Roman"/>
          <w:sz w:val="24"/>
          <w:szCs w:val="24"/>
        </w:rPr>
        <w:t> </w:t>
      </w:r>
      <w:r w:rsidR="004F207B" w:rsidRPr="00A93673">
        <w:rPr>
          <w:rFonts w:ascii="Times New Roman" w:hAnsi="Times New Roman" w:cs="Times New Roman"/>
          <w:sz w:val="24"/>
          <w:szCs w:val="24"/>
        </w:rPr>
        <w:t xml:space="preserve">gada 10. janvārī uzdeva Ekonomikas ministrijai steidzami izstrādāt normatīvos aktus, lai valsts atbalstu subsidētās elektroenerģijas ražotājiem atceltu jau no </w:t>
      </w:r>
      <w:r w:rsidR="000D1749" w:rsidRPr="00A93673">
        <w:rPr>
          <w:rFonts w:ascii="Times New Roman" w:hAnsi="Times New Roman" w:cs="Times New Roman"/>
          <w:sz w:val="24"/>
          <w:szCs w:val="24"/>
        </w:rPr>
        <w:t xml:space="preserve">2019. </w:t>
      </w:r>
      <w:r w:rsidR="004F207B" w:rsidRPr="00A93673">
        <w:rPr>
          <w:rFonts w:ascii="Times New Roman" w:hAnsi="Times New Roman" w:cs="Times New Roman"/>
          <w:sz w:val="24"/>
          <w:szCs w:val="24"/>
        </w:rPr>
        <w:t xml:space="preserve">gada 31. marta. </w:t>
      </w:r>
      <w:r w:rsidR="00E5158C" w:rsidRPr="00A93673">
        <w:rPr>
          <w:rFonts w:ascii="Times New Roman" w:hAnsi="Times New Roman" w:cs="Times New Roman"/>
          <w:sz w:val="24"/>
          <w:szCs w:val="24"/>
        </w:rPr>
        <w:t xml:space="preserve"> Taču</w:t>
      </w:r>
      <w:r w:rsidR="00E5158C" w:rsidRPr="00E25EF5">
        <w:rPr>
          <w:rFonts w:ascii="Times New Roman" w:hAnsi="Times New Roman" w:cs="Times New Roman"/>
          <w:sz w:val="24"/>
          <w:szCs w:val="24"/>
        </w:rPr>
        <w:t>, pamatojoties uz Ekonomikas ministrijas sniegto informāciju, ka OIK straujai atcelšanai būs smagas ekonomiskās sekas, valdība lēma nevirzīt priekšlikumu par OIK atcelšanu Saeimas noteiktajā termiņā. Turpmākais process paredz, ka Ekonomikas ministrijai divu mēnešu laikā jāsagatavo konkrētus priekšlikumus OIK likvidēšanai, taču, no kura brīža un kā tieši varētu tikt atcelts OIK, pagaidām nav zināms.</w:t>
      </w:r>
    </w:p>
    <w:p w14:paraId="35F030CC" w14:textId="77777777" w:rsidR="00E5158C" w:rsidRDefault="00E5158C" w:rsidP="004F207B">
      <w:pPr>
        <w:spacing w:after="0"/>
        <w:ind w:right="-625" w:firstLine="567"/>
        <w:jc w:val="both"/>
        <w:rPr>
          <w:rFonts w:ascii="Times New Roman" w:hAnsi="Times New Roman" w:cs="Times New Roman"/>
          <w:sz w:val="24"/>
          <w:szCs w:val="24"/>
        </w:rPr>
        <w:sectPr w:rsidR="00E5158C" w:rsidSect="002F6F80">
          <w:headerReference w:type="default"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pPr>
    </w:p>
    <w:p w14:paraId="1AF71A24" w14:textId="70C26139" w:rsidR="009A1947" w:rsidRDefault="009A1947" w:rsidP="009A1947">
      <w:pPr>
        <w:spacing w:after="0"/>
        <w:ind w:right="-625" w:firstLine="567"/>
        <w:jc w:val="right"/>
        <w:rPr>
          <w:rFonts w:ascii="Times New Roman" w:hAnsi="Times New Roman" w:cs="Times New Roman"/>
          <w:b/>
          <w:i/>
          <w:szCs w:val="24"/>
        </w:rPr>
      </w:pPr>
      <w:r w:rsidRPr="00A93673">
        <w:rPr>
          <w:rFonts w:ascii="Times New Roman" w:hAnsi="Times New Roman" w:cs="Times New Roman"/>
          <w:b/>
          <w:i/>
          <w:szCs w:val="24"/>
        </w:rPr>
        <w:lastRenderedPageBreak/>
        <w:t xml:space="preserve">3.tabula. </w:t>
      </w:r>
      <w:r w:rsidR="00E5158C" w:rsidRPr="00A93673">
        <w:rPr>
          <w:rFonts w:ascii="Times New Roman" w:hAnsi="Times New Roman" w:cs="Times New Roman"/>
          <w:b/>
          <w:i/>
          <w:szCs w:val="24"/>
        </w:rPr>
        <w:t xml:space="preserve">Kopsavilkums par </w:t>
      </w:r>
      <w:r w:rsidRPr="00A93673">
        <w:rPr>
          <w:rFonts w:ascii="Times New Roman" w:hAnsi="Times New Roman" w:cs="Times New Roman"/>
          <w:b/>
          <w:i/>
          <w:szCs w:val="24"/>
        </w:rPr>
        <w:t>Latvijas elektroenerģijas ražotāju, kas 2018.gadā vienlaikus bija ETS operatori</w:t>
      </w:r>
      <w:r w:rsidR="00E5158C" w:rsidRPr="00A93673">
        <w:rPr>
          <w:rFonts w:ascii="Times New Roman" w:hAnsi="Times New Roman" w:cs="Times New Roman"/>
          <w:b/>
          <w:i/>
          <w:szCs w:val="24"/>
        </w:rPr>
        <w:t xml:space="preserve">, </w:t>
      </w:r>
      <w:r w:rsidRPr="00A93673">
        <w:rPr>
          <w:rFonts w:ascii="Times New Roman" w:hAnsi="Times New Roman" w:cs="Times New Roman"/>
          <w:b/>
          <w:i/>
          <w:szCs w:val="24"/>
        </w:rPr>
        <w:t>saņemtais</w:t>
      </w:r>
      <w:r>
        <w:rPr>
          <w:rFonts w:ascii="Times New Roman" w:hAnsi="Times New Roman" w:cs="Times New Roman"/>
          <w:b/>
          <w:i/>
          <w:szCs w:val="24"/>
        </w:rPr>
        <w:t xml:space="preserve"> atbalsts</w:t>
      </w:r>
    </w:p>
    <w:tbl>
      <w:tblPr>
        <w:tblStyle w:val="TableGridLight3"/>
        <w:tblW w:w="14709" w:type="dxa"/>
        <w:tblLayout w:type="fixed"/>
        <w:tblLook w:val="04A0" w:firstRow="1" w:lastRow="0" w:firstColumn="1" w:lastColumn="0" w:noHBand="0" w:noVBand="1"/>
      </w:tblPr>
      <w:tblGrid>
        <w:gridCol w:w="562"/>
        <w:gridCol w:w="2552"/>
        <w:gridCol w:w="1276"/>
        <w:gridCol w:w="992"/>
        <w:gridCol w:w="1417"/>
        <w:gridCol w:w="1418"/>
        <w:gridCol w:w="1417"/>
        <w:gridCol w:w="1134"/>
        <w:gridCol w:w="1276"/>
        <w:gridCol w:w="1276"/>
        <w:gridCol w:w="1389"/>
      </w:tblGrid>
      <w:tr w:rsidR="009A1947" w:rsidRPr="009A1947" w14:paraId="0049F818" w14:textId="77777777" w:rsidTr="00450453">
        <w:trPr>
          <w:trHeight w:val="990"/>
          <w:tblHeader/>
        </w:trPr>
        <w:tc>
          <w:tcPr>
            <w:tcW w:w="562" w:type="dxa"/>
            <w:shd w:val="clear" w:color="auto" w:fill="EDEDED" w:themeFill="accent3" w:themeFillTint="33"/>
            <w:vAlign w:val="bottom"/>
            <w:hideMark/>
          </w:tcPr>
          <w:p w14:paraId="14B289B2" w14:textId="77777777" w:rsidR="009A1947" w:rsidRPr="00450453" w:rsidRDefault="009A1947" w:rsidP="00EA36FE">
            <w:pPr>
              <w:jc w:val="center"/>
              <w:rPr>
                <w:rFonts w:ascii="Times New Roman" w:eastAsia="Times New Roman" w:hAnsi="Times New Roman" w:cs="Times New Roman"/>
                <w:b/>
                <w:color w:val="000000"/>
                <w:sz w:val="18"/>
                <w:szCs w:val="18"/>
                <w:lang w:eastAsia="lv-LV"/>
              </w:rPr>
            </w:pPr>
            <w:proofErr w:type="spellStart"/>
            <w:r w:rsidRPr="00450453">
              <w:rPr>
                <w:rFonts w:ascii="Times New Roman" w:eastAsia="Times New Roman" w:hAnsi="Times New Roman" w:cs="Times New Roman"/>
                <w:b/>
                <w:color w:val="000000"/>
                <w:sz w:val="18"/>
                <w:szCs w:val="18"/>
                <w:lang w:eastAsia="lv-LV"/>
              </w:rPr>
              <w:t>Nr.p.k</w:t>
            </w:r>
            <w:proofErr w:type="spellEnd"/>
            <w:r w:rsidRPr="00450453">
              <w:rPr>
                <w:rFonts w:ascii="Times New Roman" w:eastAsia="Times New Roman" w:hAnsi="Times New Roman" w:cs="Times New Roman"/>
                <w:b/>
                <w:color w:val="000000"/>
                <w:sz w:val="18"/>
                <w:szCs w:val="18"/>
                <w:lang w:eastAsia="lv-LV"/>
              </w:rPr>
              <w:t>.</w:t>
            </w:r>
          </w:p>
        </w:tc>
        <w:tc>
          <w:tcPr>
            <w:tcW w:w="2552" w:type="dxa"/>
            <w:shd w:val="clear" w:color="auto" w:fill="EDEDED" w:themeFill="accent3" w:themeFillTint="33"/>
            <w:vAlign w:val="bottom"/>
            <w:hideMark/>
          </w:tcPr>
          <w:p w14:paraId="20592CBF" w14:textId="77777777" w:rsidR="009A1947" w:rsidRPr="00450453" w:rsidRDefault="009A1947" w:rsidP="00EA36FE">
            <w:pPr>
              <w:jc w:val="center"/>
              <w:rPr>
                <w:rFonts w:ascii="Times New Roman" w:eastAsia="Times New Roman" w:hAnsi="Times New Roman" w:cs="Times New Roman"/>
                <w:b/>
                <w:color w:val="000000"/>
                <w:sz w:val="18"/>
                <w:szCs w:val="18"/>
                <w:lang w:eastAsia="lv-LV"/>
              </w:rPr>
            </w:pPr>
            <w:r w:rsidRPr="00450453">
              <w:rPr>
                <w:rFonts w:ascii="Times New Roman" w:eastAsia="Times New Roman" w:hAnsi="Times New Roman" w:cs="Times New Roman"/>
                <w:b/>
                <w:color w:val="000000"/>
                <w:sz w:val="18"/>
                <w:szCs w:val="18"/>
                <w:lang w:eastAsia="lv-LV"/>
              </w:rPr>
              <w:t>ETS operators/ elektroenerģijas ražotājs</w:t>
            </w:r>
          </w:p>
        </w:tc>
        <w:tc>
          <w:tcPr>
            <w:tcW w:w="1276" w:type="dxa"/>
            <w:shd w:val="clear" w:color="auto" w:fill="EDEDED" w:themeFill="accent3" w:themeFillTint="33"/>
            <w:vAlign w:val="bottom"/>
            <w:hideMark/>
          </w:tcPr>
          <w:p w14:paraId="18166AA0" w14:textId="77777777" w:rsidR="009A1947" w:rsidRPr="00450453" w:rsidRDefault="009A1947" w:rsidP="00EA36FE">
            <w:pPr>
              <w:jc w:val="center"/>
              <w:rPr>
                <w:rFonts w:ascii="Times New Roman" w:eastAsia="Times New Roman" w:hAnsi="Times New Roman" w:cs="Times New Roman"/>
                <w:b/>
                <w:color w:val="000000"/>
                <w:sz w:val="18"/>
                <w:szCs w:val="18"/>
                <w:lang w:eastAsia="lv-LV"/>
              </w:rPr>
            </w:pPr>
            <w:r w:rsidRPr="00450453">
              <w:rPr>
                <w:rFonts w:ascii="Times New Roman" w:eastAsia="Times New Roman" w:hAnsi="Times New Roman" w:cs="Times New Roman"/>
                <w:b/>
                <w:color w:val="000000"/>
                <w:sz w:val="18"/>
                <w:szCs w:val="18"/>
                <w:lang w:eastAsia="lv-LV"/>
              </w:rPr>
              <w:t>Obligātais elektroenerģijas iepirkums</w:t>
            </w:r>
            <w:r w:rsidRPr="00450453">
              <w:rPr>
                <w:rStyle w:val="FootnoteReference"/>
                <w:rFonts w:ascii="Times New Roman" w:eastAsia="Times New Roman" w:hAnsi="Times New Roman" w:cs="Times New Roman"/>
                <w:b/>
                <w:color w:val="000000"/>
                <w:sz w:val="18"/>
                <w:szCs w:val="18"/>
                <w:lang w:eastAsia="lv-LV"/>
              </w:rPr>
              <w:footnoteReference w:id="18"/>
            </w:r>
          </w:p>
        </w:tc>
        <w:tc>
          <w:tcPr>
            <w:tcW w:w="992" w:type="dxa"/>
            <w:shd w:val="clear" w:color="auto" w:fill="EDEDED" w:themeFill="accent3" w:themeFillTint="33"/>
            <w:vAlign w:val="bottom"/>
            <w:hideMark/>
          </w:tcPr>
          <w:p w14:paraId="2F05460B" w14:textId="77777777" w:rsidR="009A1947" w:rsidRPr="00450453" w:rsidRDefault="009A1947" w:rsidP="00EA36FE">
            <w:pPr>
              <w:jc w:val="center"/>
              <w:rPr>
                <w:rFonts w:ascii="Times New Roman" w:eastAsia="Times New Roman" w:hAnsi="Times New Roman" w:cs="Times New Roman"/>
                <w:b/>
                <w:color w:val="000000"/>
                <w:sz w:val="18"/>
                <w:szCs w:val="18"/>
                <w:lang w:eastAsia="lv-LV"/>
              </w:rPr>
            </w:pPr>
            <w:r w:rsidRPr="00450453">
              <w:rPr>
                <w:rFonts w:ascii="Times New Roman" w:eastAsia="Times New Roman" w:hAnsi="Times New Roman" w:cs="Times New Roman"/>
                <w:b/>
                <w:color w:val="000000"/>
                <w:sz w:val="18"/>
                <w:szCs w:val="18"/>
                <w:lang w:eastAsia="lv-LV"/>
              </w:rPr>
              <w:t>Kohēzijas fonda finansējums</w:t>
            </w:r>
            <w:r w:rsidRPr="00450453">
              <w:rPr>
                <w:rStyle w:val="FootnoteReference"/>
                <w:rFonts w:ascii="Times New Roman" w:eastAsia="Times New Roman" w:hAnsi="Times New Roman" w:cs="Times New Roman"/>
                <w:b/>
                <w:color w:val="000000"/>
                <w:sz w:val="18"/>
                <w:szCs w:val="18"/>
                <w:lang w:eastAsia="lv-LV"/>
              </w:rPr>
              <w:footnoteReference w:id="19"/>
            </w:r>
          </w:p>
        </w:tc>
        <w:tc>
          <w:tcPr>
            <w:tcW w:w="1417" w:type="dxa"/>
            <w:shd w:val="clear" w:color="auto" w:fill="EDEDED" w:themeFill="accent3" w:themeFillTint="33"/>
            <w:vAlign w:val="bottom"/>
            <w:hideMark/>
          </w:tcPr>
          <w:p w14:paraId="785CE1E2" w14:textId="77777777" w:rsidR="009A1947" w:rsidRPr="00450453" w:rsidRDefault="009A1947" w:rsidP="00EA36FE">
            <w:pPr>
              <w:jc w:val="center"/>
              <w:rPr>
                <w:rFonts w:ascii="Times New Roman" w:eastAsia="Times New Roman" w:hAnsi="Times New Roman" w:cs="Times New Roman"/>
                <w:b/>
                <w:color w:val="000000"/>
                <w:sz w:val="18"/>
                <w:szCs w:val="18"/>
                <w:lang w:eastAsia="lv-LV"/>
              </w:rPr>
            </w:pPr>
            <w:r w:rsidRPr="00450453">
              <w:rPr>
                <w:rFonts w:ascii="Times New Roman" w:eastAsia="Times New Roman" w:hAnsi="Times New Roman" w:cs="Times New Roman"/>
                <w:b/>
                <w:color w:val="000000"/>
                <w:sz w:val="18"/>
                <w:szCs w:val="18"/>
                <w:lang w:eastAsia="lv-LV"/>
              </w:rPr>
              <w:t>SEG atļaujā norādītais kurināmā veids</w:t>
            </w:r>
          </w:p>
        </w:tc>
        <w:tc>
          <w:tcPr>
            <w:tcW w:w="1418" w:type="dxa"/>
            <w:shd w:val="clear" w:color="auto" w:fill="EDEDED" w:themeFill="accent3" w:themeFillTint="33"/>
            <w:vAlign w:val="bottom"/>
            <w:hideMark/>
          </w:tcPr>
          <w:p w14:paraId="1E52810B" w14:textId="77777777" w:rsidR="009A1947" w:rsidRPr="00450453" w:rsidRDefault="009A1947" w:rsidP="00EA36FE">
            <w:pPr>
              <w:jc w:val="center"/>
              <w:rPr>
                <w:rFonts w:ascii="Times New Roman" w:eastAsia="Times New Roman" w:hAnsi="Times New Roman" w:cs="Times New Roman"/>
                <w:b/>
                <w:color w:val="000000"/>
                <w:sz w:val="18"/>
                <w:szCs w:val="18"/>
                <w:lang w:eastAsia="lv-LV"/>
              </w:rPr>
            </w:pPr>
            <w:r w:rsidRPr="00450453">
              <w:rPr>
                <w:rFonts w:ascii="Times New Roman" w:eastAsia="Times New Roman" w:hAnsi="Times New Roman" w:cs="Times New Roman"/>
                <w:b/>
                <w:color w:val="000000"/>
                <w:sz w:val="18"/>
                <w:szCs w:val="18"/>
                <w:lang w:eastAsia="lv-LV"/>
              </w:rPr>
              <w:t>Piešķirtās emisijas kvotas (2008-2012)</w:t>
            </w:r>
          </w:p>
        </w:tc>
        <w:tc>
          <w:tcPr>
            <w:tcW w:w="1417" w:type="dxa"/>
            <w:shd w:val="clear" w:color="auto" w:fill="EDEDED" w:themeFill="accent3" w:themeFillTint="33"/>
            <w:vAlign w:val="bottom"/>
            <w:hideMark/>
          </w:tcPr>
          <w:p w14:paraId="5E2D4E73" w14:textId="77777777" w:rsidR="009A1947" w:rsidRPr="00450453" w:rsidRDefault="009A1947" w:rsidP="00EA36FE">
            <w:pPr>
              <w:jc w:val="center"/>
              <w:rPr>
                <w:rFonts w:ascii="Times New Roman" w:eastAsia="Times New Roman" w:hAnsi="Times New Roman" w:cs="Times New Roman"/>
                <w:b/>
                <w:color w:val="000000"/>
                <w:sz w:val="18"/>
                <w:szCs w:val="18"/>
                <w:lang w:eastAsia="lv-LV"/>
              </w:rPr>
            </w:pPr>
            <w:r w:rsidRPr="00450453">
              <w:rPr>
                <w:rFonts w:ascii="Times New Roman" w:eastAsia="Times New Roman" w:hAnsi="Times New Roman" w:cs="Times New Roman"/>
                <w:b/>
                <w:color w:val="000000"/>
                <w:sz w:val="18"/>
                <w:szCs w:val="18"/>
                <w:lang w:eastAsia="lv-LV"/>
              </w:rPr>
              <w:t>Verificētās SEG emisijas</w:t>
            </w:r>
            <w:r w:rsidRPr="00450453">
              <w:rPr>
                <w:rStyle w:val="FootnoteReference"/>
                <w:rFonts w:ascii="Times New Roman" w:eastAsia="Times New Roman" w:hAnsi="Times New Roman" w:cs="Times New Roman"/>
                <w:b/>
                <w:color w:val="000000"/>
                <w:sz w:val="18"/>
                <w:szCs w:val="18"/>
                <w:lang w:eastAsia="lv-LV"/>
              </w:rPr>
              <w:footnoteReference w:id="20"/>
            </w:r>
            <w:r w:rsidRPr="00450453">
              <w:rPr>
                <w:rFonts w:ascii="Times New Roman" w:eastAsia="Times New Roman" w:hAnsi="Times New Roman" w:cs="Times New Roman"/>
                <w:b/>
                <w:color w:val="000000"/>
                <w:sz w:val="18"/>
                <w:szCs w:val="18"/>
                <w:lang w:eastAsia="lv-LV"/>
              </w:rPr>
              <w:t xml:space="preserve"> (2008-2012)</w:t>
            </w:r>
          </w:p>
        </w:tc>
        <w:tc>
          <w:tcPr>
            <w:tcW w:w="1134" w:type="dxa"/>
            <w:shd w:val="clear" w:color="auto" w:fill="EDEDED" w:themeFill="accent3" w:themeFillTint="33"/>
            <w:vAlign w:val="bottom"/>
            <w:hideMark/>
          </w:tcPr>
          <w:p w14:paraId="0B276840" w14:textId="77777777" w:rsidR="009A1947" w:rsidRPr="00450453" w:rsidRDefault="009A1947" w:rsidP="00EA36FE">
            <w:pPr>
              <w:jc w:val="center"/>
              <w:rPr>
                <w:rFonts w:ascii="Times New Roman" w:eastAsia="Times New Roman" w:hAnsi="Times New Roman" w:cs="Times New Roman"/>
                <w:b/>
                <w:color w:val="000000"/>
                <w:sz w:val="18"/>
                <w:szCs w:val="18"/>
                <w:lang w:eastAsia="lv-LV"/>
              </w:rPr>
            </w:pPr>
            <w:r w:rsidRPr="00450453">
              <w:rPr>
                <w:rFonts w:ascii="Times New Roman" w:eastAsia="Times New Roman" w:hAnsi="Times New Roman" w:cs="Times New Roman"/>
                <w:b/>
                <w:color w:val="000000"/>
                <w:sz w:val="18"/>
                <w:szCs w:val="18"/>
                <w:lang w:eastAsia="lv-LV"/>
              </w:rPr>
              <w:t>Starpība (2008-2012)</w:t>
            </w:r>
          </w:p>
        </w:tc>
        <w:tc>
          <w:tcPr>
            <w:tcW w:w="1276" w:type="dxa"/>
            <w:shd w:val="clear" w:color="auto" w:fill="EDEDED" w:themeFill="accent3" w:themeFillTint="33"/>
            <w:vAlign w:val="bottom"/>
            <w:hideMark/>
          </w:tcPr>
          <w:p w14:paraId="01D703E5" w14:textId="77777777" w:rsidR="009A1947" w:rsidRPr="00450453" w:rsidRDefault="009A1947" w:rsidP="00EA36FE">
            <w:pPr>
              <w:jc w:val="center"/>
              <w:rPr>
                <w:rFonts w:ascii="Times New Roman" w:eastAsia="Times New Roman" w:hAnsi="Times New Roman" w:cs="Times New Roman"/>
                <w:b/>
                <w:color w:val="000000"/>
                <w:sz w:val="18"/>
                <w:szCs w:val="18"/>
                <w:lang w:eastAsia="lv-LV"/>
              </w:rPr>
            </w:pPr>
            <w:r w:rsidRPr="00450453">
              <w:rPr>
                <w:rFonts w:ascii="Times New Roman" w:eastAsia="Times New Roman" w:hAnsi="Times New Roman" w:cs="Times New Roman"/>
                <w:b/>
                <w:color w:val="000000"/>
                <w:sz w:val="18"/>
                <w:szCs w:val="18"/>
                <w:lang w:eastAsia="lv-LV"/>
              </w:rPr>
              <w:t>Piešķirtās emisijas kvotas (2013-2017)</w:t>
            </w:r>
          </w:p>
        </w:tc>
        <w:tc>
          <w:tcPr>
            <w:tcW w:w="1276" w:type="dxa"/>
            <w:shd w:val="clear" w:color="auto" w:fill="EDEDED" w:themeFill="accent3" w:themeFillTint="33"/>
            <w:vAlign w:val="bottom"/>
            <w:hideMark/>
          </w:tcPr>
          <w:p w14:paraId="30BD14DA" w14:textId="77777777" w:rsidR="009A1947" w:rsidRPr="00450453" w:rsidRDefault="009A1947" w:rsidP="00EA36FE">
            <w:pPr>
              <w:jc w:val="center"/>
              <w:rPr>
                <w:rFonts w:ascii="Times New Roman" w:eastAsia="Times New Roman" w:hAnsi="Times New Roman" w:cs="Times New Roman"/>
                <w:b/>
                <w:color w:val="000000"/>
                <w:sz w:val="18"/>
                <w:szCs w:val="18"/>
                <w:lang w:eastAsia="lv-LV"/>
              </w:rPr>
            </w:pPr>
            <w:r w:rsidRPr="00450453">
              <w:rPr>
                <w:rFonts w:ascii="Times New Roman" w:eastAsia="Times New Roman" w:hAnsi="Times New Roman" w:cs="Times New Roman"/>
                <w:b/>
                <w:color w:val="000000"/>
                <w:sz w:val="18"/>
                <w:szCs w:val="18"/>
                <w:lang w:eastAsia="lv-LV"/>
              </w:rPr>
              <w:t>Verificētās SEG emisijas</w:t>
            </w:r>
            <w:r w:rsidRPr="00450453">
              <w:rPr>
                <w:rStyle w:val="FootnoteReference"/>
                <w:rFonts w:ascii="Times New Roman" w:eastAsia="Times New Roman" w:hAnsi="Times New Roman" w:cs="Times New Roman"/>
                <w:b/>
                <w:color w:val="000000"/>
                <w:sz w:val="18"/>
                <w:szCs w:val="18"/>
                <w:lang w:eastAsia="lv-LV"/>
              </w:rPr>
              <w:footnoteReference w:id="21"/>
            </w:r>
            <w:r w:rsidRPr="00450453">
              <w:rPr>
                <w:rFonts w:ascii="Times New Roman" w:eastAsia="Times New Roman" w:hAnsi="Times New Roman" w:cs="Times New Roman"/>
                <w:b/>
                <w:color w:val="000000"/>
                <w:sz w:val="18"/>
                <w:szCs w:val="18"/>
                <w:lang w:eastAsia="lv-LV"/>
              </w:rPr>
              <w:t xml:space="preserve"> (2013-2017)</w:t>
            </w:r>
          </w:p>
        </w:tc>
        <w:tc>
          <w:tcPr>
            <w:tcW w:w="1389" w:type="dxa"/>
            <w:shd w:val="clear" w:color="auto" w:fill="EDEDED" w:themeFill="accent3" w:themeFillTint="33"/>
            <w:vAlign w:val="bottom"/>
            <w:hideMark/>
          </w:tcPr>
          <w:p w14:paraId="60D5AC90" w14:textId="77777777" w:rsidR="009A1947" w:rsidRPr="00450453" w:rsidRDefault="009A1947" w:rsidP="00EA36FE">
            <w:pPr>
              <w:jc w:val="center"/>
              <w:rPr>
                <w:rFonts w:ascii="Times New Roman" w:eastAsia="Times New Roman" w:hAnsi="Times New Roman" w:cs="Times New Roman"/>
                <w:b/>
                <w:color w:val="000000"/>
                <w:sz w:val="18"/>
                <w:szCs w:val="18"/>
                <w:lang w:eastAsia="lv-LV"/>
              </w:rPr>
            </w:pPr>
            <w:r w:rsidRPr="00450453">
              <w:rPr>
                <w:rFonts w:ascii="Times New Roman" w:eastAsia="Times New Roman" w:hAnsi="Times New Roman" w:cs="Times New Roman"/>
                <w:b/>
                <w:color w:val="000000"/>
                <w:sz w:val="18"/>
                <w:szCs w:val="18"/>
                <w:lang w:eastAsia="lv-LV"/>
              </w:rPr>
              <w:t>Starpība (2013-2017)</w:t>
            </w:r>
          </w:p>
        </w:tc>
      </w:tr>
      <w:tr w:rsidR="009A1947" w:rsidRPr="009A1947" w14:paraId="5365CF3E" w14:textId="77777777" w:rsidTr="00450453">
        <w:trPr>
          <w:trHeight w:val="600"/>
        </w:trPr>
        <w:tc>
          <w:tcPr>
            <w:tcW w:w="562" w:type="dxa"/>
            <w:noWrap/>
            <w:hideMark/>
          </w:tcPr>
          <w:p w14:paraId="30BF53C9" w14:textId="77777777" w:rsidR="009A1947" w:rsidRPr="00450453" w:rsidRDefault="009A1947" w:rsidP="00EA36FE">
            <w:pPr>
              <w:jc w:val="right"/>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1.</w:t>
            </w:r>
          </w:p>
        </w:tc>
        <w:tc>
          <w:tcPr>
            <w:tcW w:w="2552" w:type="dxa"/>
            <w:vAlign w:val="center"/>
            <w:hideMark/>
          </w:tcPr>
          <w:p w14:paraId="36FE2029" w14:textId="77777777" w:rsidR="009A1947" w:rsidRPr="00450453" w:rsidRDefault="009A1947" w:rsidP="00EA36FE">
            <w:pP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Pašvaldības SIA "Ventspils siltums", Talsu ielā 69, Ventspilī</w:t>
            </w:r>
          </w:p>
        </w:tc>
        <w:tc>
          <w:tcPr>
            <w:tcW w:w="1276" w:type="dxa"/>
            <w:hideMark/>
          </w:tcPr>
          <w:p w14:paraId="4E249A76"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p>
        </w:tc>
        <w:tc>
          <w:tcPr>
            <w:tcW w:w="992" w:type="dxa"/>
            <w:hideMark/>
          </w:tcPr>
          <w:p w14:paraId="6D468B56"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x</w:t>
            </w:r>
          </w:p>
        </w:tc>
        <w:tc>
          <w:tcPr>
            <w:tcW w:w="1417" w:type="dxa"/>
            <w:hideMark/>
          </w:tcPr>
          <w:p w14:paraId="465C66B7"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bCs/>
                <w:color w:val="000000"/>
                <w:sz w:val="18"/>
                <w:szCs w:val="18"/>
                <w:lang w:eastAsia="lv-LV"/>
              </w:rPr>
              <w:t>Šķelda, dīzeļdegviela, akmeņogles</w:t>
            </w:r>
          </w:p>
        </w:tc>
        <w:tc>
          <w:tcPr>
            <w:tcW w:w="1418" w:type="dxa"/>
            <w:hideMark/>
          </w:tcPr>
          <w:p w14:paraId="61DD59B6"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231 235</w:t>
            </w:r>
          </w:p>
        </w:tc>
        <w:tc>
          <w:tcPr>
            <w:tcW w:w="1417" w:type="dxa"/>
            <w:hideMark/>
          </w:tcPr>
          <w:p w14:paraId="03C79627"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238 740</w:t>
            </w:r>
          </w:p>
        </w:tc>
        <w:tc>
          <w:tcPr>
            <w:tcW w:w="1134" w:type="dxa"/>
            <w:hideMark/>
          </w:tcPr>
          <w:p w14:paraId="1AD81363"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-7 505</w:t>
            </w:r>
          </w:p>
        </w:tc>
        <w:tc>
          <w:tcPr>
            <w:tcW w:w="1276" w:type="dxa"/>
            <w:noWrap/>
            <w:hideMark/>
          </w:tcPr>
          <w:p w14:paraId="6E6C7FCC"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84 910</w:t>
            </w:r>
          </w:p>
        </w:tc>
        <w:tc>
          <w:tcPr>
            <w:tcW w:w="1276" w:type="dxa"/>
            <w:noWrap/>
            <w:hideMark/>
          </w:tcPr>
          <w:p w14:paraId="536FB636"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98 973</w:t>
            </w:r>
          </w:p>
        </w:tc>
        <w:tc>
          <w:tcPr>
            <w:tcW w:w="1389" w:type="dxa"/>
            <w:noWrap/>
            <w:hideMark/>
          </w:tcPr>
          <w:p w14:paraId="7FAE0E41"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-14 063</w:t>
            </w:r>
          </w:p>
        </w:tc>
      </w:tr>
      <w:tr w:rsidR="009A1947" w:rsidRPr="009A1947" w14:paraId="48BE4148" w14:textId="77777777" w:rsidTr="00450453">
        <w:trPr>
          <w:trHeight w:val="600"/>
        </w:trPr>
        <w:tc>
          <w:tcPr>
            <w:tcW w:w="562" w:type="dxa"/>
            <w:noWrap/>
            <w:hideMark/>
          </w:tcPr>
          <w:p w14:paraId="03CC72A4" w14:textId="77777777" w:rsidR="009A1947" w:rsidRPr="00450453" w:rsidRDefault="009A1947" w:rsidP="00EA36FE">
            <w:pPr>
              <w:jc w:val="right"/>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2.</w:t>
            </w:r>
          </w:p>
        </w:tc>
        <w:tc>
          <w:tcPr>
            <w:tcW w:w="2552" w:type="dxa"/>
            <w:vAlign w:val="center"/>
            <w:hideMark/>
          </w:tcPr>
          <w:p w14:paraId="5556AD62" w14:textId="77777777" w:rsidR="009A1947" w:rsidRPr="00450453" w:rsidRDefault="009A1947" w:rsidP="00EA36FE">
            <w:pP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Pašvaldības SIA "Ventspils siltums", Brīvības ielā 38, Ventspilī</w:t>
            </w:r>
          </w:p>
        </w:tc>
        <w:tc>
          <w:tcPr>
            <w:tcW w:w="1276" w:type="dxa"/>
            <w:hideMark/>
          </w:tcPr>
          <w:p w14:paraId="79465E17"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p>
        </w:tc>
        <w:tc>
          <w:tcPr>
            <w:tcW w:w="992" w:type="dxa"/>
            <w:hideMark/>
          </w:tcPr>
          <w:p w14:paraId="1B94A23A"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p>
        </w:tc>
        <w:tc>
          <w:tcPr>
            <w:tcW w:w="1417" w:type="dxa"/>
            <w:hideMark/>
          </w:tcPr>
          <w:p w14:paraId="302046F0"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bCs/>
                <w:color w:val="000000"/>
                <w:sz w:val="18"/>
                <w:szCs w:val="18"/>
                <w:lang w:eastAsia="lv-LV"/>
              </w:rPr>
              <w:t>Šķelda, dīzeļdegviela</w:t>
            </w:r>
          </w:p>
        </w:tc>
        <w:tc>
          <w:tcPr>
            <w:tcW w:w="1418" w:type="dxa"/>
            <w:hideMark/>
          </w:tcPr>
          <w:p w14:paraId="614E440C"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198 675</w:t>
            </w:r>
          </w:p>
        </w:tc>
        <w:tc>
          <w:tcPr>
            <w:tcW w:w="1417" w:type="dxa"/>
            <w:hideMark/>
          </w:tcPr>
          <w:p w14:paraId="1295588E"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117 013</w:t>
            </w:r>
          </w:p>
        </w:tc>
        <w:tc>
          <w:tcPr>
            <w:tcW w:w="1134" w:type="dxa"/>
            <w:hideMark/>
          </w:tcPr>
          <w:p w14:paraId="0672EB0C" w14:textId="77777777" w:rsidR="009A1947" w:rsidRPr="00450453" w:rsidRDefault="009A1947" w:rsidP="00EA36FE">
            <w:pPr>
              <w:jc w:val="center"/>
              <w:rPr>
                <w:rFonts w:ascii="Times New Roman" w:eastAsia="Times New Roman" w:hAnsi="Times New Roman" w:cs="Times New Roman"/>
                <w:b/>
                <w:bCs/>
                <w:color w:val="70AD47"/>
                <w:sz w:val="18"/>
                <w:szCs w:val="18"/>
                <w:lang w:eastAsia="lv-LV"/>
              </w:rPr>
            </w:pPr>
            <w:r w:rsidRPr="00450453">
              <w:rPr>
                <w:rFonts w:ascii="Times New Roman" w:eastAsia="Times New Roman" w:hAnsi="Times New Roman" w:cs="Times New Roman"/>
                <w:b/>
                <w:bCs/>
                <w:color w:val="70AD47"/>
                <w:sz w:val="18"/>
                <w:szCs w:val="18"/>
                <w:lang w:eastAsia="lv-LV"/>
              </w:rPr>
              <w:t>81 662</w:t>
            </w:r>
          </w:p>
        </w:tc>
        <w:tc>
          <w:tcPr>
            <w:tcW w:w="1276" w:type="dxa"/>
            <w:noWrap/>
            <w:hideMark/>
          </w:tcPr>
          <w:p w14:paraId="01AFEC54"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77 227</w:t>
            </w:r>
          </w:p>
        </w:tc>
        <w:tc>
          <w:tcPr>
            <w:tcW w:w="1276" w:type="dxa"/>
            <w:noWrap/>
            <w:hideMark/>
          </w:tcPr>
          <w:p w14:paraId="5509F222"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6 667</w:t>
            </w:r>
          </w:p>
        </w:tc>
        <w:tc>
          <w:tcPr>
            <w:tcW w:w="1389" w:type="dxa"/>
            <w:noWrap/>
            <w:hideMark/>
          </w:tcPr>
          <w:p w14:paraId="799AF537" w14:textId="77777777" w:rsidR="009A1947" w:rsidRPr="00450453" w:rsidRDefault="009A1947" w:rsidP="00EA36FE">
            <w:pPr>
              <w:jc w:val="center"/>
              <w:rPr>
                <w:rFonts w:ascii="Times New Roman" w:eastAsia="Times New Roman" w:hAnsi="Times New Roman" w:cs="Times New Roman"/>
                <w:b/>
                <w:bCs/>
                <w:color w:val="70AD47"/>
                <w:sz w:val="18"/>
                <w:szCs w:val="18"/>
                <w:lang w:eastAsia="lv-LV"/>
              </w:rPr>
            </w:pPr>
            <w:r w:rsidRPr="00450453">
              <w:rPr>
                <w:rFonts w:ascii="Times New Roman" w:eastAsia="Times New Roman" w:hAnsi="Times New Roman" w:cs="Times New Roman"/>
                <w:b/>
                <w:bCs/>
                <w:color w:val="70AD47"/>
                <w:sz w:val="18"/>
                <w:szCs w:val="18"/>
                <w:lang w:eastAsia="lv-LV"/>
              </w:rPr>
              <w:t>70 560</w:t>
            </w:r>
          </w:p>
        </w:tc>
      </w:tr>
      <w:tr w:rsidR="009A1947" w:rsidRPr="009A1947" w14:paraId="1DDBCA46" w14:textId="77777777" w:rsidTr="00450453">
        <w:trPr>
          <w:trHeight w:val="600"/>
        </w:trPr>
        <w:tc>
          <w:tcPr>
            <w:tcW w:w="562" w:type="dxa"/>
            <w:noWrap/>
            <w:hideMark/>
          </w:tcPr>
          <w:p w14:paraId="45DB3C33" w14:textId="77777777" w:rsidR="009A1947" w:rsidRPr="00450453" w:rsidRDefault="009A1947" w:rsidP="00EA36FE">
            <w:pPr>
              <w:jc w:val="right"/>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3.</w:t>
            </w:r>
          </w:p>
        </w:tc>
        <w:tc>
          <w:tcPr>
            <w:tcW w:w="2552" w:type="dxa"/>
            <w:vAlign w:val="center"/>
            <w:hideMark/>
          </w:tcPr>
          <w:p w14:paraId="06A15097" w14:textId="77777777" w:rsidR="009A1947" w:rsidRPr="00450453" w:rsidRDefault="009A1947" w:rsidP="00EA36FE">
            <w:pP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 xml:space="preserve">A/S “Latvenergo” TEC-1 </w:t>
            </w:r>
            <w:proofErr w:type="spellStart"/>
            <w:r w:rsidRPr="00450453">
              <w:rPr>
                <w:rFonts w:ascii="Times New Roman" w:eastAsia="Times New Roman" w:hAnsi="Times New Roman" w:cs="Times New Roman"/>
                <w:color w:val="000000"/>
                <w:sz w:val="18"/>
                <w:szCs w:val="18"/>
                <w:lang w:eastAsia="lv-LV"/>
              </w:rPr>
              <w:t>Viskaļu</w:t>
            </w:r>
            <w:proofErr w:type="spellEnd"/>
            <w:r w:rsidRPr="00450453">
              <w:rPr>
                <w:rFonts w:ascii="Times New Roman" w:eastAsia="Times New Roman" w:hAnsi="Times New Roman" w:cs="Times New Roman"/>
                <w:color w:val="000000"/>
                <w:sz w:val="18"/>
                <w:szCs w:val="18"/>
                <w:lang w:eastAsia="lv-LV"/>
              </w:rPr>
              <w:t xml:space="preserve"> ielā 16, Rīgā</w:t>
            </w:r>
          </w:p>
        </w:tc>
        <w:tc>
          <w:tcPr>
            <w:tcW w:w="1276" w:type="dxa"/>
            <w:hideMark/>
          </w:tcPr>
          <w:p w14:paraId="759D5F15" w14:textId="6309DEA4"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x</w:t>
            </w:r>
            <w:r w:rsidR="00CF16FB">
              <w:rPr>
                <w:rFonts w:ascii="Times New Roman" w:eastAsia="Times New Roman" w:hAnsi="Times New Roman" w:cs="Times New Roman"/>
                <w:color w:val="000000"/>
                <w:sz w:val="18"/>
                <w:szCs w:val="18"/>
                <w:lang w:eastAsia="lv-LV"/>
              </w:rPr>
              <w:t>x</w:t>
            </w:r>
          </w:p>
        </w:tc>
        <w:tc>
          <w:tcPr>
            <w:tcW w:w="992" w:type="dxa"/>
            <w:hideMark/>
          </w:tcPr>
          <w:p w14:paraId="3155AB9B"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p>
        </w:tc>
        <w:tc>
          <w:tcPr>
            <w:tcW w:w="1417" w:type="dxa"/>
            <w:hideMark/>
          </w:tcPr>
          <w:p w14:paraId="3EA52044"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 xml:space="preserve">Dabasgāze, </w:t>
            </w:r>
          </w:p>
          <w:p w14:paraId="5FD3AB11"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dīzeļdegviela</w:t>
            </w:r>
          </w:p>
        </w:tc>
        <w:tc>
          <w:tcPr>
            <w:tcW w:w="1418" w:type="dxa"/>
            <w:hideMark/>
          </w:tcPr>
          <w:p w14:paraId="56568743"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2 223 910</w:t>
            </w:r>
          </w:p>
        </w:tc>
        <w:tc>
          <w:tcPr>
            <w:tcW w:w="1417" w:type="dxa"/>
            <w:hideMark/>
          </w:tcPr>
          <w:p w14:paraId="508FF83F"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1 595 421</w:t>
            </w:r>
          </w:p>
        </w:tc>
        <w:tc>
          <w:tcPr>
            <w:tcW w:w="1134" w:type="dxa"/>
            <w:hideMark/>
          </w:tcPr>
          <w:p w14:paraId="3E3359BC" w14:textId="77777777" w:rsidR="009A1947" w:rsidRPr="00450453" w:rsidRDefault="009A1947" w:rsidP="00EA36FE">
            <w:pPr>
              <w:jc w:val="center"/>
              <w:rPr>
                <w:rFonts w:ascii="Times New Roman" w:eastAsia="Times New Roman" w:hAnsi="Times New Roman" w:cs="Times New Roman"/>
                <w:b/>
                <w:bCs/>
                <w:color w:val="70AD47"/>
                <w:sz w:val="18"/>
                <w:szCs w:val="18"/>
                <w:lang w:eastAsia="lv-LV"/>
              </w:rPr>
            </w:pPr>
            <w:r w:rsidRPr="00450453">
              <w:rPr>
                <w:rFonts w:ascii="Times New Roman" w:eastAsia="Times New Roman" w:hAnsi="Times New Roman" w:cs="Times New Roman"/>
                <w:b/>
                <w:bCs/>
                <w:color w:val="70AD47"/>
                <w:sz w:val="18"/>
                <w:szCs w:val="18"/>
                <w:lang w:eastAsia="lv-LV"/>
              </w:rPr>
              <w:t>628 489</w:t>
            </w:r>
          </w:p>
        </w:tc>
        <w:tc>
          <w:tcPr>
            <w:tcW w:w="1276" w:type="dxa"/>
            <w:noWrap/>
            <w:hideMark/>
          </w:tcPr>
          <w:p w14:paraId="53065AC3"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756 435</w:t>
            </w:r>
          </w:p>
        </w:tc>
        <w:tc>
          <w:tcPr>
            <w:tcW w:w="1276" w:type="dxa"/>
            <w:noWrap/>
            <w:hideMark/>
          </w:tcPr>
          <w:p w14:paraId="35D4C009"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1 639 052</w:t>
            </w:r>
          </w:p>
        </w:tc>
        <w:tc>
          <w:tcPr>
            <w:tcW w:w="1389" w:type="dxa"/>
            <w:noWrap/>
            <w:hideMark/>
          </w:tcPr>
          <w:p w14:paraId="3DD7E0E7"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-882 617</w:t>
            </w:r>
          </w:p>
        </w:tc>
      </w:tr>
      <w:tr w:rsidR="009A1947" w:rsidRPr="009A1947" w14:paraId="5CCB2F5C" w14:textId="77777777" w:rsidTr="00450453">
        <w:trPr>
          <w:trHeight w:val="600"/>
        </w:trPr>
        <w:tc>
          <w:tcPr>
            <w:tcW w:w="562" w:type="dxa"/>
            <w:noWrap/>
            <w:hideMark/>
          </w:tcPr>
          <w:p w14:paraId="13EB966E" w14:textId="77777777" w:rsidR="009A1947" w:rsidRPr="00450453" w:rsidRDefault="009A1947" w:rsidP="00EA36FE">
            <w:pPr>
              <w:jc w:val="right"/>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4.</w:t>
            </w:r>
          </w:p>
        </w:tc>
        <w:tc>
          <w:tcPr>
            <w:tcW w:w="2552" w:type="dxa"/>
            <w:vAlign w:val="center"/>
            <w:hideMark/>
          </w:tcPr>
          <w:p w14:paraId="4FF6B9E0" w14:textId="77777777" w:rsidR="009A1947" w:rsidRPr="00450453" w:rsidRDefault="009A1947" w:rsidP="00EA36FE">
            <w:pP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A/S “Latvenergo” TEC-2, Granīta iela 31, Acone, Salaspils pag.</w:t>
            </w:r>
          </w:p>
        </w:tc>
        <w:tc>
          <w:tcPr>
            <w:tcW w:w="1276" w:type="dxa"/>
            <w:hideMark/>
          </w:tcPr>
          <w:p w14:paraId="47459DE4" w14:textId="0CAF1931"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x</w:t>
            </w:r>
            <w:r w:rsidR="00CF16FB">
              <w:rPr>
                <w:rFonts w:ascii="Times New Roman" w:eastAsia="Times New Roman" w:hAnsi="Times New Roman" w:cs="Times New Roman"/>
                <w:color w:val="000000"/>
                <w:sz w:val="18"/>
                <w:szCs w:val="18"/>
                <w:lang w:eastAsia="lv-LV"/>
              </w:rPr>
              <w:t>x</w:t>
            </w:r>
          </w:p>
        </w:tc>
        <w:tc>
          <w:tcPr>
            <w:tcW w:w="992" w:type="dxa"/>
            <w:hideMark/>
          </w:tcPr>
          <w:p w14:paraId="54C713A9"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x</w:t>
            </w:r>
          </w:p>
        </w:tc>
        <w:tc>
          <w:tcPr>
            <w:tcW w:w="1417" w:type="dxa"/>
            <w:hideMark/>
          </w:tcPr>
          <w:p w14:paraId="744A2072"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 xml:space="preserve">Dabasgāze, </w:t>
            </w:r>
          </w:p>
          <w:p w14:paraId="5ACB9E63"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 xml:space="preserve">dīzeļdegviela </w:t>
            </w:r>
          </w:p>
        </w:tc>
        <w:tc>
          <w:tcPr>
            <w:tcW w:w="1418" w:type="dxa"/>
            <w:hideMark/>
          </w:tcPr>
          <w:p w14:paraId="5088283C"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4 562 279</w:t>
            </w:r>
          </w:p>
        </w:tc>
        <w:tc>
          <w:tcPr>
            <w:tcW w:w="1417" w:type="dxa"/>
            <w:hideMark/>
          </w:tcPr>
          <w:p w14:paraId="127C71B2"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3 509 086</w:t>
            </w:r>
          </w:p>
        </w:tc>
        <w:tc>
          <w:tcPr>
            <w:tcW w:w="1134" w:type="dxa"/>
            <w:hideMark/>
          </w:tcPr>
          <w:p w14:paraId="4B2282B8" w14:textId="77777777" w:rsidR="009A1947" w:rsidRPr="00450453" w:rsidRDefault="009A1947" w:rsidP="00EA36FE">
            <w:pPr>
              <w:jc w:val="center"/>
              <w:rPr>
                <w:rFonts w:ascii="Times New Roman" w:eastAsia="Times New Roman" w:hAnsi="Times New Roman" w:cs="Times New Roman"/>
                <w:b/>
                <w:bCs/>
                <w:color w:val="70AD47"/>
                <w:sz w:val="18"/>
                <w:szCs w:val="18"/>
                <w:lang w:eastAsia="lv-LV"/>
              </w:rPr>
            </w:pPr>
            <w:r w:rsidRPr="00450453">
              <w:rPr>
                <w:rFonts w:ascii="Times New Roman" w:eastAsia="Times New Roman" w:hAnsi="Times New Roman" w:cs="Times New Roman"/>
                <w:b/>
                <w:bCs/>
                <w:color w:val="70AD47"/>
                <w:sz w:val="18"/>
                <w:szCs w:val="18"/>
                <w:lang w:eastAsia="lv-LV"/>
              </w:rPr>
              <w:t>1 053 193</w:t>
            </w:r>
          </w:p>
        </w:tc>
        <w:tc>
          <w:tcPr>
            <w:tcW w:w="1276" w:type="dxa"/>
            <w:noWrap/>
            <w:hideMark/>
          </w:tcPr>
          <w:p w14:paraId="05FDAA82"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1 220 735</w:t>
            </w:r>
          </w:p>
        </w:tc>
        <w:tc>
          <w:tcPr>
            <w:tcW w:w="1276" w:type="dxa"/>
            <w:noWrap/>
            <w:hideMark/>
          </w:tcPr>
          <w:p w14:paraId="6F82F2A6"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3 396 496</w:t>
            </w:r>
          </w:p>
        </w:tc>
        <w:tc>
          <w:tcPr>
            <w:tcW w:w="1389" w:type="dxa"/>
            <w:noWrap/>
            <w:hideMark/>
          </w:tcPr>
          <w:p w14:paraId="0DA3B7B4"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-2 175 761</w:t>
            </w:r>
          </w:p>
        </w:tc>
      </w:tr>
      <w:tr w:rsidR="009A1947" w:rsidRPr="009A1947" w14:paraId="3A137DFB" w14:textId="77777777" w:rsidTr="00450453">
        <w:trPr>
          <w:trHeight w:val="600"/>
        </w:trPr>
        <w:tc>
          <w:tcPr>
            <w:tcW w:w="562" w:type="dxa"/>
            <w:noWrap/>
            <w:hideMark/>
          </w:tcPr>
          <w:p w14:paraId="79E4B462" w14:textId="77777777" w:rsidR="009A1947" w:rsidRPr="00450453" w:rsidRDefault="009A1947" w:rsidP="00EA36FE">
            <w:pPr>
              <w:jc w:val="right"/>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5.</w:t>
            </w:r>
          </w:p>
        </w:tc>
        <w:tc>
          <w:tcPr>
            <w:tcW w:w="2552" w:type="dxa"/>
            <w:vAlign w:val="center"/>
            <w:hideMark/>
          </w:tcPr>
          <w:p w14:paraId="55E91D3E" w14:textId="77777777" w:rsidR="009A1947" w:rsidRPr="00450453" w:rsidRDefault="009A1947" w:rsidP="00EA36FE">
            <w:pP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A/S „Rīgas siltums” siltumcentrāle „Daugavgrīva”</w:t>
            </w:r>
          </w:p>
        </w:tc>
        <w:tc>
          <w:tcPr>
            <w:tcW w:w="1276" w:type="dxa"/>
            <w:hideMark/>
          </w:tcPr>
          <w:p w14:paraId="6B13C749"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x</w:t>
            </w:r>
          </w:p>
        </w:tc>
        <w:tc>
          <w:tcPr>
            <w:tcW w:w="992" w:type="dxa"/>
            <w:hideMark/>
          </w:tcPr>
          <w:p w14:paraId="70D12DB5"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x</w:t>
            </w:r>
          </w:p>
        </w:tc>
        <w:tc>
          <w:tcPr>
            <w:tcW w:w="1417" w:type="dxa"/>
            <w:hideMark/>
          </w:tcPr>
          <w:p w14:paraId="23D37211"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bCs/>
                <w:color w:val="000000"/>
                <w:sz w:val="18"/>
                <w:szCs w:val="18"/>
                <w:lang w:eastAsia="lv-LV"/>
              </w:rPr>
              <w:t>Koksne, dabasgāze, mazuts</w:t>
            </w:r>
          </w:p>
        </w:tc>
        <w:tc>
          <w:tcPr>
            <w:tcW w:w="1418" w:type="dxa"/>
            <w:hideMark/>
          </w:tcPr>
          <w:p w14:paraId="01CBACA7"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28 375</w:t>
            </w:r>
          </w:p>
        </w:tc>
        <w:tc>
          <w:tcPr>
            <w:tcW w:w="1417" w:type="dxa"/>
            <w:hideMark/>
          </w:tcPr>
          <w:p w14:paraId="7DAB382A"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27 920</w:t>
            </w:r>
          </w:p>
        </w:tc>
        <w:tc>
          <w:tcPr>
            <w:tcW w:w="1134" w:type="dxa"/>
            <w:hideMark/>
          </w:tcPr>
          <w:p w14:paraId="2C9697A0" w14:textId="77777777" w:rsidR="009A1947" w:rsidRPr="00450453" w:rsidRDefault="009A1947" w:rsidP="00EA36FE">
            <w:pPr>
              <w:jc w:val="center"/>
              <w:rPr>
                <w:rFonts w:ascii="Times New Roman" w:eastAsia="Times New Roman" w:hAnsi="Times New Roman" w:cs="Times New Roman"/>
                <w:b/>
                <w:bCs/>
                <w:color w:val="70AD47"/>
                <w:sz w:val="18"/>
                <w:szCs w:val="18"/>
                <w:lang w:eastAsia="lv-LV"/>
              </w:rPr>
            </w:pPr>
            <w:r w:rsidRPr="00450453">
              <w:rPr>
                <w:rFonts w:ascii="Times New Roman" w:eastAsia="Times New Roman" w:hAnsi="Times New Roman" w:cs="Times New Roman"/>
                <w:b/>
                <w:bCs/>
                <w:color w:val="70AD47"/>
                <w:sz w:val="18"/>
                <w:szCs w:val="18"/>
                <w:lang w:eastAsia="lv-LV"/>
              </w:rPr>
              <w:t>455</w:t>
            </w:r>
          </w:p>
        </w:tc>
        <w:tc>
          <w:tcPr>
            <w:tcW w:w="1276" w:type="dxa"/>
            <w:noWrap/>
            <w:hideMark/>
          </w:tcPr>
          <w:p w14:paraId="2843A2FA"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34 856</w:t>
            </w:r>
          </w:p>
        </w:tc>
        <w:tc>
          <w:tcPr>
            <w:tcW w:w="1276" w:type="dxa"/>
            <w:noWrap/>
            <w:hideMark/>
          </w:tcPr>
          <w:p w14:paraId="45D02018"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26 909</w:t>
            </w:r>
          </w:p>
        </w:tc>
        <w:tc>
          <w:tcPr>
            <w:tcW w:w="1389" w:type="dxa"/>
            <w:noWrap/>
            <w:hideMark/>
          </w:tcPr>
          <w:p w14:paraId="5C6C194D" w14:textId="77777777" w:rsidR="009A1947" w:rsidRPr="00450453" w:rsidRDefault="009A1947" w:rsidP="00EA36FE">
            <w:pPr>
              <w:jc w:val="center"/>
              <w:rPr>
                <w:rFonts w:ascii="Times New Roman" w:eastAsia="Times New Roman" w:hAnsi="Times New Roman" w:cs="Times New Roman"/>
                <w:b/>
                <w:bCs/>
                <w:color w:val="70AD47"/>
                <w:sz w:val="18"/>
                <w:szCs w:val="18"/>
                <w:lang w:eastAsia="lv-LV"/>
              </w:rPr>
            </w:pPr>
            <w:r w:rsidRPr="00450453">
              <w:rPr>
                <w:rFonts w:ascii="Times New Roman" w:eastAsia="Times New Roman" w:hAnsi="Times New Roman" w:cs="Times New Roman"/>
                <w:b/>
                <w:bCs/>
                <w:color w:val="70AD47"/>
                <w:sz w:val="18"/>
                <w:szCs w:val="18"/>
                <w:lang w:eastAsia="lv-LV"/>
              </w:rPr>
              <w:t>7 947</w:t>
            </w:r>
          </w:p>
        </w:tc>
      </w:tr>
      <w:tr w:rsidR="009A1947" w:rsidRPr="009A1947" w14:paraId="7EB895E3" w14:textId="77777777" w:rsidTr="00450453">
        <w:trPr>
          <w:trHeight w:val="600"/>
        </w:trPr>
        <w:tc>
          <w:tcPr>
            <w:tcW w:w="562" w:type="dxa"/>
            <w:noWrap/>
            <w:hideMark/>
          </w:tcPr>
          <w:p w14:paraId="18D4EC50" w14:textId="77777777" w:rsidR="009A1947" w:rsidRPr="00450453" w:rsidRDefault="009A1947" w:rsidP="00EA36FE">
            <w:pPr>
              <w:jc w:val="right"/>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6.</w:t>
            </w:r>
          </w:p>
        </w:tc>
        <w:tc>
          <w:tcPr>
            <w:tcW w:w="2552" w:type="dxa"/>
            <w:vAlign w:val="center"/>
            <w:hideMark/>
          </w:tcPr>
          <w:p w14:paraId="3B7A82A5" w14:textId="77777777" w:rsidR="009A1947" w:rsidRPr="00450453" w:rsidRDefault="009A1947" w:rsidP="00EA36FE">
            <w:pP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A/S „Rīgas siltums” siltumcentrāle "Imanta"</w:t>
            </w:r>
          </w:p>
        </w:tc>
        <w:tc>
          <w:tcPr>
            <w:tcW w:w="1276" w:type="dxa"/>
            <w:hideMark/>
          </w:tcPr>
          <w:p w14:paraId="65F2B5A7" w14:textId="34661796"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x</w:t>
            </w:r>
            <w:r w:rsidR="00CF16FB">
              <w:rPr>
                <w:rFonts w:ascii="Times New Roman" w:eastAsia="Times New Roman" w:hAnsi="Times New Roman" w:cs="Times New Roman"/>
                <w:color w:val="000000"/>
                <w:sz w:val="18"/>
                <w:szCs w:val="18"/>
                <w:lang w:eastAsia="lv-LV"/>
              </w:rPr>
              <w:t>x</w:t>
            </w:r>
          </w:p>
        </w:tc>
        <w:tc>
          <w:tcPr>
            <w:tcW w:w="992" w:type="dxa"/>
            <w:hideMark/>
          </w:tcPr>
          <w:p w14:paraId="2B2FACF9"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x</w:t>
            </w:r>
          </w:p>
        </w:tc>
        <w:tc>
          <w:tcPr>
            <w:tcW w:w="1417" w:type="dxa"/>
            <w:hideMark/>
          </w:tcPr>
          <w:p w14:paraId="5F0B961C"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 xml:space="preserve">Dabasgāze, </w:t>
            </w:r>
          </w:p>
          <w:p w14:paraId="5A8A9F37"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 xml:space="preserve">Dīzeļdegviela </w:t>
            </w:r>
          </w:p>
        </w:tc>
        <w:tc>
          <w:tcPr>
            <w:tcW w:w="1418" w:type="dxa"/>
            <w:hideMark/>
          </w:tcPr>
          <w:p w14:paraId="130AE22A"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1 239 580</w:t>
            </w:r>
          </w:p>
        </w:tc>
        <w:tc>
          <w:tcPr>
            <w:tcW w:w="1417" w:type="dxa"/>
            <w:hideMark/>
          </w:tcPr>
          <w:p w14:paraId="23932F4A"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889 967</w:t>
            </w:r>
          </w:p>
        </w:tc>
        <w:tc>
          <w:tcPr>
            <w:tcW w:w="1134" w:type="dxa"/>
            <w:hideMark/>
          </w:tcPr>
          <w:p w14:paraId="6089EF0A" w14:textId="77777777" w:rsidR="009A1947" w:rsidRPr="00450453" w:rsidRDefault="009A1947" w:rsidP="00EA36FE">
            <w:pPr>
              <w:jc w:val="center"/>
              <w:rPr>
                <w:rFonts w:ascii="Times New Roman" w:eastAsia="Times New Roman" w:hAnsi="Times New Roman" w:cs="Times New Roman"/>
                <w:b/>
                <w:bCs/>
                <w:color w:val="70AD47"/>
                <w:sz w:val="18"/>
                <w:szCs w:val="18"/>
                <w:lang w:eastAsia="lv-LV"/>
              </w:rPr>
            </w:pPr>
            <w:r w:rsidRPr="00450453">
              <w:rPr>
                <w:rFonts w:ascii="Times New Roman" w:eastAsia="Times New Roman" w:hAnsi="Times New Roman" w:cs="Times New Roman"/>
                <w:b/>
                <w:bCs/>
                <w:color w:val="70AD47"/>
                <w:sz w:val="18"/>
                <w:szCs w:val="18"/>
                <w:lang w:eastAsia="lv-LV"/>
              </w:rPr>
              <w:t>349 613</w:t>
            </w:r>
          </w:p>
        </w:tc>
        <w:tc>
          <w:tcPr>
            <w:tcW w:w="1276" w:type="dxa"/>
            <w:noWrap/>
            <w:hideMark/>
          </w:tcPr>
          <w:p w14:paraId="26A44593"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547 901</w:t>
            </w:r>
          </w:p>
        </w:tc>
        <w:tc>
          <w:tcPr>
            <w:tcW w:w="1276" w:type="dxa"/>
            <w:noWrap/>
            <w:hideMark/>
          </w:tcPr>
          <w:p w14:paraId="070DE44F"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582 247</w:t>
            </w:r>
          </w:p>
        </w:tc>
        <w:tc>
          <w:tcPr>
            <w:tcW w:w="1389" w:type="dxa"/>
            <w:noWrap/>
            <w:hideMark/>
          </w:tcPr>
          <w:p w14:paraId="3AFC5E40"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-34 346</w:t>
            </w:r>
          </w:p>
        </w:tc>
      </w:tr>
      <w:tr w:rsidR="009A1947" w:rsidRPr="009A1947" w14:paraId="5BA904A5" w14:textId="77777777" w:rsidTr="00450453">
        <w:trPr>
          <w:trHeight w:val="499"/>
        </w:trPr>
        <w:tc>
          <w:tcPr>
            <w:tcW w:w="562" w:type="dxa"/>
            <w:noWrap/>
            <w:hideMark/>
          </w:tcPr>
          <w:p w14:paraId="0A5B211A" w14:textId="77777777" w:rsidR="009A1947" w:rsidRPr="00450453" w:rsidRDefault="009A1947" w:rsidP="00EA36FE">
            <w:pPr>
              <w:jc w:val="right"/>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7.</w:t>
            </w:r>
          </w:p>
        </w:tc>
        <w:tc>
          <w:tcPr>
            <w:tcW w:w="2552" w:type="dxa"/>
            <w:vAlign w:val="center"/>
            <w:hideMark/>
          </w:tcPr>
          <w:p w14:paraId="65118AD4" w14:textId="77777777" w:rsidR="009A1947" w:rsidRPr="00450453" w:rsidRDefault="009A1947" w:rsidP="00EA36FE">
            <w:pP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SIA „Krāslavas nami”, Latgales ielā 14, Krāslavā</w:t>
            </w:r>
          </w:p>
        </w:tc>
        <w:tc>
          <w:tcPr>
            <w:tcW w:w="1276" w:type="dxa"/>
            <w:hideMark/>
          </w:tcPr>
          <w:p w14:paraId="6D07E38B"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x</w:t>
            </w:r>
          </w:p>
        </w:tc>
        <w:tc>
          <w:tcPr>
            <w:tcW w:w="992" w:type="dxa"/>
            <w:hideMark/>
          </w:tcPr>
          <w:p w14:paraId="62B1475A"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x</w:t>
            </w:r>
          </w:p>
        </w:tc>
        <w:tc>
          <w:tcPr>
            <w:tcW w:w="1417" w:type="dxa"/>
            <w:hideMark/>
          </w:tcPr>
          <w:p w14:paraId="460B2B46"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Šķelda, skaidas, slānekļa eļļa, mazuts, kūdra, malka</w:t>
            </w:r>
          </w:p>
        </w:tc>
        <w:tc>
          <w:tcPr>
            <w:tcW w:w="1418" w:type="dxa"/>
            <w:hideMark/>
          </w:tcPr>
          <w:p w14:paraId="358805A1"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10 395</w:t>
            </w:r>
          </w:p>
        </w:tc>
        <w:tc>
          <w:tcPr>
            <w:tcW w:w="1417" w:type="dxa"/>
            <w:hideMark/>
          </w:tcPr>
          <w:p w14:paraId="3E4CCC3A"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1 448</w:t>
            </w:r>
          </w:p>
        </w:tc>
        <w:tc>
          <w:tcPr>
            <w:tcW w:w="1134" w:type="dxa"/>
            <w:hideMark/>
          </w:tcPr>
          <w:p w14:paraId="2343A5A3" w14:textId="77777777" w:rsidR="009A1947" w:rsidRPr="00450453" w:rsidRDefault="009A1947" w:rsidP="00EA36FE">
            <w:pPr>
              <w:jc w:val="center"/>
              <w:rPr>
                <w:rFonts w:ascii="Times New Roman" w:eastAsia="Times New Roman" w:hAnsi="Times New Roman" w:cs="Times New Roman"/>
                <w:b/>
                <w:bCs/>
                <w:color w:val="70AD47"/>
                <w:sz w:val="18"/>
                <w:szCs w:val="18"/>
                <w:lang w:eastAsia="lv-LV"/>
              </w:rPr>
            </w:pPr>
            <w:r w:rsidRPr="00450453">
              <w:rPr>
                <w:rFonts w:ascii="Times New Roman" w:eastAsia="Times New Roman" w:hAnsi="Times New Roman" w:cs="Times New Roman"/>
                <w:b/>
                <w:bCs/>
                <w:color w:val="70AD47"/>
                <w:sz w:val="18"/>
                <w:szCs w:val="18"/>
                <w:lang w:eastAsia="lv-LV"/>
              </w:rPr>
              <w:t>8 947</w:t>
            </w:r>
          </w:p>
        </w:tc>
        <w:tc>
          <w:tcPr>
            <w:tcW w:w="1276" w:type="dxa"/>
            <w:noWrap/>
            <w:hideMark/>
          </w:tcPr>
          <w:p w14:paraId="75362C83"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27 410</w:t>
            </w:r>
          </w:p>
        </w:tc>
        <w:tc>
          <w:tcPr>
            <w:tcW w:w="1276" w:type="dxa"/>
            <w:noWrap/>
            <w:hideMark/>
          </w:tcPr>
          <w:p w14:paraId="3A5696AD"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13</w:t>
            </w:r>
          </w:p>
        </w:tc>
        <w:tc>
          <w:tcPr>
            <w:tcW w:w="1389" w:type="dxa"/>
            <w:noWrap/>
            <w:hideMark/>
          </w:tcPr>
          <w:p w14:paraId="26DF32B5" w14:textId="77777777" w:rsidR="009A1947" w:rsidRPr="00450453" w:rsidRDefault="009A1947" w:rsidP="00EA36FE">
            <w:pPr>
              <w:jc w:val="center"/>
              <w:rPr>
                <w:rFonts w:ascii="Times New Roman" w:eastAsia="Times New Roman" w:hAnsi="Times New Roman" w:cs="Times New Roman"/>
                <w:b/>
                <w:bCs/>
                <w:color w:val="70AD47"/>
                <w:sz w:val="18"/>
                <w:szCs w:val="18"/>
                <w:lang w:eastAsia="lv-LV"/>
              </w:rPr>
            </w:pPr>
            <w:r w:rsidRPr="00450453">
              <w:rPr>
                <w:rFonts w:ascii="Times New Roman" w:eastAsia="Times New Roman" w:hAnsi="Times New Roman" w:cs="Times New Roman"/>
                <w:b/>
                <w:bCs/>
                <w:color w:val="70AD47"/>
                <w:sz w:val="18"/>
                <w:szCs w:val="18"/>
                <w:lang w:eastAsia="lv-LV"/>
              </w:rPr>
              <w:t>27 397</w:t>
            </w:r>
          </w:p>
        </w:tc>
      </w:tr>
      <w:tr w:rsidR="009A1947" w:rsidRPr="009A1947" w14:paraId="2CD8F243" w14:textId="77777777" w:rsidTr="00450453">
        <w:trPr>
          <w:trHeight w:val="600"/>
        </w:trPr>
        <w:tc>
          <w:tcPr>
            <w:tcW w:w="562" w:type="dxa"/>
            <w:noWrap/>
            <w:hideMark/>
          </w:tcPr>
          <w:p w14:paraId="7E24254C" w14:textId="77777777" w:rsidR="009A1947" w:rsidRPr="00450453" w:rsidRDefault="009A1947" w:rsidP="00EA36FE">
            <w:pPr>
              <w:jc w:val="right"/>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lastRenderedPageBreak/>
              <w:t>8.</w:t>
            </w:r>
          </w:p>
        </w:tc>
        <w:tc>
          <w:tcPr>
            <w:tcW w:w="2552" w:type="dxa"/>
            <w:vAlign w:val="center"/>
            <w:hideMark/>
          </w:tcPr>
          <w:p w14:paraId="4BB7E260" w14:textId="77777777" w:rsidR="009A1947" w:rsidRPr="00450453" w:rsidRDefault="009A1947" w:rsidP="00EA36FE">
            <w:pP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SIA „</w:t>
            </w:r>
            <w:proofErr w:type="spellStart"/>
            <w:r w:rsidRPr="00450453">
              <w:rPr>
                <w:rFonts w:ascii="Times New Roman" w:eastAsia="Times New Roman" w:hAnsi="Times New Roman" w:cs="Times New Roman"/>
                <w:color w:val="000000"/>
                <w:sz w:val="18"/>
                <w:szCs w:val="18"/>
                <w:lang w:eastAsia="lv-LV"/>
              </w:rPr>
              <w:t>Cēsu</w:t>
            </w:r>
            <w:proofErr w:type="spellEnd"/>
            <w:r w:rsidRPr="00450453">
              <w:rPr>
                <w:rFonts w:ascii="Times New Roman" w:eastAsia="Times New Roman" w:hAnsi="Times New Roman" w:cs="Times New Roman"/>
                <w:color w:val="000000"/>
                <w:sz w:val="18"/>
                <w:szCs w:val="18"/>
                <w:lang w:eastAsia="lv-LV"/>
              </w:rPr>
              <w:t xml:space="preserve"> siltumtīkli”,</w:t>
            </w:r>
            <w:r w:rsidRPr="00450453">
              <w:rPr>
                <w:rFonts w:ascii="Times New Roman" w:eastAsia="Times New Roman" w:hAnsi="Times New Roman" w:cs="Times New Roman"/>
                <w:color w:val="FF0000"/>
                <w:sz w:val="18"/>
                <w:szCs w:val="18"/>
                <w:lang w:eastAsia="lv-LV"/>
              </w:rPr>
              <w:t xml:space="preserve"> </w:t>
            </w:r>
            <w:r w:rsidRPr="00450453">
              <w:rPr>
                <w:rFonts w:ascii="Times New Roman" w:eastAsia="Times New Roman" w:hAnsi="Times New Roman" w:cs="Times New Roman"/>
                <w:sz w:val="18"/>
                <w:szCs w:val="18"/>
                <w:lang w:eastAsia="lv-LV"/>
              </w:rPr>
              <w:t>Rūpniecības iela 13/13A, Cēsis</w:t>
            </w:r>
          </w:p>
        </w:tc>
        <w:tc>
          <w:tcPr>
            <w:tcW w:w="1276" w:type="dxa"/>
            <w:hideMark/>
          </w:tcPr>
          <w:p w14:paraId="687449D3"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x</w:t>
            </w:r>
          </w:p>
        </w:tc>
        <w:tc>
          <w:tcPr>
            <w:tcW w:w="992" w:type="dxa"/>
            <w:hideMark/>
          </w:tcPr>
          <w:p w14:paraId="50411265"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x</w:t>
            </w:r>
          </w:p>
        </w:tc>
        <w:tc>
          <w:tcPr>
            <w:tcW w:w="1417" w:type="dxa"/>
            <w:hideMark/>
          </w:tcPr>
          <w:p w14:paraId="6B6B985C"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Dabasgāze, šķelda</w:t>
            </w:r>
          </w:p>
        </w:tc>
        <w:tc>
          <w:tcPr>
            <w:tcW w:w="1418" w:type="dxa"/>
            <w:hideMark/>
          </w:tcPr>
          <w:p w14:paraId="19C1024D"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76 735</w:t>
            </w:r>
          </w:p>
        </w:tc>
        <w:tc>
          <w:tcPr>
            <w:tcW w:w="1417" w:type="dxa"/>
            <w:hideMark/>
          </w:tcPr>
          <w:p w14:paraId="1C8207A3"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59 049</w:t>
            </w:r>
          </w:p>
        </w:tc>
        <w:tc>
          <w:tcPr>
            <w:tcW w:w="1134" w:type="dxa"/>
            <w:hideMark/>
          </w:tcPr>
          <w:p w14:paraId="436BAC84" w14:textId="77777777" w:rsidR="009A1947" w:rsidRPr="00450453" w:rsidRDefault="009A1947" w:rsidP="00EA36FE">
            <w:pPr>
              <w:jc w:val="center"/>
              <w:rPr>
                <w:rFonts w:ascii="Times New Roman" w:eastAsia="Times New Roman" w:hAnsi="Times New Roman" w:cs="Times New Roman"/>
                <w:b/>
                <w:bCs/>
                <w:color w:val="70AD47"/>
                <w:sz w:val="18"/>
                <w:szCs w:val="18"/>
                <w:lang w:eastAsia="lv-LV"/>
              </w:rPr>
            </w:pPr>
            <w:r w:rsidRPr="00450453">
              <w:rPr>
                <w:rFonts w:ascii="Times New Roman" w:eastAsia="Times New Roman" w:hAnsi="Times New Roman" w:cs="Times New Roman"/>
                <w:b/>
                <w:bCs/>
                <w:color w:val="70AD47"/>
                <w:sz w:val="18"/>
                <w:szCs w:val="18"/>
                <w:lang w:eastAsia="lv-LV"/>
              </w:rPr>
              <w:t>17 686</w:t>
            </w:r>
          </w:p>
        </w:tc>
        <w:tc>
          <w:tcPr>
            <w:tcW w:w="1276" w:type="dxa"/>
            <w:noWrap/>
            <w:hideMark/>
          </w:tcPr>
          <w:p w14:paraId="14C6158E"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41 188</w:t>
            </w:r>
          </w:p>
        </w:tc>
        <w:tc>
          <w:tcPr>
            <w:tcW w:w="1276" w:type="dxa"/>
            <w:noWrap/>
            <w:hideMark/>
          </w:tcPr>
          <w:p w14:paraId="0E3594A6"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7 939</w:t>
            </w:r>
          </w:p>
        </w:tc>
        <w:tc>
          <w:tcPr>
            <w:tcW w:w="1389" w:type="dxa"/>
            <w:noWrap/>
            <w:hideMark/>
          </w:tcPr>
          <w:p w14:paraId="3894504A" w14:textId="77777777" w:rsidR="009A1947" w:rsidRPr="00450453" w:rsidRDefault="009A1947" w:rsidP="00EA36FE">
            <w:pPr>
              <w:jc w:val="center"/>
              <w:rPr>
                <w:rFonts w:ascii="Times New Roman" w:eastAsia="Times New Roman" w:hAnsi="Times New Roman" w:cs="Times New Roman"/>
                <w:b/>
                <w:bCs/>
                <w:color w:val="70AD47"/>
                <w:sz w:val="18"/>
                <w:szCs w:val="18"/>
                <w:lang w:eastAsia="lv-LV"/>
              </w:rPr>
            </w:pPr>
            <w:r w:rsidRPr="00450453">
              <w:rPr>
                <w:rFonts w:ascii="Times New Roman" w:eastAsia="Times New Roman" w:hAnsi="Times New Roman" w:cs="Times New Roman"/>
                <w:b/>
                <w:bCs/>
                <w:color w:val="70AD47"/>
                <w:sz w:val="18"/>
                <w:szCs w:val="18"/>
                <w:lang w:eastAsia="lv-LV"/>
              </w:rPr>
              <w:t>33 249</w:t>
            </w:r>
          </w:p>
        </w:tc>
      </w:tr>
      <w:tr w:rsidR="009A1947" w:rsidRPr="009A1947" w14:paraId="53E8D437" w14:textId="77777777" w:rsidTr="00450453">
        <w:trPr>
          <w:trHeight w:val="600"/>
        </w:trPr>
        <w:tc>
          <w:tcPr>
            <w:tcW w:w="562" w:type="dxa"/>
            <w:noWrap/>
            <w:hideMark/>
          </w:tcPr>
          <w:p w14:paraId="19D2C3D7" w14:textId="77777777" w:rsidR="009A1947" w:rsidRPr="00450453" w:rsidRDefault="009A1947" w:rsidP="00EA36FE">
            <w:pPr>
              <w:jc w:val="right"/>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9.</w:t>
            </w:r>
          </w:p>
        </w:tc>
        <w:tc>
          <w:tcPr>
            <w:tcW w:w="2552" w:type="dxa"/>
            <w:vAlign w:val="center"/>
            <w:hideMark/>
          </w:tcPr>
          <w:p w14:paraId="45AFDE3B" w14:textId="77777777" w:rsidR="009A1947" w:rsidRPr="00450453" w:rsidRDefault="009A1947" w:rsidP="00EA36FE">
            <w:pP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PAS „Daugavpils siltumtīkli” SC-1, 18.novembra iela 2, Daugavpils</w:t>
            </w:r>
          </w:p>
        </w:tc>
        <w:tc>
          <w:tcPr>
            <w:tcW w:w="1276" w:type="dxa"/>
            <w:hideMark/>
          </w:tcPr>
          <w:p w14:paraId="06ED5015"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x</w:t>
            </w:r>
          </w:p>
        </w:tc>
        <w:tc>
          <w:tcPr>
            <w:tcW w:w="992" w:type="dxa"/>
            <w:hideMark/>
          </w:tcPr>
          <w:p w14:paraId="5925F684"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x</w:t>
            </w:r>
          </w:p>
        </w:tc>
        <w:tc>
          <w:tcPr>
            <w:tcW w:w="1417" w:type="dxa"/>
            <w:hideMark/>
          </w:tcPr>
          <w:p w14:paraId="206F0B55"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Dabasgāze, mazuts</w:t>
            </w:r>
          </w:p>
        </w:tc>
        <w:tc>
          <w:tcPr>
            <w:tcW w:w="1418" w:type="dxa"/>
            <w:hideMark/>
          </w:tcPr>
          <w:p w14:paraId="5F128C80"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280 035</w:t>
            </w:r>
          </w:p>
        </w:tc>
        <w:tc>
          <w:tcPr>
            <w:tcW w:w="1417" w:type="dxa"/>
            <w:hideMark/>
          </w:tcPr>
          <w:p w14:paraId="65A4F56C"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191 523</w:t>
            </w:r>
          </w:p>
        </w:tc>
        <w:tc>
          <w:tcPr>
            <w:tcW w:w="1134" w:type="dxa"/>
            <w:hideMark/>
          </w:tcPr>
          <w:p w14:paraId="046811CC" w14:textId="77777777" w:rsidR="009A1947" w:rsidRPr="00450453" w:rsidRDefault="009A1947" w:rsidP="00EA36FE">
            <w:pPr>
              <w:jc w:val="center"/>
              <w:rPr>
                <w:rFonts w:ascii="Times New Roman" w:eastAsia="Times New Roman" w:hAnsi="Times New Roman" w:cs="Times New Roman"/>
                <w:b/>
                <w:bCs/>
                <w:color w:val="70AD47"/>
                <w:sz w:val="18"/>
                <w:szCs w:val="18"/>
                <w:lang w:eastAsia="lv-LV"/>
              </w:rPr>
            </w:pPr>
            <w:r w:rsidRPr="00450453">
              <w:rPr>
                <w:rFonts w:ascii="Times New Roman" w:eastAsia="Times New Roman" w:hAnsi="Times New Roman" w:cs="Times New Roman"/>
                <w:b/>
                <w:bCs/>
                <w:color w:val="70AD47"/>
                <w:sz w:val="18"/>
                <w:szCs w:val="18"/>
                <w:lang w:eastAsia="lv-LV"/>
              </w:rPr>
              <w:t>88 512</w:t>
            </w:r>
          </w:p>
        </w:tc>
        <w:tc>
          <w:tcPr>
            <w:tcW w:w="1276" w:type="dxa"/>
            <w:noWrap/>
            <w:hideMark/>
          </w:tcPr>
          <w:p w14:paraId="277F5F41"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95 148</w:t>
            </w:r>
          </w:p>
        </w:tc>
        <w:tc>
          <w:tcPr>
            <w:tcW w:w="1276" w:type="dxa"/>
            <w:noWrap/>
            <w:hideMark/>
          </w:tcPr>
          <w:p w14:paraId="5C761787"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125 775</w:t>
            </w:r>
          </w:p>
        </w:tc>
        <w:tc>
          <w:tcPr>
            <w:tcW w:w="1389" w:type="dxa"/>
            <w:noWrap/>
            <w:hideMark/>
          </w:tcPr>
          <w:p w14:paraId="39718ADB"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-30 627</w:t>
            </w:r>
          </w:p>
        </w:tc>
      </w:tr>
      <w:tr w:rsidR="009A1947" w:rsidRPr="009A1947" w14:paraId="30F6441A" w14:textId="77777777" w:rsidTr="00450453">
        <w:trPr>
          <w:trHeight w:val="915"/>
        </w:trPr>
        <w:tc>
          <w:tcPr>
            <w:tcW w:w="562" w:type="dxa"/>
            <w:noWrap/>
            <w:hideMark/>
          </w:tcPr>
          <w:p w14:paraId="262227F6" w14:textId="77777777" w:rsidR="009A1947" w:rsidRPr="00450453" w:rsidRDefault="009A1947" w:rsidP="00EA36FE">
            <w:pPr>
              <w:jc w:val="right"/>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10.</w:t>
            </w:r>
          </w:p>
        </w:tc>
        <w:tc>
          <w:tcPr>
            <w:tcW w:w="2552" w:type="dxa"/>
            <w:vAlign w:val="center"/>
            <w:hideMark/>
          </w:tcPr>
          <w:p w14:paraId="0763C404" w14:textId="77777777" w:rsidR="009A1947" w:rsidRPr="00450453" w:rsidRDefault="009A1947" w:rsidP="00EA36FE">
            <w:pP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SIA „Jēkabpils siltums”, Tvaika iela 4, Jēkabpilī</w:t>
            </w:r>
          </w:p>
        </w:tc>
        <w:tc>
          <w:tcPr>
            <w:tcW w:w="1276" w:type="dxa"/>
            <w:hideMark/>
          </w:tcPr>
          <w:p w14:paraId="1963710C"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x</w:t>
            </w:r>
          </w:p>
        </w:tc>
        <w:tc>
          <w:tcPr>
            <w:tcW w:w="992" w:type="dxa"/>
            <w:hideMark/>
          </w:tcPr>
          <w:p w14:paraId="16F4978D"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sz w:val="18"/>
                <w:szCs w:val="18"/>
                <w:lang w:eastAsia="lv-LV"/>
              </w:rPr>
              <w:t>x</w:t>
            </w:r>
          </w:p>
        </w:tc>
        <w:tc>
          <w:tcPr>
            <w:tcW w:w="1417" w:type="dxa"/>
            <w:hideMark/>
          </w:tcPr>
          <w:p w14:paraId="4066CCEC"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 xml:space="preserve">Dabasgāze, koksnes šķelda un zāģu skaidas, dīzeļdegviela </w:t>
            </w:r>
          </w:p>
        </w:tc>
        <w:tc>
          <w:tcPr>
            <w:tcW w:w="1418" w:type="dxa"/>
            <w:hideMark/>
          </w:tcPr>
          <w:p w14:paraId="42D04543"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38 325</w:t>
            </w:r>
          </w:p>
        </w:tc>
        <w:tc>
          <w:tcPr>
            <w:tcW w:w="1417" w:type="dxa"/>
            <w:hideMark/>
          </w:tcPr>
          <w:p w14:paraId="4AFDF8C6"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20 231</w:t>
            </w:r>
          </w:p>
        </w:tc>
        <w:tc>
          <w:tcPr>
            <w:tcW w:w="1134" w:type="dxa"/>
            <w:hideMark/>
          </w:tcPr>
          <w:p w14:paraId="0C3DB12E" w14:textId="77777777" w:rsidR="009A1947" w:rsidRPr="00450453" w:rsidRDefault="009A1947" w:rsidP="00EA36FE">
            <w:pPr>
              <w:jc w:val="center"/>
              <w:rPr>
                <w:rFonts w:ascii="Times New Roman" w:eastAsia="Times New Roman" w:hAnsi="Times New Roman" w:cs="Times New Roman"/>
                <w:b/>
                <w:bCs/>
                <w:color w:val="70AD47"/>
                <w:sz w:val="18"/>
                <w:szCs w:val="18"/>
                <w:lang w:eastAsia="lv-LV"/>
              </w:rPr>
            </w:pPr>
            <w:r w:rsidRPr="00450453">
              <w:rPr>
                <w:rFonts w:ascii="Times New Roman" w:eastAsia="Times New Roman" w:hAnsi="Times New Roman" w:cs="Times New Roman"/>
                <w:b/>
                <w:bCs/>
                <w:color w:val="70AD47"/>
                <w:sz w:val="18"/>
                <w:szCs w:val="18"/>
                <w:lang w:eastAsia="lv-LV"/>
              </w:rPr>
              <w:t>18 094</w:t>
            </w:r>
          </w:p>
        </w:tc>
        <w:tc>
          <w:tcPr>
            <w:tcW w:w="1276" w:type="dxa"/>
            <w:noWrap/>
            <w:hideMark/>
          </w:tcPr>
          <w:p w14:paraId="35C2DEBE"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38 845</w:t>
            </w:r>
          </w:p>
        </w:tc>
        <w:tc>
          <w:tcPr>
            <w:tcW w:w="1276" w:type="dxa"/>
            <w:noWrap/>
            <w:hideMark/>
          </w:tcPr>
          <w:p w14:paraId="0FE7FF3C"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5 943</w:t>
            </w:r>
          </w:p>
        </w:tc>
        <w:tc>
          <w:tcPr>
            <w:tcW w:w="1389" w:type="dxa"/>
            <w:noWrap/>
            <w:hideMark/>
          </w:tcPr>
          <w:p w14:paraId="52375CF7" w14:textId="77777777" w:rsidR="009A1947" w:rsidRPr="00450453" w:rsidRDefault="009A1947" w:rsidP="00EA36FE">
            <w:pPr>
              <w:jc w:val="center"/>
              <w:rPr>
                <w:rFonts w:ascii="Times New Roman" w:eastAsia="Times New Roman" w:hAnsi="Times New Roman" w:cs="Times New Roman"/>
                <w:b/>
                <w:bCs/>
                <w:color w:val="70AD47"/>
                <w:sz w:val="18"/>
                <w:szCs w:val="18"/>
                <w:lang w:eastAsia="lv-LV"/>
              </w:rPr>
            </w:pPr>
            <w:r w:rsidRPr="00450453">
              <w:rPr>
                <w:rFonts w:ascii="Times New Roman" w:eastAsia="Times New Roman" w:hAnsi="Times New Roman" w:cs="Times New Roman"/>
                <w:b/>
                <w:bCs/>
                <w:color w:val="70AD47"/>
                <w:sz w:val="18"/>
                <w:szCs w:val="18"/>
                <w:lang w:eastAsia="lv-LV"/>
              </w:rPr>
              <w:t>32 902</w:t>
            </w:r>
          </w:p>
        </w:tc>
      </w:tr>
      <w:tr w:rsidR="009A1947" w:rsidRPr="009A1947" w14:paraId="27A9FC2F" w14:textId="77777777" w:rsidTr="00450453">
        <w:trPr>
          <w:trHeight w:val="600"/>
        </w:trPr>
        <w:tc>
          <w:tcPr>
            <w:tcW w:w="562" w:type="dxa"/>
            <w:noWrap/>
            <w:hideMark/>
          </w:tcPr>
          <w:p w14:paraId="729F6126" w14:textId="77777777" w:rsidR="009A1947" w:rsidRPr="00450453" w:rsidRDefault="009A1947" w:rsidP="00EA36FE">
            <w:pPr>
              <w:jc w:val="right"/>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11.</w:t>
            </w:r>
          </w:p>
        </w:tc>
        <w:tc>
          <w:tcPr>
            <w:tcW w:w="2552" w:type="dxa"/>
            <w:vAlign w:val="center"/>
            <w:hideMark/>
          </w:tcPr>
          <w:p w14:paraId="675EE87C" w14:textId="77777777" w:rsidR="009A1947" w:rsidRPr="00450453" w:rsidRDefault="009A1947" w:rsidP="00EA36FE">
            <w:pP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SIA "Liepājas enerģija" Tukuma ielā 2A, Liepājā</w:t>
            </w:r>
          </w:p>
        </w:tc>
        <w:tc>
          <w:tcPr>
            <w:tcW w:w="1276" w:type="dxa"/>
            <w:hideMark/>
          </w:tcPr>
          <w:p w14:paraId="3F09DCA6"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x</w:t>
            </w:r>
          </w:p>
        </w:tc>
        <w:tc>
          <w:tcPr>
            <w:tcW w:w="992" w:type="dxa"/>
            <w:hideMark/>
          </w:tcPr>
          <w:p w14:paraId="7862B2F4"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sz w:val="18"/>
                <w:szCs w:val="18"/>
                <w:lang w:eastAsia="lv-LV"/>
              </w:rPr>
              <w:t>x</w:t>
            </w:r>
          </w:p>
        </w:tc>
        <w:tc>
          <w:tcPr>
            <w:tcW w:w="1417" w:type="dxa"/>
            <w:hideMark/>
          </w:tcPr>
          <w:p w14:paraId="7D7834FF"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Dabasgāze</w:t>
            </w:r>
          </w:p>
        </w:tc>
        <w:tc>
          <w:tcPr>
            <w:tcW w:w="1418" w:type="dxa"/>
            <w:hideMark/>
          </w:tcPr>
          <w:p w14:paraId="07960C4F"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38 725</w:t>
            </w:r>
          </w:p>
        </w:tc>
        <w:tc>
          <w:tcPr>
            <w:tcW w:w="1417" w:type="dxa"/>
            <w:hideMark/>
          </w:tcPr>
          <w:p w14:paraId="2262D4F2"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106 351</w:t>
            </w:r>
          </w:p>
        </w:tc>
        <w:tc>
          <w:tcPr>
            <w:tcW w:w="1134" w:type="dxa"/>
            <w:hideMark/>
          </w:tcPr>
          <w:p w14:paraId="448FFBC4"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-67 626</w:t>
            </w:r>
          </w:p>
        </w:tc>
        <w:tc>
          <w:tcPr>
            <w:tcW w:w="1276" w:type="dxa"/>
            <w:noWrap/>
            <w:hideMark/>
          </w:tcPr>
          <w:p w14:paraId="62BA5C5A"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47 665</w:t>
            </w:r>
          </w:p>
        </w:tc>
        <w:tc>
          <w:tcPr>
            <w:tcW w:w="1276" w:type="dxa"/>
            <w:noWrap/>
            <w:hideMark/>
          </w:tcPr>
          <w:p w14:paraId="2275D3D8"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85 873</w:t>
            </w:r>
          </w:p>
        </w:tc>
        <w:tc>
          <w:tcPr>
            <w:tcW w:w="1389" w:type="dxa"/>
            <w:noWrap/>
            <w:hideMark/>
          </w:tcPr>
          <w:p w14:paraId="1D4CD592"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-38 208</w:t>
            </w:r>
          </w:p>
        </w:tc>
      </w:tr>
      <w:tr w:rsidR="009A1947" w:rsidRPr="009A1947" w14:paraId="7344C95E" w14:textId="77777777" w:rsidTr="009A1947">
        <w:trPr>
          <w:trHeight w:val="600"/>
        </w:trPr>
        <w:tc>
          <w:tcPr>
            <w:tcW w:w="562" w:type="dxa"/>
            <w:noWrap/>
            <w:hideMark/>
          </w:tcPr>
          <w:p w14:paraId="3F3C6F1E" w14:textId="77777777" w:rsidR="009A1947" w:rsidRPr="00450453" w:rsidRDefault="009A1947" w:rsidP="00EA36FE">
            <w:pPr>
              <w:jc w:val="right"/>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12.</w:t>
            </w:r>
          </w:p>
        </w:tc>
        <w:tc>
          <w:tcPr>
            <w:tcW w:w="2552" w:type="dxa"/>
            <w:vAlign w:val="center"/>
            <w:hideMark/>
          </w:tcPr>
          <w:p w14:paraId="0C7F95C9" w14:textId="77777777" w:rsidR="009A1947" w:rsidRPr="00450453" w:rsidRDefault="009A1947" w:rsidP="00EA36FE">
            <w:pP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SIA "Liepājas enerģija" Kaiju ielā 33, Liepājā</w:t>
            </w:r>
          </w:p>
        </w:tc>
        <w:tc>
          <w:tcPr>
            <w:tcW w:w="1276" w:type="dxa"/>
            <w:hideMark/>
          </w:tcPr>
          <w:p w14:paraId="15A2093A"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x</w:t>
            </w:r>
          </w:p>
        </w:tc>
        <w:tc>
          <w:tcPr>
            <w:tcW w:w="992" w:type="dxa"/>
            <w:hideMark/>
          </w:tcPr>
          <w:p w14:paraId="0448BB4F"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x</w:t>
            </w:r>
          </w:p>
        </w:tc>
        <w:tc>
          <w:tcPr>
            <w:tcW w:w="1417" w:type="dxa"/>
          </w:tcPr>
          <w:p w14:paraId="754672E1"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Dabasgāze, koksnes šķelda</w:t>
            </w:r>
          </w:p>
        </w:tc>
        <w:tc>
          <w:tcPr>
            <w:tcW w:w="1418" w:type="dxa"/>
            <w:hideMark/>
          </w:tcPr>
          <w:p w14:paraId="2AB20FE2"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516 390</w:t>
            </w:r>
          </w:p>
        </w:tc>
        <w:tc>
          <w:tcPr>
            <w:tcW w:w="1417" w:type="dxa"/>
            <w:hideMark/>
          </w:tcPr>
          <w:p w14:paraId="0C182B8B"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168 203</w:t>
            </w:r>
          </w:p>
        </w:tc>
        <w:tc>
          <w:tcPr>
            <w:tcW w:w="1134" w:type="dxa"/>
            <w:hideMark/>
          </w:tcPr>
          <w:p w14:paraId="164B3031" w14:textId="77777777" w:rsidR="009A1947" w:rsidRPr="00450453" w:rsidRDefault="009A1947" w:rsidP="00EA36FE">
            <w:pPr>
              <w:jc w:val="center"/>
              <w:rPr>
                <w:rFonts w:ascii="Times New Roman" w:eastAsia="Times New Roman" w:hAnsi="Times New Roman" w:cs="Times New Roman"/>
                <w:b/>
                <w:bCs/>
                <w:color w:val="70AD47"/>
                <w:sz w:val="18"/>
                <w:szCs w:val="18"/>
                <w:lang w:eastAsia="lv-LV"/>
              </w:rPr>
            </w:pPr>
            <w:r w:rsidRPr="00450453">
              <w:rPr>
                <w:rFonts w:ascii="Times New Roman" w:eastAsia="Times New Roman" w:hAnsi="Times New Roman" w:cs="Times New Roman"/>
                <w:b/>
                <w:bCs/>
                <w:color w:val="70AD47"/>
                <w:sz w:val="18"/>
                <w:szCs w:val="18"/>
                <w:lang w:eastAsia="lv-LV"/>
              </w:rPr>
              <w:t>348 187</w:t>
            </w:r>
          </w:p>
        </w:tc>
        <w:tc>
          <w:tcPr>
            <w:tcW w:w="1276" w:type="dxa"/>
            <w:noWrap/>
            <w:hideMark/>
          </w:tcPr>
          <w:p w14:paraId="5D848038"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92 686</w:t>
            </w:r>
          </w:p>
        </w:tc>
        <w:tc>
          <w:tcPr>
            <w:tcW w:w="1276" w:type="dxa"/>
            <w:noWrap/>
            <w:hideMark/>
          </w:tcPr>
          <w:p w14:paraId="3F37DBEE"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9 826</w:t>
            </w:r>
          </w:p>
        </w:tc>
        <w:tc>
          <w:tcPr>
            <w:tcW w:w="1389" w:type="dxa"/>
            <w:noWrap/>
            <w:hideMark/>
          </w:tcPr>
          <w:p w14:paraId="5CFD0F67" w14:textId="77777777" w:rsidR="009A1947" w:rsidRPr="00450453" w:rsidRDefault="009A1947" w:rsidP="00EA36FE">
            <w:pPr>
              <w:jc w:val="center"/>
              <w:rPr>
                <w:rFonts w:ascii="Times New Roman" w:eastAsia="Times New Roman" w:hAnsi="Times New Roman" w:cs="Times New Roman"/>
                <w:b/>
                <w:bCs/>
                <w:color w:val="70AD47"/>
                <w:sz w:val="18"/>
                <w:szCs w:val="18"/>
                <w:lang w:eastAsia="lv-LV"/>
              </w:rPr>
            </w:pPr>
            <w:r w:rsidRPr="00450453">
              <w:rPr>
                <w:rFonts w:ascii="Times New Roman" w:eastAsia="Times New Roman" w:hAnsi="Times New Roman" w:cs="Times New Roman"/>
                <w:b/>
                <w:bCs/>
                <w:color w:val="70AD47"/>
                <w:sz w:val="18"/>
                <w:szCs w:val="18"/>
                <w:lang w:eastAsia="lv-LV"/>
              </w:rPr>
              <w:t>82 860</w:t>
            </w:r>
          </w:p>
        </w:tc>
      </w:tr>
      <w:tr w:rsidR="009A1947" w:rsidRPr="009A1947" w14:paraId="2BDD42FC" w14:textId="77777777" w:rsidTr="00450453">
        <w:trPr>
          <w:trHeight w:val="538"/>
        </w:trPr>
        <w:tc>
          <w:tcPr>
            <w:tcW w:w="562" w:type="dxa"/>
            <w:noWrap/>
            <w:hideMark/>
          </w:tcPr>
          <w:p w14:paraId="30EE0B05" w14:textId="77777777" w:rsidR="009A1947" w:rsidRPr="00450453" w:rsidRDefault="009A1947" w:rsidP="00EA36FE">
            <w:pPr>
              <w:jc w:val="right"/>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13.</w:t>
            </w:r>
          </w:p>
        </w:tc>
        <w:tc>
          <w:tcPr>
            <w:tcW w:w="2552" w:type="dxa"/>
            <w:vAlign w:val="center"/>
            <w:hideMark/>
          </w:tcPr>
          <w:p w14:paraId="372979A3" w14:textId="77777777" w:rsidR="009A1947" w:rsidRPr="00450453" w:rsidRDefault="009A1947" w:rsidP="00EA36FE">
            <w:pP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SIA „Juglas jauda”, Mārkalnes ielā 1A, Rīgā</w:t>
            </w:r>
          </w:p>
        </w:tc>
        <w:tc>
          <w:tcPr>
            <w:tcW w:w="1276" w:type="dxa"/>
            <w:hideMark/>
          </w:tcPr>
          <w:p w14:paraId="4D2C2C3E" w14:textId="4BA3A4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x</w:t>
            </w:r>
            <w:r w:rsidR="00CF16FB">
              <w:rPr>
                <w:rFonts w:ascii="Times New Roman" w:eastAsia="Times New Roman" w:hAnsi="Times New Roman" w:cs="Times New Roman"/>
                <w:color w:val="000000"/>
                <w:sz w:val="18"/>
                <w:szCs w:val="18"/>
                <w:lang w:eastAsia="lv-LV"/>
              </w:rPr>
              <w:t>x</w:t>
            </w:r>
          </w:p>
        </w:tc>
        <w:tc>
          <w:tcPr>
            <w:tcW w:w="992" w:type="dxa"/>
            <w:hideMark/>
          </w:tcPr>
          <w:p w14:paraId="32AA320C"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x</w:t>
            </w:r>
          </w:p>
        </w:tc>
        <w:tc>
          <w:tcPr>
            <w:tcW w:w="1417" w:type="dxa"/>
          </w:tcPr>
          <w:p w14:paraId="464EC2F0"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Dabasgāze</w:t>
            </w:r>
          </w:p>
        </w:tc>
        <w:tc>
          <w:tcPr>
            <w:tcW w:w="1418" w:type="dxa"/>
            <w:hideMark/>
          </w:tcPr>
          <w:p w14:paraId="56993D17"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165 438</w:t>
            </w:r>
          </w:p>
        </w:tc>
        <w:tc>
          <w:tcPr>
            <w:tcW w:w="1417" w:type="dxa"/>
            <w:hideMark/>
          </w:tcPr>
          <w:p w14:paraId="4FC97545"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105 989</w:t>
            </w:r>
          </w:p>
        </w:tc>
        <w:tc>
          <w:tcPr>
            <w:tcW w:w="1134" w:type="dxa"/>
            <w:hideMark/>
          </w:tcPr>
          <w:p w14:paraId="7EA4B0B4" w14:textId="77777777" w:rsidR="009A1947" w:rsidRPr="00450453" w:rsidRDefault="009A1947" w:rsidP="00EA36FE">
            <w:pPr>
              <w:jc w:val="center"/>
              <w:rPr>
                <w:rFonts w:ascii="Times New Roman" w:eastAsia="Times New Roman" w:hAnsi="Times New Roman" w:cs="Times New Roman"/>
                <w:b/>
                <w:bCs/>
                <w:color w:val="70AD47"/>
                <w:sz w:val="18"/>
                <w:szCs w:val="18"/>
                <w:lang w:eastAsia="lv-LV"/>
              </w:rPr>
            </w:pPr>
            <w:r w:rsidRPr="00450453">
              <w:rPr>
                <w:rFonts w:ascii="Times New Roman" w:eastAsia="Times New Roman" w:hAnsi="Times New Roman" w:cs="Times New Roman"/>
                <w:b/>
                <w:bCs/>
                <w:color w:val="70AD47"/>
                <w:sz w:val="18"/>
                <w:szCs w:val="18"/>
                <w:lang w:eastAsia="lv-LV"/>
              </w:rPr>
              <w:t>59 449</w:t>
            </w:r>
          </w:p>
        </w:tc>
        <w:tc>
          <w:tcPr>
            <w:tcW w:w="1276" w:type="dxa"/>
            <w:noWrap/>
            <w:hideMark/>
          </w:tcPr>
          <w:p w14:paraId="0F1BE507"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53 160</w:t>
            </w:r>
          </w:p>
        </w:tc>
        <w:tc>
          <w:tcPr>
            <w:tcW w:w="1276" w:type="dxa"/>
            <w:noWrap/>
            <w:hideMark/>
          </w:tcPr>
          <w:p w14:paraId="3C2DE5EE"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60 461</w:t>
            </w:r>
          </w:p>
        </w:tc>
        <w:tc>
          <w:tcPr>
            <w:tcW w:w="1389" w:type="dxa"/>
            <w:noWrap/>
            <w:hideMark/>
          </w:tcPr>
          <w:p w14:paraId="47DAB1A1"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-7 301</w:t>
            </w:r>
          </w:p>
        </w:tc>
      </w:tr>
      <w:tr w:rsidR="009A1947" w:rsidRPr="009A1947" w14:paraId="1B6B7526" w14:textId="77777777" w:rsidTr="00450453">
        <w:trPr>
          <w:trHeight w:val="600"/>
        </w:trPr>
        <w:tc>
          <w:tcPr>
            <w:tcW w:w="562" w:type="dxa"/>
            <w:noWrap/>
            <w:hideMark/>
          </w:tcPr>
          <w:p w14:paraId="625F7AB0" w14:textId="77777777" w:rsidR="009A1947" w:rsidRPr="00450453" w:rsidRDefault="009A1947" w:rsidP="00EA36FE">
            <w:pPr>
              <w:jc w:val="right"/>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14.</w:t>
            </w:r>
          </w:p>
        </w:tc>
        <w:tc>
          <w:tcPr>
            <w:tcW w:w="2552" w:type="dxa"/>
            <w:vAlign w:val="center"/>
            <w:hideMark/>
          </w:tcPr>
          <w:p w14:paraId="03F2942C" w14:textId="77777777" w:rsidR="009A1947" w:rsidRPr="00450453" w:rsidRDefault="009A1947" w:rsidP="00EA36FE">
            <w:pP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A/S "Valmieras Enerģija" Rīgas ielā 25, Valmierā</w:t>
            </w:r>
          </w:p>
        </w:tc>
        <w:tc>
          <w:tcPr>
            <w:tcW w:w="1276" w:type="dxa"/>
            <w:hideMark/>
          </w:tcPr>
          <w:p w14:paraId="0C2B147C"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x</w:t>
            </w:r>
          </w:p>
        </w:tc>
        <w:tc>
          <w:tcPr>
            <w:tcW w:w="992" w:type="dxa"/>
            <w:hideMark/>
          </w:tcPr>
          <w:p w14:paraId="6BBD8ADF"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p>
        </w:tc>
        <w:tc>
          <w:tcPr>
            <w:tcW w:w="1417" w:type="dxa"/>
          </w:tcPr>
          <w:p w14:paraId="61858532"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Dabasgāze</w:t>
            </w:r>
          </w:p>
        </w:tc>
        <w:tc>
          <w:tcPr>
            <w:tcW w:w="1418" w:type="dxa"/>
            <w:hideMark/>
          </w:tcPr>
          <w:p w14:paraId="5A53B67D"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85 055</w:t>
            </w:r>
          </w:p>
        </w:tc>
        <w:tc>
          <w:tcPr>
            <w:tcW w:w="1417" w:type="dxa"/>
            <w:hideMark/>
          </w:tcPr>
          <w:p w14:paraId="588CC5C1"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78 525</w:t>
            </w:r>
          </w:p>
        </w:tc>
        <w:tc>
          <w:tcPr>
            <w:tcW w:w="1134" w:type="dxa"/>
            <w:hideMark/>
          </w:tcPr>
          <w:p w14:paraId="2B8B6FFB" w14:textId="77777777" w:rsidR="009A1947" w:rsidRPr="00450453" w:rsidRDefault="009A1947" w:rsidP="00EA36FE">
            <w:pPr>
              <w:jc w:val="center"/>
              <w:rPr>
                <w:rFonts w:ascii="Times New Roman" w:eastAsia="Times New Roman" w:hAnsi="Times New Roman" w:cs="Times New Roman"/>
                <w:b/>
                <w:bCs/>
                <w:color w:val="70AD47"/>
                <w:sz w:val="18"/>
                <w:szCs w:val="18"/>
                <w:lang w:eastAsia="lv-LV"/>
              </w:rPr>
            </w:pPr>
            <w:r w:rsidRPr="00450453">
              <w:rPr>
                <w:rFonts w:ascii="Times New Roman" w:eastAsia="Times New Roman" w:hAnsi="Times New Roman" w:cs="Times New Roman"/>
                <w:b/>
                <w:bCs/>
                <w:color w:val="70AD47"/>
                <w:sz w:val="18"/>
                <w:szCs w:val="18"/>
                <w:lang w:eastAsia="lv-LV"/>
              </w:rPr>
              <w:t>6 530</w:t>
            </w:r>
          </w:p>
        </w:tc>
        <w:tc>
          <w:tcPr>
            <w:tcW w:w="1276" w:type="dxa"/>
            <w:noWrap/>
            <w:hideMark/>
          </w:tcPr>
          <w:p w14:paraId="1F53B51F"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41 171</w:t>
            </w:r>
          </w:p>
        </w:tc>
        <w:tc>
          <w:tcPr>
            <w:tcW w:w="1276" w:type="dxa"/>
            <w:noWrap/>
            <w:hideMark/>
          </w:tcPr>
          <w:p w14:paraId="69581DEE"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74 077</w:t>
            </w:r>
          </w:p>
        </w:tc>
        <w:tc>
          <w:tcPr>
            <w:tcW w:w="1389" w:type="dxa"/>
            <w:noWrap/>
            <w:hideMark/>
          </w:tcPr>
          <w:p w14:paraId="74813216"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-32 906</w:t>
            </w:r>
          </w:p>
        </w:tc>
      </w:tr>
      <w:tr w:rsidR="009A1947" w:rsidRPr="009A1947" w14:paraId="10FE39E4" w14:textId="77777777" w:rsidTr="00450453">
        <w:trPr>
          <w:trHeight w:val="600"/>
        </w:trPr>
        <w:tc>
          <w:tcPr>
            <w:tcW w:w="562" w:type="dxa"/>
            <w:noWrap/>
            <w:hideMark/>
          </w:tcPr>
          <w:p w14:paraId="0479EFBA" w14:textId="77777777" w:rsidR="009A1947" w:rsidRPr="00450453" w:rsidRDefault="009A1947" w:rsidP="00EA36FE">
            <w:pPr>
              <w:jc w:val="right"/>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15.</w:t>
            </w:r>
          </w:p>
        </w:tc>
        <w:tc>
          <w:tcPr>
            <w:tcW w:w="2552" w:type="dxa"/>
            <w:vAlign w:val="center"/>
            <w:hideMark/>
          </w:tcPr>
          <w:p w14:paraId="54EE5988" w14:textId="77777777" w:rsidR="009A1947" w:rsidRPr="00450453" w:rsidRDefault="009A1947" w:rsidP="00EA36FE">
            <w:pP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A/S "Valmieras Enerģija" Dzelzceļa ielā 7, Valmierā</w:t>
            </w:r>
          </w:p>
        </w:tc>
        <w:tc>
          <w:tcPr>
            <w:tcW w:w="1276" w:type="dxa"/>
            <w:hideMark/>
          </w:tcPr>
          <w:p w14:paraId="56EDA1A1"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x</w:t>
            </w:r>
          </w:p>
        </w:tc>
        <w:tc>
          <w:tcPr>
            <w:tcW w:w="992" w:type="dxa"/>
            <w:hideMark/>
          </w:tcPr>
          <w:p w14:paraId="755E748D"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p>
        </w:tc>
        <w:tc>
          <w:tcPr>
            <w:tcW w:w="1417" w:type="dxa"/>
          </w:tcPr>
          <w:p w14:paraId="43AA47F9"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Šķelda, dabasgāze</w:t>
            </w:r>
          </w:p>
        </w:tc>
        <w:tc>
          <w:tcPr>
            <w:tcW w:w="1418" w:type="dxa"/>
            <w:hideMark/>
          </w:tcPr>
          <w:p w14:paraId="7697F3F2"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74 343</w:t>
            </w:r>
          </w:p>
        </w:tc>
        <w:tc>
          <w:tcPr>
            <w:tcW w:w="1417" w:type="dxa"/>
            <w:hideMark/>
          </w:tcPr>
          <w:p w14:paraId="3E76789C"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61 192</w:t>
            </w:r>
          </w:p>
        </w:tc>
        <w:tc>
          <w:tcPr>
            <w:tcW w:w="1134" w:type="dxa"/>
            <w:hideMark/>
          </w:tcPr>
          <w:p w14:paraId="61FDCF83" w14:textId="77777777" w:rsidR="009A1947" w:rsidRPr="00450453" w:rsidRDefault="009A1947" w:rsidP="00EA36FE">
            <w:pPr>
              <w:jc w:val="center"/>
              <w:rPr>
                <w:rFonts w:ascii="Times New Roman" w:eastAsia="Times New Roman" w:hAnsi="Times New Roman" w:cs="Times New Roman"/>
                <w:b/>
                <w:bCs/>
                <w:color w:val="70AD47"/>
                <w:sz w:val="18"/>
                <w:szCs w:val="18"/>
                <w:lang w:eastAsia="lv-LV"/>
              </w:rPr>
            </w:pPr>
            <w:r w:rsidRPr="00450453">
              <w:rPr>
                <w:rFonts w:ascii="Times New Roman" w:eastAsia="Times New Roman" w:hAnsi="Times New Roman" w:cs="Times New Roman"/>
                <w:b/>
                <w:bCs/>
                <w:color w:val="70AD47"/>
                <w:sz w:val="18"/>
                <w:szCs w:val="18"/>
                <w:lang w:eastAsia="lv-LV"/>
              </w:rPr>
              <w:t>13 151</w:t>
            </w:r>
          </w:p>
        </w:tc>
        <w:tc>
          <w:tcPr>
            <w:tcW w:w="1276" w:type="dxa"/>
            <w:noWrap/>
            <w:hideMark/>
          </w:tcPr>
          <w:p w14:paraId="610EC26F"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40 279</w:t>
            </w:r>
          </w:p>
        </w:tc>
        <w:tc>
          <w:tcPr>
            <w:tcW w:w="1276" w:type="dxa"/>
            <w:noWrap/>
            <w:hideMark/>
          </w:tcPr>
          <w:p w14:paraId="0E46011B"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46 549</w:t>
            </w:r>
          </w:p>
        </w:tc>
        <w:tc>
          <w:tcPr>
            <w:tcW w:w="1389" w:type="dxa"/>
            <w:noWrap/>
            <w:hideMark/>
          </w:tcPr>
          <w:p w14:paraId="2EA5280D"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-6 270</w:t>
            </w:r>
          </w:p>
        </w:tc>
      </w:tr>
      <w:tr w:rsidR="009A1947" w:rsidRPr="009A1947" w14:paraId="7052F9A8" w14:textId="77777777" w:rsidTr="009A1947">
        <w:trPr>
          <w:trHeight w:val="900"/>
        </w:trPr>
        <w:tc>
          <w:tcPr>
            <w:tcW w:w="562" w:type="dxa"/>
            <w:noWrap/>
            <w:hideMark/>
          </w:tcPr>
          <w:p w14:paraId="03FF9807" w14:textId="77777777" w:rsidR="009A1947" w:rsidRPr="00450453" w:rsidRDefault="009A1947" w:rsidP="00EA36FE">
            <w:pPr>
              <w:jc w:val="right"/>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16.</w:t>
            </w:r>
          </w:p>
        </w:tc>
        <w:tc>
          <w:tcPr>
            <w:tcW w:w="2552" w:type="dxa"/>
            <w:vAlign w:val="center"/>
            <w:hideMark/>
          </w:tcPr>
          <w:p w14:paraId="7F7800DB" w14:textId="77777777" w:rsidR="009A1947" w:rsidRPr="00450453" w:rsidRDefault="009A1947" w:rsidP="00EA36FE">
            <w:pP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SIA "</w:t>
            </w:r>
            <w:proofErr w:type="spellStart"/>
            <w:r w:rsidRPr="00450453">
              <w:rPr>
                <w:rFonts w:ascii="Times New Roman" w:eastAsia="Times New Roman" w:hAnsi="Times New Roman" w:cs="Times New Roman"/>
                <w:color w:val="000000"/>
                <w:sz w:val="18"/>
                <w:szCs w:val="18"/>
                <w:lang w:eastAsia="lv-LV"/>
              </w:rPr>
              <w:t>Fortum</w:t>
            </w:r>
            <w:proofErr w:type="spellEnd"/>
            <w:r w:rsidRPr="00450453">
              <w:rPr>
                <w:rFonts w:ascii="Times New Roman" w:eastAsia="Times New Roman" w:hAnsi="Times New Roman" w:cs="Times New Roman"/>
                <w:color w:val="000000"/>
                <w:sz w:val="18"/>
                <w:szCs w:val="18"/>
                <w:lang w:eastAsia="lv-LV"/>
              </w:rPr>
              <w:t xml:space="preserve"> Latvia” Koģenerācijas stacija, Rūpniecības iela 73A, Jelgava</w:t>
            </w:r>
          </w:p>
        </w:tc>
        <w:tc>
          <w:tcPr>
            <w:tcW w:w="1276" w:type="dxa"/>
            <w:hideMark/>
          </w:tcPr>
          <w:p w14:paraId="39C5DA3A" w14:textId="5FE9544D"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x</w:t>
            </w:r>
            <w:r w:rsidR="00CF16FB">
              <w:rPr>
                <w:rFonts w:ascii="Times New Roman" w:eastAsia="Times New Roman" w:hAnsi="Times New Roman" w:cs="Times New Roman"/>
                <w:color w:val="000000"/>
                <w:sz w:val="18"/>
                <w:szCs w:val="18"/>
                <w:lang w:eastAsia="lv-LV"/>
              </w:rPr>
              <w:t>x</w:t>
            </w:r>
          </w:p>
        </w:tc>
        <w:tc>
          <w:tcPr>
            <w:tcW w:w="992" w:type="dxa"/>
            <w:hideMark/>
          </w:tcPr>
          <w:p w14:paraId="7651C8E5"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x</w:t>
            </w:r>
          </w:p>
        </w:tc>
        <w:tc>
          <w:tcPr>
            <w:tcW w:w="1417" w:type="dxa"/>
            <w:hideMark/>
          </w:tcPr>
          <w:p w14:paraId="3A94F3A0"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Šķelda, kūdra, dabasgāze</w:t>
            </w:r>
          </w:p>
        </w:tc>
        <w:tc>
          <w:tcPr>
            <w:tcW w:w="1418" w:type="dxa"/>
            <w:hideMark/>
          </w:tcPr>
          <w:p w14:paraId="7F531378"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57 705</w:t>
            </w:r>
          </w:p>
        </w:tc>
        <w:tc>
          <w:tcPr>
            <w:tcW w:w="1417" w:type="dxa"/>
            <w:hideMark/>
          </w:tcPr>
          <w:p w14:paraId="311ED456"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16 141</w:t>
            </w:r>
          </w:p>
        </w:tc>
        <w:tc>
          <w:tcPr>
            <w:tcW w:w="1134" w:type="dxa"/>
            <w:hideMark/>
          </w:tcPr>
          <w:p w14:paraId="06C4B6E5" w14:textId="77777777" w:rsidR="009A1947" w:rsidRPr="00450453" w:rsidRDefault="009A1947" w:rsidP="00EA36FE">
            <w:pPr>
              <w:jc w:val="center"/>
              <w:rPr>
                <w:rFonts w:ascii="Times New Roman" w:eastAsia="Times New Roman" w:hAnsi="Times New Roman" w:cs="Times New Roman"/>
                <w:b/>
                <w:bCs/>
                <w:color w:val="70AD47"/>
                <w:sz w:val="18"/>
                <w:szCs w:val="18"/>
                <w:lang w:eastAsia="lv-LV"/>
              </w:rPr>
            </w:pPr>
            <w:r w:rsidRPr="00450453">
              <w:rPr>
                <w:rFonts w:ascii="Times New Roman" w:eastAsia="Times New Roman" w:hAnsi="Times New Roman" w:cs="Times New Roman"/>
                <w:b/>
                <w:bCs/>
                <w:color w:val="70AD47"/>
                <w:sz w:val="18"/>
                <w:szCs w:val="18"/>
                <w:lang w:eastAsia="lv-LV"/>
              </w:rPr>
              <w:t>41 564</w:t>
            </w:r>
          </w:p>
        </w:tc>
        <w:tc>
          <w:tcPr>
            <w:tcW w:w="1276" w:type="dxa"/>
            <w:noWrap/>
            <w:hideMark/>
          </w:tcPr>
          <w:p w14:paraId="43A925E4"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129 279</w:t>
            </w:r>
          </w:p>
        </w:tc>
        <w:tc>
          <w:tcPr>
            <w:tcW w:w="1276" w:type="dxa"/>
            <w:noWrap/>
            <w:hideMark/>
          </w:tcPr>
          <w:p w14:paraId="4B1F663B"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5 320</w:t>
            </w:r>
          </w:p>
        </w:tc>
        <w:tc>
          <w:tcPr>
            <w:tcW w:w="1389" w:type="dxa"/>
            <w:noWrap/>
            <w:hideMark/>
          </w:tcPr>
          <w:p w14:paraId="0EA1CD70" w14:textId="77777777" w:rsidR="009A1947" w:rsidRPr="00450453" w:rsidRDefault="009A1947" w:rsidP="00EA36FE">
            <w:pPr>
              <w:jc w:val="center"/>
              <w:rPr>
                <w:rFonts w:ascii="Times New Roman" w:eastAsia="Times New Roman" w:hAnsi="Times New Roman" w:cs="Times New Roman"/>
                <w:b/>
                <w:bCs/>
                <w:color w:val="70AD47"/>
                <w:sz w:val="18"/>
                <w:szCs w:val="18"/>
                <w:lang w:eastAsia="lv-LV"/>
              </w:rPr>
            </w:pPr>
            <w:r w:rsidRPr="00450453">
              <w:rPr>
                <w:rFonts w:ascii="Times New Roman" w:eastAsia="Times New Roman" w:hAnsi="Times New Roman" w:cs="Times New Roman"/>
                <w:b/>
                <w:bCs/>
                <w:color w:val="70AD47"/>
                <w:sz w:val="18"/>
                <w:szCs w:val="18"/>
                <w:lang w:eastAsia="lv-LV"/>
              </w:rPr>
              <w:t>123 959</w:t>
            </w:r>
          </w:p>
        </w:tc>
      </w:tr>
      <w:tr w:rsidR="009A1947" w:rsidRPr="009A1947" w14:paraId="497F47F4" w14:textId="77777777" w:rsidTr="009A1947">
        <w:trPr>
          <w:trHeight w:val="600"/>
        </w:trPr>
        <w:tc>
          <w:tcPr>
            <w:tcW w:w="562" w:type="dxa"/>
            <w:noWrap/>
            <w:hideMark/>
          </w:tcPr>
          <w:p w14:paraId="3A40962C" w14:textId="77777777" w:rsidR="009A1947" w:rsidRPr="00450453" w:rsidRDefault="009A1947" w:rsidP="00EA36FE">
            <w:pPr>
              <w:jc w:val="right"/>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17.</w:t>
            </w:r>
          </w:p>
        </w:tc>
        <w:tc>
          <w:tcPr>
            <w:tcW w:w="2552" w:type="dxa"/>
            <w:vAlign w:val="center"/>
            <w:hideMark/>
          </w:tcPr>
          <w:p w14:paraId="5ACDDE70" w14:textId="77777777" w:rsidR="009A1947" w:rsidRPr="00450453" w:rsidRDefault="009A1947" w:rsidP="00EA36FE">
            <w:pP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SIA “</w:t>
            </w:r>
            <w:proofErr w:type="spellStart"/>
            <w:r w:rsidRPr="00450453">
              <w:rPr>
                <w:rFonts w:ascii="Times New Roman" w:eastAsia="Times New Roman" w:hAnsi="Times New Roman" w:cs="Times New Roman"/>
                <w:color w:val="000000"/>
                <w:sz w:val="18"/>
                <w:szCs w:val="18"/>
                <w:lang w:eastAsia="lv-LV"/>
              </w:rPr>
              <w:t>Rigens</w:t>
            </w:r>
            <w:proofErr w:type="spellEnd"/>
            <w:r w:rsidRPr="00450453">
              <w:rPr>
                <w:rFonts w:ascii="Times New Roman" w:eastAsia="Times New Roman" w:hAnsi="Times New Roman" w:cs="Times New Roman"/>
                <w:color w:val="000000"/>
                <w:sz w:val="18"/>
                <w:szCs w:val="18"/>
                <w:lang w:eastAsia="lv-LV"/>
              </w:rPr>
              <w:t>” Koģenerācijas iekārta, Dzintara iela 60, Rīga</w:t>
            </w:r>
          </w:p>
        </w:tc>
        <w:tc>
          <w:tcPr>
            <w:tcW w:w="1276" w:type="dxa"/>
            <w:hideMark/>
          </w:tcPr>
          <w:p w14:paraId="26DB6154"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x</w:t>
            </w:r>
          </w:p>
        </w:tc>
        <w:tc>
          <w:tcPr>
            <w:tcW w:w="992" w:type="dxa"/>
            <w:hideMark/>
          </w:tcPr>
          <w:p w14:paraId="4931A9E8"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p>
        </w:tc>
        <w:tc>
          <w:tcPr>
            <w:tcW w:w="1417" w:type="dxa"/>
            <w:hideMark/>
          </w:tcPr>
          <w:p w14:paraId="115013AF"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Dabasgāze, biogāze</w:t>
            </w:r>
          </w:p>
        </w:tc>
        <w:tc>
          <w:tcPr>
            <w:tcW w:w="1418" w:type="dxa"/>
            <w:hideMark/>
          </w:tcPr>
          <w:p w14:paraId="480FD15A"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24 090</w:t>
            </w:r>
          </w:p>
        </w:tc>
        <w:tc>
          <w:tcPr>
            <w:tcW w:w="1417" w:type="dxa"/>
            <w:hideMark/>
          </w:tcPr>
          <w:p w14:paraId="21DF4D0D"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10 075</w:t>
            </w:r>
          </w:p>
        </w:tc>
        <w:tc>
          <w:tcPr>
            <w:tcW w:w="1134" w:type="dxa"/>
            <w:hideMark/>
          </w:tcPr>
          <w:p w14:paraId="0E9BC005" w14:textId="77777777" w:rsidR="009A1947" w:rsidRPr="00450453" w:rsidRDefault="009A1947" w:rsidP="00EA36FE">
            <w:pPr>
              <w:jc w:val="center"/>
              <w:rPr>
                <w:rFonts w:ascii="Times New Roman" w:eastAsia="Times New Roman" w:hAnsi="Times New Roman" w:cs="Times New Roman"/>
                <w:b/>
                <w:bCs/>
                <w:color w:val="70AD47"/>
                <w:sz w:val="18"/>
                <w:szCs w:val="18"/>
                <w:lang w:eastAsia="lv-LV"/>
              </w:rPr>
            </w:pPr>
            <w:r w:rsidRPr="00450453">
              <w:rPr>
                <w:rFonts w:ascii="Times New Roman" w:eastAsia="Times New Roman" w:hAnsi="Times New Roman" w:cs="Times New Roman"/>
                <w:b/>
                <w:bCs/>
                <w:color w:val="70AD47"/>
                <w:sz w:val="18"/>
                <w:szCs w:val="18"/>
                <w:lang w:eastAsia="lv-LV"/>
              </w:rPr>
              <w:t>14 015</w:t>
            </w:r>
          </w:p>
        </w:tc>
        <w:tc>
          <w:tcPr>
            <w:tcW w:w="1276" w:type="dxa"/>
            <w:noWrap/>
            <w:hideMark/>
          </w:tcPr>
          <w:p w14:paraId="0822408F"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7 901</w:t>
            </w:r>
          </w:p>
        </w:tc>
        <w:tc>
          <w:tcPr>
            <w:tcW w:w="1276" w:type="dxa"/>
            <w:noWrap/>
            <w:hideMark/>
          </w:tcPr>
          <w:p w14:paraId="25135F07" w14:textId="77777777" w:rsidR="009A1947" w:rsidRPr="00450453" w:rsidRDefault="009A1947" w:rsidP="00EA36FE">
            <w:pPr>
              <w:jc w:val="center"/>
              <w:rPr>
                <w:rFonts w:ascii="Times New Roman" w:eastAsia="Times New Roman" w:hAnsi="Times New Roman" w:cs="Times New Roman"/>
                <w:color w:val="000000"/>
                <w:sz w:val="18"/>
                <w:szCs w:val="18"/>
                <w:lang w:eastAsia="lv-LV"/>
              </w:rPr>
            </w:pPr>
            <w:r w:rsidRPr="00450453">
              <w:rPr>
                <w:rFonts w:ascii="Times New Roman" w:eastAsia="Times New Roman" w:hAnsi="Times New Roman" w:cs="Times New Roman"/>
                <w:color w:val="000000"/>
                <w:sz w:val="18"/>
                <w:szCs w:val="18"/>
                <w:lang w:eastAsia="lv-LV"/>
              </w:rPr>
              <w:t>2 932</w:t>
            </w:r>
          </w:p>
        </w:tc>
        <w:tc>
          <w:tcPr>
            <w:tcW w:w="1389" w:type="dxa"/>
            <w:noWrap/>
            <w:hideMark/>
          </w:tcPr>
          <w:p w14:paraId="73316868" w14:textId="77777777" w:rsidR="009A1947" w:rsidRPr="00450453" w:rsidRDefault="009A1947" w:rsidP="00EA36FE">
            <w:pPr>
              <w:jc w:val="center"/>
              <w:rPr>
                <w:rFonts w:ascii="Times New Roman" w:eastAsia="Times New Roman" w:hAnsi="Times New Roman" w:cs="Times New Roman"/>
                <w:b/>
                <w:bCs/>
                <w:color w:val="70AD47"/>
                <w:sz w:val="18"/>
                <w:szCs w:val="18"/>
                <w:lang w:eastAsia="lv-LV"/>
              </w:rPr>
            </w:pPr>
            <w:r w:rsidRPr="00450453">
              <w:rPr>
                <w:rFonts w:ascii="Times New Roman" w:eastAsia="Times New Roman" w:hAnsi="Times New Roman" w:cs="Times New Roman"/>
                <w:b/>
                <w:bCs/>
                <w:color w:val="70AD47"/>
                <w:sz w:val="18"/>
                <w:szCs w:val="18"/>
                <w:lang w:eastAsia="lv-LV"/>
              </w:rPr>
              <w:t>4 969</w:t>
            </w:r>
          </w:p>
        </w:tc>
      </w:tr>
    </w:tbl>
    <w:p w14:paraId="2C917F34" w14:textId="77777777" w:rsidR="000F26DD" w:rsidRDefault="000F26DD" w:rsidP="000A567F">
      <w:pPr>
        <w:spacing w:after="0"/>
        <w:ind w:right="-625" w:firstLine="567"/>
        <w:jc w:val="both"/>
        <w:rPr>
          <w:rFonts w:ascii="Times New Roman" w:hAnsi="Times New Roman" w:cs="Times New Roman"/>
          <w:sz w:val="24"/>
          <w:szCs w:val="24"/>
        </w:rPr>
        <w:sectPr w:rsidR="000F26DD" w:rsidSect="009A1947">
          <w:pgSz w:w="16838" w:h="11906" w:orient="landscape"/>
          <w:pgMar w:top="1800" w:right="1440" w:bottom="1800" w:left="1440" w:header="708" w:footer="708" w:gutter="0"/>
          <w:cols w:space="708"/>
          <w:titlePg/>
          <w:docGrid w:linePitch="360"/>
        </w:sectPr>
      </w:pPr>
    </w:p>
    <w:p w14:paraId="658C8DF4" w14:textId="0A8F6BDD" w:rsidR="004A7A1F" w:rsidRPr="00D05BD9" w:rsidRDefault="00D05BD9" w:rsidP="002F6F80">
      <w:pPr>
        <w:pStyle w:val="Heading2"/>
      </w:pPr>
      <w:bookmarkStart w:id="8" w:name="_Toc5694314"/>
      <w:r w:rsidRPr="00D05BD9">
        <w:lastRenderedPageBreak/>
        <w:t>2.</w:t>
      </w:r>
      <w:r w:rsidR="000806DC">
        <w:t>5</w:t>
      </w:r>
      <w:r w:rsidRPr="00D05BD9">
        <w:t xml:space="preserve">. </w:t>
      </w:r>
      <w:r w:rsidR="004A7A1F" w:rsidRPr="00D05BD9">
        <w:t xml:space="preserve">Latvijai pieejamais </w:t>
      </w:r>
      <w:proofErr w:type="spellStart"/>
      <w:r w:rsidR="004A7A1F" w:rsidRPr="00D05BD9">
        <w:t>derogācijas</w:t>
      </w:r>
      <w:proofErr w:type="spellEnd"/>
      <w:r w:rsidR="004A7A1F" w:rsidRPr="00D05BD9">
        <w:t xml:space="preserve"> apjoms un ietekme uz Emisija</w:t>
      </w:r>
      <w:r w:rsidR="00CD60FA" w:rsidRPr="00D05BD9">
        <w:t>s kvotu izsolīšanas instrumentu</w:t>
      </w:r>
      <w:bookmarkEnd w:id="8"/>
    </w:p>
    <w:p w14:paraId="4905124C" w14:textId="2208ABDC" w:rsidR="00595913" w:rsidRPr="00450453" w:rsidRDefault="00595913" w:rsidP="00450453">
      <w:pPr>
        <w:spacing w:before="120" w:after="0"/>
        <w:ind w:right="-624" w:firstLine="567"/>
        <w:jc w:val="both"/>
        <w:rPr>
          <w:rFonts w:ascii="Times New Roman" w:hAnsi="Times New Roman" w:cs="Times New Roman"/>
          <w:i/>
          <w:sz w:val="24"/>
          <w:szCs w:val="24"/>
        </w:rPr>
      </w:pPr>
      <w:r>
        <w:rPr>
          <w:rFonts w:ascii="Times New Roman" w:hAnsi="Times New Roman" w:cs="Times New Roman"/>
          <w:sz w:val="24"/>
          <w:szCs w:val="24"/>
        </w:rPr>
        <w:t xml:space="preserve">Kā norādīts Ziņojuma 2.2. </w:t>
      </w:r>
      <w:r w:rsidR="006063CA">
        <w:rPr>
          <w:rFonts w:ascii="Times New Roman" w:hAnsi="Times New Roman" w:cs="Times New Roman"/>
          <w:sz w:val="24"/>
          <w:szCs w:val="24"/>
        </w:rPr>
        <w:t>apakš</w:t>
      </w:r>
      <w:r w:rsidR="00152BC6">
        <w:rPr>
          <w:rFonts w:ascii="Times New Roman" w:hAnsi="Times New Roman" w:cs="Times New Roman"/>
          <w:sz w:val="24"/>
          <w:szCs w:val="24"/>
        </w:rPr>
        <w:t>nodaļā</w:t>
      </w:r>
      <w:r>
        <w:rPr>
          <w:rFonts w:ascii="Times New Roman" w:hAnsi="Times New Roman" w:cs="Times New Roman"/>
          <w:sz w:val="24"/>
          <w:szCs w:val="24"/>
        </w:rPr>
        <w:t xml:space="preserve"> </w:t>
      </w:r>
      <w:proofErr w:type="spellStart"/>
      <w:r w:rsidR="00A93673">
        <w:rPr>
          <w:rFonts w:ascii="Times New Roman" w:hAnsi="Times New Roman" w:cs="Times New Roman"/>
          <w:sz w:val="24"/>
          <w:szCs w:val="24"/>
        </w:rPr>
        <w:t>derogācijas</w:t>
      </w:r>
      <w:proofErr w:type="spellEnd"/>
      <w:r>
        <w:rPr>
          <w:rFonts w:ascii="Times New Roman" w:hAnsi="Times New Roman" w:cs="Times New Roman"/>
          <w:sz w:val="24"/>
          <w:szCs w:val="24"/>
        </w:rPr>
        <w:t xml:space="preserve"> scenārija gadījumā maksimālais piešķiramo bezmaksas </w:t>
      </w:r>
      <w:r w:rsidR="00331489">
        <w:rPr>
          <w:rFonts w:ascii="Times New Roman" w:hAnsi="Times New Roman" w:cs="Times New Roman"/>
          <w:sz w:val="24"/>
          <w:szCs w:val="24"/>
        </w:rPr>
        <w:t xml:space="preserve">emisijas </w:t>
      </w:r>
      <w:r>
        <w:rPr>
          <w:rFonts w:ascii="Times New Roman" w:hAnsi="Times New Roman" w:cs="Times New Roman"/>
          <w:sz w:val="24"/>
          <w:szCs w:val="24"/>
        </w:rPr>
        <w:t xml:space="preserve">kvotu apjoms </w:t>
      </w:r>
      <w:proofErr w:type="spellStart"/>
      <w:r>
        <w:rPr>
          <w:rFonts w:ascii="Times New Roman" w:hAnsi="Times New Roman" w:cs="Times New Roman"/>
          <w:sz w:val="24"/>
          <w:szCs w:val="24"/>
        </w:rPr>
        <w:t>derogācijai</w:t>
      </w:r>
      <w:proofErr w:type="spellEnd"/>
      <w:r>
        <w:rPr>
          <w:rFonts w:ascii="Times New Roman" w:hAnsi="Times New Roman" w:cs="Times New Roman"/>
          <w:sz w:val="24"/>
          <w:szCs w:val="24"/>
        </w:rPr>
        <w:t xml:space="preserve"> būtu </w:t>
      </w:r>
      <w:r w:rsidR="00E41569">
        <w:rPr>
          <w:rFonts w:ascii="Times New Roman" w:hAnsi="Times New Roman" w:cs="Times New Roman"/>
          <w:sz w:val="24"/>
          <w:szCs w:val="24"/>
        </w:rPr>
        <w:t>4,12</w:t>
      </w:r>
      <w:r>
        <w:rPr>
          <w:rFonts w:ascii="Times New Roman" w:hAnsi="Times New Roman" w:cs="Times New Roman"/>
          <w:sz w:val="24"/>
          <w:szCs w:val="24"/>
        </w:rPr>
        <w:t xml:space="preserve"> miljoni</w:t>
      </w:r>
      <w:r w:rsidR="00E41569">
        <w:rPr>
          <w:rFonts w:ascii="Times New Roman" w:hAnsi="Times New Roman" w:cs="Times New Roman"/>
          <w:sz w:val="24"/>
          <w:szCs w:val="24"/>
        </w:rPr>
        <w:t xml:space="preserve"> emisijas kvotas</w:t>
      </w:r>
      <w:r w:rsidR="00584E06">
        <w:rPr>
          <w:rFonts w:ascii="Times New Roman" w:hAnsi="Times New Roman" w:cs="Times New Roman"/>
          <w:sz w:val="24"/>
          <w:szCs w:val="24"/>
        </w:rPr>
        <w:t xml:space="preserve">, kas pie 25 </w:t>
      </w:r>
      <w:proofErr w:type="spellStart"/>
      <w:r w:rsidR="00584E06">
        <w:rPr>
          <w:rFonts w:ascii="Times New Roman" w:hAnsi="Times New Roman" w:cs="Times New Roman"/>
          <w:i/>
          <w:sz w:val="24"/>
          <w:szCs w:val="24"/>
        </w:rPr>
        <w:t>euro</w:t>
      </w:r>
      <w:proofErr w:type="spellEnd"/>
      <w:r w:rsidR="00584E06">
        <w:rPr>
          <w:rStyle w:val="FootnoteReference"/>
          <w:rFonts w:ascii="Times New Roman" w:hAnsi="Times New Roman" w:cs="Times New Roman"/>
          <w:i/>
          <w:sz w:val="24"/>
          <w:szCs w:val="24"/>
        </w:rPr>
        <w:footnoteReference w:id="22"/>
      </w:r>
      <w:r w:rsidR="00584E06">
        <w:rPr>
          <w:rFonts w:ascii="Times New Roman" w:hAnsi="Times New Roman" w:cs="Times New Roman"/>
          <w:i/>
          <w:sz w:val="24"/>
          <w:szCs w:val="24"/>
        </w:rPr>
        <w:t xml:space="preserve"> </w:t>
      </w:r>
      <w:r w:rsidR="00584E06" w:rsidRPr="00450453">
        <w:rPr>
          <w:rFonts w:ascii="Times New Roman" w:hAnsi="Times New Roman" w:cs="Times New Roman"/>
          <w:sz w:val="24"/>
          <w:szCs w:val="24"/>
        </w:rPr>
        <w:t>cenas</w:t>
      </w:r>
      <w:r w:rsidR="00584E06">
        <w:rPr>
          <w:rFonts w:ascii="Times New Roman" w:hAnsi="Times New Roman" w:cs="Times New Roman"/>
          <w:sz w:val="24"/>
          <w:szCs w:val="24"/>
        </w:rPr>
        <w:t xml:space="preserve"> naudas izteiksmē attiecīgi sastādītu 102,9 miljonus </w:t>
      </w:r>
      <w:proofErr w:type="spellStart"/>
      <w:r w:rsidR="00252E6E">
        <w:rPr>
          <w:rFonts w:ascii="Times New Roman" w:hAnsi="Times New Roman" w:cs="Times New Roman"/>
          <w:i/>
          <w:sz w:val="24"/>
          <w:szCs w:val="24"/>
        </w:rPr>
        <w:t>euro</w:t>
      </w:r>
      <w:proofErr w:type="spellEnd"/>
      <w:r w:rsidR="00584E06">
        <w:rPr>
          <w:rFonts w:ascii="Times New Roman" w:hAnsi="Times New Roman" w:cs="Times New Roman"/>
          <w:sz w:val="24"/>
          <w:szCs w:val="24"/>
        </w:rPr>
        <w:t>.</w:t>
      </w:r>
    </w:p>
    <w:p w14:paraId="65567687" w14:textId="099D3360" w:rsidR="00584E06" w:rsidRDefault="00E16DAA" w:rsidP="008A65FC">
      <w:pPr>
        <w:spacing w:after="0" w:line="240" w:lineRule="auto"/>
        <w:ind w:right="-625" w:firstLine="567"/>
        <w:jc w:val="both"/>
        <w:rPr>
          <w:rFonts w:ascii="Times New Roman" w:hAnsi="Times New Roman" w:cs="Times New Roman"/>
          <w:i/>
          <w:sz w:val="24"/>
          <w:szCs w:val="24"/>
        </w:rPr>
      </w:pPr>
      <w:r>
        <w:rPr>
          <w:rFonts w:ascii="Times New Roman" w:hAnsi="Times New Roman" w:cs="Times New Roman"/>
          <w:sz w:val="24"/>
          <w:szCs w:val="24"/>
        </w:rPr>
        <w:t>N</w:t>
      </w:r>
      <w:r w:rsidR="008A65FC">
        <w:rPr>
          <w:rFonts w:ascii="Times New Roman" w:hAnsi="Times New Roman" w:cs="Times New Roman"/>
          <w:sz w:val="24"/>
          <w:szCs w:val="24"/>
        </w:rPr>
        <w:t xml:space="preserve">eskatoties uz </w:t>
      </w:r>
      <w:r w:rsidR="00252E6E">
        <w:rPr>
          <w:rFonts w:ascii="Times New Roman" w:hAnsi="Times New Roman" w:cs="Times New Roman"/>
          <w:sz w:val="24"/>
          <w:szCs w:val="24"/>
        </w:rPr>
        <w:t>EK</w:t>
      </w:r>
      <w:r w:rsidR="00584E06">
        <w:rPr>
          <w:rFonts w:ascii="Times New Roman" w:hAnsi="Times New Roman" w:cs="Times New Roman"/>
          <w:sz w:val="24"/>
          <w:szCs w:val="24"/>
        </w:rPr>
        <w:t xml:space="preserve"> prognozēto vidējo cenu 25 </w:t>
      </w:r>
      <w:proofErr w:type="spellStart"/>
      <w:r w:rsidR="00584E06" w:rsidRPr="00252E6E">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w:t>
      </w:r>
      <w:r w:rsidR="00584E06">
        <w:rPr>
          <w:rFonts w:ascii="Times New Roman" w:hAnsi="Times New Roman" w:cs="Times New Roman"/>
          <w:sz w:val="24"/>
          <w:szCs w:val="24"/>
        </w:rPr>
        <w:t xml:space="preserve"> jāņem vērā, ka faktiskā </w:t>
      </w:r>
      <w:r w:rsidR="00BC6414">
        <w:rPr>
          <w:rFonts w:ascii="Times New Roman" w:hAnsi="Times New Roman" w:cs="Times New Roman"/>
          <w:sz w:val="24"/>
          <w:szCs w:val="24"/>
        </w:rPr>
        <w:t xml:space="preserve">emisijas kvotas </w:t>
      </w:r>
      <w:r w:rsidR="00584E06">
        <w:rPr>
          <w:rFonts w:ascii="Times New Roman" w:hAnsi="Times New Roman" w:cs="Times New Roman"/>
          <w:sz w:val="24"/>
          <w:szCs w:val="24"/>
        </w:rPr>
        <w:t>cena var bū</w:t>
      </w:r>
      <w:r w:rsidR="008A65FC">
        <w:rPr>
          <w:rFonts w:ascii="Times New Roman" w:hAnsi="Times New Roman" w:cs="Times New Roman"/>
          <w:sz w:val="24"/>
          <w:szCs w:val="24"/>
        </w:rPr>
        <w:t>tiski atšķirties no prognozētās, līdz ar to kopējais finansējuma apjoms arī var ievērojami mainīties.</w:t>
      </w:r>
      <w:r w:rsidR="00584E06">
        <w:rPr>
          <w:rFonts w:ascii="Times New Roman" w:hAnsi="Times New Roman" w:cs="Times New Roman"/>
          <w:sz w:val="24"/>
          <w:szCs w:val="24"/>
        </w:rPr>
        <w:t xml:space="preserve"> Emisiju kvotu cena </w:t>
      </w:r>
      <w:r w:rsidR="00584E06" w:rsidRPr="00813FF3">
        <w:rPr>
          <w:rFonts w:ascii="Times New Roman" w:hAnsi="Times New Roman"/>
          <w:sz w:val="24"/>
          <w:szCs w:val="24"/>
        </w:rPr>
        <w:t>galvenokārt balstās uz piedāvājumu un pieprasījumu tirgū, taču reaģē arī uz dažādām norisēm gan enerģētikas sektorā Eiropā, t.sk. energoresursu cenu izmaiņām enerģijas tirgos, gan laikapstākļiem, gan notikumiem un lēmumiem starptautiskās (t.sk. ES līmenī) sarunās par klimata pārmaiņām, gan atsevišķu valstu paziņojumiem.</w:t>
      </w:r>
      <w:r w:rsidR="00584E06">
        <w:rPr>
          <w:rFonts w:ascii="Times New Roman" w:hAnsi="Times New Roman"/>
          <w:sz w:val="24"/>
          <w:szCs w:val="24"/>
        </w:rPr>
        <w:t xml:space="preserve"> </w:t>
      </w:r>
      <w:r w:rsidR="00687807">
        <w:rPr>
          <w:rFonts w:ascii="Times New Roman" w:hAnsi="Times New Roman"/>
          <w:sz w:val="24"/>
          <w:szCs w:val="24"/>
        </w:rPr>
        <w:t xml:space="preserve">Kopš 2018. gada sākuma, kad janvārī vidējā  kvotu cena kopējā izsoļu platformā bija 8,39 </w:t>
      </w:r>
      <w:proofErr w:type="spellStart"/>
      <w:r w:rsidR="00687807">
        <w:rPr>
          <w:rFonts w:ascii="Times New Roman" w:hAnsi="Times New Roman"/>
          <w:i/>
          <w:sz w:val="24"/>
          <w:szCs w:val="24"/>
        </w:rPr>
        <w:t>euro</w:t>
      </w:r>
      <w:proofErr w:type="spellEnd"/>
      <w:r w:rsidRPr="0098642F">
        <w:rPr>
          <w:rFonts w:ascii="Times New Roman" w:hAnsi="Times New Roman"/>
          <w:sz w:val="24"/>
          <w:szCs w:val="24"/>
        </w:rPr>
        <w:t>,</w:t>
      </w:r>
      <w:r w:rsidR="00687807">
        <w:rPr>
          <w:rFonts w:ascii="Times New Roman" w:hAnsi="Times New Roman"/>
          <w:i/>
          <w:sz w:val="24"/>
          <w:szCs w:val="24"/>
        </w:rPr>
        <w:t xml:space="preserve"> </w:t>
      </w:r>
      <w:r w:rsidR="00687807" w:rsidRPr="001618DE">
        <w:rPr>
          <w:rFonts w:ascii="Times New Roman" w:hAnsi="Times New Roman"/>
          <w:sz w:val="24"/>
          <w:szCs w:val="24"/>
        </w:rPr>
        <w:t>ir būtisks kāpums</w:t>
      </w:r>
      <w:r w:rsidR="00CF6828" w:rsidRPr="001618DE">
        <w:rPr>
          <w:rStyle w:val="FootnoteReference"/>
          <w:rFonts w:ascii="Times New Roman" w:hAnsi="Times New Roman"/>
          <w:sz w:val="24"/>
          <w:szCs w:val="24"/>
        </w:rPr>
        <w:footnoteReference w:id="23"/>
      </w:r>
      <w:r w:rsidR="00687807" w:rsidRPr="001618DE">
        <w:rPr>
          <w:rFonts w:ascii="Times New Roman" w:hAnsi="Times New Roman"/>
          <w:sz w:val="24"/>
          <w:szCs w:val="24"/>
        </w:rPr>
        <w:t xml:space="preserve"> un</w:t>
      </w:r>
      <w:r w:rsidR="00687807">
        <w:rPr>
          <w:rFonts w:ascii="Times New Roman" w:hAnsi="Times New Roman"/>
          <w:sz w:val="24"/>
          <w:szCs w:val="24"/>
        </w:rPr>
        <w:t xml:space="preserve"> </w:t>
      </w:r>
      <w:r w:rsidR="00584E06" w:rsidRPr="00584E06">
        <w:rPr>
          <w:rFonts w:ascii="Times New Roman" w:hAnsi="Times New Roman" w:cs="Times New Roman"/>
          <w:sz w:val="24"/>
          <w:szCs w:val="24"/>
        </w:rPr>
        <w:t>2019</w:t>
      </w:r>
      <w:r w:rsidR="00584E06">
        <w:rPr>
          <w:rFonts w:ascii="Times New Roman" w:hAnsi="Times New Roman" w:cs="Times New Roman"/>
          <w:sz w:val="24"/>
          <w:szCs w:val="24"/>
        </w:rPr>
        <w:t>. </w:t>
      </w:r>
      <w:r w:rsidR="00584E06" w:rsidRPr="003A6971">
        <w:rPr>
          <w:rFonts w:ascii="Times New Roman" w:hAnsi="Times New Roman" w:cs="Times New Roman"/>
          <w:sz w:val="24"/>
          <w:szCs w:val="24"/>
        </w:rPr>
        <w:t xml:space="preserve">gada </w:t>
      </w:r>
      <w:r w:rsidR="00584E06">
        <w:rPr>
          <w:rFonts w:ascii="Times New Roman" w:hAnsi="Times New Roman" w:cs="Times New Roman"/>
          <w:sz w:val="24"/>
          <w:szCs w:val="24"/>
        </w:rPr>
        <w:t xml:space="preserve">janvārī </w:t>
      </w:r>
      <w:r w:rsidR="00584E06" w:rsidRPr="003A6971">
        <w:rPr>
          <w:rFonts w:ascii="Times New Roman" w:hAnsi="Times New Roman" w:cs="Times New Roman"/>
          <w:sz w:val="24"/>
          <w:szCs w:val="24"/>
        </w:rPr>
        <w:t xml:space="preserve">vidējā kvotu cena </w:t>
      </w:r>
      <w:r w:rsidR="00687807">
        <w:rPr>
          <w:rFonts w:ascii="Times New Roman" w:hAnsi="Times New Roman" w:cs="Times New Roman"/>
          <w:sz w:val="24"/>
          <w:szCs w:val="24"/>
        </w:rPr>
        <w:t xml:space="preserve">sasniedza </w:t>
      </w:r>
      <w:r w:rsidR="00584E06" w:rsidRPr="003A6971">
        <w:rPr>
          <w:rFonts w:ascii="Times New Roman" w:hAnsi="Times New Roman" w:cs="Times New Roman"/>
          <w:sz w:val="24"/>
          <w:szCs w:val="24"/>
        </w:rPr>
        <w:t>2</w:t>
      </w:r>
      <w:r w:rsidR="004A19E2">
        <w:rPr>
          <w:rFonts w:ascii="Times New Roman" w:hAnsi="Times New Roman" w:cs="Times New Roman"/>
          <w:sz w:val="24"/>
          <w:szCs w:val="24"/>
        </w:rPr>
        <w:t>2</w:t>
      </w:r>
      <w:r w:rsidR="00584E06" w:rsidRPr="003A6971">
        <w:rPr>
          <w:rFonts w:ascii="Times New Roman" w:hAnsi="Times New Roman" w:cs="Times New Roman"/>
          <w:sz w:val="24"/>
          <w:szCs w:val="24"/>
        </w:rPr>
        <w:t>,</w:t>
      </w:r>
      <w:r w:rsidR="004A19E2">
        <w:rPr>
          <w:rFonts w:ascii="Times New Roman" w:hAnsi="Times New Roman" w:cs="Times New Roman"/>
          <w:sz w:val="24"/>
          <w:szCs w:val="24"/>
        </w:rPr>
        <w:t>96</w:t>
      </w:r>
      <w:r w:rsidR="00584E06">
        <w:rPr>
          <w:rFonts w:ascii="Times New Roman" w:hAnsi="Times New Roman" w:cs="Times New Roman"/>
          <w:sz w:val="24"/>
          <w:szCs w:val="24"/>
        </w:rPr>
        <w:t xml:space="preserve"> </w:t>
      </w:r>
      <w:proofErr w:type="spellStart"/>
      <w:r w:rsidR="00584E06" w:rsidRPr="00C64267">
        <w:rPr>
          <w:rFonts w:ascii="Times New Roman" w:hAnsi="Times New Roman" w:cs="Times New Roman"/>
          <w:i/>
          <w:sz w:val="24"/>
          <w:szCs w:val="24"/>
        </w:rPr>
        <w:t>euro</w:t>
      </w:r>
      <w:proofErr w:type="spellEnd"/>
      <w:r w:rsidR="00584E06" w:rsidRPr="003A6971">
        <w:rPr>
          <w:rFonts w:ascii="Times New Roman" w:hAnsi="Times New Roman" w:cs="Times New Roman"/>
          <w:sz w:val="24"/>
          <w:szCs w:val="24"/>
        </w:rPr>
        <w:t>.</w:t>
      </w:r>
      <w:r w:rsidR="00584E06">
        <w:rPr>
          <w:rFonts w:ascii="Times New Roman" w:hAnsi="Times New Roman" w:cs="Times New Roman"/>
          <w:sz w:val="24"/>
          <w:szCs w:val="24"/>
        </w:rPr>
        <w:t xml:space="preserve"> </w:t>
      </w:r>
      <w:r w:rsidR="00584E06" w:rsidRPr="003A6971">
        <w:rPr>
          <w:rFonts w:ascii="Times New Roman" w:hAnsi="Times New Roman" w:cs="Times New Roman"/>
          <w:sz w:val="24"/>
          <w:szCs w:val="24"/>
        </w:rPr>
        <w:t xml:space="preserve">Taču saskaņā ar vadošu </w:t>
      </w:r>
      <w:r w:rsidR="00584E06" w:rsidRPr="00D33726">
        <w:rPr>
          <w:rFonts w:ascii="Times New Roman" w:hAnsi="Times New Roman" w:cs="Times New Roman"/>
          <w:sz w:val="24"/>
          <w:szCs w:val="24"/>
        </w:rPr>
        <w:t>oglekļa tirgus analītiķu kopējām vidējām prognozēm</w:t>
      </w:r>
      <w:r w:rsidR="00584E06" w:rsidRPr="00D33726">
        <w:rPr>
          <w:rStyle w:val="FootnoteReference"/>
          <w:rFonts w:ascii="Times New Roman" w:hAnsi="Times New Roman" w:cs="Times New Roman"/>
          <w:sz w:val="24"/>
          <w:szCs w:val="24"/>
        </w:rPr>
        <w:footnoteReference w:id="24"/>
      </w:r>
      <w:r w:rsidR="00584E06" w:rsidRPr="00D33726">
        <w:rPr>
          <w:rFonts w:ascii="Times New Roman" w:hAnsi="Times New Roman" w:cs="Times New Roman"/>
          <w:sz w:val="24"/>
          <w:szCs w:val="24"/>
        </w:rPr>
        <w:t xml:space="preserve"> 2020. gada beigās vidējā cena jau varētu sasniegt ap 2</w:t>
      </w:r>
      <w:r w:rsidR="00584E06">
        <w:rPr>
          <w:rFonts w:ascii="Times New Roman" w:hAnsi="Times New Roman" w:cs="Times New Roman"/>
          <w:sz w:val="24"/>
          <w:szCs w:val="24"/>
        </w:rPr>
        <w:t>7,30</w:t>
      </w:r>
      <w:r w:rsidR="00584E06" w:rsidRPr="00D33726">
        <w:rPr>
          <w:rFonts w:ascii="Times New Roman" w:hAnsi="Times New Roman" w:cs="Times New Roman"/>
          <w:sz w:val="24"/>
          <w:szCs w:val="24"/>
        </w:rPr>
        <w:t xml:space="preserve"> </w:t>
      </w:r>
      <w:proofErr w:type="spellStart"/>
      <w:r w:rsidR="00584E06">
        <w:rPr>
          <w:rFonts w:ascii="Times New Roman" w:hAnsi="Times New Roman" w:cs="Times New Roman"/>
          <w:i/>
          <w:sz w:val="24"/>
          <w:szCs w:val="24"/>
        </w:rPr>
        <w:t>euro</w:t>
      </w:r>
      <w:proofErr w:type="spellEnd"/>
      <w:r w:rsidR="00584E06" w:rsidRPr="00D33726">
        <w:rPr>
          <w:rFonts w:ascii="Times New Roman" w:hAnsi="Times New Roman" w:cs="Times New Roman"/>
          <w:sz w:val="24"/>
          <w:szCs w:val="24"/>
        </w:rPr>
        <w:t>,</w:t>
      </w:r>
      <w:r w:rsidR="00584E06" w:rsidRPr="00D33726">
        <w:rPr>
          <w:rFonts w:ascii="Times New Roman" w:hAnsi="Times New Roman" w:cs="Times New Roman"/>
          <w:i/>
          <w:sz w:val="24"/>
          <w:szCs w:val="24"/>
        </w:rPr>
        <w:t xml:space="preserve"> </w:t>
      </w:r>
      <w:r w:rsidR="00584E06" w:rsidRPr="00D33726">
        <w:rPr>
          <w:rFonts w:ascii="Times New Roman" w:hAnsi="Times New Roman" w:cs="Times New Roman"/>
          <w:sz w:val="24"/>
          <w:szCs w:val="24"/>
        </w:rPr>
        <w:t>2025</w:t>
      </w:r>
      <w:r w:rsidR="00584E06" w:rsidRPr="00D33726">
        <w:rPr>
          <w:rFonts w:ascii="Times New Roman" w:hAnsi="Times New Roman" w:cs="Times New Roman"/>
          <w:i/>
          <w:sz w:val="24"/>
          <w:szCs w:val="24"/>
        </w:rPr>
        <w:t>. </w:t>
      </w:r>
      <w:r w:rsidR="00584E06" w:rsidRPr="00D33726">
        <w:rPr>
          <w:rFonts w:ascii="Times New Roman" w:hAnsi="Times New Roman" w:cs="Times New Roman"/>
          <w:sz w:val="24"/>
          <w:szCs w:val="24"/>
        </w:rPr>
        <w:t>gada</w:t>
      </w:r>
      <w:r w:rsidR="00584E06" w:rsidRPr="003A6971">
        <w:rPr>
          <w:rFonts w:ascii="Times New Roman" w:hAnsi="Times New Roman" w:cs="Times New Roman"/>
          <w:sz w:val="24"/>
          <w:szCs w:val="24"/>
        </w:rPr>
        <w:t xml:space="preserve"> beigās</w:t>
      </w:r>
      <w:r w:rsidR="00584E06" w:rsidRPr="003A6971">
        <w:rPr>
          <w:rFonts w:ascii="Times New Roman" w:hAnsi="Times New Roman" w:cs="Times New Roman"/>
          <w:i/>
          <w:sz w:val="24"/>
          <w:szCs w:val="24"/>
        </w:rPr>
        <w:t xml:space="preserve"> 2</w:t>
      </w:r>
      <w:r w:rsidR="00584E06">
        <w:rPr>
          <w:rFonts w:ascii="Times New Roman" w:hAnsi="Times New Roman" w:cs="Times New Roman"/>
          <w:i/>
          <w:sz w:val="24"/>
          <w:szCs w:val="24"/>
        </w:rPr>
        <w:t>8</w:t>
      </w:r>
      <w:r w:rsidR="00584E06" w:rsidRPr="003A6971">
        <w:rPr>
          <w:rFonts w:ascii="Times New Roman" w:hAnsi="Times New Roman" w:cs="Times New Roman"/>
          <w:i/>
          <w:sz w:val="24"/>
          <w:szCs w:val="24"/>
        </w:rPr>
        <w:t>,50</w:t>
      </w:r>
      <w:r w:rsidR="00584E06" w:rsidRPr="003A6971">
        <w:rPr>
          <w:rFonts w:ascii="Times New Roman" w:hAnsi="Times New Roman" w:cs="Times New Roman"/>
          <w:sz w:val="24"/>
          <w:szCs w:val="24"/>
        </w:rPr>
        <w:t xml:space="preserve"> </w:t>
      </w:r>
      <w:proofErr w:type="spellStart"/>
      <w:r w:rsidR="00584E06">
        <w:rPr>
          <w:rFonts w:ascii="Times New Roman" w:hAnsi="Times New Roman" w:cs="Times New Roman"/>
          <w:i/>
          <w:sz w:val="24"/>
          <w:szCs w:val="24"/>
        </w:rPr>
        <w:t>euro</w:t>
      </w:r>
      <w:proofErr w:type="spellEnd"/>
      <w:r w:rsidR="00584E06" w:rsidRPr="003A6971">
        <w:rPr>
          <w:rFonts w:ascii="Times New Roman" w:hAnsi="Times New Roman" w:cs="Times New Roman"/>
          <w:i/>
          <w:sz w:val="24"/>
          <w:szCs w:val="24"/>
        </w:rPr>
        <w:t xml:space="preserve"> </w:t>
      </w:r>
      <w:r w:rsidR="00584E06">
        <w:rPr>
          <w:rFonts w:ascii="Times New Roman" w:hAnsi="Times New Roman" w:cs="Times New Roman"/>
          <w:sz w:val="24"/>
          <w:szCs w:val="24"/>
        </w:rPr>
        <w:t>un 2030. </w:t>
      </w:r>
      <w:r w:rsidR="00584E06" w:rsidRPr="003A6971">
        <w:rPr>
          <w:rFonts w:ascii="Times New Roman" w:hAnsi="Times New Roman" w:cs="Times New Roman"/>
          <w:sz w:val="24"/>
          <w:szCs w:val="24"/>
        </w:rPr>
        <w:t>gada beigās</w:t>
      </w:r>
      <w:r w:rsidR="00584E06" w:rsidRPr="003A6971">
        <w:rPr>
          <w:rFonts w:ascii="Times New Roman" w:hAnsi="Times New Roman" w:cs="Times New Roman"/>
          <w:i/>
          <w:sz w:val="24"/>
          <w:szCs w:val="24"/>
        </w:rPr>
        <w:t xml:space="preserve"> </w:t>
      </w:r>
      <w:r w:rsidR="00584E06" w:rsidRPr="003A6971">
        <w:rPr>
          <w:rFonts w:ascii="Times New Roman" w:hAnsi="Times New Roman" w:cs="Times New Roman"/>
          <w:sz w:val="24"/>
          <w:szCs w:val="24"/>
        </w:rPr>
        <w:t>vidēji</w:t>
      </w:r>
      <w:r w:rsidR="00584E06" w:rsidRPr="003A6971">
        <w:rPr>
          <w:rFonts w:ascii="Times New Roman" w:hAnsi="Times New Roman" w:cs="Times New Roman"/>
          <w:i/>
          <w:sz w:val="24"/>
          <w:szCs w:val="24"/>
        </w:rPr>
        <w:t xml:space="preserve"> </w:t>
      </w:r>
      <w:r w:rsidR="00584E06" w:rsidRPr="003A6971">
        <w:rPr>
          <w:rFonts w:ascii="Times New Roman" w:hAnsi="Times New Roman" w:cs="Times New Roman"/>
          <w:sz w:val="24"/>
          <w:szCs w:val="24"/>
        </w:rPr>
        <w:t>3</w:t>
      </w:r>
      <w:r w:rsidR="00584E06">
        <w:rPr>
          <w:rFonts w:ascii="Times New Roman" w:hAnsi="Times New Roman" w:cs="Times New Roman"/>
          <w:sz w:val="24"/>
          <w:szCs w:val="24"/>
        </w:rPr>
        <w:t>1,15</w:t>
      </w:r>
      <w:r w:rsidR="00584E06" w:rsidRPr="003A6971">
        <w:rPr>
          <w:rFonts w:ascii="Times New Roman" w:hAnsi="Times New Roman" w:cs="Times New Roman"/>
          <w:sz w:val="24"/>
          <w:szCs w:val="24"/>
        </w:rPr>
        <w:t xml:space="preserve"> </w:t>
      </w:r>
      <w:proofErr w:type="spellStart"/>
      <w:r w:rsidR="00584E06">
        <w:rPr>
          <w:rFonts w:ascii="Times New Roman" w:hAnsi="Times New Roman" w:cs="Times New Roman"/>
          <w:i/>
          <w:sz w:val="24"/>
          <w:szCs w:val="24"/>
        </w:rPr>
        <w:t>euro</w:t>
      </w:r>
      <w:proofErr w:type="spellEnd"/>
      <w:r w:rsidR="00584E06" w:rsidRPr="003A6971">
        <w:rPr>
          <w:rFonts w:ascii="Times New Roman" w:hAnsi="Times New Roman" w:cs="Times New Roman"/>
          <w:i/>
          <w:sz w:val="24"/>
          <w:szCs w:val="24"/>
        </w:rPr>
        <w:t xml:space="preserve">. </w:t>
      </w:r>
    </w:p>
    <w:p w14:paraId="5C17C049" w14:textId="4EF8C0C0" w:rsidR="00991C20" w:rsidRDefault="00991C20" w:rsidP="008A65FC">
      <w:pPr>
        <w:spacing w:after="0" w:line="240" w:lineRule="auto"/>
        <w:ind w:right="-625" w:firstLine="567"/>
        <w:jc w:val="both"/>
        <w:rPr>
          <w:rFonts w:ascii="Times New Roman" w:hAnsi="Times New Roman" w:cs="Times New Roman"/>
          <w:sz w:val="24"/>
          <w:szCs w:val="24"/>
        </w:rPr>
      </w:pPr>
      <w:r>
        <w:rPr>
          <w:rFonts w:ascii="Times New Roman" w:hAnsi="Times New Roman" w:cs="Times New Roman"/>
          <w:sz w:val="24"/>
          <w:szCs w:val="24"/>
        </w:rPr>
        <w:t xml:space="preserve">Balstoties uz iepriekš </w:t>
      </w:r>
      <w:r w:rsidR="00BC6414">
        <w:rPr>
          <w:rFonts w:ascii="Times New Roman" w:hAnsi="Times New Roman" w:cs="Times New Roman"/>
          <w:sz w:val="24"/>
          <w:szCs w:val="24"/>
        </w:rPr>
        <w:t xml:space="preserve">sniegto </w:t>
      </w:r>
      <w:r>
        <w:rPr>
          <w:rFonts w:ascii="Times New Roman" w:hAnsi="Times New Roman" w:cs="Times New Roman"/>
          <w:sz w:val="24"/>
          <w:szCs w:val="24"/>
        </w:rPr>
        <w:t>informāciju</w:t>
      </w:r>
      <w:r w:rsidR="00252E6E">
        <w:rPr>
          <w:rFonts w:ascii="Times New Roman" w:hAnsi="Times New Roman" w:cs="Times New Roman"/>
          <w:sz w:val="24"/>
          <w:szCs w:val="24"/>
        </w:rPr>
        <w:t>,</w:t>
      </w:r>
      <w:r>
        <w:rPr>
          <w:rFonts w:ascii="Times New Roman" w:hAnsi="Times New Roman" w:cs="Times New Roman"/>
          <w:sz w:val="24"/>
          <w:szCs w:val="24"/>
        </w:rPr>
        <w:t xml:space="preserve"> var aprēķināt potenciālo </w:t>
      </w:r>
      <w:proofErr w:type="spellStart"/>
      <w:r>
        <w:rPr>
          <w:rFonts w:ascii="Times New Roman" w:hAnsi="Times New Roman" w:cs="Times New Roman"/>
          <w:sz w:val="24"/>
          <w:szCs w:val="24"/>
        </w:rPr>
        <w:t>derogācijai</w:t>
      </w:r>
      <w:proofErr w:type="spellEnd"/>
      <w:r>
        <w:rPr>
          <w:rFonts w:ascii="Times New Roman" w:hAnsi="Times New Roman" w:cs="Times New Roman"/>
          <w:sz w:val="24"/>
          <w:szCs w:val="24"/>
        </w:rPr>
        <w:t xml:space="preserve"> piešķiramo emisijas kvotu apjomu monetāro kopējo vērtību pie dažādām emisijas kvotas cenām (skat. 4.tabulu).</w:t>
      </w:r>
    </w:p>
    <w:p w14:paraId="5307C3C8" w14:textId="77777777" w:rsidR="00E25EF5" w:rsidRDefault="00E25EF5" w:rsidP="00450453">
      <w:pPr>
        <w:spacing w:after="0"/>
        <w:ind w:right="-625" w:firstLine="567"/>
        <w:jc w:val="right"/>
        <w:rPr>
          <w:rFonts w:ascii="Times New Roman" w:hAnsi="Times New Roman" w:cs="Times New Roman"/>
          <w:sz w:val="24"/>
          <w:szCs w:val="24"/>
        </w:rPr>
      </w:pPr>
    </w:p>
    <w:p w14:paraId="0716A7BA" w14:textId="3EB555A0" w:rsidR="00991C20" w:rsidRPr="001031F1" w:rsidRDefault="00991C20" w:rsidP="00450453">
      <w:pPr>
        <w:spacing w:after="0"/>
        <w:ind w:right="-625" w:firstLine="567"/>
        <w:jc w:val="right"/>
        <w:rPr>
          <w:rFonts w:ascii="Times New Roman" w:hAnsi="Times New Roman" w:cs="Times New Roman"/>
          <w:b/>
          <w:i/>
          <w:iCs/>
        </w:rPr>
      </w:pPr>
      <w:r w:rsidRPr="001031F1">
        <w:rPr>
          <w:rFonts w:ascii="Times New Roman" w:hAnsi="Times New Roman" w:cs="Times New Roman"/>
          <w:b/>
          <w:i/>
          <w:iCs/>
        </w:rPr>
        <w:t xml:space="preserve">4.tabula. </w:t>
      </w:r>
      <w:proofErr w:type="spellStart"/>
      <w:r w:rsidR="001355EE" w:rsidRPr="001031F1">
        <w:rPr>
          <w:rFonts w:ascii="Times New Roman" w:hAnsi="Times New Roman" w:cs="Times New Roman"/>
          <w:b/>
          <w:i/>
          <w:iCs/>
        </w:rPr>
        <w:t>Derogācijai</w:t>
      </w:r>
      <w:proofErr w:type="spellEnd"/>
      <w:r w:rsidRPr="001031F1">
        <w:rPr>
          <w:rFonts w:ascii="Times New Roman" w:hAnsi="Times New Roman" w:cs="Times New Roman"/>
          <w:b/>
          <w:i/>
          <w:iCs/>
        </w:rPr>
        <w:t xml:space="preserve"> potenciāli pieejamais finan</w:t>
      </w:r>
      <w:r w:rsidR="00E25EF5">
        <w:rPr>
          <w:rFonts w:ascii="Times New Roman" w:hAnsi="Times New Roman" w:cs="Times New Roman"/>
          <w:b/>
          <w:i/>
          <w:iCs/>
        </w:rPr>
        <w:t xml:space="preserve">sējuma apjoms pie dažādiem cenu </w:t>
      </w:r>
      <w:r w:rsidRPr="001031F1">
        <w:rPr>
          <w:rFonts w:ascii="Times New Roman" w:hAnsi="Times New Roman" w:cs="Times New Roman"/>
          <w:b/>
          <w:i/>
          <w:iCs/>
        </w:rPr>
        <w:t xml:space="preserve">līmeņiem </w:t>
      </w:r>
    </w:p>
    <w:tbl>
      <w:tblPr>
        <w:tblStyle w:val="TableGridLight2"/>
        <w:tblW w:w="8926" w:type="dxa"/>
        <w:tblLayout w:type="fixed"/>
        <w:tblLook w:val="04A0" w:firstRow="1" w:lastRow="0" w:firstColumn="1" w:lastColumn="0" w:noHBand="0" w:noVBand="1"/>
      </w:tblPr>
      <w:tblGrid>
        <w:gridCol w:w="5637"/>
        <w:gridCol w:w="3289"/>
      </w:tblGrid>
      <w:tr w:rsidR="00A8029E" w:rsidRPr="001031F1" w14:paraId="5B22A613" w14:textId="77777777" w:rsidTr="00E25EF5">
        <w:tc>
          <w:tcPr>
            <w:tcW w:w="5637" w:type="dxa"/>
          </w:tcPr>
          <w:p w14:paraId="0B2D39B4" w14:textId="77777777" w:rsidR="00A8029E" w:rsidRPr="001031F1" w:rsidRDefault="00A8029E" w:rsidP="00682FCA">
            <w:pPr>
              <w:rPr>
                <w:b/>
                <w:bCs/>
              </w:rPr>
            </w:pPr>
          </w:p>
        </w:tc>
        <w:tc>
          <w:tcPr>
            <w:tcW w:w="3289" w:type="dxa"/>
          </w:tcPr>
          <w:p w14:paraId="610B6B88" w14:textId="1F358F4B" w:rsidR="00A8029E" w:rsidRPr="001031F1" w:rsidRDefault="00A93673" w:rsidP="00A93673">
            <w:pPr>
              <w:jc w:val="center"/>
              <w:rPr>
                <w:b/>
                <w:bCs/>
              </w:rPr>
            </w:pPr>
            <w:proofErr w:type="spellStart"/>
            <w:r>
              <w:rPr>
                <w:rFonts w:ascii="Times New Roman" w:hAnsi="Times New Roman" w:cs="Times New Roman"/>
                <w:b/>
                <w:bCs/>
              </w:rPr>
              <w:t>Derogācijas</w:t>
            </w:r>
            <w:proofErr w:type="spellEnd"/>
            <w:r w:rsidRPr="001031F1">
              <w:rPr>
                <w:rFonts w:ascii="Times New Roman" w:hAnsi="Times New Roman" w:cs="Times New Roman"/>
                <w:b/>
                <w:bCs/>
              </w:rPr>
              <w:t xml:space="preserve"> </w:t>
            </w:r>
            <w:r w:rsidR="00A8029E" w:rsidRPr="001031F1">
              <w:rPr>
                <w:rFonts w:ascii="Times New Roman" w:hAnsi="Times New Roman" w:cs="Times New Roman"/>
                <w:b/>
                <w:bCs/>
              </w:rPr>
              <w:t>scenārijs</w:t>
            </w:r>
          </w:p>
        </w:tc>
      </w:tr>
      <w:tr w:rsidR="00A8029E" w:rsidRPr="001031F1" w14:paraId="2B3ECADA" w14:textId="77777777" w:rsidTr="00E25EF5">
        <w:tc>
          <w:tcPr>
            <w:tcW w:w="5637" w:type="dxa"/>
          </w:tcPr>
          <w:p w14:paraId="1D86FBFA" w14:textId="77777777" w:rsidR="00A8029E" w:rsidRPr="001031F1" w:rsidRDefault="00A8029E" w:rsidP="00682FCA">
            <w:pPr>
              <w:ind w:right="-625"/>
              <w:rPr>
                <w:rFonts w:ascii="Times New Roman" w:hAnsi="Times New Roman" w:cs="Times New Roman"/>
              </w:rPr>
            </w:pPr>
            <w:r w:rsidRPr="001031F1">
              <w:rPr>
                <w:rFonts w:ascii="Times New Roman" w:hAnsi="Times New Roman" w:cs="Times New Roman"/>
              </w:rPr>
              <w:t>Maksimāli piešķiramie bezmaksas kvotu apjomi enerģētikas</w:t>
            </w:r>
          </w:p>
          <w:p w14:paraId="5B49FF17" w14:textId="5E7D5B9E" w:rsidR="00A8029E" w:rsidRPr="001031F1" w:rsidRDefault="00A8029E" w:rsidP="00682FCA">
            <w:pPr>
              <w:ind w:right="-625"/>
              <w:rPr>
                <w:rFonts w:ascii="Times New Roman" w:hAnsi="Times New Roman" w:cs="Times New Roman"/>
              </w:rPr>
            </w:pPr>
            <w:r w:rsidRPr="001031F1">
              <w:rPr>
                <w:rFonts w:ascii="Times New Roman" w:hAnsi="Times New Roman" w:cs="Times New Roman"/>
              </w:rPr>
              <w:t xml:space="preserve"> nozares modernizācijai (milj. EUA)</w:t>
            </w:r>
          </w:p>
        </w:tc>
        <w:tc>
          <w:tcPr>
            <w:tcW w:w="3289" w:type="dxa"/>
          </w:tcPr>
          <w:p w14:paraId="40CC0D8A" w14:textId="5039B301" w:rsidR="00A8029E" w:rsidRPr="001031F1" w:rsidRDefault="00A8029E" w:rsidP="00682FCA">
            <w:pPr>
              <w:jc w:val="center"/>
              <w:rPr>
                <w:rFonts w:ascii="Times New Roman" w:hAnsi="Times New Roman" w:cs="Times New Roman"/>
              </w:rPr>
            </w:pPr>
            <w:r w:rsidRPr="001031F1">
              <w:rPr>
                <w:rFonts w:ascii="Times New Roman" w:hAnsi="Times New Roman" w:cs="Times New Roman"/>
              </w:rPr>
              <w:t>4,12</w:t>
            </w:r>
          </w:p>
        </w:tc>
      </w:tr>
      <w:tr w:rsidR="00A8029E" w:rsidRPr="001031F1" w14:paraId="06E402B0" w14:textId="77777777" w:rsidTr="00E25EF5">
        <w:tc>
          <w:tcPr>
            <w:tcW w:w="5637" w:type="dxa"/>
          </w:tcPr>
          <w:p w14:paraId="22F8D9B3" w14:textId="562B4604" w:rsidR="00A8029E" w:rsidRPr="001031F1" w:rsidRDefault="00A8029E" w:rsidP="00991C20">
            <w:pPr>
              <w:rPr>
                <w:rFonts w:ascii="Times New Roman" w:hAnsi="Times New Roman" w:cs="Times New Roman"/>
              </w:rPr>
            </w:pPr>
            <w:r w:rsidRPr="001031F1">
              <w:rPr>
                <w:rFonts w:ascii="Times New Roman" w:hAnsi="Times New Roman" w:cs="Times New Roman"/>
              </w:rPr>
              <w:t>Potenciālais finansējuma apjoms (</w:t>
            </w:r>
            <w:proofErr w:type="spellStart"/>
            <w:r w:rsidRPr="001031F1">
              <w:rPr>
                <w:rFonts w:ascii="Times New Roman" w:hAnsi="Times New Roman" w:cs="Times New Roman"/>
              </w:rPr>
              <w:t>milj.</w:t>
            </w:r>
            <w:r w:rsidRPr="001031F1">
              <w:rPr>
                <w:rFonts w:ascii="Times New Roman" w:hAnsi="Times New Roman" w:cs="Times New Roman"/>
                <w:i/>
              </w:rPr>
              <w:t>euro</w:t>
            </w:r>
            <w:proofErr w:type="spellEnd"/>
            <w:r w:rsidRPr="001031F1">
              <w:rPr>
                <w:rFonts w:ascii="Times New Roman" w:hAnsi="Times New Roman" w:cs="Times New Roman"/>
              </w:rPr>
              <w:t xml:space="preserve">) pie 2018. gada decembra vidējās cenas - 22,96 </w:t>
            </w:r>
            <w:proofErr w:type="spellStart"/>
            <w:r w:rsidRPr="001031F1">
              <w:rPr>
                <w:rFonts w:ascii="Times New Roman" w:hAnsi="Times New Roman" w:cs="Times New Roman"/>
                <w:i/>
              </w:rPr>
              <w:t>euro</w:t>
            </w:r>
            <w:proofErr w:type="spellEnd"/>
          </w:p>
        </w:tc>
        <w:tc>
          <w:tcPr>
            <w:tcW w:w="3289" w:type="dxa"/>
          </w:tcPr>
          <w:p w14:paraId="3FC46CF6" w14:textId="71B9D59C" w:rsidR="00A8029E" w:rsidRPr="001031F1" w:rsidRDefault="00A8029E" w:rsidP="00682FCA">
            <w:pPr>
              <w:jc w:val="center"/>
              <w:rPr>
                <w:rFonts w:ascii="Times New Roman" w:hAnsi="Times New Roman" w:cs="Times New Roman"/>
              </w:rPr>
            </w:pPr>
            <w:r w:rsidRPr="001031F1">
              <w:rPr>
                <w:rFonts w:ascii="Times New Roman" w:hAnsi="Times New Roman" w:cs="Times New Roman"/>
                <w:color w:val="000000"/>
              </w:rPr>
              <w:t>94,53</w:t>
            </w:r>
          </w:p>
        </w:tc>
      </w:tr>
      <w:tr w:rsidR="00A8029E" w:rsidRPr="001031F1" w14:paraId="4C40ABD5" w14:textId="77777777" w:rsidTr="00E25EF5">
        <w:tc>
          <w:tcPr>
            <w:tcW w:w="5637" w:type="dxa"/>
          </w:tcPr>
          <w:p w14:paraId="7447CC5D" w14:textId="478E7F4D" w:rsidR="00A8029E" w:rsidRPr="001031F1" w:rsidRDefault="00A8029E" w:rsidP="00682FCA">
            <w:pPr>
              <w:rPr>
                <w:rFonts w:ascii="Times New Roman" w:hAnsi="Times New Roman" w:cs="Times New Roman"/>
              </w:rPr>
            </w:pPr>
            <w:r w:rsidRPr="001031F1">
              <w:rPr>
                <w:rFonts w:ascii="Times New Roman" w:hAnsi="Times New Roman" w:cs="Times New Roman"/>
              </w:rPr>
              <w:t xml:space="preserve">Potenciālais finansējuma apjoms (milj. </w:t>
            </w:r>
            <w:proofErr w:type="spellStart"/>
            <w:r w:rsidRPr="001031F1">
              <w:rPr>
                <w:rFonts w:ascii="Times New Roman" w:hAnsi="Times New Roman" w:cs="Times New Roman"/>
                <w:i/>
              </w:rPr>
              <w:t>euro</w:t>
            </w:r>
            <w:proofErr w:type="spellEnd"/>
            <w:r w:rsidRPr="001031F1">
              <w:rPr>
                <w:rFonts w:ascii="Times New Roman" w:hAnsi="Times New Roman" w:cs="Times New Roman"/>
              </w:rPr>
              <w:t>) pie EK prognozētās vidējās cenas -25</w:t>
            </w:r>
            <w:r w:rsidR="006063CA" w:rsidRPr="001031F1">
              <w:rPr>
                <w:rFonts w:ascii="Times New Roman" w:hAnsi="Times New Roman" w:cs="Times New Roman"/>
                <w:i/>
              </w:rPr>
              <w:t xml:space="preserve"> </w:t>
            </w:r>
            <w:proofErr w:type="spellStart"/>
            <w:r w:rsidR="006063CA" w:rsidRPr="001031F1">
              <w:rPr>
                <w:rFonts w:ascii="Times New Roman" w:hAnsi="Times New Roman" w:cs="Times New Roman"/>
                <w:i/>
              </w:rPr>
              <w:t>euro</w:t>
            </w:r>
            <w:proofErr w:type="spellEnd"/>
          </w:p>
        </w:tc>
        <w:tc>
          <w:tcPr>
            <w:tcW w:w="3289" w:type="dxa"/>
          </w:tcPr>
          <w:p w14:paraId="0177EEFF" w14:textId="77777777" w:rsidR="00A8029E" w:rsidRPr="001031F1" w:rsidRDefault="00A8029E" w:rsidP="00682FCA">
            <w:pPr>
              <w:jc w:val="center"/>
              <w:rPr>
                <w:rFonts w:ascii="Times New Roman" w:hAnsi="Times New Roman" w:cs="Times New Roman"/>
              </w:rPr>
            </w:pPr>
            <w:r w:rsidRPr="001031F1">
              <w:rPr>
                <w:rFonts w:ascii="Times New Roman" w:hAnsi="Times New Roman" w:cs="Times New Roman"/>
              </w:rPr>
              <w:t>102,9</w:t>
            </w:r>
          </w:p>
        </w:tc>
      </w:tr>
      <w:tr w:rsidR="00A8029E" w:rsidRPr="001031F1" w14:paraId="1C448768" w14:textId="77777777" w:rsidTr="00E25EF5">
        <w:tc>
          <w:tcPr>
            <w:tcW w:w="5637" w:type="dxa"/>
          </w:tcPr>
          <w:p w14:paraId="680CEC9C" w14:textId="03F10A47" w:rsidR="00A8029E" w:rsidRPr="001031F1" w:rsidRDefault="00A8029E" w:rsidP="00682FCA">
            <w:pPr>
              <w:rPr>
                <w:rFonts w:ascii="Times New Roman" w:hAnsi="Times New Roman" w:cs="Times New Roman"/>
              </w:rPr>
            </w:pPr>
            <w:r w:rsidRPr="001031F1">
              <w:rPr>
                <w:rFonts w:ascii="Times New Roman" w:hAnsi="Times New Roman" w:cs="Times New Roman"/>
              </w:rPr>
              <w:t xml:space="preserve">Potenciālais finansējuma apjoms pie </w:t>
            </w:r>
            <w:proofErr w:type="spellStart"/>
            <w:r w:rsidRPr="001031F1">
              <w:rPr>
                <w:rFonts w:ascii="Times New Roman" w:hAnsi="Times New Roman" w:cs="Times New Roman"/>
              </w:rPr>
              <w:t>CarbonPulse</w:t>
            </w:r>
            <w:proofErr w:type="spellEnd"/>
            <w:r w:rsidRPr="001031F1">
              <w:rPr>
                <w:rFonts w:ascii="Times New Roman" w:hAnsi="Times New Roman" w:cs="Times New Roman"/>
              </w:rPr>
              <w:t xml:space="preserve"> vidējās cenu prognozes periodā – 28,58 </w:t>
            </w:r>
            <w:proofErr w:type="spellStart"/>
            <w:r w:rsidRPr="001031F1">
              <w:rPr>
                <w:rFonts w:ascii="Times New Roman" w:hAnsi="Times New Roman" w:cs="Times New Roman"/>
                <w:i/>
              </w:rPr>
              <w:t>euro</w:t>
            </w:r>
            <w:proofErr w:type="spellEnd"/>
            <w:r w:rsidR="00C17F61">
              <w:rPr>
                <w:rFonts w:ascii="Times New Roman" w:hAnsi="Times New Roman" w:cs="Times New Roman"/>
                <w:i/>
              </w:rPr>
              <w:t xml:space="preserve"> </w:t>
            </w:r>
          </w:p>
        </w:tc>
        <w:tc>
          <w:tcPr>
            <w:tcW w:w="3289" w:type="dxa"/>
          </w:tcPr>
          <w:p w14:paraId="52DDFB88" w14:textId="77777777" w:rsidR="00A8029E" w:rsidRPr="001031F1" w:rsidRDefault="00A8029E" w:rsidP="00682FCA">
            <w:pPr>
              <w:jc w:val="center"/>
              <w:rPr>
                <w:rFonts w:ascii="Times New Roman" w:hAnsi="Times New Roman" w:cs="Times New Roman"/>
              </w:rPr>
            </w:pPr>
            <w:r w:rsidRPr="001031F1">
              <w:rPr>
                <w:rFonts w:ascii="Times New Roman" w:hAnsi="Times New Roman" w:cs="Times New Roman"/>
              </w:rPr>
              <w:t>117,6</w:t>
            </w:r>
          </w:p>
        </w:tc>
      </w:tr>
    </w:tbl>
    <w:p w14:paraId="14348A7C" w14:textId="77777777" w:rsidR="00100A4B" w:rsidRDefault="00100A4B" w:rsidP="00FC1D8B">
      <w:pPr>
        <w:spacing w:after="0"/>
        <w:ind w:right="-625" w:firstLine="567"/>
        <w:jc w:val="both"/>
        <w:rPr>
          <w:rFonts w:ascii="Times New Roman" w:eastAsia="Arial Unicode MS" w:hAnsi="Times New Roman" w:cs="Times New Roman"/>
          <w:sz w:val="24"/>
          <w:szCs w:val="24"/>
          <w:shd w:val="clear" w:color="auto" w:fill="FFFFFF"/>
        </w:rPr>
      </w:pPr>
    </w:p>
    <w:p w14:paraId="5E6D1345" w14:textId="421188B8" w:rsidR="001A196E" w:rsidRPr="003A6971" w:rsidRDefault="007D114A" w:rsidP="00FC1D8B">
      <w:pPr>
        <w:spacing w:after="0"/>
        <w:ind w:right="-625" w:firstLine="567"/>
        <w:jc w:val="both"/>
        <w:rPr>
          <w:rFonts w:ascii="Times New Roman" w:eastAsia="Arial Unicode MS" w:hAnsi="Times New Roman" w:cs="Times New Roman"/>
          <w:sz w:val="24"/>
          <w:szCs w:val="24"/>
          <w:shd w:val="clear" w:color="auto" w:fill="FFFFFF"/>
        </w:rPr>
      </w:pPr>
      <w:proofErr w:type="spellStart"/>
      <w:r>
        <w:rPr>
          <w:rFonts w:ascii="Times New Roman" w:eastAsia="Arial Unicode MS" w:hAnsi="Times New Roman" w:cs="Times New Roman"/>
          <w:sz w:val="24"/>
          <w:szCs w:val="24"/>
          <w:shd w:val="clear" w:color="auto" w:fill="FFFFFF"/>
        </w:rPr>
        <w:t>Derogācijai</w:t>
      </w:r>
      <w:proofErr w:type="spellEnd"/>
      <w:r>
        <w:rPr>
          <w:rFonts w:ascii="Times New Roman" w:eastAsia="Arial Unicode MS" w:hAnsi="Times New Roman" w:cs="Times New Roman"/>
          <w:sz w:val="24"/>
          <w:szCs w:val="24"/>
          <w:shd w:val="clear" w:color="auto" w:fill="FFFFFF"/>
        </w:rPr>
        <w:t xml:space="preserve"> </w:t>
      </w:r>
      <w:r>
        <w:rPr>
          <w:rFonts w:ascii="Times New Roman" w:eastAsia="Arial Unicode MS" w:hAnsi="Times New Roman" w:cs="Times New Roman"/>
          <w:bCs/>
          <w:sz w:val="24"/>
          <w:szCs w:val="24"/>
          <w:shd w:val="clear" w:color="auto" w:fill="FFFFFF"/>
        </w:rPr>
        <w:t>piešķirtās bezmaksas</w:t>
      </w:r>
      <w:r w:rsidRPr="003A6971">
        <w:rPr>
          <w:rFonts w:ascii="Times New Roman" w:eastAsia="Arial Unicode MS" w:hAnsi="Times New Roman" w:cs="Times New Roman"/>
          <w:bCs/>
          <w:sz w:val="24"/>
          <w:szCs w:val="24"/>
          <w:shd w:val="clear" w:color="auto" w:fill="FFFFFF"/>
        </w:rPr>
        <w:t xml:space="preserve"> kvotas enerģētikas nozares modernizācijai</w:t>
      </w:r>
      <w:r>
        <w:rPr>
          <w:rFonts w:ascii="Times New Roman" w:eastAsia="Arial Unicode MS" w:hAnsi="Times New Roman" w:cs="Times New Roman"/>
          <w:sz w:val="24"/>
          <w:szCs w:val="24"/>
          <w:shd w:val="clear" w:color="auto" w:fill="FFFFFF"/>
        </w:rPr>
        <w:t xml:space="preserve"> (elektroenerģijas </w:t>
      </w:r>
      <w:r w:rsidRPr="003A6971">
        <w:rPr>
          <w:rFonts w:ascii="Times New Roman" w:eastAsia="Arial Unicode MS" w:hAnsi="Times New Roman" w:cs="Times New Roman"/>
          <w:sz w:val="24"/>
          <w:szCs w:val="24"/>
          <w:shd w:val="clear" w:color="auto" w:fill="FFFFFF"/>
        </w:rPr>
        <w:t>ražošanas iekārtām) atskaita no tā kvotu daudzuma, ko dalībvalsts izsolītu</w:t>
      </w:r>
      <w:r>
        <w:rPr>
          <w:rFonts w:ascii="Times New Roman" w:eastAsia="Arial Unicode MS" w:hAnsi="Times New Roman" w:cs="Times New Roman"/>
          <w:sz w:val="24"/>
          <w:szCs w:val="24"/>
          <w:shd w:val="clear" w:color="auto" w:fill="FFFFFF"/>
        </w:rPr>
        <w:t xml:space="preserve"> primārajā tirgū.</w:t>
      </w:r>
      <w:r w:rsidR="001A196E">
        <w:rPr>
          <w:rFonts w:ascii="Times New Roman" w:eastAsia="Arial Unicode MS" w:hAnsi="Times New Roman" w:cs="Times New Roman"/>
          <w:sz w:val="24"/>
          <w:szCs w:val="24"/>
          <w:shd w:val="clear" w:color="auto" w:fill="FFFFFF"/>
        </w:rPr>
        <w:t xml:space="preserve"> Saskaņā ar provizoriskiem aprēķiniem </w:t>
      </w:r>
      <w:r w:rsidR="001A196E" w:rsidRPr="003A6971">
        <w:rPr>
          <w:rFonts w:ascii="Times New Roman" w:eastAsia="Arial Unicode MS" w:hAnsi="Times New Roman" w:cs="Times New Roman"/>
          <w:sz w:val="24"/>
          <w:szCs w:val="24"/>
          <w:shd w:val="clear" w:color="auto" w:fill="FFFFFF"/>
        </w:rPr>
        <w:t>Latvija</w:t>
      </w:r>
      <w:r w:rsidR="002C0E4D">
        <w:rPr>
          <w:rFonts w:ascii="Times New Roman" w:eastAsia="Arial Unicode MS" w:hAnsi="Times New Roman" w:cs="Times New Roman"/>
          <w:sz w:val="24"/>
          <w:szCs w:val="24"/>
          <w:shd w:val="clear" w:color="auto" w:fill="FFFFFF"/>
        </w:rPr>
        <w:t xml:space="preserve"> </w:t>
      </w:r>
      <w:r w:rsidR="001A196E">
        <w:rPr>
          <w:rFonts w:ascii="Times New Roman" w:eastAsia="Arial Unicode MS" w:hAnsi="Times New Roman" w:cs="Times New Roman"/>
          <w:sz w:val="24"/>
          <w:szCs w:val="24"/>
          <w:shd w:val="clear" w:color="auto" w:fill="FFFFFF"/>
        </w:rPr>
        <w:t>ES ETS 4. </w:t>
      </w:r>
      <w:r w:rsidR="001A196E" w:rsidRPr="003A6971">
        <w:rPr>
          <w:rFonts w:ascii="Times New Roman" w:eastAsia="Arial Unicode MS" w:hAnsi="Times New Roman" w:cs="Times New Roman"/>
          <w:sz w:val="24"/>
          <w:szCs w:val="24"/>
          <w:shd w:val="clear" w:color="auto" w:fill="FFFFFF"/>
        </w:rPr>
        <w:t xml:space="preserve">periodā </w:t>
      </w:r>
      <w:r w:rsidR="002C0E4D">
        <w:rPr>
          <w:rFonts w:ascii="Times New Roman" w:eastAsia="Arial Unicode MS" w:hAnsi="Times New Roman" w:cs="Times New Roman"/>
          <w:sz w:val="24"/>
          <w:szCs w:val="24"/>
          <w:shd w:val="clear" w:color="auto" w:fill="FFFFFF"/>
        </w:rPr>
        <w:t xml:space="preserve">varētu izsolīt </w:t>
      </w:r>
      <w:r w:rsidR="001A196E">
        <w:rPr>
          <w:rFonts w:ascii="Times New Roman" w:eastAsia="Arial Unicode MS" w:hAnsi="Times New Roman" w:cs="Times New Roman"/>
          <w:sz w:val="24"/>
          <w:szCs w:val="24"/>
          <w:shd w:val="clear" w:color="auto" w:fill="FFFFFF"/>
        </w:rPr>
        <w:t>~</w:t>
      </w:r>
      <w:r w:rsidR="001A196E" w:rsidRPr="003A6971">
        <w:rPr>
          <w:rFonts w:ascii="Times New Roman" w:eastAsia="Arial Unicode MS" w:hAnsi="Times New Roman" w:cs="Times New Roman"/>
          <w:sz w:val="24"/>
          <w:szCs w:val="24"/>
          <w:shd w:val="clear" w:color="auto" w:fill="FFFFFF"/>
        </w:rPr>
        <w:t xml:space="preserve">16,07 </w:t>
      </w:r>
      <w:r w:rsidR="001A196E" w:rsidRPr="008F1729">
        <w:rPr>
          <w:rFonts w:ascii="Times New Roman" w:eastAsia="Arial Unicode MS" w:hAnsi="Times New Roman" w:cs="Times New Roman"/>
          <w:sz w:val="24"/>
          <w:szCs w:val="24"/>
          <w:shd w:val="clear" w:color="auto" w:fill="FFFFFF"/>
        </w:rPr>
        <w:t>miljoni emisij</w:t>
      </w:r>
      <w:r w:rsidR="001A196E" w:rsidRPr="00C64267">
        <w:rPr>
          <w:rFonts w:ascii="Times New Roman" w:eastAsia="Arial Unicode MS" w:hAnsi="Times New Roman" w:cs="Times New Roman"/>
          <w:sz w:val="24"/>
          <w:szCs w:val="24"/>
          <w:shd w:val="clear" w:color="auto" w:fill="FFFFFF"/>
        </w:rPr>
        <w:t>as</w:t>
      </w:r>
      <w:r w:rsidR="001A196E" w:rsidRPr="008F1729">
        <w:rPr>
          <w:rFonts w:ascii="Times New Roman" w:eastAsia="Arial Unicode MS" w:hAnsi="Times New Roman" w:cs="Times New Roman"/>
          <w:sz w:val="24"/>
          <w:szCs w:val="24"/>
          <w:shd w:val="clear" w:color="auto" w:fill="FFFFFF"/>
        </w:rPr>
        <w:t xml:space="preserve"> kvotu</w:t>
      </w:r>
      <w:r w:rsidR="001A196E" w:rsidRPr="003A6971">
        <w:rPr>
          <w:rStyle w:val="FootnoteReference"/>
          <w:rFonts w:ascii="Times New Roman" w:eastAsia="Arial Unicode MS" w:hAnsi="Times New Roman" w:cs="Times New Roman"/>
          <w:sz w:val="24"/>
          <w:szCs w:val="24"/>
          <w:shd w:val="clear" w:color="auto" w:fill="FFFFFF"/>
        </w:rPr>
        <w:footnoteReference w:id="25"/>
      </w:r>
      <w:r w:rsidR="00585789">
        <w:rPr>
          <w:rFonts w:ascii="Times New Roman" w:eastAsia="Arial Unicode MS" w:hAnsi="Times New Roman" w:cs="Times New Roman"/>
          <w:sz w:val="24"/>
          <w:szCs w:val="24"/>
          <w:shd w:val="clear" w:color="auto" w:fill="FFFFFF"/>
        </w:rPr>
        <w:t>.</w:t>
      </w:r>
      <w:r w:rsidR="00F05DD1">
        <w:rPr>
          <w:rFonts w:ascii="Times New Roman" w:eastAsia="Arial Unicode MS" w:hAnsi="Times New Roman" w:cs="Times New Roman"/>
          <w:sz w:val="24"/>
          <w:szCs w:val="24"/>
          <w:shd w:val="clear" w:color="auto" w:fill="FFFFFF"/>
        </w:rPr>
        <w:t xml:space="preserve"> </w:t>
      </w:r>
      <w:r w:rsidR="00585789">
        <w:rPr>
          <w:rFonts w:ascii="Times New Roman" w:eastAsia="Arial Unicode MS" w:hAnsi="Times New Roman" w:cs="Times New Roman"/>
          <w:sz w:val="24"/>
          <w:szCs w:val="24"/>
          <w:shd w:val="clear" w:color="auto" w:fill="FFFFFF"/>
        </w:rPr>
        <w:t>J</w:t>
      </w:r>
      <w:r w:rsidR="00F05DD1">
        <w:rPr>
          <w:rFonts w:ascii="Times New Roman" w:eastAsia="Arial Unicode MS" w:hAnsi="Times New Roman" w:cs="Times New Roman"/>
          <w:sz w:val="24"/>
          <w:szCs w:val="24"/>
          <w:shd w:val="clear" w:color="auto" w:fill="FFFFFF"/>
        </w:rPr>
        <w:t>āuzsver, ka</w:t>
      </w:r>
      <w:r w:rsidR="007E3915">
        <w:rPr>
          <w:rFonts w:ascii="Times New Roman" w:eastAsia="Arial Unicode MS" w:hAnsi="Times New Roman" w:cs="Times New Roman"/>
          <w:sz w:val="24"/>
          <w:szCs w:val="24"/>
          <w:shd w:val="clear" w:color="auto" w:fill="FFFFFF"/>
        </w:rPr>
        <w:t>,</w:t>
      </w:r>
      <w:r w:rsidR="00F05DD1">
        <w:rPr>
          <w:rFonts w:ascii="Times New Roman" w:eastAsia="Arial Unicode MS" w:hAnsi="Times New Roman" w:cs="Times New Roman"/>
          <w:sz w:val="24"/>
          <w:szCs w:val="24"/>
          <w:shd w:val="clear" w:color="auto" w:fill="FFFFFF"/>
        </w:rPr>
        <w:t xml:space="preserve"> sākot ar 2019. gadu</w:t>
      </w:r>
      <w:r w:rsidR="007E3915">
        <w:rPr>
          <w:rFonts w:ascii="Times New Roman" w:eastAsia="Arial Unicode MS" w:hAnsi="Times New Roman" w:cs="Times New Roman"/>
          <w:sz w:val="24"/>
          <w:szCs w:val="24"/>
          <w:shd w:val="clear" w:color="auto" w:fill="FFFFFF"/>
        </w:rPr>
        <w:t>,</w:t>
      </w:r>
      <w:r w:rsidR="00F05DD1">
        <w:rPr>
          <w:rFonts w:ascii="Times New Roman" w:eastAsia="Arial Unicode MS" w:hAnsi="Times New Roman" w:cs="Times New Roman"/>
          <w:sz w:val="24"/>
          <w:szCs w:val="24"/>
          <w:shd w:val="clear" w:color="auto" w:fill="FFFFFF"/>
        </w:rPr>
        <w:t xml:space="preserve"> darbību uzsāk tirgus stabilitātes rezerve</w:t>
      </w:r>
      <w:r w:rsidR="00585789">
        <w:rPr>
          <w:rStyle w:val="FootnoteReference"/>
          <w:rFonts w:ascii="Times New Roman" w:eastAsia="Arial Unicode MS" w:hAnsi="Times New Roman" w:cs="Times New Roman"/>
          <w:sz w:val="24"/>
          <w:szCs w:val="24"/>
          <w:shd w:val="clear" w:color="auto" w:fill="FFFFFF"/>
        </w:rPr>
        <w:footnoteReference w:id="26"/>
      </w:r>
      <w:r w:rsidR="00F05DD1">
        <w:rPr>
          <w:rFonts w:ascii="Times New Roman" w:eastAsia="Arial Unicode MS" w:hAnsi="Times New Roman" w:cs="Times New Roman"/>
          <w:sz w:val="24"/>
          <w:szCs w:val="24"/>
          <w:shd w:val="clear" w:color="auto" w:fill="FFFFFF"/>
        </w:rPr>
        <w:t>, ka</w:t>
      </w:r>
      <w:r w:rsidR="007E3915">
        <w:rPr>
          <w:rFonts w:ascii="Times New Roman" w:eastAsia="Arial Unicode MS" w:hAnsi="Times New Roman" w:cs="Times New Roman"/>
          <w:sz w:val="24"/>
          <w:szCs w:val="24"/>
          <w:shd w:val="clear" w:color="auto" w:fill="FFFFFF"/>
        </w:rPr>
        <w:t>s</w:t>
      </w:r>
      <w:r w:rsidR="00F05DD1">
        <w:rPr>
          <w:rFonts w:ascii="Times New Roman" w:eastAsia="Arial Unicode MS" w:hAnsi="Times New Roman" w:cs="Times New Roman"/>
          <w:sz w:val="24"/>
          <w:szCs w:val="24"/>
          <w:shd w:val="clear" w:color="auto" w:fill="FFFFFF"/>
        </w:rPr>
        <w:t xml:space="preserve"> </w:t>
      </w:r>
      <w:r w:rsidR="007E3915">
        <w:rPr>
          <w:rFonts w:ascii="Times New Roman" w:eastAsia="Arial Unicode MS" w:hAnsi="Times New Roman" w:cs="Times New Roman"/>
          <w:sz w:val="24"/>
          <w:szCs w:val="24"/>
          <w:shd w:val="clear" w:color="auto" w:fill="FFFFFF"/>
        </w:rPr>
        <w:t xml:space="preserve">balstoties uz indikatīviem aprēķiniem </w:t>
      </w:r>
      <w:r w:rsidR="00F05DD1">
        <w:rPr>
          <w:rFonts w:ascii="Times New Roman" w:eastAsia="Arial Unicode MS" w:hAnsi="Times New Roman" w:cs="Times New Roman"/>
          <w:sz w:val="24"/>
          <w:szCs w:val="24"/>
          <w:shd w:val="clear" w:color="auto" w:fill="FFFFFF"/>
        </w:rPr>
        <w:t>faktiski nozīmēs</w:t>
      </w:r>
      <w:r w:rsidR="007E3915">
        <w:rPr>
          <w:rFonts w:ascii="Times New Roman" w:eastAsia="Arial Unicode MS" w:hAnsi="Times New Roman" w:cs="Times New Roman"/>
          <w:sz w:val="24"/>
          <w:szCs w:val="24"/>
          <w:shd w:val="clear" w:color="auto" w:fill="FFFFFF"/>
        </w:rPr>
        <w:t xml:space="preserve"> to</w:t>
      </w:r>
      <w:r w:rsidR="00F05DD1">
        <w:rPr>
          <w:rFonts w:ascii="Times New Roman" w:eastAsia="Arial Unicode MS" w:hAnsi="Times New Roman" w:cs="Times New Roman"/>
          <w:sz w:val="24"/>
          <w:szCs w:val="24"/>
          <w:shd w:val="clear" w:color="auto" w:fill="FFFFFF"/>
        </w:rPr>
        <w:t xml:space="preserve">, ka </w:t>
      </w:r>
      <w:r w:rsidR="00F05DD1">
        <w:rPr>
          <w:rFonts w:ascii="Times New Roman" w:eastAsia="Arial Unicode MS" w:hAnsi="Times New Roman" w:cs="Times New Roman"/>
          <w:sz w:val="24"/>
          <w:szCs w:val="24"/>
          <w:shd w:val="clear" w:color="auto" w:fill="FFFFFF"/>
        </w:rPr>
        <w:lastRenderedPageBreak/>
        <w:t xml:space="preserve">dalībvalstis aptuveni līdz 2024. gadam </w:t>
      </w:r>
      <w:r w:rsidR="007E3915">
        <w:rPr>
          <w:rFonts w:ascii="Times New Roman" w:eastAsia="Arial Unicode MS" w:hAnsi="Times New Roman" w:cs="Times New Roman"/>
          <w:sz w:val="24"/>
          <w:szCs w:val="24"/>
          <w:shd w:val="clear" w:color="auto" w:fill="FFFFFF"/>
        </w:rPr>
        <w:t xml:space="preserve">visdrīzāk izsolīs emisijas kvotas samazinātā apjomā. </w:t>
      </w:r>
      <w:r w:rsidR="00585789">
        <w:rPr>
          <w:rFonts w:ascii="Times New Roman" w:eastAsia="Arial Unicode MS" w:hAnsi="Times New Roman" w:cs="Times New Roman"/>
          <w:sz w:val="24"/>
          <w:szCs w:val="24"/>
          <w:shd w:val="clear" w:color="auto" w:fill="FFFFFF"/>
        </w:rPr>
        <w:t xml:space="preserve">Latvijas gadījumā tirgus stabilitātes rezerves gadījumā līdz 2024. gadam izsolāmie apjomi varētu būt par ~ 1,8 milj. emisijas kvotām mazāk. </w:t>
      </w:r>
      <w:r w:rsidR="002455B8">
        <w:rPr>
          <w:rFonts w:ascii="Times New Roman" w:eastAsia="Arial Unicode MS" w:hAnsi="Times New Roman" w:cs="Times New Roman"/>
          <w:sz w:val="24"/>
          <w:szCs w:val="24"/>
          <w:shd w:val="clear" w:color="auto" w:fill="FFFFFF"/>
        </w:rPr>
        <w:t>No Latvijas izsolāmā emisijas kvotu apjoma, p</w:t>
      </w:r>
      <w:r w:rsidR="007E3915">
        <w:rPr>
          <w:rFonts w:ascii="Times New Roman" w:eastAsia="Arial Unicode MS" w:hAnsi="Times New Roman" w:cs="Times New Roman"/>
          <w:sz w:val="24"/>
          <w:szCs w:val="24"/>
          <w:shd w:val="clear" w:color="auto" w:fill="FFFFFF"/>
        </w:rPr>
        <w:t>otenciāli atņemot vēl</w:t>
      </w:r>
      <w:r w:rsidR="00585789">
        <w:rPr>
          <w:rFonts w:ascii="Times New Roman" w:eastAsia="Arial Unicode MS" w:hAnsi="Times New Roman" w:cs="Times New Roman"/>
          <w:sz w:val="24"/>
          <w:szCs w:val="24"/>
          <w:shd w:val="clear" w:color="auto" w:fill="FFFFFF"/>
        </w:rPr>
        <w:t xml:space="preserve"> </w:t>
      </w:r>
      <w:proofErr w:type="spellStart"/>
      <w:r w:rsidR="00585789">
        <w:rPr>
          <w:rFonts w:ascii="Times New Roman" w:eastAsia="Arial Unicode MS" w:hAnsi="Times New Roman" w:cs="Times New Roman"/>
          <w:sz w:val="24"/>
          <w:szCs w:val="24"/>
          <w:shd w:val="clear" w:color="auto" w:fill="FFFFFF"/>
        </w:rPr>
        <w:t>derogācijai</w:t>
      </w:r>
      <w:proofErr w:type="spellEnd"/>
      <w:r w:rsidR="00585789">
        <w:rPr>
          <w:rFonts w:ascii="Times New Roman" w:eastAsia="Arial Unicode MS" w:hAnsi="Times New Roman" w:cs="Times New Roman"/>
          <w:sz w:val="24"/>
          <w:szCs w:val="24"/>
          <w:shd w:val="clear" w:color="auto" w:fill="FFFFFF"/>
        </w:rPr>
        <w:t xml:space="preserve"> </w:t>
      </w:r>
      <w:r w:rsidR="002455B8">
        <w:rPr>
          <w:rFonts w:ascii="Times New Roman" w:eastAsia="Arial Unicode MS" w:hAnsi="Times New Roman" w:cs="Times New Roman"/>
          <w:sz w:val="24"/>
          <w:szCs w:val="24"/>
          <w:shd w:val="clear" w:color="auto" w:fill="FFFFFF"/>
        </w:rPr>
        <w:t xml:space="preserve">nepieciešamās </w:t>
      </w:r>
      <w:r w:rsidR="00585789">
        <w:rPr>
          <w:rFonts w:ascii="Times New Roman" w:eastAsia="Arial Unicode MS" w:hAnsi="Times New Roman" w:cs="Times New Roman"/>
          <w:sz w:val="24"/>
          <w:szCs w:val="24"/>
          <w:shd w:val="clear" w:color="auto" w:fill="FFFFFF"/>
        </w:rPr>
        <w:t>emisijas kvotas, Latvijai ievērojami samazinātos izsoļu ieņēmumi, kas ir nacionālās budžeta programmas EKII finansējums</w:t>
      </w:r>
      <w:r w:rsidR="00FC1D8B">
        <w:rPr>
          <w:rFonts w:ascii="Times New Roman" w:eastAsia="Arial Unicode MS" w:hAnsi="Times New Roman" w:cs="Times New Roman"/>
          <w:sz w:val="24"/>
          <w:szCs w:val="24"/>
          <w:shd w:val="clear" w:color="auto" w:fill="FFFFFF"/>
        </w:rPr>
        <w:t xml:space="preserve">. </w:t>
      </w:r>
      <w:proofErr w:type="spellStart"/>
      <w:r w:rsidR="00A93673">
        <w:rPr>
          <w:rFonts w:ascii="Times New Roman" w:eastAsia="Arial Unicode MS" w:hAnsi="Times New Roman" w:cs="Times New Roman"/>
          <w:sz w:val="24"/>
          <w:szCs w:val="24"/>
          <w:shd w:val="clear" w:color="auto" w:fill="FFFFFF"/>
        </w:rPr>
        <w:t>Derogācijas</w:t>
      </w:r>
      <w:proofErr w:type="spellEnd"/>
      <w:r w:rsidR="00FC1D8B">
        <w:rPr>
          <w:rFonts w:ascii="Times New Roman" w:eastAsia="Arial Unicode MS" w:hAnsi="Times New Roman" w:cs="Times New Roman"/>
          <w:sz w:val="24"/>
          <w:szCs w:val="24"/>
          <w:shd w:val="clear" w:color="auto" w:fill="FFFFFF"/>
        </w:rPr>
        <w:t xml:space="preserve"> scenārija gadījumā EKII budžets samazinātos par 102,9 milj. </w:t>
      </w:r>
      <w:proofErr w:type="spellStart"/>
      <w:r w:rsidR="00FC1D8B" w:rsidRPr="00252E6E">
        <w:rPr>
          <w:rFonts w:ascii="Times New Roman" w:eastAsia="Arial Unicode MS" w:hAnsi="Times New Roman" w:cs="Times New Roman"/>
          <w:i/>
          <w:sz w:val="24"/>
          <w:szCs w:val="24"/>
          <w:shd w:val="clear" w:color="auto" w:fill="FFFFFF"/>
        </w:rPr>
        <w:t>euro</w:t>
      </w:r>
      <w:proofErr w:type="spellEnd"/>
      <w:r w:rsidR="00416AE3">
        <w:rPr>
          <w:rFonts w:ascii="Times New Roman" w:eastAsia="Arial Unicode MS" w:hAnsi="Times New Roman" w:cs="Times New Roman"/>
          <w:sz w:val="24"/>
          <w:szCs w:val="24"/>
          <w:shd w:val="clear" w:color="auto" w:fill="FFFFFF"/>
        </w:rPr>
        <w:t>.</w:t>
      </w:r>
      <w:r w:rsidR="00FC1D8B">
        <w:rPr>
          <w:rFonts w:ascii="Times New Roman" w:eastAsia="Arial Unicode MS" w:hAnsi="Times New Roman" w:cs="Times New Roman"/>
          <w:sz w:val="24"/>
          <w:szCs w:val="24"/>
          <w:shd w:val="clear" w:color="auto" w:fill="FFFFFF"/>
        </w:rPr>
        <w:t xml:space="preserve"> </w:t>
      </w:r>
    </w:p>
    <w:p w14:paraId="41B20A08" w14:textId="35B6C1CD" w:rsidR="00D11B4D" w:rsidRPr="009E18A3" w:rsidRDefault="00D11B4D" w:rsidP="00DE7752">
      <w:pPr>
        <w:spacing w:after="0"/>
        <w:ind w:right="-625" w:firstLine="360"/>
        <w:jc w:val="both"/>
        <w:rPr>
          <w:rFonts w:ascii="Times New Roman" w:hAnsi="Times New Roman" w:cs="Times New Roman"/>
          <w:sz w:val="24"/>
          <w:szCs w:val="24"/>
        </w:rPr>
      </w:pPr>
      <w:r>
        <w:rPr>
          <w:rFonts w:ascii="Times New Roman" w:hAnsi="Times New Roman" w:cs="Times New Roman"/>
          <w:sz w:val="24"/>
          <w:szCs w:val="24"/>
        </w:rPr>
        <w:t xml:space="preserve">EKII ir vienīgais </w:t>
      </w:r>
      <w:r w:rsidR="00682FCA">
        <w:rPr>
          <w:rFonts w:ascii="Times New Roman" w:hAnsi="Times New Roman" w:cs="Times New Roman"/>
          <w:sz w:val="24"/>
          <w:szCs w:val="24"/>
        </w:rPr>
        <w:t xml:space="preserve">nacionālais </w:t>
      </w:r>
      <w:r>
        <w:rPr>
          <w:rFonts w:ascii="Times New Roman" w:hAnsi="Times New Roman" w:cs="Times New Roman"/>
          <w:sz w:val="24"/>
          <w:szCs w:val="24"/>
        </w:rPr>
        <w:t xml:space="preserve">specializētais instruments Latvijā, kas vērsts </w:t>
      </w:r>
      <w:r w:rsidR="00021933">
        <w:rPr>
          <w:rFonts w:ascii="Times New Roman" w:hAnsi="Times New Roman" w:cs="Times New Roman"/>
          <w:sz w:val="24"/>
          <w:szCs w:val="24"/>
        </w:rPr>
        <w:t xml:space="preserve">specifiski </w:t>
      </w:r>
      <w:r>
        <w:rPr>
          <w:rFonts w:ascii="Times New Roman" w:hAnsi="Times New Roman" w:cs="Times New Roman"/>
          <w:sz w:val="24"/>
          <w:szCs w:val="24"/>
        </w:rPr>
        <w:t xml:space="preserve">uz klimata politikas mērķu sasniegšanu. EKII ieņēmumus izmanto, lai mazinātu klimata pārmaiņas un nodrošinātu </w:t>
      </w:r>
      <w:r w:rsidRPr="002700C6">
        <w:rPr>
          <w:rFonts w:ascii="Times New Roman" w:hAnsi="Times New Roman" w:cs="Times New Roman"/>
          <w:sz w:val="24"/>
          <w:szCs w:val="24"/>
        </w:rPr>
        <w:t>pielāgošanos klimata pārmaiņām, t.sk. SEG emisiju samazināšanai vai ierobežošanai enerģētikas, rūpniecības, transporta, lauksaimniecības</w:t>
      </w:r>
      <w:r w:rsidR="00682FCA" w:rsidRPr="002700C6">
        <w:rPr>
          <w:rFonts w:ascii="Times New Roman" w:hAnsi="Times New Roman" w:cs="Times New Roman"/>
          <w:sz w:val="24"/>
          <w:szCs w:val="24"/>
        </w:rPr>
        <w:t>, mežsaimniecības</w:t>
      </w:r>
      <w:r w:rsidRPr="002700C6">
        <w:rPr>
          <w:rFonts w:ascii="Times New Roman" w:hAnsi="Times New Roman" w:cs="Times New Roman"/>
          <w:sz w:val="24"/>
          <w:szCs w:val="24"/>
        </w:rPr>
        <w:t xml:space="preserve"> un atkritumu apsaimniekošanas nozarēs</w:t>
      </w:r>
      <w:r w:rsidR="00682FCA" w:rsidRPr="002700C6">
        <w:rPr>
          <w:rFonts w:ascii="Times New Roman" w:hAnsi="Times New Roman" w:cs="Times New Roman"/>
          <w:sz w:val="24"/>
          <w:szCs w:val="24"/>
        </w:rPr>
        <w:t xml:space="preserve">, </w:t>
      </w:r>
      <w:r w:rsidR="00682FCA" w:rsidRPr="002700C6">
        <w:rPr>
          <w:rFonts w:ascii="Times New Roman" w:hAnsi="Times New Roman" w:cs="Times New Roman"/>
          <w:sz w:val="24"/>
          <w:szCs w:val="24"/>
          <w:shd w:val="clear" w:color="auto" w:fill="FFFFFF"/>
        </w:rPr>
        <w:t>kā arī iespēju pielāgoties klimata pārmaiņām palielināšanai</w:t>
      </w:r>
      <w:r w:rsidRPr="002700C6">
        <w:rPr>
          <w:rFonts w:ascii="Times New Roman" w:hAnsi="Times New Roman" w:cs="Times New Roman"/>
          <w:sz w:val="24"/>
          <w:szCs w:val="24"/>
        </w:rPr>
        <w:t xml:space="preserve">. </w:t>
      </w:r>
      <w:r w:rsidR="00E71D83" w:rsidRPr="002700C6">
        <w:rPr>
          <w:rFonts w:ascii="Times New Roman" w:hAnsi="Times New Roman" w:cs="Times New Roman"/>
          <w:sz w:val="24"/>
          <w:szCs w:val="24"/>
        </w:rPr>
        <w:t xml:space="preserve">Būtiski norādīt, ka EKII izmantojams arī ANO </w:t>
      </w:r>
      <w:r w:rsidR="000603E7">
        <w:rPr>
          <w:rFonts w:ascii="Times New Roman" w:hAnsi="Times New Roman" w:cs="Times New Roman"/>
          <w:sz w:val="24"/>
          <w:szCs w:val="24"/>
        </w:rPr>
        <w:t>Vispārējās k</w:t>
      </w:r>
      <w:r w:rsidR="00E71D83" w:rsidRPr="002700C6">
        <w:rPr>
          <w:rFonts w:ascii="Times New Roman" w:hAnsi="Times New Roman" w:cs="Times New Roman"/>
          <w:sz w:val="24"/>
          <w:szCs w:val="24"/>
        </w:rPr>
        <w:t xml:space="preserve">onvencijas par klimata pārmaiņām un tās Kioto protokola saistību, kā arī citu starptautisko saistību izpildei </w:t>
      </w:r>
      <w:r w:rsidR="00E71D83" w:rsidRPr="009E18A3">
        <w:rPr>
          <w:rFonts w:ascii="Times New Roman" w:hAnsi="Times New Roman" w:cs="Times New Roman"/>
          <w:sz w:val="24"/>
          <w:szCs w:val="24"/>
        </w:rPr>
        <w:t xml:space="preserve">siltumnīcefekta gāzu emisiju samazināšanas jomā. </w:t>
      </w:r>
      <w:r w:rsidR="00DE7752" w:rsidRPr="009E18A3">
        <w:rPr>
          <w:rFonts w:ascii="Times New Roman" w:hAnsi="Times New Roman" w:cs="Times New Roman"/>
          <w:sz w:val="24"/>
          <w:szCs w:val="24"/>
        </w:rPr>
        <w:t xml:space="preserve">EKII tvērums ir plašāks </w:t>
      </w:r>
      <w:r w:rsidR="002455B8" w:rsidRPr="009E18A3">
        <w:rPr>
          <w:rFonts w:ascii="Times New Roman" w:hAnsi="Times New Roman" w:cs="Times New Roman"/>
          <w:sz w:val="24"/>
          <w:szCs w:val="24"/>
        </w:rPr>
        <w:t>ne</w:t>
      </w:r>
      <w:r w:rsidR="00DE7752" w:rsidRPr="009E18A3">
        <w:rPr>
          <w:rFonts w:ascii="Times New Roman" w:hAnsi="Times New Roman" w:cs="Times New Roman"/>
          <w:sz w:val="24"/>
          <w:szCs w:val="24"/>
        </w:rPr>
        <w:t>kā Direktīvā 2003/87/EK 10.c pantā paredzētais</w:t>
      </w:r>
      <w:r w:rsidR="00E71D83" w:rsidRPr="009E18A3">
        <w:rPr>
          <w:rFonts w:ascii="Times New Roman" w:hAnsi="Times New Roman" w:cs="Times New Roman"/>
          <w:sz w:val="24"/>
          <w:szCs w:val="24"/>
        </w:rPr>
        <w:t xml:space="preserve"> un uz </w:t>
      </w:r>
      <w:r w:rsidR="002455B8" w:rsidRPr="009E18A3">
        <w:rPr>
          <w:rFonts w:ascii="Times New Roman" w:hAnsi="Times New Roman" w:cs="Times New Roman"/>
          <w:sz w:val="24"/>
          <w:szCs w:val="24"/>
        </w:rPr>
        <w:t xml:space="preserve">ES </w:t>
      </w:r>
      <w:r w:rsidR="00E71D83" w:rsidRPr="009E18A3">
        <w:rPr>
          <w:rFonts w:ascii="Times New Roman" w:hAnsi="Times New Roman" w:cs="Times New Roman"/>
          <w:sz w:val="24"/>
          <w:szCs w:val="24"/>
        </w:rPr>
        <w:t>ETS sektoru orientētais</w:t>
      </w:r>
      <w:r w:rsidR="00DE7752" w:rsidRPr="009E18A3">
        <w:rPr>
          <w:rFonts w:ascii="Times New Roman" w:hAnsi="Times New Roman" w:cs="Times New Roman"/>
          <w:sz w:val="24"/>
          <w:szCs w:val="24"/>
        </w:rPr>
        <w:t xml:space="preserve">. </w:t>
      </w:r>
      <w:r w:rsidR="009E18A3" w:rsidRPr="009E18A3">
        <w:rPr>
          <w:rFonts w:ascii="Times New Roman" w:hAnsi="Times New Roman" w:cs="Times New Roman"/>
          <w:sz w:val="24"/>
          <w:szCs w:val="24"/>
        </w:rPr>
        <w:t xml:space="preserve">Saskaņā ar 2018. gada SEG inventarizāciju 81% no Latvijas kopējām SEG emisijām rodas tieši ne-ETS sektorā. </w:t>
      </w:r>
      <w:r w:rsidR="00DE7752" w:rsidRPr="009E18A3">
        <w:rPr>
          <w:rFonts w:ascii="Times New Roman" w:hAnsi="Times New Roman" w:cs="Times New Roman"/>
          <w:sz w:val="24"/>
          <w:szCs w:val="24"/>
        </w:rPr>
        <w:t xml:space="preserve">Latvijai ir ļoti būtiski </w:t>
      </w:r>
      <w:r w:rsidR="009E18A3" w:rsidRPr="001618DE">
        <w:rPr>
          <w:rFonts w:ascii="Times New Roman" w:hAnsi="Times New Roman" w:cs="Times New Roman"/>
          <w:sz w:val="24"/>
          <w:szCs w:val="24"/>
        </w:rPr>
        <w:t xml:space="preserve">īstenot pasākumus, lai </w:t>
      </w:r>
      <w:r w:rsidR="009E18A3" w:rsidRPr="009E18A3">
        <w:rPr>
          <w:rFonts w:ascii="Times New Roman" w:hAnsi="Times New Roman" w:cs="Times New Roman"/>
          <w:sz w:val="24"/>
          <w:szCs w:val="24"/>
        </w:rPr>
        <w:t>nodrošinātu</w:t>
      </w:r>
      <w:r w:rsidR="00DE7752" w:rsidRPr="00E622F9">
        <w:rPr>
          <w:rFonts w:ascii="Times New Roman" w:hAnsi="Times New Roman" w:cs="Times New Roman"/>
          <w:sz w:val="24"/>
          <w:szCs w:val="24"/>
        </w:rPr>
        <w:t xml:space="preserve"> ne-ETS SEG emisiju </w:t>
      </w:r>
      <w:r w:rsidR="009E18A3" w:rsidRPr="009D0C46">
        <w:rPr>
          <w:rFonts w:ascii="Times New Roman" w:hAnsi="Times New Roman" w:cs="Times New Roman"/>
          <w:sz w:val="24"/>
          <w:szCs w:val="24"/>
        </w:rPr>
        <w:t>samazinājum</w:t>
      </w:r>
      <w:r w:rsidR="009E18A3" w:rsidRPr="009E18A3">
        <w:rPr>
          <w:rFonts w:ascii="Times New Roman" w:hAnsi="Times New Roman" w:cs="Times New Roman"/>
          <w:sz w:val="24"/>
          <w:szCs w:val="24"/>
        </w:rPr>
        <w:t xml:space="preserve">u </w:t>
      </w:r>
      <w:r w:rsidR="00DE7752" w:rsidRPr="009E18A3">
        <w:rPr>
          <w:rFonts w:ascii="Times New Roman" w:hAnsi="Times New Roman" w:cs="Times New Roman"/>
          <w:sz w:val="24"/>
          <w:szCs w:val="24"/>
        </w:rPr>
        <w:t>2030. gadam, lai iekļautos Regulā 2018/842</w:t>
      </w:r>
      <w:r w:rsidR="001F50DB" w:rsidRPr="001618DE">
        <w:rPr>
          <w:rFonts w:ascii="Times New Roman" w:hAnsi="Times New Roman" w:cs="Times New Roman"/>
          <w:sz w:val="24"/>
          <w:szCs w:val="24"/>
        </w:rPr>
        <w:t xml:space="preserve"> </w:t>
      </w:r>
      <w:r w:rsidR="000603E7">
        <w:rPr>
          <w:rFonts w:ascii="Times New Roman" w:hAnsi="Times New Roman" w:cs="Times New Roman"/>
          <w:sz w:val="24"/>
          <w:szCs w:val="24"/>
        </w:rPr>
        <w:t xml:space="preserve">4. panta 1. punktā un I pielikumā </w:t>
      </w:r>
      <w:r w:rsidR="001F50DB" w:rsidRPr="001618DE">
        <w:rPr>
          <w:rFonts w:ascii="Times New Roman" w:hAnsi="Times New Roman" w:cs="Times New Roman"/>
          <w:sz w:val="24"/>
          <w:szCs w:val="24"/>
        </w:rPr>
        <w:t>noteiktajā</w:t>
      </w:r>
      <w:r w:rsidR="00DE7752" w:rsidRPr="009E18A3">
        <w:rPr>
          <w:rFonts w:ascii="Times New Roman" w:hAnsi="Times New Roman" w:cs="Times New Roman"/>
          <w:sz w:val="24"/>
          <w:szCs w:val="24"/>
        </w:rPr>
        <w:t xml:space="preserve"> Latvija</w:t>
      </w:r>
      <w:r w:rsidR="00682FCA" w:rsidRPr="009E18A3">
        <w:rPr>
          <w:rFonts w:ascii="Times New Roman" w:hAnsi="Times New Roman" w:cs="Times New Roman"/>
          <w:sz w:val="24"/>
          <w:szCs w:val="24"/>
        </w:rPr>
        <w:t>s</w:t>
      </w:r>
      <w:r w:rsidR="00DE7752" w:rsidRPr="009E18A3">
        <w:rPr>
          <w:rFonts w:ascii="Times New Roman" w:hAnsi="Times New Roman" w:cs="Times New Roman"/>
          <w:sz w:val="24"/>
          <w:szCs w:val="24"/>
        </w:rPr>
        <w:t xml:space="preserve"> mērķī</w:t>
      </w:r>
      <w:r w:rsidR="009E18A3" w:rsidRPr="009E18A3">
        <w:rPr>
          <w:rFonts w:ascii="Times New Roman" w:hAnsi="Times New Roman" w:cs="Times New Roman"/>
          <w:sz w:val="24"/>
          <w:szCs w:val="24"/>
        </w:rPr>
        <w:t>,</w:t>
      </w:r>
      <w:r w:rsidR="000603E7">
        <w:rPr>
          <w:rFonts w:ascii="Times New Roman" w:hAnsi="Times New Roman" w:cs="Times New Roman"/>
          <w:sz w:val="24"/>
          <w:szCs w:val="24"/>
        </w:rPr>
        <w:t xml:space="preserve"> - samazināt ne-ETS SEG emisijas par 6% līdz 2030. gadam salīdzinājumā ar 2005. gadu</w:t>
      </w:r>
      <w:r w:rsidR="009E18A3" w:rsidRPr="009E18A3">
        <w:rPr>
          <w:rFonts w:ascii="Times New Roman" w:hAnsi="Times New Roman" w:cs="Times New Roman"/>
          <w:sz w:val="24"/>
          <w:szCs w:val="24"/>
        </w:rPr>
        <w:t xml:space="preserve"> un šo pasākumu īstenošanai būtu attiecīgi iespējams izmantot EKII finansējumu</w:t>
      </w:r>
      <w:r w:rsidR="00682FCA" w:rsidRPr="009E18A3">
        <w:rPr>
          <w:rFonts w:ascii="Times New Roman" w:hAnsi="Times New Roman" w:cs="Times New Roman"/>
          <w:sz w:val="24"/>
          <w:szCs w:val="24"/>
        </w:rPr>
        <w:t>.</w:t>
      </w:r>
      <w:r w:rsidR="001F50DB" w:rsidRPr="009E18A3">
        <w:rPr>
          <w:rFonts w:ascii="Times New Roman" w:hAnsi="Times New Roman" w:cs="Times New Roman"/>
          <w:sz w:val="24"/>
          <w:szCs w:val="24"/>
        </w:rPr>
        <w:t xml:space="preserve"> </w:t>
      </w:r>
    </w:p>
    <w:p w14:paraId="6AC07241" w14:textId="512403C2" w:rsidR="00E71D83" w:rsidRPr="009E18A3" w:rsidRDefault="00E71D83" w:rsidP="00DE7752">
      <w:pPr>
        <w:spacing w:after="0"/>
        <w:ind w:right="-625" w:firstLine="360"/>
        <w:jc w:val="both"/>
        <w:rPr>
          <w:rFonts w:ascii="Times New Roman" w:hAnsi="Times New Roman" w:cs="Times New Roman"/>
          <w:sz w:val="24"/>
          <w:szCs w:val="24"/>
        </w:rPr>
      </w:pPr>
      <w:r w:rsidRPr="009E18A3">
        <w:rPr>
          <w:rFonts w:ascii="Times New Roman" w:hAnsi="Times New Roman" w:cs="Times New Roman"/>
          <w:sz w:val="24"/>
          <w:szCs w:val="24"/>
        </w:rPr>
        <w:t>Būtiski atzīmēt, ka EKII projektu konkurs</w:t>
      </w:r>
      <w:r w:rsidR="00EF2CA8" w:rsidRPr="009E18A3">
        <w:rPr>
          <w:rFonts w:ascii="Times New Roman" w:hAnsi="Times New Roman" w:cs="Times New Roman"/>
          <w:sz w:val="24"/>
          <w:szCs w:val="24"/>
        </w:rPr>
        <w:t>u</w:t>
      </w:r>
      <w:r w:rsidRPr="009E18A3">
        <w:rPr>
          <w:rFonts w:ascii="Times New Roman" w:hAnsi="Times New Roman" w:cs="Times New Roman"/>
          <w:sz w:val="24"/>
          <w:szCs w:val="24"/>
        </w:rPr>
        <w:t xml:space="preserve"> nolikumu izstrād</w:t>
      </w:r>
      <w:r w:rsidR="00EF2CA8" w:rsidRPr="009E18A3">
        <w:rPr>
          <w:rFonts w:ascii="Times New Roman" w:hAnsi="Times New Roman" w:cs="Times New Roman"/>
          <w:sz w:val="24"/>
          <w:szCs w:val="24"/>
        </w:rPr>
        <w:t>e, pārraudzība un lēmumu pieņemšana</w:t>
      </w:r>
      <w:r w:rsidRPr="009E18A3">
        <w:rPr>
          <w:rFonts w:ascii="Times New Roman" w:hAnsi="Times New Roman" w:cs="Times New Roman"/>
          <w:sz w:val="24"/>
          <w:szCs w:val="24"/>
        </w:rPr>
        <w:t xml:space="preserve"> </w:t>
      </w:r>
      <w:r w:rsidR="00EF2CA8" w:rsidRPr="009E18A3">
        <w:rPr>
          <w:rFonts w:ascii="Times New Roman" w:hAnsi="Times New Roman" w:cs="Times New Roman"/>
          <w:sz w:val="24"/>
          <w:szCs w:val="24"/>
        </w:rPr>
        <w:t xml:space="preserve">notiek </w:t>
      </w:r>
      <w:r w:rsidRPr="009E18A3">
        <w:rPr>
          <w:rFonts w:ascii="Times New Roman" w:hAnsi="Times New Roman" w:cs="Times New Roman"/>
          <w:sz w:val="24"/>
          <w:szCs w:val="24"/>
        </w:rPr>
        <w:t>nacionālā līmenī</w:t>
      </w:r>
      <w:r w:rsidR="00EF2CA8" w:rsidRPr="009E18A3">
        <w:rPr>
          <w:rFonts w:ascii="Times New Roman" w:hAnsi="Times New Roman" w:cs="Times New Roman"/>
          <w:sz w:val="24"/>
          <w:szCs w:val="24"/>
        </w:rPr>
        <w:t xml:space="preserve"> tādā veidā nav papildu saistību attiecībā uz ES institūcijām, piemēram, </w:t>
      </w:r>
      <w:r w:rsidR="002700C6" w:rsidRPr="009E18A3">
        <w:rPr>
          <w:rFonts w:ascii="Times New Roman" w:hAnsi="Times New Roman" w:cs="Times New Roman"/>
          <w:sz w:val="24"/>
          <w:szCs w:val="24"/>
        </w:rPr>
        <w:t>EK</w:t>
      </w:r>
      <w:r w:rsidR="00EF2CA8" w:rsidRPr="009E18A3">
        <w:rPr>
          <w:rFonts w:ascii="Times New Roman" w:hAnsi="Times New Roman" w:cs="Times New Roman"/>
          <w:sz w:val="24"/>
          <w:szCs w:val="24"/>
        </w:rPr>
        <w:t xml:space="preserve">. </w:t>
      </w:r>
      <w:r w:rsidR="00DE2F51" w:rsidRPr="001618DE">
        <w:rPr>
          <w:rFonts w:ascii="Times New Roman" w:hAnsi="Times New Roman" w:cs="Times New Roman"/>
          <w:sz w:val="24"/>
          <w:szCs w:val="24"/>
          <w:shd w:val="clear" w:color="auto" w:fill="FFFFFF"/>
        </w:rPr>
        <w:t xml:space="preserve">Saskaņā ar likuma “Par piesārņojumu” </w:t>
      </w:r>
      <w:r w:rsidR="00DE2F51" w:rsidRPr="009E18A3">
        <w:rPr>
          <w:rFonts w:ascii="Times New Roman" w:eastAsia="Arial Unicode MS" w:hAnsi="Times New Roman" w:cs="Times New Roman"/>
          <w:sz w:val="24"/>
          <w:szCs w:val="24"/>
          <w:shd w:val="clear" w:color="auto" w:fill="FFFFFF"/>
        </w:rPr>
        <w:t>32</w:t>
      </w:r>
      <w:r w:rsidR="00DE2F51" w:rsidRPr="009E18A3">
        <w:rPr>
          <w:rFonts w:ascii="Times New Roman" w:eastAsia="Arial Unicode MS" w:hAnsi="Times New Roman" w:cs="Times New Roman"/>
          <w:sz w:val="24"/>
          <w:szCs w:val="24"/>
          <w:shd w:val="clear" w:color="auto" w:fill="FFFFFF"/>
          <w:vertAlign w:val="superscript"/>
        </w:rPr>
        <w:t>2</w:t>
      </w:r>
      <w:r w:rsidR="00DE2F51" w:rsidRPr="009E18A3">
        <w:rPr>
          <w:rFonts w:ascii="Times New Roman" w:eastAsia="Arial Unicode MS" w:hAnsi="Times New Roman" w:cs="Times New Roman"/>
          <w:sz w:val="24"/>
          <w:szCs w:val="24"/>
          <w:shd w:val="clear" w:color="auto" w:fill="FFFFFF"/>
        </w:rPr>
        <w:t>. panta 4</w:t>
      </w:r>
      <w:r w:rsidR="00DE2F51" w:rsidRPr="009E18A3">
        <w:rPr>
          <w:rFonts w:ascii="Times New Roman" w:eastAsia="Arial Unicode MS" w:hAnsi="Times New Roman" w:cs="Times New Roman"/>
          <w:sz w:val="24"/>
          <w:szCs w:val="24"/>
          <w:shd w:val="clear" w:color="auto" w:fill="FFFFFF"/>
          <w:vertAlign w:val="superscript"/>
        </w:rPr>
        <w:t>6</w:t>
      </w:r>
      <w:r w:rsidR="00DE2F51" w:rsidRPr="009E18A3">
        <w:rPr>
          <w:rFonts w:ascii="Times New Roman" w:eastAsia="Arial Unicode MS" w:hAnsi="Times New Roman" w:cs="Times New Roman"/>
          <w:sz w:val="24"/>
          <w:szCs w:val="24"/>
          <w:shd w:val="clear" w:color="auto" w:fill="FFFFFF"/>
        </w:rPr>
        <w:t>. daļu</w:t>
      </w:r>
      <w:r w:rsidR="00DE2F51" w:rsidRPr="001618DE">
        <w:rPr>
          <w:rFonts w:ascii="Times New Roman" w:hAnsi="Times New Roman" w:cs="Times New Roman"/>
          <w:sz w:val="24"/>
          <w:szCs w:val="24"/>
          <w:shd w:val="clear" w:color="auto" w:fill="FFFFFF"/>
        </w:rPr>
        <w:t xml:space="preserve"> Ministru kabinets izdod atklāto projektu iesniegumu konkursu nolikumus, kuros nosaka projektu iesniegumu vērtēšanas kritērijus, projektu iesniegumu iesniegšanas, izskatīšanas, apstiprināšanas un finansējuma piešķiršanas kārtību, kā arī projektu īstenošanas, pārskatu iesniegšanas un pārbaudes kārtību. Tas nozīmē, ka nacionālā līmenī ir iespējama lielāka elastība, piemēram, projektiem var noteikt arī </w:t>
      </w:r>
      <w:proofErr w:type="spellStart"/>
      <w:r w:rsidR="00DE2F51" w:rsidRPr="001618DE">
        <w:rPr>
          <w:rFonts w:ascii="Times New Roman" w:hAnsi="Times New Roman" w:cs="Times New Roman"/>
          <w:sz w:val="24"/>
          <w:szCs w:val="24"/>
          <w:shd w:val="clear" w:color="auto" w:fill="FFFFFF"/>
        </w:rPr>
        <w:t>priekšfinansējuma</w:t>
      </w:r>
      <w:proofErr w:type="spellEnd"/>
      <w:r w:rsidR="00DE2F51" w:rsidRPr="001618DE">
        <w:rPr>
          <w:rFonts w:ascii="Times New Roman" w:hAnsi="Times New Roman" w:cs="Times New Roman"/>
          <w:sz w:val="24"/>
          <w:szCs w:val="24"/>
          <w:shd w:val="clear" w:color="auto" w:fill="FFFFFF"/>
        </w:rPr>
        <w:t xml:space="preserve"> (avansa) maksājumus, noteikt prioritārās aktivitātes, iesniedzēju loku u.tml.</w:t>
      </w:r>
    </w:p>
    <w:p w14:paraId="548E0C34" w14:textId="76273ABC" w:rsidR="00FB5995" w:rsidRDefault="000E0DB0" w:rsidP="00A57B37">
      <w:pPr>
        <w:spacing w:after="0"/>
        <w:ind w:right="-625"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3660B6">
        <w:rPr>
          <w:rFonts w:ascii="Times New Roman" w:hAnsi="Times New Roman" w:cs="Times New Roman"/>
          <w:sz w:val="24"/>
          <w:szCs w:val="24"/>
        </w:rPr>
        <w:t>Laika periodā kopš 2012. gada 13. novembra līdz 2018. gada 31. decembrim Latvija no ES ETS 3.</w:t>
      </w:r>
      <w:r w:rsidR="006062FE">
        <w:rPr>
          <w:rFonts w:ascii="Times New Roman" w:hAnsi="Times New Roman" w:cs="Times New Roman"/>
          <w:sz w:val="24"/>
          <w:szCs w:val="24"/>
        </w:rPr>
        <w:t> </w:t>
      </w:r>
      <w:r w:rsidR="003660B6">
        <w:rPr>
          <w:rFonts w:ascii="Times New Roman" w:hAnsi="Times New Roman" w:cs="Times New Roman"/>
          <w:sz w:val="24"/>
          <w:szCs w:val="24"/>
        </w:rPr>
        <w:t>perioda emisij</w:t>
      </w:r>
      <w:r w:rsidR="00E41569">
        <w:rPr>
          <w:rFonts w:ascii="Times New Roman" w:hAnsi="Times New Roman" w:cs="Times New Roman"/>
          <w:sz w:val="24"/>
          <w:szCs w:val="24"/>
        </w:rPr>
        <w:t>as</w:t>
      </w:r>
      <w:r w:rsidR="003660B6">
        <w:rPr>
          <w:rFonts w:ascii="Times New Roman" w:hAnsi="Times New Roman" w:cs="Times New Roman"/>
          <w:sz w:val="24"/>
          <w:szCs w:val="24"/>
        </w:rPr>
        <w:t xml:space="preserve"> kvotu izsolēm primārajā tirgū kopējā izsoļu platformā guvusi 106,02 </w:t>
      </w:r>
      <w:r w:rsidR="003660B6" w:rsidRPr="006062FE">
        <w:rPr>
          <w:rFonts w:ascii="Times New Roman" w:hAnsi="Times New Roman" w:cs="Times New Roman"/>
          <w:sz w:val="24"/>
          <w:szCs w:val="24"/>
        </w:rPr>
        <w:t xml:space="preserve">miljonus </w:t>
      </w:r>
      <w:proofErr w:type="spellStart"/>
      <w:r w:rsidR="003660B6" w:rsidRPr="006062FE">
        <w:rPr>
          <w:rFonts w:ascii="Times New Roman" w:hAnsi="Times New Roman" w:cs="Times New Roman"/>
          <w:i/>
          <w:sz w:val="24"/>
          <w:szCs w:val="24"/>
        </w:rPr>
        <w:t>e</w:t>
      </w:r>
      <w:r w:rsidR="00A1038D" w:rsidRPr="006062FE">
        <w:rPr>
          <w:rFonts w:ascii="Times New Roman" w:hAnsi="Times New Roman" w:cs="Times New Roman"/>
          <w:i/>
          <w:sz w:val="24"/>
          <w:szCs w:val="24"/>
        </w:rPr>
        <w:t>u</w:t>
      </w:r>
      <w:r w:rsidR="003660B6" w:rsidRPr="006062FE">
        <w:rPr>
          <w:rFonts w:ascii="Times New Roman" w:hAnsi="Times New Roman" w:cs="Times New Roman"/>
          <w:i/>
          <w:sz w:val="24"/>
          <w:szCs w:val="24"/>
        </w:rPr>
        <w:t>ro</w:t>
      </w:r>
      <w:proofErr w:type="spellEnd"/>
      <w:r w:rsidR="00F322DD" w:rsidRPr="006062FE">
        <w:rPr>
          <w:rFonts w:ascii="Times New Roman" w:hAnsi="Times New Roman" w:cs="Times New Roman"/>
          <w:sz w:val="24"/>
          <w:szCs w:val="24"/>
        </w:rPr>
        <w:t xml:space="preserve">. </w:t>
      </w:r>
      <w:r w:rsidR="0049669B" w:rsidRPr="007F2A40">
        <w:rPr>
          <w:rFonts w:ascii="Times New Roman" w:hAnsi="Times New Roman" w:cs="Times New Roman"/>
          <w:sz w:val="24"/>
          <w:szCs w:val="24"/>
        </w:rPr>
        <w:t>2018. gadā papildus primārajā tirgū notikušajām izsolēm Latvija realizēja 3</w:t>
      </w:r>
      <w:r w:rsidR="006062FE" w:rsidRPr="007F2A40">
        <w:rPr>
          <w:rFonts w:ascii="Times New Roman" w:hAnsi="Times New Roman" w:cs="Times New Roman"/>
          <w:sz w:val="24"/>
          <w:szCs w:val="24"/>
        </w:rPr>
        <w:t> </w:t>
      </w:r>
      <w:r w:rsidR="0049669B" w:rsidRPr="007F2A40">
        <w:rPr>
          <w:rFonts w:ascii="Times New Roman" w:hAnsi="Times New Roman" w:cs="Times New Roman"/>
          <w:sz w:val="24"/>
          <w:szCs w:val="24"/>
        </w:rPr>
        <w:t>126 573 emisijas kvotas sekundārajā tirgū, kopā iegūstot nepilnus 60,66</w:t>
      </w:r>
      <w:r w:rsidR="006062FE">
        <w:rPr>
          <w:rFonts w:ascii="Times New Roman" w:hAnsi="Times New Roman" w:cs="Times New Roman"/>
          <w:sz w:val="24"/>
          <w:szCs w:val="24"/>
        </w:rPr>
        <w:t> </w:t>
      </w:r>
      <w:r w:rsidR="0049669B" w:rsidRPr="007F2A40">
        <w:rPr>
          <w:rFonts w:ascii="Times New Roman" w:hAnsi="Times New Roman" w:cs="Times New Roman"/>
          <w:sz w:val="24"/>
          <w:szCs w:val="24"/>
        </w:rPr>
        <w:t>miljons</w:t>
      </w:r>
      <w:r w:rsidR="006062FE">
        <w:rPr>
          <w:rFonts w:ascii="Times New Roman" w:hAnsi="Times New Roman" w:cs="Times New Roman"/>
          <w:sz w:val="24"/>
          <w:szCs w:val="24"/>
        </w:rPr>
        <w:t> </w:t>
      </w:r>
      <w:proofErr w:type="spellStart"/>
      <w:r w:rsidR="0049669B" w:rsidRPr="007F2A40">
        <w:rPr>
          <w:rFonts w:ascii="Times New Roman" w:hAnsi="Times New Roman" w:cs="Times New Roman"/>
          <w:i/>
          <w:sz w:val="24"/>
          <w:szCs w:val="24"/>
        </w:rPr>
        <w:t>euro</w:t>
      </w:r>
      <w:proofErr w:type="spellEnd"/>
      <w:r w:rsidR="0049669B" w:rsidRPr="007F2A40">
        <w:rPr>
          <w:rFonts w:ascii="Times New Roman" w:hAnsi="Times New Roman" w:cs="Times New Roman"/>
          <w:sz w:val="24"/>
          <w:szCs w:val="24"/>
        </w:rPr>
        <w:t>. Šīs sekundārajā tirgū realizētās emisijas kvotas ir rezultāts, kas izrietēja no tiesvedības Eiropas Savienības Vispārējā tiesā (Lietas Nr. T-369/07 Latvija pret Eiropas Komisiju) un vēlāk tika konvertētas par ES ETS 3. perioda emisijas kvotām. Tāda veida un apmēra ieņēmumi no darījumiem sekundārajā tirgū netiek vairs nākotnē prognozēti.</w:t>
      </w:r>
      <w:r w:rsidR="0049669B">
        <w:rPr>
          <w:rFonts w:ascii="Times New Roman" w:hAnsi="Times New Roman" w:cs="Times New Roman"/>
          <w:sz w:val="24"/>
          <w:szCs w:val="24"/>
        </w:rPr>
        <w:t xml:space="preserve"> </w:t>
      </w:r>
    </w:p>
    <w:p w14:paraId="6637B197" w14:textId="6876FFFA" w:rsidR="00045853" w:rsidRDefault="002F73B4" w:rsidP="00A57B37">
      <w:pPr>
        <w:spacing w:after="0"/>
        <w:ind w:right="-625" w:firstLine="360"/>
        <w:jc w:val="both"/>
        <w:rPr>
          <w:rFonts w:ascii="Times New Roman" w:hAnsi="Times New Roman" w:cs="Times New Roman"/>
          <w:sz w:val="24"/>
          <w:szCs w:val="24"/>
        </w:rPr>
      </w:pPr>
      <w:r>
        <w:rPr>
          <w:rFonts w:ascii="Times New Roman" w:hAnsi="Times New Roman" w:cs="Times New Roman"/>
          <w:sz w:val="24"/>
          <w:szCs w:val="24"/>
        </w:rPr>
        <w:t>Faktiskie i</w:t>
      </w:r>
      <w:r w:rsidR="00F322DD" w:rsidRPr="00F322DD">
        <w:rPr>
          <w:rFonts w:ascii="Times New Roman" w:hAnsi="Times New Roman" w:cs="Times New Roman"/>
          <w:sz w:val="24"/>
          <w:szCs w:val="24"/>
        </w:rPr>
        <w:t xml:space="preserve">eņēmumu apmēri ikgadēji un kumulatīvi ir attēloti </w:t>
      </w:r>
      <w:r w:rsidR="00A57B37">
        <w:rPr>
          <w:rFonts w:ascii="Times New Roman" w:hAnsi="Times New Roman" w:cs="Times New Roman"/>
          <w:sz w:val="24"/>
          <w:szCs w:val="24"/>
        </w:rPr>
        <w:t>1. attēlā.</w:t>
      </w:r>
    </w:p>
    <w:p w14:paraId="2854C879" w14:textId="77777777" w:rsidR="0049669B" w:rsidRDefault="0049669B" w:rsidP="0049669B">
      <w:pPr>
        <w:spacing w:after="0"/>
        <w:ind w:right="-625" w:firstLine="360"/>
        <w:jc w:val="center"/>
        <w:rPr>
          <w:rFonts w:ascii="Times New Roman" w:hAnsi="Times New Roman" w:cs="Times New Roman"/>
          <w:sz w:val="24"/>
          <w:szCs w:val="24"/>
        </w:rPr>
      </w:pPr>
      <w:r>
        <w:rPr>
          <w:noProof/>
          <w:lang w:eastAsia="lv-LV"/>
        </w:rPr>
        <w:lastRenderedPageBreak/>
        <w:drawing>
          <wp:inline distT="0" distB="0" distL="0" distR="0" wp14:anchorId="05DC9DD5" wp14:editId="7B9FABAC">
            <wp:extent cx="5278120" cy="3608548"/>
            <wp:effectExtent l="0" t="0" r="1778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9B8F7D" w14:textId="77777777" w:rsidR="0049669B" w:rsidRPr="001031F1" w:rsidRDefault="0049669B" w:rsidP="0049669B">
      <w:pPr>
        <w:spacing w:after="0"/>
        <w:ind w:right="-625" w:firstLine="360"/>
        <w:jc w:val="center"/>
        <w:rPr>
          <w:rFonts w:ascii="Times New Roman" w:hAnsi="Times New Roman" w:cs="Times New Roman"/>
          <w:b/>
          <w:i/>
        </w:rPr>
      </w:pPr>
      <w:r w:rsidRPr="001031F1">
        <w:rPr>
          <w:rFonts w:ascii="Times New Roman" w:hAnsi="Times New Roman" w:cs="Times New Roman"/>
          <w:b/>
          <w:i/>
        </w:rPr>
        <w:t>1.attēls. Faktiskie ieņēmumi</w:t>
      </w:r>
      <w:r>
        <w:rPr>
          <w:rFonts w:ascii="Times New Roman" w:hAnsi="Times New Roman" w:cs="Times New Roman"/>
          <w:b/>
          <w:i/>
        </w:rPr>
        <w:t xml:space="preserve"> no </w:t>
      </w:r>
      <w:r w:rsidRPr="001031F1">
        <w:rPr>
          <w:rFonts w:ascii="Times New Roman" w:hAnsi="Times New Roman" w:cs="Times New Roman"/>
          <w:b/>
          <w:i/>
        </w:rPr>
        <w:t>emisijas kvotu izso</w:t>
      </w:r>
      <w:r>
        <w:rPr>
          <w:rFonts w:ascii="Times New Roman" w:hAnsi="Times New Roman" w:cs="Times New Roman"/>
          <w:b/>
          <w:i/>
        </w:rPr>
        <w:t>lēm</w:t>
      </w:r>
      <w:r w:rsidRPr="001031F1">
        <w:rPr>
          <w:rFonts w:ascii="Times New Roman" w:hAnsi="Times New Roman" w:cs="Times New Roman"/>
          <w:b/>
          <w:i/>
        </w:rPr>
        <w:t xml:space="preserve"> </w:t>
      </w:r>
      <w:r>
        <w:rPr>
          <w:rFonts w:ascii="Times New Roman" w:hAnsi="Times New Roman" w:cs="Times New Roman"/>
          <w:b/>
          <w:i/>
        </w:rPr>
        <w:t xml:space="preserve">un realizācijas </w:t>
      </w:r>
      <w:r w:rsidRPr="001031F1">
        <w:rPr>
          <w:rFonts w:ascii="Times New Roman" w:hAnsi="Times New Roman" w:cs="Times New Roman"/>
          <w:b/>
          <w:i/>
        </w:rPr>
        <w:t xml:space="preserve">(milj. </w:t>
      </w:r>
      <w:proofErr w:type="spellStart"/>
      <w:r w:rsidRPr="001031F1">
        <w:rPr>
          <w:rFonts w:ascii="Times New Roman" w:hAnsi="Times New Roman" w:cs="Times New Roman"/>
          <w:b/>
          <w:i/>
        </w:rPr>
        <w:t>euro</w:t>
      </w:r>
      <w:proofErr w:type="spellEnd"/>
      <w:r w:rsidRPr="001031F1">
        <w:rPr>
          <w:rFonts w:ascii="Times New Roman" w:hAnsi="Times New Roman" w:cs="Times New Roman"/>
          <w:b/>
          <w:i/>
        </w:rPr>
        <w:t>) laika periodā 2012. - 20</w:t>
      </w:r>
      <w:r>
        <w:rPr>
          <w:rFonts w:ascii="Times New Roman" w:hAnsi="Times New Roman" w:cs="Times New Roman"/>
          <w:b/>
          <w:i/>
        </w:rPr>
        <w:t>18</w:t>
      </w:r>
      <w:r w:rsidRPr="001031F1">
        <w:rPr>
          <w:rFonts w:ascii="Times New Roman" w:hAnsi="Times New Roman" w:cs="Times New Roman"/>
          <w:b/>
          <w:i/>
        </w:rPr>
        <w:t xml:space="preserve">. gadam. </w:t>
      </w:r>
    </w:p>
    <w:p w14:paraId="01A4E226" w14:textId="345E0EC9" w:rsidR="00CF6988" w:rsidRDefault="00CF6988" w:rsidP="00252E6E">
      <w:pPr>
        <w:spacing w:after="0"/>
        <w:ind w:right="-625" w:firstLine="360"/>
        <w:jc w:val="center"/>
        <w:rPr>
          <w:rFonts w:ascii="Times New Roman" w:hAnsi="Times New Roman" w:cs="Times New Roman"/>
          <w:sz w:val="24"/>
          <w:szCs w:val="24"/>
        </w:rPr>
      </w:pPr>
    </w:p>
    <w:p w14:paraId="0D936A49" w14:textId="5B4B82CC" w:rsidR="0049669B" w:rsidRDefault="00F2680E" w:rsidP="00E25EF5">
      <w:pPr>
        <w:spacing w:after="0" w:line="240" w:lineRule="auto"/>
        <w:ind w:right="-624" w:firstLine="357"/>
        <w:jc w:val="both"/>
        <w:rPr>
          <w:rFonts w:ascii="Arial" w:hAnsi="Arial" w:cs="Arial"/>
          <w:color w:val="414142"/>
          <w:sz w:val="20"/>
          <w:szCs w:val="20"/>
          <w:shd w:val="clear" w:color="auto" w:fill="FFFFFF"/>
        </w:rPr>
      </w:pPr>
      <w:r w:rsidRPr="00F2680E">
        <w:rPr>
          <w:rFonts w:ascii="Times New Roman" w:hAnsi="Times New Roman" w:cs="Times New Roman"/>
          <w:sz w:val="24"/>
          <w:szCs w:val="24"/>
        </w:rPr>
        <w:t>EKII finansējums tiek izmantots, organizējot atklātus projektu iesniegumu konkursus</w:t>
      </w:r>
      <w:r w:rsidR="00EF7CB5">
        <w:rPr>
          <w:rFonts w:ascii="Times New Roman" w:hAnsi="Times New Roman" w:cs="Times New Roman"/>
          <w:sz w:val="24"/>
          <w:szCs w:val="24"/>
        </w:rPr>
        <w:t>.</w:t>
      </w:r>
      <w:r w:rsidRPr="00F2680E">
        <w:rPr>
          <w:rFonts w:ascii="Times New Roman" w:hAnsi="Times New Roman" w:cs="Times New Roman"/>
          <w:sz w:val="24"/>
          <w:szCs w:val="24"/>
        </w:rPr>
        <w:t xml:space="preserve"> </w:t>
      </w:r>
      <w:r w:rsidR="00EF7CB5" w:rsidRPr="00EF7CB5">
        <w:rPr>
          <w:rFonts w:ascii="Times New Roman" w:hAnsi="Times New Roman" w:cs="Times New Roman"/>
          <w:sz w:val="24"/>
          <w:szCs w:val="24"/>
        </w:rPr>
        <w:t>Saskaņā ar likuma “Par piesārņojumu” 32. panta 4</w:t>
      </w:r>
      <w:r w:rsidR="00EF7CB5" w:rsidRPr="00E25EF5">
        <w:rPr>
          <w:rFonts w:ascii="Times New Roman" w:hAnsi="Times New Roman" w:cs="Times New Roman"/>
          <w:sz w:val="24"/>
          <w:szCs w:val="24"/>
          <w:vertAlign w:val="superscript"/>
        </w:rPr>
        <w:t>6</w:t>
      </w:r>
      <w:r w:rsidR="00EF7CB5" w:rsidRPr="00EF7CB5">
        <w:rPr>
          <w:rFonts w:ascii="Times New Roman" w:hAnsi="Times New Roman" w:cs="Times New Roman"/>
          <w:sz w:val="24"/>
          <w:szCs w:val="24"/>
        </w:rPr>
        <w:t xml:space="preserve">. punktu </w:t>
      </w:r>
      <w:r w:rsidR="00EF7CB5" w:rsidRPr="00E25EF5">
        <w:rPr>
          <w:rFonts w:ascii="Times New Roman" w:hAnsi="Times New Roman" w:cs="Times New Roman"/>
          <w:color w:val="414142"/>
          <w:sz w:val="24"/>
          <w:szCs w:val="24"/>
          <w:shd w:val="clear" w:color="auto" w:fill="FFFFFF"/>
        </w:rPr>
        <w:t>Ministru kabinets izdod atklāto projektu iesniegumu konkursu nolikumus, kuros nosaka projektu iesniegumu vērtēšanas kritērijus, projektu iesniegumu iesniegšanas, izskatīšanas, apstiprināšanas un finansējuma piešķiršanas kārtību, kā arī projektu īstenošanas, pārskatu iesniegšanas un pārbaudes kārtību</w:t>
      </w:r>
      <w:r w:rsidR="00EF7CB5">
        <w:rPr>
          <w:rFonts w:ascii="Arial" w:hAnsi="Arial" w:cs="Arial"/>
          <w:color w:val="414142"/>
          <w:sz w:val="20"/>
          <w:szCs w:val="20"/>
          <w:shd w:val="clear" w:color="auto" w:fill="FFFFFF"/>
        </w:rPr>
        <w:t>.</w:t>
      </w:r>
    </w:p>
    <w:p w14:paraId="07CAC705" w14:textId="13CEA22F" w:rsidR="0049669B" w:rsidRPr="004B7C9C" w:rsidRDefault="0049669B" w:rsidP="007B695F">
      <w:pPr>
        <w:ind w:right="-619"/>
        <w:jc w:val="both"/>
        <w:rPr>
          <w:rFonts w:ascii="Times New Roman" w:hAnsi="Times New Roman" w:cs="Times New Roman"/>
          <w:sz w:val="24"/>
          <w:szCs w:val="24"/>
        </w:rPr>
      </w:pPr>
      <w:r w:rsidRPr="004B7C9C">
        <w:rPr>
          <w:rFonts w:ascii="Times New Roman" w:hAnsi="Times New Roman" w:cs="Times New Roman"/>
          <w:sz w:val="24"/>
          <w:szCs w:val="24"/>
        </w:rPr>
        <w:t xml:space="preserve">Uz Ziņojuma sagatavošanas brīdi noslēgušies </w:t>
      </w:r>
      <w:r w:rsidR="007B695F">
        <w:rPr>
          <w:rFonts w:ascii="Times New Roman" w:hAnsi="Times New Roman" w:cs="Times New Roman"/>
          <w:sz w:val="24"/>
          <w:szCs w:val="24"/>
        </w:rPr>
        <w:t>četri</w:t>
      </w:r>
      <w:r w:rsidR="007B695F" w:rsidRPr="004B7C9C">
        <w:rPr>
          <w:rFonts w:ascii="Times New Roman" w:hAnsi="Times New Roman" w:cs="Times New Roman"/>
          <w:sz w:val="24"/>
          <w:szCs w:val="24"/>
        </w:rPr>
        <w:t xml:space="preserve"> </w:t>
      </w:r>
      <w:r w:rsidRPr="004B7C9C">
        <w:rPr>
          <w:rFonts w:ascii="Times New Roman" w:hAnsi="Times New Roman" w:cs="Times New Roman"/>
          <w:sz w:val="24"/>
          <w:szCs w:val="24"/>
        </w:rPr>
        <w:t>projektu konkursi un notiek projektu</w:t>
      </w:r>
      <w:r w:rsidR="007B695F">
        <w:rPr>
          <w:rFonts w:ascii="Times New Roman" w:hAnsi="Times New Roman" w:cs="Times New Roman"/>
          <w:sz w:val="24"/>
          <w:szCs w:val="24"/>
        </w:rPr>
        <w:t xml:space="preserve"> </w:t>
      </w:r>
      <w:r w:rsidRPr="004B7C9C">
        <w:rPr>
          <w:rFonts w:ascii="Times New Roman" w:hAnsi="Times New Roman" w:cs="Times New Roman"/>
          <w:sz w:val="24"/>
          <w:szCs w:val="24"/>
        </w:rPr>
        <w:t>īstenošana:</w:t>
      </w:r>
    </w:p>
    <w:p w14:paraId="0941CCAF" w14:textId="5A7E3231" w:rsidR="0049669B" w:rsidRPr="004B7C9C" w:rsidRDefault="0049669B" w:rsidP="0049669B">
      <w:pPr>
        <w:pStyle w:val="ListParagraph"/>
        <w:widowControl w:val="0"/>
        <w:numPr>
          <w:ilvl w:val="0"/>
          <w:numId w:val="45"/>
        </w:numPr>
        <w:jc w:val="both"/>
        <w:rPr>
          <w:rFonts w:ascii="Times New Roman" w:hAnsi="Times New Roman" w:cs="Times New Roman"/>
          <w:sz w:val="24"/>
          <w:szCs w:val="24"/>
        </w:rPr>
      </w:pPr>
      <w:r w:rsidRPr="004B7C9C">
        <w:rPr>
          <w:rFonts w:ascii="Times New Roman" w:hAnsi="Times New Roman" w:cs="Times New Roman"/>
          <w:sz w:val="24"/>
          <w:szCs w:val="24"/>
        </w:rPr>
        <w:t>“</w:t>
      </w:r>
      <w:r w:rsidRPr="004B7C9C">
        <w:rPr>
          <w:rFonts w:ascii="Times New Roman" w:hAnsi="Times New Roman" w:cs="Times New Roman"/>
          <w:i/>
          <w:sz w:val="24"/>
          <w:szCs w:val="24"/>
        </w:rPr>
        <w:t>Siltumnīcefekta gāzu emisiju samazināšana valsts nozīmes aizsargājamos arhitektūras pieminekļos</w:t>
      </w:r>
      <w:r w:rsidRPr="004B7C9C">
        <w:rPr>
          <w:rFonts w:ascii="Times New Roman" w:hAnsi="Times New Roman" w:cs="Times New Roman"/>
          <w:sz w:val="24"/>
          <w:szCs w:val="24"/>
        </w:rPr>
        <w:t xml:space="preserve">”. Īstenošanā </w:t>
      </w:r>
      <w:r w:rsidR="0060014B">
        <w:rPr>
          <w:rFonts w:ascii="Times New Roman" w:hAnsi="Times New Roman" w:cs="Times New Roman"/>
          <w:sz w:val="24"/>
          <w:szCs w:val="24"/>
        </w:rPr>
        <w:t>septiņi</w:t>
      </w:r>
      <w:r w:rsidR="0060014B" w:rsidRPr="004B7C9C">
        <w:rPr>
          <w:rFonts w:ascii="Times New Roman" w:hAnsi="Times New Roman" w:cs="Times New Roman"/>
          <w:sz w:val="24"/>
          <w:szCs w:val="24"/>
        </w:rPr>
        <w:t xml:space="preserve"> </w:t>
      </w:r>
      <w:r w:rsidRPr="004B7C9C">
        <w:rPr>
          <w:rFonts w:ascii="Times New Roman" w:hAnsi="Times New Roman" w:cs="Times New Roman"/>
          <w:sz w:val="24"/>
          <w:szCs w:val="24"/>
        </w:rPr>
        <w:t xml:space="preserve">projekti un </w:t>
      </w:r>
      <w:r w:rsidR="0060014B">
        <w:rPr>
          <w:rFonts w:ascii="Times New Roman" w:hAnsi="Times New Roman" w:cs="Times New Roman"/>
          <w:sz w:val="24"/>
          <w:szCs w:val="24"/>
        </w:rPr>
        <w:t>viens</w:t>
      </w:r>
      <w:r w:rsidR="0060014B" w:rsidRPr="004B7C9C">
        <w:rPr>
          <w:rFonts w:ascii="Times New Roman" w:hAnsi="Times New Roman" w:cs="Times New Roman"/>
          <w:sz w:val="24"/>
          <w:szCs w:val="24"/>
        </w:rPr>
        <w:t xml:space="preserve"> </w:t>
      </w:r>
      <w:r w:rsidRPr="004B7C9C">
        <w:rPr>
          <w:rFonts w:ascii="Times New Roman" w:hAnsi="Times New Roman" w:cs="Times New Roman"/>
          <w:sz w:val="24"/>
          <w:szCs w:val="24"/>
        </w:rPr>
        <w:t>projekts pabeigts. Kopējais plānotais SEG samazinājums - 438,87 CO</w:t>
      </w:r>
      <w:r w:rsidRPr="004B7C9C">
        <w:rPr>
          <w:rFonts w:ascii="Times New Roman" w:hAnsi="Times New Roman" w:cs="Times New Roman"/>
          <w:sz w:val="24"/>
          <w:szCs w:val="24"/>
          <w:vertAlign w:val="subscript"/>
        </w:rPr>
        <w:t>2</w:t>
      </w:r>
      <w:r w:rsidRPr="004B7C9C">
        <w:rPr>
          <w:rFonts w:ascii="Times New Roman" w:hAnsi="Times New Roman" w:cs="Times New Roman"/>
          <w:sz w:val="24"/>
          <w:szCs w:val="24"/>
        </w:rPr>
        <w:t xml:space="preserve"> tonnas gadā. Kopējais kontraktētais EKII finansējums 8,54 milj. </w:t>
      </w:r>
      <w:proofErr w:type="spellStart"/>
      <w:r w:rsidRPr="004B7C9C">
        <w:rPr>
          <w:rFonts w:ascii="Times New Roman" w:hAnsi="Times New Roman" w:cs="Times New Roman"/>
          <w:i/>
          <w:sz w:val="24"/>
          <w:szCs w:val="24"/>
        </w:rPr>
        <w:t>euro</w:t>
      </w:r>
      <w:proofErr w:type="spellEnd"/>
      <w:r w:rsidRPr="004B7C9C">
        <w:rPr>
          <w:rFonts w:ascii="Times New Roman" w:hAnsi="Times New Roman" w:cs="Times New Roman"/>
          <w:sz w:val="24"/>
          <w:szCs w:val="24"/>
        </w:rPr>
        <w:t>. Atbalstāmās aktivitātes: esoša valsts nozīmes arhitektūras pieminekļa (vienas vai vairāku ēku) pārbūve, atjaunošana vai vienkāršotā fasādes atjaunošana, uzlabojot ēkas energoefektivitāti</w:t>
      </w:r>
      <w:r>
        <w:rPr>
          <w:rFonts w:ascii="Times New Roman" w:hAnsi="Times New Roman" w:cs="Times New Roman"/>
          <w:sz w:val="24"/>
          <w:szCs w:val="24"/>
        </w:rPr>
        <w:t>;</w:t>
      </w:r>
    </w:p>
    <w:p w14:paraId="3C55FC17" w14:textId="797814F3" w:rsidR="0049669B" w:rsidRPr="004B7C9C" w:rsidRDefault="0049669B" w:rsidP="0049669B">
      <w:pPr>
        <w:pStyle w:val="ListParagraph"/>
        <w:widowControl w:val="0"/>
        <w:numPr>
          <w:ilvl w:val="0"/>
          <w:numId w:val="45"/>
        </w:numPr>
        <w:jc w:val="both"/>
        <w:rPr>
          <w:rFonts w:ascii="Times New Roman" w:hAnsi="Times New Roman" w:cs="Times New Roman"/>
          <w:b/>
          <w:sz w:val="24"/>
          <w:szCs w:val="24"/>
        </w:rPr>
      </w:pPr>
      <w:r w:rsidRPr="004B7C9C">
        <w:rPr>
          <w:rFonts w:ascii="Times New Roman" w:hAnsi="Times New Roman" w:cs="Times New Roman"/>
          <w:sz w:val="24"/>
          <w:szCs w:val="24"/>
        </w:rPr>
        <w:t xml:space="preserve"> “</w:t>
      </w:r>
      <w:r w:rsidRPr="004B7C9C">
        <w:rPr>
          <w:rFonts w:ascii="Times New Roman" w:hAnsi="Times New Roman" w:cs="Times New Roman"/>
          <w:i/>
          <w:sz w:val="24"/>
          <w:szCs w:val="24"/>
        </w:rPr>
        <w:t>Siltumnīcefekta gāzu emisiju samazināšana – zema enerģijas patēriņa ēkas</w:t>
      </w:r>
      <w:r w:rsidRPr="004B7C9C">
        <w:rPr>
          <w:rFonts w:ascii="Times New Roman" w:hAnsi="Times New Roman" w:cs="Times New Roman"/>
          <w:sz w:val="24"/>
          <w:szCs w:val="24"/>
        </w:rPr>
        <w:t xml:space="preserve">”. Īstenošanā </w:t>
      </w:r>
      <w:r w:rsidR="0060014B">
        <w:rPr>
          <w:rFonts w:ascii="Times New Roman" w:hAnsi="Times New Roman" w:cs="Times New Roman"/>
          <w:sz w:val="24"/>
          <w:szCs w:val="24"/>
        </w:rPr>
        <w:t>seši</w:t>
      </w:r>
      <w:r w:rsidR="0060014B" w:rsidRPr="004B7C9C">
        <w:rPr>
          <w:rFonts w:ascii="Times New Roman" w:hAnsi="Times New Roman" w:cs="Times New Roman"/>
          <w:sz w:val="24"/>
          <w:szCs w:val="24"/>
        </w:rPr>
        <w:t xml:space="preserve"> </w:t>
      </w:r>
      <w:r w:rsidRPr="004B7C9C">
        <w:rPr>
          <w:rFonts w:ascii="Times New Roman" w:hAnsi="Times New Roman" w:cs="Times New Roman"/>
          <w:sz w:val="24"/>
          <w:szCs w:val="24"/>
        </w:rPr>
        <w:t xml:space="preserve">projekti un </w:t>
      </w:r>
      <w:r w:rsidR="0060014B">
        <w:rPr>
          <w:rFonts w:ascii="Times New Roman" w:hAnsi="Times New Roman" w:cs="Times New Roman"/>
          <w:sz w:val="24"/>
          <w:szCs w:val="24"/>
        </w:rPr>
        <w:t>viens</w:t>
      </w:r>
      <w:r w:rsidR="0060014B" w:rsidRPr="004B7C9C">
        <w:rPr>
          <w:rFonts w:ascii="Times New Roman" w:hAnsi="Times New Roman" w:cs="Times New Roman"/>
          <w:sz w:val="24"/>
          <w:szCs w:val="24"/>
        </w:rPr>
        <w:t xml:space="preserve"> </w:t>
      </w:r>
      <w:r w:rsidRPr="004B7C9C">
        <w:rPr>
          <w:rFonts w:ascii="Times New Roman" w:hAnsi="Times New Roman" w:cs="Times New Roman"/>
          <w:sz w:val="24"/>
          <w:szCs w:val="24"/>
        </w:rPr>
        <w:t>projekts pabeigts. Kopējais plānotais SEG samazinājums – 550,33 CO</w:t>
      </w:r>
      <w:r w:rsidRPr="004B7C9C">
        <w:rPr>
          <w:rFonts w:ascii="Times New Roman" w:hAnsi="Times New Roman" w:cs="Times New Roman"/>
          <w:sz w:val="24"/>
          <w:szCs w:val="24"/>
          <w:vertAlign w:val="subscript"/>
        </w:rPr>
        <w:t>2</w:t>
      </w:r>
      <w:r w:rsidRPr="004B7C9C">
        <w:rPr>
          <w:rFonts w:ascii="Times New Roman" w:hAnsi="Times New Roman" w:cs="Times New Roman"/>
          <w:sz w:val="24"/>
          <w:szCs w:val="24"/>
        </w:rPr>
        <w:t xml:space="preserve"> tonnas gadā. Kopējais kontraktētais EKII finansējums 23 milj. </w:t>
      </w:r>
      <w:proofErr w:type="spellStart"/>
      <w:r w:rsidRPr="004B7C9C">
        <w:rPr>
          <w:rFonts w:ascii="Times New Roman" w:hAnsi="Times New Roman" w:cs="Times New Roman"/>
          <w:i/>
          <w:sz w:val="24"/>
          <w:szCs w:val="24"/>
        </w:rPr>
        <w:t>euro</w:t>
      </w:r>
      <w:proofErr w:type="spellEnd"/>
      <w:r w:rsidRPr="004B7C9C">
        <w:rPr>
          <w:rFonts w:ascii="Times New Roman" w:hAnsi="Times New Roman" w:cs="Times New Roman"/>
          <w:i/>
          <w:sz w:val="24"/>
          <w:szCs w:val="24"/>
        </w:rPr>
        <w:t>.</w:t>
      </w:r>
      <w:r w:rsidRPr="004B7C9C">
        <w:rPr>
          <w:rFonts w:ascii="Times New Roman" w:hAnsi="Times New Roman" w:cs="Times New Roman"/>
          <w:sz w:val="24"/>
          <w:szCs w:val="24"/>
        </w:rPr>
        <w:t xml:space="preserve"> Atbalstāmas aktivitātes: jaunas zema enerģijas patēriņa ēkas būvniecība un esošas ēkas pārbūve vai atjaunošana par zema enerģijas patēriņa ēku</w:t>
      </w:r>
      <w:r>
        <w:rPr>
          <w:rFonts w:ascii="Times New Roman" w:hAnsi="Times New Roman" w:cs="Times New Roman"/>
          <w:sz w:val="24"/>
          <w:szCs w:val="24"/>
        </w:rPr>
        <w:t>;</w:t>
      </w:r>
    </w:p>
    <w:p w14:paraId="49B4BFC5" w14:textId="43CEF6F3" w:rsidR="0049669B" w:rsidRPr="004B7C9C" w:rsidRDefault="0049669B" w:rsidP="0049669B">
      <w:pPr>
        <w:pStyle w:val="ListParagraph"/>
        <w:widowControl w:val="0"/>
        <w:numPr>
          <w:ilvl w:val="0"/>
          <w:numId w:val="45"/>
        </w:numPr>
        <w:jc w:val="both"/>
        <w:rPr>
          <w:rFonts w:ascii="Times New Roman" w:hAnsi="Times New Roman" w:cs="Times New Roman"/>
          <w:sz w:val="24"/>
          <w:szCs w:val="24"/>
        </w:rPr>
      </w:pPr>
      <w:r w:rsidRPr="004B7C9C">
        <w:rPr>
          <w:rFonts w:ascii="Times New Roman" w:hAnsi="Times New Roman" w:cs="Times New Roman"/>
          <w:sz w:val="24"/>
          <w:szCs w:val="24"/>
        </w:rPr>
        <w:t xml:space="preserve"> </w:t>
      </w:r>
      <w:r w:rsidRPr="004B7C9C">
        <w:rPr>
          <w:rFonts w:ascii="Times New Roman" w:hAnsi="Times New Roman" w:cs="Times New Roman"/>
          <w:iCs/>
          <w:sz w:val="24"/>
          <w:szCs w:val="24"/>
        </w:rPr>
        <w:t>“</w:t>
      </w:r>
      <w:r w:rsidRPr="004B7C9C">
        <w:rPr>
          <w:rFonts w:ascii="Times New Roman" w:hAnsi="Times New Roman" w:cs="Times New Roman"/>
          <w:i/>
          <w:iCs/>
          <w:sz w:val="24"/>
          <w:szCs w:val="24"/>
        </w:rPr>
        <w:t>Siltumnīcefekta gāzu emisiju samazināšana ar viedajām pilsētvides tehnoloģijām</w:t>
      </w:r>
      <w:r w:rsidRPr="004B7C9C">
        <w:rPr>
          <w:rFonts w:ascii="Times New Roman" w:hAnsi="Times New Roman" w:cs="Times New Roman"/>
          <w:iCs/>
          <w:sz w:val="24"/>
          <w:szCs w:val="24"/>
        </w:rPr>
        <w:t xml:space="preserve">”. Īstenošanā 17 projekti. </w:t>
      </w:r>
      <w:r w:rsidRPr="004B7C9C">
        <w:rPr>
          <w:rFonts w:ascii="Times New Roman" w:hAnsi="Times New Roman" w:cs="Times New Roman"/>
          <w:sz w:val="24"/>
          <w:szCs w:val="24"/>
        </w:rPr>
        <w:t>Kopējais plānotais SEG samazinājums – 690,63 CO</w:t>
      </w:r>
      <w:r w:rsidRPr="004B7C9C">
        <w:rPr>
          <w:rFonts w:ascii="Times New Roman" w:hAnsi="Times New Roman" w:cs="Times New Roman"/>
          <w:sz w:val="24"/>
          <w:szCs w:val="24"/>
          <w:vertAlign w:val="subscript"/>
        </w:rPr>
        <w:t>2</w:t>
      </w:r>
      <w:r w:rsidRPr="004B7C9C">
        <w:rPr>
          <w:rFonts w:ascii="Times New Roman" w:hAnsi="Times New Roman" w:cs="Times New Roman"/>
          <w:sz w:val="24"/>
          <w:szCs w:val="24"/>
        </w:rPr>
        <w:t xml:space="preserve"> tonnas gadā. Kopējais kontraktētais EKII finansējums </w:t>
      </w:r>
      <w:r w:rsidRPr="004B7C9C">
        <w:rPr>
          <w:rFonts w:ascii="Times New Roman" w:hAnsi="Times New Roman" w:cs="Times New Roman"/>
          <w:sz w:val="24"/>
          <w:szCs w:val="24"/>
        </w:rPr>
        <w:lastRenderedPageBreak/>
        <w:t>7,39</w:t>
      </w:r>
      <w:r w:rsidR="0060014B">
        <w:rPr>
          <w:rFonts w:ascii="Times New Roman" w:hAnsi="Times New Roman" w:cs="Times New Roman"/>
          <w:sz w:val="24"/>
          <w:szCs w:val="24"/>
        </w:rPr>
        <w:t> </w:t>
      </w:r>
      <w:r w:rsidRPr="004B7C9C">
        <w:rPr>
          <w:rFonts w:ascii="Times New Roman" w:hAnsi="Times New Roman" w:cs="Times New Roman"/>
          <w:sz w:val="24"/>
          <w:szCs w:val="24"/>
        </w:rPr>
        <w:t>milj.</w:t>
      </w:r>
      <w:r w:rsidR="0060014B">
        <w:rPr>
          <w:rFonts w:ascii="Times New Roman" w:hAnsi="Times New Roman" w:cs="Times New Roman"/>
          <w:sz w:val="24"/>
          <w:szCs w:val="24"/>
        </w:rPr>
        <w:t> </w:t>
      </w:r>
      <w:proofErr w:type="spellStart"/>
      <w:r w:rsidRPr="004B7C9C">
        <w:rPr>
          <w:rFonts w:ascii="Times New Roman" w:hAnsi="Times New Roman" w:cs="Times New Roman"/>
          <w:i/>
          <w:sz w:val="24"/>
          <w:szCs w:val="24"/>
        </w:rPr>
        <w:t>euro</w:t>
      </w:r>
      <w:proofErr w:type="spellEnd"/>
      <w:r w:rsidRPr="004B7C9C">
        <w:rPr>
          <w:rFonts w:ascii="Times New Roman" w:hAnsi="Times New Roman" w:cs="Times New Roman"/>
          <w:i/>
          <w:sz w:val="24"/>
          <w:szCs w:val="24"/>
        </w:rPr>
        <w:t>.</w:t>
      </w:r>
      <w:r w:rsidRPr="004B7C9C">
        <w:rPr>
          <w:rFonts w:ascii="Times New Roman" w:hAnsi="Times New Roman" w:cs="Times New Roman"/>
          <w:sz w:val="24"/>
          <w:szCs w:val="24"/>
        </w:rPr>
        <w:t xml:space="preserve"> Atbalstāmās aktivitātes: atjaunojamos energoresursus izmantojošu viedo pilsētvides tehnoloģiju uzstādīšana un energoefektivitāti veicinošu viedo pilsētvides tehnoloģiju ieviešana</w:t>
      </w:r>
      <w:r>
        <w:rPr>
          <w:rFonts w:ascii="Times New Roman" w:hAnsi="Times New Roman" w:cs="Times New Roman"/>
          <w:sz w:val="24"/>
          <w:szCs w:val="24"/>
        </w:rPr>
        <w:t>;</w:t>
      </w:r>
    </w:p>
    <w:p w14:paraId="362DB1FF" w14:textId="75E492C1" w:rsidR="0049669B" w:rsidRPr="004B7C9C" w:rsidRDefault="0049669B" w:rsidP="00E07A0B">
      <w:pPr>
        <w:pStyle w:val="ListParagraph"/>
        <w:widowControl w:val="0"/>
        <w:numPr>
          <w:ilvl w:val="0"/>
          <w:numId w:val="45"/>
        </w:numPr>
        <w:spacing w:after="120" w:line="240" w:lineRule="auto"/>
        <w:jc w:val="both"/>
        <w:rPr>
          <w:rFonts w:ascii="Times New Roman" w:hAnsi="Times New Roman" w:cs="Times New Roman"/>
          <w:sz w:val="24"/>
          <w:szCs w:val="24"/>
        </w:rPr>
      </w:pPr>
      <w:r w:rsidRPr="004B7C9C">
        <w:rPr>
          <w:rFonts w:ascii="Times New Roman" w:hAnsi="Times New Roman" w:cs="Times New Roman"/>
          <w:sz w:val="24"/>
          <w:szCs w:val="24"/>
        </w:rPr>
        <w:t xml:space="preserve"> “</w:t>
      </w:r>
      <w:r w:rsidRPr="004B7C9C">
        <w:rPr>
          <w:rFonts w:ascii="Times New Roman" w:hAnsi="Times New Roman" w:cs="Times New Roman"/>
          <w:i/>
          <w:color w:val="000000"/>
          <w:sz w:val="24"/>
          <w:szCs w:val="24"/>
        </w:rPr>
        <w:t>Siltumnīcefekta gāzu emisiju samazināšana, attīstot enerģētiski pašpietiekamu ēku būvniecību</w:t>
      </w:r>
      <w:r w:rsidRPr="004B7C9C">
        <w:rPr>
          <w:rFonts w:ascii="Times New Roman" w:hAnsi="Times New Roman" w:cs="Times New Roman"/>
          <w:color w:val="000000"/>
          <w:sz w:val="24"/>
          <w:szCs w:val="24"/>
        </w:rPr>
        <w:t xml:space="preserve">”. Īstenošanā </w:t>
      </w:r>
      <w:r w:rsidR="005C69B3">
        <w:rPr>
          <w:rFonts w:ascii="Times New Roman" w:hAnsi="Times New Roman" w:cs="Times New Roman"/>
          <w:color w:val="000000"/>
          <w:sz w:val="24"/>
          <w:szCs w:val="24"/>
        </w:rPr>
        <w:t>divi</w:t>
      </w:r>
      <w:r w:rsidR="005C69B3" w:rsidRPr="004B7C9C">
        <w:rPr>
          <w:rFonts w:ascii="Times New Roman" w:hAnsi="Times New Roman" w:cs="Times New Roman"/>
          <w:color w:val="000000"/>
          <w:sz w:val="24"/>
          <w:szCs w:val="24"/>
        </w:rPr>
        <w:t xml:space="preserve"> </w:t>
      </w:r>
      <w:r w:rsidRPr="004B7C9C">
        <w:rPr>
          <w:rFonts w:ascii="Times New Roman" w:hAnsi="Times New Roman" w:cs="Times New Roman"/>
          <w:color w:val="000000"/>
          <w:sz w:val="24"/>
          <w:szCs w:val="24"/>
        </w:rPr>
        <w:t>projekti.</w:t>
      </w:r>
      <w:r w:rsidRPr="004B7C9C">
        <w:rPr>
          <w:rFonts w:ascii="Times New Roman" w:hAnsi="Times New Roman" w:cs="Times New Roman"/>
          <w:sz w:val="24"/>
          <w:szCs w:val="24"/>
        </w:rPr>
        <w:t xml:space="preserve"> Kopējais kontraktētais EKII finansējums 10 milj. </w:t>
      </w:r>
      <w:proofErr w:type="spellStart"/>
      <w:r w:rsidRPr="004B7C9C">
        <w:rPr>
          <w:rFonts w:ascii="Times New Roman" w:hAnsi="Times New Roman" w:cs="Times New Roman"/>
          <w:i/>
          <w:sz w:val="24"/>
          <w:szCs w:val="24"/>
        </w:rPr>
        <w:t>euro</w:t>
      </w:r>
      <w:proofErr w:type="spellEnd"/>
      <w:r w:rsidRPr="004B7C9C">
        <w:rPr>
          <w:rFonts w:ascii="Times New Roman" w:hAnsi="Times New Roman" w:cs="Times New Roman"/>
          <w:i/>
          <w:sz w:val="24"/>
          <w:szCs w:val="24"/>
        </w:rPr>
        <w:t>.</w:t>
      </w:r>
      <w:r w:rsidRPr="004B7C9C">
        <w:rPr>
          <w:rFonts w:ascii="Times New Roman" w:hAnsi="Times New Roman" w:cs="Times New Roman"/>
          <w:sz w:val="24"/>
          <w:szCs w:val="24"/>
        </w:rPr>
        <w:t xml:space="preserve"> Atbalstāmā aktivitāte: enerģētiski pašpietiekamas ēkas būvniecība.</w:t>
      </w:r>
    </w:p>
    <w:p w14:paraId="12125DC7" w14:textId="3B163A8F" w:rsidR="0049669B" w:rsidRPr="004B7C9C" w:rsidRDefault="0049669B" w:rsidP="00E07A0B">
      <w:pPr>
        <w:spacing w:after="0" w:line="240" w:lineRule="auto"/>
        <w:ind w:right="-760" w:firstLine="426"/>
        <w:jc w:val="both"/>
        <w:rPr>
          <w:rFonts w:ascii="Times New Roman" w:hAnsi="Times New Roman" w:cs="Times New Roman"/>
          <w:sz w:val="24"/>
          <w:szCs w:val="24"/>
        </w:rPr>
      </w:pPr>
      <w:r w:rsidRPr="004B7C9C">
        <w:rPr>
          <w:rFonts w:ascii="Times New Roman" w:hAnsi="Times New Roman" w:cs="Times New Roman"/>
          <w:sz w:val="24"/>
          <w:szCs w:val="24"/>
        </w:rPr>
        <w:t xml:space="preserve">Laika periodā no 2016.-2018. gadam projektiem izmaksāti 22,62 milj. </w:t>
      </w:r>
      <w:proofErr w:type="spellStart"/>
      <w:r w:rsidRPr="007F2A40">
        <w:rPr>
          <w:rFonts w:ascii="Times New Roman" w:hAnsi="Times New Roman" w:cs="Times New Roman"/>
          <w:i/>
          <w:sz w:val="24"/>
          <w:szCs w:val="24"/>
        </w:rPr>
        <w:t>euro</w:t>
      </w:r>
      <w:proofErr w:type="spellEnd"/>
      <w:r>
        <w:rPr>
          <w:rFonts w:ascii="Times New Roman" w:hAnsi="Times New Roman" w:cs="Times New Roman"/>
          <w:sz w:val="24"/>
          <w:szCs w:val="24"/>
        </w:rPr>
        <w:t xml:space="preserve">, savukārt </w:t>
      </w:r>
      <w:r w:rsidR="00C17F61">
        <w:rPr>
          <w:rFonts w:ascii="Times New Roman" w:hAnsi="Times New Roman" w:cs="Times New Roman"/>
          <w:sz w:val="24"/>
          <w:szCs w:val="24"/>
        </w:rPr>
        <w:t>2019. </w:t>
      </w:r>
      <w:r w:rsidRPr="004B7C9C">
        <w:rPr>
          <w:rFonts w:ascii="Times New Roman" w:hAnsi="Times New Roman" w:cs="Times New Roman"/>
          <w:sz w:val="24"/>
          <w:szCs w:val="24"/>
        </w:rPr>
        <w:t>-</w:t>
      </w:r>
      <w:r w:rsidR="00C17F61">
        <w:rPr>
          <w:rFonts w:ascii="Times New Roman" w:hAnsi="Times New Roman" w:cs="Times New Roman"/>
          <w:sz w:val="24"/>
          <w:szCs w:val="24"/>
        </w:rPr>
        <w:t> </w:t>
      </w:r>
      <w:r w:rsidRPr="004B7C9C">
        <w:rPr>
          <w:rFonts w:ascii="Times New Roman" w:hAnsi="Times New Roman" w:cs="Times New Roman"/>
          <w:sz w:val="24"/>
          <w:szCs w:val="24"/>
        </w:rPr>
        <w:t xml:space="preserve">2020. gadā plānotais projektiem izmaksātais apjoms </w:t>
      </w:r>
      <w:r>
        <w:rPr>
          <w:rFonts w:ascii="Times New Roman" w:hAnsi="Times New Roman" w:cs="Times New Roman"/>
          <w:sz w:val="24"/>
          <w:szCs w:val="24"/>
        </w:rPr>
        <w:t>ir</w:t>
      </w:r>
      <w:r w:rsidRPr="004B7C9C">
        <w:rPr>
          <w:rFonts w:ascii="Times New Roman" w:hAnsi="Times New Roman" w:cs="Times New Roman"/>
          <w:sz w:val="24"/>
          <w:szCs w:val="24"/>
        </w:rPr>
        <w:t xml:space="preserve"> 22,40 milj. </w:t>
      </w:r>
      <w:proofErr w:type="spellStart"/>
      <w:r w:rsidRPr="004B7C9C">
        <w:rPr>
          <w:rFonts w:ascii="Times New Roman" w:hAnsi="Times New Roman" w:cs="Times New Roman"/>
          <w:i/>
          <w:sz w:val="24"/>
          <w:szCs w:val="24"/>
        </w:rPr>
        <w:t>euro</w:t>
      </w:r>
      <w:proofErr w:type="spellEnd"/>
      <w:r w:rsidRPr="004B7C9C">
        <w:rPr>
          <w:rFonts w:ascii="Times New Roman" w:hAnsi="Times New Roman" w:cs="Times New Roman"/>
          <w:i/>
          <w:sz w:val="24"/>
          <w:szCs w:val="24"/>
        </w:rPr>
        <w:t>.</w:t>
      </w:r>
      <w:r w:rsidRPr="004B7C9C">
        <w:rPr>
          <w:rFonts w:ascii="Times New Roman" w:hAnsi="Times New Roman" w:cs="Times New Roman"/>
          <w:sz w:val="24"/>
          <w:szCs w:val="24"/>
        </w:rPr>
        <w:t xml:space="preserve"> </w:t>
      </w:r>
      <w:r>
        <w:rPr>
          <w:rFonts w:ascii="Times New Roman" w:hAnsi="Times New Roman" w:cs="Times New Roman"/>
          <w:sz w:val="24"/>
          <w:szCs w:val="24"/>
        </w:rPr>
        <w:t>Izmaksājamie</w:t>
      </w:r>
      <w:r w:rsidRPr="004B7C9C">
        <w:rPr>
          <w:rFonts w:ascii="Times New Roman" w:hAnsi="Times New Roman" w:cs="Times New Roman"/>
          <w:sz w:val="24"/>
          <w:szCs w:val="24"/>
        </w:rPr>
        <w:t xml:space="preserve"> </w:t>
      </w:r>
      <w:r>
        <w:rPr>
          <w:rFonts w:ascii="Times New Roman" w:hAnsi="Times New Roman" w:cs="Times New Roman"/>
          <w:sz w:val="24"/>
          <w:szCs w:val="24"/>
        </w:rPr>
        <w:t xml:space="preserve">EKII līdzekļu </w:t>
      </w:r>
      <w:r w:rsidRPr="004B7C9C">
        <w:rPr>
          <w:rFonts w:ascii="Times New Roman" w:hAnsi="Times New Roman" w:cs="Times New Roman"/>
          <w:sz w:val="24"/>
          <w:szCs w:val="24"/>
        </w:rPr>
        <w:t>apjomi var mainīties gan dēļ izmaiņām esošajos projektos, gan dēļ potenciālajiem jaunajiem projektu konkursiem.</w:t>
      </w:r>
      <w:r w:rsidRPr="00BB57F6">
        <w:rPr>
          <w:rFonts w:ascii="Times New Roman" w:hAnsi="Times New Roman" w:cs="Times New Roman"/>
          <w:sz w:val="24"/>
          <w:szCs w:val="24"/>
        </w:rPr>
        <w:t xml:space="preserve"> </w:t>
      </w:r>
      <w:r w:rsidRPr="004B7C9C">
        <w:rPr>
          <w:rFonts w:ascii="Times New Roman" w:hAnsi="Times New Roman" w:cs="Times New Roman"/>
          <w:sz w:val="24"/>
          <w:szCs w:val="24"/>
        </w:rPr>
        <w:t>Informācija par EKII darbību pieejama ikgadējos informatīvajos ziņojumos</w:t>
      </w:r>
      <w:r w:rsidRPr="004B7C9C">
        <w:rPr>
          <w:rStyle w:val="FootnoteReference"/>
          <w:rFonts w:ascii="Times New Roman" w:hAnsi="Times New Roman" w:cs="Times New Roman"/>
          <w:sz w:val="24"/>
          <w:szCs w:val="24"/>
        </w:rPr>
        <w:footnoteReference w:id="27"/>
      </w:r>
      <w:r w:rsidRPr="004B7C9C">
        <w:rPr>
          <w:rFonts w:ascii="Times New Roman" w:hAnsi="Times New Roman" w:cs="Times New Roman"/>
          <w:sz w:val="24"/>
          <w:szCs w:val="24"/>
        </w:rPr>
        <w:t>.</w:t>
      </w:r>
    </w:p>
    <w:p w14:paraId="76DEE134" w14:textId="0497927F" w:rsidR="00C04F80" w:rsidRPr="00E25EF5" w:rsidRDefault="0049669B" w:rsidP="0049669B">
      <w:pPr>
        <w:spacing w:after="0" w:line="240" w:lineRule="auto"/>
        <w:ind w:right="-760" w:firstLine="357"/>
        <w:jc w:val="both"/>
        <w:rPr>
          <w:color w:val="000000"/>
          <w:sz w:val="28"/>
          <w:szCs w:val="28"/>
        </w:rPr>
      </w:pPr>
      <w:r w:rsidRPr="004B7C9C">
        <w:rPr>
          <w:rFonts w:ascii="Times New Roman" w:hAnsi="Times New Roman"/>
          <w:sz w:val="24"/>
          <w:szCs w:val="24"/>
        </w:rPr>
        <w:t>EKII konkursos CO</w:t>
      </w:r>
      <w:r w:rsidRPr="004B7C9C">
        <w:rPr>
          <w:rFonts w:ascii="Times New Roman" w:hAnsi="Times New Roman"/>
          <w:sz w:val="24"/>
          <w:szCs w:val="24"/>
          <w:vertAlign w:val="subscript"/>
        </w:rPr>
        <w:t>2</w:t>
      </w:r>
      <w:r w:rsidRPr="004B7C9C">
        <w:rPr>
          <w:rFonts w:ascii="Times New Roman" w:hAnsi="Times New Roman"/>
          <w:sz w:val="24"/>
          <w:szCs w:val="24"/>
        </w:rPr>
        <w:t xml:space="preserve"> tiešie emisijas samazinājumi nav vienīgais kvalitātes vērtēšanas kritērijs, lai atbalstītu projektus, jo būtiski ņemt vērā arī netiešos SEG emisiju samazinājumus, kas iespējami dēļ projektu demonstrācijas un </w:t>
      </w:r>
      <w:proofErr w:type="spellStart"/>
      <w:r w:rsidRPr="004B7C9C">
        <w:rPr>
          <w:rFonts w:ascii="Times New Roman" w:hAnsi="Times New Roman"/>
          <w:sz w:val="24"/>
          <w:szCs w:val="24"/>
        </w:rPr>
        <w:t>multiplikatīvā</w:t>
      </w:r>
      <w:proofErr w:type="spellEnd"/>
      <w:r w:rsidRPr="004B7C9C">
        <w:rPr>
          <w:rFonts w:ascii="Times New Roman" w:hAnsi="Times New Roman"/>
          <w:sz w:val="24"/>
          <w:szCs w:val="24"/>
        </w:rPr>
        <w:t xml:space="preserve"> efekta. Tas sevišķi svarīgi, jo klimata politikas mērķu sasniegšanai nepieciešamas pakāpeniskas, visaptverošas un būtiskas izmaiņas tautsaimniecībā un iedzīvotāju dzīvesveidā un to nav iespējams panākt, tikai līdzfinansējot atsevišķus projektus. </w:t>
      </w:r>
      <w:r w:rsidRPr="004B7C9C">
        <w:rPr>
          <w:rFonts w:ascii="Times New Roman" w:hAnsi="Times New Roman"/>
          <w:bCs/>
          <w:color w:val="000000"/>
          <w:sz w:val="24"/>
          <w:szCs w:val="24"/>
        </w:rPr>
        <w:t xml:space="preserve">Organizējot atklātos projektu iesniegumu konkursus, ir jāievēro </w:t>
      </w:r>
      <w:r w:rsidRPr="004B7C9C">
        <w:rPr>
          <w:rFonts w:ascii="Times New Roman" w:hAnsi="Times New Roman"/>
          <w:sz w:val="24"/>
          <w:szCs w:val="24"/>
        </w:rPr>
        <w:t xml:space="preserve">likuma „Par piesārņojumu” </w:t>
      </w:r>
      <w:r w:rsidRPr="004B7C9C">
        <w:rPr>
          <w:rFonts w:ascii="Times New Roman" w:hAnsi="Times New Roman"/>
          <w:bCs/>
          <w:sz w:val="24"/>
          <w:szCs w:val="24"/>
        </w:rPr>
        <w:t>32.</w:t>
      </w:r>
      <w:r w:rsidRPr="004B7C9C">
        <w:rPr>
          <w:rFonts w:ascii="Times New Roman" w:hAnsi="Times New Roman"/>
          <w:bCs/>
          <w:sz w:val="24"/>
          <w:szCs w:val="24"/>
          <w:vertAlign w:val="superscript"/>
        </w:rPr>
        <w:t>2</w:t>
      </w:r>
      <w:r w:rsidRPr="004B7C9C">
        <w:rPr>
          <w:rFonts w:ascii="Times New Roman" w:hAnsi="Times New Roman"/>
          <w:bCs/>
          <w:sz w:val="24"/>
          <w:szCs w:val="24"/>
        </w:rPr>
        <w:t xml:space="preserve"> panta </w:t>
      </w:r>
      <w:r w:rsidRPr="004B7C9C">
        <w:rPr>
          <w:rFonts w:ascii="Times New Roman" w:hAnsi="Times New Roman"/>
          <w:sz w:val="24"/>
          <w:szCs w:val="24"/>
        </w:rPr>
        <w:t>4</w:t>
      </w:r>
      <w:r w:rsidRPr="004B7C9C">
        <w:rPr>
          <w:rFonts w:ascii="Times New Roman" w:hAnsi="Times New Roman"/>
          <w:color w:val="000000" w:themeColor="text1"/>
          <w:sz w:val="24"/>
          <w:szCs w:val="24"/>
        </w:rPr>
        <w:t>.</w:t>
      </w:r>
      <w:r w:rsidRPr="004B7C9C">
        <w:rPr>
          <w:rFonts w:ascii="Times New Roman" w:hAnsi="Times New Roman"/>
          <w:sz w:val="24"/>
          <w:szCs w:val="24"/>
          <w:vertAlign w:val="superscript"/>
        </w:rPr>
        <w:t>4</w:t>
      </w:r>
      <w:r w:rsidRPr="004B7C9C">
        <w:rPr>
          <w:rFonts w:ascii="Times New Roman" w:hAnsi="Times New Roman"/>
          <w:sz w:val="24"/>
          <w:szCs w:val="24"/>
        </w:rPr>
        <w:t xml:space="preserve"> daļā minētie nosacījumi</w:t>
      </w:r>
      <w:r w:rsidRPr="004B7C9C">
        <w:rPr>
          <w:rFonts w:ascii="Times New Roman" w:hAnsi="Times New Roman"/>
          <w:bCs/>
          <w:color w:val="000000"/>
          <w:sz w:val="24"/>
          <w:szCs w:val="24"/>
        </w:rPr>
        <w:t>, kā arī jāsasniedz ne tikai projektu konkursa mērķis, bet jātiecas sasniegt tāds rezultāts, kas veicinātu SEG emisiju samazināšanos nākotnē arī bez ES, valsts vai pašvaldības atbalsta</w:t>
      </w:r>
      <w:r>
        <w:rPr>
          <w:rFonts w:ascii="Times New Roman" w:hAnsi="Times New Roman"/>
          <w:bCs/>
          <w:color w:val="000000"/>
          <w:sz w:val="24"/>
          <w:szCs w:val="24"/>
        </w:rPr>
        <w:t>.</w:t>
      </w:r>
    </w:p>
    <w:p w14:paraId="04158578" w14:textId="77BBAFBD" w:rsidR="00252E6E" w:rsidRPr="001031F1" w:rsidRDefault="00252E6E" w:rsidP="001031F1">
      <w:pPr>
        <w:pStyle w:val="Heading1"/>
      </w:pPr>
      <w:bookmarkStart w:id="9" w:name="_Toc5694315"/>
      <w:r w:rsidRPr="001031F1">
        <w:t>III Risinājuma varianti</w:t>
      </w:r>
      <w:bookmarkEnd w:id="9"/>
    </w:p>
    <w:p w14:paraId="48AE065D" w14:textId="55DF9706" w:rsidR="00252E6E" w:rsidRDefault="00252E6E" w:rsidP="00E25EF5">
      <w:pPr>
        <w:spacing w:after="0" w:line="240" w:lineRule="auto"/>
        <w:ind w:right="-625" w:firstLine="360"/>
        <w:jc w:val="both"/>
        <w:rPr>
          <w:rFonts w:ascii="Times New Roman" w:hAnsi="Times New Roman" w:cs="Times New Roman"/>
          <w:sz w:val="24"/>
          <w:szCs w:val="24"/>
        </w:rPr>
      </w:pPr>
      <w:r w:rsidRPr="00A93673">
        <w:rPr>
          <w:rFonts w:ascii="Times New Roman" w:hAnsi="Times New Roman" w:cs="Times New Roman"/>
          <w:sz w:val="24"/>
          <w:szCs w:val="24"/>
        </w:rPr>
        <w:t>Balstoties uz Direktīv</w:t>
      </w:r>
      <w:r w:rsidR="00A8029E" w:rsidRPr="00A93673">
        <w:rPr>
          <w:rFonts w:ascii="Times New Roman" w:hAnsi="Times New Roman" w:cs="Times New Roman"/>
          <w:sz w:val="24"/>
          <w:szCs w:val="24"/>
        </w:rPr>
        <w:t>as</w:t>
      </w:r>
      <w:r w:rsidRPr="00A93673">
        <w:rPr>
          <w:rFonts w:ascii="Times New Roman" w:hAnsi="Times New Roman" w:cs="Times New Roman"/>
          <w:sz w:val="24"/>
          <w:szCs w:val="24"/>
        </w:rPr>
        <w:t xml:space="preserve"> 2003/87/EK</w:t>
      </w:r>
      <w:r w:rsidR="00A8029E" w:rsidRPr="00A93673">
        <w:rPr>
          <w:rFonts w:ascii="Times New Roman" w:hAnsi="Times New Roman" w:cs="Times New Roman"/>
          <w:sz w:val="24"/>
          <w:szCs w:val="24"/>
        </w:rPr>
        <w:t xml:space="preserve"> nosacījumiem</w:t>
      </w:r>
      <w:r w:rsidR="00A77EA9" w:rsidRPr="00A93673">
        <w:rPr>
          <w:rFonts w:ascii="Times New Roman" w:hAnsi="Times New Roman" w:cs="Times New Roman"/>
          <w:sz w:val="24"/>
          <w:szCs w:val="24"/>
        </w:rPr>
        <w:t xml:space="preserve"> un Latvijas situāciju varētu būt iespējami</w:t>
      </w:r>
      <w:r w:rsidRPr="00A93673">
        <w:rPr>
          <w:rFonts w:ascii="Times New Roman" w:hAnsi="Times New Roman" w:cs="Times New Roman"/>
          <w:sz w:val="24"/>
          <w:szCs w:val="24"/>
        </w:rPr>
        <w:t xml:space="preserve"> </w:t>
      </w:r>
      <w:r w:rsidR="00A8029E" w:rsidRPr="00A93673">
        <w:rPr>
          <w:rFonts w:ascii="Times New Roman" w:hAnsi="Times New Roman" w:cs="Times New Roman"/>
          <w:sz w:val="24"/>
          <w:szCs w:val="24"/>
        </w:rPr>
        <w:t xml:space="preserve">divi </w:t>
      </w:r>
      <w:r w:rsidR="009E18A3" w:rsidRPr="00A93673">
        <w:rPr>
          <w:rFonts w:ascii="Times New Roman" w:hAnsi="Times New Roman" w:cs="Times New Roman"/>
          <w:sz w:val="24"/>
          <w:szCs w:val="24"/>
        </w:rPr>
        <w:t xml:space="preserve">tālākās </w:t>
      </w:r>
      <w:r w:rsidRPr="00A93673">
        <w:rPr>
          <w:rFonts w:ascii="Times New Roman" w:hAnsi="Times New Roman" w:cs="Times New Roman"/>
          <w:sz w:val="24"/>
          <w:szCs w:val="24"/>
        </w:rPr>
        <w:t>rīcības scenāriji (sk.</w:t>
      </w:r>
      <w:r w:rsidR="00647894" w:rsidRPr="00A93673">
        <w:rPr>
          <w:rFonts w:ascii="Times New Roman" w:hAnsi="Times New Roman" w:cs="Times New Roman"/>
          <w:sz w:val="24"/>
          <w:szCs w:val="24"/>
        </w:rPr>
        <w:t xml:space="preserve"> arī</w:t>
      </w:r>
      <w:r w:rsidRPr="00A93673">
        <w:rPr>
          <w:rFonts w:ascii="Times New Roman" w:hAnsi="Times New Roman" w:cs="Times New Roman"/>
          <w:sz w:val="24"/>
          <w:szCs w:val="24"/>
        </w:rPr>
        <w:t xml:space="preserve"> 2. attēlu)</w:t>
      </w:r>
      <w:r w:rsidR="009E18A3" w:rsidRPr="00A93673">
        <w:rPr>
          <w:rFonts w:ascii="Times New Roman" w:hAnsi="Times New Roman" w:cs="Times New Roman"/>
          <w:sz w:val="24"/>
          <w:szCs w:val="24"/>
        </w:rPr>
        <w:t>.</w:t>
      </w:r>
    </w:p>
    <w:p w14:paraId="587CBDC9" w14:textId="14C1CBF9" w:rsidR="00252E6E" w:rsidRPr="00450453" w:rsidRDefault="00FD25B5" w:rsidP="00450453">
      <w:pPr>
        <w:pStyle w:val="ListParagraph"/>
        <w:numPr>
          <w:ilvl w:val="0"/>
          <w:numId w:val="35"/>
        </w:numPr>
        <w:spacing w:after="0" w:line="240" w:lineRule="auto"/>
        <w:ind w:right="-625"/>
        <w:jc w:val="both"/>
        <w:rPr>
          <w:rFonts w:ascii="Times New Roman" w:hAnsi="Times New Roman" w:cs="Times New Roman"/>
          <w:sz w:val="24"/>
          <w:szCs w:val="24"/>
        </w:rPr>
      </w:pPr>
      <w:r w:rsidRPr="00450453">
        <w:rPr>
          <w:rFonts w:ascii="Times New Roman" w:hAnsi="Times New Roman" w:cs="Times New Roman"/>
          <w:b/>
          <w:sz w:val="24"/>
          <w:szCs w:val="24"/>
        </w:rPr>
        <w:t>1.</w:t>
      </w:r>
      <w:r w:rsidR="009E79DE">
        <w:rPr>
          <w:rFonts w:ascii="Times New Roman" w:hAnsi="Times New Roman" w:cs="Times New Roman"/>
          <w:b/>
          <w:sz w:val="24"/>
          <w:szCs w:val="24"/>
        </w:rPr>
        <w:t> </w:t>
      </w:r>
      <w:r w:rsidRPr="00450453">
        <w:rPr>
          <w:rFonts w:ascii="Times New Roman" w:hAnsi="Times New Roman" w:cs="Times New Roman"/>
          <w:b/>
          <w:sz w:val="24"/>
          <w:szCs w:val="24"/>
        </w:rPr>
        <w:t xml:space="preserve">scenārijs - </w:t>
      </w:r>
      <w:r w:rsidR="00252E6E" w:rsidRPr="00450453">
        <w:rPr>
          <w:rFonts w:ascii="Times New Roman" w:hAnsi="Times New Roman" w:cs="Times New Roman"/>
          <w:b/>
          <w:sz w:val="24"/>
          <w:szCs w:val="24"/>
        </w:rPr>
        <w:t>bāzes scenārijs</w:t>
      </w:r>
      <w:r w:rsidR="001D44C4">
        <w:rPr>
          <w:rFonts w:ascii="Times New Roman" w:hAnsi="Times New Roman" w:cs="Times New Roman"/>
          <w:b/>
          <w:sz w:val="24"/>
          <w:szCs w:val="24"/>
        </w:rPr>
        <w:t xml:space="preserve"> </w:t>
      </w:r>
    </w:p>
    <w:p w14:paraId="25847611" w14:textId="0EEE91BF" w:rsidR="00D12866" w:rsidRDefault="00D12866" w:rsidP="009E18A3">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Izso</w:t>
      </w:r>
      <w:r w:rsidR="00D74F97">
        <w:rPr>
          <w:rFonts w:ascii="Times New Roman" w:hAnsi="Times New Roman" w:cs="Times New Roman"/>
          <w:sz w:val="24"/>
          <w:szCs w:val="24"/>
        </w:rPr>
        <w:t>lē</w:t>
      </w:r>
      <w:r w:rsidR="00510E05">
        <w:rPr>
          <w:rFonts w:ascii="Times New Roman" w:hAnsi="Times New Roman" w:cs="Times New Roman"/>
          <w:sz w:val="24"/>
          <w:szCs w:val="24"/>
        </w:rPr>
        <w:t>m</w:t>
      </w:r>
      <w:r w:rsidR="00D74F97">
        <w:rPr>
          <w:rFonts w:ascii="Times New Roman" w:hAnsi="Times New Roman" w:cs="Times New Roman"/>
          <w:sz w:val="24"/>
          <w:szCs w:val="24"/>
        </w:rPr>
        <w:t xml:space="preserve"> paredzētie </w:t>
      </w:r>
      <w:r>
        <w:rPr>
          <w:rFonts w:ascii="Times New Roman" w:hAnsi="Times New Roman" w:cs="Times New Roman"/>
          <w:sz w:val="24"/>
          <w:szCs w:val="24"/>
        </w:rPr>
        <w:t>emisijas kvot</w:t>
      </w:r>
      <w:r w:rsidR="00D74F97">
        <w:rPr>
          <w:rFonts w:ascii="Times New Roman" w:hAnsi="Times New Roman" w:cs="Times New Roman"/>
          <w:sz w:val="24"/>
          <w:szCs w:val="24"/>
        </w:rPr>
        <w:t xml:space="preserve">u apjomi (gan </w:t>
      </w:r>
      <w:r w:rsidR="00D74F97" w:rsidRPr="001D44C4">
        <w:rPr>
          <w:rFonts w:ascii="Times New Roman" w:hAnsi="Times New Roman" w:cs="Times New Roman"/>
          <w:sz w:val="24"/>
          <w:szCs w:val="24"/>
        </w:rPr>
        <w:t>izsolāmajā emisij</w:t>
      </w:r>
      <w:r w:rsidR="00C54C7E" w:rsidRPr="001D44C4">
        <w:rPr>
          <w:rFonts w:ascii="Times New Roman" w:hAnsi="Times New Roman" w:cs="Times New Roman"/>
          <w:sz w:val="24"/>
          <w:szCs w:val="24"/>
        </w:rPr>
        <w:t>as</w:t>
      </w:r>
      <w:r w:rsidR="00D74F97" w:rsidRPr="001D44C4">
        <w:rPr>
          <w:rFonts w:ascii="Times New Roman" w:hAnsi="Times New Roman" w:cs="Times New Roman"/>
          <w:sz w:val="24"/>
          <w:szCs w:val="24"/>
        </w:rPr>
        <w:t xml:space="preserve"> </w:t>
      </w:r>
      <w:r w:rsidR="00205CB0" w:rsidRPr="001618DE">
        <w:rPr>
          <w:rFonts w:ascii="Times New Roman" w:hAnsi="Times New Roman" w:cs="Times New Roman"/>
          <w:sz w:val="24"/>
          <w:szCs w:val="24"/>
        </w:rPr>
        <w:t xml:space="preserve">kvotu </w:t>
      </w:r>
      <w:r w:rsidR="00D74F97" w:rsidRPr="001D44C4">
        <w:rPr>
          <w:rFonts w:ascii="Times New Roman" w:hAnsi="Times New Roman" w:cs="Times New Roman"/>
          <w:sz w:val="24"/>
          <w:szCs w:val="24"/>
        </w:rPr>
        <w:t>pamatapjomā, gan solidaritātes kvotās</w:t>
      </w:r>
      <w:r w:rsidR="00D74F97">
        <w:rPr>
          <w:rFonts w:ascii="Times New Roman" w:hAnsi="Times New Roman" w:cs="Times New Roman"/>
          <w:sz w:val="24"/>
          <w:szCs w:val="24"/>
        </w:rPr>
        <w:t>) paliek plānotajā</w:t>
      </w:r>
      <w:r w:rsidR="00C54C7E">
        <w:rPr>
          <w:rFonts w:ascii="Times New Roman" w:hAnsi="Times New Roman" w:cs="Times New Roman"/>
          <w:sz w:val="24"/>
          <w:szCs w:val="24"/>
        </w:rPr>
        <w:t xml:space="preserve"> </w:t>
      </w:r>
      <w:r w:rsidR="00D74F97">
        <w:rPr>
          <w:rFonts w:ascii="Times New Roman" w:hAnsi="Times New Roman" w:cs="Times New Roman"/>
          <w:sz w:val="24"/>
          <w:szCs w:val="24"/>
        </w:rPr>
        <w:t>līmenī</w:t>
      </w:r>
      <w:r w:rsidR="00C54C7E">
        <w:rPr>
          <w:rFonts w:ascii="Times New Roman" w:hAnsi="Times New Roman" w:cs="Times New Roman"/>
          <w:sz w:val="24"/>
          <w:szCs w:val="24"/>
        </w:rPr>
        <w:t xml:space="preserve"> -16,06 milj. emisijas kvotas</w:t>
      </w:r>
      <w:r w:rsidR="00D74F97">
        <w:rPr>
          <w:rFonts w:ascii="Times New Roman" w:hAnsi="Times New Roman" w:cs="Times New Roman"/>
          <w:sz w:val="24"/>
          <w:szCs w:val="24"/>
        </w:rPr>
        <w:t>.</w:t>
      </w:r>
      <w:r w:rsidR="00412A42">
        <w:rPr>
          <w:rFonts w:ascii="Times New Roman" w:hAnsi="Times New Roman" w:cs="Times New Roman"/>
          <w:sz w:val="24"/>
          <w:szCs w:val="24"/>
        </w:rPr>
        <w:t xml:space="preserve"> Vis</w:t>
      </w:r>
      <w:r w:rsidR="00BA473B">
        <w:rPr>
          <w:rFonts w:ascii="Times New Roman" w:hAnsi="Times New Roman" w:cs="Times New Roman"/>
          <w:sz w:val="24"/>
          <w:szCs w:val="24"/>
        </w:rPr>
        <w:t>i ieņēmumi no</w:t>
      </w:r>
      <w:r w:rsidR="00412A42">
        <w:rPr>
          <w:rFonts w:ascii="Times New Roman" w:hAnsi="Times New Roman" w:cs="Times New Roman"/>
          <w:sz w:val="24"/>
          <w:szCs w:val="24"/>
        </w:rPr>
        <w:t xml:space="preserve"> emisijas kvotu apjom</w:t>
      </w:r>
      <w:r w:rsidR="00BA473B">
        <w:rPr>
          <w:rFonts w:ascii="Times New Roman" w:hAnsi="Times New Roman" w:cs="Times New Roman"/>
          <w:sz w:val="24"/>
          <w:szCs w:val="24"/>
        </w:rPr>
        <w:t>iem nonāk EKII</w:t>
      </w:r>
      <w:r w:rsidR="001D44C4">
        <w:rPr>
          <w:rFonts w:ascii="Times New Roman" w:hAnsi="Times New Roman" w:cs="Times New Roman"/>
          <w:sz w:val="24"/>
          <w:szCs w:val="24"/>
        </w:rPr>
        <w:t xml:space="preserve"> un tā potenciālais finansējums nesamazinās</w:t>
      </w:r>
      <w:r w:rsidR="00BA473B">
        <w:rPr>
          <w:rFonts w:ascii="Times New Roman" w:hAnsi="Times New Roman" w:cs="Times New Roman"/>
          <w:sz w:val="24"/>
          <w:szCs w:val="24"/>
        </w:rPr>
        <w:t>.</w:t>
      </w:r>
      <w:r w:rsidR="00D74F97">
        <w:rPr>
          <w:rFonts w:ascii="Times New Roman" w:hAnsi="Times New Roman" w:cs="Times New Roman"/>
          <w:sz w:val="24"/>
          <w:szCs w:val="24"/>
        </w:rPr>
        <w:t xml:space="preserve"> </w:t>
      </w:r>
      <w:proofErr w:type="spellStart"/>
      <w:r w:rsidR="00D74F97">
        <w:rPr>
          <w:rFonts w:ascii="Times New Roman" w:hAnsi="Times New Roman" w:cs="Times New Roman"/>
          <w:sz w:val="24"/>
          <w:szCs w:val="24"/>
        </w:rPr>
        <w:t>Derogācijai</w:t>
      </w:r>
      <w:proofErr w:type="spellEnd"/>
      <w:r w:rsidR="00D74F97">
        <w:rPr>
          <w:rFonts w:ascii="Times New Roman" w:hAnsi="Times New Roman" w:cs="Times New Roman"/>
          <w:sz w:val="24"/>
          <w:szCs w:val="24"/>
        </w:rPr>
        <w:t xml:space="preserve"> </w:t>
      </w:r>
      <w:r w:rsidR="00C54C7E">
        <w:rPr>
          <w:rFonts w:ascii="Times New Roman" w:hAnsi="Times New Roman" w:cs="Times New Roman"/>
          <w:sz w:val="24"/>
          <w:szCs w:val="24"/>
        </w:rPr>
        <w:t xml:space="preserve">emisijas </w:t>
      </w:r>
      <w:r w:rsidR="00D74F97">
        <w:rPr>
          <w:rFonts w:ascii="Times New Roman" w:hAnsi="Times New Roman" w:cs="Times New Roman"/>
          <w:sz w:val="24"/>
          <w:szCs w:val="24"/>
        </w:rPr>
        <w:t xml:space="preserve">kvotas netiek piešķirtas. </w:t>
      </w:r>
    </w:p>
    <w:p w14:paraId="4CD15473" w14:textId="77777777" w:rsidR="00C54C7E" w:rsidRPr="00450453" w:rsidRDefault="00C54C7E">
      <w:pPr>
        <w:spacing w:after="0" w:line="240" w:lineRule="auto"/>
        <w:ind w:left="360" w:right="-625"/>
        <w:jc w:val="both"/>
        <w:rPr>
          <w:rFonts w:ascii="Times New Roman" w:hAnsi="Times New Roman" w:cs="Times New Roman"/>
          <w:sz w:val="24"/>
          <w:szCs w:val="24"/>
        </w:rPr>
      </w:pPr>
    </w:p>
    <w:p w14:paraId="697F091D" w14:textId="7159FEF6" w:rsidR="00C54C7E" w:rsidRPr="00450453" w:rsidRDefault="00FD25B5">
      <w:pPr>
        <w:pStyle w:val="ListParagraph"/>
        <w:numPr>
          <w:ilvl w:val="0"/>
          <w:numId w:val="35"/>
        </w:numPr>
        <w:spacing w:after="0" w:line="240" w:lineRule="auto"/>
        <w:ind w:right="-625"/>
        <w:jc w:val="both"/>
        <w:rPr>
          <w:rFonts w:ascii="Times New Roman" w:hAnsi="Times New Roman" w:cs="Times New Roman"/>
          <w:b/>
          <w:sz w:val="24"/>
          <w:szCs w:val="24"/>
        </w:rPr>
      </w:pPr>
      <w:r w:rsidRPr="00450453">
        <w:rPr>
          <w:rFonts w:ascii="Times New Roman" w:hAnsi="Times New Roman" w:cs="Times New Roman"/>
          <w:b/>
          <w:sz w:val="24"/>
          <w:szCs w:val="24"/>
        </w:rPr>
        <w:t>2.</w:t>
      </w:r>
      <w:r w:rsidR="009E79DE">
        <w:rPr>
          <w:rFonts w:ascii="Times New Roman" w:hAnsi="Times New Roman" w:cs="Times New Roman"/>
          <w:b/>
          <w:sz w:val="24"/>
          <w:szCs w:val="24"/>
        </w:rPr>
        <w:t> </w:t>
      </w:r>
      <w:r w:rsidRPr="00450453">
        <w:rPr>
          <w:rFonts w:ascii="Times New Roman" w:hAnsi="Times New Roman" w:cs="Times New Roman"/>
          <w:b/>
          <w:sz w:val="24"/>
          <w:szCs w:val="24"/>
        </w:rPr>
        <w:t xml:space="preserve">scenārijs - </w:t>
      </w:r>
      <w:proofErr w:type="spellStart"/>
      <w:r w:rsidR="00252E6E" w:rsidRPr="00A93673">
        <w:rPr>
          <w:rFonts w:ascii="Times New Roman" w:hAnsi="Times New Roman" w:cs="Times New Roman"/>
          <w:b/>
          <w:sz w:val="24"/>
          <w:szCs w:val="24"/>
        </w:rPr>
        <w:t>derogācijas</w:t>
      </w:r>
      <w:proofErr w:type="spellEnd"/>
      <w:r w:rsidR="00252E6E" w:rsidRPr="00A93673">
        <w:rPr>
          <w:rFonts w:ascii="Times New Roman" w:hAnsi="Times New Roman" w:cs="Times New Roman"/>
          <w:b/>
          <w:sz w:val="24"/>
          <w:szCs w:val="24"/>
        </w:rPr>
        <w:t xml:space="preserve"> </w:t>
      </w:r>
      <w:r w:rsidR="00A93673" w:rsidRPr="00A93673">
        <w:rPr>
          <w:rFonts w:ascii="Times New Roman" w:hAnsi="Times New Roman" w:cs="Times New Roman"/>
          <w:b/>
          <w:sz w:val="24"/>
          <w:szCs w:val="24"/>
        </w:rPr>
        <w:t>scenārijs</w:t>
      </w:r>
    </w:p>
    <w:p w14:paraId="2615C5B1" w14:textId="0FE2D87B" w:rsidR="00C54C7E" w:rsidRDefault="00C54C7E" w:rsidP="001618DE">
      <w:pPr>
        <w:spacing w:after="0" w:line="240" w:lineRule="auto"/>
        <w:ind w:right="-625"/>
        <w:jc w:val="both"/>
        <w:rPr>
          <w:rFonts w:ascii="Times New Roman" w:hAnsi="Times New Roman" w:cs="Times New Roman"/>
          <w:sz w:val="24"/>
          <w:szCs w:val="24"/>
        </w:rPr>
      </w:pPr>
      <w:r>
        <w:rPr>
          <w:rFonts w:ascii="Times New Roman" w:hAnsi="Times New Roman" w:cs="Times New Roman"/>
          <w:sz w:val="24"/>
          <w:szCs w:val="24"/>
        </w:rPr>
        <w:t>Izso</w:t>
      </w:r>
      <w:r w:rsidR="00510E05">
        <w:rPr>
          <w:rFonts w:ascii="Times New Roman" w:hAnsi="Times New Roman" w:cs="Times New Roman"/>
          <w:sz w:val="24"/>
          <w:szCs w:val="24"/>
        </w:rPr>
        <w:t>lē</w:t>
      </w:r>
      <w:r>
        <w:rPr>
          <w:rFonts w:ascii="Times New Roman" w:hAnsi="Times New Roman" w:cs="Times New Roman"/>
          <w:sz w:val="24"/>
          <w:szCs w:val="24"/>
        </w:rPr>
        <w:t xml:space="preserve">m paredzētie emisiju kvotu apjomi samazinās (tiek samazināts </w:t>
      </w:r>
      <w:r w:rsidR="005E7A16">
        <w:rPr>
          <w:rFonts w:ascii="Times New Roman" w:hAnsi="Times New Roman" w:cs="Times New Roman"/>
          <w:sz w:val="24"/>
          <w:szCs w:val="24"/>
        </w:rPr>
        <w:t xml:space="preserve">izsolāmo </w:t>
      </w:r>
      <w:r>
        <w:rPr>
          <w:rFonts w:ascii="Times New Roman" w:hAnsi="Times New Roman" w:cs="Times New Roman"/>
          <w:sz w:val="24"/>
          <w:szCs w:val="24"/>
        </w:rPr>
        <w:t>emisijas kvotu pamatapjom</w:t>
      </w:r>
      <w:r w:rsidR="005E7A16">
        <w:rPr>
          <w:rFonts w:ascii="Times New Roman" w:hAnsi="Times New Roman" w:cs="Times New Roman"/>
          <w:sz w:val="24"/>
          <w:szCs w:val="24"/>
        </w:rPr>
        <w:t>s</w:t>
      </w:r>
      <w:r w:rsidR="00510E05">
        <w:rPr>
          <w:rFonts w:ascii="Times New Roman" w:hAnsi="Times New Roman" w:cs="Times New Roman"/>
          <w:sz w:val="24"/>
          <w:szCs w:val="24"/>
        </w:rPr>
        <w:t>) līdz 11,94</w:t>
      </w:r>
      <w:r>
        <w:rPr>
          <w:rFonts w:ascii="Times New Roman" w:hAnsi="Times New Roman" w:cs="Times New Roman"/>
          <w:sz w:val="24"/>
          <w:szCs w:val="24"/>
        </w:rPr>
        <w:t xml:space="preserve"> milj. emisijas kvotām</w:t>
      </w:r>
      <w:r w:rsidR="001D44C4">
        <w:rPr>
          <w:rFonts w:ascii="Times New Roman" w:hAnsi="Times New Roman" w:cs="Times New Roman"/>
          <w:sz w:val="24"/>
          <w:szCs w:val="24"/>
        </w:rPr>
        <w:t xml:space="preserve">, kā rezultātā samazinās EKII finansējums par ~102,92 milj. </w:t>
      </w:r>
      <w:proofErr w:type="spellStart"/>
      <w:r w:rsidR="001D44C4" w:rsidRPr="001618DE">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Derogācijai</w:t>
      </w:r>
      <w:proofErr w:type="spellEnd"/>
      <w:r>
        <w:rPr>
          <w:rFonts w:ascii="Times New Roman" w:hAnsi="Times New Roman" w:cs="Times New Roman"/>
          <w:sz w:val="24"/>
          <w:szCs w:val="24"/>
        </w:rPr>
        <w:t xml:space="preserve"> tiek piešķirtas 4,12 milj</w:t>
      </w:r>
      <w:r w:rsidR="00EE4F2E">
        <w:rPr>
          <w:rFonts w:ascii="Times New Roman" w:hAnsi="Times New Roman" w:cs="Times New Roman"/>
          <w:sz w:val="24"/>
          <w:szCs w:val="24"/>
        </w:rPr>
        <w:t>. emisijas kvotas</w:t>
      </w:r>
      <w:r>
        <w:rPr>
          <w:rFonts w:ascii="Times New Roman" w:hAnsi="Times New Roman" w:cs="Times New Roman"/>
          <w:sz w:val="24"/>
          <w:szCs w:val="24"/>
        </w:rPr>
        <w:t>.</w:t>
      </w:r>
      <w:r w:rsidR="00647894">
        <w:rPr>
          <w:rFonts w:ascii="Times New Roman" w:hAnsi="Times New Roman" w:cs="Times New Roman"/>
          <w:sz w:val="24"/>
          <w:szCs w:val="24"/>
        </w:rPr>
        <w:t>.</w:t>
      </w:r>
    </w:p>
    <w:p w14:paraId="599E2F5C" w14:textId="11489060" w:rsidR="00C54C7E" w:rsidRDefault="00CB40B7" w:rsidP="009E18A3">
      <w:pPr>
        <w:spacing w:after="0" w:line="240" w:lineRule="auto"/>
        <w:ind w:left="360" w:right="-625"/>
        <w:jc w:val="both"/>
        <w:rPr>
          <w:rFonts w:ascii="Times New Roman" w:hAnsi="Times New Roman" w:cs="Times New Roman"/>
          <w:sz w:val="24"/>
          <w:szCs w:val="24"/>
        </w:rPr>
      </w:pPr>
      <w:r>
        <w:rPr>
          <w:rFonts w:ascii="Times New Roman" w:hAnsi="Times New Roman" w:cs="Times New Roman"/>
          <w:b/>
          <w:i/>
          <w:noProof/>
          <w:lang w:eastAsia="lv-LV"/>
        </w:rPr>
        <w:lastRenderedPageBreak/>
        <w:drawing>
          <wp:inline distT="0" distB="0" distL="0" distR="0" wp14:anchorId="27D771E4" wp14:editId="0F390874">
            <wp:extent cx="5273675" cy="2581910"/>
            <wp:effectExtent l="0" t="0" r="3175" b="8890"/>
            <wp:docPr id="2" name="Picture 2" descr="\\srv-file\serveris\Departamenti un nodalas\KVPID\Kopejie\Bezmaksas EUA ziņojums\scenariji_bildes_un_excell\bez_ModF\scen_bezMo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file\serveris\Departamenti un nodalas\KVPID\Kopejie\Bezmaksas EUA ziņojums\scenariji_bildes_un_excell\bez_ModF\scen_bezMod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3675" cy="2581910"/>
                    </a:xfrm>
                    <a:prstGeom prst="rect">
                      <a:avLst/>
                    </a:prstGeom>
                    <a:noFill/>
                    <a:ln>
                      <a:noFill/>
                    </a:ln>
                  </pic:spPr>
                </pic:pic>
              </a:graphicData>
            </a:graphic>
          </wp:inline>
        </w:drawing>
      </w:r>
    </w:p>
    <w:p w14:paraId="32197AE6" w14:textId="06B7B02F" w:rsidR="00DC2999" w:rsidRPr="001031F1" w:rsidRDefault="00DC2999" w:rsidP="00DC2999">
      <w:pPr>
        <w:jc w:val="center"/>
        <w:rPr>
          <w:rFonts w:cs="Times New Roman"/>
          <w:i/>
        </w:rPr>
      </w:pPr>
      <w:r w:rsidRPr="001031F1">
        <w:rPr>
          <w:rFonts w:ascii="Times New Roman" w:hAnsi="Times New Roman" w:cs="Times New Roman"/>
          <w:b/>
          <w:i/>
        </w:rPr>
        <w:t xml:space="preserve">2.attēls. Scenāriji un emisijas kvotu pārdale </w:t>
      </w:r>
      <w:proofErr w:type="spellStart"/>
      <w:r w:rsidRPr="001031F1">
        <w:rPr>
          <w:rFonts w:ascii="Times New Roman" w:hAnsi="Times New Roman" w:cs="Times New Roman"/>
          <w:b/>
          <w:i/>
        </w:rPr>
        <w:t>derogācijai</w:t>
      </w:r>
      <w:proofErr w:type="spellEnd"/>
      <w:r w:rsidRPr="001031F1">
        <w:rPr>
          <w:rFonts w:ascii="Times New Roman" w:hAnsi="Times New Roman" w:cs="Times New Roman"/>
          <w:b/>
          <w:i/>
        </w:rPr>
        <w:t xml:space="preserve"> </w:t>
      </w:r>
    </w:p>
    <w:p w14:paraId="0CE7BDAE" w14:textId="77777777" w:rsidR="00DC2999" w:rsidRDefault="00DC2999" w:rsidP="009E18A3">
      <w:pPr>
        <w:spacing w:after="0" w:line="240" w:lineRule="auto"/>
        <w:ind w:left="360" w:right="-625"/>
        <w:jc w:val="both"/>
        <w:rPr>
          <w:rFonts w:ascii="Times New Roman" w:hAnsi="Times New Roman" w:cs="Times New Roman"/>
          <w:sz w:val="24"/>
          <w:szCs w:val="24"/>
        </w:rPr>
      </w:pPr>
    </w:p>
    <w:p w14:paraId="220FB4DA" w14:textId="77777777" w:rsidR="008D2DD7" w:rsidRDefault="008D2DD7">
      <w:pPr>
        <w:sectPr w:rsidR="008D2DD7" w:rsidSect="00E25EF5">
          <w:pgSz w:w="11906" w:h="16838"/>
          <w:pgMar w:top="1440" w:right="1797" w:bottom="1440" w:left="1797" w:header="709" w:footer="709" w:gutter="0"/>
          <w:cols w:space="708"/>
          <w:titlePg/>
          <w:docGrid w:linePitch="360"/>
        </w:sectPr>
      </w:pPr>
    </w:p>
    <w:p w14:paraId="20EBED84" w14:textId="32F63C29" w:rsidR="00292EB5" w:rsidRPr="00650BF3" w:rsidRDefault="00D83EEA" w:rsidP="00450453">
      <w:pPr>
        <w:ind w:right="-902"/>
        <w:jc w:val="right"/>
        <w:rPr>
          <w:rFonts w:ascii="Times New Roman" w:hAnsi="Times New Roman" w:cs="Times New Roman"/>
          <w:b/>
          <w:i/>
        </w:rPr>
      </w:pPr>
      <w:r w:rsidRPr="00650BF3">
        <w:rPr>
          <w:rFonts w:ascii="Times New Roman" w:hAnsi="Times New Roman" w:cs="Times New Roman"/>
          <w:b/>
          <w:i/>
        </w:rPr>
        <w:lastRenderedPageBreak/>
        <w:t xml:space="preserve">5. tabula. Emisijas kvotu un finansējuma izmaiņas monetārā izteiksmē sadalījumā pa </w:t>
      </w:r>
      <w:r w:rsidR="00450453" w:rsidRPr="00650BF3">
        <w:rPr>
          <w:rFonts w:ascii="Times New Roman" w:hAnsi="Times New Roman" w:cs="Times New Roman"/>
          <w:b/>
          <w:i/>
        </w:rPr>
        <w:t>scenārijiem</w:t>
      </w:r>
    </w:p>
    <w:tbl>
      <w:tblPr>
        <w:tblW w:w="10001" w:type="dxa"/>
        <w:tblInd w:w="-834" w:type="dxa"/>
        <w:tblLook w:val="04A0" w:firstRow="1" w:lastRow="0" w:firstColumn="1" w:lastColumn="0" w:noHBand="0" w:noVBand="1"/>
      </w:tblPr>
      <w:tblGrid>
        <w:gridCol w:w="2835"/>
        <w:gridCol w:w="1776"/>
        <w:gridCol w:w="326"/>
        <w:gridCol w:w="1616"/>
        <w:gridCol w:w="1556"/>
        <w:gridCol w:w="336"/>
        <w:gridCol w:w="1556"/>
      </w:tblGrid>
      <w:tr w:rsidR="00454321" w:rsidRPr="00175613" w14:paraId="31F147DC" w14:textId="77777777" w:rsidTr="00450453">
        <w:trPr>
          <w:trHeight w:val="300"/>
        </w:trPr>
        <w:tc>
          <w:tcPr>
            <w:tcW w:w="2835" w:type="dxa"/>
            <w:tcBorders>
              <w:top w:val="nil"/>
              <w:left w:val="nil"/>
              <w:bottom w:val="nil"/>
              <w:right w:val="nil"/>
            </w:tcBorders>
            <w:shd w:val="clear" w:color="auto" w:fill="auto"/>
            <w:noWrap/>
            <w:vAlign w:val="bottom"/>
            <w:hideMark/>
          </w:tcPr>
          <w:p w14:paraId="1A3EEFF9" w14:textId="7D5CF78F" w:rsidR="00175613" w:rsidRPr="00175613" w:rsidRDefault="00175613" w:rsidP="00175613">
            <w:pPr>
              <w:spacing w:after="0" w:line="240" w:lineRule="auto"/>
              <w:rPr>
                <w:rFonts w:ascii="Times New Roman" w:eastAsia="Times New Roman" w:hAnsi="Times New Roman" w:cs="Times New Roman"/>
                <w:b/>
                <w:bCs/>
                <w:color w:val="000000"/>
                <w:lang w:eastAsia="lv-LV"/>
              </w:rPr>
            </w:pPr>
            <w:r w:rsidRPr="00175613">
              <w:rPr>
                <w:rFonts w:ascii="Times New Roman" w:eastAsia="Times New Roman" w:hAnsi="Times New Roman" w:cs="Times New Roman"/>
                <w:b/>
                <w:bCs/>
                <w:color w:val="000000"/>
                <w:lang w:eastAsia="lv-LV"/>
              </w:rPr>
              <w:t>1. scenārijs: Bāzes scenārijs</w:t>
            </w:r>
          </w:p>
        </w:tc>
        <w:tc>
          <w:tcPr>
            <w:tcW w:w="1776" w:type="dxa"/>
            <w:tcBorders>
              <w:top w:val="nil"/>
              <w:left w:val="nil"/>
              <w:bottom w:val="nil"/>
              <w:right w:val="nil"/>
            </w:tcBorders>
            <w:shd w:val="clear" w:color="auto" w:fill="auto"/>
            <w:noWrap/>
            <w:vAlign w:val="bottom"/>
            <w:hideMark/>
          </w:tcPr>
          <w:p w14:paraId="7B88D475"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
        </w:tc>
        <w:tc>
          <w:tcPr>
            <w:tcW w:w="326" w:type="dxa"/>
            <w:tcBorders>
              <w:top w:val="nil"/>
              <w:left w:val="nil"/>
              <w:bottom w:val="nil"/>
              <w:right w:val="nil"/>
            </w:tcBorders>
            <w:shd w:val="clear" w:color="auto" w:fill="auto"/>
            <w:noWrap/>
            <w:vAlign w:val="bottom"/>
            <w:hideMark/>
          </w:tcPr>
          <w:p w14:paraId="4B4B84C3"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
        </w:tc>
        <w:tc>
          <w:tcPr>
            <w:tcW w:w="1616" w:type="dxa"/>
            <w:tcBorders>
              <w:top w:val="nil"/>
              <w:left w:val="nil"/>
              <w:bottom w:val="nil"/>
              <w:right w:val="nil"/>
            </w:tcBorders>
            <w:shd w:val="clear" w:color="auto" w:fill="auto"/>
            <w:noWrap/>
            <w:vAlign w:val="bottom"/>
            <w:hideMark/>
          </w:tcPr>
          <w:p w14:paraId="2B311B36"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
        </w:tc>
        <w:tc>
          <w:tcPr>
            <w:tcW w:w="1556" w:type="dxa"/>
            <w:tcBorders>
              <w:top w:val="nil"/>
              <w:left w:val="nil"/>
              <w:bottom w:val="nil"/>
              <w:right w:val="nil"/>
            </w:tcBorders>
            <w:shd w:val="clear" w:color="auto" w:fill="auto"/>
            <w:noWrap/>
            <w:vAlign w:val="bottom"/>
            <w:hideMark/>
          </w:tcPr>
          <w:p w14:paraId="15EDAF73"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
        </w:tc>
        <w:tc>
          <w:tcPr>
            <w:tcW w:w="336" w:type="dxa"/>
            <w:tcBorders>
              <w:top w:val="nil"/>
              <w:left w:val="nil"/>
              <w:bottom w:val="nil"/>
              <w:right w:val="nil"/>
            </w:tcBorders>
            <w:shd w:val="clear" w:color="auto" w:fill="auto"/>
            <w:noWrap/>
            <w:vAlign w:val="bottom"/>
            <w:hideMark/>
          </w:tcPr>
          <w:p w14:paraId="5A709788"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
        </w:tc>
        <w:tc>
          <w:tcPr>
            <w:tcW w:w="1556" w:type="dxa"/>
            <w:tcBorders>
              <w:top w:val="nil"/>
              <w:left w:val="nil"/>
              <w:bottom w:val="nil"/>
              <w:right w:val="nil"/>
            </w:tcBorders>
            <w:shd w:val="clear" w:color="auto" w:fill="auto"/>
            <w:noWrap/>
            <w:vAlign w:val="bottom"/>
            <w:hideMark/>
          </w:tcPr>
          <w:p w14:paraId="2C72248F"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
        </w:tc>
      </w:tr>
      <w:tr w:rsidR="00454321" w:rsidRPr="00175613" w14:paraId="6D6EBC75" w14:textId="77777777" w:rsidTr="00450453">
        <w:trPr>
          <w:trHeight w:val="300"/>
        </w:trPr>
        <w:tc>
          <w:tcPr>
            <w:tcW w:w="2835" w:type="dxa"/>
            <w:tcBorders>
              <w:top w:val="nil"/>
              <w:left w:val="nil"/>
              <w:bottom w:val="nil"/>
              <w:right w:val="single" w:sz="4" w:space="0" w:color="auto"/>
            </w:tcBorders>
            <w:shd w:val="clear" w:color="000000" w:fill="D9D9D9"/>
            <w:noWrap/>
            <w:vAlign w:val="bottom"/>
            <w:hideMark/>
          </w:tcPr>
          <w:p w14:paraId="105E8875"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 </w:t>
            </w:r>
          </w:p>
        </w:tc>
        <w:tc>
          <w:tcPr>
            <w:tcW w:w="3718" w:type="dxa"/>
            <w:gridSpan w:val="3"/>
            <w:tcBorders>
              <w:top w:val="nil"/>
              <w:left w:val="nil"/>
              <w:bottom w:val="nil"/>
              <w:right w:val="single" w:sz="4" w:space="0" w:color="000000"/>
            </w:tcBorders>
            <w:shd w:val="clear" w:color="000000" w:fill="D9D9D9"/>
            <w:noWrap/>
            <w:vAlign w:val="bottom"/>
            <w:hideMark/>
          </w:tcPr>
          <w:p w14:paraId="15A5B990" w14:textId="0128917D" w:rsidR="00175613" w:rsidRPr="00175613" w:rsidRDefault="00175613" w:rsidP="00683E8E">
            <w:pPr>
              <w:spacing w:after="0" w:line="240" w:lineRule="auto"/>
              <w:jc w:val="center"/>
              <w:rPr>
                <w:rFonts w:ascii="Times New Roman" w:eastAsia="Times New Roman" w:hAnsi="Times New Roman" w:cs="Times New Roman"/>
                <w:b/>
                <w:bCs/>
                <w:color w:val="000000"/>
                <w:lang w:eastAsia="lv-LV"/>
              </w:rPr>
            </w:pPr>
            <w:r w:rsidRPr="00175613">
              <w:rPr>
                <w:rFonts w:ascii="Times New Roman" w:eastAsia="Times New Roman" w:hAnsi="Times New Roman" w:cs="Times New Roman"/>
                <w:b/>
                <w:bCs/>
                <w:color w:val="000000"/>
                <w:lang w:eastAsia="lv-LV"/>
              </w:rPr>
              <w:t>Emisijas kvotas (Milj.)</w:t>
            </w:r>
          </w:p>
        </w:tc>
        <w:tc>
          <w:tcPr>
            <w:tcW w:w="3448" w:type="dxa"/>
            <w:gridSpan w:val="3"/>
            <w:tcBorders>
              <w:top w:val="nil"/>
              <w:left w:val="nil"/>
              <w:bottom w:val="nil"/>
              <w:right w:val="single" w:sz="4" w:space="0" w:color="000000"/>
            </w:tcBorders>
            <w:shd w:val="clear" w:color="000000" w:fill="D9D9D9"/>
            <w:vAlign w:val="bottom"/>
            <w:hideMark/>
          </w:tcPr>
          <w:p w14:paraId="11CC809D" w14:textId="77777777" w:rsidR="00175613" w:rsidRPr="00175613" w:rsidRDefault="00175613" w:rsidP="00175613">
            <w:pPr>
              <w:spacing w:after="0" w:line="240" w:lineRule="auto"/>
              <w:jc w:val="center"/>
              <w:rPr>
                <w:rFonts w:ascii="Times New Roman" w:eastAsia="Times New Roman" w:hAnsi="Times New Roman" w:cs="Times New Roman"/>
                <w:b/>
                <w:bCs/>
                <w:color w:val="000000"/>
                <w:lang w:eastAsia="lv-LV"/>
              </w:rPr>
            </w:pPr>
            <w:proofErr w:type="spellStart"/>
            <w:r w:rsidRPr="00175613">
              <w:rPr>
                <w:rFonts w:ascii="Times New Roman" w:eastAsia="Times New Roman" w:hAnsi="Times New Roman" w:cs="Times New Roman"/>
                <w:b/>
                <w:bCs/>
                <w:color w:val="000000"/>
                <w:lang w:eastAsia="lv-LV"/>
              </w:rPr>
              <w:t>Monetizētā</w:t>
            </w:r>
            <w:proofErr w:type="spellEnd"/>
            <w:r w:rsidRPr="00175613">
              <w:rPr>
                <w:rFonts w:ascii="Times New Roman" w:eastAsia="Times New Roman" w:hAnsi="Times New Roman" w:cs="Times New Roman"/>
                <w:b/>
                <w:bCs/>
                <w:color w:val="000000"/>
                <w:lang w:eastAsia="lv-LV"/>
              </w:rPr>
              <w:t xml:space="preserve"> vērtība (Milj. </w:t>
            </w:r>
            <w:proofErr w:type="spellStart"/>
            <w:r w:rsidRPr="00175613">
              <w:rPr>
                <w:rFonts w:ascii="Times New Roman" w:eastAsia="Times New Roman" w:hAnsi="Times New Roman" w:cs="Times New Roman"/>
                <w:b/>
                <w:bCs/>
                <w:i/>
                <w:iCs/>
                <w:color w:val="000000"/>
                <w:lang w:eastAsia="lv-LV"/>
              </w:rPr>
              <w:t>euro</w:t>
            </w:r>
            <w:proofErr w:type="spellEnd"/>
            <w:r w:rsidRPr="00175613">
              <w:rPr>
                <w:rFonts w:ascii="Times New Roman" w:eastAsia="Times New Roman" w:hAnsi="Times New Roman" w:cs="Times New Roman"/>
                <w:b/>
                <w:bCs/>
                <w:i/>
                <w:iCs/>
                <w:color w:val="000000"/>
                <w:lang w:eastAsia="lv-LV"/>
              </w:rPr>
              <w:t>)</w:t>
            </w:r>
          </w:p>
        </w:tc>
      </w:tr>
      <w:tr w:rsidR="00454321" w:rsidRPr="00175613" w14:paraId="1D58330F" w14:textId="77777777" w:rsidTr="00450453">
        <w:trPr>
          <w:trHeight w:val="300"/>
        </w:trPr>
        <w:tc>
          <w:tcPr>
            <w:tcW w:w="2835" w:type="dxa"/>
            <w:tcBorders>
              <w:top w:val="nil"/>
              <w:left w:val="nil"/>
              <w:bottom w:val="single" w:sz="4" w:space="0" w:color="auto"/>
              <w:right w:val="single" w:sz="4" w:space="0" w:color="auto"/>
            </w:tcBorders>
            <w:shd w:val="clear" w:color="000000" w:fill="D9D9D9"/>
            <w:noWrap/>
            <w:vAlign w:val="bottom"/>
            <w:hideMark/>
          </w:tcPr>
          <w:p w14:paraId="4C40C1E6"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 </w:t>
            </w:r>
          </w:p>
        </w:tc>
        <w:tc>
          <w:tcPr>
            <w:tcW w:w="1776" w:type="dxa"/>
            <w:tcBorders>
              <w:top w:val="nil"/>
              <w:left w:val="nil"/>
              <w:bottom w:val="single" w:sz="4" w:space="0" w:color="auto"/>
              <w:right w:val="single" w:sz="4" w:space="0" w:color="auto"/>
            </w:tcBorders>
            <w:shd w:val="clear" w:color="000000" w:fill="D9D9D9"/>
            <w:noWrap/>
            <w:vAlign w:val="bottom"/>
            <w:hideMark/>
          </w:tcPr>
          <w:p w14:paraId="6B5B75E2"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 </w:t>
            </w:r>
          </w:p>
        </w:tc>
        <w:tc>
          <w:tcPr>
            <w:tcW w:w="1942" w:type="dxa"/>
            <w:gridSpan w:val="2"/>
            <w:tcBorders>
              <w:top w:val="nil"/>
              <w:left w:val="nil"/>
              <w:bottom w:val="single" w:sz="4" w:space="0" w:color="auto"/>
              <w:right w:val="single" w:sz="4" w:space="0" w:color="000000"/>
            </w:tcBorders>
            <w:shd w:val="clear" w:color="000000" w:fill="D9D9D9"/>
            <w:noWrap/>
            <w:vAlign w:val="bottom"/>
            <w:hideMark/>
          </w:tcPr>
          <w:p w14:paraId="2EC65D6F"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izmaiņas pret bāzi</w:t>
            </w:r>
          </w:p>
        </w:tc>
        <w:tc>
          <w:tcPr>
            <w:tcW w:w="1556" w:type="dxa"/>
            <w:tcBorders>
              <w:top w:val="nil"/>
              <w:left w:val="nil"/>
              <w:bottom w:val="single" w:sz="4" w:space="0" w:color="auto"/>
              <w:right w:val="single" w:sz="4" w:space="0" w:color="auto"/>
            </w:tcBorders>
            <w:shd w:val="clear" w:color="000000" w:fill="D9D9D9"/>
            <w:noWrap/>
            <w:vAlign w:val="bottom"/>
            <w:hideMark/>
          </w:tcPr>
          <w:p w14:paraId="0AFB283F"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 </w:t>
            </w:r>
          </w:p>
        </w:tc>
        <w:tc>
          <w:tcPr>
            <w:tcW w:w="1892" w:type="dxa"/>
            <w:gridSpan w:val="2"/>
            <w:tcBorders>
              <w:top w:val="nil"/>
              <w:left w:val="nil"/>
              <w:bottom w:val="single" w:sz="4" w:space="0" w:color="auto"/>
              <w:right w:val="single" w:sz="4" w:space="0" w:color="000000"/>
            </w:tcBorders>
            <w:shd w:val="clear" w:color="000000" w:fill="D9D9D9"/>
            <w:noWrap/>
            <w:vAlign w:val="bottom"/>
            <w:hideMark/>
          </w:tcPr>
          <w:p w14:paraId="60439FD9"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izmaiņas pret bāzi</w:t>
            </w:r>
          </w:p>
        </w:tc>
      </w:tr>
      <w:tr w:rsidR="00454321" w:rsidRPr="00175613" w14:paraId="5BE03290" w14:textId="77777777" w:rsidTr="00450453">
        <w:trPr>
          <w:trHeight w:val="300"/>
        </w:trPr>
        <w:tc>
          <w:tcPr>
            <w:tcW w:w="2835" w:type="dxa"/>
            <w:tcBorders>
              <w:top w:val="nil"/>
              <w:left w:val="nil"/>
              <w:bottom w:val="nil"/>
              <w:right w:val="single" w:sz="4" w:space="0" w:color="auto"/>
            </w:tcBorders>
            <w:shd w:val="clear" w:color="auto" w:fill="auto"/>
            <w:noWrap/>
            <w:vAlign w:val="bottom"/>
            <w:hideMark/>
          </w:tcPr>
          <w:p w14:paraId="5BAB7727"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Izsolāmie apjomi (EKII)</w:t>
            </w:r>
          </w:p>
        </w:tc>
        <w:tc>
          <w:tcPr>
            <w:tcW w:w="1776" w:type="dxa"/>
            <w:tcBorders>
              <w:top w:val="nil"/>
              <w:left w:val="nil"/>
              <w:bottom w:val="nil"/>
              <w:right w:val="single" w:sz="4" w:space="0" w:color="auto"/>
            </w:tcBorders>
            <w:shd w:val="clear" w:color="auto" w:fill="auto"/>
            <w:noWrap/>
            <w:vAlign w:val="bottom"/>
            <w:hideMark/>
          </w:tcPr>
          <w:p w14:paraId="5C06EF8E" w14:textId="77777777" w:rsidR="00175613" w:rsidRPr="00175613" w:rsidRDefault="00175613" w:rsidP="00175613">
            <w:pPr>
              <w:spacing w:after="0" w:line="240" w:lineRule="auto"/>
              <w:jc w:val="right"/>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16,06</w:t>
            </w:r>
          </w:p>
        </w:tc>
        <w:tc>
          <w:tcPr>
            <w:tcW w:w="326" w:type="dxa"/>
            <w:tcBorders>
              <w:top w:val="nil"/>
              <w:left w:val="nil"/>
              <w:bottom w:val="nil"/>
              <w:right w:val="nil"/>
            </w:tcBorders>
            <w:shd w:val="clear" w:color="auto" w:fill="auto"/>
            <w:noWrap/>
            <w:vAlign w:val="bottom"/>
            <w:hideMark/>
          </w:tcPr>
          <w:p w14:paraId="1120F301"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
        </w:tc>
        <w:tc>
          <w:tcPr>
            <w:tcW w:w="1616" w:type="dxa"/>
            <w:tcBorders>
              <w:top w:val="nil"/>
              <w:left w:val="nil"/>
              <w:bottom w:val="nil"/>
              <w:right w:val="single" w:sz="4" w:space="0" w:color="auto"/>
            </w:tcBorders>
            <w:shd w:val="clear" w:color="auto" w:fill="auto"/>
            <w:noWrap/>
            <w:vAlign w:val="bottom"/>
            <w:hideMark/>
          </w:tcPr>
          <w:p w14:paraId="38172DBA" w14:textId="77777777" w:rsidR="00175613" w:rsidRPr="00175613" w:rsidRDefault="00175613" w:rsidP="00175613">
            <w:pPr>
              <w:spacing w:after="0" w:line="240" w:lineRule="auto"/>
              <w:jc w:val="right"/>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w:t>
            </w:r>
          </w:p>
        </w:tc>
        <w:tc>
          <w:tcPr>
            <w:tcW w:w="1556" w:type="dxa"/>
            <w:tcBorders>
              <w:top w:val="nil"/>
              <w:left w:val="nil"/>
              <w:bottom w:val="nil"/>
              <w:right w:val="single" w:sz="4" w:space="0" w:color="auto"/>
            </w:tcBorders>
            <w:shd w:val="clear" w:color="auto" w:fill="auto"/>
            <w:noWrap/>
            <w:vAlign w:val="bottom"/>
            <w:hideMark/>
          </w:tcPr>
          <w:p w14:paraId="6C421388" w14:textId="77777777" w:rsidR="00175613" w:rsidRPr="00175613" w:rsidRDefault="00175613" w:rsidP="00175613">
            <w:pPr>
              <w:spacing w:after="0" w:line="240" w:lineRule="auto"/>
              <w:jc w:val="right"/>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401,38</w:t>
            </w:r>
          </w:p>
        </w:tc>
        <w:tc>
          <w:tcPr>
            <w:tcW w:w="336" w:type="dxa"/>
            <w:tcBorders>
              <w:top w:val="nil"/>
              <w:left w:val="nil"/>
              <w:bottom w:val="nil"/>
              <w:right w:val="nil"/>
            </w:tcBorders>
            <w:shd w:val="clear" w:color="auto" w:fill="auto"/>
            <w:noWrap/>
            <w:vAlign w:val="bottom"/>
            <w:hideMark/>
          </w:tcPr>
          <w:p w14:paraId="3DF435E0"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
        </w:tc>
        <w:tc>
          <w:tcPr>
            <w:tcW w:w="1556" w:type="dxa"/>
            <w:tcBorders>
              <w:top w:val="nil"/>
              <w:left w:val="nil"/>
              <w:bottom w:val="nil"/>
              <w:right w:val="single" w:sz="4" w:space="0" w:color="auto"/>
            </w:tcBorders>
            <w:shd w:val="clear" w:color="auto" w:fill="auto"/>
            <w:noWrap/>
            <w:vAlign w:val="bottom"/>
            <w:hideMark/>
          </w:tcPr>
          <w:p w14:paraId="5CC3BAC0" w14:textId="77777777" w:rsidR="00175613" w:rsidRPr="00175613" w:rsidRDefault="00175613" w:rsidP="00175613">
            <w:pPr>
              <w:spacing w:after="0" w:line="240" w:lineRule="auto"/>
              <w:jc w:val="right"/>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w:t>
            </w:r>
          </w:p>
        </w:tc>
      </w:tr>
      <w:tr w:rsidR="00454321" w:rsidRPr="00175613" w14:paraId="231807C3" w14:textId="77777777" w:rsidTr="00450453">
        <w:trPr>
          <w:trHeight w:val="300"/>
        </w:trPr>
        <w:tc>
          <w:tcPr>
            <w:tcW w:w="2835" w:type="dxa"/>
            <w:tcBorders>
              <w:top w:val="nil"/>
              <w:left w:val="nil"/>
              <w:bottom w:val="nil"/>
              <w:right w:val="single" w:sz="4" w:space="0" w:color="auto"/>
            </w:tcBorders>
            <w:shd w:val="clear" w:color="auto" w:fill="auto"/>
            <w:noWrap/>
            <w:vAlign w:val="bottom"/>
            <w:hideMark/>
          </w:tcPr>
          <w:p w14:paraId="43009DD9"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roofErr w:type="spellStart"/>
            <w:r w:rsidRPr="00175613">
              <w:rPr>
                <w:rFonts w:ascii="Times New Roman" w:eastAsia="Times New Roman" w:hAnsi="Times New Roman" w:cs="Times New Roman"/>
                <w:color w:val="000000"/>
                <w:lang w:eastAsia="lv-LV"/>
              </w:rPr>
              <w:t>Derogācija</w:t>
            </w:r>
            <w:proofErr w:type="spellEnd"/>
          </w:p>
        </w:tc>
        <w:tc>
          <w:tcPr>
            <w:tcW w:w="1776" w:type="dxa"/>
            <w:tcBorders>
              <w:top w:val="nil"/>
              <w:left w:val="nil"/>
              <w:bottom w:val="nil"/>
              <w:right w:val="single" w:sz="4" w:space="0" w:color="auto"/>
            </w:tcBorders>
            <w:shd w:val="clear" w:color="auto" w:fill="auto"/>
            <w:noWrap/>
            <w:vAlign w:val="bottom"/>
            <w:hideMark/>
          </w:tcPr>
          <w:p w14:paraId="09B45804" w14:textId="77777777" w:rsidR="00175613" w:rsidRPr="00175613" w:rsidRDefault="00175613" w:rsidP="00175613">
            <w:pPr>
              <w:spacing w:after="0" w:line="240" w:lineRule="auto"/>
              <w:jc w:val="right"/>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0</w:t>
            </w:r>
          </w:p>
        </w:tc>
        <w:tc>
          <w:tcPr>
            <w:tcW w:w="326" w:type="dxa"/>
            <w:tcBorders>
              <w:top w:val="nil"/>
              <w:left w:val="nil"/>
              <w:bottom w:val="nil"/>
              <w:right w:val="nil"/>
            </w:tcBorders>
            <w:shd w:val="clear" w:color="auto" w:fill="auto"/>
            <w:noWrap/>
            <w:vAlign w:val="bottom"/>
            <w:hideMark/>
          </w:tcPr>
          <w:p w14:paraId="66A13E2F"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
        </w:tc>
        <w:tc>
          <w:tcPr>
            <w:tcW w:w="1616" w:type="dxa"/>
            <w:tcBorders>
              <w:top w:val="nil"/>
              <w:left w:val="nil"/>
              <w:bottom w:val="nil"/>
              <w:right w:val="single" w:sz="4" w:space="0" w:color="auto"/>
            </w:tcBorders>
            <w:shd w:val="clear" w:color="auto" w:fill="auto"/>
            <w:noWrap/>
            <w:vAlign w:val="bottom"/>
            <w:hideMark/>
          </w:tcPr>
          <w:p w14:paraId="52DB7BC5" w14:textId="77777777" w:rsidR="00175613" w:rsidRPr="00175613" w:rsidRDefault="00175613" w:rsidP="00175613">
            <w:pPr>
              <w:spacing w:after="0" w:line="240" w:lineRule="auto"/>
              <w:jc w:val="right"/>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w:t>
            </w:r>
          </w:p>
        </w:tc>
        <w:tc>
          <w:tcPr>
            <w:tcW w:w="1556" w:type="dxa"/>
            <w:tcBorders>
              <w:top w:val="nil"/>
              <w:left w:val="nil"/>
              <w:bottom w:val="nil"/>
              <w:right w:val="single" w:sz="4" w:space="0" w:color="auto"/>
            </w:tcBorders>
            <w:shd w:val="clear" w:color="auto" w:fill="auto"/>
            <w:noWrap/>
            <w:vAlign w:val="bottom"/>
            <w:hideMark/>
          </w:tcPr>
          <w:p w14:paraId="49282795" w14:textId="77777777" w:rsidR="00175613" w:rsidRPr="00175613" w:rsidRDefault="00175613" w:rsidP="00175613">
            <w:pPr>
              <w:spacing w:after="0" w:line="240" w:lineRule="auto"/>
              <w:jc w:val="right"/>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0</w:t>
            </w:r>
          </w:p>
        </w:tc>
        <w:tc>
          <w:tcPr>
            <w:tcW w:w="336" w:type="dxa"/>
            <w:tcBorders>
              <w:top w:val="nil"/>
              <w:left w:val="nil"/>
              <w:bottom w:val="nil"/>
              <w:right w:val="nil"/>
            </w:tcBorders>
            <w:shd w:val="clear" w:color="auto" w:fill="auto"/>
            <w:noWrap/>
            <w:vAlign w:val="bottom"/>
            <w:hideMark/>
          </w:tcPr>
          <w:p w14:paraId="24835200"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
        </w:tc>
        <w:tc>
          <w:tcPr>
            <w:tcW w:w="1556" w:type="dxa"/>
            <w:tcBorders>
              <w:top w:val="nil"/>
              <w:left w:val="nil"/>
              <w:bottom w:val="nil"/>
              <w:right w:val="single" w:sz="4" w:space="0" w:color="auto"/>
            </w:tcBorders>
            <w:shd w:val="clear" w:color="auto" w:fill="auto"/>
            <w:noWrap/>
            <w:vAlign w:val="bottom"/>
            <w:hideMark/>
          </w:tcPr>
          <w:p w14:paraId="5CED9FCB" w14:textId="77777777" w:rsidR="00175613" w:rsidRPr="00175613" w:rsidRDefault="00175613" w:rsidP="00175613">
            <w:pPr>
              <w:spacing w:after="0" w:line="240" w:lineRule="auto"/>
              <w:jc w:val="right"/>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w:t>
            </w:r>
          </w:p>
        </w:tc>
      </w:tr>
      <w:tr w:rsidR="00454321" w:rsidRPr="00175613" w14:paraId="5EBB6C5E" w14:textId="77777777" w:rsidTr="00450453">
        <w:trPr>
          <w:trHeight w:val="300"/>
        </w:trPr>
        <w:tc>
          <w:tcPr>
            <w:tcW w:w="2835" w:type="dxa"/>
            <w:tcBorders>
              <w:top w:val="nil"/>
              <w:left w:val="nil"/>
              <w:bottom w:val="nil"/>
              <w:right w:val="nil"/>
            </w:tcBorders>
            <w:shd w:val="clear" w:color="auto" w:fill="auto"/>
            <w:noWrap/>
            <w:vAlign w:val="bottom"/>
            <w:hideMark/>
          </w:tcPr>
          <w:p w14:paraId="4073CCB0"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
        </w:tc>
        <w:tc>
          <w:tcPr>
            <w:tcW w:w="1776" w:type="dxa"/>
            <w:tcBorders>
              <w:top w:val="nil"/>
              <w:left w:val="nil"/>
              <w:bottom w:val="nil"/>
              <w:right w:val="nil"/>
            </w:tcBorders>
            <w:shd w:val="clear" w:color="auto" w:fill="auto"/>
            <w:noWrap/>
            <w:vAlign w:val="bottom"/>
            <w:hideMark/>
          </w:tcPr>
          <w:p w14:paraId="35805F4B"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
        </w:tc>
        <w:tc>
          <w:tcPr>
            <w:tcW w:w="326" w:type="dxa"/>
            <w:tcBorders>
              <w:top w:val="nil"/>
              <w:left w:val="nil"/>
              <w:bottom w:val="nil"/>
              <w:right w:val="nil"/>
            </w:tcBorders>
            <w:shd w:val="clear" w:color="auto" w:fill="auto"/>
            <w:noWrap/>
            <w:vAlign w:val="bottom"/>
            <w:hideMark/>
          </w:tcPr>
          <w:p w14:paraId="18D4948B"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
        </w:tc>
        <w:tc>
          <w:tcPr>
            <w:tcW w:w="1616" w:type="dxa"/>
            <w:tcBorders>
              <w:top w:val="nil"/>
              <w:left w:val="nil"/>
              <w:bottom w:val="nil"/>
              <w:right w:val="nil"/>
            </w:tcBorders>
            <w:shd w:val="clear" w:color="auto" w:fill="auto"/>
            <w:noWrap/>
            <w:vAlign w:val="bottom"/>
            <w:hideMark/>
          </w:tcPr>
          <w:p w14:paraId="2E53593C"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
        </w:tc>
        <w:tc>
          <w:tcPr>
            <w:tcW w:w="1556" w:type="dxa"/>
            <w:tcBorders>
              <w:top w:val="nil"/>
              <w:left w:val="nil"/>
              <w:bottom w:val="nil"/>
              <w:right w:val="nil"/>
            </w:tcBorders>
            <w:shd w:val="clear" w:color="auto" w:fill="auto"/>
            <w:noWrap/>
            <w:vAlign w:val="bottom"/>
            <w:hideMark/>
          </w:tcPr>
          <w:p w14:paraId="4E932A3D"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
        </w:tc>
        <w:tc>
          <w:tcPr>
            <w:tcW w:w="336" w:type="dxa"/>
            <w:tcBorders>
              <w:top w:val="nil"/>
              <w:left w:val="nil"/>
              <w:bottom w:val="nil"/>
              <w:right w:val="nil"/>
            </w:tcBorders>
            <w:shd w:val="clear" w:color="auto" w:fill="auto"/>
            <w:noWrap/>
            <w:vAlign w:val="bottom"/>
            <w:hideMark/>
          </w:tcPr>
          <w:p w14:paraId="7EC83F06"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
        </w:tc>
        <w:tc>
          <w:tcPr>
            <w:tcW w:w="1556" w:type="dxa"/>
            <w:tcBorders>
              <w:top w:val="nil"/>
              <w:left w:val="nil"/>
              <w:bottom w:val="nil"/>
              <w:right w:val="nil"/>
            </w:tcBorders>
            <w:shd w:val="clear" w:color="auto" w:fill="auto"/>
            <w:noWrap/>
            <w:vAlign w:val="bottom"/>
            <w:hideMark/>
          </w:tcPr>
          <w:p w14:paraId="6326B35A"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
        </w:tc>
      </w:tr>
      <w:tr w:rsidR="00175613" w:rsidRPr="00175613" w14:paraId="34CBDF6B" w14:textId="77777777" w:rsidTr="00450453">
        <w:trPr>
          <w:trHeight w:val="300"/>
        </w:trPr>
        <w:tc>
          <w:tcPr>
            <w:tcW w:w="4611" w:type="dxa"/>
            <w:gridSpan w:val="2"/>
            <w:tcBorders>
              <w:top w:val="nil"/>
              <w:left w:val="nil"/>
              <w:bottom w:val="nil"/>
              <w:right w:val="nil"/>
            </w:tcBorders>
            <w:shd w:val="clear" w:color="auto" w:fill="auto"/>
            <w:noWrap/>
            <w:vAlign w:val="bottom"/>
            <w:hideMark/>
          </w:tcPr>
          <w:p w14:paraId="573948D5" w14:textId="1223EAAB" w:rsidR="00175613" w:rsidRPr="00175613" w:rsidRDefault="00175613" w:rsidP="00A93673">
            <w:pPr>
              <w:spacing w:after="0" w:line="240" w:lineRule="auto"/>
              <w:rPr>
                <w:rFonts w:ascii="Times New Roman" w:eastAsia="Times New Roman" w:hAnsi="Times New Roman" w:cs="Times New Roman"/>
                <w:b/>
                <w:bCs/>
                <w:color w:val="000000"/>
                <w:lang w:eastAsia="lv-LV"/>
              </w:rPr>
            </w:pPr>
            <w:r w:rsidRPr="00175613">
              <w:rPr>
                <w:rFonts w:ascii="Times New Roman" w:eastAsia="Times New Roman" w:hAnsi="Times New Roman" w:cs="Times New Roman"/>
                <w:b/>
                <w:bCs/>
                <w:color w:val="000000"/>
                <w:lang w:eastAsia="lv-LV"/>
              </w:rPr>
              <w:t>2. scenārijs</w:t>
            </w:r>
            <w:r w:rsidRPr="00A93673">
              <w:rPr>
                <w:rFonts w:ascii="Times New Roman" w:eastAsia="Times New Roman" w:hAnsi="Times New Roman" w:cs="Times New Roman"/>
                <w:b/>
                <w:bCs/>
                <w:color w:val="000000"/>
                <w:lang w:eastAsia="lv-LV"/>
              </w:rPr>
              <w:t xml:space="preserve">: </w:t>
            </w:r>
            <w:proofErr w:type="spellStart"/>
            <w:r w:rsidRPr="00A93673">
              <w:rPr>
                <w:rFonts w:ascii="Times New Roman" w:eastAsia="Times New Roman" w:hAnsi="Times New Roman" w:cs="Times New Roman"/>
                <w:b/>
                <w:bCs/>
                <w:color w:val="000000"/>
                <w:lang w:eastAsia="lv-LV"/>
              </w:rPr>
              <w:t>Derogācijas</w:t>
            </w:r>
            <w:proofErr w:type="spellEnd"/>
            <w:r w:rsidRPr="00A93673">
              <w:rPr>
                <w:rFonts w:ascii="Times New Roman" w:eastAsia="Times New Roman" w:hAnsi="Times New Roman" w:cs="Times New Roman"/>
                <w:b/>
                <w:bCs/>
                <w:color w:val="000000"/>
                <w:lang w:eastAsia="lv-LV"/>
              </w:rPr>
              <w:t xml:space="preserve"> </w:t>
            </w:r>
            <w:r w:rsidR="00A93673" w:rsidRPr="00E25EF5">
              <w:rPr>
                <w:rFonts w:ascii="Times New Roman" w:eastAsia="Times New Roman" w:hAnsi="Times New Roman" w:cs="Times New Roman"/>
                <w:b/>
                <w:bCs/>
                <w:color w:val="000000"/>
                <w:lang w:eastAsia="lv-LV"/>
              </w:rPr>
              <w:t>scen</w:t>
            </w:r>
            <w:r w:rsidR="00A93673" w:rsidRPr="00A93673">
              <w:rPr>
                <w:rFonts w:ascii="Times New Roman" w:eastAsia="Times New Roman" w:hAnsi="Times New Roman" w:cs="Times New Roman"/>
                <w:b/>
                <w:bCs/>
                <w:color w:val="000000"/>
                <w:lang w:eastAsia="lv-LV"/>
              </w:rPr>
              <w:t>ārijs</w:t>
            </w:r>
          </w:p>
        </w:tc>
        <w:tc>
          <w:tcPr>
            <w:tcW w:w="326" w:type="dxa"/>
            <w:tcBorders>
              <w:top w:val="nil"/>
              <w:left w:val="nil"/>
              <w:bottom w:val="nil"/>
              <w:right w:val="nil"/>
            </w:tcBorders>
            <w:shd w:val="clear" w:color="auto" w:fill="auto"/>
            <w:noWrap/>
            <w:vAlign w:val="bottom"/>
            <w:hideMark/>
          </w:tcPr>
          <w:p w14:paraId="4BAC08CB"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
        </w:tc>
        <w:tc>
          <w:tcPr>
            <w:tcW w:w="1616" w:type="dxa"/>
            <w:tcBorders>
              <w:top w:val="nil"/>
              <w:left w:val="nil"/>
              <w:bottom w:val="nil"/>
              <w:right w:val="nil"/>
            </w:tcBorders>
            <w:shd w:val="clear" w:color="auto" w:fill="auto"/>
            <w:noWrap/>
            <w:vAlign w:val="bottom"/>
            <w:hideMark/>
          </w:tcPr>
          <w:p w14:paraId="21DA1F6D"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
        </w:tc>
        <w:tc>
          <w:tcPr>
            <w:tcW w:w="1556" w:type="dxa"/>
            <w:tcBorders>
              <w:top w:val="nil"/>
              <w:left w:val="nil"/>
              <w:bottom w:val="nil"/>
              <w:right w:val="nil"/>
            </w:tcBorders>
            <w:shd w:val="clear" w:color="auto" w:fill="auto"/>
            <w:noWrap/>
            <w:vAlign w:val="bottom"/>
            <w:hideMark/>
          </w:tcPr>
          <w:p w14:paraId="47F45D9B"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
        </w:tc>
        <w:tc>
          <w:tcPr>
            <w:tcW w:w="336" w:type="dxa"/>
            <w:tcBorders>
              <w:top w:val="nil"/>
              <w:left w:val="nil"/>
              <w:bottom w:val="nil"/>
              <w:right w:val="nil"/>
            </w:tcBorders>
            <w:shd w:val="clear" w:color="auto" w:fill="auto"/>
            <w:noWrap/>
            <w:vAlign w:val="bottom"/>
            <w:hideMark/>
          </w:tcPr>
          <w:p w14:paraId="04B7E851"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
        </w:tc>
        <w:tc>
          <w:tcPr>
            <w:tcW w:w="1556" w:type="dxa"/>
            <w:tcBorders>
              <w:top w:val="nil"/>
              <w:left w:val="nil"/>
              <w:bottom w:val="nil"/>
              <w:right w:val="nil"/>
            </w:tcBorders>
            <w:shd w:val="clear" w:color="auto" w:fill="auto"/>
            <w:noWrap/>
            <w:vAlign w:val="bottom"/>
            <w:hideMark/>
          </w:tcPr>
          <w:p w14:paraId="1E581936"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
        </w:tc>
      </w:tr>
      <w:tr w:rsidR="00454321" w:rsidRPr="00175613" w14:paraId="554857F8" w14:textId="77777777" w:rsidTr="00450453">
        <w:trPr>
          <w:trHeight w:val="300"/>
        </w:trPr>
        <w:tc>
          <w:tcPr>
            <w:tcW w:w="2835" w:type="dxa"/>
            <w:tcBorders>
              <w:top w:val="nil"/>
              <w:left w:val="nil"/>
              <w:bottom w:val="nil"/>
              <w:right w:val="single" w:sz="4" w:space="0" w:color="auto"/>
            </w:tcBorders>
            <w:shd w:val="clear" w:color="000000" w:fill="D9D9D9"/>
            <w:noWrap/>
            <w:vAlign w:val="bottom"/>
            <w:hideMark/>
          </w:tcPr>
          <w:p w14:paraId="0C46EB8F"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 </w:t>
            </w:r>
          </w:p>
        </w:tc>
        <w:tc>
          <w:tcPr>
            <w:tcW w:w="3718" w:type="dxa"/>
            <w:gridSpan w:val="3"/>
            <w:tcBorders>
              <w:top w:val="nil"/>
              <w:left w:val="nil"/>
              <w:bottom w:val="nil"/>
              <w:right w:val="single" w:sz="4" w:space="0" w:color="000000"/>
            </w:tcBorders>
            <w:shd w:val="clear" w:color="000000" w:fill="D9D9D9"/>
            <w:noWrap/>
            <w:vAlign w:val="bottom"/>
            <w:hideMark/>
          </w:tcPr>
          <w:p w14:paraId="17C77EB4" w14:textId="2CDA0DDC" w:rsidR="00175613" w:rsidRPr="00175613" w:rsidRDefault="00175613" w:rsidP="00683E8E">
            <w:pPr>
              <w:spacing w:after="0" w:line="240" w:lineRule="auto"/>
              <w:jc w:val="center"/>
              <w:rPr>
                <w:rFonts w:ascii="Times New Roman" w:eastAsia="Times New Roman" w:hAnsi="Times New Roman" w:cs="Times New Roman"/>
                <w:b/>
                <w:bCs/>
                <w:color w:val="000000"/>
                <w:lang w:eastAsia="lv-LV"/>
              </w:rPr>
            </w:pPr>
            <w:r w:rsidRPr="00175613">
              <w:rPr>
                <w:rFonts w:ascii="Times New Roman" w:eastAsia="Times New Roman" w:hAnsi="Times New Roman" w:cs="Times New Roman"/>
                <w:b/>
                <w:bCs/>
                <w:color w:val="000000"/>
                <w:lang w:eastAsia="lv-LV"/>
              </w:rPr>
              <w:t>Emisijas kvotas (Milj.)</w:t>
            </w:r>
          </w:p>
        </w:tc>
        <w:tc>
          <w:tcPr>
            <w:tcW w:w="3448" w:type="dxa"/>
            <w:gridSpan w:val="3"/>
            <w:tcBorders>
              <w:top w:val="nil"/>
              <w:left w:val="nil"/>
              <w:bottom w:val="nil"/>
              <w:right w:val="single" w:sz="4" w:space="0" w:color="000000"/>
            </w:tcBorders>
            <w:shd w:val="clear" w:color="000000" w:fill="D9D9D9"/>
            <w:vAlign w:val="bottom"/>
            <w:hideMark/>
          </w:tcPr>
          <w:p w14:paraId="5B548A3E" w14:textId="77777777" w:rsidR="00175613" w:rsidRPr="00175613" w:rsidRDefault="00175613" w:rsidP="00175613">
            <w:pPr>
              <w:spacing w:after="0" w:line="240" w:lineRule="auto"/>
              <w:jc w:val="center"/>
              <w:rPr>
                <w:rFonts w:ascii="Times New Roman" w:eastAsia="Times New Roman" w:hAnsi="Times New Roman" w:cs="Times New Roman"/>
                <w:b/>
                <w:bCs/>
                <w:color w:val="000000"/>
                <w:lang w:eastAsia="lv-LV"/>
              </w:rPr>
            </w:pPr>
            <w:proofErr w:type="spellStart"/>
            <w:r w:rsidRPr="00175613">
              <w:rPr>
                <w:rFonts w:ascii="Times New Roman" w:eastAsia="Times New Roman" w:hAnsi="Times New Roman" w:cs="Times New Roman"/>
                <w:b/>
                <w:bCs/>
                <w:color w:val="000000"/>
                <w:lang w:eastAsia="lv-LV"/>
              </w:rPr>
              <w:t>Monetizētā</w:t>
            </w:r>
            <w:proofErr w:type="spellEnd"/>
            <w:r w:rsidRPr="00175613">
              <w:rPr>
                <w:rFonts w:ascii="Times New Roman" w:eastAsia="Times New Roman" w:hAnsi="Times New Roman" w:cs="Times New Roman"/>
                <w:b/>
                <w:bCs/>
                <w:color w:val="000000"/>
                <w:lang w:eastAsia="lv-LV"/>
              </w:rPr>
              <w:t xml:space="preserve"> vērtība (Milj. </w:t>
            </w:r>
            <w:proofErr w:type="spellStart"/>
            <w:r w:rsidRPr="00175613">
              <w:rPr>
                <w:rFonts w:ascii="Times New Roman" w:eastAsia="Times New Roman" w:hAnsi="Times New Roman" w:cs="Times New Roman"/>
                <w:b/>
                <w:bCs/>
                <w:i/>
                <w:iCs/>
                <w:color w:val="000000"/>
                <w:lang w:eastAsia="lv-LV"/>
              </w:rPr>
              <w:t>euro</w:t>
            </w:r>
            <w:proofErr w:type="spellEnd"/>
            <w:r w:rsidRPr="00175613">
              <w:rPr>
                <w:rFonts w:ascii="Times New Roman" w:eastAsia="Times New Roman" w:hAnsi="Times New Roman" w:cs="Times New Roman"/>
                <w:b/>
                <w:bCs/>
                <w:i/>
                <w:iCs/>
                <w:color w:val="000000"/>
                <w:lang w:eastAsia="lv-LV"/>
              </w:rPr>
              <w:t>)</w:t>
            </w:r>
          </w:p>
        </w:tc>
      </w:tr>
      <w:tr w:rsidR="00454321" w:rsidRPr="00175613" w14:paraId="5F6ADBA0" w14:textId="77777777" w:rsidTr="00450453">
        <w:trPr>
          <w:trHeight w:val="300"/>
        </w:trPr>
        <w:tc>
          <w:tcPr>
            <w:tcW w:w="2835" w:type="dxa"/>
            <w:tcBorders>
              <w:top w:val="nil"/>
              <w:left w:val="nil"/>
              <w:bottom w:val="single" w:sz="4" w:space="0" w:color="auto"/>
              <w:right w:val="single" w:sz="4" w:space="0" w:color="auto"/>
            </w:tcBorders>
            <w:shd w:val="clear" w:color="000000" w:fill="D9D9D9"/>
            <w:noWrap/>
            <w:vAlign w:val="bottom"/>
            <w:hideMark/>
          </w:tcPr>
          <w:p w14:paraId="5363B111"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 </w:t>
            </w:r>
          </w:p>
        </w:tc>
        <w:tc>
          <w:tcPr>
            <w:tcW w:w="1776" w:type="dxa"/>
            <w:tcBorders>
              <w:top w:val="nil"/>
              <w:left w:val="nil"/>
              <w:bottom w:val="single" w:sz="4" w:space="0" w:color="auto"/>
              <w:right w:val="single" w:sz="4" w:space="0" w:color="auto"/>
            </w:tcBorders>
            <w:shd w:val="clear" w:color="000000" w:fill="D9D9D9"/>
            <w:noWrap/>
            <w:vAlign w:val="bottom"/>
            <w:hideMark/>
          </w:tcPr>
          <w:p w14:paraId="328CA933"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 </w:t>
            </w:r>
          </w:p>
        </w:tc>
        <w:tc>
          <w:tcPr>
            <w:tcW w:w="1942" w:type="dxa"/>
            <w:gridSpan w:val="2"/>
            <w:tcBorders>
              <w:top w:val="nil"/>
              <w:left w:val="nil"/>
              <w:bottom w:val="single" w:sz="4" w:space="0" w:color="auto"/>
              <w:right w:val="single" w:sz="4" w:space="0" w:color="000000"/>
            </w:tcBorders>
            <w:shd w:val="clear" w:color="000000" w:fill="D9D9D9"/>
            <w:noWrap/>
            <w:vAlign w:val="bottom"/>
            <w:hideMark/>
          </w:tcPr>
          <w:p w14:paraId="5943E311"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izmaiņas pret bāzi</w:t>
            </w:r>
          </w:p>
        </w:tc>
        <w:tc>
          <w:tcPr>
            <w:tcW w:w="1556" w:type="dxa"/>
            <w:tcBorders>
              <w:top w:val="nil"/>
              <w:left w:val="nil"/>
              <w:bottom w:val="single" w:sz="4" w:space="0" w:color="auto"/>
              <w:right w:val="single" w:sz="4" w:space="0" w:color="auto"/>
            </w:tcBorders>
            <w:shd w:val="clear" w:color="000000" w:fill="D9D9D9"/>
            <w:noWrap/>
            <w:vAlign w:val="bottom"/>
            <w:hideMark/>
          </w:tcPr>
          <w:p w14:paraId="1C6ADF57"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 </w:t>
            </w:r>
          </w:p>
        </w:tc>
        <w:tc>
          <w:tcPr>
            <w:tcW w:w="1892" w:type="dxa"/>
            <w:gridSpan w:val="2"/>
            <w:tcBorders>
              <w:top w:val="nil"/>
              <w:left w:val="nil"/>
              <w:bottom w:val="single" w:sz="4" w:space="0" w:color="auto"/>
              <w:right w:val="single" w:sz="4" w:space="0" w:color="000000"/>
            </w:tcBorders>
            <w:shd w:val="clear" w:color="000000" w:fill="D9D9D9"/>
            <w:noWrap/>
            <w:vAlign w:val="bottom"/>
            <w:hideMark/>
          </w:tcPr>
          <w:p w14:paraId="4B06D01E"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izmaiņas pret bāzi</w:t>
            </w:r>
          </w:p>
        </w:tc>
      </w:tr>
      <w:tr w:rsidR="00454321" w:rsidRPr="00175613" w14:paraId="49DA84AB" w14:textId="77777777" w:rsidTr="00450453">
        <w:trPr>
          <w:trHeight w:val="300"/>
        </w:trPr>
        <w:tc>
          <w:tcPr>
            <w:tcW w:w="2835" w:type="dxa"/>
            <w:tcBorders>
              <w:top w:val="nil"/>
              <w:left w:val="nil"/>
              <w:bottom w:val="nil"/>
              <w:right w:val="single" w:sz="4" w:space="0" w:color="auto"/>
            </w:tcBorders>
            <w:shd w:val="clear" w:color="auto" w:fill="auto"/>
            <w:noWrap/>
            <w:vAlign w:val="bottom"/>
            <w:hideMark/>
          </w:tcPr>
          <w:p w14:paraId="217862F7"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Izsolāmie apjomi (EKII)</w:t>
            </w:r>
          </w:p>
        </w:tc>
        <w:tc>
          <w:tcPr>
            <w:tcW w:w="1776" w:type="dxa"/>
            <w:tcBorders>
              <w:top w:val="nil"/>
              <w:left w:val="nil"/>
              <w:bottom w:val="nil"/>
              <w:right w:val="single" w:sz="4" w:space="0" w:color="auto"/>
            </w:tcBorders>
            <w:shd w:val="clear" w:color="auto" w:fill="auto"/>
            <w:noWrap/>
            <w:vAlign w:val="bottom"/>
            <w:hideMark/>
          </w:tcPr>
          <w:p w14:paraId="22796F68" w14:textId="77777777" w:rsidR="00175613" w:rsidRPr="00175613" w:rsidRDefault="00175613" w:rsidP="00175613">
            <w:pPr>
              <w:spacing w:after="0" w:line="240" w:lineRule="auto"/>
              <w:jc w:val="right"/>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11,94</w:t>
            </w:r>
          </w:p>
        </w:tc>
        <w:tc>
          <w:tcPr>
            <w:tcW w:w="326" w:type="dxa"/>
            <w:tcBorders>
              <w:top w:val="nil"/>
              <w:left w:val="nil"/>
              <w:bottom w:val="nil"/>
              <w:right w:val="nil"/>
            </w:tcBorders>
            <w:shd w:val="clear" w:color="auto" w:fill="auto"/>
            <w:noWrap/>
            <w:vAlign w:val="bottom"/>
            <w:hideMark/>
          </w:tcPr>
          <w:p w14:paraId="27B39BCF"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w:t>
            </w:r>
          </w:p>
        </w:tc>
        <w:tc>
          <w:tcPr>
            <w:tcW w:w="1616" w:type="dxa"/>
            <w:tcBorders>
              <w:top w:val="nil"/>
              <w:left w:val="nil"/>
              <w:bottom w:val="nil"/>
              <w:right w:val="single" w:sz="4" w:space="0" w:color="auto"/>
            </w:tcBorders>
            <w:shd w:val="clear" w:color="auto" w:fill="auto"/>
            <w:noWrap/>
            <w:vAlign w:val="bottom"/>
            <w:hideMark/>
          </w:tcPr>
          <w:p w14:paraId="306D226D" w14:textId="77777777" w:rsidR="00175613" w:rsidRPr="00175613" w:rsidRDefault="00175613" w:rsidP="00175613">
            <w:pPr>
              <w:spacing w:after="0" w:line="240" w:lineRule="auto"/>
              <w:jc w:val="right"/>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-4,12</w:t>
            </w:r>
          </w:p>
        </w:tc>
        <w:tc>
          <w:tcPr>
            <w:tcW w:w="1556" w:type="dxa"/>
            <w:tcBorders>
              <w:top w:val="nil"/>
              <w:left w:val="nil"/>
              <w:bottom w:val="nil"/>
              <w:right w:val="single" w:sz="4" w:space="0" w:color="auto"/>
            </w:tcBorders>
            <w:shd w:val="clear" w:color="auto" w:fill="auto"/>
            <w:noWrap/>
            <w:vAlign w:val="bottom"/>
            <w:hideMark/>
          </w:tcPr>
          <w:p w14:paraId="65CE7B59" w14:textId="77777777" w:rsidR="00175613" w:rsidRPr="00175613" w:rsidRDefault="00175613" w:rsidP="00175613">
            <w:pPr>
              <w:spacing w:after="0" w:line="240" w:lineRule="auto"/>
              <w:jc w:val="right"/>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298,5</w:t>
            </w:r>
          </w:p>
        </w:tc>
        <w:tc>
          <w:tcPr>
            <w:tcW w:w="336" w:type="dxa"/>
            <w:tcBorders>
              <w:top w:val="nil"/>
              <w:left w:val="nil"/>
              <w:bottom w:val="nil"/>
              <w:right w:val="nil"/>
            </w:tcBorders>
            <w:shd w:val="clear" w:color="auto" w:fill="auto"/>
            <w:noWrap/>
            <w:vAlign w:val="bottom"/>
            <w:hideMark/>
          </w:tcPr>
          <w:p w14:paraId="3D5EF7AC"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w:t>
            </w:r>
          </w:p>
        </w:tc>
        <w:tc>
          <w:tcPr>
            <w:tcW w:w="1556" w:type="dxa"/>
            <w:tcBorders>
              <w:top w:val="nil"/>
              <w:left w:val="nil"/>
              <w:bottom w:val="nil"/>
              <w:right w:val="single" w:sz="4" w:space="0" w:color="auto"/>
            </w:tcBorders>
            <w:shd w:val="clear" w:color="auto" w:fill="auto"/>
            <w:noWrap/>
            <w:vAlign w:val="bottom"/>
            <w:hideMark/>
          </w:tcPr>
          <w:p w14:paraId="7F50625D" w14:textId="77777777" w:rsidR="00175613" w:rsidRPr="00175613" w:rsidRDefault="00175613" w:rsidP="00175613">
            <w:pPr>
              <w:spacing w:after="0" w:line="240" w:lineRule="auto"/>
              <w:jc w:val="right"/>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-102,92</w:t>
            </w:r>
          </w:p>
        </w:tc>
      </w:tr>
      <w:tr w:rsidR="00454321" w:rsidRPr="00175613" w14:paraId="25BB2043" w14:textId="77777777" w:rsidTr="00450453">
        <w:trPr>
          <w:trHeight w:val="300"/>
        </w:trPr>
        <w:tc>
          <w:tcPr>
            <w:tcW w:w="2835" w:type="dxa"/>
            <w:tcBorders>
              <w:top w:val="nil"/>
              <w:left w:val="nil"/>
              <w:bottom w:val="nil"/>
              <w:right w:val="single" w:sz="4" w:space="0" w:color="auto"/>
            </w:tcBorders>
            <w:shd w:val="clear" w:color="auto" w:fill="auto"/>
            <w:noWrap/>
            <w:vAlign w:val="bottom"/>
            <w:hideMark/>
          </w:tcPr>
          <w:p w14:paraId="5F2069C3"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roofErr w:type="spellStart"/>
            <w:r w:rsidRPr="00175613">
              <w:rPr>
                <w:rFonts w:ascii="Times New Roman" w:eastAsia="Times New Roman" w:hAnsi="Times New Roman" w:cs="Times New Roman"/>
                <w:color w:val="000000"/>
                <w:lang w:eastAsia="lv-LV"/>
              </w:rPr>
              <w:t>Derogācija</w:t>
            </w:r>
            <w:proofErr w:type="spellEnd"/>
          </w:p>
        </w:tc>
        <w:tc>
          <w:tcPr>
            <w:tcW w:w="1776" w:type="dxa"/>
            <w:tcBorders>
              <w:top w:val="nil"/>
              <w:left w:val="nil"/>
              <w:bottom w:val="nil"/>
              <w:right w:val="single" w:sz="4" w:space="0" w:color="auto"/>
            </w:tcBorders>
            <w:shd w:val="clear" w:color="auto" w:fill="auto"/>
            <w:noWrap/>
            <w:vAlign w:val="bottom"/>
            <w:hideMark/>
          </w:tcPr>
          <w:p w14:paraId="79864F47" w14:textId="77777777" w:rsidR="00175613" w:rsidRPr="00175613" w:rsidRDefault="00175613" w:rsidP="00175613">
            <w:pPr>
              <w:spacing w:after="0" w:line="240" w:lineRule="auto"/>
              <w:jc w:val="right"/>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4,12</w:t>
            </w:r>
          </w:p>
        </w:tc>
        <w:tc>
          <w:tcPr>
            <w:tcW w:w="326" w:type="dxa"/>
            <w:tcBorders>
              <w:top w:val="nil"/>
              <w:left w:val="nil"/>
              <w:bottom w:val="nil"/>
              <w:right w:val="nil"/>
            </w:tcBorders>
            <w:shd w:val="clear" w:color="auto" w:fill="auto"/>
            <w:noWrap/>
            <w:vAlign w:val="bottom"/>
            <w:hideMark/>
          </w:tcPr>
          <w:p w14:paraId="309C5725"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w:t>
            </w:r>
          </w:p>
        </w:tc>
        <w:tc>
          <w:tcPr>
            <w:tcW w:w="1616" w:type="dxa"/>
            <w:tcBorders>
              <w:top w:val="nil"/>
              <w:left w:val="nil"/>
              <w:bottom w:val="nil"/>
              <w:right w:val="single" w:sz="4" w:space="0" w:color="auto"/>
            </w:tcBorders>
            <w:shd w:val="clear" w:color="auto" w:fill="auto"/>
            <w:noWrap/>
            <w:vAlign w:val="bottom"/>
            <w:hideMark/>
          </w:tcPr>
          <w:p w14:paraId="78C8061F" w14:textId="22F3E168" w:rsidR="00175613" w:rsidRPr="00175613" w:rsidRDefault="00DD3493" w:rsidP="00175613">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r w:rsidR="00175613" w:rsidRPr="00175613">
              <w:rPr>
                <w:rFonts w:ascii="Times New Roman" w:eastAsia="Times New Roman" w:hAnsi="Times New Roman" w:cs="Times New Roman"/>
                <w:color w:val="000000"/>
                <w:lang w:eastAsia="lv-LV"/>
              </w:rPr>
              <w:t>4,12</w:t>
            </w:r>
          </w:p>
        </w:tc>
        <w:tc>
          <w:tcPr>
            <w:tcW w:w="1556" w:type="dxa"/>
            <w:tcBorders>
              <w:top w:val="nil"/>
              <w:left w:val="nil"/>
              <w:bottom w:val="nil"/>
              <w:right w:val="single" w:sz="4" w:space="0" w:color="auto"/>
            </w:tcBorders>
            <w:shd w:val="clear" w:color="auto" w:fill="auto"/>
            <w:noWrap/>
            <w:vAlign w:val="bottom"/>
            <w:hideMark/>
          </w:tcPr>
          <w:p w14:paraId="2C9FD1BE" w14:textId="77777777" w:rsidR="00175613" w:rsidRPr="00175613" w:rsidRDefault="00175613" w:rsidP="00175613">
            <w:pPr>
              <w:spacing w:after="0" w:line="240" w:lineRule="auto"/>
              <w:jc w:val="right"/>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102,9</w:t>
            </w:r>
          </w:p>
        </w:tc>
        <w:tc>
          <w:tcPr>
            <w:tcW w:w="336" w:type="dxa"/>
            <w:tcBorders>
              <w:top w:val="nil"/>
              <w:left w:val="nil"/>
              <w:bottom w:val="nil"/>
              <w:right w:val="nil"/>
            </w:tcBorders>
            <w:shd w:val="clear" w:color="auto" w:fill="auto"/>
            <w:noWrap/>
            <w:vAlign w:val="bottom"/>
            <w:hideMark/>
          </w:tcPr>
          <w:p w14:paraId="0A3E30E1"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r w:rsidRPr="00175613">
              <w:rPr>
                <w:rFonts w:ascii="Times New Roman" w:eastAsia="Times New Roman" w:hAnsi="Times New Roman" w:cs="Times New Roman"/>
                <w:color w:val="000000"/>
                <w:lang w:eastAsia="lv-LV"/>
              </w:rPr>
              <w:t>↑</w:t>
            </w:r>
          </w:p>
        </w:tc>
        <w:tc>
          <w:tcPr>
            <w:tcW w:w="1556" w:type="dxa"/>
            <w:tcBorders>
              <w:top w:val="nil"/>
              <w:left w:val="nil"/>
              <w:bottom w:val="nil"/>
              <w:right w:val="single" w:sz="4" w:space="0" w:color="auto"/>
            </w:tcBorders>
            <w:shd w:val="clear" w:color="auto" w:fill="auto"/>
            <w:noWrap/>
            <w:vAlign w:val="bottom"/>
            <w:hideMark/>
          </w:tcPr>
          <w:p w14:paraId="0EE5ECD3" w14:textId="3BEC4B51" w:rsidR="00175613" w:rsidRPr="00175613" w:rsidRDefault="00DD3493" w:rsidP="00175613">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r w:rsidR="00175613" w:rsidRPr="00175613">
              <w:rPr>
                <w:rFonts w:ascii="Times New Roman" w:eastAsia="Times New Roman" w:hAnsi="Times New Roman" w:cs="Times New Roman"/>
                <w:color w:val="000000"/>
                <w:lang w:eastAsia="lv-LV"/>
              </w:rPr>
              <w:t>102,92</w:t>
            </w:r>
          </w:p>
        </w:tc>
      </w:tr>
      <w:tr w:rsidR="00454321" w:rsidRPr="00175613" w14:paraId="4FF719EB" w14:textId="77777777" w:rsidTr="00450453">
        <w:trPr>
          <w:trHeight w:val="300"/>
        </w:trPr>
        <w:tc>
          <w:tcPr>
            <w:tcW w:w="2835" w:type="dxa"/>
            <w:tcBorders>
              <w:top w:val="nil"/>
              <w:left w:val="nil"/>
              <w:bottom w:val="nil"/>
              <w:right w:val="nil"/>
            </w:tcBorders>
            <w:shd w:val="clear" w:color="auto" w:fill="auto"/>
            <w:noWrap/>
            <w:vAlign w:val="bottom"/>
            <w:hideMark/>
          </w:tcPr>
          <w:p w14:paraId="1DCA1DEA"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
        </w:tc>
        <w:tc>
          <w:tcPr>
            <w:tcW w:w="1776" w:type="dxa"/>
            <w:tcBorders>
              <w:top w:val="nil"/>
              <w:left w:val="nil"/>
              <w:bottom w:val="nil"/>
              <w:right w:val="nil"/>
            </w:tcBorders>
            <w:shd w:val="clear" w:color="auto" w:fill="auto"/>
            <w:noWrap/>
            <w:vAlign w:val="bottom"/>
            <w:hideMark/>
          </w:tcPr>
          <w:p w14:paraId="6DEA6CCD"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
        </w:tc>
        <w:tc>
          <w:tcPr>
            <w:tcW w:w="326" w:type="dxa"/>
            <w:tcBorders>
              <w:top w:val="nil"/>
              <w:left w:val="nil"/>
              <w:bottom w:val="nil"/>
              <w:right w:val="nil"/>
            </w:tcBorders>
            <w:shd w:val="clear" w:color="auto" w:fill="auto"/>
            <w:noWrap/>
            <w:vAlign w:val="bottom"/>
            <w:hideMark/>
          </w:tcPr>
          <w:p w14:paraId="555CE9A9"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
        </w:tc>
        <w:tc>
          <w:tcPr>
            <w:tcW w:w="1616" w:type="dxa"/>
            <w:tcBorders>
              <w:top w:val="nil"/>
              <w:left w:val="nil"/>
              <w:bottom w:val="nil"/>
              <w:right w:val="nil"/>
            </w:tcBorders>
            <w:shd w:val="clear" w:color="auto" w:fill="auto"/>
            <w:noWrap/>
            <w:vAlign w:val="bottom"/>
            <w:hideMark/>
          </w:tcPr>
          <w:p w14:paraId="687CD587"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
        </w:tc>
        <w:tc>
          <w:tcPr>
            <w:tcW w:w="1556" w:type="dxa"/>
            <w:tcBorders>
              <w:top w:val="nil"/>
              <w:left w:val="nil"/>
              <w:bottom w:val="nil"/>
              <w:right w:val="nil"/>
            </w:tcBorders>
            <w:shd w:val="clear" w:color="auto" w:fill="auto"/>
            <w:noWrap/>
            <w:vAlign w:val="bottom"/>
            <w:hideMark/>
          </w:tcPr>
          <w:p w14:paraId="181893C8"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
        </w:tc>
        <w:tc>
          <w:tcPr>
            <w:tcW w:w="336" w:type="dxa"/>
            <w:tcBorders>
              <w:top w:val="nil"/>
              <w:left w:val="nil"/>
              <w:bottom w:val="nil"/>
              <w:right w:val="nil"/>
            </w:tcBorders>
            <w:shd w:val="clear" w:color="auto" w:fill="auto"/>
            <w:noWrap/>
            <w:vAlign w:val="bottom"/>
            <w:hideMark/>
          </w:tcPr>
          <w:p w14:paraId="01EA1D2D"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
        </w:tc>
        <w:tc>
          <w:tcPr>
            <w:tcW w:w="1556" w:type="dxa"/>
            <w:tcBorders>
              <w:top w:val="nil"/>
              <w:left w:val="nil"/>
              <w:bottom w:val="nil"/>
              <w:right w:val="nil"/>
            </w:tcBorders>
            <w:shd w:val="clear" w:color="auto" w:fill="auto"/>
            <w:noWrap/>
            <w:vAlign w:val="bottom"/>
            <w:hideMark/>
          </w:tcPr>
          <w:p w14:paraId="0D6DFFB2" w14:textId="77777777" w:rsidR="00175613" w:rsidRPr="00175613" w:rsidRDefault="00175613" w:rsidP="00175613">
            <w:pPr>
              <w:spacing w:after="0" w:line="240" w:lineRule="auto"/>
              <w:rPr>
                <w:rFonts w:ascii="Times New Roman" w:eastAsia="Times New Roman" w:hAnsi="Times New Roman" w:cs="Times New Roman"/>
                <w:color w:val="000000"/>
                <w:lang w:eastAsia="lv-LV"/>
              </w:rPr>
            </w:pPr>
          </w:p>
        </w:tc>
      </w:tr>
    </w:tbl>
    <w:p w14:paraId="3EB180DA" w14:textId="77777777" w:rsidR="00100A4B" w:rsidRDefault="00100A4B" w:rsidP="00100A4B"/>
    <w:p w14:paraId="44267088" w14:textId="6ECF8871" w:rsidR="00100A4B" w:rsidRDefault="00100A4B" w:rsidP="00100A4B">
      <w:pPr>
        <w:jc w:val="both"/>
        <w:rPr>
          <w:rFonts w:ascii="Times New Roman" w:hAnsi="Times New Roman" w:cs="Times New Roman"/>
          <w:sz w:val="24"/>
          <w:szCs w:val="24"/>
        </w:rPr>
      </w:pPr>
      <w:r w:rsidRPr="00100A4B">
        <w:rPr>
          <w:rFonts w:ascii="Times New Roman" w:hAnsi="Times New Roman" w:cs="Times New Roman"/>
          <w:sz w:val="24"/>
          <w:szCs w:val="24"/>
        </w:rPr>
        <w:t xml:space="preserve">Visu scenāriju gadījumā var identificēt gan priekšrocības, gan trūkumus, kas apkopoti 6. tabulā. </w:t>
      </w:r>
    </w:p>
    <w:p w14:paraId="3E78AC0F" w14:textId="77777777" w:rsidR="00650BF3" w:rsidRDefault="00650BF3" w:rsidP="00100A4B">
      <w:pPr>
        <w:jc w:val="both"/>
        <w:rPr>
          <w:rFonts w:ascii="Times New Roman" w:hAnsi="Times New Roman" w:cs="Times New Roman"/>
          <w:sz w:val="24"/>
          <w:szCs w:val="24"/>
        </w:rPr>
        <w:sectPr w:rsidR="00650BF3" w:rsidSect="00175613">
          <w:pgSz w:w="11906" w:h="16838"/>
          <w:pgMar w:top="1440" w:right="1797" w:bottom="1440" w:left="1797" w:header="709" w:footer="709" w:gutter="0"/>
          <w:cols w:space="708"/>
          <w:titlePg/>
          <w:docGrid w:linePitch="360"/>
        </w:sectPr>
      </w:pPr>
    </w:p>
    <w:tbl>
      <w:tblPr>
        <w:tblStyle w:val="GridTable1Light2"/>
        <w:tblW w:w="0" w:type="auto"/>
        <w:tblLook w:val="04A0" w:firstRow="1" w:lastRow="0" w:firstColumn="1" w:lastColumn="0" w:noHBand="0" w:noVBand="1"/>
      </w:tblPr>
      <w:tblGrid>
        <w:gridCol w:w="2127"/>
        <w:gridCol w:w="5103"/>
        <w:gridCol w:w="6718"/>
      </w:tblGrid>
      <w:tr w:rsidR="00650BF3" w:rsidRPr="00F50FF9" w14:paraId="2259023C" w14:textId="77777777" w:rsidTr="00E32D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48" w:type="dxa"/>
            <w:gridSpan w:val="3"/>
            <w:tcBorders>
              <w:top w:val="nil"/>
              <w:left w:val="nil"/>
              <w:bottom w:val="single" w:sz="4" w:space="0" w:color="auto"/>
              <w:right w:val="nil"/>
            </w:tcBorders>
          </w:tcPr>
          <w:p w14:paraId="7D9A4514" w14:textId="746E76BD" w:rsidR="00650BF3" w:rsidRPr="00F50FF9" w:rsidRDefault="00650BF3" w:rsidP="00650BF3">
            <w:pPr>
              <w:jc w:val="right"/>
              <w:rPr>
                <w:rFonts w:ascii="Times New Roman" w:hAnsi="Times New Roman" w:cs="Times New Roman"/>
                <w:i/>
                <w:sz w:val="20"/>
                <w:szCs w:val="20"/>
              </w:rPr>
            </w:pPr>
            <w:r w:rsidRPr="00F50FF9">
              <w:rPr>
                <w:rFonts w:ascii="Times New Roman" w:hAnsi="Times New Roman" w:cs="Times New Roman"/>
                <w:i/>
                <w:sz w:val="20"/>
                <w:szCs w:val="20"/>
              </w:rPr>
              <w:lastRenderedPageBreak/>
              <w:t>6.tabula. Scenāriju priekšrocības un trūkumi</w:t>
            </w:r>
          </w:p>
        </w:tc>
      </w:tr>
      <w:tr w:rsidR="00562800" w:rsidRPr="00F50FF9" w14:paraId="1A274B5E" w14:textId="77777777" w:rsidTr="00A00A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tcBorders>
          </w:tcPr>
          <w:p w14:paraId="5221AF98" w14:textId="77777777" w:rsidR="00100A4B" w:rsidRPr="00F50FF9" w:rsidRDefault="00100A4B" w:rsidP="00E32DD4">
            <w:pPr>
              <w:jc w:val="center"/>
              <w:rPr>
                <w:rFonts w:ascii="Times New Roman" w:hAnsi="Times New Roman" w:cs="Times New Roman"/>
                <w:sz w:val="20"/>
                <w:szCs w:val="20"/>
              </w:rPr>
            </w:pPr>
            <w:r w:rsidRPr="00F50FF9">
              <w:rPr>
                <w:rFonts w:ascii="Times New Roman" w:hAnsi="Times New Roman" w:cs="Times New Roman"/>
                <w:sz w:val="20"/>
                <w:szCs w:val="20"/>
              </w:rPr>
              <w:t>Scenārijs</w:t>
            </w:r>
          </w:p>
        </w:tc>
        <w:tc>
          <w:tcPr>
            <w:tcW w:w="5103" w:type="dxa"/>
            <w:tcBorders>
              <w:top w:val="single" w:sz="4" w:space="0" w:color="auto"/>
            </w:tcBorders>
          </w:tcPr>
          <w:p w14:paraId="715A32EE" w14:textId="77777777" w:rsidR="00100A4B" w:rsidRPr="00F50FF9" w:rsidRDefault="00100A4B" w:rsidP="00E32DD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0FF9">
              <w:rPr>
                <w:rFonts w:ascii="Times New Roman" w:hAnsi="Times New Roman" w:cs="Times New Roman"/>
                <w:sz w:val="20"/>
                <w:szCs w:val="20"/>
              </w:rPr>
              <w:t>Priekšrocības</w:t>
            </w:r>
          </w:p>
        </w:tc>
        <w:tc>
          <w:tcPr>
            <w:tcW w:w="6718" w:type="dxa"/>
            <w:tcBorders>
              <w:top w:val="single" w:sz="4" w:space="0" w:color="auto"/>
            </w:tcBorders>
          </w:tcPr>
          <w:p w14:paraId="2C60D710" w14:textId="77777777" w:rsidR="00100A4B" w:rsidRPr="00F50FF9" w:rsidRDefault="00100A4B" w:rsidP="00E32DD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0FF9">
              <w:rPr>
                <w:rFonts w:ascii="Times New Roman" w:hAnsi="Times New Roman" w:cs="Times New Roman"/>
                <w:sz w:val="20"/>
                <w:szCs w:val="20"/>
              </w:rPr>
              <w:t>Trūkumi</w:t>
            </w:r>
          </w:p>
        </w:tc>
      </w:tr>
      <w:tr w:rsidR="00562800" w:rsidRPr="00F50FF9" w14:paraId="3D1F4424" w14:textId="77777777" w:rsidTr="00A00AF5">
        <w:tc>
          <w:tcPr>
            <w:cnfStyle w:val="001000000000" w:firstRow="0" w:lastRow="0" w:firstColumn="1" w:lastColumn="0" w:oddVBand="0" w:evenVBand="0" w:oddHBand="0" w:evenHBand="0" w:firstRowFirstColumn="0" w:firstRowLastColumn="0" w:lastRowFirstColumn="0" w:lastRowLastColumn="0"/>
            <w:tcW w:w="2127" w:type="dxa"/>
          </w:tcPr>
          <w:p w14:paraId="708324B8" w14:textId="5FE5DE83" w:rsidR="00100A4B" w:rsidRPr="00F50FF9" w:rsidRDefault="00100A4B" w:rsidP="00E32DD4">
            <w:pPr>
              <w:rPr>
                <w:rFonts w:ascii="Times New Roman" w:hAnsi="Times New Roman" w:cs="Times New Roman"/>
                <w:sz w:val="20"/>
                <w:szCs w:val="20"/>
              </w:rPr>
            </w:pPr>
            <w:r w:rsidRPr="00F50FF9">
              <w:rPr>
                <w:rFonts w:ascii="Times New Roman" w:hAnsi="Times New Roman" w:cs="Times New Roman"/>
                <w:sz w:val="20"/>
                <w:szCs w:val="20"/>
              </w:rPr>
              <w:t>1.</w:t>
            </w:r>
            <w:r w:rsidR="00E42818">
              <w:rPr>
                <w:rFonts w:ascii="Times New Roman" w:hAnsi="Times New Roman" w:cs="Times New Roman"/>
                <w:sz w:val="20"/>
                <w:szCs w:val="20"/>
              </w:rPr>
              <w:t> </w:t>
            </w:r>
            <w:r w:rsidRPr="00F50FF9">
              <w:rPr>
                <w:rFonts w:ascii="Times New Roman" w:hAnsi="Times New Roman" w:cs="Times New Roman"/>
                <w:sz w:val="20"/>
                <w:szCs w:val="20"/>
              </w:rPr>
              <w:t>scenārijs – bāzes scenārijs</w:t>
            </w:r>
          </w:p>
        </w:tc>
        <w:tc>
          <w:tcPr>
            <w:tcW w:w="5103" w:type="dxa"/>
          </w:tcPr>
          <w:p w14:paraId="7224A34C" w14:textId="1029D6CF" w:rsidR="00100A4B" w:rsidRPr="00A93673" w:rsidRDefault="00EA5A26" w:rsidP="00F50FF9">
            <w:pPr>
              <w:pStyle w:val="ListParagraph"/>
              <w:numPr>
                <w:ilvl w:val="0"/>
                <w:numId w:val="36"/>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3673">
              <w:rPr>
                <w:rFonts w:ascii="Times New Roman" w:hAnsi="Times New Roman" w:cs="Times New Roman"/>
                <w:sz w:val="20"/>
                <w:szCs w:val="20"/>
              </w:rPr>
              <w:t>Nacionālās budžeta programmas EKII finansējums netiek samazināts</w:t>
            </w:r>
          </w:p>
          <w:p w14:paraId="02998F94" w14:textId="77777777" w:rsidR="00100A4B" w:rsidRPr="00A93673" w:rsidRDefault="00100A4B" w:rsidP="00F50FF9">
            <w:pPr>
              <w:pStyle w:val="ListParagraph"/>
              <w:numPr>
                <w:ilvl w:val="0"/>
                <w:numId w:val="36"/>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3673">
              <w:rPr>
                <w:rFonts w:ascii="Times New Roman" w:hAnsi="Times New Roman" w:cs="Times New Roman"/>
                <w:sz w:val="20"/>
                <w:szCs w:val="20"/>
              </w:rPr>
              <w:t>Nav nepieciešama turpmāka rīcība (administratīvo izmaksu ietaupījums)</w:t>
            </w:r>
          </w:p>
          <w:p w14:paraId="0DD6BCD8" w14:textId="7DEF5CF3" w:rsidR="002700C6" w:rsidRPr="00A93673" w:rsidRDefault="001F64D5" w:rsidP="00F50FF9">
            <w:pPr>
              <w:pStyle w:val="ListParagraph"/>
              <w:numPr>
                <w:ilvl w:val="0"/>
                <w:numId w:val="36"/>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3673">
              <w:rPr>
                <w:rFonts w:ascii="Times New Roman" w:hAnsi="Times New Roman" w:cs="Times New Roman"/>
                <w:sz w:val="20"/>
                <w:szCs w:val="20"/>
              </w:rPr>
              <w:t xml:space="preserve">EKII ietvaros iespējams īstenot pasākumus SEG emisiju samazināšanai, turklāt </w:t>
            </w:r>
            <w:r w:rsidR="002700C6" w:rsidRPr="00A93673">
              <w:rPr>
                <w:rFonts w:ascii="Times New Roman" w:hAnsi="Times New Roman" w:cs="Times New Roman"/>
                <w:sz w:val="20"/>
                <w:szCs w:val="20"/>
              </w:rPr>
              <w:t>EKII tvērums ir daudz plašāks kā Direktīvā 2003/87/EK 10.c pantā paredzētais un uz ETS sektoru orientēt</w:t>
            </w:r>
            <w:r w:rsidR="00EA5A26" w:rsidRPr="00A93673">
              <w:rPr>
                <w:rFonts w:ascii="Times New Roman" w:hAnsi="Times New Roman" w:cs="Times New Roman"/>
                <w:sz w:val="20"/>
                <w:szCs w:val="20"/>
              </w:rPr>
              <w:t>s</w:t>
            </w:r>
            <w:r w:rsidR="002700C6" w:rsidRPr="00A93673">
              <w:rPr>
                <w:rFonts w:ascii="Times New Roman" w:hAnsi="Times New Roman" w:cs="Times New Roman"/>
                <w:sz w:val="20"/>
                <w:szCs w:val="20"/>
              </w:rPr>
              <w:t xml:space="preserve"> (iespēja veicināt SEG samazinājumu </w:t>
            </w:r>
            <w:r w:rsidR="00EA5A26" w:rsidRPr="00A93673">
              <w:rPr>
                <w:rFonts w:ascii="Times New Roman" w:hAnsi="Times New Roman" w:cs="Times New Roman"/>
                <w:sz w:val="20"/>
                <w:szCs w:val="20"/>
              </w:rPr>
              <w:t xml:space="preserve">arī </w:t>
            </w:r>
            <w:r w:rsidR="002700C6" w:rsidRPr="00A93673">
              <w:rPr>
                <w:rFonts w:ascii="Times New Roman" w:hAnsi="Times New Roman" w:cs="Times New Roman"/>
                <w:sz w:val="20"/>
                <w:szCs w:val="20"/>
              </w:rPr>
              <w:t>citās nozarēs,</w:t>
            </w:r>
            <w:r w:rsidR="00EA5A26" w:rsidRPr="00A93673">
              <w:rPr>
                <w:rFonts w:ascii="Times New Roman" w:hAnsi="Times New Roman" w:cs="Times New Roman"/>
                <w:sz w:val="20"/>
                <w:szCs w:val="20"/>
              </w:rPr>
              <w:t xml:space="preserve"> t.sk. ne-ETS sektora SEG emisiju samazināšanai</w:t>
            </w:r>
            <w:r w:rsidR="002700C6" w:rsidRPr="00A93673">
              <w:rPr>
                <w:rFonts w:ascii="Times New Roman" w:hAnsi="Times New Roman" w:cs="Times New Roman"/>
                <w:sz w:val="20"/>
                <w:szCs w:val="20"/>
              </w:rPr>
              <w:t>)</w:t>
            </w:r>
          </w:p>
          <w:p w14:paraId="6D5443A5" w14:textId="0BDAD45F" w:rsidR="001F64D5" w:rsidRPr="00A93673" w:rsidRDefault="001F64D5" w:rsidP="00F50FF9">
            <w:pPr>
              <w:pStyle w:val="ListParagraph"/>
              <w:numPr>
                <w:ilvl w:val="0"/>
                <w:numId w:val="36"/>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3673">
              <w:rPr>
                <w:rFonts w:ascii="Times New Roman" w:hAnsi="Times New Roman" w:cs="Times New Roman"/>
                <w:sz w:val="20"/>
                <w:szCs w:val="20"/>
              </w:rPr>
              <w:t xml:space="preserve">Iespēja projektu iesniegumu atklātos konkursus </w:t>
            </w:r>
            <w:r w:rsidR="00A77EA9" w:rsidRPr="00A93673">
              <w:rPr>
                <w:rFonts w:ascii="Times New Roman" w:hAnsi="Times New Roman" w:cs="Times New Roman"/>
                <w:sz w:val="20"/>
                <w:szCs w:val="20"/>
              </w:rPr>
              <w:t xml:space="preserve">EKII ietvaros </w:t>
            </w:r>
            <w:r w:rsidRPr="00A93673">
              <w:rPr>
                <w:rFonts w:ascii="Times New Roman" w:hAnsi="Times New Roman" w:cs="Times New Roman"/>
                <w:sz w:val="20"/>
                <w:szCs w:val="20"/>
              </w:rPr>
              <w:t>organizēt nepārtraukti, kad vien nepieciešams</w:t>
            </w:r>
          </w:p>
          <w:p w14:paraId="5825C2B5" w14:textId="2AB23BC2" w:rsidR="0000003E" w:rsidRPr="00A93673" w:rsidRDefault="002700C6" w:rsidP="001F64D5">
            <w:pPr>
              <w:pStyle w:val="ListParagraph"/>
              <w:numPr>
                <w:ilvl w:val="0"/>
                <w:numId w:val="36"/>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3673">
              <w:rPr>
                <w:rFonts w:ascii="Times New Roman" w:hAnsi="Times New Roman" w:cs="Times New Roman"/>
                <w:sz w:val="20"/>
                <w:szCs w:val="20"/>
              </w:rPr>
              <w:t xml:space="preserve">EKII projektu konkursu nolikumu izstrāde, pārraudzība un lēmumu pieņemšana notiek nacionālā līmenī, </w:t>
            </w:r>
            <w:r w:rsidR="001F64D5" w:rsidRPr="00A93673">
              <w:rPr>
                <w:rFonts w:ascii="Times New Roman" w:hAnsi="Times New Roman" w:cs="Times New Roman"/>
                <w:sz w:val="20"/>
                <w:szCs w:val="20"/>
              </w:rPr>
              <w:t xml:space="preserve">un </w:t>
            </w:r>
            <w:r w:rsidRPr="00A93673">
              <w:rPr>
                <w:rFonts w:ascii="Times New Roman" w:hAnsi="Times New Roman" w:cs="Times New Roman"/>
                <w:sz w:val="20"/>
                <w:szCs w:val="20"/>
              </w:rPr>
              <w:t>nav papildu saistību attiecībā uz ES institūcijām</w:t>
            </w:r>
          </w:p>
        </w:tc>
        <w:tc>
          <w:tcPr>
            <w:tcW w:w="6718" w:type="dxa"/>
          </w:tcPr>
          <w:p w14:paraId="3BAB7E76" w14:textId="12AB454A" w:rsidR="00100A4B" w:rsidRPr="00A93673" w:rsidRDefault="001F64D5" w:rsidP="00E25EF5">
            <w:pPr>
              <w:pStyle w:val="ListParagraph"/>
              <w:numPr>
                <w:ilvl w:val="0"/>
                <w:numId w:val="36"/>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3673">
              <w:rPr>
                <w:rFonts w:ascii="Times New Roman" w:hAnsi="Times New Roman" w:cs="Times New Roman"/>
                <w:sz w:val="20"/>
                <w:szCs w:val="20"/>
              </w:rPr>
              <w:t>ES ETS e</w:t>
            </w:r>
            <w:r w:rsidR="00100A4B" w:rsidRPr="00A93673">
              <w:rPr>
                <w:rFonts w:ascii="Times New Roman" w:hAnsi="Times New Roman" w:cs="Times New Roman"/>
                <w:sz w:val="20"/>
                <w:szCs w:val="20"/>
              </w:rPr>
              <w:t xml:space="preserve">lektroenerģijas ražotājiem nav iespēja pieteikties </w:t>
            </w:r>
            <w:proofErr w:type="spellStart"/>
            <w:r w:rsidR="00100A4B" w:rsidRPr="00A93673">
              <w:rPr>
                <w:rFonts w:ascii="Times New Roman" w:hAnsi="Times New Roman" w:cs="Times New Roman"/>
                <w:sz w:val="20"/>
                <w:szCs w:val="20"/>
              </w:rPr>
              <w:t>derogācijas</w:t>
            </w:r>
            <w:proofErr w:type="spellEnd"/>
            <w:r w:rsidR="00100A4B" w:rsidRPr="00A93673">
              <w:rPr>
                <w:rFonts w:ascii="Times New Roman" w:hAnsi="Times New Roman" w:cs="Times New Roman"/>
                <w:sz w:val="20"/>
                <w:szCs w:val="20"/>
              </w:rPr>
              <w:t xml:space="preserve"> kārtā </w:t>
            </w:r>
            <w:r w:rsidR="00EA5A26" w:rsidRPr="00A93673">
              <w:rPr>
                <w:rFonts w:ascii="Times New Roman" w:hAnsi="Times New Roman" w:cs="Times New Roman"/>
                <w:sz w:val="20"/>
                <w:szCs w:val="20"/>
              </w:rPr>
              <w:t xml:space="preserve">piešķiramajām </w:t>
            </w:r>
            <w:r w:rsidR="00100A4B" w:rsidRPr="00A93673">
              <w:rPr>
                <w:rFonts w:ascii="Times New Roman" w:hAnsi="Times New Roman" w:cs="Times New Roman"/>
                <w:sz w:val="20"/>
                <w:szCs w:val="20"/>
              </w:rPr>
              <w:t xml:space="preserve">bezmaksas </w:t>
            </w:r>
            <w:r w:rsidR="00EA5A26" w:rsidRPr="00A93673">
              <w:rPr>
                <w:rFonts w:ascii="Times New Roman" w:hAnsi="Times New Roman" w:cs="Times New Roman"/>
                <w:sz w:val="20"/>
                <w:szCs w:val="20"/>
              </w:rPr>
              <w:t xml:space="preserve">emisijas </w:t>
            </w:r>
            <w:r w:rsidR="00100A4B" w:rsidRPr="00A93673">
              <w:rPr>
                <w:rFonts w:ascii="Times New Roman" w:hAnsi="Times New Roman" w:cs="Times New Roman"/>
                <w:sz w:val="20"/>
                <w:szCs w:val="20"/>
              </w:rPr>
              <w:t>kvotām</w:t>
            </w:r>
            <w:r w:rsidRPr="00A93673">
              <w:rPr>
                <w:rFonts w:ascii="Times New Roman" w:hAnsi="Times New Roman" w:cs="Times New Roman"/>
                <w:sz w:val="20"/>
                <w:szCs w:val="20"/>
              </w:rPr>
              <w:t xml:space="preserve"> un to </w:t>
            </w:r>
            <w:proofErr w:type="spellStart"/>
            <w:r w:rsidRPr="00A93673">
              <w:rPr>
                <w:rFonts w:ascii="Times New Roman" w:hAnsi="Times New Roman" w:cs="Times New Roman"/>
                <w:sz w:val="20"/>
                <w:szCs w:val="20"/>
              </w:rPr>
              <w:t>monetizēto</w:t>
            </w:r>
            <w:proofErr w:type="spellEnd"/>
            <w:r w:rsidRPr="00A93673">
              <w:rPr>
                <w:rFonts w:ascii="Times New Roman" w:hAnsi="Times New Roman" w:cs="Times New Roman"/>
                <w:sz w:val="20"/>
                <w:szCs w:val="20"/>
              </w:rPr>
              <w:t xml:space="preserve"> vērtību izmantot iekārtu modernizēšanas finansēšanai un SEG emisiju samazināšanai.</w:t>
            </w:r>
          </w:p>
        </w:tc>
      </w:tr>
      <w:tr w:rsidR="00562800" w:rsidRPr="00F50FF9" w14:paraId="2C874222" w14:textId="77777777" w:rsidTr="00A00AF5">
        <w:tc>
          <w:tcPr>
            <w:cnfStyle w:val="001000000000" w:firstRow="0" w:lastRow="0" w:firstColumn="1" w:lastColumn="0" w:oddVBand="0" w:evenVBand="0" w:oddHBand="0" w:evenHBand="0" w:firstRowFirstColumn="0" w:firstRowLastColumn="0" w:lastRowFirstColumn="0" w:lastRowLastColumn="0"/>
            <w:tcW w:w="2127" w:type="dxa"/>
          </w:tcPr>
          <w:p w14:paraId="7385F9A8" w14:textId="4F8DEA1E" w:rsidR="00100A4B" w:rsidRPr="00F50FF9" w:rsidRDefault="00100A4B" w:rsidP="00A93673">
            <w:pPr>
              <w:rPr>
                <w:rFonts w:ascii="Times New Roman" w:hAnsi="Times New Roman" w:cs="Times New Roman"/>
                <w:sz w:val="20"/>
                <w:szCs w:val="20"/>
              </w:rPr>
            </w:pPr>
            <w:r w:rsidRPr="00F50FF9">
              <w:rPr>
                <w:rFonts w:ascii="Times New Roman" w:hAnsi="Times New Roman" w:cs="Times New Roman"/>
                <w:sz w:val="20"/>
                <w:szCs w:val="20"/>
              </w:rPr>
              <w:t>2.</w:t>
            </w:r>
            <w:r w:rsidR="00E42818">
              <w:rPr>
                <w:rFonts w:ascii="Times New Roman" w:hAnsi="Times New Roman" w:cs="Times New Roman"/>
                <w:sz w:val="20"/>
                <w:szCs w:val="20"/>
              </w:rPr>
              <w:t> </w:t>
            </w:r>
            <w:r w:rsidRPr="00F50FF9">
              <w:rPr>
                <w:rFonts w:ascii="Times New Roman" w:hAnsi="Times New Roman" w:cs="Times New Roman"/>
                <w:sz w:val="20"/>
                <w:szCs w:val="20"/>
              </w:rPr>
              <w:t xml:space="preserve">scenārijs – </w:t>
            </w:r>
            <w:proofErr w:type="spellStart"/>
            <w:r w:rsidRPr="00A93673">
              <w:rPr>
                <w:rFonts w:ascii="Times New Roman" w:hAnsi="Times New Roman" w:cs="Times New Roman"/>
                <w:sz w:val="20"/>
                <w:szCs w:val="20"/>
              </w:rPr>
              <w:t>derogācijas</w:t>
            </w:r>
            <w:proofErr w:type="spellEnd"/>
            <w:r w:rsidRPr="00A93673">
              <w:rPr>
                <w:rFonts w:ascii="Times New Roman" w:hAnsi="Times New Roman" w:cs="Times New Roman"/>
                <w:sz w:val="20"/>
                <w:szCs w:val="20"/>
              </w:rPr>
              <w:t xml:space="preserve"> </w:t>
            </w:r>
            <w:r w:rsidR="00A93673" w:rsidRPr="00A93673">
              <w:rPr>
                <w:rFonts w:ascii="Times New Roman" w:hAnsi="Times New Roman" w:cs="Times New Roman"/>
                <w:sz w:val="20"/>
                <w:szCs w:val="20"/>
              </w:rPr>
              <w:t>scenārijs</w:t>
            </w:r>
          </w:p>
        </w:tc>
        <w:tc>
          <w:tcPr>
            <w:tcW w:w="5103" w:type="dxa"/>
          </w:tcPr>
          <w:p w14:paraId="75C7A767" w14:textId="58FC3091" w:rsidR="00100A4B" w:rsidRPr="00A93673" w:rsidRDefault="001F64D5" w:rsidP="00E25EF5">
            <w:pPr>
              <w:pStyle w:val="ListParagraph"/>
              <w:numPr>
                <w:ilvl w:val="0"/>
                <w:numId w:val="38"/>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3673">
              <w:rPr>
                <w:rFonts w:ascii="Times New Roman" w:hAnsi="Times New Roman" w:cs="Times New Roman"/>
                <w:sz w:val="20"/>
                <w:szCs w:val="20"/>
              </w:rPr>
              <w:t>ES ETS e</w:t>
            </w:r>
            <w:r w:rsidR="00100A4B" w:rsidRPr="00A93673">
              <w:rPr>
                <w:rFonts w:ascii="Times New Roman" w:hAnsi="Times New Roman" w:cs="Times New Roman"/>
                <w:sz w:val="20"/>
                <w:szCs w:val="20"/>
              </w:rPr>
              <w:t xml:space="preserve">lektroenerģijas </w:t>
            </w:r>
            <w:r w:rsidRPr="00A93673">
              <w:rPr>
                <w:rFonts w:ascii="Times New Roman" w:hAnsi="Times New Roman" w:cs="Times New Roman"/>
                <w:sz w:val="20"/>
                <w:szCs w:val="20"/>
              </w:rPr>
              <w:t xml:space="preserve">ražotājiem ir iespēja pieteikties </w:t>
            </w:r>
            <w:proofErr w:type="spellStart"/>
            <w:r w:rsidRPr="00A93673">
              <w:rPr>
                <w:rFonts w:ascii="Times New Roman" w:hAnsi="Times New Roman" w:cs="Times New Roman"/>
                <w:sz w:val="20"/>
                <w:szCs w:val="20"/>
              </w:rPr>
              <w:t>derogācijas</w:t>
            </w:r>
            <w:proofErr w:type="spellEnd"/>
            <w:r w:rsidRPr="00A93673">
              <w:rPr>
                <w:rFonts w:ascii="Times New Roman" w:hAnsi="Times New Roman" w:cs="Times New Roman"/>
                <w:sz w:val="20"/>
                <w:szCs w:val="20"/>
              </w:rPr>
              <w:t xml:space="preserve"> kārtā piešķiramajām bezmaksas emisijas kvotām un to </w:t>
            </w:r>
            <w:proofErr w:type="spellStart"/>
            <w:r w:rsidRPr="00A93673">
              <w:rPr>
                <w:rFonts w:ascii="Times New Roman" w:hAnsi="Times New Roman" w:cs="Times New Roman"/>
                <w:sz w:val="20"/>
                <w:szCs w:val="20"/>
              </w:rPr>
              <w:t>monetizēto</w:t>
            </w:r>
            <w:proofErr w:type="spellEnd"/>
            <w:r w:rsidRPr="00A93673">
              <w:rPr>
                <w:rFonts w:ascii="Times New Roman" w:hAnsi="Times New Roman" w:cs="Times New Roman"/>
                <w:sz w:val="20"/>
                <w:szCs w:val="20"/>
              </w:rPr>
              <w:t xml:space="preserve"> vērtību izmantot iekārtu modernizēšanas finansēšanai un SEG emisiju samazināšanai. </w:t>
            </w:r>
          </w:p>
        </w:tc>
        <w:tc>
          <w:tcPr>
            <w:tcW w:w="6718" w:type="dxa"/>
          </w:tcPr>
          <w:p w14:paraId="076E008D" w14:textId="30AC12BC" w:rsidR="00100A4B" w:rsidRPr="00A93673" w:rsidRDefault="00100A4B" w:rsidP="00F50FF9">
            <w:pPr>
              <w:pStyle w:val="ListParagraph"/>
              <w:numPr>
                <w:ilvl w:val="0"/>
                <w:numId w:val="37"/>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3673">
              <w:rPr>
                <w:rFonts w:ascii="Times New Roman" w:hAnsi="Times New Roman" w:cs="Times New Roman"/>
                <w:sz w:val="20"/>
                <w:szCs w:val="20"/>
              </w:rPr>
              <w:t xml:space="preserve">Tiek samazināts </w:t>
            </w:r>
            <w:r w:rsidR="00A77EA9" w:rsidRPr="00A93673">
              <w:rPr>
                <w:rFonts w:ascii="Times New Roman" w:hAnsi="Times New Roman" w:cs="Times New Roman"/>
                <w:sz w:val="20"/>
                <w:szCs w:val="20"/>
              </w:rPr>
              <w:t xml:space="preserve">Latvijas </w:t>
            </w:r>
            <w:r w:rsidRPr="00A93673">
              <w:rPr>
                <w:rFonts w:ascii="Times New Roman" w:hAnsi="Times New Roman" w:cs="Times New Roman"/>
                <w:sz w:val="20"/>
                <w:szCs w:val="20"/>
              </w:rPr>
              <w:t>izsolāmo emisijas kvot</w:t>
            </w:r>
            <w:r w:rsidR="00EA5A26" w:rsidRPr="00A93673">
              <w:rPr>
                <w:rFonts w:ascii="Times New Roman" w:hAnsi="Times New Roman" w:cs="Times New Roman"/>
                <w:sz w:val="20"/>
                <w:szCs w:val="20"/>
              </w:rPr>
              <w:t xml:space="preserve">u apjoms </w:t>
            </w:r>
            <w:r w:rsidR="001F64D5" w:rsidRPr="00A93673">
              <w:rPr>
                <w:rFonts w:ascii="Times New Roman" w:hAnsi="Times New Roman" w:cs="Times New Roman"/>
                <w:sz w:val="20"/>
                <w:szCs w:val="20"/>
              </w:rPr>
              <w:t xml:space="preserve"> un atbilstoši samazinās arī </w:t>
            </w:r>
            <w:r w:rsidR="00EA5A26" w:rsidRPr="00A93673">
              <w:rPr>
                <w:rFonts w:ascii="Times New Roman" w:hAnsi="Times New Roman" w:cs="Times New Roman"/>
                <w:sz w:val="20"/>
                <w:szCs w:val="20"/>
              </w:rPr>
              <w:t xml:space="preserve">nacionālās budžeta programmas EKII </w:t>
            </w:r>
            <w:r w:rsidR="001F64D5" w:rsidRPr="00A93673">
              <w:rPr>
                <w:rFonts w:ascii="Times New Roman" w:hAnsi="Times New Roman" w:cs="Times New Roman"/>
                <w:sz w:val="20"/>
                <w:szCs w:val="20"/>
              </w:rPr>
              <w:t xml:space="preserve">finansējums </w:t>
            </w:r>
            <w:r w:rsidR="00A77EA9" w:rsidRPr="00A93673">
              <w:rPr>
                <w:rFonts w:ascii="Times New Roman" w:hAnsi="Times New Roman" w:cs="Times New Roman"/>
                <w:sz w:val="20"/>
                <w:szCs w:val="20"/>
              </w:rPr>
              <w:t>, iespējas finansēt projektu iesniegumu konkursus EKII ietvaros</w:t>
            </w:r>
            <w:r w:rsidR="001F64D5" w:rsidRPr="00A93673">
              <w:rPr>
                <w:rFonts w:ascii="Times New Roman" w:hAnsi="Times New Roman" w:cs="Times New Roman"/>
                <w:sz w:val="20"/>
                <w:szCs w:val="20"/>
              </w:rPr>
              <w:t>.</w:t>
            </w:r>
          </w:p>
          <w:p w14:paraId="2217C484" w14:textId="58CEED26" w:rsidR="00100A4B" w:rsidRPr="00A93673" w:rsidRDefault="001F64D5" w:rsidP="00F50FF9">
            <w:pPr>
              <w:pStyle w:val="ListParagraph"/>
              <w:numPr>
                <w:ilvl w:val="0"/>
                <w:numId w:val="37"/>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3673">
              <w:rPr>
                <w:rFonts w:ascii="Times New Roman" w:hAnsi="Times New Roman" w:cs="Times New Roman"/>
                <w:sz w:val="20"/>
                <w:szCs w:val="20"/>
              </w:rPr>
              <w:t>Papildus a</w:t>
            </w:r>
            <w:r w:rsidR="00100A4B" w:rsidRPr="00A93673">
              <w:rPr>
                <w:rFonts w:ascii="Times New Roman" w:hAnsi="Times New Roman" w:cs="Times New Roman"/>
                <w:sz w:val="20"/>
                <w:szCs w:val="20"/>
              </w:rPr>
              <w:t xml:space="preserve">dministratīvais slogs saskaņā ar ierobežoto  laika grafiku </w:t>
            </w:r>
            <w:r w:rsidRPr="00A93673">
              <w:rPr>
                <w:rFonts w:ascii="Times New Roman" w:hAnsi="Times New Roman" w:cs="Times New Roman"/>
                <w:sz w:val="20"/>
                <w:szCs w:val="20"/>
              </w:rPr>
              <w:t xml:space="preserve">izstrādāt </w:t>
            </w:r>
            <w:r w:rsidR="00100A4B" w:rsidRPr="00A93673">
              <w:rPr>
                <w:rFonts w:ascii="Times New Roman" w:hAnsi="Times New Roman" w:cs="Times New Roman"/>
                <w:sz w:val="20"/>
                <w:szCs w:val="20"/>
              </w:rPr>
              <w:t>detalizētu</w:t>
            </w:r>
            <w:r w:rsidRPr="00A93673">
              <w:rPr>
                <w:rFonts w:ascii="Times New Roman" w:hAnsi="Times New Roman" w:cs="Times New Roman"/>
                <w:sz w:val="20"/>
                <w:szCs w:val="20"/>
              </w:rPr>
              <w:t>s</w:t>
            </w:r>
            <w:r w:rsidR="00100A4B" w:rsidRPr="00A93673">
              <w:rPr>
                <w:rFonts w:ascii="Times New Roman" w:hAnsi="Times New Roman" w:cs="Times New Roman"/>
                <w:sz w:val="20"/>
                <w:szCs w:val="20"/>
              </w:rPr>
              <w:t xml:space="preserve"> nosacījumu</w:t>
            </w:r>
            <w:r w:rsidRPr="00A93673">
              <w:rPr>
                <w:rFonts w:ascii="Times New Roman" w:hAnsi="Times New Roman" w:cs="Times New Roman"/>
                <w:sz w:val="20"/>
                <w:szCs w:val="20"/>
              </w:rPr>
              <w:t>s</w:t>
            </w:r>
            <w:r w:rsidR="00100A4B" w:rsidRPr="00A93673">
              <w:rPr>
                <w:rFonts w:ascii="Times New Roman" w:hAnsi="Times New Roman" w:cs="Times New Roman"/>
                <w:sz w:val="20"/>
                <w:szCs w:val="20"/>
              </w:rPr>
              <w:t xml:space="preserve"> un </w:t>
            </w:r>
            <w:r w:rsidRPr="00A93673">
              <w:rPr>
                <w:rFonts w:ascii="Times New Roman" w:hAnsi="Times New Roman" w:cs="Times New Roman"/>
                <w:sz w:val="20"/>
                <w:szCs w:val="20"/>
              </w:rPr>
              <w:t xml:space="preserve">informāciju </w:t>
            </w:r>
            <w:r w:rsidR="00100A4B" w:rsidRPr="00A93673">
              <w:rPr>
                <w:rFonts w:ascii="Times New Roman" w:hAnsi="Times New Roman" w:cs="Times New Roman"/>
                <w:sz w:val="20"/>
                <w:szCs w:val="20"/>
              </w:rPr>
              <w:t>iesniegšanai EK</w:t>
            </w:r>
            <w:r w:rsidR="00EA5A26" w:rsidRPr="00A93673">
              <w:rPr>
                <w:rFonts w:ascii="Times New Roman" w:hAnsi="Times New Roman" w:cs="Times New Roman"/>
                <w:sz w:val="20"/>
                <w:szCs w:val="20"/>
              </w:rPr>
              <w:t xml:space="preserve"> </w:t>
            </w:r>
            <w:r w:rsidRPr="00A93673">
              <w:rPr>
                <w:rFonts w:ascii="Times New Roman" w:hAnsi="Times New Roman" w:cs="Times New Roman"/>
                <w:sz w:val="20"/>
                <w:szCs w:val="20"/>
              </w:rPr>
              <w:t xml:space="preserve">saistībā ar </w:t>
            </w:r>
            <w:proofErr w:type="spellStart"/>
            <w:r w:rsidRPr="00A93673">
              <w:rPr>
                <w:rFonts w:ascii="Times New Roman" w:hAnsi="Times New Roman" w:cs="Times New Roman"/>
                <w:sz w:val="20"/>
                <w:szCs w:val="20"/>
              </w:rPr>
              <w:t>derogācijas</w:t>
            </w:r>
            <w:proofErr w:type="spellEnd"/>
            <w:r w:rsidRPr="00A93673">
              <w:rPr>
                <w:rFonts w:ascii="Times New Roman" w:hAnsi="Times New Roman" w:cs="Times New Roman"/>
                <w:sz w:val="20"/>
                <w:szCs w:val="20"/>
              </w:rPr>
              <w:t xml:space="preserve"> piemērošanu </w:t>
            </w:r>
            <w:r w:rsidR="00EA5A26" w:rsidRPr="00A93673">
              <w:rPr>
                <w:rFonts w:ascii="Times New Roman" w:hAnsi="Times New Roman" w:cs="Times New Roman"/>
                <w:sz w:val="20"/>
                <w:szCs w:val="20"/>
              </w:rPr>
              <w:t>(t.sk. konkursa nolikuma izstrāde)</w:t>
            </w:r>
          </w:p>
          <w:p w14:paraId="04DAC4A3" w14:textId="156CB20F" w:rsidR="00100A4B" w:rsidRPr="00A93673" w:rsidRDefault="001F64D5" w:rsidP="00F50FF9">
            <w:pPr>
              <w:pStyle w:val="ListParagraph"/>
              <w:numPr>
                <w:ilvl w:val="0"/>
                <w:numId w:val="37"/>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3673">
              <w:rPr>
                <w:rFonts w:ascii="Times New Roman" w:hAnsi="Times New Roman" w:cs="Times New Roman"/>
                <w:sz w:val="20"/>
                <w:szCs w:val="20"/>
              </w:rPr>
              <w:t>Ļoti i</w:t>
            </w:r>
            <w:r w:rsidR="00100A4B" w:rsidRPr="00A93673">
              <w:rPr>
                <w:rFonts w:ascii="Times New Roman" w:hAnsi="Times New Roman" w:cs="Times New Roman"/>
                <w:sz w:val="20"/>
                <w:szCs w:val="20"/>
              </w:rPr>
              <w:t>erobežots (ES ETS sistēmas dalībnieki – elektroenerģijas ražotāji) finansējuma saņēmēju loks</w:t>
            </w:r>
            <w:r w:rsidRPr="00A93673">
              <w:rPr>
                <w:rFonts w:ascii="Times New Roman" w:hAnsi="Times New Roman" w:cs="Times New Roman"/>
                <w:sz w:val="20"/>
                <w:szCs w:val="20"/>
              </w:rPr>
              <w:t>, kas turklāt ir jau saņēmuši dažāda veida atbalstu iekārtu modernizēšanai un minimāli izmanto fosilos energoresursus, kā rezultātā papildus vajadzības jaunām investīcijām ir ierobežotas.</w:t>
            </w:r>
          </w:p>
          <w:p w14:paraId="66558206" w14:textId="55DBB374" w:rsidR="0000003E" w:rsidRPr="00A93673" w:rsidRDefault="00A77EA9" w:rsidP="00F50FF9">
            <w:pPr>
              <w:pStyle w:val="ListParagraph"/>
              <w:numPr>
                <w:ilvl w:val="0"/>
                <w:numId w:val="37"/>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3673">
              <w:rPr>
                <w:rFonts w:ascii="Times New Roman" w:hAnsi="Times New Roman" w:cs="Times New Roman"/>
                <w:sz w:val="20"/>
                <w:szCs w:val="20"/>
              </w:rPr>
              <w:t>Finansējuma izmantošanas prasības ierobežo ES likumdošana, t.sk. m</w:t>
            </w:r>
            <w:r w:rsidR="00100A4B" w:rsidRPr="00A93673">
              <w:rPr>
                <w:rFonts w:ascii="Times New Roman" w:hAnsi="Times New Roman" w:cs="Times New Roman"/>
                <w:sz w:val="20"/>
                <w:szCs w:val="20"/>
              </w:rPr>
              <w:t xml:space="preserve">aksimālais </w:t>
            </w:r>
            <w:r w:rsidRPr="00A93673">
              <w:rPr>
                <w:rFonts w:ascii="Times New Roman" w:hAnsi="Times New Roman" w:cs="Times New Roman"/>
                <w:sz w:val="20"/>
                <w:szCs w:val="20"/>
              </w:rPr>
              <w:t xml:space="preserve">atbalsta </w:t>
            </w:r>
            <w:r w:rsidR="00100A4B" w:rsidRPr="00A93673">
              <w:rPr>
                <w:rFonts w:ascii="Times New Roman" w:hAnsi="Times New Roman" w:cs="Times New Roman"/>
                <w:sz w:val="20"/>
                <w:szCs w:val="20"/>
              </w:rPr>
              <w:t xml:space="preserve">līmenis </w:t>
            </w:r>
            <w:r w:rsidRPr="00A93673">
              <w:rPr>
                <w:rFonts w:ascii="Times New Roman" w:hAnsi="Times New Roman" w:cs="Times New Roman"/>
                <w:sz w:val="20"/>
                <w:szCs w:val="20"/>
              </w:rPr>
              <w:t xml:space="preserve">iekārtām </w:t>
            </w:r>
            <w:r w:rsidR="00100A4B" w:rsidRPr="00A93673">
              <w:rPr>
                <w:rFonts w:ascii="Times New Roman" w:hAnsi="Times New Roman" w:cs="Times New Roman"/>
                <w:sz w:val="20"/>
                <w:szCs w:val="20"/>
              </w:rPr>
              <w:t>70</w:t>
            </w:r>
            <w:r w:rsidRPr="00A93673">
              <w:rPr>
                <w:rFonts w:ascii="Times New Roman" w:hAnsi="Times New Roman" w:cs="Times New Roman"/>
                <w:sz w:val="20"/>
                <w:szCs w:val="20"/>
              </w:rPr>
              <w:t xml:space="preserve">% un pārējās </w:t>
            </w:r>
            <w:r w:rsidR="00100A4B" w:rsidRPr="00A93673">
              <w:rPr>
                <w:rFonts w:ascii="Times New Roman" w:hAnsi="Times New Roman" w:cs="Times New Roman"/>
                <w:sz w:val="20"/>
                <w:szCs w:val="20"/>
              </w:rPr>
              <w:t>izmaksas jāsedz no privātā sektora</w:t>
            </w:r>
          </w:p>
          <w:p w14:paraId="6511F855" w14:textId="5E1E832D" w:rsidR="00AF002F" w:rsidRPr="00A93673" w:rsidRDefault="00E622F9" w:rsidP="00E25EF5">
            <w:pPr>
              <w:pStyle w:val="ListParagraph"/>
              <w:numPr>
                <w:ilvl w:val="0"/>
                <w:numId w:val="37"/>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3673">
              <w:rPr>
                <w:rFonts w:ascii="Times New Roman" w:hAnsi="Times New Roman" w:cs="Times New Roman"/>
                <w:sz w:val="20"/>
                <w:szCs w:val="20"/>
              </w:rPr>
              <w:t>A</w:t>
            </w:r>
            <w:r w:rsidR="00AF002F" w:rsidRPr="00A93673">
              <w:rPr>
                <w:rFonts w:ascii="Times New Roman" w:hAnsi="Times New Roman" w:cs="Times New Roman"/>
                <w:sz w:val="20"/>
                <w:szCs w:val="20"/>
              </w:rPr>
              <w:t>tbalsts tiek sniegts bezmaksas kvotu piešķīruma veidā</w:t>
            </w:r>
            <w:r w:rsidR="001F64D5" w:rsidRPr="00A93673">
              <w:rPr>
                <w:rFonts w:ascii="Times New Roman" w:hAnsi="Times New Roman" w:cs="Times New Roman"/>
                <w:sz w:val="20"/>
                <w:szCs w:val="20"/>
              </w:rPr>
              <w:t xml:space="preserve"> nevis piešķirot konkrētu finansējumu apjomu</w:t>
            </w:r>
            <w:r w:rsidR="00A77EA9" w:rsidRPr="00A93673">
              <w:rPr>
                <w:rFonts w:ascii="Times New Roman" w:hAnsi="Times New Roman" w:cs="Times New Roman"/>
                <w:sz w:val="20"/>
                <w:szCs w:val="20"/>
              </w:rPr>
              <w:t>,</w:t>
            </w:r>
            <w:r w:rsidR="001F64D5" w:rsidRPr="00A93673">
              <w:rPr>
                <w:rFonts w:ascii="Times New Roman" w:hAnsi="Times New Roman" w:cs="Times New Roman"/>
                <w:sz w:val="20"/>
                <w:szCs w:val="20"/>
              </w:rPr>
              <w:t xml:space="preserve"> un t</w:t>
            </w:r>
            <w:r w:rsidR="00AF002F" w:rsidRPr="00A93673">
              <w:rPr>
                <w:rFonts w:ascii="Times New Roman" w:hAnsi="Times New Roman" w:cs="Times New Roman"/>
                <w:sz w:val="20"/>
                <w:szCs w:val="20"/>
              </w:rPr>
              <w:t xml:space="preserve">as var radīt neatbilstības starp reālajām projektu investīcijām un mirkli, kad </w:t>
            </w:r>
            <w:r w:rsidR="001F64D5" w:rsidRPr="00A93673">
              <w:rPr>
                <w:rFonts w:ascii="Times New Roman" w:hAnsi="Times New Roman" w:cs="Times New Roman"/>
                <w:sz w:val="20"/>
                <w:szCs w:val="20"/>
              </w:rPr>
              <w:t xml:space="preserve">tiek </w:t>
            </w:r>
            <w:proofErr w:type="spellStart"/>
            <w:r w:rsidR="001F64D5" w:rsidRPr="00A93673">
              <w:rPr>
                <w:rFonts w:ascii="Times New Roman" w:hAnsi="Times New Roman" w:cs="Times New Roman"/>
                <w:sz w:val="20"/>
                <w:szCs w:val="20"/>
              </w:rPr>
              <w:t>monetizētas</w:t>
            </w:r>
            <w:proofErr w:type="spellEnd"/>
            <w:r w:rsidR="001F64D5" w:rsidRPr="00A93673">
              <w:rPr>
                <w:rFonts w:ascii="Times New Roman" w:hAnsi="Times New Roman" w:cs="Times New Roman"/>
                <w:sz w:val="20"/>
                <w:szCs w:val="20"/>
              </w:rPr>
              <w:t xml:space="preserve"> </w:t>
            </w:r>
            <w:r w:rsidR="00AF002F" w:rsidRPr="00A93673">
              <w:rPr>
                <w:rFonts w:ascii="Times New Roman" w:hAnsi="Times New Roman" w:cs="Times New Roman"/>
                <w:sz w:val="20"/>
                <w:szCs w:val="20"/>
              </w:rPr>
              <w:t>emisijas kvot</w:t>
            </w:r>
            <w:r w:rsidR="001F64D5" w:rsidRPr="00A93673">
              <w:rPr>
                <w:rFonts w:ascii="Times New Roman" w:hAnsi="Times New Roman" w:cs="Times New Roman"/>
                <w:sz w:val="20"/>
                <w:szCs w:val="20"/>
              </w:rPr>
              <w:t>as</w:t>
            </w:r>
            <w:r w:rsidR="00AF002F" w:rsidRPr="00A93673">
              <w:rPr>
                <w:rFonts w:ascii="Times New Roman" w:hAnsi="Times New Roman" w:cs="Times New Roman"/>
                <w:sz w:val="20"/>
                <w:szCs w:val="20"/>
              </w:rPr>
              <w:t>.</w:t>
            </w:r>
          </w:p>
          <w:p w14:paraId="09F58F4D" w14:textId="115672DE" w:rsidR="00A77EA9" w:rsidRPr="00A93673" w:rsidRDefault="00A77EA9" w:rsidP="00E25EF5">
            <w:pPr>
              <w:pStyle w:val="ListParagraph"/>
              <w:numPr>
                <w:ilvl w:val="0"/>
                <w:numId w:val="37"/>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3673">
              <w:rPr>
                <w:rFonts w:ascii="Times New Roman" w:hAnsi="Times New Roman" w:cs="Times New Roman"/>
                <w:sz w:val="20"/>
                <w:szCs w:val="20"/>
              </w:rPr>
              <w:t xml:space="preserve">Neskaidrība par </w:t>
            </w:r>
            <w:proofErr w:type="spellStart"/>
            <w:r w:rsidRPr="00A93673">
              <w:rPr>
                <w:rFonts w:ascii="Times New Roman" w:hAnsi="Times New Roman" w:cs="Times New Roman"/>
                <w:sz w:val="20"/>
                <w:szCs w:val="20"/>
              </w:rPr>
              <w:t>derogācijas</w:t>
            </w:r>
            <w:proofErr w:type="spellEnd"/>
            <w:r w:rsidRPr="00A93673">
              <w:rPr>
                <w:rFonts w:ascii="Times New Roman" w:hAnsi="Times New Roman" w:cs="Times New Roman"/>
                <w:sz w:val="20"/>
                <w:szCs w:val="20"/>
              </w:rPr>
              <w:t xml:space="preserve"> piemērošanas ietekmi uz OIK instrumenta pārskatīšanas procesu.</w:t>
            </w:r>
          </w:p>
        </w:tc>
      </w:tr>
    </w:tbl>
    <w:p w14:paraId="0D73D769" w14:textId="077C5D67" w:rsidR="00100A4B" w:rsidRDefault="00100A4B" w:rsidP="00562800">
      <w:pPr>
        <w:rPr>
          <w:rFonts w:ascii="Times New Roman" w:hAnsi="Times New Roman" w:cs="Times New Roman"/>
          <w:sz w:val="24"/>
          <w:szCs w:val="24"/>
        </w:rPr>
        <w:sectPr w:rsidR="00100A4B" w:rsidSect="00100A4B">
          <w:pgSz w:w="16838" w:h="11906" w:orient="landscape"/>
          <w:pgMar w:top="1797" w:right="1440" w:bottom="1797" w:left="1440" w:header="709" w:footer="709" w:gutter="0"/>
          <w:cols w:space="708"/>
          <w:titlePg/>
          <w:docGrid w:linePitch="360"/>
        </w:sectPr>
      </w:pPr>
    </w:p>
    <w:p w14:paraId="1BDDD73C" w14:textId="77777777" w:rsidR="006C2526" w:rsidRPr="001F3165" w:rsidRDefault="003E5B3B" w:rsidP="001D7EE2">
      <w:pPr>
        <w:pStyle w:val="Heading1"/>
        <w:spacing w:before="0" w:after="0" w:line="259" w:lineRule="auto"/>
        <w:rPr>
          <w:rFonts w:cs="Times New Roman"/>
          <w:b w:val="0"/>
          <w:szCs w:val="24"/>
        </w:rPr>
      </w:pPr>
      <w:bookmarkStart w:id="10" w:name="_Toc5694316"/>
      <w:r>
        <w:lastRenderedPageBreak/>
        <w:t>IV</w:t>
      </w:r>
      <w:r w:rsidR="001F3165" w:rsidRPr="003E5B3B">
        <w:t xml:space="preserve"> Ietekme uz problēmas risināšanu</w:t>
      </w:r>
      <w:bookmarkEnd w:id="10"/>
    </w:p>
    <w:p w14:paraId="2896DBF0" w14:textId="77777777" w:rsidR="00F01F7E" w:rsidRDefault="00F01F7E" w:rsidP="00F01F7E">
      <w:pPr>
        <w:spacing w:after="0"/>
        <w:ind w:right="-625" w:firstLine="567"/>
        <w:jc w:val="both"/>
        <w:rPr>
          <w:rFonts w:ascii="Times New Roman" w:hAnsi="Times New Roman" w:cs="Times New Roman"/>
          <w:sz w:val="24"/>
          <w:szCs w:val="24"/>
        </w:rPr>
      </w:pPr>
      <w:r>
        <w:rPr>
          <w:rFonts w:ascii="Times New Roman" w:hAnsi="Times New Roman" w:cs="Times New Roman"/>
          <w:sz w:val="24"/>
          <w:szCs w:val="24"/>
        </w:rPr>
        <w:t>Saskaņā ar likuma “Par piesārņojumu” pārejas noteikumu 50. punktu Ministru kabinetam ir jāpieņem</w:t>
      </w:r>
      <w:r w:rsidRPr="00F01F7E">
        <w:rPr>
          <w:rFonts w:ascii="Times New Roman" w:hAnsi="Times New Roman" w:cs="Times New Roman"/>
          <w:sz w:val="24"/>
          <w:szCs w:val="24"/>
        </w:rPr>
        <w:t xml:space="preserve"> lēmumu atbalstīt bezmaksas emisijas kvotu piešķiršanu elektroenerģijas ražošanai vai lēmumu šādu p</w:t>
      </w:r>
      <w:r>
        <w:rPr>
          <w:rFonts w:ascii="Times New Roman" w:hAnsi="Times New Roman" w:cs="Times New Roman"/>
          <w:sz w:val="24"/>
          <w:szCs w:val="24"/>
        </w:rPr>
        <w:t>iešķiršanu neatbalstīt.</w:t>
      </w:r>
    </w:p>
    <w:p w14:paraId="7207257E" w14:textId="19811D7F" w:rsidR="00840C5D" w:rsidRDefault="001B7F81" w:rsidP="001D7EE2">
      <w:pPr>
        <w:spacing w:after="0"/>
        <w:ind w:right="-625" w:firstLine="567"/>
        <w:jc w:val="both"/>
        <w:rPr>
          <w:rFonts w:ascii="Times New Roman" w:hAnsi="Times New Roman" w:cs="Times New Roman"/>
          <w:sz w:val="24"/>
          <w:szCs w:val="24"/>
        </w:rPr>
      </w:pPr>
      <w:r>
        <w:rPr>
          <w:rFonts w:ascii="Times New Roman" w:hAnsi="Times New Roman" w:cs="Times New Roman"/>
          <w:sz w:val="24"/>
          <w:szCs w:val="24"/>
        </w:rPr>
        <w:t>III nodaļā identificētie risinājuma varianti nodrošinātu likuma “Par piesārņojumu”</w:t>
      </w:r>
      <w:r w:rsidR="00CA4A1A">
        <w:rPr>
          <w:rFonts w:ascii="Times New Roman" w:hAnsi="Times New Roman" w:cs="Times New Roman"/>
          <w:sz w:val="24"/>
          <w:szCs w:val="24"/>
        </w:rPr>
        <w:t xml:space="preserve"> pārejas noteikumu 50. punktā</w:t>
      </w:r>
      <w:r>
        <w:rPr>
          <w:rFonts w:ascii="Times New Roman" w:hAnsi="Times New Roman" w:cs="Times New Roman"/>
          <w:sz w:val="24"/>
          <w:szCs w:val="24"/>
        </w:rPr>
        <w:t xml:space="preserve"> dotā uzdevuma izpildi, taču, šī ziņojuma kontekstā būtiskākais ir identificēt </w:t>
      </w:r>
      <w:r w:rsidRPr="00100A4B">
        <w:rPr>
          <w:rFonts w:ascii="Times New Roman" w:hAnsi="Times New Roman" w:cs="Times New Roman"/>
          <w:sz w:val="24"/>
          <w:szCs w:val="24"/>
        </w:rPr>
        <w:t xml:space="preserve">Latvijai visizdevīgāko no tiem. VARAM ieskatā,  ņemot </w:t>
      </w:r>
      <w:r w:rsidR="00F01F7E" w:rsidRPr="00100A4B">
        <w:rPr>
          <w:rFonts w:ascii="Times New Roman" w:hAnsi="Times New Roman" w:cs="Times New Roman"/>
          <w:sz w:val="24"/>
          <w:szCs w:val="24"/>
        </w:rPr>
        <w:t xml:space="preserve">vērā </w:t>
      </w:r>
      <w:r w:rsidR="00100A4B" w:rsidRPr="00100A4B">
        <w:rPr>
          <w:rFonts w:ascii="Times New Roman" w:hAnsi="Times New Roman" w:cs="Times New Roman"/>
          <w:sz w:val="24"/>
          <w:szCs w:val="24"/>
        </w:rPr>
        <w:t xml:space="preserve">6. tabulā apskatītos priekšrocības un trūkumus, </w:t>
      </w:r>
      <w:r w:rsidRPr="00100A4B">
        <w:rPr>
          <w:rFonts w:ascii="Times New Roman" w:hAnsi="Times New Roman" w:cs="Times New Roman"/>
          <w:sz w:val="24"/>
          <w:szCs w:val="24"/>
        </w:rPr>
        <w:t xml:space="preserve">Latvijai kopumā visizdevīgākais ir </w:t>
      </w:r>
      <w:r w:rsidR="00350A33">
        <w:rPr>
          <w:rFonts w:ascii="Times New Roman" w:hAnsi="Times New Roman" w:cs="Times New Roman"/>
          <w:sz w:val="24"/>
          <w:szCs w:val="24"/>
        </w:rPr>
        <w:t>1.</w:t>
      </w:r>
      <w:r w:rsidR="00365733">
        <w:rPr>
          <w:rFonts w:ascii="Times New Roman" w:hAnsi="Times New Roman" w:cs="Times New Roman"/>
          <w:sz w:val="24"/>
          <w:szCs w:val="24"/>
        </w:rPr>
        <w:t> </w:t>
      </w:r>
      <w:r w:rsidR="00350A33">
        <w:rPr>
          <w:rFonts w:ascii="Times New Roman" w:hAnsi="Times New Roman" w:cs="Times New Roman"/>
          <w:sz w:val="24"/>
          <w:szCs w:val="24"/>
        </w:rPr>
        <w:t xml:space="preserve">scenārijs </w:t>
      </w:r>
      <w:r w:rsidR="00DE78F5" w:rsidRPr="00100A4B">
        <w:rPr>
          <w:rFonts w:ascii="Times New Roman" w:hAnsi="Times New Roman" w:cs="Times New Roman"/>
          <w:sz w:val="24"/>
          <w:szCs w:val="24"/>
        </w:rPr>
        <w:t>“</w:t>
      </w:r>
      <w:r w:rsidR="00564293">
        <w:rPr>
          <w:rFonts w:ascii="Times New Roman" w:hAnsi="Times New Roman" w:cs="Times New Roman"/>
          <w:sz w:val="24"/>
          <w:szCs w:val="24"/>
        </w:rPr>
        <w:t>bāzes scenārijs</w:t>
      </w:r>
      <w:r w:rsidR="00DE78F5" w:rsidRPr="00100A4B">
        <w:rPr>
          <w:rFonts w:ascii="Times New Roman" w:hAnsi="Times New Roman" w:cs="Times New Roman"/>
          <w:sz w:val="24"/>
          <w:szCs w:val="24"/>
        </w:rPr>
        <w:t>”</w:t>
      </w:r>
      <w:r w:rsidRPr="00100A4B">
        <w:rPr>
          <w:rFonts w:ascii="Times New Roman" w:hAnsi="Times New Roman" w:cs="Times New Roman"/>
          <w:sz w:val="24"/>
          <w:szCs w:val="24"/>
        </w:rPr>
        <w:t>.</w:t>
      </w:r>
      <w:r w:rsidR="00DE78F5" w:rsidRPr="00100A4B">
        <w:rPr>
          <w:rFonts w:ascii="Times New Roman" w:hAnsi="Times New Roman" w:cs="Times New Roman"/>
          <w:sz w:val="24"/>
          <w:szCs w:val="24"/>
        </w:rPr>
        <w:t xml:space="preserve"> </w:t>
      </w:r>
    </w:p>
    <w:p w14:paraId="6BFA37AA" w14:textId="77777777" w:rsidR="00365733" w:rsidRPr="00036854" w:rsidRDefault="00365733" w:rsidP="001D7EE2">
      <w:pPr>
        <w:spacing w:after="0"/>
        <w:ind w:right="-625" w:firstLine="567"/>
        <w:jc w:val="both"/>
        <w:rPr>
          <w:rFonts w:ascii="Times New Roman" w:hAnsi="Times New Roman" w:cs="Times New Roman"/>
          <w:sz w:val="24"/>
          <w:szCs w:val="24"/>
        </w:rPr>
      </w:pPr>
    </w:p>
    <w:p w14:paraId="17364797" w14:textId="77777777" w:rsidR="00833B82" w:rsidRPr="001F3165" w:rsidRDefault="001F3165" w:rsidP="00E25EF5">
      <w:pPr>
        <w:pStyle w:val="Heading1"/>
        <w:spacing w:before="0" w:after="0" w:line="259" w:lineRule="auto"/>
        <w:ind w:right="-760"/>
        <w:rPr>
          <w:rFonts w:cs="Times New Roman"/>
          <w:b w:val="0"/>
          <w:szCs w:val="24"/>
        </w:rPr>
      </w:pPr>
      <w:bookmarkStart w:id="11" w:name="_Toc5694317"/>
      <w:r w:rsidRPr="003E5B3B">
        <w:t xml:space="preserve">V </w:t>
      </w:r>
      <w:r w:rsidR="00264ED6" w:rsidRPr="003E5B3B">
        <w:t>P</w:t>
      </w:r>
      <w:r w:rsidRPr="003E5B3B">
        <w:t>iedāvātā risinājuma ietekme uz valsts un pašvaldību budžetu</w:t>
      </w:r>
      <w:bookmarkEnd w:id="11"/>
    </w:p>
    <w:p w14:paraId="1865263A" w14:textId="1CE4408E" w:rsidR="00DE78F5" w:rsidRPr="00A93673" w:rsidRDefault="002D7D8B" w:rsidP="00DE78F5">
      <w:pPr>
        <w:spacing w:after="0"/>
        <w:ind w:right="-625" w:firstLine="567"/>
        <w:jc w:val="both"/>
        <w:rPr>
          <w:rFonts w:ascii="Times New Roman" w:hAnsi="Times New Roman" w:cs="Times New Roman"/>
          <w:sz w:val="24"/>
          <w:szCs w:val="24"/>
        </w:rPr>
      </w:pPr>
      <w:r>
        <w:rPr>
          <w:rFonts w:ascii="Times New Roman" w:hAnsi="Times New Roman" w:cs="Times New Roman"/>
          <w:sz w:val="24"/>
          <w:szCs w:val="24"/>
        </w:rPr>
        <w:t xml:space="preserve">Lēmuma pieņemšana par bezmaksas emisijas kvotu nepiešķiršanu ES ETS ceturtajā periodā (2021. – 2030. gadā) neradīs </w:t>
      </w:r>
      <w:r w:rsidR="001B7F81">
        <w:rPr>
          <w:rFonts w:ascii="Times New Roman" w:hAnsi="Times New Roman" w:cs="Times New Roman"/>
          <w:sz w:val="24"/>
          <w:szCs w:val="24"/>
        </w:rPr>
        <w:t xml:space="preserve">nedz </w:t>
      </w:r>
      <w:r>
        <w:rPr>
          <w:rFonts w:ascii="Times New Roman" w:hAnsi="Times New Roman" w:cs="Times New Roman"/>
          <w:sz w:val="24"/>
          <w:szCs w:val="24"/>
        </w:rPr>
        <w:t>valsts budžeta</w:t>
      </w:r>
      <w:r w:rsidR="001B7F81">
        <w:rPr>
          <w:rFonts w:ascii="Times New Roman" w:hAnsi="Times New Roman" w:cs="Times New Roman"/>
          <w:sz w:val="24"/>
          <w:szCs w:val="24"/>
        </w:rPr>
        <w:t>, nedz pašvaldību budžeta</w:t>
      </w:r>
      <w:r>
        <w:rPr>
          <w:rFonts w:ascii="Times New Roman" w:hAnsi="Times New Roman" w:cs="Times New Roman"/>
          <w:sz w:val="24"/>
          <w:szCs w:val="24"/>
        </w:rPr>
        <w:t xml:space="preserve"> ieņēmumu samazinājumu</w:t>
      </w:r>
      <w:r w:rsidR="001B7F81">
        <w:rPr>
          <w:rFonts w:ascii="Times New Roman" w:hAnsi="Times New Roman" w:cs="Times New Roman"/>
          <w:sz w:val="24"/>
          <w:szCs w:val="24"/>
        </w:rPr>
        <w:t>. Gluži pretēji – Latvijas valsts budžeta EKII programmā turpinās regulāri ieplūst ieņēmumi no</w:t>
      </w:r>
      <w:r>
        <w:rPr>
          <w:rFonts w:ascii="Times New Roman" w:hAnsi="Times New Roman" w:cs="Times New Roman"/>
          <w:sz w:val="24"/>
          <w:szCs w:val="24"/>
        </w:rPr>
        <w:t xml:space="preserve"> Latvijai </w:t>
      </w:r>
      <w:r w:rsidR="001B7F81">
        <w:rPr>
          <w:rFonts w:ascii="Times New Roman" w:hAnsi="Times New Roman" w:cs="Times New Roman"/>
          <w:sz w:val="24"/>
          <w:szCs w:val="24"/>
        </w:rPr>
        <w:t xml:space="preserve">pieejamo emisijas kvotu </w:t>
      </w:r>
      <w:r>
        <w:rPr>
          <w:rFonts w:ascii="Times New Roman" w:hAnsi="Times New Roman" w:cs="Times New Roman"/>
          <w:sz w:val="24"/>
          <w:szCs w:val="24"/>
        </w:rPr>
        <w:t>izsolē</w:t>
      </w:r>
      <w:r w:rsidR="001B7F81">
        <w:rPr>
          <w:rFonts w:ascii="Times New Roman" w:hAnsi="Times New Roman" w:cs="Times New Roman"/>
          <w:sz w:val="24"/>
          <w:szCs w:val="24"/>
        </w:rPr>
        <w:t>m</w:t>
      </w:r>
      <w:r w:rsidR="00DE78F5">
        <w:rPr>
          <w:rFonts w:ascii="Times New Roman" w:hAnsi="Times New Roman" w:cs="Times New Roman"/>
          <w:sz w:val="24"/>
          <w:szCs w:val="24"/>
        </w:rPr>
        <w:t xml:space="preserve"> un </w:t>
      </w:r>
      <w:r w:rsidR="001B7F81">
        <w:rPr>
          <w:rFonts w:ascii="Times New Roman" w:hAnsi="Times New Roman" w:cs="Times New Roman"/>
          <w:sz w:val="24"/>
          <w:szCs w:val="24"/>
        </w:rPr>
        <w:t xml:space="preserve">būs iespējams projektus, kas atbilst likumā “Par piesārņojumu” </w:t>
      </w:r>
      <w:r w:rsidR="001B7F81" w:rsidRPr="00A93673">
        <w:rPr>
          <w:rFonts w:ascii="Times New Roman" w:hAnsi="Times New Roman" w:cs="Times New Roman"/>
          <w:sz w:val="24"/>
          <w:szCs w:val="24"/>
        </w:rPr>
        <w:t xml:space="preserve">noteiktajām jomām. Turklāt </w:t>
      </w:r>
      <w:r w:rsidR="00DE78F5" w:rsidRPr="00A93673">
        <w:rPr>
          <w:rFonts w:ascii="Times New Roman" w:hAnsi="Times New Roman" w:cs="Times New Roman"/>
          <w:sz w:val="24"/>
          <w:szCs w:val="24"/>
        </w:rPr>
        <w:t>finansē</w:t>
      </w:r>
      <w:r w:rsidR="001B7F81" w:rsidRPr="00A93673">
        <w:rPr>
          <w:rFonts w:ascii="Times New Roman" w:hAnsi="Times New Roman" w:cs="Times New Roman"/>
          <w:sz w:val="24"/>
          <w:szCs w:val="24"/>
        </w:rPr>
        <w:t xml:space="preserve">jamo projektu loks būs plašāks nekā tas būtu </w:t>
      </w:r>
      <w:proofErr w:type="spellStart"/>
      <w:r w:rsidR="001B7F81" w:rsidRPr="00A93673">
        <w:rPr>
          <w:rFonts w:ascii="Times New Roman" w:hAnsi="Times New Roman" w:cs="Times New Roman"/>
          <w:sz w:val="24"/>
          <w:szCs w:val="24"/>
        </w:rPr>
        <w:t>derogācijas</w:t>
      </w:r>
      <w:proofErr w:type="spellEnd"/>
      <w:r w:rsidR="001B7F81" w:rsidRPr="00A93673">
        <w:rPr>
          <w:rFonts w:ascii="Times New Roman" w:hAnsi="Times New Roman" w:cs="Times New Roman"/>
          <w:sz w:val="24"/>
          <w:szCs w:val="24"/>
        </w:rPr>
        <w:t xml:space="preserve"> izmantošanas gadījumā un būtu ar mazāku administratīvo slogu. Valsts </w:t>
      </w:r>
      <w:r w:rsidRPr="00A93673">
        <w:rPr>
          <w:rFonts w:ascii="Times New Roman" w:hAnsi="Times New Roman" w:cs="Times New Roman"/>
          <w:sz w:val="24"/>
          <w:szCs w:val="24"/>
        </w:rPr>
        <w:t xml:space="preserve">budžeta </w:t>
      </w:r>
      <w:r w:rsidR="001B7F81" w:rsidRPr="00A93673">
        <w:rPr>
          <w:rFonts w:ascii="Times New Roman" w:hAnsi="Times New Roman" w:cs="Times New Roman"/>
          <w:sz w:val="24"/>
          <w:szCs w:val="24"/>
        </w:rPr>
        <w:t>ieņēmumu prognozes nesamazināsies</w:t>
      </w:r>
      <w:r w:rsidRPr="00A93673">
        <w:rPr>
          <w:rFonts w:ascii="Times New Roman" w:hAnsi="Times New Roman" w:cs="Times New Roman"/>
          <w:sz w:val="24"/>
          <w:szCs w:val="24"/>
        </w:rPr>
        <w:t xml:space="preserve">. </w:t>
      </w:r>
    </w:p>
    <w:p w14:paraId="7B81418F" w14:textId="24A359FB" w:rsidR="00454321" w:rsidRDefault="00454321" w:rsidP="00454321">
      <w:pPr>
        <w:spacing w:after="0"/>
        <w:ind w:right="-625" w:firstLine="567"/>
        <w:jc w:val="both"/>
        <w:rPr>
          <w:rFonts w:ascii="Times New Roman" w:hAnsi="Times New Roman" w:cs="Times New Roman"/>
          <w:sz w:val="24"/>
          <w:szCs w:val="24"/>
        </w:rPr>
      </w:pPr>
      <w:r w:rsidRPr="00A93673">
        <w:rPr>
          <w:rFonts w:ascii="Times New Roman" w:hAnsi="Times New Roman" w:cs="Times New Roman"/>
          <w:sz w:val="24"/>
          <w:szCs w:val="24"/>
        </w:rPr>
        <w:t>3.attēlā grafiski parādītas potenciālās izmaiņas izsoļu ieņēmumos laika griezumā līdz 2030. gadam. Modelējot situāciju</w:t>
      </w:r>
      <w:r w:rsidR="00350A33" w:rsidRPr="00A93673">
        <w:rPr>
          <w:rFonts w:ascii="Times New Roman" w:hAnsi="Times New Roman" w:cs="Times New Roman"/>
          <w:sz w:val="24"/>
          <w:szCs w:val="24"/>
        </w:rPr>
        <w:t>,</w:t>
      </w:r>
      <w:r w:rsidRPr="00A93673">
        <w:rPr>
          <w:rFonts w:ascii="Times New Roman" w:hAnsi="Times New Roman" w:cs="Times New Roman"/>
          <w:sz w:val="24"/>
          <w:szCs w:val="24"/>
        </w:rPr>
        <w:t xml:space="preserve"> tiek ņemt</w:t>
      </w:r>
      <w:r w:rsidR="00E14802" w:rsidRPr="00A93673">
        <w:rPr>
          <w:rFonts w:ascii="Times New Roman" w:hAnsi="Times New Roman" w:cs="Times New Roman"/>
          <w:sz w:val="24"/>
          <w:szCs w:val="24"/>
        </w:rPr>
        <w:t>s</w:t>
      </w:r>
      <w:r w:rsidRPr="00A93673">
        <w:rPr>
          <w:rFonts w:ascii="Times New Roman" w:hAnsi="Times New Roman" w:cs="Times New Roman"/>
          <w:sz w:val="24"/>
          <w:szCs w:val="24"/>
        </w:rPr>
        <w:t xml:space="preserve"> vērā </w:t>
      </w:r>
      <w:r w:rsidR="00E14802" w:rsidRPr="00A93673">
        <w:rPr>
          <w:rFonts w:ascii="Times New Roman" w:hAnsi="Times New Roman" w:cs="Times New Roman"/>
          <w:sz w:val="24"/>
          <w:szCs w:val="24"/>
        </w:rPr>
        <w:t>indikatīvais</w:t>
      </w:r>
      <w:r w:rsidRPr="00A93673">
        <w:rPr>
          <w:rFonts w:ascii="Times New Roman" w:hAnsi="Times New Roman" w:cs="Times New Roman"/>
          <w:sz w:val="24"/>
          <w:szCs w:val="24"/>
        </w:rPr>
        <w:t xml:space="preserve"> emisiju kvotu</w:t>
      </w:r>
      <w:r w:rsidR="00E14802" w:rsidRPr="00A93673">
        <w:rPr>
          <w:rFonts w:ascii="Times New Roman" w:hAnsi="Times New Roman" w:cs="Times New Roman"/>
          <w:sz w:val="24"/>
          <w:szCs w:val="24"/>
        </w:rPr>
        <w:t xml:space="preserve"> piešķiramais apjoms izsolīšanai Latvijas labā, </w:t>
      </w:r>
      <w:proofErr w:type="spellStart"/>
      <w:r w:rsidR="00E14802" w:rsidRPr="00A93673">
        <w:rPr>
          <w:rFonts w:ascii="Times New Roman" w:hAnsi="Times New Roman" w:cs="Times New Roman"/>
          <w:i/>
          <w:sz w:val="24"/>
          <w:szCs w:val="24"/>
        </w:rPr>
        <w:t>Carbon</w:t>
      </w:r>
      <w:proofErr w:type="spellEnd"/>
      <w:r w:rsidR="00E14802" w:rsidRPr="00A93673">
        <w:rPr>
          <w:rFonts w:ascii="Times New Roman" w:hAnsi="Times New Roman" w:cs="Times New Roman"/>
          <w:i/>
          <w:sz w:val="24"/>
          <w:szCs w:val="24"/>
        </w:rPr>
        <w:t xml:space="preserve"> </w:t>
      </w:r>
      <w:proofErr w:type="spellStart"/>
      <w:r w:rsidR="00E14802" w:rsidRPr="00A93673">
        <w:rPr>
          <w:rFonts w:ascii="Times New Roman" w:hAnsi="Times New Roman" w:cs="Times New Roman"/>
          <w:i/>
          <w:sz w:val="24"/>
          <w:szCs w:val="24"/>
        </w:rPr>
        <w:t>Pulse</w:t>
      </w:r>
      <w:proofErr w:type="spellEnd"/>
      <w:r w:rsidR="00E14802" w:rsidRPr="00A93673">
        <w:rPr>
          <w:rFonts w:ascii="Times New Roman" w:hAnsi="Times New Roman" w:cs="Times New Roman"/>
          <w:sz w:val="24"/>
          <w:szCs w:val="24"/>
        </w:rPr>
        <w:t xml:space="preserve"> ekspertu prognozētās vidējās</w:t>
      </w:r>
      <w:r w:rsidR="00E14802">
        <w:rPr>
          <w:rFonts w:ascii="Times New Roman" w:hAnsi="Times New Roman" w:cs="Times New Roman"/>
          <w:sz w:val="24"/>
          <w:szCs w:val="24"/>
        </w:rPr>
        <w:t xml:space="preserve"> cenas, tirgus stabilitātes rezerves potenciālā ietekme. Aprēķinos netiek iekļautas emisijas kvotas kas tiks izsolītas 2020. gadā Inovācijas fonda darbības </w:t>
      </w:r>
      <w:r w:rsidR="00086A18">
        <w:rPr>
          <w:rFonts w:ascii="Times New Roman" w:hAnsi="Times New Roman" w:cs="Times New Roman"/>
          <w:sz w:val="24"/>
          <w:szCs w:val="24"/>
        </w:rPr>
        <w:t xml:space="preserve">uzsākšanai. </w:t>
      </w:r>
    </w:p>
    <w:p w14:paraId="43559BE5" w14:textId="5E4243B7" w:rsidR="00022D05" w:rsidRDefault="0048140D" w:rsidP="00450453">
      <w:pPr>
        <w:spacing w:after="0"/>
        <w:ind w:right="-625" w:firstLine="567"/>
        <w:jc w:val="center"/>
        <w:rPr>
          <w:rFonts w:ascii="Times New Roman" w:hAnsi="Times New Roman" w:cs="Times New Roman"/>
          <w:b/>
          <w:i/>
        </w:rPr>
      </w:pPr>
      <w:r>
        <w:rPr>
          <w:noProof/>
          <w:lang w:eastAsia="lv-LV"/>
        </w:rPr>
        <w:drawing>
          <wp:inline distT="0" distB="0" distL="0" distR="0" wp14:anchorId="2276AAC8" wp14:editId="63971D07">
            <wp:extent cx="5278120" cy="2808278"/>
            <wp:effectExtent l="0" t="0" r="1778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58CF29" w14:textId="793B32DC" w:rsidR="00450453" w:rsidRPr="00650BF3" w:rsidRDefault="00E14802" w:rsidP="00450453">
      <w:pPr>
        <w:spacing w:after="0"/>
        <w:ind w:right="-625" w:firstLine="567"/>
        <w:jc w:val="center"/>
        <w:rPr>
          <w:rFonts w:ascii="Times New Roman" w:hAnsi="Times New Roman" w:cs="Times New Roman"/>
          <w:i/>
        </w:rPr>
        <w:sectPr w:rsidR="00450453" w:rsidRPr="00650BF3" w:rsidSect="00175613">
          <w:pgSz w:w="11906" w:h="16838"/>
          <w:pgMar w:top="1440" w:right="1797" w:bottom="1440" w:left="1797" w:header="709" w:footer="709" w:gutter="0"/>
          <w:cols w:space="708"/>
          <w:titlePg/>
          <w:docGrid w:linePitch="360"/>
        </w:sectPr>
      </w:pPr>
      <w:r w:rsidRPr="00650BF3">
        <w:rPr>
          <w:rFonts w:ascii="Times New Roman" w:hAnsi="Times New Roman" w:cs="Times New Roman"/>
          <w:b/>
          <w:i/>
        </w:rPr>
        <w:t xml:space="preserve">3.attēls. </w:t>
      </w:r>
      <w:proofErr w:type="spellStart"/>
      <w:r w:rsidR="00022D05">
        <w:rPr>
          <w:rFonts w:ascii="Times New Roman" w:hAnsi="Times New Roman" w:cs="Times New Roman"/>
          <w:b/>
          <w:i/>
        </w:rPr>
        <w:t>Derogācijas</w:t>
      </w:r>
      <w:proofErr w:type="spellEnd"/>
      <w:r w:rsidR="00022D05" w:rsidRPr="00650BF3">
        <w:rPr>
          <w:rFonts w:ascii="Times New Roman" w:hAnsi="Times New Roman" w:cs="Times New Roman"/>
          <w:b/>
          <w:i/>
        </w:rPr>
        <w:t xml:space="preserve"> </w:t>
      </w:r>
      <w:r w:rsidRPr="00650BF3">
        <w:rPr>
          <w:rFonts w:ascii="Times New Roman" w:hAnsi="Times New Roman" w:cs="Times New Roman"/>
          <w:b/>
          <w:i/>
        </w:rPr>
        <w:t xml:space="preserve">ietekme uz emisijas kvotu izsoļu ieņēmumiem primārajā tirgū (EKII </w:t>
      </w:r>
      <w:r w:rsidR="00A77EA9" w:rsidRPr="00650BF3">
        <w:rPr>
          <w:rFonts w:ascii="Times New Roman" w:hAnsi="Times New Roman" w:cs="Times New Roman"/>
          <w:b/>
          <w:i/>
        </w:rPr>
        <w:t>finansējum</w:t>
      </w:r>
      <w:r w:rsidR="00A77EA9">
        <w:rPr>
          <w:rFonts w:ascii="Times New Roman" w:hAnsi="Times New Roman" w:cs="Times New Roman"/>
          <w:b/>
          <w:i/>
        </w:rPr>
        <w:t>s</w:t>
      </w:r>
      <w:r w:rsidRPr="00650BF3">
        <w:rPr>
          <w:rFonts w:ascii="Times New Roman" w:hAnsi="Times New Roman" w:cs="Times New Roman"/>
          <w:b/>
          <w:i/>
        </w:rPr>
        <w:t xml:space="preserve">), milj. </w:t>
      </w:r>
      <w:proofErr w:type="spellStart"/>
      <w:r w:rsidRPr="00650BF3">
        <w:rPr>
          <w:rFonts w:ascii="Times New Roman" w:hAnsi="Times New Roman" w:cs="Times New Roman"/>
          <w:b/>
          <w:i/>
        </w:rPr>
        <w:t>euro</w:t>
      </w:r>
      <w:proofErr w:type="spellEnd"/>
      <w:r w:rsidR="00450453" w:rsidRPr="00650BF3">
        <w:rPr>
          <w:rFonts w:ascii="Times New Roman" w:hAnsi="Times New Roman" w:cs="Times New Roman"/>
          <w:b/>
          <w:i/>
        </w:rPr>
        <w:t xml:space="preserve"> </w:t>
      </w:r>
    </w:p>
    <w:p w14:paraId="791285F5" w14:textId="4F1DC91F" w:rsidR="00F2680E" w:rsidRPr="00C82C5F" w:rsidRDefault="00F2680E" w:rsidP="001D7EE2">
      <w:pPr>
        <w:spacing w:after="0"/>
        <w:ind w:right="-625" w:firstLine="567"/>
        <w:jc w:val="center"/>
        <w:rPr>
          <w:rFonts w:ascii="Times New Roman" w:hAnsi="Times New Roman" w:cs="Times New Roman"/>
          <w:b/>
          <w:sz w:val="28"/>
          <w:szCs w:val="24"/>
        </w:rPr>
      </w:pPr>
      <w:bookmarkStart w:id="12" w:name="_Toc462330875"/>
      <w:r w:rsidRPr="00C82C5F">
        <w:rPr>
          <w:rFonts w:ascii="Times New Roman" w:hAnsi="Times New Roman" w:cs="Times New Roman"/>
          <w:b/>
          <w:sz w:val="28"/>
          <w:szCs w:val="24"/>
        </w:rPr>
        <w:lastRenderedPageBreak/>
        <w:t>Kopsavilkums par konceptuālajā ziņojumā iekļauto risinājumu (risinājumu variantu) realizācijai nepieciešamo valsts un pašvaldību budžeta finansējumu</w:t>
      </w:r>
      <w:bookmarkEnd w:id="12"/>
    </w:p>
    <w:p w14:paraId="56A9F6AC" w14:textId="4EFF73D6" w:rsidR="00F2680E" w:rsidRDefault="00F2680E" w:rsidP="001D7EE2">
      <w:pPr>
        <w:spacing w:after="0"/>
        <w:ind w:right="-625" w:firstLine="567"/>
        <w:jc w:val="center"/>
        <w:rPr>
          <w:rFonts w:ascii="Times New Roman" w:hAnsi="Times New Roman" w:cs="Times New Roman"/>
          <w:b/>
          <w:sz w:val="24"/>
          <w:szCs w:val="24"/>
        </w:rPr>
      </w:pPr>
    </w:p>
    <w:p w14:paraId="51690943" w14:textId="7FD38D09" w:rsidR="00450453" w:rsidRPr="00350A33" w:rsidRDefault="009D66B2" w:rsidP="00350A33">
      <w:pPr>
        <w:spacing w:after="0"/>
        <w:ind w:right="-625" w:firstLine="567"/>
        <w:jc w:val="both"/>
        <w:rPr>
          <w:rFonts w:ascii="Times New Roman" w:hAnsi="Times New Roman" w:cs="Times New Roman"/>
          <w:sz w:val="24"/>
          <w:szCs w:val="24"/>
        </w:rPr>
      </w:pPr>
      <w:r>
        <w:rPr>
          <w:rFonts w:ascii="Times New Roman" w:hAnsi="Times New Roman" w:cs="Times New Roman"/>
          <w:sz w:val="24"/>
          <w:szCs w:val="24"/>
        </w:rPr>
        <w:t>7</w:t>
      </w:r>
      <w:r w:rsidR="00555229">
        <w:rPr>
          <w:rFonts w:ascii="Times New Roman" w:hAnsi="Times New Roman" w:cs="Times New Roman"/>
          <w:sz w:val="24"/>
          <w:szCs w:val="24"/>
        </w:rPr>
        <w:t xml:space="preserve">.tabulā shematiski attēloti </w:t>
      </w:r>
      <w:r w:rsidR="00806416">
        <w:rPr>
          <w:rFonts w:ascii="Times New Roman" w:hAnsi="Times New Roman" w:cs="Times New Roman"/>
          <w:sz w:val="24"/>
          <w:szCs w:val="24"/>
        </w:rPr>
        <w:t xml:space="preserve">indikatīvi aprēķinātie </w:t>
      </w:r>
      <w:r w:rsidR="00555229">
        <w:rPr>
          <w:rFonts w:ascii="Times New Roman" w:hAnsi="Times New Roman" w:cs="Times New Roman"/>
          <w:sz w:val="24"/>
          <w:szCs w:val="24"/>
        </w:rPr>
        <w:t xml:space="preserve">vidējie zaudējumi valsts budžetā, izvēloties </w:t>
      </w:r>
      <w:r w:rsidR="00086A18">
        <w:rPr>
          <w:rFonts w:ascii="Times New Roman" w:hAnsi="Times New Roman" w:cs="Times New Roman"/>
          <w:sz w:val="24"/>
          <w:szCs w:val="24"/>
        </w:rPr>
        <w:t>2.</w:t>
      </w:r>
      <w:r w:rsidR="00350A33">
        <w:rPr>
          <w:rFonts w:ascii="Times New Roman" w:hAnsi="Times New Roman" w:cs="Times New Roman"/>
          <w:sz w:val="24"/>
          <w:szCs w:val="24"/>
        </w:rPr>
        <w:t xml:space="preserve"> </w:t>
      </w:r>
      <w:r w:rsidR="00450453">
        <w:rPr>
          <w:rFonts w:ascii="Times New Roman" w:hAnsi="Times New Roman" w:cs="Times New Roman"/>
          <w:sz w:val="24"/>
          <w:szCs w:val="24"/>
        </w:rPr>
        <w:t>scenāriju</w:t>
      </w:r>
      <w:r w:rsidR="00555229">
        <w:rPr>
          <w:rFonts w:ascii="Times New Roman" w:hAnsi="Times New Roman" w:cs="Times New Roman"/>
          <w:sz w:val="24"/>
          <w:szCs w:val="24"/>
        </w:rPr>
        <w:t>. Tā kā izvēloties 1.</w:t>
      </w:r>
      <w:r w:rsidR="00350A33">
        <w:rPr>
          <w:rFonts w:ascii="Times New Roman" w:hAnsi="Times New Roman" w:cs="Times New Roman"/>
          <w:sz w:val="24"/>
          <w:szCs w:val="24"/>
        </w:rPr>
        <w:t xml:space="preserve"> </w:t>
      </w:r>
      <w:r w:rsidR="00450453">
        <w:rPr>
          <w:rFonts w:ascii="Times New Roman" w:hAnsi="Times New Roman" w:cs="Times New Roman"/>
          <w:sz w:val="24"/>
          <w:szCs w:val="24"/>
        </w:rPr>
        <w:t>scenāriju</w:t>
      </w:r>
      <w:r w:rsidR="00555229">
        <w:rPr>
          <w:rFonts w:ascii="Times New Roman" w:hAnsi="Times New Roman" w:cs="Times New Roman"/>
          <w:sz w:val="24"/>
          <w:szCs w:val="24"/>
        </w:rPr>
        <w:t xml:space="preserve"> zaudējumi valsts budžetā nebūs, </w:t>
      </w:r>
      <w:r w:rsidR="00806416">
        <w:rPr>
          <w:rFonts w:ascii="Times New Roman" w:hAnsi="Times New Roman" w:cs="Times New Roman"/>
          <w:sz w:val="24"/>
          <w:szCs w:val="24"/>
        </w:rPr>
        <w:t>jo bezmaksas emisijas kvotas piešķirtas netiks</w:t>
      </w:r>
      <w:r w:rsidR="00806416" w:rsidRPr="00510429">
        <w:rPr>
          <w:rFonts w:ascii="Times New Roman" w:hAnsi="Times New Roman" w:cs="Times New Roman"/>
          <w:sz w:val="24"/>
          <w:szCs w:val="24"/>
        </w:rPr>
        <w:t xml:space="preserve">, </w:t>
      </w:r>
      <w:r w:rsidR="00555229" w:rsidRPr="005C46E7">
        <w:rPr>
          <w:rFonts w:ascii="Times New Roman" w:hAnsi="Times New Roman" w:cs="Times New Roman"/>
          <w:sz w:val="24"/>
          <w:szCs w:val="24"/>
        </w:rPr>
        <w:t>t</w:t>
      </w:r>
      <w:r w:rsidR="00086A18" w:rsidRPr="00510429">
        <w:rPr>
          <w:rFonts w:ascii="Times New Roman" w:hAnsi="Times New Roman" w:cs="Times New Roman"/>
          <w:sz w:val="24"/>
          <w:szCs w:val="24"/>
        </w:rPr>
        <w:t>ie</w:t>
      </w:r>
      <w:r w:rsidR="00555229" w:rsidRPr="00510429">
        <w:rPr>
          <w:rFonts w:ascii="Times New Roman" w:hAnsi="Times New Roman" w:cs="Times New Roman"/>
          <w:sz w:val="24"/>
          <w:szCs w:val="24"/>
        </w:rPr>
        <w:t xml:space="preserve"> netiek atspoguļot</w:t>
      </w:r>
      <w:r w:rsidR="00086A18" w:rsidRPr="00510429">
        <w:rPr>
          <w:rFonts w:ascii="Times New Roman" w:hAnsi="Times New Roman" w:cs="Times New Roman"/>
          <w:sz w:val="24"/>
          <w:szCs w:val="24"/>
        </w:rPr>
        <w:t>i</w:t>
      </w:r>
      <w:r w:rsidR="00555229" w:rsidRPr="00510429">
        <w:rPr>
          <w:rFonts w:ascii="Times New Roman" w:hAnsi="Times New Roman" w:cs="Times New Roman"/>
          <w:sz w:val="24"/>
          <w:szCs w:val="24"/>
        </w:rPr>
        <w:t>.</w:t>
      </w:r>
      <w:r w:rsidR="00086A18" w:rsidRPr="00510429">
        <w:rPr>
          <w:rFonts w:ascii="Times New Roman" w:hAnsi="Times New Roman" w:cs="Times New Roman"/>
          <w:sz w:val="24"/>
          <w:szCs w:val="24"/>
        </w:rPr>
        <w:t xml:space="preserve"> </w:t>
      </w:r>
      <w:r w:rsidR="00022D05">
        <w:rPr>
          <w:rFonts w:ascii="Times New Roman" w:hAnsi="Times New Roman" w:cs="Times New Roman"/>
          <w:sz w:val="24"/>
          <w:szCs w:val="24"/>
        </w:rPr>
        <w:t xml:space="preserve">Savukārt </w:t>
      </w:r>
      <w:proofErr w:type="spellStart"/>
      <w:r w:rsidR="00022D05">
        <w:rPr>
          <w:rFonts w:ascii="Times New Roman" w:hAnsi="Times New Roman" w:cs="Times New Roman"/>
          <w:sz w:val="24"/>
          <w:szCs w:val="24"/>
        </w:rPr>
        <w:t>derogācijas</w:t>
      </w:r>
      <w:proofErr w:type="spellEnd"/>
      <w:r w:rsidR="00022D05">
        <w:rPr>
          <w:rFonts w:ascii="Times New Roman" w:hAnsi="Times New Roman" w:cs="Times New Roman"/>
          <w:sz w:val="24"/>
          <w:szCs w:val="24"/>
        </w:rPr>
        <w:t xml:space="preserve"> </w:t>
      </w:r>
      <w:r w:rsidR="00086A18" w:rsidRPr="00510429">
        <w:rPr>
          <w:rFonts w:ascii="Times New Roman" w:hAnsi="Times New Roman" w:cs="Times New Roman"/>
          <w:sz w:val="24"/>
          <w:szCs w:val="24"/>
        </w:rPr>
        <w:t>scenārij</w:t>
      </w:r>
      <w:r w:rsidR="00022D05">
        <w:rPr>
          <w:rFonts w:ascii="Times New Roman" w:hAnsi="Times New Roman" w:cs="Times New Roman"/>
          <w:sz w:val="24"/>
          <w:szCs w:val="24"/>
        </w:rPr>
        <w:t>ā,</w:t>
      </w:r>
      <w:r w:rsidR="00086A18" w:rsidRPr="00510429">
        <w:rPr>
          <w:rFonts w:ascii="Times New Roman" w:hAnsi="Times New Roman" w:cs="Times New Roman"/>
          <w:sz w:val="24"/>
          <w:szCs w:val="24"/>
        </w:rPr>
        <w:t xml:space="preserve"> </w:t>
      </w:r>
      <w:r w:rsidR="00450453">
        <w:rPr>
          <w:rFonts w:ascii="Times New Roman" w:hAnsi="Times New Roman" w:cs="Times New Roman"/>
          <w:sz w:val="24"/>
          <w:szCs w:val="24"/>
        </w:rPr>
        <w:t>i</w:t>
      </w:r>
      <w:r w:rsidR="00086A18" w:rsidRPr="00510429">
        <w:rPr>
          <w:rFonts w:ascii="Times New Roman" w:hAnsi="Times New Roman" w:cs="Times New Roman"/>
          <w:sz w:val="24"/>
          <w:szCs w:val="24"/>
        </w:rPr>
        <w:t xml:space="preserve">zsoļu ieņēmumi un līdz ar to EKII finansējuma samazinājums 102,92 milj. </w:t>
      </w:r>
      <w:proofErr w:type="spellStart"/>
      <w:r w:rsidR="00086A18" w:rsidRPr="00450453">
        <w:rPr>
          <w:rFonts w:ascii="Times New Roman" w:hAnsi="Times New Roman" w:cs="Times New Roman"/>
          <w:i/>
          <w:sz w:val="24"/>
          <w:szCs w:val="24"/>
        </w:rPr>
        <w:t>euro</w:t>
      </w:r>
      <w:proofErr w:type="spellEnd"/>
      <w:r w:rsidR="00350A33">
        <w:rPr>
          <w:rFonts w:ascii="Times New Roman" w:hAnsi="Times New Roman" w:cs="Times New Roman"/>
          <w:i/>
          <w:sz w:val="24"/>
          <w:szCs w:val="24"/>
        </w:rPr>
        <w:t xml:space="preserve"> </w:t>
      </w:r>
      <w:r w:rsidR="00022D05">
        <w:rPr>
          <w:rFonts w:ascii="Times New Roman" w:hAnsi="Times New Roman" w:cs="Times New Roman"/>
          <w:sz w:val="24"/>
          <w:szCs w:val="24"/>
        </w:rPr>
        <w:t>visā ES ETS 4. periodā 2021-2030. gadam</w:t>
      </w:r>
      <w:r w:rsidR="00DD3493" w:rsidRPr="00450453">
        <w:rPr>
          <w:rFonts w:ascii="Times New Roman" w:eastAsia="Times New Roman" w:hAnsi="Times New Roman" w:cs="Times New Roman"/>
          <w:bCs/>
          <w:color w:val="000000"/>
          <w:sz w:val="24"/>
          <w:szCs w:val="24"/>
          <w:lang w:eastAsia="lv-LV"/>
        </w:rPr>
        <w:t>.</w:t>
      </w:r>
    </w:p>
    <w:p w14:paraId="71B94A59" w14:textId="77777777" w:rsidR="00D97132" w:rsidRDefault="00D97132" w:rsidP="00D97132">
      <w:pPr>
        <w:rPr>
          <w:rFonts w:ascii="Times New Roman" w:eastAsia="Times New Roman" w:hAnsi="Times New Roman" w:cs="Times New Roman"/>
          <w:bCs/>
          <w:color w:val="000000"/>
          <w:sz w:val="24"/>
          <w:szCs w:val="24"/>
          <w:lang w:eastAsia="lv-LV"/>
        </w:rPr>
      </w:pPr>
    </w:p>
    <w:p w14:paraId="6C66360F" w14:textId="77777777" w:rsidR="00D97132" w:rsidRDefault="00D97132" w:rsidP="00D97132">
      <w:pPr>
        <w:rPr>
          <w:rFonts w:ascii="Times New Roman" w:eastAsia="Times New Roman" w:hAnsi="Times New Roman" w:cs="Times New Roman"/>
          <w:bCs/>
          <w:color w:val="000000"/>
          <w:sz w:val="24"/>
          <w:szCs w:val="24"/>
          <w:lang w:eastAsia="lv-LV"/>
        </w:rPr>
      </w:pPr>
    </w:p>
    <w:p w14:paraId="4860B8D4" w14:textId="1CBF4B52" w:rsidR="00D97132" w:rsidRDefault="00D97132" w:rsidP="00D97132">
      <w:pPr>
        <w:rPr>
          <w:rFonts w:ascii="Times New Roman" w:hAnsi="Times New Roman"/>
          <w:sz w:val="24"/>
          <w:szCs w:val="24"/>
        </w:rPr>
      </w:pPr>
      <w:r>
        <w:rPr>
          <w:rFonts w:ascii="Times New Roman" w:hAnsi="Times New Roman"/>
          <w:sz w:val="24"/>
          <w:szCs w:val="24"/>
        </w:rPr>
        <w:t>Vides aizsardzības un reģionālās attīstības ministrs</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J. Pūce</w:t>
      </w:r>
    </w:p>
    <w:p w14:paraId="5B9492DD" w14:textId="5A2A9BA5" w:rsidR="00CE3603" w:rsidRDefault="00CE3603" w:rsidP="001D7EE2">
      <w:pPr>
        <w:spacing w:after="0"/>
        <w:ind w:right="-625" w:firstLine="567"/>
        <w:jc w:val="both"/>
        <w:rPr>
          <w:rFonts w:ascii="Times New Roman" w:hAnsi="Times New Roman" w:cs="Times New Roman"/>
          <w:sz w:val="24"/>
          <w:szCs w:val="24"/>
        </w:rPr>
      </w:pPr>
    </w:p>
    <w:p w14:paraId="7341C06B" w14:textId="77777777" w:rsidR="00CE3603" w:rsidRPr="00CE3603" w:rsidRDefault="00CE3603" w:rsidP="00CE3603">
      <w:pPr>
        <w:rPr>
          <w:rFonts w:ascii="Times New Roman" w:hAnsi="Times New Roman" w:cs="Times New Roman"/>
          <w:sz w:val="24"/>
          <w:szCs w:val="24"/>
        </w:rPr>
      </w:pPr>
    </w:p>
    <w:p w14:paraId="0A4F5250" w14:textId="77777777" w:rsidR="00CE3603" w:rsidRPr="00CE3603" w:rsidRDefault="00CE3603" w:rsidP="00CE3603">
      <w:pPr>
        <w:rPr>
          <w:rFonts w:ascii="Times New Roman" w:hAnsi="Times New Roman" w:cs="Times New Roman"/>
          <w:sz w:val="24"/>
          <w:szCs w:val="24"/>
        </w:rPr>
      </w:pPr>
    </w:p>
    <w:p w14:paraId="72CE7485" w14:textId="77777777" w:rsidR="00CE3603" w:rsidRPr="00CE3603" w:rsidRDefault="00CE3603" w:rsidP="00CE3603">
      <w:pPr>
        <w:rPr>
          <w:rFonts w:ascii="Times New Roman" w:hAnsi="Times New Roman" w:cs="Times New Roman"/>
          <w:sz w:val="24"/>
          <w:szCs w:val="24"/>
        </w:rPr>
      </w:pPr>
    </w:p>
    <w:p w14:paraId="70CFDC09" w14:textId="77777777" w:rsidR="00CE3603" w:rsidRPr="00CE3603" w:rsidRDefault="00CE3603" w:rsidP="00CE3603">
      <w:pPr>
        <w:rPr>
          <w:rFonts w:ascii="Times New Roman" w:hAnsi="Times New Roman" w:cs="Times New Roman"/>
          <w:sz w:val="24"/>
          <w:szCs w:val="24"/>
        </w:rPr>
      </w:pPr>
    </w:p>
    <w:p w14:paraId="3AA721AC" w14:textId="77777777" w:rsidR="00CE3603" w:rsidRPr="00CE3603" w:rsidRDefault="00CE3603" w:rsidP="00CE3603">
      <w:pPr>
        <w:rPr>
          <w:rFonts w:ascii="Times New Roman" w:hAnsi="Times New Roman" w:cs="Times New Roman"/>
          <w:sz w:val="24"/>
          <w:szCs w:val="24"/>
        </w:rPr>
      </w:pPr>
    </w:p>
    <w:p w14:paraId="44D03B4E" w14:textId="77777777" w:rsidR="00CE3603" w:rsidRPr="00CE3603" w:rsidRDefault="00CE3603" w:rsidP="00CE3603">
      <w:pPr>
        <w:rPr>
          <w:rFonts w:ascii="Times New Roman" w:hAnsi="Times New Roman" w:cs="Times New Roman"/>
          <w:sz w:val="24"/>
          <w:szCs w:val="24"/>
        </w:rPr>
      </w:pPr>
    </w:p>
    <w:p w14:paraId="6016BE8D" w14:textId="77777777" w:rsidR="00CE3603" w:rsidRPr="00CE3603" w:rsidRDefault="00CE3603" w:rsidP="00CE3603">
      <w:pPr>
        <w:rPr>
          <w:rFonts w:ascii="Times New Roman" w:hAnsi="Times New Roman" w:cs="Times New Roman"/>
          <w:sz w:val="24"/>
          <w:szCs w:val="24"/>
        </w:rPr>
      </w:pPr>
    </w:p>
    <w:p w14:paraId="0356EB9F" w14:textId="77777777" w:rsidR="00CE3603" w:rsidRPr="00CE3603" w:rsidRDefault="00CE3603" w:rsidP="00CE3603">
      <w:pPr>
        <w:rPr>
          <w:rFonts w:ascii="Times New Roman" w:hAnsi="Times New Roman" w:cs="Times New Roman"/>
          <w:sz w:val="24"/>
          <w:szCs w:val="24"/>
        </w:rPr>
      </w:pPr>
    </w:p>
    <w:p w14:paraId="0361C0FE" w14:textId="77777777" w:rsidR="00CE3603" w:rsidRPr="00CE3603" w:rsidRDefault="00CE3603" w:rsidP="00CE3603">
      <w:pPr>
        <w:rPr>
          <w:rFonts w:ascii="Times New Roman" w:hAnsi="Times New Roman" w:cs="Times New Roman"/>
          <w:sz w:val="24"/>
          <w:szCs w:val="24"/>
        </w:rPr>
      </w:pPr>
    </w:p>
    <w:p w14:paraId="15E44741" w14:textId="77777777" w:rsidR="00CE3603" w:rsidRPr="00CE3603" w:rsidRDefault="00CE3603" w:rsidP="00CE3603">
      <w:pPr>
        <w:rPr>
          <w:rFonts w:ascii="Times New Roman" w:hAnsi="Times New Roman" w:cs="Times New Roman"/>
          <w:sz w:val="24"/>
          <w:szCs w:val="24"/>
        </w:rPr>
      </w:pPr>
    </w:p>
    <w:p w14:paraId="7C2AA76A" w14:textId="77777777" w:rsidR="00CE3603" w:rsidRPr="00CE3603" w:rsidRDefault="00CE3603" w:rsidP="00CE3603">
      <w:pPr>
        <w:rPr>
          <w:rFonts w:ascii="Times New Roman" w:hAnsi="Times New Roman" w:cs="Times New Roman"/>
          <w:sz w:val="24"/>
          <w:szCs w:val="24"/>
        </w:rPr>
      </w:pPr>
    </w:p>
    <w:p w14:paraId="5375BFCB" w14:textId="77777777" w:rsidR="00CE3603" w:rsidRPr="00CE3603" w:rsidRDefault="00CE3603" w:rsidP="00CE3603">
      <w:pPr>
        <w:rPr>
          <w:rFonts w:ascii="Times New Roman" w:hAnsi="Times New Roman" w:cs="Times New Roman"/>
          <w:sz w:val="24"/>
          <w:szCs w:val="24"/>
        </w:rPr>
      </w:pPr>
    </w:p>
    <w:p w14:paraId="5C80F4CF" w14:textId="77777777" w:rsidR="00CE3603" w:rsidRPr="00CE3603" w:rsidRDefault="00CE3603" w:rsidP="00CE3603">
      <w:pPr>
        <w:rPr>
          <w:rFonts w:ascii="Times New Roman" w:hAnsi="Times New Roman" w:cs="Times New Roman"/>
          <w:sz w:val="24"/>
          <w:szCs w:val="24"/>
        </w:rPr>
      </w:pPr>
    </w:p>
    <w:p w14:paraId="61812584" w14:textId="77777777" w:rsidR="00CE3603" w:rsidRPr="00CE3603" w:rsidRDefault="00CE3603" w:rsidP="00CE3603">
      <w:pPr>
        <w:rPr>
          <w:rFonts w:ascii="Times New Roman" w:hAnsi="Times New Roman" w:cs="Times New Roman"/>
          <w:sz w:val="24"/>
          <w:szCs w:val="24"/>
        </w:rPr>
      </w:pPr>
    </w:p>
    <w:p w14:paraId="5029E157" w14:textId="77777777" w:rsidR="00CE3603" w:rsidRPr="00CE3603" w:rsidRDefault="00CE3603" w:rsidP="00CE3603">
      <w:pPr>
        <w:rPr>
          <w:rFonts w:ascii="Times New Roman" w:hAnsi="Times New Roman" w:cs="Times New Roman"/>
          <w:sz w:val="24"/>
          <w:szCs w:val="24"/>
        </w:rPr>
      </w:pPr>
    </w:p>
    <w:p w14:paraId="05DCEB19" w14:textId="77777777" w:rsidR="00CE3603" w:rsidRPr="00CE3603" w:rsidRDefault="00CE3603" w:rsidP="00CE3603">
      <w:pPr>
        <w:rPr>
          <w:rFonts w:ascii="Times New Roman" w:hAnsi="Times New Roman" w:cs="Times New Roman"/>
          <w:sz w:val="24"/>
          <w:szCs w:val="24"/>
        </w:rPr>
      </w:pPr>
    </w:p>
    <w:p w14:paraId="6BD29769" w14:textId="77777777" w:rsidR="00CE3603" w:rsidRPr="00CE3603" w:rsidRDefault="00CE3603" w:rsidP="00CE3603">
      <w:pPr>
        <w:rPr>
          <w:rFonts w:ascii="Times New Roman" w:hAnsi="Times New Roman" w:cs="Times New Roman"/>
          <w:sz w:val="24"/>
          <w:szCs w:val="24"/>
        </w:rPr>
      </w:pPr>
    </w:p>
    <w:p w14:paraId="2FA1E10F" w14:textId="09077F39" w:rsidR="00CE3603" w:rsidRDefault="00CE3603" w:rsidP="00CE3603">
      <w:pPr>
        <w:rPr>
          <w:rFonts w:ascii="Times New Roman" w:hAnsi="Times New Roman" w:cs="Times New Roman"/>
          <w:sz w:val="24"/>
          <w:szCs w:val="24"/>
        </w:rPr>
      </w:pPr>
    </w:p>
    <w:p w14:paraId="7FA86CB8" w14:textId="7B5FC5D4" w:rsidR="00450453" w:rsidRPr="00CE3603" w:rsidRDefault="00CE3603" w:rsidP="00CE3603">
      <w:pPr>
        <w:tabs>
          <w:tab w:val="center" w:pos="4153"/>
        </w:tabs>
        <w:rPr>
          <w:rFonts w:ascii="Times New Roman" w:hAnsi="Times New Roman" w:cs="Times New Roman"/>
          <w:sz w:val="24"/>
          <w:szCs w:val="24"/>
        </w:rPr>
        <w:sectPr w:rsidR="00450453" w:rsidRPr="00CE3603" w:rsidSect="00C82C5F">
          <w:pgSz w:w="11906" w:h="16838"/>
          <w:pgMar w:top="1440" w:right="1800" w:bottom="1440" w:left="1800" w:header="708" w:footer="708" w:gutter="0"/>
          <w:cols w:space="708"/>
          <w:docGrid w:linePitch="360"/>
        </w:sectPr>
      </w:pPr>
      <w:r>
        <w:rPr>
          <w:rFonts w:ascii="Times New Roman" w:hAnsi="Times New Roman" w:cs="Times New Roman"/>
          <w:sz w:val="24"/>
          <w:szCs w:val="24"/>
        </w:rPr>
        <w:tab/>
      </w:r>
    </w:p>
    <w:p w14:paraId="081CE715" w14:textId="395CD7C8" w:rsidR="00555229" w:rsidRPr="00350A33" w:rsidRDefault="00100A4B" w:rsidP="001031F1">
      <w:pPr>
        <w:spacing w:after="0"/>
        <w:ind w:right="-625"/>
        <w:jc w:val="right"/>
        <w:rPr>
          <w:rFonts w:ascii="Times New Roman" w:hAnsi="Times New Roman" w:cs="Times New Roman"/>
          <w:b/>
          <w:i/>
        </w:rPr>
      </w:pPr>
      <w:r>
        <w:rPr>
          <w:rFonts w:ascii="Times New Roman" w:hAnsi="Times New Roman" w:cs="Times New Roman"/>
          <w:b/>
          <w:i/>
        </w:rPr>
        <w:lastRenderedPageBreak/>
        <w:t>7</w:t>
      </w:r>
      <w:r w:rsidR="00555229" w:rsidRPr="001031F1">
        <w:rPr>
          <w:rFonts w:ascii="Times New Roman" w:hAnsi="Times New Roman" w:cs="Times New Roman"/>
          <w:b/>
          <w:i/>
        </w:rPr>
        <w:t xml:space="preserve">.tabula. Konceptuālajā ziņojumā iekļauto risinājumu variantu </w:t>
      </w:r>
      <w:r w:rsidR="00975128" w:rsidRPr="001031F1">
        <w:rPr>
          <w:rFonts w:ascii="Times New Roman" w:hAnsi="Times New Roman" w:cs="Times New Roman"/>
          <w:b/>
          <w:i/>
        </w:rPr>
        <w:t xml:space="preserve">indikatīvā </w:t>
      </w:r>
      <w:r w:rsidR="001031F1" w:rsidRPr="001031F1">
        <w:rPr>
          <w:rFonts w:ascii="Times New Roman" w:hAnsi="Times New Roman" w:cs="Times New Roman"/>
          <w:b/>
          <w:i/>
        </w:rPr>
        <w:t>ietekme uz valsts budžetu</w:t>
      </w:r>
      <w:r w:rsidR="00350A33">
        <w:rPr>
          <w:rFonts w:ascii="Times New Roman" w:hAnsi="Times New Roman" w:cs="Times New Roman"/>
          <w:b/>
          <w:i/>
        </w:rPr>
        <w:t xml:space="preserve"> (milj. </w:t>
      </w:r>
      <w:proofErr w:type="spellStart"/>
      <w:r w:rsidR="00350A33">
        <w:rPr>
          <w:rFonts w:ascii="Times New Roman" w:hAnsi="Times New Roman" w:cs="Times New Roman"/>
          <w:b/>
          <w:i/>
        </w:rPr>
        <w:t>euro</w:t>
      </w:r>
      <w:proofErr w:type="spellEnd"/>
      <w:r w:rsidR="00350A33">
        <w:rPr>
          <w:rFonts w:ascii="Times New Roman" w:hAnsi="Times New Roman" w:cs="Times New Roman"/>
          <w:b/>
          <w:i/>
        </w:rPr>
        <w:t>)</w:t>
      </w:r>
    </w:p>
    <w:tbl>
      <w:tblPr>
        <w:tblStyle w:val="TableGrid"/>
        <w:tblW w:w="14850" w:type="dxa"/>
        <w:tblLayout w:type="fixed"/>
        <w:tblLook w:val="04A0" w:firstRow="1" w:lastRow="0" w:firstColumn="1" w:lastColumn="0" w:noHBand="0" w:noVBand="1"/>
      </w:tblPr>
      <w:tblGrid>
        <w:gridCol w:w="1101"/>
        <w:gridCol w:w="1134"/>
        <w:gridCol w:w="1729"/>
        <w:gridCol w:w="1134"/>
        <w:gridCol w:w="1106"/>
        <w:gridCol w:w="1134"/>
        <w:gridCol w:w="1021"/>
        <w:gridCol w:w="992"/>
        <w:gridCol w:w="1134"/>
        <w:gridCol w:w="1701"/>
        <w:gridCol w:w="1417"/>
        <w:gridCol w:w="1247"/>
      </w:tblGrid>
      <w:tr w:rsidR="00F2680E" w14:paraId="5F8F689D" w14:textId="77777777" w:rsidTr="00450453">
        <w:tc>
          <w:tcPr>
            <w:tcW w:w="1101" w:type="dxa"/>
            <w:vAlign w:val="center"/>
          </w:tcPr>
          <w:p w14:paraId="57D9C8D3" w14:textId="77777777" w:rsidR="00F2680E" w:rsidRPr="00C82C5F" w:rsidRDefault="00F2680E" w:rsidP="001D7EE2">
            <w:pPr>
              <w:spacing w:line="259" w:lineRule="auto"/>
              <w:jc w:val="center"/>
              <w:rPr>
                <w:rFonts w:ascii="Times New Roman" w:hAnsi="Times New Roman" w:cs="Times New Roman"/>
                <w:b/>
                <w:sz w:val="16"/>
                <w:szCs w:val="16"/>
              </w:rPr>
            </w:pPr>
            <w:r w:rsidRPr="00C82C5F">
              <w:rPr>
                <w:rFonts w:ascii="Times New Roman" w:hAnsi="Times New Roman" w:cs="Times New Roman"/>
                <w:b/>
                <w:sz w:val="16"/>
                <w:szCs w:val="16"/>
              </w:rPr>
              <w:t>Risinājums</w:t>
            </w:r>
          </w:p>
        </w:tc>
        <w:tc>
          <w:tcPr>
            <w:tcW w:w="1134" w:type="dxa"/>
            <w:vAlign w:val="center"/>
          </w:tcPr>
          <w:p w14:paraId="58FA2955" w14:textId="77777777" w:rsidR="00F2680E" w:rsidRPr="00C82C5F" w:rsidRDefault="00F2680E" w:rsidP="001D7EE2">
            <w:pPr>
              <w:spacing w:line="259" w:lineRule="auto"/>
              <w:jc w:val="center"/>
              <w:rPr>
                <w:rFonts w:ascii="Times New Roman" w:hAnsi="Times New Roman" w:cs="Times New Roman"/>
                <w:b/>
                <w:sz w:val="16"/>
                <w:szCs w:val="16"/>
              </w:rPr>
            </w:pPr>
            <w:r w:rsidRPr="00C82C5F">
              <w:rPr>
                <w:rFonts w:ascii="Times New Roman" w:hAnsi="Times New Roman" w:cs="Times New Roman"/>
                <w:b/>
                <w:sz w:val="16"/>
                <w:szCs w:val="16"/>
              </w:rPr>
              <w:t>Risinājums (risinājuma varianti)</w:t>
            </w:r>
          </w:p>
        </w:tc>
        <w:tc>
          <w:tcPr>
            <w:tcW w:w="1729" w:type="dxa"/>
          </w:tcPr>
          <w:p w14:paraId="10108430" w14:textId="77777777" w:rsidR="00F2680E" w:rsidRPr="00C82C5F" w:rsidRDefault="00F2680E" w:rsidP="001D7EE2">
            <w:pPr>
              <w:spacing w:line="259" w:lineRule="auto"/>
              <w:jc w:val="both"/>
              <w:rPr>
                <w:rFonts w:ascii="Times New Roman" w:hAnsi="Times New Roman" w:cs="Times New Roman"/>
                <w:b/>
                <w:sz w:val="16"/>
                <w:szCs w:val="16"/>
              </w:rPr>
            </w:pPr>
            <w:r w:rsidRPr="00C82C5F">
              <w:rPr>
                <w:rFonts w:ascii="Times New Roman" w:hAnsi="Times New Roman" w:cs="Times New Roman"/>
                <w:b/>
                <w:sz w:val="16"/>
                <w:szCs w:val="16"/>
              </w:rPr>
              <w:t>Budžeta programmas (apakšprogrammas) kods un nosaukums</w:t>
            </w:r>
          </w:p>
        </w:tc>
        <w:tc>
          <w:tcPr>
            <w:tcW w:w="3374" w:type="dxa"/>
            <w:gridSpan w:val="3"/>
            <w:vAlign w:val="center"/>
          </w:tcPr>
          <w:p w14:paraId="64ABE4E6" w14:textId="77777777" w:rsidR="00F2680E" w:rsidRPr="00C82C5F" w:rsidRDefault="00F2680E" w:rsidP="001D7EE2">
            <w:pPr>
              <w:spacing w:line="259" w:lineRule="auto"/>
              <w:jc w:val="center"/>
              <w:rPr>
                <w:rFonts w:ascii="Times New Roman" w:hAnsi="Times New Roman" w:cs="Times New Roman"/>
                <w:b/>
                <w:sz w:val="16"/>
                <w:szCs w:val="16"/>
              </w:rPr>
            </w:pPr>
            <w:r w:rsidRPr="00C82C5F">
              <w:rPr>
                <w:rFonts w:ascii="Times New Roman" w:hAnsi="Times New Roman" w:cs="Times New Roman"/>
                <w:b/>
                <w:sz w:val="16"/>
                <w:szCs w:val="16"/>
              </w:rPr>
              <w:t>Vidēja termiņa budžeta ietvara likumā plānotais finansējums</w:t>
            </w:r>
          </w:p>
        </w:tc>
        <w:tc>
          <w:tcPr>
            <w:tcW w:w="6265" w:type="dxa"/>
            <w:gridSpan w:val="5"/>
            <w:vAlign w:val="center"/>
          </w:tcPr>
          <w:p w14:paraId="317945FD" w14:textId="77777777" w:rsidR="00F2680E" w:rsidRPr="00C82C5F" w:rsidRDefault="00F2680E" w:rsidP="001D7EE2">
            <w:pPr>
              <w:spacing w:line="259" w:lineRule="auto"/>
              <w:jc w:val="center"/>
              <w:rPr>
                <w:rFonts w:ascii="Times New Roman" w:hAnsi="Times New Roman" w:cs="Times New Roman"/>
                <w:b/>
                <w:sz w:val="16"/>
                <w:szCs w:val="16"/>
              </w:rPr>
            </w:pPr>
            <w:r w:rsidRPr="00C82C5F">
              <w:rPr>
                <w:rFonts w:ascii="Times New Roman" w:hAnsi="Times New Roman" w:cs="Times New Roman"/>
                <w:b/>
                <w:sz w:val="16"/>
                <w:szCs w:val="16"/>
              </w:rPr>
              <w:t>Nepieciešamais papildus finansējums</w:t>
            </w:r>
          </w:p>
        </w:tc>
        <w:tc>
          <w:tcPr>
            <w:tcW w:w="1247" w:type="dxa"/>
            <w:vMerge w:val="restart"/>
            <w:vAlign w:val="center"/>
          </w:tcPr>
          <w:p w14:paraId="147ECD1C" w14:textId="77777777" w:rsidR="00F2680E" w:rsidRPr="00C82C5F" w:rsidRDefault="00F2680E" w:rsidP="001D7EE2">
            <w:pPr>
              <w:spacing w:line="259" w:lineRule="auto"/>
              <w:jc w:val="center"/>
              <w:rPr>
                <w:rFonts w:ascii="Times New Roman" w:hAnsi="Times New Roman" w:cs="Times New Roman"/>
                <w:b/>
                <w:sz w:val="16"/>
                <w:szCs w:val="16"/>
              </w:rPr>
            </w:pPr>
            <w:r w:rsidRPr="00C82C5F">
              <w:rPr>
                <w:rFonts w:ascii="Times New Roman" w:hAnsi="Times New Roman" w:cs="Times New Roman"/>
                <w:b/>
                <w:sz w:val="16"/>
                <w:szCs w:val="16"/>
              </w:rPr>
              <w:t>Pasākumu īstenošanas gads (ja risinājuma (risinājuma varianta) īstenošana ir terminēta)</w:t>
            </w:r>
          </w:p>
        </w:tc>
      </w:tr>
      <w:tr w:rsidR="00F2680E" w14:paraId="486BB3B8" w14:textId="77777777" w:rsidTr="00450453">
        <w:trPr>
          <w:cantSplit/>
          <w:trHeight w:val="1134"/>
        </w:trPr>
        <w:tc>
          <w:tcPr>
            <w:tcW w:w="1101" w:type="dxa"/>
            <w:vAlign w:val="center"/>
          </w:tcPr>
          <w:p w14:paraId="1BAD26C7" w14:textId="77777777" w:rsidR="00F2680E" w:rsidRPr="00C82C5F" w:rsidRDefault="00F2680E" w:rsidP="001D7EE2">
            <w:pPr>
              <w:spacing w:line="259" w:lineRule="auto"/>
              <w:jc w:val="center"/>
              <w:rPr>
                <w:rFonts w:ascii="Times New Roman" w:hAnsi="Times New Roman" w:cs="Times New Roman"/>
                <w:b/>
                <w:sz w:val="16"/>
                <w:szCs w:val="16"/>
              </w:rPr>
            </w:pPr>
            <w:r w:rsidRPr="00C82C5F">
              <w:rPr>
                <w:rFonts w:ascii="Times New Roman" w:hAnsi="Times New Roman" w:cs="Times New Roman"/>
                <w:b/>
                <w:sz w:val="16"/>
                <w:szCs w:val="16"/>
              </w:rPr>
              <w:t>Finansējums konceptuālā ziņojuma īstenošanai kopā</w:t>
            </w:r>
          </w:p>
        </w:tc>
        <w:tc>
          <w:tcPr>
            <w:tcW w:w="1134" w:type="dxa"/>
            <w:vAlign w:val="center"/>
          </w:tcPr>
          <w:p w14:paraId="5CB56EAB" w14:textId="77777777" w:rsidR="00F2680E" w:rsidRPr="00C82C5F" w:rsidRDefault="00F2680E" w:rsidP="001D7EE2">
            <w:pPr>
              <w:spacing w:line="259" w:lineRule="auto"/>
              <w:jc w:val="center"/>
              <w:rPr>
                <w:rFonts w:ascii="Times New Roman" w:hAnsi="Times New Roman" w:cs="Times New Roman"/>
                <w:b/>
                <w:sz w:val="16"/>
                <w:szCs w:val="16"/>
              </w:rPr>
            </w:pPr>
          </w:p>
        </w:tc>
        <w:tc>
          <w:tcPr>
            <w:tcW w:w="1729" w:type="dxa"/>
          </w:tcPr>
          <w:p w14:paraId="37636FD0" w14:textId="77777777" w:rsidR="00F2680E" w:rsidRPr="00C82C5F" w:rsidRDefault="00F2680E" w:rsidP="001D7EE2">
            <w:pPr>
              <w:spacing w:line="259" w:lineRule="auto"/>
              <w:jc w:val="both"/>
              <w:rPr>
                <w:rFonts w:ascii="Times New Roman" w:hAnsi="Times New Roman" w:cs="Times New Roman"/>
                <w:b/>
                <w:sz w:val="16"/>
                <w:szCs w:val="16"/>
              </w:rPr>
            </w:pPr>
          </w:p>
        </w:tc>
        <w:tc>
          <w:tcPr>
            <w:tcW w:w="1134" w:type="dxa"/>
            <w:vAlign w:val="center"/>
          </w:tcPr>
          <w:p w14:paraId="7CC5424B" w14:textId="77777777" w:rsidR="00F2680E" w:rsidRPr="00C82C5F" w:rsidRDefault="00F2680E" w:rsidP="001D7EE2">
            <w:pPr>
              <w:spacing w:line="259" w:lineRule="auto"/>
              <w:jc w:val="center"/>
              <w:rPr>
                <w:rFonts w:ascii="Times New Roman" w:hAnsi="Times New Roman" w:cs="Times New Roman"/>
                <w:b/>
                <w:sz w:val="16"/>
                <w:szCs w:val="16"/>
              </w:rPr>
            </w:pPr>
            <w:r>
              <w:rPr>
                <w:rFonts w:ascii="Times New Roman" w:hAnsi="Times New Roman" w:cs="Times New Roman"/>
                <w:b/>
                <w:sz w:val="16"/>
                <w:szCs w:val="16"/>
              </w:rPr>
              <w:t>2019</w:t>
            </w:r>
          </w:p>
        </w:tc>
        <w:tc>
          <w:tcPr>
            <w:tcW w:w="1106" w:type="dxa"/>
            <w:vAlign w:val="center"/>
          </w:tcPr>
          <w:p w14:paraId="368D3F3E" w14:textId="77777777" w:rsidR="00F2680E" w:rsidRPr="00C82C5F" w:rsidRDefault="00F2680E" w:rsidP="001D7EE2">
            <w:pPr>
              <w:spacing w:line="259" w:lineRule="auto"/>
              <w:jc w:val="center"/>
              <w:rPr>
                <w:rFonts w:ascii="Times New Roman" w:hAnsi="Times New Roman" w:cs="Times New Roman"/>
                <w:b/>
                <w:sz w:val="16"/>
                <w:szCs w:val="16"/>
              </w:rPr>
            </w:pPr>
            <w:r>
              <w:rPr>
                <w:rFonts w:ascii="Times New Roman" w:hAnsi="Times New Roman" w:cs="Times New Roman"/>
                <w:b/>
                <w:sz w:val="16"/>
                <w:szCs w:val="16"/>
              </w:rPr>
              <w:t>2020</w:t>
            </w:r>
          </w:p>
        </w:tc>
        <w:tc>
          <w:tcPr>
            <w:tcW w:w="1134" w:type="dxa"/>
            <w:vAlign w:val="center"/>
          </w:tcPr>
          <w:p w14:paraId="63BFFB13" w14:textId="77777777" w:rsidR="00F2680E" w:rsidRPr="00C82C5F" w:rsidRDefault="00F2680E" w:rsidP="001D7EE2">
            <w:pPr>
              <w:spacing w:line="259" w:lineRule="auto"/>
              <w:jc w:val="center"/>
              <w:rPr>
                <w:rFonts w:ascii="Times New Roman" w:hAnsi="Times New Roman" w:cs="Times New Roman"/>
                <w:b/>
                <w:sz w:val="16"/>
                <w:szCs w:val="16"/>
              </w:rPr>
            </w:pPr>
            <w:r>
              <w:rPr>
                <w:rFonts w:ascii="Times New Roman" w:hAnsi="Times New Roman" w:cs="Times New Roman"/>
                <w:b/>
                <w:sz w:val="16"/>
                <w:szCs w:val="16"/>
              </w:rPr>
              <w:t>2021</w:t>
            </w:r>
          </w:p>
        </w:tc>
        <w:tc>
          <w:tcPr>
            <w:tcW w:w="1021" w:type="dxa"/>
            <w:vAlign w:val="center"/>
          </w:tcPr>
          <w:p w14:paraId="570FE1AA" w14:textId="77777777" w:rsidR="00F2680E" w:rsidRPr="00C82C5F" w:rsidRDefault="00F2680E" w:rsidP="001D7EE2">
            <w:pPr>
              <w:spacing w:line="259" w:lineRule="auto"/>
              <w:jc w:val="center"/>
              <w:rPr>
                <w:rFonts w:ascii="Times New Roman" w:hAnsi="Times New Roman" w:cs="Times New Roman"/>
                <w:b/>
                <w:sz w:val="16"/>
                <w:szCs w:val="16"/>
              </w:rPr>
            </w:pPr>
            <w:r>
              <w:rPr>
                <w:rFonts w:ascii="Times New Roman" w:hAnsi="Times New Roman" w:cs="Times New Roman"/>
                <w:b/>
                <w:sz w:val="16"/>
                <w:szCs w:val="16"/>
              </w:rPr>
              <w:t>2019</w:t>
            </w:r>
          </w:p>
        </w:tc>
        <w:tc>
          <w:tcPr>
            <w:tcW w:w="992" w:type="dxa"/>
            <w:vAlign w:val="center"/>
          </w:tcPr>
          <w:p w14:paraId="175127D4" w14:textId="77777777" w:rsidR="00F2680E" w:rsidRPr="00C82C5F" w:rsidRDefault="00F2680E" w:rsidP="001D7EE2">
            <w:pPr>
              <w:spacing w:line="259" w:lineRule="auto"/>
              <w:jc w:val="center"/>
              <w:rPr>
                <w:rFonts w:ascii="Times New Roman" w:hAnsi="Times New Roman" w:cs="Times New Roman"/>
                <w:b/>
                <w:sz w:val="16"/>
                <w:szCs w:val="16"/>
              </w:rPr>
            </w:pPr>
            <w:r>
              <w:rPr>
                <w:rFonts w:ascii="Times New Roman" w:hAnsi="Times New Roman" w:cs="Times New Roman"/>
                <w:b/>
                <w:sz w:val="16"/>
                <w:szCs w:val="16"/>
              </w:rPr>
              <w:t>2020</w:t>
            </w:r>
          </w:p>
        </w:tc>
        <w:tc>
          <w:tcPr>
            <w:tcW w:w="1134" w:type="dxa"/>
            <w:vAlign w:val="center"/>
          </w:tcPr>
          <w:p w14:paraId="1F71A72A" w14:textId="77777777" w:rsidR="00F2680E" w:rsidRPr="00C82C5F" w:rsidRDefault="00F2680E" w:rsidP="001D7EE2">
            <w:pPr>
              <w:spacing w:line="259" w:lineRule="auto"/>
              <w:jc w:val="center"/>
              <w:rPr>
                <w:rFonts w:ascii="Times New Roman" w:hAnsi="Times New Roman" w:cs="Times New Roman"/>
                <w:b/>
                <w:sz w:val="16"/>
                <w:szCs w:val="16"/>
              </w:rPr>
            </w:pPr>
            <w:r>
              <w:rPr>
                <w:rFonts w:ascii="Times New Roman" w:hAnsi="Times New Roman" w:cs="Times New Roman"/>
                <w:b/>
                <w:sz w:val="16"/>
                <w:szCs w:val="16"/>
              </w:rPr>
              <w:t>2021</w:t>
            </w:r>
          </w:p>
        </w:tc>
        <w:tc>
          <w:tcPr>
            <w:tcW w:w="1701" w:type="dxa"/>
          </w:tcPr>
          <w:p w14:paraId="6626C41B" w14:textId="77777777" w:rsidR="00F2680E" w:rsidRPr="00C82C5F" w:rsidRDefault="00F2680E" w:rsidP="001D7EE2">
            <w:pPr>
              <w:spacing w:line="259" w:lineRule="auto"/>
              <w:jc w:val="both"/>
              <w:rPr>
                <w:rFonts w:ascii="Times New Roman" w:hAnsi="Times New Roman" w:cs="Times New Roman"/>
                <w:b/>
                <w:sz w:val="16"/>
                <w:szCs w:val="16"/>
              </w:rPr>
            </w:pPr>
            <w:r w:rsidRPr="00C82C5F">
              <w:rPr>
                <w:rFonts w:ascii="Times New Roman" w:hAnsi="Times New Roman" w:cs="Times New Roman"/>
                <w:b/>
                <w:sz w:val="16"/>
                <w:szCs w:val="16"/>
              </w:rPr>
              <w:t>Turpmākajā laikposmā līdz (risinājuma varianta) pabeigšanai (ja īstenošana ir terminēta)</w:t>
            </w:r>
          </w:p>
        </w:tc>
        <w:tc>
          <w:tcPr>
            <w:tcW w:w="1417" w:type="dxa"/>
          </w:tcPr>
          <w:p w14:paraId="783E3571" w14:textId="77777777" w:rsidR="00F2680E" w:rsidRPr="00C82C5F" w:rsidRDefault="00F2680E" w:rsidP="001D7EE2">
            <w:pPr>
              <w:spacing w:line="259" w:lineRule="auto"/>
              <w:jc w:val="both"/>
              <w:rPr>
                <w:rFonts w:ascii="Times New Roman" w:hAnsi="Times New Roman" w:cs="Times New Roman"/>
                <w:b/>
                <w:sz w:val="16"/>
                <w:szCs w:val="16"/>
              </w:rPr>
            </w:pPr>
            <w:r w:rsidRPr="00C82C5F">
              <w:rPr>
                <w:rFonts w:ascii="Times New Roman" w:hAnsi="Times New Roman" w:cs="Times New Roman"/>
                <w:b/>
                <w:sz w:val="16"/>
                <w:szCs w:val="16"/>
              </w:rPr>
              <w:t>Turpmāk ik gadu (ja risinājuma (risinājuma varianta) izpilde nav terminēta</w:t>
            </w:r>
          </w:p>
        </w:tc>
        <w:tc>
          <w:tcPr>
            <w:tcW w:w="1247" w:type="dxa"/>
            <w:vMerge/>
          </w:tcPr>
          <w:p w14:paraId="05953700" w14:textId="77777777" w:rsidR="00F2680E" w:rsidRPr="00C82C5F" w:rsidRDefault="00F2680E" w:rsidP="001D7EE2">
            <w:pPr>
              <w:spacing w:line="259" w:lineRule="auto"/>
              <w:jc w:val="both"/>
              <w:rPr>
                <w:rFonts w:ascii="Times New Roman" w:hAnsi="Times New Roman" w:cs="Times New Roman"/>
                <w:b/>
                <w:sz w:val="16"/>
                <w:szCs w:val="16"/>
              </w:rPr>
            </w:pPr>
          </w:p>
        </w:tc>
      </w:tr>
      <w:tr w:rsidR="00F2680E" w14:paraId="2BD38082" w14:textId="77777777" w:rsidTr="00450453">
        <w:trPr>
          <w:cantSplit/>
          <w:trHeight w:val="576"/>
        </w:trPr>
        <w:tc>
          <w:tcPr>
            <w:tcW w:w="1101" w:type="dxa"/>
            <w:vAlign w:val="center"/>
          </w:tcPr>
          <w:p w14:paraId="66DA86F0" w14:textId="77777777" w:rsidR="00F2680E" w:rsidRPr="00C82C5F" w:rsidRDefault="00F2680E" w:rsidP="001D7EE2">
            <w:pPr>
              <w:spacing w:line="259" w:lineRule="auto"/>
              <w:jc w:val="center"/>
              <w:rPr>
                <w:rFonts w:ascii="Times New Roman" w:hAnsi="Times New Roman" w:cs="Times New Roman"/>
                <w:b/>
                <w:sz w:val="16"/>
                <w:szCs w:val="16"/>
              </w:rPr>
            </w:pPr>
          </w:p>
        </w:tc>
        <w:tc>
          <w:tcPr>
            <w:tcW w:w="1134" w:type="dxa"/>
            <w:vAlign w:val="center"/>
          </w:tcPr>
          <w:p w14:paraId="68779102" w14:textId="51555938" w:rsidR="00F2680E" w:rsidRPr="000F1E60" w:rsidRDefault="00F2680E" w:rsidP="00C82916">
            <w:pPr>
              <w:spacing w:line="259" w:lineRule="auto"/>
              <w:jc w:val="center"/>
              <w:rPr>
                <w:rFonts w:ascii="Times New Roman" w:hAnsi="Times New Roman" w:cs="Times New Roman"/>
                <w:b/>
                <w:sz w:val="16"/>
                <w:szCs w:val="16"/>
              </w:rPr>
            </w:pPr>
            <w:r w:rsidRPr="000F1E60">
              <w:rPr>
                <w:rFonts w:ascii="Times New Roman" w:hAnsi="Times New Roman" w:cs="Times New Roman"/>
                <w:b/>
                <w:sz w:val="16"/>
                <w:szCs w:val="16"/>
              </w:rPr>
              <w:t xml:space="preserve">1. </w:t>
            </w:r>
            <w:r w:rsidR="00C82916" w:rsidRPr="000F1E60">
              <w:rPr>
                <w:rFonts w:ascii="Times New Roman" w:hAnsi="Times New Roman" w:cs="Times New Roman"/>
                <w:b/>
                <w:sz w:val="16"/>
                <w:szCs w:val="16"/>
              </w:rPr>
              <w:t>scenārijs</w:t>
            </w:r>
          </w:p>
        </w:tc>
        <w:tc>
          <w:tcPr>
            <w:tcW w:w="1729" w:type="dxa"/>
            <w:vAlign w:val="center"/>
          </w:tcPr>
          <w:p w14:paraId="4E02E22D" w14:textId="77777777" w:rsidR="00F2680E" w:rsidRPr="00086A18" w:rsidRDefault="00F2680E" w:rsidP="001D7EE2">
            <w:pPr>
              <w:spacing w:line="259" w:lineRule="auto"/>
              <w:jc w:val="center"/>
              <w:rPr>
                <w:rFonts w:ascii="Times New Roman" w:hAnsi="Times New Roman" w:cs="Times New Roman"/>
                <w:b/>
                <w:sz w:val="16"/>
                <w:szCs w:val="16"/>
              </w:rPr>
            </w:pPr>
          </w:p>
        </w:tc>
        <w:tc>
          <w:tcPr>
            <w:tcW w:w="1134" w:type="dxa"/>
            <w:vAlign w:val="center"/>
          </w:tcPr>
          <w:p w14:paraId="5FABBA21" w14:textId="77777777" w:rsidR="00F2680E" w:rsidRPr="00086A18" w:rsidRDefault="00F2680E" w:rsidP="001D7EE2">
            <w:pPr>
              <w:spacing w:line="259" w:lineRule="auto"/>
              <w:jc w:val="center"/>
              <w:rPr>
                <w:rFonts w:ascii="Times New Roman" w:hAnsi="Times New Roman" w:cs="Times New Roman"/>
                <w:b/>
                <w:sz w:val="16"/>
                <w:szCs w:val="16"/>
              </w:rPr>
            </w:pPr>
          </w:p>
        </w:tc>
        <w:tc>
          <w:tcPr>
            <w:tcW w:w="1106" w:type="dxa"/>
            <w:vAlign w:val="center"/>
          </w:tcPr>
          <w:p w14:paraId="5A105F66" w14:textId="77777777" w:rsidR="00F2680E" w:rsidRPr="00086A18" w:rsidRDefault="00F2680E" w:rsidP="001D7EE2">
            <w:pPr>
              <w:spacing w:line="259" w:lineRule="auto"/>
              <w:rPr>
                <w:rFonts w:ascii="Times New Roman" w:hAnsi="Times New Roman" w:cs="Times New Roman"/>
                <w:b/>
                <w:sz w:val="16"/>
                <w:szCs w:val="16"/>
              </w:rPr>
            </w:pPr>
          </w:p>
        </w:tc>
        <w:tc>
          <w:tcPr>
            <w:tcW w:w="1134" w:type="dxa"/>
            <w:vAlign w:val="center"/>
          </w:tcPr>
          <w:p w14:paraId="4128BCF9" w14:textId="0CA8F815" w:rsidR="00F2680E" w:rsidRPr="00086A18" w:rsidRDefault="000F1E60" w:rsidP="001D7EE2">
            <w:pPr>
              <w:spacing w:line="259" w:lineRule="auto"/>
              <w:jc w:val="center"/>
              <w:rPr>
                <w:rFonts w:ascii="Times New Roman" w:hAnsi="Times New Roman" w:cs="Times New Roman"/>
                <w:b/>
                <w:sz w:val="16"/>
                <w:szCs w:val="16"/>
              </w:rPr>
            </w:pPr>
            <w:r w:rsidRPr="00086A18">
              <w:rPr>
                <w:rFonts w:ascii="Times New Roman" w:hAnsi="Times New Roman" w:cs="Times New Roman"/>
                <w:b/>
                <w:sz w:val="16"/>
                <w:szCs w:val="16"/>
              </w:rPr>
              <w:t>-</w:t>
            </w:r>
          </w:p>
        </w:tc>
        <w:tc>
          <w:tcPr>
            <w:tcW w:w="1021" w:type="dxa"/>
            <w:vAlign w:val="center"/>
          </w:tcPr>
          <w:p w14:paraId="52E66C08" w14:textId="77777777" w:rsidR="00F2680E" w:rsidRPr="00086A18" w:rsidRDefault="00F2680E" w:rsidP="001D7EE2">
            <w:pPr>
              <w:spacing w:line="259" w:lineRule="auto"/>
              <w:jc w:val="center"/>
              <w:rPr>
                <w:rFonts w:ascii="Times New Roman" w:hAnsi="Times New Roman" w:cs="Times New Roman"/>
                <w:b/>
                <w:sz w:val="16"/>
                <w:szCs w:val="16"/>
              </w:rPr>
            </w:pPr>
          </w:p>
        </w:tc>
        <w:tc>
          <w:tcPr>
            <w:tcW w:w="992" w:type="dxa"/>
            <w:vAlign w:val="center"/>
          </w:tcPr>
          <w:p w14:paraId="6CCB44FF" w14:textId="77777777" w:rsidR="00F2680E" w:rsidRPr="00086A18" w:rsidRDefault="00F2680E" w:rsidP="001D7EE2">
            <w:pPr>
              <w:spacing w:line="259" w:lineRule="auto"/>
              <w:jc w:val="center"/>
              <w:rPr>
                <w:rFonts w:ascii="Times New Roman" w:hAnsi="Times New Roman" w:cs="Times New Roman"/>
                <w:b/>
                <w:sz w:val="16"/>
                <w:szCs w:val="16"/>
              </w:rPr>
            </w:pPr>
          </w:p>
        </w:tc>
        <w:tc>
          <w:tcPr>
            <w:tcW w:w="1134" w:type="dxa"/>
            <w:vAlign w:val="center"/>
          </w:tcPr>
          <w:p w14:paraId="4D22DF86" w14:textId="4941FCB8" w:rsidR="00F2680E" w:rsidRPr="00086A18" w:rsidRDefault="000F1E60" w:rsidP="001D7EE2">
            <w:pPr>
              <w:spacing w:line="259" w:lineRule="auto"/>
              <w:jc w:val="center"/>
              <w:rPr>
                <w:rFonts w:ascii="Times New Roman" w:hAnsi="Times New Roman" w:cs="Times New Roman"/>
                <w:b/>
                <w:sz w:val="16"/>
                <w:szCs w:val="16"/>
              </w:rPr>
            </w:pPr>
            <w:r w:rsidRPr="00086A18">
              <w:rPr>
                <w:rFonts w:ascii="Times New Roman" w:hAnsi="Times New Roman" w:cs="Times New Roman"/>
                <w:b/>
                <w:sz w:val="16"/>
                <w:szCs w:val="16"/>
              </w:rPr>
              <w:t>-</w:t>
            </w:r>
          </w:p>
        </w:tc>
        <w:tc>
          <w:tcPr>
            <w:tcW w:w="1701" w:type="dxa"/>
            <w:vAlign w:val="center"/>
          </w:tcPr>
          <w:p w14:paraId="4DE5FF4E" w14:textId="0388F670" w:rsidR="00F2680E" w:rsidRPr="00086A18" w:rsidRDefault="000F1E60" w:rsidP="00450453">
            <w:pPr>
              <w:spacing w:line="259" w:lineRule="auto"/>
              <w:jc w:val="center"/>
              <w:rPr>
                <w:rFonts w:ascii="Times New Roman" w:hAnsi="Times New Roman" w:cs="Times New Roman"/>
                <w:b/>
                <w:sz w:val="16"/>
                <w:szCs w:val="16"/>
              </w:rPr>
            </w:pPr>
            <w:r w:rsidRPr="00086A18">
              <w:rPr>
                <w:rFonts w:ascii="Times New Roman" w:hAnsi="Times New Roman" w:cs="Times New Roman"/>
                <w:b/>
                <w:sz w:val="16"/>
                <w:szCs w:val="16"/>
              </w:rPr>
              <w:t>-</w:t>
            </w:r>
          </w:p>
        </w:tc>
        <w:tc>
          <w:tcPr>
            <w:tcW w:w="1417" w:type="dxa"/>
            <w:vAlign w:val="center"/>
          </w:tcPr>
          <w:p w14:paraId="0B803532" w14:textId="6A3E0D91" w:rsidR="00F2680E" w:rsidRPr="00086A18" w:rsidRDefault="00F2680E" w:rsidP="00450453">
            <w:pPr>
              <w:spacing w:line="259" w:lineRule="auto"/>
              <w:jc w:val="center"/>
              <w:rPr>
                <w:rFonts w:ascii="Times New Roman" w:hAnsi="Times New Roman" w:cs="Times New Roman"/>
                <w:b/>
                <w:sz w:val="16"/>
                <w:szCs w:val="16"/>
              </w:rPr>
            </w:pPr>
          </w:p>
        </w:tc>
        <w:tc>
          <w:tcPr>
            <w:tcW w:w="1247" w:type="dxa"/>
            <w:vAlign w:val="center"/>
          </w:tcPr>
          <w:p w14:paraId="50857B2E" w14:textId="77777777" w:rsidR="00F2680E" w:rsidRPr="00086A18" w:rsidRDefault="00F2680E" w:rsidP="001D7EE2">
            <w:pPr>
              <w:spacing w:line="259" w:lineRule="auto"/>
              <w:jc w:val="center"/>
              <w:rPr>
                <w:rFonts w:ascii="Times New Roman" w:hAnsi="Times New Roman" w:cs="Times New Roman"/>
                <w:b/>
                <w:sz w:val="16"/>
                <w:szCs w:val="16"/>
              </w:rPr>
            </w:pPr>
            <w:r w:rsidRPr="00086A18">
              <w:rPr>
                <w:rFonts w:ascii="Times New Roman" w:hAnsi="Times New Roman" w:cs="Times New Roman"/>
                <w:b/>
                <w:sz w:val="16"/>
                <w:szCs w:val="16"/>
              </w:rPr>
              <w:t>2021.-2030.</w:t>
            </w:r>
          </w:p>
        </w:tc>
      </w:tr>
      <w:tr w:rsidR="00F2680E" w14:paraId="5BDF9F86" w14:textId="77777777" w:rsidTr="00450453">
        <w:trPr>
          <w:trHeight w:val="697"/>
        </w:trPr>
        <w:tc>
          <w:tcPr>
            <w:tcW w:w="1101" w:type="dxa"/>
            <w:vAlign w:val="center"/>
          </w:tcPr>
          <w:p w14:paraId="6BF5CB2C" w14:textId="77777777" w:rsidR="00F2680E" w:rsidRPr="00C82C5F" w:rsidRDefault="00F2680E" w:rsidP="001D7EE2">
            <w:pPr>
              <w:spacing w:line="259" w:lineRule="auto"/>
              <w:jc w:val="center"/>
              <w:rPr>
                <w:rFonts w:ascii="Times New Roman" w:hAnsi="Times New Roman" w:cs="Times New Roman"/>
                <w:sz w:val="16"/>
                <w:szCs w:val="16"/>
              </w:rPr>
            </w:pPr>
          </w:p>
        </w:tc>
        <w:tc>
          <w:tcPr>
            <w:tcW w:w="1134" w:type="dxa"/>
            <w:vAlign w:val="center"/>
          </w:tcPr>
          <w:p w14:paraId="4F804FEB" w14:textId="145AC0AB" w:rsidR="00F2680E" w:rsidRPr="000F1E60" w:rsidRDefault="00C82916" w:rsidP="001D7EE2">
            <w:pPr>
              <w:spacing w:line="259" w:lineRule="auto"/>
              <w:jc w:val="center"/>
              <w:rPr>
                <w:rFonts w:ascii="Times New Roman" w:hAnsi="Times New Roman" w:cs="Times New Roman"/>
                <w:b/>
                <w:sz w:val="16"/>
                <w:szCs w:val="16"/>
              </w:rPr>
            </w:pPr>
            <w:r w:rsidRPr="00450453">
              <w:rPr>
                <w:rFonts w:ascii="Times New Roman" w:hAnsi="Times New Roman" w:cs="Times New Roman"/>
                <w:b/>
                <w:sz w:val="16"/>
                <w:szCs w:val="16"/>
              </w:rPr>
              <w:t>2. scenārijs</w:t>
            </w:r>
          </w:p>
        </w:tc>
        <w:tc>
          <w:tcPr>
            <w:tcW w:w="1729" w:type="dxa"/>
            <w:vAlign w:val="center"/>
          </w:tcPr>
          <w:p w14:paraId="0886CACF" w14:textId="77777777" w:rsidR="00F2680E" w:rsidRPr="00086A18" w:rsidRDefault="00F2680E" w:rsidP="001D7EE2">
            <w:pPr>
              <w:spacing w:line="259" w:lineRule="auto"/>
              <w:jc w:val="center"/>
              <w:rPr>
                <w:rFonts w:ascii="Times New Roman" w:hAnsi="Times New Roman" w:cs="Times New Roman"/>
                <w:b/>
                <w:sz w:val="16"/>
                <w:szCs w:val="16"/>
              </w:rPr>
            </w:pPr>
            <w:r w:rsidRPr="00086A18">
              <w:rPr>
                <w:rFonts w:ascii="Times New Roman" w:hAnsi="Times New Roman" w:cs="Times New Roman"/>
                <w:b/>
                <w:sz w:val="16"/>
                <w:szCs w:val="16"/>
              </w:rPr>
              <w:t>33.00.00 „Emisijas kvotu izsolīšanas instruments”</w:t>
            </w:r>
          </w:p>
        </w:tc>
        <w:tc>
          <w:tcPr>
            <w:tcW w:w="1134" w:type="dxa"/>
            <w:vAlign w:val="center"/>
          </w:tcPr>
          <w:p w14:paraId="361F11E9" w14:textId="77777777" w:rsidR="00F2680E" w:rsidRPr="00086A18" w:rsidRDefault="00F2680E" w:rsidP="001D7EE2">
            <w:pPr>
              <w:spacing w:line="259" w:lineRule="auto"/>
              <w:jc w:val="center"/>
              <w:rPr>
                <w:rFonts w:ascii="Times New Roman" w:hAnsi="Times New Roman" w:cs="Times New Roman"/>
                <w:b/>
                <w:sz w:val="16"/>
                <w:szCs w:val="16"/>
              </w:rPr>
            </w:pPr>
          </w:p>
        </w:tc>
        <w:tc>
          <w:tcPr>
            <w:tcW w:w="1106" w:type="dxa"/>
            <w:vAlign w:val="center"/>
          </w:tcPr>
          <w:p w14:paraId="60FEDFA6" w14:textId="77777777" w:rsidR="00F2680E" w:rsidRPr="00086A18" w:rsidRDefault="00F2680E" w:rsidP="001D7EE2">
            <w:pPr>
              <w:spacing w:line="259" w:lineRule="auto"/>
              <w:jc w:val="center"/>
              <w:rPr>
                <w:rFonts w:ascii="Times New Roman" w:hAnsi="Times New Roman" w:cs="Times New Roman"/>
                <w:b/>
                <w:sz w:val="16"/>
                <w:szCs w:val="16"/>
              </w:rPr>
            </w:pPr>
          </w:p>
        </w:tc>
        <w:tc>
          <w:tcPr>
            <w:tcW w:w="1134" w:type="dxa"/>
            <w:vAlign w:val="center"/>
          </w:tcPr>
          <w:p w14:paraId="2CD6D280" w14:textId="1377B527" w:rsidR="00F2680E" w:rsidRPr="000F1E60" w:rsidRDefault="00F2680E" w:rsidP="000F1E60">
            <w:pPr>
              <w:spacing w:line="259" w:lineRule="auto"/>
              <w:jc w:val="center"/>
              <w:rPr>
                <w:rFonts w:ascii="Times New Roman" w:hAnsi="Times New Roman" w:cs="Times New Roman"/>
                <w:b/>
                <w:sz w:val="16"/>
                <w:szCs w:val="16"/>
              </w:rPr>
            </w:pPr>
          </w:p>
        </w:tc>
        <w:tc>
          <w:tcPr>
            <w:tcW w:w="1021" w:type="dxa"/>
            <w:vAlign w:val="center"/>
          </w:tcPr>
          <w:p w14:paraId="48564141" w14:textId="77777777" w:rsidR="00F2680E" w:rsidRPr="000F1E60" w:rsidRDefault="00F2680E" w:rsidP="001D7EE2">
            <w:pPr>
              <w:spacing w:line="259" w:lineRule="auto"/>
              <w:jc w:val="center"/>
              <w:rPr>
                <w:rFonts w:ascii="Times New Roman" w:hAnsi="Times New Roman" w:cs="Times New Roman"/>
                <w:b/>
                <w:sz w:val="16"/>
                <w:szCs w:val="16"/>
              </w:rPr>
            </w:pPr>
          </w:p>
        </w:tc>
        <w:tc>
          <w:tcPr>
            <w:tcW w:w="992" w:type="dxa"/>
            <w:vAlign w:val="center"/>
          </w:tcPr>
          <w:p w14:paraId="301242C4" w14:textId="77777777" w:rsidR="00F2680E" w:rsidRPr="000F1E60" w:rsidRDefault="00F2680E" w:rsidP="001D7EE2">
            <w:pPr>
              <w:spacing w:line="259" w:lineRule="auto"/>
              <w:jc w:val="center"/>
              <w:rPr>
                <w:rFonts w:ascii="Times New Roman" w:hAnsi="Times New Roman" w:cs="Times New Roman"/>
                <w:b/>
                <w:sz w:val="16"/>
                <w:szCs w:val="16"/>
              </w:rPr>
            </w:pPr>
          </w:p>
        </w:tc>
        <w:tc>
          <w:tcPr>
            <w:tcW w:w="1134" w:type="dxa"/>
            <w:vAlign w:val="center"/>
          </w:tcPr>
          <w:p w14:paraId="47981F1C" w14:textId="569C0AED" w:rsidR="00F2680E" w:rsidRPr="000F1E60" w:rsidRDefault="00F2680E" w:rsidP="000F1E60">
            <w:pPr>
              <w:spacing w:line="259" w:lineRule="auto"/>
              <w:jc w:val="center"/>
              <w:rPr>
                <w:rFonts w:ascii="Times New Roman" w:hAnsi="Times New Roman" w:cs="Times New Roman"/>
                <w:b/>
                <w:sz w:val="16"/>
                <w:szCs w:val="16"/>
              </w:rPr>
            </w:pPr>
            <w:r w:rsidRPr="000F1E60">
              <w:rPr>
                <w:rFonts w:ascii="Times New Roman" w:hAnsi="Times New Roman" w:cs="Times New Roman"/>
                <w:b/>
                <w:sz w:val="16"/>
                <w:szCs w:val="16"/>
              </w:rPr>
              <w:t>-10,</w:t>
            </w:r>
            <w:r w:rsidR="000F1E60">
              <w:rPr>
                <w:rFonts w:ascii="Times New Roman" w:hAnsi="Times New Roman" w:cs="Times New Roman"/>
                <w:b/>
                <w:sz w:val="16"/>
                <w:szCs w:val="16"/>
              </w:rPr>
              <w:t>29</w:t>
            </w:r>
            <w:r w:rsidR="00644C91">
              <w:rPr>
                <w:rFonts w:ascii="Times New Roman" w:hAnsi="Times New Roman" w:cs="Times New Roman"/>
                <w:b/>
                <w:sz w:val="16"/>
                <w:szCs w:val="16"/>
              </w:rPr>
              <w:t>*</w:t>
            </w:r>
          </w:p>
        </w:tc>
        <w:tc>
          <w:tcPr>
            <w:tcW w:w="1701" w:type="dxa"/>
            <w:vAlign w:val="center"/>
          </w:tcPr>
          <w:p w14:paraId="31EE6112" w14:textId="70A91F0D" w:rsidR="00F2680E" w:rsidRPr="000F1E60" w:rsidRDefault="00F2680E" w:rsidP="001D7EE2">
            <w:pPr>
              <w:spacing w:line="259" w:lineRule="auto"/>
              <w:jc w:val="center"/>
              <w:rPr>
                <w:rFonts w:ascii="Times New Roman" w:hAnsi="Times New Roman" w:cs="Times New Roman"/>
                <w:b/>
                <w:sz w:val="16"/>
                <w:szCs w:val="16"/>
              </w:rPr>
            </w:pPr>
            <w:r w:rsidRPr="000F1E60">
              <w:rPr>
                <w:rFonts w:ascii="Times New Roman" w:hAnsi="Times New Roman" w:cs="Times New Roman"/>
                <w:b/>
                <w:sz w:val="16"/>
                <w:szCs w:val="16"/>
              </w:rPr>
              <w:t>-92,6</w:t>
            </w:r>
            <w:r w:rsidR="000F1E60">
              <w:rPr>
                <w:rFonts w:ascii="Times New Roman" w:hAnsi="Times New Roman" w:cs="Times New Roman"/>
                <w:b/>
                <w:sz w:val="16"/>
                <w:szCs w:val="16"/>
              </w:rPr>
              <w:t>3</w:t>
            </w:r>
          </w:p>
        </w:tc>
        <w:tc>
          <w:tcPr>
            <w:tcW w:w="1417" w:type="dxa"/>
          </w:tcPr>
          <w:p w14:paraId="210EB899" w14:textId="77777777" w:rsidR="00F2680E" w:rsidRPr="00086A18" w:rsidRDefault="00F2680E" w:rsidP="001D7EE2">
            <w:pPr>
              <w:spacing w:line="259" w:lineRule="auto"/>
              <w:jc w:val="both"/>
              <w:rPr>
                <w:rFonts w:ascii="Times New Roman" w:hAnsi="Times New Roman" w:cs="Times New Roman"/>
                <w:b/>
                <w:sz w:val="16"/>
                <w:szCs w:val="16"/>
              </w:rPr>
            </w:pPr>
          </w:p>
        </w:tc>
        <w:tc>
          <w:tcPr>
            <w:tcW w:w="1247" w:type="dxa"/>
            <w:vAlign w:val="center"/>
          </w:tcPr>
          <w:p w14:paraId="4CCC7CE1" w14:textId="77777777" w:rsidR="00F2680E" w:rsidRPr="00086A18" w:rsidRDefault="00F2680E" w:rsidP="001D7EE2">
            <w:pPr>
              <w:spacing w:line="259" w:lineRule="auto"/>
              <w:jc w:val="center"/>
              <w:rPr>
                <w:rFonts w:ascii="Times New Roman" w:hAnsi="Times New Roman" w:cs="Times New Roman"/>
                <w:b/>
                <w:sz w:val="16"/>
                <w:szCs w:val="16"/>
              </w:rPr>
            </w:pPr>
            <w:r w:rsidRPr="00086A18">
              <w:rPr>
                <w:rFonts w:ascii="Times New Roman" w:hAnsi="Times New Roman" w:cs="Times New Roman"/>
                <w:b/>
                <w:sz w:val="16"/>
                <w:szCs w:val="16"/>
              </w:rPr>
              <w:t>2021.-2030.</w:t>
            </w:r>
          </w:p>
        </w:tc>
      </w:tr>
    </w:tbl>
    <w:p w14:paraId="7AD1C18D" w14:textId="44E8BF2C" w:rsidR="002C36F7" w:rsidRPr="0076107A" w:rsidRDefault="00644C91" w:rsidP="0076107A">
      <w:pPr>
        <w:tabs>
          <w:tab w:val="left" w:pos="5085"/>
        </w:tabs>
        <w:rPr>
          <w:rFonts w:ascii="Times New Roman" w:hAnsi="Times New Roman" w:cs="Times New Roman"/>
          <w:sz w:val="24"/>
          <w:szCs w:val="24"/>
        </w:rPr>
      </w:pPr>
      <w:r>
        <w:rPr>
          <w:rFonts w:ascii="Times New Roman" w:hAnsi="Times New Roman" w:cs="Times New Roman"/>
          <w:sz w:val="24"/>
          <w:szCs w:val="24"/>
        </w:rPr>
        <w:t>*</w:t>
      </w:r>
      <w:r w:rsidR="00D932CC">
        <w:rPr>
          <w:rFonts w:ascii="Times New Roman" w:hAnsi="Times New Roman" w:cs="Times New Roman"/>
          <w:sz w:val="24"/>
          <w:szCs w:val="24"/>
        </w:rPr>
        <w:t xml:space="preserve"> </w:t>
      </w:r>
      <w:r>
        <w:rPr>
          <w:rFonts w:ascii="Times New Roman" w:hAnsi="Times New Roman" w:cs="Times New Roman"/>
          <w:sz w:val="24"/>
          <w:szCs w:val="24"/>
        </w:rPr>
        <w:t>Šie līdzekļi nenozīmē papildus finansējumu pieprasījumu, bet gan potenciālo samazinājumu emisiju kvotu izsoļu ieņēmumos, kas attiecīgi nozīmē samazinājumu potenciāli pieejamo Emisijas kvotu izsolīšanas instrumenta finansējumu.</w:t>
      </w:r>
    </w:p>
    <w:sectPr w:rsidR="002C36F7" w:rsidRPr="0076107A" w:rsidSect="00450453">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C2A53" w14:textId="77777777" w:rsidR="00D95F8F" w:rsidRDefault="00D95F8F" w:rsidP="00D64BCF">
      <w:pPr>
        <w:spacing w:after="0" w:line="240" w:lineRule="auto"/>
      </w:pPr>
      <w:r>
        <w:separator/>
      </w:r>
    </w:p>
  </w:endnote>
  <w:endnote w:type="continuationSeparator" w:id="0">
    <w:p w14:paraId="3DC971AB" w14:textId="77777777" w:rsidR="00D95F8F" w:rsidRDefault="00D95F8F" w:rsidP="00D64BCF">
      <w:pPr>
        <w:spacing w:after="0" w:line="240" w:lineRule="auto"/>
      </w:pPr>
      <w:r>
        <w:continuationSeparator/>
      </w:r>
    </w:p>
  </w:endnote>
  <w:endnote w:type="continuationNotice" w:id="1">
    <w:p w14:paraId="398753BA" w14:textId="77777777" w:rsidR="00D95F8F" w:rsidRDefault="00D95F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33B94" w14:textId="2BBE5AAD" w:rsidR="00D95F8F" w:rsidRPr="00047C72" w:rsidRDefault="00D95F8F" w:rsidP="00047C72">
    <w:pPr>
      <w:pStyle w:val="Footer"/>
      <w:ind w:right="360"/>
      <w:jc w:val="both"/>
      <w:rPr>
        <w:rFonts w:ascii="Times New Roman" w:hAnsi="Times New Roman" w:cs="Times New Roman"/>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Pr>
        <w:rFonts w:ascii="Times New Roman" w:hAnsi="Times New Roman" w:cs="Times New Roman"/>
        <w:noProof/>
        <w:sz w:val="20"/>
        <w:szCs w:val="20"/>
      </w:rPr>
      <w:t>VARAMKonc_180619_bezmaksas_kvotu_pieskirsana</w:t>
    </w:r>
    <w:r>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9F703" w14:textId="5FD96FF6" w:rsidR="00D95F8F" w:rsidRPr="001618DE" w:rsidRDefault="00D95F8F" w:rsidP="001618DE">
    <w:pPr>
      <w:pStyle w:val="Footer"/>
      <w:ind w:right="360"/>
      <w:jc w:val="both"/>
      <w:rPr>
        <w:rFonts w:ascii="Times New Roman" w:hAnsi="Times New Roman" w:cs="Times New Roman"/>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Pr>
        <w:rFonts w:ascii="Times New Roman" w:hAnsi="Times New Roman" w:cs="Times New Roman"/>
        <w:noProof/>
        <w:sz w:val="20"/>
        <w:szCs w:val="20"/>
      </w:rPr>
      <w:t>VARAMKonc_180619_bezmaksas_kvotu_pieskirsana</w:t>
    </w:r>
    <w:r>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F0C49" w14:textId="77777777" w:rsidR="00D95F8F" w:rsidRDefault="00D95F8F" w:rsidP="00D64BCF">
      <w:pPr>
        <w:spacing w:after="0" w:line="240" w:lineRule="auto"/>
      </w:pPr>
      <w:r>
        <w:separator/>
      </w:r>
    </w:p>
  </w:footnote>
  <w:footnote w:type="continuationSeparator" w:id="0">
    <w:p w14:paraId="40F126D3" w14:textId="77777777" w:rsidR="00D95F8F" w:rsidRDefault="00D95F8F" w:rsidP="00D64BCF">
      <w:pPr>
        <w:spacing w:after="0" w:line="240" w:lineRule="auto"/>
      </w:pPr>
      <w:r>
        <w:continuationSeparator/>
      </w:r>
    </w:p>
  </w:footnote>
  <w:footnote w:type="continuationNotice" w:id="1">
    <w:p w14:paraId="71BBE121" w14:textId="77777777" w:rsidR="00D95F8F" w:rsidRDefault="00D95F8F">
      <w:pPr>
        <w:spacing w:after="0" w:line="240" w:lineRule="auto"/>
      </w:pPr>
    </w:p>
  </w:footnote>
  <w:footnote w:id="2">
    <w:p w14:paraId="52FE1D71" w14:textId="77777777" w:rsidR="00D95F8F" w:rsidRPr="00E850B1" w:rsidRDefault="00D95F8F" w:rsidP="00A00CC4">
      <w:pPr>
        <w:pStyle w:val="FootnoteText"/>
        <w:jc w:val="both"/>
        <w:rPr>
          <w:rFonts w:ascii="Times New Roman" w:hAnsi="Times New Roman" w:cs="Times New Roman"/>
        </w:rPr>
      </w:pPr>
      <w:r w:rsidRPr="00E850B1">
        <w:rPr>
          <w:rStyle w:val="FootnoteReference"/>
          <w:rFonts w:ascii="Times New Roman" w:hAnsi="Times New Roman" w:cs="Times New Roman"/>
        </w:rPr>
        <w:footnoteRef/>
      </w:r>
      <w:r w:rsidRPr="00E850B1">
        <w:rPr>
          <w:rFonts w:ascii="Times New Roman" w:hAnsi="Times New Roman" w:cs="Times New Roman"/>
        </w:rPr>
        <w:t xml:space="preserve"> Direktīvas 2018/410 nosacījumi Latvijas likumdošanā jāpārņem līdz 2019. gada 9. oktobrim.</w:t>
      </w:r>
    </w:p>
  </w:footnote>
  <w:footnote w:id="3">
    <w:p w14:paraId="58C73533" w14:textId="535D06E4" w:rsidR="00D95F8F" w:rsidRDefault="00D95F8F" w:rsidP="00A00CC4">
      <w:pPr>
        <w:pStyle w:val="FootnoteText"/>
        <w:jc w:val="both"/>
      </w:pPr>
      <w:r w:rsidRPr="00E25EF5">
        <w:rPr>
          <w:rStyle w:val="FootnoteReference"/>
          <w:rFonts w:ascii="Times New Roman" w:hAnsi="Times New Roman" w:cs="Times New Roman"/>
        </w:rPr>
        <w:footnoteRef/>
      </w:r>
      <w:r w:rsidRPr="00E25EF5">
        <w:rPr>
          <w:rFonts w:ascii="Times New Roman" w:hAnsi="Times New Roman" w:cs="Times New Roman"/>
        </w:rPr>
        <w:t xml:space="preserve"> </w:t>
      </w:r>
      <w:r w:rsidRPr="00E850B1">
        <w:rPr>
          <w:rFonts w:ascii="Times New Roman" w:hAnsi="Times New Roman" w:cs="Times New Roman"/>
        </w:rPr>
        <w:t>Direktīvas 2003/87/EK nosacījumi ir pārņemti likumā “Par piesārņojumu”, Ministru kabineta 2012.gada 13.novembra noteikumos Nr.769 "Noteikumi par stacionāro tehnoloģisko iekārtu dalību Eiropas Savienības emisijas kvotu tirdzniecības sistēmā, Ministru kabineta 2012.gada 25.septembra noteikumos Nr.657 „Latvijai piešķirto emisijas kvotu izsolīšanas kārtība”, Ministru kabineta 2013. gada 26. februāra noteikumos Nr.112 "Emisijas kvotu piešķiršanas kārtība stacionāro tehnoloģisko iekārtu operatoriem", Ministru kabineta 2014. gada 20. maija noteikumos Nr. 250 "Noteikumi par darbībām emisijas reģistrā",</w:t>
      </w:r>
    </w:p>
  </w:footnote>
  <w:footnote w:id="4">
    <w:p w14:paraId="6216A714" w14:textId="77777777" w:rsidR="00D95F8F" w:rsidRPr="0098642F" w:rsidRDefault="00D95F8F">
      <w:pPr>
        <w:pStyle w:val="FootnoteText"/>
        <w:rPr>
          <w:rFonts w:ascii="Times New Roman" w:hAnsi="Times New Roman" w:cs="Times New Roman"/>
        </w:rPr>
      </w:pPr>
      <w:r w:rsidRPr="0098642F">
        <w:rPr>
          <w:rStyle w:val="FootnoteReference"/>
          <w:rFonts w:ascii="Times New Roman" w:hAnsi="Times New Roman" w:cs="Times New Roman"/>
        </w:rPr>
        <w:footnoteRef/>
      </w:r>
      <w:r w:rsidRPr="0098642F">
        <w:rPr>
          <w:rFonts w:ascii="Times New Roman" w:hAnsi="Times New Roman" w:cs="Times New Roman"/>
        </w:rPr>
        <w:t xml:space="preserve"> </w:t>
      </w:r>
      <w:r w:rsidRPr="0098642F">
        <w:rPr>
          <w:rFonts w:ascii="Times New Roman" w:hAnsi="Times New Roman" w:cs="Times New Roman"/>
        </w:rPr>
        <w:t xml:space="preserve">2011. gada 30. augusta Ministru kabineta sēdes protokols Nr. 50, 73.§, pieejams tiešsaistē: </w:t>
      </w:r>
      <w:hyperlink r:id="rId1" w:history="1">
        <w:r w:rsidRPr="0098642F">
          <w:rPr>
            <w:rStyle w:val="Hyperlink"/>
            <w:rFonts w:ascii="Times New Roman" w:hAnsi="Times New Roman" w:cs="Times New Roman"/>
          </w:rPr>
          <w:t>http://tap.mk.gov.lv/mk/mksedes/saraksts/protokols/?protokols=2011-08-30</w:t>
        </w:r>
      </w:hyperlink>
      <w:r w:rsidRPr="0098642F">
        <w:rPr>
          <w:rFonts w:ascii="Times New Roman" w:hAnsi="Times New Roman" w:cs="Times New Roman"/>
        </w:rPr>
        <w:t xml:space="preserve"> </w:t>
      </w:r>
    </w:p>
  </w:footnote>
  <w:footnote w:id="5">
    <w:p w14:paraId="08090CAE" w14:textId="6E38788D" w:rsidR="00D95F8F" w:rsidRPr="00E25EF5" w:rsidRDefault="00D95F8F">
      <w:pPr>
        <w:pStyle w:val="FootnoteText"/>
        <w:rPr>
          <w:rFonts w:ascii="Times New Roman" w:hAnsi="Times New Roman" w:cs="Times New Roman"/>
        </w:rPr>
      </w:pPr>
      <w:r w:rsidRPr="00E25EF5">
        <w:rPr>
          <w:rStyle w:val="FootnoteReference"/>
          <w:rFonts w:ascii="Times New Roman" w:hAnsi="Times New Roman" w:cs="Times New Roman"/>
        </w:rPr>
        <w:footnoteRef/>
      </w:r>
      <w:r w:rsidRPr="00E25EF5">
        <w:rPr>
          <w:rFonts w:ascii="Times New Roman" w:hAnsi="Times New Roman" w:cs="Times New Roman"/>
        </w:rPr>
        <w:t xml:space="preserve"> </w:t>
      </w:r>
      <w:r w:rsidRPr="0098642F">
        <w:rPr>
          <w:rFonts w:ascii="Times New Roman" w:hAnsi="Times New Roman" w:cs="Times New Roman"/>
        </w:rPr>
        <w:t xml:space="preserve">Emisijas kvotas, kas piešķirtas saskaņā ar Direktīvas 2003/87/EK 10. panta 2.punkta a) apakšpunktu visām ETS dalībvalstīm </w:t>
      </w:r>
    </w:p>
  </w:footnote>
  <w:footnote w:id="6">
    <w:p w14:paraId="3564986E" w14:textId="2DA48D5D" w:rsidR="00D95F8F" w:rsidRPr="0098642F" w:rsidRDefault="00D95F8F" w:rsidP="00AD1058">
      <w:pPr>
        <w:pStyle w:val="FootnoteText"/>
        <w:rPr>
          <w:rFonts w:ascii="Times New Roman" w:hAnsi="Times New Roman" w:cs="Times New Roman"/>
        </w:rPr>
      </w:pPr>
      <w:r w:rsidRPr="0098642F">
        <w:rPr>
          <w:rStyle w:val="FootnoteReference"/>
          <w:rFonts w:ascii="Times New Roman" w:hAnsi="Times New Roman" w:cs="Times New Roman"/>
        </w:rPr>
        <w:footnoteRef/>
      </w:r>
      <w:r w:rsidRPr="0098642F">
        <w:rPr>
          <w:rFonts w:ascii="Times New Roman" w:hAnsi="Times New Roman" w:cs="Times New Roman"/>
        </w:rPr>
        <w:t xml:space="preserve"> </w:t>
      </w:r>
      <w:r w:rsidRPr="0098642F">
        <w:rPr>
          <w:rFonts w:ascii="Times New Roman" w:hAnsi="Times New Roman" w:cs="Times New Roman"/>
        </w:rPr>
        <w:t>Emisijas kvotas, kas piešķirtas saskaņā ar Direktīvas 2003/87/EK 10. panta 2.punkta b) apakšpunktu. Tās tiks piešķirtas tikai 16 ES dalībvalstīm, t.sk. Latvijai</w:t>
      </w:r>
    </w:p>
  </w:footnote>
  <w:footnote w:id="7">
    <w:p w14:paraId="1D684DC8" w14:textId="77777777" w:rsidR="00D95F8F" w:rsidRPr="0098642F" w:rsidRDefault="00D95F8F" w:rsidP="006E2330">
      <w:pPr>
        <w:pStyle w:val="FootnoteText"/>
        <w:rPr>
          <w:rFonts w:ascii="Times New Roman" w:hAnsi="Times New Roman" w:cs="Times New Roman"/>
        </w:rPr>
      </w:pPr>
      <w:r w:rsidRPr="00DC6DE7">
        <w:rPr>
          <w:rStyle w:val="FootnoteReference"/>
          <w:rFonts w:ascii="Times New Roman" w:hAnsi="Times New Roman" w:cs="Times New Roman"/>
        </w:rPr>
        <w:footnoteRef/>
      </w:r>
      <w:r w:rsidRPr="0098642F">
        <w:rPr>
          <w:rFonts w:ascii="Times New Roman" w:hAnsi="Times New Roman" w:cs="Times New Roman"/>
        </w:rPr>
        <w:t xml:space="preserve"> </w:t>
      </w:r>
      <w:r w:rsidRPr="0098642F">
        <w:rPr>
          <w:rFonts w:ascii="Times New Roman" w:hAnsi="Times New Roman" w:cs="Times New Roman"/>
        </w:rPr>
        <w:t xml:space="preserve">2011. gada 30. augusta Ministru kabineta sēdes protokols Nr. 50, 73.§, pieejams tiešsaistē: </w:t>
      </w:r>
      <w:hyperlink r:id="rId2" w:history="1">
        <w:r w:rsidRPr="0098642F">
          <w:rPr>
            <w:rStyle w:val="Hyperlink"/>
            <w:rFonts w:ascii="Times New Roman" w:hAnsi="Times New Roman" w:cs="Times New Roman"/>
          </w:rPr>
          <w:t>http://tap.mk.gov.lv/mk/mksedes/saraksts/protokols/?protokols=2011-08-30</w:t>
        </w:r>
      </w:hyperlink>
      <w:r w:rsidRPr="0098642F">
        <w:rPr>
          <w:rFonts w:ascii="Times New Roman" w:hAnsi="Times New Roman" w:cs="Times New Roman"/>
        </w:rPr>
        <w:t xml:space="preserve"> </w:t>
      </w:r>
    </w:p>
  </w:footnote>
  <w:footnote w:id="8">
    <w:p w14:paraId="63F1D10D" w14:textId="645127F0" w:rsidR="00D95F8F" w:rsidRPr="00E25EF5" w:rsidRDefault="00D95F8F">
      <w:pPr>
        <w:pStyle w:val="FootnoteText"/>
        <w:rPr>
          <w:rFonts w:ascii="Times New Roman" w:hAnsi="Times New Roman" w:cs="Times New Roman"/>
        </w:rPr>
      </w:pPr>
      <w:r w:rsidRPr="00E25EF5">
        <w:rPr>
          <w:rStyle w:val="FootnoteReference"/>
          <w:rFonts w:ascii="Times New Roman" w:hAnsi="Times New Roman" w:cs="Times New Roman"/>
        </w:rPr>
        <w:footnoteRef/>
      </w:r>
      <w:r w:rsidRPr="00E25EF5">
        <w:rPr>
          <w:rFonts w:ascii="Times New Roman" w:hAnsi="Times New Roman" w:cs="Times New Roman"/>
        </w:rPr>
        <w:t xml:space="preserve"> </w:t>
      </w:r>
      <w:r w:rsidRPr="0098642F">
        <w:rPr>
          <w:rFonts w:ascii="Times New Roman" w:hAnsi="Times New Roman" w:cs="Times New Roman"/>
        </w:rPr>
        <w:t xml:space="preserve">Kvotu </w:t>
      </w:r>
      <w:proofErr w:type="spellStart"/>
      <w:r w:rsidRPr="0098642F">
        <w:rPr>
          <w:rFonts w:ascii="Times New Roman" w:hAnsi="Times New Roman" w:cs="Times New Roman"/>
        </w:rPr>
        <w:t>monetizēšana</w:t>
      </w:r>
      <w:proofErr w:type="spellEnd"/>
      <w:r w:rsidRPr="0098642F">
        <w:rPr>
          <w:rFonts w:ascii="Times New Roman" w:hAnsi="Times New Roman" w:cs="Times New Roman"/>
        </w:rPr>
        <w:t xml:space="preserve"> paliek iekārtu operatoru ziņā.</w:t>
      </w:r>
    </w:p>
  </w:footnote>
  <w:footnote w:id="9">
    <w:p w14:paraId="7E1A39EB" w14:textId="645626CB" w:rsidR="00D95F8F" w:rsidRPr="0098642F" w:rsidRDefault="00D95F8F" w:rsidP="001618DE">
      <w:pPr>
        <w:pStyle w:val="FootnoteText"/>
        <w:jc w:val="both"/>
        <w:rPr>
          <w:rFonts w:ascii="Times New Roman" w:hAnsi="Times New Roman" w:cs="Times New Roman"/>
        </w:rPr>
      </w:pPr>
      <w:r w:rsidRPr="0098642F">
        <w:rPr>
          <w:rStyle w:val="FootnoteReference"/>
          <w:rFonts w:ascii="Times New Roman" w:hAnsi="Times New Roman" w:cs="Times New Roman"/>
        </w:rPr>
        <w:footnoteRef/>
      </w:r>
      <w:r w:rsidRPr="0098642F">
        <w:rPr>
          <w:rFonts w:ascii="Times New Roman" w:hAnsi="Times New Roman" w:cs="Times New Roman"/>
        </w:rPr>
        <w:t xml:space="preserve"> </w:t>
      </w:r>
      <w:r w:rsidRPr="0098642F">
        <w:rPr>
          <w:rFonts w:ascii="Times New Roman" w:hAnsi="Times New Roman" w:cs="Times New Roman"/>
        </w:rPr>
        <w:t xml:space="preserve">Platforma, kas izvēlēta </w:t>
      </w:r>
      <w:r w:rsidRPr="0098642F">
        <w:rPr>
          <w:rFonts w:ascii="Times New Roman" w:hAnsi="Times New Roman" w:cs="Times New Roman"/>
          <w:color w:val="000000"/>
          <w:spacing w:val="-2"/>
        </w:rPr>
        <w:t xml:space="preserve">Kopīgā iepirkuma nolīguma par kopēju izsoles platformu iepirkumu ietvaros. </w:t>
      </w:r>
      <w:proofErr w:type="spellStart"/>
      <w:r w:rsidRPr="0098642F">
        <w:rPr>
          <w:rFonts w:ascii="Times New Roman" w:hAnsi="Times New Roman" w:cs="Times New Roman"/>
          <w:color w:val="000000"/>
          <w:spacing w:val="-2"/>
        </w:rPr>
        <w:t>European</w:t>
      </w:r>
      <w:proofErr w:type="spellEnd"/>
      <w:r w:rsidRPr="0098642F">
        <w:rPr>
          <w:rFonts w:ascii="Times New Roman" w:hAnsi="Times New Roman" w:cs="Times New Roman"/>
          <w:color w:val="000000"/>
          <w:spacing w:val="-2"/>
        </w:rPr>
        <w:t xml:space="preserve"> </w:t>
      </w:r>
      <w:proofErr w:type="spellStart"/>
      <w:r w:rsidRPr="0098642F">
        <w:rPr>
          <w:rFonts w:ascii="Times New Roman" w:hAnsi="Times New Roman" w:cs="Times New Roman"/>
          <w:color w:val="000000"/>
          <w:spacing w:val="-2"/>
        </w:rPr>
        <w:t>Energy</w:t>
      </w:r>
      <w:proofErr w:type="spellEnd"/>
      <w:r w:rsidRPr="0098642F">
        <w:rPr>
          <w:rFonts w:ascii="Times New Roman" w:hAnsi="Times New Roman" w:cs="Times New Roman"/>
          <w:color w:val="000000"/>
          <w:spacing w:val="-2"/>
        </w:rPr>
        <w:t xml:space="preserve"> Exchange</w:t>
      </w:r>
      <w:r w:rsidRPr="00DC6DE7">
        <w:rPr>
          <w:rFonts w:ascii="Times New Roman" w:hAnsi="Times New Roman" w:cs="Times New Roman"/>
        </w:rPr>
        <w:t xml:space="preserve"> (turpmāk - </w:t>
      </w:r>
      <w:r w:rsidRPr="0098642F">
        <w:rPr>
          <w:rFonts w:ascii="Times New Roman" w:hAnsi="Times New Roman" w:cs="Times New Roman"/>
        </w:rPr>
        <w:t>EEX) uzvarēja kopīgajā iepirkumā par pastāvīgo kopējo izsoles platformu 2016. gadā 15. jūlijā un tā rezultātā ir noslēgts šobrīd spēkā esošs pakalpojuma līgums par Kopējo izsoļu platformu. EEX nodrošina emisiju kvotu izsoles 25 ES dalībvalstīm, t.sk. Latvijai. Tuvākajā nākotnē izsolēm plāno pievienoties Norvēģija, Islande un Lihtenšteina.</w:t>
      </w:r>
    </w:p>
  </w:footnote>
  <w:footnote w:id="10">
    <w:p w14:paraId="61C78E65" w14:textId="66C8A1F0" w:rsidR="00D95F8F" w:rsidRPr="0098642F" w:rsidRDefault="00D95F8F">
      <w:pPr>
        <w:pStyle w:val="FootnoteText"/>
        <w:rPr>
          <w:rFonts w:ascii="Times New Roman" w:hAnsi="Times New Roman" w:cs="Times New Roman"/>
        </w:rPr>
      </w:pPr>
      <w:r w:rsidRPr="0098642F">
        <w:rPr>
          <w:rStyle w:val="FootnoteReference"/>
          <w:rFonts w:ascii="Times New Roman" w:hAnsi="Times New Roman" w:cs="Times New Roman"/>
        </w:rPr>
        <w:footnoteRef/>
      </w:r>
      <w:r w:rsidRPr="0098642F">
        <w:rPr>
          <w:rFonts w:ascii="Times New Roman" w:hAnsi="Times New Roman" w:cs="Times New Roman"/>
        </w:rPr>
        <w:t xml:space="preserve"> </w:t>
      </w:r>
      <w:r w:rsidRPr="0098642F">
        <w:rPr>
          <w:rFonts w:ascii="Times New Roman" w:hAnsi="Times New Roman" w:cs="Times New Roman"/>
        </w:rPr>
        <w:t>Ar šo Direktīvas punktu tiek noteikts kopējais dalībvalstīm izsolāmais emisiju kvotu pamatapjoms.</w:t>
      </w:r>
    </w:p>
  </w:footnote>
  <w:footnote w:id="11">
    <w:p w14:paraId="1A14A108" w14:textId="77777777" w:rsidR="00D95F8F" w:rsidRPr="0098642F" w:rsidRDefault="00D95F8F" w:rsidP="004A7A1F">
      <w:pPr>
        <w:pStyle w:val="FootnoteText"/>
        <w:rPr>
          <w:rFonts w:ascii="Times New Roman" w:hAnsi="Times New Roman" w:cs="Times New Roman"/>
        </w:rPr>
      </w:pPr>
      <w:r w:rsidRPr="0098642F">
        <w:rPr>
          <w:rStyle w:val="FootnoteReference"/>
          <w:rFonts w:ascii="Times New Roman" w:hAnsi="Times New Roman" w:cs="Times New Roman"/>
        </w:rPr>
        <w:footnoteRef/>
      </w:r>
      <w:r w:rsidRPr="0098642F">
        <w:rPr>
          <w:rFonts w:ascii="Times New Roman" w:hAnsi="Times New Roman" w:cs="Times New Roman"/>
        </w:rPr>
        <w:t xml:space="preserve"> </w:t>
      </w:r>
      <w:r w:rsidRPr="0098642F">
        <w:rPr>
          <w:rFonts w:ascii="Times New Roman" w:hAnsi="Times New Roman" w:cs="Times New Roman"/>
        </w:rPr>
        <w:t>https://unfccc.int/process-and-meetings/transparency-and-reporting/reporting-and-review-under-the-convention/greenhouse-gas-inventories-annex-i-parties/national-inventory-submissions-2018</w:t>
      </w:r>
    </w:p>
  </w:footnote>
  <w:footnote w:id="12">
    <w:p w14:paraId="24725F90" w14:textId="77777777" w:rsidR="00D95F8F" w:rsidRPr="0098642F" w:rsidRDefault="00D95F8F" w:rsidP="001E2E5A">
      <w:pPr>
        <w:pStyle w:val="FootnoteText"/>
        <w:rPr>
          <w:rFonts w:ascii="Times New Roman" w:hAnsi="Times New Roman" w:cs="Times New Roman"/>
        </w:rPr>
      </w:pPr>
      <w:r w:rsidRPr="0098642F">
        <w:rPr>
          <w:rStyle w:val="FootnoteReference"/>
          <w:rFonts w:ascii="Times New Roman" w:hAnsi="Times New Roman" w:cs="Times New Roman"/>
        </w:rPr>
        <w:footnoteRef/>
      </w:r>
      <w:r w:rsidRPr="0098642F">
        <w:rPr>
          <w:rFonts w:ascii="Times New Roman" w:hAnsi="Times New Roman" w:cs="Times New Roman"/>
        </w:rPr>
        <w:t xml:space="preserve"> </w:t>
      </w:r>
      <w:r w:rsidRPr="0098642F">
        <w:rPr>
          <w:rFonts w:ascii="Times New Roman" w:hAnsi="Times New Roman" w:cs="Times New Roman"/>
        </w:rPr>
        <w:t>https://cdr.eionet.europa.eu/lv/eu/mmr/art08_proxy/envw07vaw/</w:t>
      </w:r>
    </w:p>
  </w:footnote>
  <w:footnote w:id="13">
    <w:p w14:paraId="36BD2190" w14:textId="613B2CB2" w:rsidR="00D95F8F" w:rsidRPr="0098642F" w:rsidRDefault="00D95F8F">
      <w:pPr>
        <w:pStyle w:val="FootnoteText"/>
        <w:rPr>
          <w:rFonts w:ascii="Times New Roman" w:hAnsi="Times New Roman" w:cs="Times New Roman"/>
        </w:rPr>
      </w:pPr>
      <w:r w:rsidRPr="0098642F">
        <w:rPr>
          <w:rStyle w:val="FootnoteReference"/>
          <w:rFonts w:ascii="Times New Roman" w:hAnsi="Times New Roman" w:cs="Times New Roman"/>
        </w:rPr>
        <w:footnoteRef/>
      </w:r>
      <w:r w:rsidRPr="0098642F">
        <w:rPr>
          <w:rFonts w:ascii="Times New Roman" w:hAnsi="Times New Roman" w:cs="Times New Roman"/>
        </w:rPr>
        <w:t xml:space="preserve"> </w:t>
      </w:r>
      <w:hyperlink r:id="rId3" w:history="1">
        <w:r w:rsidRPr="0098642F">
          <w:rPr>
            <w:rStyle w:val="Hyperlink"/>
            <w:rFonts w:ascii="Times New Roman" w:hAnsi="Times New Roman" w:cs="Times New Roman"/>
          </w:rPr>
          <w:t>https://www.csb.gov.lv/lv/statistika/statistikas-temas/vide-energetika/energetika/meklet-tema/2407-atjaunigo-energoresursu-paterins-2017-gada</w:t>
        </w:r>
      </w:hyperlink>
      <w:r w:rsidRPr="0098642F">
        <w:rPr>
          <w:rFonts w:ascii="Times New Roman" w:hAnsi="Times New Roman" w:cs="Times New Roman"/>
        </w:rPr>
        <w:t xml:space="preserve"> </w:t>
      </w:r>
    </w:p>
  </w:footnote>
  <w:footnote w:id="14">
    <w:p w14:paraId="52C8DEDE" w14:textId="77777777" w:rsidR="00D95F8F" w:rsidRPr="0098642F" w:rsidRDefault="00D95F8F">
      <w:pPr>
        <w:pStyle w:val="FootnoteText"/>
        <w:rPr>
          <w:rFonts w:ascii="Times New Roman" w:hAnsi="Times New Roman" w:cs="Times New Roman"/>
        </w:rPr>
      </w:pPr>
      <w:r w:rsidRPr="0098642F">
        <w:rPr>
          <w:rStyle w:val="FootnoteReference"/>
          <w:rFonts w:ascii="Times New Roman" w:hAnsi="Times New Roman" w:cs="Times New Roman"/>
        </w:rPr>
        <w:footnoteRef/>
      </w:r>
      <w:r w:rsidRPr="0098642F">
        <w:rPr>
          <w:rFonts w:ascii="Times New Roman" w:hAnsi="Times New Roman" w:cs="Times New Roman"/>
        </w:rPr>
        <w:t xml:space="preserve"> </w:t>
      </w:r>
      <w:hyperlink r:id="rId4" w:history="1">
        <w:r w:rsidRPr="0098642F">
          <w:rPr>
            <w:rStyle w:val="Hyperlink"/>
            <w:rFonts w:ascii="Times New Roman" w:hAnsi="Times New Roman" w:cs="Times New Roman"/>
          </w:rPr>
          <w:t>https://www.em.gov.lv/files/nozares_politika/EMZino_AER_030518.pdf</w:t>
        </w:r>
      </w:hyperlink>
      <w:r w:rsidRPr="0098642F">
        <w:rPr>
          <w:rFonts w:ascii="Times New Roman" w:hAnsi="Times New Roman" w:cs="Times New Roman"/>
        </w:rPr>
        <w:t xml:space="preserve"> </w:t>
      </w:r>
    </w:p>
  </w:footnote>
  <w:footnote w:id="15">
    <w:p w14:paraId="7F1AD664" w14:textId="6934B2DB" w:rsidR="00D95F8F" w:rsidRPr="0098642F" w:rsidRDefault="00D95F8F" w:rsidP="00021B9E">
      <w:pPr>
        <w:pStyle w:val="FootnoteText"/>
        <w:tabs>
          <w:tab w:val="right" w:pos="8306"/>
        </w:tabs>
        <w:rPr>
          <w:rFonts w:ascii="Times New Roman" w:hAnsi="Times New Roman" w:cs="Times New Roman"/>
        </w:rPr>
      </w:pPr>
      <w:r w:rsidRPr="0098642F">
        <w:rPr>
          <w:rStyle w:val="FootnoteReference"/>
          <w:rFonts w:ascii="Times New Roman" w:hAnsi="Times New Roman" w:cs="Times New Roman"/>
        </w:rPr>
        <w:footnoteRef/>
      </w:r>
      <w:r>
        <w:rPr>
          <w:rFonts w:ascii="Times New Roman" w:hAnsi="Times New Roman" w:cs="Times New Roman"/>
        </w:rPr>
        <w:t xml:space="preserve"> </w:t>
      </w:r>
      <w:hyperlink r:id="rId5" w:history="1">
        <w:r w:rsidRPr="0098642F">
          <w:rPr>
            <w:rStyle w:val="Hyperlink"/>
            <w:rFonts w:ascii="Times New Roman" w:hAnsi="Times New Roman" w:cs="Times New Roman"/>
          </w:rPr>
          <w:t>https://www.sprk.gov.lv/content/registresanalicencesana-0</w:t>
        </w:r>
      </w:hyperlink>
      <w:r w:rsidRPr="0098642F">
        <w:rPr>
          <w:rFonts w:ascii="Times New Roman" w:hAnsi="Times New Roman" w:cs="Times New Roman"/>
        </w:rPr>
        <w:t xml:space="preserve"> </w:t>
      </w:r>
      <w:r w:rsidRPr="0098642F">
        <w:rPr>
          <w:rFonts w:ascii="Times New Roman" w:hAnsi="Times New Roman" w:cs="Times New Roman"/>
        </w:rPr>
        <w:tab/>
      </w:r>
    </w:p>
  </w:footnote>
  <w:footnote w:id="16">
    <w:p w14:paraId="439FC22C" w14:textId="77777777" w:rsidR="00D95F8F" w:rsidRPr="0098642F" w:rsidRDefault="00D95F8F">
      <w:pPr>
        <w:pStyle w:val="FootnoteText"/>
        <w:rPr>
          <w:rFonts w:ascii="Times New Roman" w:hAnsi="Times New Roman" w:cs="Times New Roman"/>
        </w:rPr>
      </w:pPr>
      <w:r w:rsidRPr="0098642F">
        <w:rPr>
          <w:rStyle w:val="FootnoteReference"/>
          <w:rFonts w:ascii="Times New Roman" w:hAnsi="Times New Roman" w:cs="Times New Roman"/>
        </w:rPr>
        <w:footnoteRef/>
      </w:r>
      <w:r w:rsidRPr="0098642F">
        <w:rPr>
          <w:rFonts w:ascii="Times New Roman" w:hAnsi="Times New Roman" w:cs="Times New Roman"/>
        </w:rPr>
        <w:t xml:space="preserve"> </w:t>
      </w:r>
      <w:r w:rsidRPr="0098642F">
        <w:rPr>
          <w:rFonts w:ascii="Times New Roman" w:hAnsi="Times New Roman" w:cs="Times New Roman"/>
        </w:rPr>
        <w:t xml:space="preserve">Centrālās statistikas pārvaldes apkopotā informācija. </w:t>
      </w:r>
    </w:p>
  </w:footnote>
  <w:footnote w:id="17">
    <w:p w14:paraId="5E0135D0" w14:textId="77777777" w:rsidR="00D95F8F" w:rsidRPr="0098642F" w:rsidRDefault="00D95F8F" w:rsidP="000F26DD">
      <w:pPr>
        <w:pStyle w:val="FootnoteText"/>
        <w:rPr>
          <w:rFonts w:ascii="Times New Roman" w:hAnsi="Times New Roman" w:cs="Times New Roman"/>
        </w:rPr>
      </w:pPr>
      <w:r w:rsidRPr="00DC6DE7">
        <w:rPr>
          <w:rStyle w:val="FootnoteReference"/>
          <w:rFonts w:ascii="Times New Roman" w:hAnsi="Times New Roman" w:cs="Times New Roman"/>
        </w:rPr>
        <w:footnoteRef/>
      </w:r>
      <w:r w:rsidRPr="00DC6DE7">
        <w:rPr>
          <w:rFonts w:ascii="Times New Roman" w:hAnsi="Times New Roman" w:cs="Times New Roman"/>
        </w:rPr>
        <w:t xml:space="preserve"> </w:t>
      </w:r>
      <w:r w:rsidRPr="00DC6DE7">
        <w:rPr>
          <w:rFonts w:ascii="Times New Roman" w:hAnsi="Times New Roman" w:cs="Times New Roman"/>
        </w:rPr>
        <w:t xml:space="preserve">Ekonomikas ministrijas Informatīvais ziņojums “Par risinājumiem obligātā iepirkuma </w:t>
      </w:r>
      <w:r w:rsidRPr="0098642F">
        <w:rPr>
          <w:rFonts w:ascii="Times New Roman" w:hAnsi="Times New Roman" w:cs="Times New Roman"/>
        </w:rPr>
        <w:t xml:space="preserve">mehānisma atcelšanai un ilgtspējīgai atjaunojamās enerģijas ražošanai”, izskatīts Ministru kabinetā 14.08.2018, Protokols </w:t>
      </w:r>
      <w:proofErr w:type="spellStart"/>
      <w:r w:rsidRPr="0098642F">
        <w:rPr>
          <w:rFonts w:ascii="Times New Roman" w:hAnsi="Times New Roman" w:cs="Times New Roman"/>
        </w:rPr>
        <w:t>Nr</w:t>
      </w:r>
      <w:proofErr w:type="spellEnd"/>
      <w:r w:rsidRPr="0098642F">
        <w:rPr>
          <w:rFonts w:ascii="Times New Roman" w:hAnsi="Times New Roman" w:cs="Times New Roman"/>
        </w:rPr>
        <w:t xml:space="preserve"> 38 50.§</w:t>
      </w:r>
    </w:p>
  </w:footnote>
  <w:footnote w:id="18">
    <w:p w14:paraId="22246681" w14:textId="33A91F1D" w:rsidR="00D95F8F" w:rsidRDefault="00D95F8F" w:rsidP="009A1947">
      <w:pPr>
        <w:pStyle w:val="FootnoteText"/>
        <w:rPr>
          <w:rFonts w:ascii="Times New Roman" w:hAnsi="Times New Roman" w:cs="Times New Roman"/>
        </w:rPr>
      </w:pPr>
      <w:r w:rsidRPr="0098642F">
        <w:rPr>
          <w:rStyle w:val="FootnoteReference"/>
          <w:rFonts w:ascii="Times New Roman" w:hAnsi="Times New Roman" w:cs="Times New Roman"/>
        </w:rPr>
        <w:footnoteRef/>
      </w:r>
      <w:r w:rsidRPr="0098642F">
        <w:rPr>
          <w:rFonts w:ascii="Times New Roman" w:hAnsi="Times New Roman" w:cs="Times New Roman"/>
        </w:rPr>
        <w:t xml:space="preserve"> </w:t>
      </w:r>
      <w:r w:rsidRPr="0098642F">
        <w:rPr>
          <w:rFonts w:ascii="Times New Roman" w:hAnsi="Times New Roman" w:cs="Times New Roman"/>
        </w:rPr>
        <w:t>Operatori, kas saņēmuši tiesības pārdot saražoto elektroenerģiju obligātā iepirkuma ietvaros</w:t>
      </w:r>
      <w:r>
        <w:rPr>
          <w:rFonts w:ascii="Times New Roman" w:hAnsi="Times New Roman" w:cs="Times New Roman"/>
        </w:rPr>
        <w:t>,</w:t>
      </w:r>
      <w:r w:rsidRPr="0098642F">
        <w:rPr>
          <w:rFonts w:ascii="Times New Roman" w:hAnsi="Times New Roman" w:cs="Times New Roman"/>
        </w:rPr>
        <w:t xml:space="preserve"> pieejams tiešsaistē: </w:t>
      </w:r>
      <w:hyperlink r:id="rId6" w:history="1">
        <w:r w:rsidRPr="0098642F">
          <w:rPr>
            <w:rStyle w:val="Hyperlink"/>
            <w:rFonts w:ascii="Times New Roman" w:hAnsi="Times New Roman" w:cs="Times New Roman"/>
          </w:rPr>
          <w:t>https://em.gov.lv/lv/nozares_politika/atjaunojama_energija_un_kogeneracija/informacija_par_izdotajiem_lemumiem_par_elektroenergijas_obligato_iepirkumu/</w:t>
        </w:r>
      </w:hyperlink>
      <w:r w:rsidRPr="0098642F">
        <w:rPr>
          <w:rFonts w:ascii="Times New Roman" w:hAnsi="Times New Roman" w:cs="Times New Roman"/>
        </w:rPr>
        <w:t xml:space="preserve"> </w:t>
      </w:r>
    </w:p>
    <w:p w14:paraId="728C6B56" w14:textId="0DF09ED4" w:rsidR="00D95F8F" w:rsidRPr="0098642F" w:rsidRDefault="00D95F8F" w:rsidP="009A1947">
      <w:pPr>
        <w:pStyle w:val="FootnoteText"/>
        <w:rPr>
          <w:rFonts w:ascii="Times New Roman" w:hAnsi="Times New Roman" w:cs="Times New Roman"/>
        </w:rPr>
      </w:pPr>
      <w:r>
        <w:rPr>
          <w:rFonts w:ascii="Times New Roman" w:hAnsi="Times New Roman" w:cs="Times New Roman"/>
        </w:rPr>
        <w:t>Ar “x” ir nodalīti tie ES ETS Latvijas operatori</w:t>
      </w:r>
      <w:r w:rsidRPr="00CF16FB">
        <w:rPr>
          <w:rFonts w:ascii="Times New Roman" w:hAnsi="Times New Roman" w:cs="Times New Roman"/>
        </w:rPr>
        <w:t xml:space="preserve">, kuri ir saņēmuši tiesības pārdot saražoto elektroenerģiju obligātā iepirkuma ietvaros, </w:t>
      </w:r>
      <w:r>
        <w:rPr>
          <w:rFonts w:ascii="Times New Roman" w:hAnsi="Times New Roman" w:cs="Times New Roman"/>
        </w:rPr>
        <w:t>un ar “xx” – tie,</w:t>
      </w:r>
      <w:r w:rsidRPr="00CF16FB">
        <w:rPr>
          <w:rFonts w:ascii="Times New Roman" w:hAnsi="Times New Roman" w:cs="Times New Roman"/>
        </w:rPr>
        <w:t xml:space="preserve"> kuri</w:t>
      </w:r>
      <w:r>
        <w:rPr>
          <w:rFonts w:ascii="Times New Roman" w:hAnsi="Times New Roman" w:cs="Times New Roman"/>
        </w:rPr>
        <w:t xml:space="preserve">em ir </w:t>
      </w:r>
      <w:r w:rsidRPr="00CF16FB">
        <w:rPr>
          <w:rFonts w:ascii="Times New Roman" w:hAnsi="Times New Roman" w:cs="Times New Roman"/>
        </w:rPr>
        <w:t>tiesības saņemt garantētu maksu par koģenerācijas elektrostacijā uzstādīto elektrisko jaudu.</w:t>
      </w:r>
    </w:p>
  </w:footnote>
  <w:footnote w:id="19">
    <w:p w14:paraId="166F02C4" w14:textId="77777777" w:rsidR="00D95F8F" w:rsidRPr="0098642F" w:rsidRDefault="00D95F8F" w:rsidP="009A1947">
      <w:pPr>
        <w:spacing w:after="0" w:line="240" w:lineRule="auto"/>
        <w:rPr>
          <w:rFonts w:ascii="Times New Roman" w:hAnsi="Times New Roman" w:cs="Times New Roman"/>
          <w:sz w:val="20"/>
          <w:szCs w:val="20"/>
        </w:rPr>
      </w:pPr>
      <w:r w:rsidRPr="0098642F">
        <w:rPr>
          <w:rStyle w:val="FootnoteReference"/>
          <w:rFonts w:ascii="Times New Roman" w:hAnsi="Times New Roman" w:cs="Times New Roman"/>
          <w:sz w:val="20"/>
          <w:szCs w:val="20"/>
        </w:rPr>
        <w:footnoteRef/>
      </w:r>
      <w:r w:rsidRPr="0098642F">
        <w:rPr>
          <w:rFonts w:ascii="Times New Roman" w:hAnsi="Times New Roman" w:cs="Times New Roman"/>
          <w:sz w:val="20"/>
          <w:szCs w:val="20"/>
        </w:rPr>
        <w:t xml:space="preserve"> </w:t>
      </w:r>
      <w:r w:rsidRPr="0098642F">
        <w:rPr>
          <w:rFonts w:ascii="Times New Roman" w:hAnsi="Times New Roman" w:cs="Times New Roman"/>
          <w:sz w:val="20"/>
          <w:szCs w:val="20"/>
        </w:rPr>
        <w:t xml:space="preserve">Operatori, kuri saņēmuši Kohēzijas fonda finansējumu iekārtu nomaiņas vai infrastruktūras uzlabošanas mērķiem, pieejams tiešsaistē: </w:t>
      </w:r>
    </w:p>
    <w:p w14:paraId="7961A7BF" w14:textId="3BC9D1A0" w:rsidR="00D95F8F" w:rsidRPr="0098642F" w:rsidRDefault="005C5150" w:rsidP="009A1947">
      <w:pPr>
        <w:spacing w:after="0" w:line="240" w:lineRule="auto"/>
        <w:rPr>
          <w:rFonts w:ascii="Times New Roman" w:hAnsi="Times New Roman" w:cs="Times New Roman"/>
          <w:sz w:val="20"/>
          <w:szCs w:val="20"/>
          <w:lang w:eastAsia="lv-LV"/>
        </w:rPr>
      </w:pPr>
      <w:hyperlink r:id="rId7" w:history="1">
        <w:r w:rsidR="00D95F8F" w:rsidRPr="0098642F">
          <w:rPr>
            <w:rStyle w:val="Hyperlink"/>
            <w:rFonts w:ascii="Times New Roman" w:hAnsi="Times New Roman" w:cs="Times New Roman"/>
            <w:sz w:val="20"/>
            <w:szCs w:val="20"/>
          </w:rPr>
          <w:t>http://www.esfondi.lv/es-fondu-projektu-mekletajs</w:t>
        </w:r>
      </w:hyperlink>
      <w:r w:rsidR="00D95F8F" w:rsidRPr="0098642F">
        <w:rPr>
          <w:rFonts w:ascii="Times New Roman" w:hAnsi="Times New Roman" w:cs="Times New Roman"/>
          <w:sz w:val="20"/>
          <w:szCs w:val="20"/>
        </w:rPr>
        <w:t xml:space="preserve"> </w:t>
      </w:r>
    </w:p>
  </w:footnote>
  <w:footnote w:id="20">
    <w:p w14:paraId="326D3FCD" w14:textId="77777777" w:rsidR="00D95F8F" w:rsidRPr="0098642F" w:rsidRDefault="00D95F8F" w:rsidP="009A1947">
      <w:pPr>
        <w:pStyle w:val="FootnoteText"/>
        <w:rPr>
          <w:rFonts w:ascii="Times New Roman" w:hAnsi="Times New Roman" w:cs="Times New Roman"/>
        </w:rPr>
      </w:pPr>
      <w:r w:rsidRPr="0098642F">
        <w:rPr>
          <w:rStyle w:val="FootnoteReference"/>
          <w:rFonts w:ascii="Times New Roman" w:hAnsi="Times New Roman" w:cs="Times New Roman"/>
        </w:rPr>
        <w:footnoteRef/>
      </w:r>
      <w:r w:rsidRPr="0098642F">
        <w:rPr>
          <w:rFonts w:ascii="Times New Roman" w:hAnsi="Times New Roman" w:cs="Times New Roman"/>
        </w:rPr>
        <w:t xml:space="preserve"> </w:t>
      </w:r>
      <w:r w:rsidRPr="0098642F">
        <w:rPr>
          <w:rFonts w:ascii="Times New Roman" w:hAnsi="Times New Roman" w:cs="Times New Roman"/>
        </w:rPr>
        <w:t>Tonnas CO</w:t>
      </w:r>
      <w:r w:rsidRPr="0098642F">
        <w:rPr>
          <w:rFonts w:ascii="Times New Roman" w:hAnsi="Times New Roman" w:cs="Times New Roman"/>
          <w:vertAlign w:val="subscript"/>
        </w:rPr>
        <w:t>2</w:t>
      </w:r>
      <w:r w:rsidRPr="0098642F">
        <w:rPr>
          <w:rFonts w:ascii="Times New Roman" w:hAnsi="Times New Roman" w:cs="Times New Roman"/>
        </w:rPr>
        <w:t xml:space="preserve"> </w:t>
      </w:r>
      <w:proofErr w:type="spellStart"/>
      <w:r w:rsidRPr="0098642F">
        <w:rPr>
          <w:rFonts w:ascii="Times New Roman" w:hAnsi="Times New Roman" w:cs="Times New Roman"/>
        </w:rPr>
        <w:t>ekv</w:t>
      </w:r>
      <w:proofErr w:type="spellEnd"/>
      <w:r w:rsidRPr="0098642F">
        <w:rPr>
          <w:rFonts w:ascii="Times New Roman" w:hAnsi="Times New Roman" w:cs="Times New Roman"/>
        </w:rPr>
        <w:t>.</w:t>
      </w:r>
    </w:p>
  </w:footnote>
  <w:footnote w:id="21">
    <w:p w14:paraId="2435673A" w14:textId="77777777" w:rsidR="00D95F8F" w:rsidRPr="0098642F" w:rsidRDefault="00D95F8F" w:rsidP="009A1947">
      <w:pPr>
        <w:pStyle w:val="FootnoteText"/>
        <w:rPr>
          <w:rFonts w:ascii="Times New Roman" w:hAnsi="Times New Roman" w:cs="Times New Roman"/>
        </w:rPr>
      </w:pPr>
      <w:r w:rsidRPr="00DC6DE7">
        <w:rPr>
          <w:rStyle w:val="FootnoteReference"/>
          <w:rFonts w:ascii="Times New Roman" w:hAnsi="Times New Roman" w:cs="Times New Roman"/>
        </w:rPr>
        <w:footnoteRef/>
      </w:r>
      <w:r w:rsidRPr="00DC6DE7">
        <w:rPr>
          <w:rFonts w:ascii="Times New Roman" w:hAnsi="Times New Roman" w:cs="Times New Roman"/>
        </w:rPr>
        <w:t xml:space="preserve"> </w:t>
      </w:r>
      <w:r w:rsidRPr="00DC6DE7">
        <w:rPr>
          <w:rFonts w:ascii="Times New Roman" w:hAnsi="Times New Roman" w:cs="Times New Roman"/>
        </w:rPr>
        <w:t>Tonnas CO</w:t>
      </w:r>
      <w:r w:rsidRPr="0098642F">
        <w:rPr>
          <w:rFonts w:ascii="Times New Roman" w:hAnsi="Times New Roman" w:cs="Times New Roman"/>
          <w:vertAlign w:val="subscript"/>
        </w:rPr>
        <w:t>2</w:t>
      </w:r>
      <w:r w:rsidRPr="0098642F">
        <w:rPr>
          <w:rFonts w:ascii="Times New Roman" w:hAnsi="Times New Roman" w:cs="Times New Roman"/>
        </w:rPr>
        <w:t xml:space="preserve"> </w:t>
      </w:r>
      <w:proofErr w:type="spellStart"/>
      <w:r w:rsidRPr="0098642F">
        <w:rPr>
          <w:rFonts w:ascii="Times New Roman" w:hAnsi="Times New Roman" w:cs="Times New Roman"/>
        </w:rPr>
        <w:t>ekv</w:t>
      </w:r>
      <w:proofErr w:type="spellEnd"/>
      <w:r w:rsidRPr="0098642F">
        <w:rPr>
          <w:rFonts w:ascii="Times New Roman" w:hAnsi="Times New Roman" w:cs="Times New Roman"/>
        </w:rPr>
        <w:t>.</w:t>
      </w:r>
    </w:p>
  </w:footnote>
  <w:footnote w:id="22">
    <w:p w14:paraId="364CE145" w14:textId="17E3B669" w:rsidR="00D95F8F" w:rsidRPr="0098642F" w:rsidRDefault="00D95F8F">
      <w:pPr>
        <w:pStyle w:val="FootnoteText"/>
        <w:rPr>
          <w:rFonts w:ascii="Times New Roman" w:hAnsi="Times New Roman" w:cs="Times New Roman"/>
        </w:rPr>
      </w:pPr>
      <w:r w:rsidRPr="0098642F">
        <w:rPr>
          <w:rStyle w:val="FootnoteReference"/>
          <w:rFonts w:ascii="Times New Roman" w:hAnsi="Times New Roman" w:cs="Times New Roman"/>
        </w:rPr>
        <w:footnoteRef/>
      </w:r>
      <w:r w:rsidRPr="0098642F">
        <w:rPr>
          <w:rFonts w:ascii="Times New Roman" w:hAnsi="Times New Roman" w:cs="Times New Roman"/>
        </w:rPr>
        <w:t xml:space="preserve"> </w:t>
      </w:r>
      <w:r w:rsidRPr="0098642F">
        <w:rPr>
          <w:rFonts w:ascii="Times New Roman" w:hAnsi="Times New Roman" w:cs="Times New Roman"/>
        </w:rPr>
        <w:t xml:space="preserve">2015. gada Eiropas Komisijas izstrādātajā Ietekmes novērtējumā saistībā ar grozījumiem Direktīvā 2003/87EK, Eiropas Komisija prognozēja, ka emisijas kvotu cena vidēji ES ETS 4. periodā varētu būt 25 </w:t>
      </w:r>
      <w:proofErr w:type="spellStart"/>
      <w:r w:rsidRPr="0098642F">
        <w:rPr>
          <w:rFonts w:ascii="Times New Roman" w:hAnsi="Times New Roman" w:cs="Times New Roman"/>
          <w:i/>
        </w:rPr>
        <w:t>euro</w:t>
      </w:r>
      <w:proofErr w:type="spellEnd"/>
      <w:r w:rsidRPr="0098642F">
        <w:rPr>
          <w:rFonts w:ascii="Times New Roman" w:hAnsi="Times New Roman" w:cs="Times New Roman"/>
        </w:rPr>
        <w:t>. https://ec.europa.eu/clima/sites/clima/files/ets/revision/docs/impact_assessment_en.pdf</w:t>
      </w:r>
    </w:p>
  </w:footnote>
  <w:footnote w:id="23">
    <w:p w14:paraId="760BE9CF" w14:textId="292DF680" w:rsidR="00D95F8F" w:rsidRPr="0098642F" w:rsidRDefault="00D95F8F">
      <w:pPr>
        <w:pStyle w:val="FootnoteText"/>
        <w:rPr>
          <w:rFonts w:ascii="Times New Roman" w:hAnsi="Times New Roman" w:cs="Times New Roman"/>
        </w:rPr>
      </w:pPr>
      <w:r w:rsidRPr="0098642F">
        <w:rPr>
          <w:rStyle w:val="FootnoteReference"/>
          <w:rFonts w:ascii="Times New Roman" w:hAnsi="Times New Roman" w:cs="Times New Roman"/>
        </w:rPr>
        <w:footnoteRef/>
      </w:r>
      <w:r w:rsidRPr="0098642F">
        <w:rPr>
          <w:rFonts w:ascii="Times New Roman" w:hAnsi="Times New Roman" w:cs="Times New Roman"/>
        </w:rPr>
        <w:t xml:space="preserve"> </w:t>
      </w:r>
      <w:r w:rsidRPr="0098642F">
        <w:rPr>
          <w:rFonts w:ascii="Times New Roman" w:hAnsi="Times New Roman" w:cs="Times New Roman"/>
        </w:rPr>
        <w:t xml:space="preserve">Jānorāda, ka emisijas kvotu tirgus ir diezgan svārstīgs un dažu mēnešu laikā cenas diapazons ir diezgan plašs, piemēram, 2018. septembrī tika sasniegts gandrīz 25 </w:t>
      </w:r>
      <w:proofErr w:type="spellStart"/>
      <w:r w:rsidRPr="0098642F">
        <w:rPr>
          <w:rFonts w:ascii="Times New Roman" w:hAnsi="Times New Roman" w:cs="Times New Roman"/>
          <w:i/>
        </w:rPr>
        <w:t>euro</w:t>
      </w:r>
      <w:proofErr w:type="spellEnd"/>
      <w:r w:rsidRPr="0098642F">
        <w:rPr>
          <w:rFonts w:ascii="Times New Roman" w:hAnsi="Times New Roman" w:cs="Times New Roman"/>
          <w:i/>
        </w:rPr>
        <w:t xml:space="preserve">, kas bija </w:t>
      </w:r>
      <w:r w:rsidRPr="0098642F">
        <w:rPr>
          <w:rFonts w:ascii="Times New Roman" w:hAnsi="Times New Roman" w:cs="Times New Roman"/>
        </w:rPr>
        <w:t xml:space="preserve">maksimālā vērtība visā ETS 3. periodā, taču jau novembra sākumā cena jau bija noslīdējusi nedaudz virs 15,5 </w:t>
      </w:r>
      <w:proofErr w:type="spellStart"/>
      <w:r w:rsidRPr="0098642F">
        <w:rPr>
          <w:rFonts w:ascii="Times New Roman" w:hAnsi="Times New Roman" w:cs="Times New Roman"/>
          <w:i/>
        </w:rPr>
        <w:t>euro</w:t>
      </w:r>
      <w:proofErr w:type="spellEnd"/>
      <w:r w:rsidRPr="0098642F">
        <w:rPr>
          <w:rFonts w:ascii="Times New Roman" w:hAnsi="Times New Roman" w:cs="Times New Roman"/>
        </w:rPr>
        <w:t>, kam pēc tam sekoja atkal cenu kāpums.</w:t>
      </w:r>
    </w:p>
  </w:footnote>
  <w:footnote w:id="24">
    <w:p w14:paraId="507ECA83" w14:textId="15D99D5C" w:rsidR="00D95F8F" w:rsidRPr="0098642F" w:rsidRDefault="00D95F8F" w:rsidP="00584E06">
      <w:pPr>
        <w:pStyle w:val="FootnoteText"/>
        <w:rPr>
          <w:rFonts w:ascii="Times New Roman" w:hAnsi="Times New Roman" w:cs="Times New Roman"/>
        </w:rPr>
      </w:pPr>
      <w:r w:rsidRPr="0098642F">
        <w:rPr>
          <w:rStyle w:val="FootnoteReference"/>
          <w:rFonts w:ascii="Times New Roman" w:hAnsi="Times New Roman" w:cs="Times New Roman"/>
        </w:rPr>
        <w:footnoteRef/>
      </w:r>
      <w:r w:rsidRPr="0098642F">
        <w:rPr>
          <w:rFonts w:ascii="Times New Roman" w:hAnsi="Times New Roman" w:cs="Times New Roman"/>
        </w:rPr>
        <w:t xml:space="preserve"> </w:t>
      </w:r>
      <w:r w:rsidRPr="0098642F">
        <w:rPr>
          <w:rFonts w:ascii="Times New Roman" w:hAnsi="Times New Roman" w:cs="Times New Roman"/>
        </w:rPr>
        <w:t>2019. gada 16. janvārī publicēts http://carbon-pulse.com/67157/</w:t>
      </w:r>
      <w:hyperlink w:history="1"/>
    </w:p>
  </w:footnote>
  <w:footnote w:id="25">
    <w:p w14:paraId="06A09ADC" w14:textId="39E50CA5" w:rsidR="00D95F8F" w:rsidRPr="0098642F" w:rsidRDefault="00D95F8F" w:rsidP="001A196E">
      <w:pPr>
        <w:pStyle w:val="FootnoteText"/>
        <w:rPr>
          <w:rFonts w:ascii="Times New Roman" w:hAnsi="Times New Roman" w:cs="Times New Roman"/>
        </w:rPr>
      </w:pPr>
      <w:r w:rsidRPr="00DC6DE7">
        <w:rPr>
          <w:rStyle w:val="FootnoteReference"/>
          <w:rFonts w:ascii="Times New Roman" w:hAnsi="Times New Roman" w:cs="Times New Roman"/>
        </w:rPr>
        <w:footnoteRef/>
      </w:r>
      <w:r w:rsidRPr="00DC6DE7">
        <w:rPr>
          <w:rFonts w:ascii="Times New Roman" w:hAnsi="Times New Roman" w:cs="Times New Roman"/>
        </w:rPr>
        <w:t xml:space="preserve"> </w:t>
      </w:r>
      <w:r w:rsidRPr="0098642F">
        <w:rPr>
          <w:rFonts w:ascii="Times New Roman" w:eastAsia="Arial Unicode MS" w:hAnsi="Times New Roman" w:cs="Times New Roman"/>
          <w:shd w:val="clear" w:color="auto" w:fill="FFFFFF"/>
        </w:rPr>
        <w:t>Neņemot vērā potenciālo tirgus stabilitātes rezerves ietekmi</w:t>
      </w:r>
    </w:p>
  </w:footnote>
  <w:footnote w:id="26">
    <w:p w14:paraId="1DDF7585" w14:textId="5A18A9A0" w:rsidR="00D95F8F" w:rsidRPr="0098642F" w:rsidRDefault="00D95F8F">
      <w:pPr>
        <w:pStyle w:val="FootnoteText"/>
        <w:rPr>
          <w:rFonts w:ascii="Times New Roman" w:hAnsi="Times New Roman" w:cs="Times New Roman"/>
        </w:rPr>
      </w:pPr>
      <w:r w:rsidRPr="0098642F">
        <w:rPr>
          <w:rStyle w:val="FootnoteReference"/>
          <w:rFonts w:ascii="Times New Roman" w:hAnsi="Times New Roman" w:cs="Times New Roman"/>
        </w:rPr>
        <w:footnoteRef/>
      </w:r>
      <w:r w:rsidRPr="0098642F">
        <w:rPr>
          <w:rFonts w:ascii="Times New Roman" w:hAnsi="Times New Roman" w:cs="Times New Roman"/>
        </w:rPr>
        <w:t xml:space="preserve"> </w:t>
      </w:r>
      <w:r w:rsidRPr="0098642F">
        <w:rPr>
          <w:rFonts w:ascii="Times New Roman" w:hAnsi="Times New Roman" w:cs="Times New Roman"/>
        </w:rPr>
        <w:t>Izveidota ar Eiropas Parlamenta un Padomes Lēmumu (ES) 2015/1814 (2015. gada 6. oktobris) par Savienības siltumnīcefekta gāzu emisijas kvotu tirdzniecības sistēmas tirgus stabilitātes rezerves izveidi un darbību un ar ko groza Direktīvu 2003/87/EK.</w:t>
      </w:r>
    </w:p>
  </w:footnote>
  <w:footnote w:id="27">
    <w:p w14:paraId="6E62AB39" w14:textId="583D631C" w:rsidR="00D95F8F" w:rsidRPr="0098642F" w:rsidRDefault="00D95F8F" w:rsidP="0049669B">
      <w:pPr>
        <w:pStyle w:val="FootnoteText"/>
        <w:rPr>
          <w:rFonts w:ascii="Times New Roman" w:hAnsi="Times New Roman" w:cs="Times New Roman"/>
        </w:rPr>
      </w:pPr>
      <w:r w:rsidRPr="0098642F">
        <w:rPr>
          <w:rStyle w:val="FootnoteReference"/>
          <w:rFonts w:ascii="Times New Roman" w:hAnsi="Times New Roman" w:cs="Times New Roman"/>
        </w:rPr>
        <w:footnoteRef/>
      </w:r>
      <w:r>
        <w:rPr>
          <w:rFonts w:ascii="Times New Roman" w:hAnsi="Times New Roman" w:cs="Times New Roman"/>
        </w:rPr>
        <w:t>Pieejami:</w:t>
      </w:r>
      <w:r w:rsidRPr="0098642F">
        <w:rPr>
          <w:rFonts w:ascii="Times New Roman" w:hAnsi="Times New Roman" w:cs="Times New Roman"/>
        </w:rPr>
        <w:t xml:space="preserve"> </w:t>
      </w:r>
      <w:hyperlink r:id="rId8" w:history="1">
        <w:r w:rsidRPr="00AA0C96">
          <w:rPr>
            <w:rStyle w:val="Hyperlink"/>
            <w:rFonts w:ascii="Times New Roman" w:hAnsi="Times New Roman" w:cs="Times New Roman"/>
          </w:rPr>
          <w:t>http://www.varam.gov.lv/lat/fondi/ekii/likumdosana/</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rPr>
      <w:id w:val="1516726990"/>
      <w:docPartObj>
        <w:docPartGallery w:val="Page Numbers (Top of Page)"/>
        <w:docPartUnique/>
      </w:docPartObj>
    </w:sdtPr>
    <w:sdtEndPr>
      <w:rPr>
        <w:noProof/>
      </w:rPr>
    </w:sdtEndPr>
    <w:sdtContent>
      <w:p w14:paraId="146D4CF5" w14:textId="77777777" w:rsidR="00D95F8F" w:rsidRPr="002F6F80" w:rsidRDefault="00D95F8F">
        <w:pPr>
          <w:pStyle w:val="Header"/>
          <w:jc w:val="center"/>
          <w:rPr>
            <w:rFonts w:asciiTheme="majorBidi" w:hAnsiTheme="majorBidi" w:cstheme="majorBidi"/>
          </w:rPr>
        </w:pPr>
        <w:r w:rsidRPr="002F6F80">
          <w:rPr>
            <w:rFonts w:asciiTheme="majorBidi" w:hAnsiTheme="majorBidi" w:cstheme="majorBidi"/>
          </w:rPr>
          <w:fldChar w:fldCharType="begin"/>
        </w:r>
        <w:r w:rsidRPr="002F6F80">
          <w:rPr>
            <w:rFonts w:asciiTheme="majorBidi" w:hAnsiTheme="majorBidi" w:cstheme="majorBidi"/>
          </w:rPr>
          <w:instrText xml:space="preserve"> PAGE   \* MERGEFORMAT </w:instrText>
        </w:r>
        <w:r w:rsidRPr="002F6F80">
          <w:rPr>
            <w:rFonts w:asciiTheme="majorBidi" w:hAnsiTheme="majorBidi" w:cstheme="majorBidi"/>
          </w:rPr>
          <w:fldChar w:fldCharType="separate"/>
        </w:r>
        <w:r w:rsidR="005C5150">
          <w:rPr>
            <w:rFonts w:asciiTheme="majorBidi" w:hAnsiTheme="majorBidi" w:cstheme="majorBidi"/>
            <w:noProof/>
          </w:rPr>
          <w:t>18</w:t>
        </w:r>
        <w:r w:rsidRPr="002F6F80">
          <w:rPr>
            <w:rFonts w:asciiTheme="majorBidi" w:hAnsiTheme="majorBidi" w:cstheme="majorBidi"/>
            <w:noProof/>
          </w:rPr>
          <w:fldChar w:fldCharType="end"/>
        </w:r>
      </w:p>
    </w:sdtContent>
  </w:sdt>
  <w:p w14:paraId="402E1371" w14:textId="77777777" w:rsidR="00D95F8F" w:rsidRPr="002F6F80" w:rsidRDefault="00D95F8F" w:rsidP="002F6F80">
    <w:pPr>
      <w:pStyle w:val="Header"/>
      <w:jc w:val="center"/>
      <w:rPr>
        <w:rFonts w:asciiTheme="majorBidi" w:hAnsiTheme="majorBidi" w:cstheme="majorBidi"/>
        <w:i/>
        <w:iC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99049880"/>
      <w:docPartObj>
        <w:docPartGallery w:val="Page Numbers (Top of Page)"/>
        <w:docPartUnique/>
      </w:docPartObj>
    </w:sdtPr>
    <w:sdtEndPr>
      <w:rPr>
        <w:noProof/>
      </w:rPr>
    </w:sdtEndPr>
    <w:sdtContent>
      <w:p w14:paraId="58E47DBB" w14:textId="4CF435C0" w:rsidR="00D95F8F" w:rsidRPr="0098642F" w:rsidRDefault="00D95F8F">
        <w:pPr>
          <w:pStyle w:val="Header"/>
          <w:jc w:val="center"/>
          <w:rPr>
            <w:rFonts w:ascii="Times New Roman" w:hAnsi="Times New Roman" w:cs="Times New Roman"/>
          </w:rPr>
        </w:pPr>
        <w:r w:rsidRPr="0098642F">
          <w:rPr>
            <w:rFonts w:ascii="Times New Roman" w:hAnsi="Times New Roman" w:cs="Times New Roman"/>
          </w:rPr>
          <w:fldChar w:fldCharType="begin"/>
        </w:r>
        <w:r w:rsidRPr="0098642F">
          <w:rPr>
            <w:rFonts w:ascii="Times New Roman" w:hAnsi="Times New Roman" w:cs="Times New Roman"/>
          </w:rPr>
          <w:instrText xml:space="preserve"> PAGE   \* MERGEFORMAT </w:instrText>
        </w:r>
        <w:r w:rsidRPr="0098642F">
          <w:rPr>
            <w:rFonts w:ascii="Times New Roman" w:hAnsi="Times New Roman" w:cs="Times New Roman"/>
          </w:rPr>
          <w:fldChar w:fldCharType="separate"/>
        </w:r>
        <w:r w:rsidR="005C5150">
          <w:rPr>
            <w:rFonts w:ascii="Times New Roman" w:hAnsi="Times New Roman" w:cs="Times New Roman"/>
            <w:noProof/>
          </w:rPr>
          <w:t>21</w:t>
        </w:r>
        <w:r w:rsidRPr="0098642F">
          <w:rPr>
            <w:rFonts w:ascii="Times New Roman" w:hAnsi="Times New Roman" w:cs="Times New Roman"/>
            <w:noProof/>
          </w:rPr>
          <w:fldChar w:fldCharType="end"/>
        </w:r>
      </w:p>
    </w:sdtContent>
  </w:sdt>
  <w:p w14:paraId="33F8735C" w14:textId="77777777" w:rsidR="00D95F8F" w:rsidRPr="0098642F" w:rsidRDefault="00D95F8F">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4270"/>
    <w:multiLevelType w:val="hybridMultilevel"/>
    <w:tmpl w:val="A4889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237C9C"/>
    <w:multiLevelType w:val="hybridMultilevel"/>
    <w:tmpl w:val="8D847488"/>
    <w:lvl w:ilvl="0" w:tplc="C456B2AE">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CB41771"/>
    <w:multiLevelType w:val="hybridMultilevel"/>
    <w:tmpl w:val="C958B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BE17F8"/>
    <w:multiLevelType w:val="hybridMultilevel"/>
    <w:tmpl w:val="8B965EB6"/>
    <w:lvl w:ilvl="0" w:tplc="FB34A3B2">
      <w:start w:val="1"/>
      <w:numFmt w:val="bullet"/>
      <w:lvlText w:val="•"/>
      <w:lvlJc w:val="left"/>
      <w:pPr>
        <w:tabs>
          <w:tab w:val="num" w:pos="720"/>
        </w:tabs>
        <w:ind w:left="720" w:hanging="360"/>
      </w:pPr>
      <w:rPr>
        <w:rFonts w:ascii="Arial" w:hAnsi="Arial" w:hint="default"/>
      </w:rPr>
    </w:lvl>
    <w:lvl w:ilvl="1" w:tplc="86F4D7C6" w:tentative="1">
      <w:start w:val="1"/>
      <w:numFmt w:val="bullet"/>
      <w:lvlText w:val="•"/>
      <w:lvlJc w:val="left"/>
      <w:pPr>
        <w:tabs>
          <w:tab w:val="num" w:pos="1440"/>
        </w:tabs>
        <w:ind w:left="1440" w:hanging="360"/>
      </w:pPr>
      <w:rPr>
        <w:rFonts w:ascii="Arial" w:hAnsi="Arial" w:hint="default"/>
      </w:rPr>
    </w:lvl>
    <w:lvl w:ilvl="2" w:tplc="534C006E" w:tentative="1">
      <w:start w:val="1"/>
      <w:numFmt w:val="bullet"/>
      <w:lvlText w:val="•"/>
      <w:lvlJc w:val="left"/>
      <w:pPr>
        <w:tabs>
          <w:tab w:val="num" w:pos="2160"/>
        </w:tabs>
        <w:ind w:left="2160" w:hanging="360"/>
      </w:pPr>
      <w:rPr>
        <w:rFonts w:ascii="Arial" w:hAnsi="Arial" w:hint="default"/>
      </w:rPr>
    </w:lvl>
    <w:lvl w:ilvl="3" w:tplc="EAC8ACF6" w:tentative="1">
      <w:start w:val="1"/>
      <w:numFmt w:val="bullet"/>
      <w:lvlText w:val="•"/>
      <w:lvlJc w:val="left"/>
      <w:pPr>
        <w:tabs>
          <w:tab w:val="num" w:pos="2880"/>
        </w:tabs>
        <w:ind w:left="2880" w:hanging="360"/>
      </w:pPr>
      <w:rPr>
        <w:rFonts w:ascii="Arial" w:hAnsi="Arial" w:hint="default"/>
      </w:rPr>
    </w:lvl>
    <w:lvl w:ilvl="4" w:tplc="ECE46552" w:tentative="1">
      <w:start w:val="1"/>
      <w:numFmt w:val="bullet"/>
      <w:lvlText w:val="•"/>
      <w:lvlJc w:val="left"/>
      <w:pPr>
        <w:tabs>
          <w:tab w:val="num" w:pos="3600"/>
        </w:tabs>
        <w:ind w:left="3600" w:hanging="360"/>
      </w:pPr>
      <w:rPr>
        <w:rFonts w:ascii="Arial" w:hAnsi="Arial" w:hint="default"/>
      </w:rPr>
    </w:lvl>
    <w:lvl w:ilvl="5" w:tplc="59BACA4C" w:tentative="1">
      <w:start w:val="1"/>
      <w:numFmt w:val="bullet"/>
      <w:lvlText w:val="•"/>
      <w:lvlJc w:val="left"/>
      <w:pPr>
        <w:tabs>
          <w:tab w:val="num" w:pos="4320"/>
        </w:tabs>
        <w:ind w:left="4320" w:hanging="360"/>
      </w:pPr>
      <w:rPr>
        <w:rFonts w:ascii="Arial" w:hAnsi="Arial" w:hint="default"/>
      </w:rPr>
    </w:lvl>
    <w:lvl w:ilvl="6" w:tplc="69BAA0B8" w:tentative="1">
      <w:start w:val="1"/>
      <w:numFmt w:val="bullet"/>
      <w:lvlText w:val="•"/>
      <w:lvlJc w:val="left"/>
      <w:pPr>
        <w:tabs>
          <w:tab w:val="num" w:pos="5040"/>
        </w:tabs>
        <w:ind w:left="5040" w:hanging="360"/>
      </w:pPr>
      <w:rPr>
        <w:rFonts w:ascii="Arial" w:hAnsi="Arial" w:hint="default"/>
      </w:rPr>
    </w:lvl>
    <w:lvl w:ilvl="7" w:tplc="509A7CF8" w:tentative="1">
      <w:start w:val="1"/>
      <w:numFmt w:val="bullet"/>
      <w:lvlText w:val="•"/>
      <w:lvlJc w:val="left"/>
      <w:pPr>
        <w:tabs>
          <w:tab w:val="num" w:pos="5760"/>
        </w:tabs>
        <w:ind w:left="5760" w:hanging="360"/>
      </w:pPr>
      <w:rPr>
        <w:rFonts w:ascii="Arial" w:hAnsi="Arial" w:hint="default"/>
      </w:rPr>
    </w:lvl>
    <w:lvl w:ilvl="8" w:tplc="9806B8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1F400E"/>
    <w:multiLevelType w:val="hybridMultilevel"/>
    <w:tmpl w:val="31FE6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305AFD"/>
    <w:multiLevelType w:val="hybridMultilevel"/>
    <w:tmpl w:val="A81E3310"/>
    <w:lvl w:ilvl="0" w:tplc="04260001">
      <w:start w:val="1"/>
      <w:numFmt w:val="bullet"/>
      <w:lvlText w:val=""/>
      <w:lvlJc w:val="left"/>
      <w:pPr>
        <w:ind w:left="928" w:hanging="360"/>
      </w:pPr>
      <w:rPr>
        <w:rFonts w:ascii="Symbol" w:hAnsi="Symbol" w:hint="default"/>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6" w15:restartNumberingAfterBreak="0">
    <w:nsid w:val="138C0F06"/>
    <w:multiLevelType w:val="hybridMultilevel"/>
    <w:tmpl w:val="2A58C0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1D361B"/>
    <w:multiLevelType w:val="hybridMultilevel"/>
    <w:tmpl w:val="B8B455B6"/>
    <w:lvl w:ilvl="0" w:tplc="C6F8D22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1F5D7466"/>
    <w:multiLevelType w:val="hybridMultilevel"/>
    <w:tmpl w:val="781C69B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7616511"/>
    <w:multiLevelType w:val="hybridMultilevel"/>
    <w:tmpl w:val="53403F2E"/>
    <w:lvl w:ilvl="0" w:tplc="5AF84F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DC63534"/>
    <w:multiLevelType w:val="hybridMultilevel"/>
    <w:tmpl w:val="513CC3FA"/>
    <w:lvl w:ilvl="0" w:tplc="79D8F868">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86458A"/>
    <w:multiLevelType w:val="hybridMultilevel"/>
    <w:tmpl w:val="4B489682"/>
    <w:lvl w:ilvl="0" w:tplc="3BAA75F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30F026F6"/>
    <w:multiLevelType w:val="hybridMultilevel"/>
    <w:tmpl w:val="560469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50302D6"/>
    <w:multiLevelType w:val="hybridMultilevel"/>
    <w:tmpl w:val="F51E04C0"/>
    <w:lvl w:ilvl="0" w:tplc="0EFE7DDE">
      <w:start w:val="1"/>
      <w:numFmt w:val="bullet"/>
      <w:lvlText w:val=""/>
      <w:lvlJc w:val="left"/>
      <w:pPr>
        <w:ind w:left="234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7A57B10"/>
    <w:multiLevelType w:val="hybridMultilevel"/>
    <w:tmpl w:val="B0A8BA26"/>
    <w:lvl w:ilvl="0" w:tplc="D6BEE40A">
      <w:start w:val="1"/>
      <w:numFmt w:val="bullet"/>
      <w:lvlText w:val=""/>
      <w:lvlJc w:val="left"/>
      <w:pPr>
        <w:tabs>
          <w:tab w:val="num" w:pos="720"/>
        </w:tabs>
        <w:ind w:left="720" w:hanging="360"/>
      </w:pPr>
      <w:rPr>
        <w:rFonts w:ascii="Wingdings" w:hAnsi="Wingdings" w:hint="default"/>
      </w:rPr>
    </w:lvl>
    <w:lvl w:ilvl="1" w:tplc="0172BF2E" w:tentative="1">
      <w:start w:val="1"/>
      <w:numFmt w:val="bullet"/>
      <w:lvlText w:val=""/>
      <w:lvlJc w:val="left"/>
      <w:pPr>
        <w:tabs>
          <w:tab w:val="num" w:pos="1440"/>
        </w:tabs>
        <w:ind w:left="1440" w:hanging="360"/>
      </w:pPr>
      <w:rPr>
        <w:rFonts w:ascii="Wingdings" w:hAnsi="Wingdings" w:hint="default"/>
      </w:rPr>
    </w:lvl>
    <w:lvl w:ilvl="2" w:tplc="C4EC4678" w:tentative="1">
      <w:start w:val="1"/>
      <w:numFmt w:val="bullet"/>
      <w:lvlText w:val=""/>
      <w:lvlJc w:val="left"/>
      <w:pPr>
        <w:tabs>
          <w:tab w:val="num" w:pos="2160"/>
        </w:tabs>
        <w:ind w:left="2160" w:hanging="360"/>
      </w:pPr>
      <w:rPr>
        <w:rFonts w:ascii="Wingdings" w:hAnsi="Wingdings" w:hint="default"/>
      </w:rPr>
    </w:lvl>
    <w:lvl w:ilvl="3" w:tplc="F9CCA128" w:tentative="1">
      <w:start w:val="1"/>
      <w:numFmt w:val="bullet"/>
      <w:lvlText w:val=""/>
      <w:lvlJc w:val="left"/>
      <w:pPr>
        <w:tabs>
          <w:tab w:val="num" w:pos="2880"/>
        </w:tabs>
        <w:ind w:left="2880" w:hanging="360"/>
      </w:pPr>
      <w:rPr>
        <w:rFonts w:ascii="Wingdings" w:hAnsi="Wingdings" w:hint="default"/>
      </w:rPr>
    </w:lvl>
    <w:lvl w:ilvl="4" w:tplc="FB50CF44" w:tentative="1">
      <w:start w:val="1"/>
      <w:numFmt w:val="bullet"/>
      <w:lvlText w:val=""/>
      <w:lvlJc w:val="left"/>
      <w:pPr>
        <w:tabs>
          <w:tab w:val="num" w:pos="3600"/>
        </w:tabs>
        <w:ind w:left="3600" w:hanging="360"/>
      </w:pPr>
      <w:rPr>
        <w:rFonts w:ascii="Wingdings" w:hAnsi="Wingdings" w:hint="default"/>
      </w:rPr>
    </w:lvl>
    <w:lvl w:ilvl="5" w:tplc="1076CB84" w:tentative="1">
      <w:start w:val="1"/>
      <w:numFmt w:val="bullet"/>
      <w:lvlText w:val=""/>
      <w:lvlJc w:val="left"/>
      <w:pPr>
        <w:tabs>
          <w:tab w:val="num" w:pos="4320"/>
        </w:tabs>
        <w:ind w:left="4320" w:hanging="360"/>
      </w:pPr>
      <w:rPr>
        <w:rFonts w:ascii="Wingdings" w:hAnsi="Wingdings" w:hint="default"/>
      </w:rPr>
    </w:lvl>
    <w:lvl w:ilvl="6" w:tplc="3E9A2484" w:tentative="1">
      <w:start w:val="1"/>
      <w:numFmt w:val="bullet"/>
      <w:lvlText w:val=""/>
      <w:lvlJc w:val="left"/>
      <w:pPr>
        <w:tabs>
          <w:tab w:val="num" w:pos="5040"/>
        </w:tabs>
        <w:ind w:left="5040" w:hanging="360"/>
      </w:pPr>
      <w:rPr>
        <w:rFonts w:ascii="Wingdings" w:hAnsi="Wingdings" w:hint="default"/>
      </w:rPr>
    </w:lvl>
    <w:lvl w:ilvl="7" w:tplc="5F688B36" w:tentative="1">
      <w:start w:val="1"/>
      <w:numFmt w:val="bullet"/>
      <w:lvlText w:val=""/>
      <w:lvlJc w:val="left"/>
      <w:pPr>
        <w:tabs>
          <w:tab w:val="num" w:pos="5760"/>
        </w:tabs>
        <w:ind w:left="5760" w:hanging="360"/>
      </w:pPr>
      <w:rPr>
        <w:rFonts w:ascii="Wingdings" w:hAnsi="Wingdings" w:hint="default"/>
      </w:rPr>
    </w:lvl>
    <w:lvl w:ilvl="8" w:tplc="0096D1F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1F3CB6"/>
    <w:multiLevelType w:val="hybridMultilevel"/>
    <w:tmpl w:val="B038CC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959490C"/>
    <w:multiLevelType w:val="hybridMultilevel"/>
    <w:tmpl w:val="53403F2E"/>
    <w:lvl w:ilvl="0" w:tplc="5AF84F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D5651F9"/>
    <w:multiLevelType w:val="hybridMultilevel"/>
    <w:tmpl w:val="E836F73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4ABD7608"/>
    <w:multiLevelType w:val="hybridMultilevel"/>
    <w:tmpl w:val="3D96044E"/>
    <w:lvl w:ilvl="0" w:tplc="C456B2AE">
      <w:start w:val="1"/>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4AD0589E"/>
    <w:multiLevelType w:val="hybridMultilevel"/>
    <w:tmpl w:val="31063FB4"/>
    <w:lvl w:ilvl="0" w:tplc="ABBCC1E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214FB1"/>
    <w:multiLevelType w:val="hybridMultilevel"/>
    <w:tmpl w:val="F9C482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D5E6018"/>
    <w:multiLevelType w:val="hybridMultilevel"/>
    <w:tmpl w:val="956E1300"/>
    <w:lvl w:ilvl="0" w:tplc="BDB69BEA">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204E7"/>
    <w:multiLevelType w:val="hybridMultilevel"/>
    <w:tmpl w:val="A432A3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4FA48A3"/>
    <w:multiLevelType w:val="hybridMultilevel"/>
    <w:tmpl w:val="FF5048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94F7FF3"/>
    <w:multiLevelType w:val="multilevel"/>
    <w:tmpl w:val="0E82EFB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B936E69"/>
    <w:multiLevelType w:val="hybridMultilevel"/>
    <w:tmpl w:val="ADF2C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27040"/>
    <w:multiLevelType w:val="hybridMultilevel"/>
    <w:tmpl w:val="4A0C2298"/>
    <w:lvl w:ilvl="0" w:tplc="C456B2AE">
      <w:start w:val="1"/>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7" w15:restartNumberingAfterBreak="0">
    <w:nsid w:val="5D5C5A28"/>
    <w:multiLevelType w:val="hybridMultilevel"/>
    <w:tmpl w:val="0DA60232"/>
    <w:lvl w:ilvl="0" w:tplc="C456B2AE">
      <w:start w:val="1"/>
      <w:numFmt w:val="bullet"/>
      <w:lvlText w:val="-"/>
      <w:lvlJc w:val="left"/>
      <w:pPr>
        <w:tabs>
          <w:tab w:val="num" w:pos="720"/>
        </w:tabs>
        <w:ind w:left="720" w:hanging="360"/>
      </w:pPr>
      <w:rPr>
        <w:rFonts w:ascii="Times New Roman" w:eastAsiaTheme="minorHAnsi" w:hAnsi="Times New Roman" w:cs="Times New Roman" w:hint="default"/>
      </w:rPr>
    </w:lvl>
    <w:lvl w:ilvl="1" w:tplc="0172BF2E" w:tentative="1">
      <w:start w:val="1"/>
      <w:numFmt w:val="bullet"/>
      <w:lvlText w:val=""/>
      <w:lvlJc w:val="left"/>
      <w:pPr>
        <w:tabs>
          <w:tab w:val="num" w:pos="1440"/>
        </w:tabs>
        <w:ind w:left="1440" w:hanging="360"/>
      </w:pPr>
      <w:rPr>
        <w:rFonts w:ascii="Wingdings" w:hAnsi="Wingdings" w:hint="default"/>
      </w:rPr>
    </w:lvl>
    <w:lvl w:ilvl="2" w:tplc="C4EC4678" w:tentative="1">
      <w:start w:val="1"/>
      <w:numFmt w:val="bullet"/>
      <w:lvlText w:val=""/>
      <w:lvlJc w:val="left"/>
      <w:pPr>
        <w:tabs>
          <w:tab w:val="num" w:pos="2160"/>
        </w:tabs>
        <w:ind w:left="2160" w:hanging="360"/>
      </w:pPr>
      <w:rPr>
        <w:rFonts w:ascii="Wingdings" w:hAnsi="Wingdings" w:hint="default"/>
      </w:rPr>
    </w:lvl>
    <w:lvl w:ilvl="3" w:tplc="F9CCA128" w:tentative="1">
      <w:start w:val="1"/>
      <w:numFmt w:val="bullet"/>
      <w:lvlText w:val=""/>
      <w:lvlJc w:val="left"/>
      <w:pPr>
        <w:tabs>
          <w:tab w:val="num" w:pos="2880"/>
        </w:tabs>
        <w:ind w:left="2880" w:hanging="360"/>
      </w:pPr>
      <w:rPr>
        <w:rFonts w:ascii="Wingdings" w:hAnsi="Wingdings" w:hint="default"/>
      </w:rPr>
    </w:lvl>
    <w:lvl w:ilvl="4" w:tplc="FB50CF44" w:tentative="1">
      <w:start w:val="1"/>
      <w:numFmt w:val="bullet"/>
      <w:lvlText w:val=""/>
      <w:lvlJc w:val="left"/>
      <w:pPr>
        <w:tabs>
          <w:tab w:val="num" w:pos="3600"/>
        </w:tabs>
        <w:ind w:left="3600" w:hanging="360"/>
      </w:pPr>
      <w:rPr>
        <w:rFonts w:ascii="Wingdings" w:hAnsi="Wingdings" w:hint="default"/>
      </w:rPr>
    </w:lvl>
    <w:lvl w:ilvl="5" w:tplc="1076CB84" w:tentative="1">
      <w:start w:val="1"/>
      <w:numFmt w:val="bullet"/>
      <w:lvlText w:val=""/>
      <w:lvlJc w:val="left"/>
      <w:pPr>
        <w:tabs>
          <w:tab w:val="num" w:pos="4320"/>
        </w:tabs>
        <w:ind w:left="4320" w:hanging="360"/>
      </w:pPr>
      <w:rPr>
        <w:rFonts w:ascii="Wingdings" w:hAnsi="Wingdings" w:hint="default"/>
      </w:rPr>
    </w:lvl>
    <w:lvl w:ilvl="6" w:tplc="3E9A2484" w:tentative="1">
      <w:start w:val="1"/>
      <w:numFmt w:val="bullet"/>
      <w:lvlText w:val=""/>
      <w:lvlJc w:val="left"/>
      <w:pPr>
        <w:tabs>
          <w:tab w:val="num" w:pos="5040"/>
        </w:tabs>
        <w:ind w:left="5040" w:hanging="360"/>
      </w:pPr>
      <w:rPr>
        <w:rFonts w:ascii="Wingdings" w:hAnsi="Wingdings" w:hint="default"/>
      </w:rPr>
    </w:lvl>
    <w:lvl w:ilvl="7" w:tplc="5F688B36" w:tentative="1">
      <w:start w:val="1"/>
      <w:numFmt w:val="bullet"/>
      <w:lvlText w:val=""/>
      <w:lvlJc w:val="left"/>
      <w:pPr>
        <w:tabs>
          <w:tab w:val="num" w:pos="5760"/>
        </w:tabs>
        <w:ind w:left="5760" w:hanging="360"/>
      </w:pPr>
      <w:rPr>
        <w:rFonts w:ascii="Wingdings" w:hAnsi="Wingdings" w:hint="default"/>
      </w:rPr>
    </w:lvl>
    <w:lvl w:ilvl="8" w:tplc="0096D1F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EE55C2"/>
    <w:multiLevelType w:val="hybridMultilevel"/>
    <w:tmpl w:val="AF224DBA"/>
    <w:lvl w:ilvl="0" w:tplc="7E3650E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12D5420"/>
    <w:multiLevelType w:val="hybridMultilevel"/>
    <w:tmpl w:val="013E09B6"/>
    <w:lvl w:ilvl="0" w:tplc="83EA15B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621F19F8"/>
    <w:multiLevelType w:val="hybridMultilevel"/>
    <w:tmpl w:val="F19223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30C7C41"/>
    <w:multiLevelType w:val="hybridMultilevel"/>
    <w:tmpl w:val="43BCFCE6"/>
    <w:lvl w:ilvl="0" w:tplc="6310F25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63933E35"/>
    <w:multiLevelType w:val="hybridMultilevel"/>
    <w:tmpl w:val="84A665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63E515C8"/>
    <w:multiLevelType w:val="hybridMultilevel"/>
    <w:tmpl w:val="848A477C"/>
    <w:lvl w:ilvl="0" w:tplc="C456B2AE">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64974E55"/>
    <w:multiLevelType w:val="hybridMultilevel"/>
    <w:tmpl w:val="F822F534"/>
    <w:lvl w:ilvl="0" w:tplc="BDB69B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65F07FD9"/>
    <w:multiLevelType w:val="hybridMultilevel"/>
    <w:tmpl w:val="766C7EF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6440E12"/>
    <w:multiLevelType w:val="hybridMultilevel"/>
    <w:tmpl w:val="B81824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76276EA"/>
    <w:multiLevelType w:val="hybridMultilevel"/>
    <w:tmpl w:val="E9E46B4C"/>
    <w:lvl w:ilvl="0" w:tplc="74D6CCF8">
      <w:start w:val="1"/>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694B247E"/>
    <w:multiLevelType w:val="hybridMultilevel"/>
    <w:tmpl w:val="7AD0FE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AAD479B"/>
    <w:multiLevelType w:val="hybridMultilevel"/>
    <w:tmpl w:val="FB98B4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F4629DE"/>
    <w:multiLevelType w:val="hybridMultilevel"/>
    <w:tmpl w:val="B07AC3C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35229D"/>
    <w:multiLevelType w:val="hybridMultilevel"/>
    <w:tmpl w:val="9E5CCEAC"/>
    <w:lvl w:ilvl="0" w:tplc="DAA2FD30">
      <w:start w:val="1"/>
      <w:numFmt w:val="low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2" w15:restartNumberingAfterBreak="0">
    <w:nsid w:val="7883168C"/>
    <w:multiLevelType w:val="hybridMultilevel"/>
    <w:tmpl w:val="81BEE9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BF83EC3"/>
    <w:multiLevelType w:val="hybridMultilevel"/>
    <w:tmpl w:val="DAF2E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CEC3F18"/>
    <w:multiLevelType w:val="hybridMultilevel"/>
    <w:tmpl w:val="FB20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37"/>
  </w:num>
  <w:num w:numId="4">
    <w:abstractNumId w:val="18"/>
  </w:num>
  <w:num w:numId="5">
    <w:abstractNumId w:val="5"/>
  </w:num>
  <w:num w:numId="6">
    <w:abstractNumId w:val="38"/>
  </w:num>
  <w:num w:numId="7">
    <w:abstractNumId w:val="28"/>
  </w:num>
  <w:num w:numId="8">
    <w:abstractNumId w:val="34"/>
  </w:num>
  <w:num w:numId="9">
    <w:abstractNumId w:val="21"/>
  </w:num>
  <w:num w:numId="10">
    <w:abstractNumId w:val="24"/>
  </w:num>
  <w:num w:numId="11">
    <w:abstractNumId w:val="43"/>
  </w:num>
  <w:num w:numId="12">
    <w:abstractNumId w:val="10"/>
  </w:num>
  <w:num w:numId="13">
    <w:abstractNumId w:val="7"/>
  </w:num>
  <w:num w:numId="14">
    <w:abstractNumId w:val="29"/>
  </w:num>
  <w:num w:numId="15">
    <w:abstractNumId w:val="41"/>
  </w:num>
  <w:num w:numId="16">
    <w:abstractNumId w:val="13"/>
  </w:num>
  <w:num w:numId="17">
    <w:abstractNumId w:val="25"/>
  </w:num>
  <w:num w:numId="18">
    <w:abstractNumId w:val="44"/>
  </w:num>
  <w:num w:numId="19">
    <w:abstractNumId w:val="8"/>
  </w:num>
  <w:num w:numId="20">
    <w:abstractNumId w:val="31"/>
  </w:num>
  <w:num w:numId="21">
    <w:abstractNumId w:val="1"/>
  </w:num>
  <w:num w:numId="22">
    <w:abstractNumId w:val="33"/>
  </w:num>
  <w:num w:numId="23">
    <w:abstractNumId w:val="19"/>
  </w:num>
  <w:num w:numId="24">
    <w:abstractNumId w:val="3"/>
  </w:num>
  <w:num w:numId="25">
    <w:abstractNumId w:val="14"/>
  </w:num>
  <w:num w:numId="26">
    <w:abstractNumId w:val="27"/>
  </w:num>
  <w:num w:numId="27">
    <w:abstractNumId w:val="26"/>
  </w:num>
  <w:num w:numId="28">
    <w:abstractNumId w:val="11"/>
  </w:num>
  <w:num w:numId="29">
    <w:abstractNumId w:val="16"/>
  </w:num>
  <w:num w:numId="30">
    <w:abstractNumId w:val="9"/>
  </w:num>
  <w:num w:numId="31">
    <w:abstractNumId w:val="17"/>
  </w:num>
  <w:num w:numId="32">
    <w:abstractNumId w:val="39"/>
  </w:num>
  <w:num w:numId="33">
    <w:abstractNumId w:val="0"/>
  </w:num>
  <w:num w:numId="34">
    <w:abstractNumId w:val="40"/>
  </w:num>
  <w:num w:numId="35">
    <w:abstractNumId w:val="2"/>
  </w:num>
  <w:num w:numId="36">
    <w:abstractNumId w:val="23"/>
  </w:num>
  <w:num w:numId="37">
    <w:abstractNumId w:val="15"/>
  </w:num>
  <w:num w:numId="38">
    <w:abstractNumId w:val="20"/>
  </w:num>
  <w:num w:numId="39">
    <w:abstractNumId w:val="12"/>
  </w:num>
  <w:num w:numId="40">
    <w:abstractNumId w:val="36"/>
  </w:num>
  <w:num w:numId="41">
    <w:abstractNumId w:val="30"/>
  </w:num>
  <w:num w:numId="42">
    <w:abstractNumId w:val="42"/>
  </w:num>
  <w:num w:numId="43">
    <w:abstractNumId w:val="22"/>
  </w:num>
  <w:num w:numId="44">
    <w:abstractNumId w:val="32"/>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BA"/>
    <w:rsid w:val="0000003E"/>
    <w:rsid w:val="00000CFE"/>
    <w:rsid w:val="00001A55"/>
    <w:rsid w:val="0000645C"/>
    <w:rsid w:val="00010E21"/>
    <w:rsid w:val="00013BBA"/>
    <w:rsid w:val="00016069"/>
    <w:rsid w:val="0001702E"/>
    <w:rsid w:val="0001748C"/>
    <w:rsid w:val="00021933"/>
    <w:rsid w:val="00021B9E"/>
    <w:rsid w:val="00022D05"/>
    <w:rsid w:val="0002518E"/>
    <w:rsid w:val="0002799A"/>
    <w:rsid w:val="00031A2A"/>
    <w:rsid w:val="000332B6"/>
    <w:rsid w:val="00035501"/>
    <w:rsid w:val="00036854"/>
    <w:rsid w:val="000373C4"/>
    <w:rsid w:val="000373C7"/>
    <w:rsid w:val="00042C08"/>
    <w:rsid w:val="00045853"/>
    <w:rsid w:val="00045B6D"/>
    <w:rsid w:val="00045FC2"/>
    <w:rsid w:val="000476DA"/>
    <w:rsid w:val="00047C72"/>
    <w:rsid w:val="000509CD"/>
    <w:rsid w:val="00051A46"/>
    <w:rsid w:val="00054A2A"/>
    <w:rsid w:val="000551FD"/>
    <w:rsid w:val="000603E7"/>
    <w:rsid w:val="00067DAD"/>
    <w:rsid w:val="000707F1"/>
    <w:rsid w:val="00071AFA"/>
    <w:rsid w:val="0007227A"/>
    <w:rsid w:val="000735D6"/>
    <w:rsid w:val="000768F6"/>
    <w:rsid w:val="000806DC"/>
    <w:rsid w:val="00081018"/>
    <w:rsid w:val="00083033"/>
    <w:rsid w:val="00083991"/>
    <w:rsid w:val="0008597A"/>
    <w:rsid w:val="00085DF2"/>
    <w:rsid w:val="00086A18"/>
    <w:rsid w:val="00087C05"/>
    <w:rsid w:val="00093451"/>
    <w:rsid w:val="000968E5"/>
    <w:rsid w:val="000A3C0C"/>
    <w:rsid w:val="000A4F1D"/>
    <w:rsid w:val="000A567F"/>
    <w:rsid w:val="000A6F83"/>
    <w:rsid w:val="000B71D4"/>
    <w:rsid w:val="000B79F4"/>
    <w:rsid w:val="000C2DE1"/>
    <w:rsid w:val="000D1749"/>
    <w:rsid w:val="000D3408"/>
    <w:rsid w:val="000D4C58"/>
    <w:rsid w:val="000D4D30"/>
    <w:rsid w:val="000D6088"/>
    <w:rsid w:val="000D63FA"/>
    <w:rsid w:val="000D73E9"/>
    <w:rsid w:val="000E0DB0"/>
    <w:rsid w:val="000E33BD"/>
    <w:rsid w:val="000E434C"/>
    <w:rsid w:val="000E461E"/>
    <w:rsid w:val="000E4E50"/>
    <w:rsid w:val="000F1D34"/>
    <w:rsid w:val="000F1E60"/>
    <w:rsid w:val="000F26DD"/>
    <w:rsid w:val="000F3AE8"/>
    <w:rsid w:val="000F5FB2"/>
    <w:rsid w:val="000F712C"/>
    <w:rsid w:val="000F7D1B"/>
    <w:rsid w:val="00100A4B"/>
    <w:rsid w:val="001021A0"/>
    <w:rsid w:val="001031F1"/>
    <w:rsid w:val="00103864"/>
    <w:rsid w:val="00104E43"/>
    <w:rsid w:val="00114263"/>
    <w:rsid w:val="00114D82"/>
    <w:rsid w:val="001222A1"/>
    <w:rsid w:val="00122AD2"/>
    <w:rsid w:val="00122C12"/>
    <w:rsid w:val="00124D95"/>
    <w:rsid w:val="00126CAC"/>
    <w:rsid w:val="00127F04"/>
    <w:rsid w:val="001355EE"/>
    <w:rsid w:val="00136C16"/>
    <w:rsid w:val="00136CC8"/>
    <w:rsid w:val="00136D41"/>
    <w:rsid w:val="00137CCC"/>
    <w:rsid w:val="00140E1B"/>
    <w:rsid w:val="00144255"/>
    <w:rsid w:val="00147DC7"/>
    <w:rsid w:val="00151FDD"/>
    <w:rsid w:val="00152BC6"/>
    <w:rsid w:val="00153856"/>
    <w:rsid w:val="00156BEC"/>
    <w:rsid w:val="00156ED0"/>
    <w:rsid w:val="0016012A"/>
    <w:rsid w:val="001618DE"/>
    <w:rsid w:val="00162783"/>
    <w:rsid w:val="00163513"/>
    <w:rsid w:val="00164EAD"/>
    <w:rsid w:val="00170895"/>
    <w:rsid w:val="001737F5"/>
    <w:rsid w:val="0017513A"/>
    <w:rsid w:val="00175613"/>
    <w:rsid w:val="00180C10"/>
    <w:rsid w:val="00182D84"/>
    <w:rsid w:val="00183111"/>
    <w:rsid w:val="001832CF"/>
    <w:rsid w:val="001834D1"/>
    <w:rsid w:val="0018550D"/>
    <w:rsid w:val="00186F09"/>
    <w:rsid w:val="00190D5E"/>
    <w:rsid w:val="00191F49"/>
    <w:rsid w:val="00193851"/>
    <w:rsid w:val="00195946"/>
    <w:rsid w:val="00196CBD"/>
    <w:rsid w:val="001A0A9D"/>
    <w:rsid w:val="001A196E"/>
    <w:rsid w:val="001A30AD"/>
    <w:rsid w:val="001B0E1C"/>
    <w:rsid w:val="001B1105"/>
    <w:rsid w:val="001B42CA"/>
    <w:rsid w:val="001B4F9A"/>
    <w:rsid w:val="001B637C"/>
    <w:rsid w:val="001B7F81"/>
    <w:rsid w:val="001C1A62"/>
    <w:rsid w:val="001D0BE0"/>
    <w:rsid w:val="001D1719"/>
    <w:rsid w:val="001D4316"/>
    <w:rsid w:val="001D44C4"/>
    <w:rsid w:val="001D5AA9"/>
    <w:rsid w:val="001D7EE2"/>
    <w:rsid w:val="001E03A2"/>
    <w:rsid w:val="001E1C01"/>
    <w:rsid w:val="001E2E5A"/>
    <w:rsid w:val="001E4863"/>
    <w:rsid w:val="001E72EC"/>
    <w:rsid w:val="001E7CBE"/>
    <w:rsid w:val="001F03AF"/>
    <w:rsid w:val="001F29D9"/>
    <w:rsid w:val="001F3165"/>
    <w:rsid w:val="001F331A"/>
    <w:rsid w:val="001F50DB"/>
    <w:rsid w:val="001F64D5"/>
    <w:rsid w:val="001F6D99"/>
    <w:rsid w:val="00200A08"/>
    <w:rsid w:val="002015DA"/>
    <w:rsid w:val="00205CB0"/>
    <w:rsid w:val="00207429"/>
    <w:rsid w:val="00212935"/>
    <w:rsid w:val="00213962"/>
    <w:rsid w:val="002149F7"/>
    <w:rsid w:val="00216C89"/>
    <w:rsid w:val="0021790D"/>
    <w:rsid w:val="002211DB"/>
    <w:rsid w:val="002243B8"/>
    <w:rsid w:val="00226630"/>
    <w:rsid w:val="0022728D"/>
    <w:rsid w:val="0023496D"/>
    <w:rsid w:val="00235C48"/>
    <w:rsid w:val="00237CA5"/>
    <w:rsid w:val="002421BD"/>
    <w:rsid w:val="00243434"/>
    <w:rsid w:val="00243D39"/>
    <w:rsid w:val="002440C0"/>
    <w:rsid w:val="002455B8"/>
    <w:rsid w:val="00246304"/>
    <w:rsid w:val="00246EC0"/>
    <w:rsid w:val="00247B25"/>
    <w:rsid w:val="00247DD1"/>
    <w:rsid w:val="00250471"/>
    <w:rsid w:val="00251740"/>
    <w:rsid w:val="00252812"/>
    <w:rsid w:val="00252E6E"/>
    <w:rsid w:val="0025319C"/>
    <w:rsid w:val="00253B6A"/>
    <w:rsid w:val="00254311"/>
    <w:rsid w:val="00255E06"/>
    <w:rsid w:val="0026441D"/>
    <w:rsid w:val="00264ED6"/>
    <w:rsid w:val="00265251"/>
    <w:rsid w:val="002700C6"/>
    <w:rsid w:val="00270E70"/>
    <w:rsid w:val="00272665"/>
    <w:rsid w:val="00273C3F"/>
    <w:rsid w:val="00274CAE"/>
    <w:rsid w:val="00275023"/>
    <w:rsid w:val="00282BB3"/>
    <w:rsid w:val="002831E5"/>
    <w:rsid w:val="00283347"/>
    <w:rsid w:val="00284180"/>
    <w:rsid w:val="00287EFC"/>
    <w:rsid w:val="00292EB5"/>
    <w:rsid w:val="002954C3"/>
    <w:rsid w:val="002A1A51"/>
    <w:rsid w:val="002A4828"/>
    <w:rsid w:val="002A5919"/>
    <w:rsid w:val="002B0E1D"/>
    <w:rsid w:val="002B1D6D"/>
    <w:rsid w:val="002C0E4D"/>
    <w:rsid w:val="002C36F7"/>
    <w:rsid w:val="002C79B2"/>
    <w:rsid w:val="002D39E2"/>
    <w:rsid w:val="002D7AA0"/>
    <w:rsid w:val="002D7ABC"/>
    <w:rsid w:val="002D7D8B"/>
    <w:rsid w:val="002E3201"/>
    <w:rsid w:val="002F02AA"/>
    <w:rsid w:val="002F20C7"/>
    <w:rsid w:val="002F38D6"/>
    <w:rsid w:val="002F4553"/>
    <w:rsid w:val="002F5A64"/>
    <w:rsid w:val="002F6F80"/>
    <w:rsid w:val="002F73B4"/>
    <w:rsid w:val="0030224C"/>
    <w:rsid w:val="003044FD"/>
    <w:rsid w:val="00306D8F"/>
    <w:rsid w:val="00311AAF"/>
    <w:rsid w:val="003136D1"/>
    <w:rsid w:val="00315CB5"/>
    <w:rsid w:val="0031609A"/>
    <w:rsid w:val="003213CB"/>
    <w:rsid w:val="00322D11"/>
    <w:rsid w:val="0032302F"/>
    <w:rsid w:val="00323857"/>
    <w:rsid w:val="00326E75"/>
    <w:rsid w:val="00331489"/>
    <w:rsid w:val="00331F49"/>
    <w:rsid w:val="0033298F"/>
    <w:rsid w:val="00332D13"/>
    <w:rsid w:val="00334E43"/>
    <w:rsid w:val="00337D03"/>
    <w:rsid w:val="0034135C"/>
    <w:rsid w:val="0034141D"/>
    <w:rsid w:val="00343036"/>
    <w:rsid w:val="00347911"/>
    <w:rsid w:val="00347915"/>
    <w:rsid w:val="00350A33"/>
    <w:rsid w:val="00350A99"/>
    <w:rsid w:val="0035163B"/>
    <w:rsid w:val="00352526"/>
    <w:rsid w:val="00356405"/>
    <w:rsid w:val="00357950"/>
    <w:rsid w:val="00357A5B"/>
    <w:rsid w:val="003609F6"/>
    <w:rsid w:val="003613CB"/>
    <w:rsid w:val="003622FA"/>
    <w:rsid w:val="00363955"/>
    <w:rsid w:val="00364E1D"/>
    <w:rsid w:val="00365733"/>
    <w:rsid w:val="003660B6"/>
    <w:rsid w:val="0036722D"/>
    <w:rsid w:val="00370A8B"/>
    <w:rsid w:val="003710FA"/>
    <w:rsid w:val="003727FC"/>
    <w:rsid w:val="00373106"/>
    <w:rsid w:val="00376B69"/>
    <w:rsid w:val="00380565"/>
    <w:rsid w:val="00380BD7"/>
    <w:rsid w:val="00382204"/>
    <w:rsid w:val="00382375"/>
    <w:rsid w:val="003848DD"/>
    <w:rsid w:val="003862AD"/>
    <w:rsid w:val="0039275B"/>
    <w:rsid w:val="00393638"/>
    <w:rsid w:val="00395609"/>
    <w:rsid w:val="003A08CC"/>
    <w:rsid w:val="003A2C75"/>
    <w:rsid w:val="003A39AE"/>
    <w:rsid w:val="003A3AAC"/>
    <w:rsid w:val="003A3BDF"/>
    <w:rsid w:val="003A6971"/>
    <w:rsid w:val="003A7151"/>
    <w:rsid w:val="003B0530"/>
    <w:rsid w:val="003B0E29"/>
    <w:rsid w:val="003C4E3A"/>
    <w:rsid w:val="003C788C"/>
    <w:rsid w:val="003D3E12"/>
    <w:rsid w:val="003D436B"/>
    <w:rsid w:val="003D5586"/>
    <w:rsid w:val="003D71CB"/>
    <w:rsid w:val="003E0F87"/>
    <w:rsid w:val="003E5B3B"/>
    <w:rsid w:val="003F377C"/>
    <w:rsid w:val="003F6A1F"/>
    <w:rsid w:val="003F75F6"/>
    <w:rsid w:val="00400092"/>
    <w:rsid w:val="00400EC3"/>
    <w:rsid w:val="00403C72"/>
    <w:rsid w:val="0040585C"/>
    <w:rsid w:val="004058FC"/>
    <w:rsid w:val="00406797"/>
    <w:rsid w:val="00412A42"/>
    <w:rsid w:val="0041507F"/>
    <w:rsid w:val="00416AE3"/>
    <w:rsid w:val="004207A2"/>
    <w:rsid w:val="0042131B"/>
    <w:rsid w:val="004223F9"/>
    <w:rsid w:val="004269B3"/>
    <w:rsid w:val="004308F8"/>
    <w:rsid w:val="00432604"/>
    <w:rsid w:val="0043330E"/>
    <w:rsid w:val="00434CAB"/>
    <w:rsid w:val="00443687"/>
    <w:rsid w:val="004453C8"/>
    <w:rsid w:val="00450453"/>
    <w:rsid w:val="00452187"/>
    <w:rsid w:val="0045299D"/>
    <w:rsid w:val="00452F21"/>
    <w:rsid w:val="00454321"/>
    <w:rsid w:val="004543E5"/>
    <w:rsid w:val="00455F4B"/>
    <w:rsid w:val="0046356F"/>
    <w:rsid w:val="0046528E"/>
    <w:rsid w:val="0046750A"/>
    <w:rsid w:val="00470D2A"/>
    <w:rsid w:val="00477AB2"/>
    <w:rsid w:val="00480ACA"/>
    <w:rsid w:val="0048140D"/>
    <w:rsid w:val="0048298D"/>
    <w:rsid w:val="004836F7"/>
    <w:rsid w:val="004851C6"/>
    <w:rsid w:val="00487B3E"/>
    <w:rsid w:val="00491274"/>
    <w:rsid w:val="00492CB1"/>
    <w:rsid w:val="0049503E"/>
    <w:rsid w:val="00495F0D"/>
    <w:rsid w:val="00495F18"/>
    <w:rsid w:val="0049669B"/>
    <w:rsid w:val="004A19E2"/>
    <w:rsid w:val="004A285B"/>
    <w:rsid w:val="004A7A1F"/>
    <w:rsid w:val="004B02FA"/>
    <w:rsid w:val="004B0436"/>
    <w:rsid w:val="004B25E1"/>
    <w:rsid w:val="004C1182"/>
    <w:rsid w:val="004C1E4C"/>
    <w:rsid w:val="004C2648"/>
    <w:rsid w:val="004C53D4"/>
    <w:rsid w:val="004D0BE9"/>
    <w:rsid w:val="004D2249"/>
    <w:rsid w:val="004E2983"/>
    <w:rsid w:val="004E4526"/>
    <w:rsid w:val="004E4F85"/>
    <w:rsid w:val="004F010E"/>
    <w:rsid w:val="004F07AE"/>
    <w:rsid w:val="004F0BC6"/>
    <w:rsid w:val="004F12D3"/>
    <w:rsid w:val="004F19E4"/>
    <w:rsid w:val="004F207B"/>
    <w:rsid w:val="004F3A9D"/>
    <w:rsid w:val="004F6BCD"/>
    <w:rsid w:val="00510429"/>
    <w:rsid w:val="00510E05"/>
    <w:rsid w:val="0051218F"/>
    <w:rsid w:val="0051276A"/>
    <w:rsid w:val="00517359"/>
    <w:rsid w:val="0052558D"/>
    <w:rsid w:val="005306AA"/>
    <w:rsid w:val="00533447"/>
    <w:rsid w:val="005339AD"/>
    <w:rsid w:val="00541805"/>
    <w:rsid w:val="005441DD"/>
    <w:rsid w:val="00544794"/>
    <w:rsid w:val="00546179"/>
    <w:rsid w:val="00550BDB"/>
    <w:rsid w:val="00550C68"/>
    <w:rsid w:val="00555229"/>
    <w:rsid w:val="00557287"/>
    <w:rsid w:val="00560FA9"/>
    <w:rsid w:val="00562800"/>
    <w:rsid w:val="0056335C"/>
    <w:rsid w:val="00564293"/>
    <w:rsid w:val="00567466"/>
    <w:rsid w:val="005713D3"/>
    <w:rsid w:val="0057203A"/>
    <w:rsid w:val="0057466C"/>
    <w:rsid w:val="00576CDD"/>
    <w:rsid w:val="00582391"/>
    <w:rsid w:val="00584E06"/>
    <w:rsid w:val="00585789"/>
    <w:rsid w:val="00592442"/>
    <w:rsid w:val="00595913"/>
    <w:rsid w:val="00597312"/>
    <w:rsid w:val="0059784F"/>
    <w:rsid w:val="00597AEC"/>
    <w:rsid w:val="005A34DD"/>
    <w:rsid w:val="005A38CD"/>
    <w:rsid w:val="005A454F"/>
    <w:rsid w:val="005A58F2"/>
    <w:rsid w:val="005A6B39"/>
    <w:rsid w:val="005A78B7"/>
    <w:rsid w:val="005B1BDB"/>
    <w:rsid w:val="005B218D"/>
    <w:rsid w:val="005B307B"/>
    <w:rsid w:val="005B3A6B"/>
    <w:rsid w:val="005B58DC"/>
    <w:rsid w:val="005B5E41"/>
    <w:rsid w:val="005B698F"/>
    <w:rsid w:val="005C0215"/>
    <w:rsid w:val="005C2EDD"/>
    <w:rsid w:val="005C46E7"/>
    <w:rsid w:val="005C5150"/>
    <w:rsid w:val="005C69B3"/>
    <w:rsid w:val="005D30C7"/>
    <w:rsid w:val="005D494D"/>
    <w:rsid w:val="005D4EC4"/>
    <w:rsid w:val="005E0EEC"/>
    <w:rsid w:val="005E132C"/>
    <w:rsid w:val="005E4710"/>
    <w:rsid w:val="005E6C03"/>
    <w:rsid w:val="005E780F"/>
    <w:rsid w:val="005E78EF"/>
    <w:rsid w:val="005E7A16"/>
    <w:rsid w:val="005F09F9"/>
    <w:rsid w:val="005F7638"/>
    <w:rsid w:val="005F7DE1"/>
    <w:rsid w:val="0060014B"/>
    <w:rsid w:val="00603213"/>
    <w:rsid w:val="00603286"/>
    <w:rsid w:val="00603719"/>
    <w:rsid w:val="006042AB"/>
    <w:rsid w:val="006061D5"/>
    <w:rsid w:val="006062FE"/>
    <w:rsid w:val="006063CA"/>
    <w:rsid w:val="00607641"/>
    <w:rsid w:val="006077B2"/>
    <w:rsid w:val="0061016A"/>
    <w:rsid w:val="00612155"/>
    <w:rsid w:val="00612358"/>
    <w:rsid w:val="00613E71"/>
    <w:rsid w:val="0062198F"/>
    <w:rsid w:val="006236C3"/>
    <w:rsid w:val="006242E1"/>
    <w:rsid w:val="0063350F"/>
    <w:rsid w:val="00640247"/>
    <w:rsid w:val="006405ED"/>
    <w:rsid w:val="00640B83"/>
    <w:rsid w:val="0064208C"/>
    <w:rsid w:val="00644C91"/>
    <w:rsid w:val="00645951"/>
    <w:rsid w:val="00647044"/>
    <w:rsid w:val="00647894"/>
    <w:rsid w:val="00650BF3"/>
    <w:rsid w:val="00652AE0"/>
    <w:rsid w:val="00655559"/>
    <w:rsid w:val="006564BC"/>
    <w:rsid w:val="00665EAA"/>
    <w:rsid w:val="006735C3"/>
    <w:rsid w:val="006749B5"/>
    <w:rsid w:val="00675DF7"/>
    <w:rsid w:val="00676CB8"/>
    <w:rsid w:val="00681313"/>
    <w:rsid w:val="00682FCA"/>
    <w:rsid w:val="006838B8"/>
    <w:rsid w:val="00683B04"/>
    <w:rsid w:val="00683E8E"/>
    <w:rsid w:val="00685A57"/>
    <w:rsid w:val="00687807"/>
    <w:rsid w:val="00687E3F"/>
    <w:rsid w:val="0069007C"/>
    <w:rsid w:val="00692DD2"/>
    <w:rsid w:val="0069481F"/>
    <w:rsid w:val="0069483D"/>
    <w:rsid w:val="0069495B"/>
    <w:rsid w:val="00697CEF"/>
    <w:rsid w:val="006A0E53"/>
    <w:rsid w:val="006B0F57"/>
    <w:rsid w:val="006B3439"/>
    <w:rsid w:val="006C0B0B"/>
    <w:rsid w:val="006C1817"/>
    <w:rsid w:val="006C2526"/>
    <w:rsid w:val="006C29FC"/>
    <w:rsid w:val="006C502C"/>
    <w:rsid w:val="006D24A1"/>
    <w:rsid w:val="006D2DF3"/>
    <w:rsid w:val="006D3B58"/>
    <w:rsid w:val="006D6F18"/>
    <w:rsid w:val="006E2330"/>
    <w:rsid w:val="006E643D"/>
    <w:rsid w:val="006E6846"/>
    <w:rsid w:val="006F47BB"/>
    <w:rsid w:val="006F62F0"/>
    <w:rsid w:val="007015C6"/>
    <w:rsid w:val="00702E54"/>
    <w:rsid w:val="00717D2C"/>
    <w:rsid w:val="007220C6"/>
    <w:rsid w:val="007226A6"/>
    <w:rsid w:val="00723471"/>
    <w:rsid w:val="00741DD8"/>
    <w:rsid w:val="00742467"/>
    <w:rsid w:val="00744CBF"/>
    <w:rsid w:val="00746513"/>
    <w:rsid w:val="00747093"/>
    <w:rsid w:val="00750838"/>
    <w:rsid w:val="0075396F"/>
    <w:rsid w:val="007557BB"/>
    <w:rsid w:val="00756B2B"/>
    <w:rsid w:val="0075705B"/>
    <w:rsid w:val="00757FDF"/>
    <w:rsid w:val="007601F3"/>
    <w:rsid w:val="007609AC"/>
    <w:rsid w:val="0076107A"/>
    <w:rsid w:val="0076359C"/>
    <w:rsid w:val="00766903"/>
    <w:rsid w:val="00775267"/>
    <w:rsid w:val="007760DB"/>
    <w:rsid w:val="0078087B"/>
    <w:rsid w:val="0078195F"/>
    <w:rsid w:val="00782237"/>
    <w:rsid w:val="00782879"/>
    <w:rsid w:val="00787BBB"/>
    <w:rsid w:val="0079029E"/>
    <w:rsid w:val="00794CC9"/>
    <w:rsid w:val="00796714"/>
    <w:rsid w:val="007A4FC1"/>
    <w:rsid w:val="007B1C6A"/>
    <w:rsid w:val="007B22F1"/>
    <w:rsid w:val="007B695F"/>
    <w:rsid w:val="007B75C2"/>
    <w:rsid w:val="007C34B6"/>
    <w:rsid w:val="007D114A"/>
    <w:rsid w:val="007D25EF"/>
    <w:rsid w:val="007D3D05"/>
    <w:rsid w:val="007D539B"/>
    <w:rsid w:val="007D5ECE"/>
    <w:rsid w:val="007D71B9"/>
    <w:rsid w:val="007D7741"/>
    <w:rsid w:val="007D79D8"/>
    <w:rsid w:val="007D7A52"/>
    <w:rsid w:val="007E2070"/>
    <w:rsid w:val="007E287D"/>
    <w:rsid w:val="007E2FF9"/>
    <w:rsid w:val="007E32E3"/>
    <w:rsid w:val="007E3915"/>
    <w:rsid w:val="007E4AD8"/>
    <w:rsid w:val="007F2A40"/>
    <w:rsid w:val="008009EC"/>
    <w:rsid w:val="00801092"/>
    <w:rsid w:val="008021B4"/>
    <w:rsid w:val="00806416"/>
    <w:rsid w:val="00806AAB"/>
    <w:rsid w:val="00807037"/>
    <w:rsid w:val="00810920"/>
    <w:rsid w:val="008130F4"/>
    <w:rsid w:val="008227BA"/>
    <w:rsid w:val="00822832"/>
    <w:rsid w:val="00825485"/>
    <w:rsid w:val="00825E29"/>
    <w:rsid w:val="00826D0A"/>
    <w:rsid w:val="00826E33"/>
    <w:rsid w:val="00833B82"/>
    <w:rsid w:val="00835512"/>
    <w:rsid w:val="008362E7"/>
    <w:rsid w:val="00840C5D"/>
    <w:rsid w:val="00846D0D"/>
    <w:rsid w:val="00847803"/>
    <w:rsid w:val="0085511E"/>
    <w:rsid w:val="00860D7D"/>
    <w:rsid w:val="008646BA"/>
    <w:rsid w:val="008664F9"/>
    <w:rsid w:val="00867076"/>
    <w:rsid w:val="00872ABC"/>
    <w:rsid w:val="0087312F"/>
    <w:rsid w:val="00873948"/>
    <w:rsid w:val="00873EEB"/>
    <w:rsid w:val="0087466B"/>
    <w:rsid w:val="008774B2"/>
    <w:rsid w:val="00881A24"/>
    <w:rsid w:val="008826F1"/>
    <w:rsid w:val="008845D6"/>
    <w:rsid w:val="00885CF8"/>
    <w:rsid w:val="00895E6B"/>
    <w:rsid w:val="008A338E"/>
    <w:rsid w:val="008A65FC"/>
    <w:rsid w:val="008B2113"/>
    <w:rsid w:val="008B230F"/>
    <w:rsid w:val="008B2609"/>
    <w:rsid w:val="008B2F34"/>
    <w:rsid w:val="008B776A"/>
    <w:rsid w:val="008C2BBA"/>
    <w:rsid w:val="008C60FA"/>
    <w:rsid w:val="008D2DD7"/>
    <w:rsid w:val="008D388E"/>
    <w:rsid w:val="008D436B"/>
    <w:rsid w:val="008D7D4A"/>
    <w:rsid w:val="008E40FD"/>
    <w:rsid w:val="008E6833"/>
    <w:rsid w:val="008F1729"/>
    <w:rsid w:val="008F25A9"/>
    <w:rsid w:val="008F2689"/>
    <w:rsid w:val="008F30C4"/>
    <w:rsid w:val="008F480A"/>
    <w:rsid w:val="008F53BA"/>
    <w:rsid w:val="009149A7"/>
    <w:rsid w:val="00914EC4"/>
    <w:rsid w:val="009201B7"/>
    <w:rsid w:val="00927EB7"/>
    <w:rsid w:val="00932D1C"/>
    <w:rsid w:val="00935BA3"/>
    <w:rsid w:val="009431CF"/>
    <w:rsid w:val="00944A1A"/>
    <w:rsid w:val="00945489"/>
    <w:rsid w:val="0095001D"/>
    <w:rsid w:val="00953833"/>
    <w:rsid w:val="00953A9C"/>
    <w:rsid w:val="00953F18"/>
    <w:rsid w:val="00955370"/>
    <w:rsid w:val="0095602E"/>
    <w:rsid w:val="009571B9"/>
    <w:rsid w:val="00961909"/>
    <w:rsid w:val="00963C0C"/>
    <w:rsid w:val="009647DC"/>
    <w:rsid w:val="00971A3A"/>
    <w:rsid w:val="0097353F"/>
    <w:rsid w:val="00975128"/>
    <w:rsid w:val="009755A4"/>
    <w:rsid w:val="0097578F"/>
    <w:rsid w:val="009817E3"/>
    <w:rsid w:val="0098642F"/>
    <w:rsid w:val="009872AC"/>
    <w:rsid w:val="00991C20"/>
    <w:rsid w:val="00991F40"/>
    <w:rsid w:val="00992287"/>
    <w:rsid w:val="00992CD1"/>
    <w:rsid w:val="009945C2"/>
    <w:rsid w:val="009951B3"/>
    <w:rsid w:val="00995869"/>
    <w:rsid w:val="00997287"/>
    <w:rsid w:val="009A1947"/>
    <w:rsid w:val="009A1C9B"/>
    <w:rsid w:val="009A35D7"/>
    <w:rsid w:val="009A4D97"/>
    <w:rsid w:val="009A703D"/>
    <w:rsid w:val="009B0C11"/>
    <w:rsid w:val="009B3A69"/>
    <w:rsid w:val="009B411F"/>
    <w:rsid w:val="009B412A"/>
    <w:rsid w:val="009B64DC"/>
    <w:rsid w:val="009B67E9"/>
    <w:rsid w:val="009B70B2"/>
    <w:rsid w:val="009C1CBB"/>
    <w:rsid w:val="009C5AF1"/>
    <w:rsid w:val="009C5B46"/>
    <w:rsid w:val="009D0C46"/>
    <w:rsid w:val="009D66B2"/>
    <w:rsid w:val="009E18A3"/>
    <w:rsid w:val="009E4592"/>
    <w:rsid w:val="009E79DE"/>
    <w:rsid w:val="009F0635"/>
    <w:rsid w:val="009F31E0"/>
    <w:rsid w:val="009F4863"/>
    <w:rsid w:val="009F48CD"/>
    <w:rsid w:val="009F5872"/>
    <w:rsid w:val="00A00AF5"/>
    <w:rsid w:val="00A00CC4"/>
    <w:rsid w:val="00A04F69"/>
    <w:rsid w:val="00A1038D"/>
    <w:rsid w:val="00A11885"/>
    <w:rsid w:val="00A15831"/>
    <w:rsid w:val="00A15D6A"/>
    <w:rsid w:val="00A16467"/>
    <w:rsid w:val="00A209D6"/>
    <w:rsid w:val="00A21E34"/>
    <w:rsid w:val="00A22A7A"/>
    <w:rsid w:val="00A23B3D"/>
    <w:rsid w:val="00A24707"/>
    <w:rsid w:val="00A27581"/>
    <w:rsid w:val="00A31845"/>
    <w:rsid w:val="00A32D27"/>
    <w:rsid w:val="00A32FE0"/>
    <w:rsid w:val="00A40E3B"/>
    <w:rsid w:val="00A435AC"/>
    <w:rsid w:val="00A43720"/>
    <w:rsid w:val="00A44902"/>
    <w:rsid w:val="00A44AD9"/>
    <w:rsid w:val="00A45464"/>
    <w:rsid w:val="00A5104A"/>
    <w:rsid w:val="00A5264F"/>
    <w:rsid w:val="00A52EE3"/>
    <w:rsid w:val="00A57773"/>
    <w:rsid w:val="00A57B37"/>
    <w:rsid w:val="00A60253"/>
    <w:rsid w:val="00A60D0F"/>
    <w:rsid w:val="00A60D63"/>
    <w:rsid w:val="00A6568A"/>
    <w:rsid w:val="00A65D02"/>
    <w:rsid w:val="00A670F7"/>
    <w:rsid w:val="00A71FBC"/>
    <w:rsid w:val="00A72FFA"/>
    <w:rsid w:val="00A75223"/>
    <w:rsid w:val="00A754EB"/>
    <w:rsid w:val="00A77EA9"/>
    <w:rsid w:val="00A8029E"/>
    <w:rsid w:val="00A82A6E"/>
    <w:rsid w:val="00A8318E"/>
    <w:rsid w:val="00A93673"/>
    <w:rsid w:val="00A93BF2"/>
    <w:rsid w:val="00AA1AEE"/>
    <w:rsid w:val="00AA3944"/>
    <w:rsid w:val="00AA5876"/>
    <w:rsid w:val="00AA6149"/>
    <w:rsid w:val="00AA63B6"/>
    <w:rsid w:val="00AA7266"/>
    <w:rsid w:val="00AA7668"/>
    <w:rsid w:val="00AA794A"/>
    <w:rsid w:val="00AB2E86"/>
    <w:rsid w:val="00AB66D8"/>
    <w:rsid w:val="00AB6FE7"/>
    <w:rsid w:val="00AC17E8"/>
    <w:rsid w:val="00AC2D07"/>
    <w:rsid w:val="00AC338C"/>
    <w:rsid w:val="00AC3D72"/>
    <w:rsid w:val="00AC48DC"/>
    <w:rsid w:val="00AC4F0D"/>
    <w:rsid w:val="00AC5D16"/>
    <w:rsid w:val="00AC7684"/>
    <w:rsid w:val="00AD1058"/>
    <w:rsid w:val="00AD2434"/>
    <w:rsid w:val="00AD2D0D"/>
    <w:rsid w:val="00AD3116"/>
    <w:rsid w:val="00AD470E"/>
    <w:rsid w:val="00AD50BD"/>
    <w:rsid w:val="00AD7752"/>
    <w:rsid w:val="00AD7BC7"/>
    <w:rsid w:val="00AE5BFC"/>
    <w:rsid w:val="00AF002F"/>
    <w:rsid w:val="00AF08D8"/>
    <w:rsid w:val="00B049C2"/>
    <w:rsid w:val="00B172B2"/>
    <w:rsid w:val="00B17E5E"/>
    <w:rsid w:val="00B26C8B"/>
    <w:rsid w:val="00B27B01"/>
    <w:rsid w:val="00B323DC"/>
    <w:rsid w:val="00B33A02"/>
    <w:rsid w:val="00B342D4"/>
    <w:rsid w:val="00B43C8B"/>
    <w:rsid w:val="00B454DB"/>
    <w:rsid w:val="00B45BC0"/>
    <w:rsid w:val="00B46F07"/>
    <w:rsid w:val="00B505B7"/>
    <w:rsid w:val="00B604EC"/>
    <w:rsid w:val="00B616A5"/>
    <w:rsid w:val="00B66F39"/>
    <w:rsid w:val="00B72DA8"/>
    <w:rsid w:val="00B74D66"/>
    <w:rsid w:val="00B74D75"/>
    <w:rsid w:val="00B83341"/>
    <w:rsid w:val="00B83473"/>
    <w:rsid w:val="00B864D3"/>
    <w:rsid w:val="00B864EE"/>
    <w:rsid w:val="00B9066C"/>
    <w:rsid w:val="00B9516A"/>
    <w:rsid w:val="00B961C0"/>
    <w:rsid w:val="00BA1427"/>
    <w:rsid w:val="00BA3C23"/>
    <w:rsid w:val="00BA41D4"/>
    <w:rsid w:val="00BA473B"/>
    <w:rsid w:val="00BA5A6F"/>
    <w:rsid w:val="00BA75C3"/>
    <w:rsid w:val="00BB24A4"/>
    <w:rsid w:val="00BB4AE5"/>
    <w:rsid w:val="00BC04CF"/>
    <w:rsid w:val="00BC185B"/>
    <w:rsid w:val="00BC47D3"/>
    <w:rsid w:val="00BC6414"/>
    <w:rsid w:val="00BC6610"/>
    <w:rsid w:val="00BD36CF"/>
    <w:rsid w:val="00BD7542"/>
    <w:rsid w:val="00BD798A"/>
    <w:rsid w:val="00BE1C5C"/>
    <w:rsid w:val="00BE215C"/>
    <w:rsid w:val="00BE352E"/>
    <w:rsid w:val="00BE3FD7"/>
    <w:rsid w:val="00BE40EA"/>
    <w:rsid w:val="00BE500E"/>
    <w:rsid w:val="00BE6865"/>
    <w:rsid w:val="00BE6F6B"/>
    <w:rsid w:val="00BF5711"/>
    <w:rsid w:val="00BF66BB"/>
    <w:rsid w:val="00BF7114"/>
    <w:rsid w:val="00BF7BE6"/>
    <w:rsid w:val="00C024C8"/>
    <w:rsid w:val="00C04D0E"/>
    <w:rsid w:val="00C04F80"/>
    <w:rsid w:val="00C07679"/>
    <w:rsid w:val="00C079FA"/>
    <w:rsid w:val="00C1003A"/>
    <w:rsid w:val="00C10A3C"/>
    <w:rsid w:val="00C1479B"/>
    <w:rsid w:val="00C148D1"/>
    <w:rsid w:val="00C17F61"/>
    <w:rsid w:val="00C20C4A"/>
    <w:rsid w:val="00C20F65"/>
    <w:rsid w:val="00C21933"/>
    <w:rsid w:val="00C2371A"/>
    <w:rsid w:val="00C25454"/>
    <w:rsid w:val="00C268FE"/>
    <w:rsid w:val="00C302DC"/>
    <w:rsid w:val="00C31AC5"/>
    <w:rsid w:val="00C31D9C"/>
    <w:rsid w:val="00C36AA7"/>
    <w:rsid w:val="00C37A00"/>
    <w:rsid w:val="00C42C0B"/>
    <w:rsid w:val="00C43861"/>
    <w:rsid w:val="00C43ED9"/>
    <w:rsid w:val="00C47B53"/>
    <w:rsid w:val="00C5029B"/>
    <w:rsid w:val="00C51657"/>
    <w:rsid w:val="00C54C7E"/>
    <w:rsid w:val="00C54C97"/>
    <w:rsid w:val="00C60D8C"/>
    <w:rsid w:val="00C62C7D"/>
    <w:rsid w:val="00C66536"/>
    <w:rsid w:val="00C7122C"/>
    <w:rsid w:val="00C71EDB"/>
    <w:rsid w:val="00C728BD"/>
    <w:rsid w:val="00C8193D"/>
    <w:rsid w:val="00C82916"/>
    <w:rsid w:val="00C82C5F"/>
    <w:rsid w:val="00C87478"/>
    <w:rsid w:val="00C91D8B"/>
    <w:rsid w:val="00C92B23"/>
    <w:rsid w:val="00C96317"/>
    <w:rsid w:val="00CA4A1A"/>
    <w:rsid w:val="00CA66AC"/>
    <w:rsid w:val="00CA6AB1"/>
    <w:rsid w:val="00CA6C65"/>
    <w:rsid w:val="00CB232A"/>
    <w:rsid w:val="00CB2337"/>
    <w:rsid w:val="00CB40B7"/>
    <w:rsid w:val="00CB5916"/>
    <w:rsid w:val="00CB65BA"/>
    <w:rsid w:val="00CB6BC4"/>
    <w:rsid w:val="00CB79A8"/>
    <w:rsid w:val="00CC3CD4"/>
    <w:rsid w:val="00CD09F4"/>
    <w:rsid w:val="00CD2DE7"/>
    <w:rsid w:val="00CD3FE9"/>
    <w:rsid w:val="00CD57FF"/>
    <w:rsid w:val="00CD60FA"/>
    <w:rsid w:val="00CD67D6"/>
    <w:rsid w:val="00CD7167"/>
    <w:rsid w:val="00CD7FC1"/>
    <w:rsid w:val="00CE1952"/>
    <w:rsid w:val="00CE2F7A"/>
    <w:rsid w:val="00CE3603"/>
    <w:rsid w:val="00CE3955"/>
    <w:rsid w:val="00CE59FB"/>
    <w:rsid w:val="00CF16FB"/>
    <w:rsid w:val="00CF2AF6"/>
    <w:rsid w:val="00CF43E1"/>
    <w:rsid w:val="00CF6000"/>
    <w:rsid w:val="00CF6828"/>
    <w:rsid w:val="00CF6988"/>
    <w:rsid w:val="00CF750B"/>
    <w:rsid w:val="00CF7EB4"/>
    <w:rsid w:val="00D0019A"/>
    <w:rsid w:val="00D036E7"/>
    <w:rsid w:val="00D05BD9"/>
    <w:rsid w:val="00D07058"/>
    <w:rsid w:val="00D10C7E"/>
    <w:rsid w:val="00D1156D"/>
    <w:rsid w:val="00D11B4D"/>
    <w:rsid w:val="00D1270F"/>
    <w:rsid w:val="00D12866"/>
    <w:rsid w:val="00D132A9"/>
    <w:rsid w:val="00D21EF9"/>
    <w:rsid w:val="00D242F9"/>
    <w:rsid w:val="00D26DA1"/>
    <w:rsid w:val="00D275D0"/>
    <w:rsid w:val="00D27B4E"/>
    <w:rsid w:val="00D30859"/>
    <w:rsid w:val="00D31E27"/>
    <w:rsid w:val="00D32A68"/>
    <w:rsid w:val="00D331CD"/>
    <w:rsid w:val="00D33726"/>
    <w:rsid w:val="00D37939"/>
    <w:rsid w:val="00D4036C"/>
    <w:rsid w:val="00D40C06"/>
    <w:rsid w:val="00D432DA"/>
    <w:rsid w:val="00D52929"/>
    <w:rsid w:val="00D53C94"/>
    <w:rsid w:val="00D60355"/>
    <w:rsid w:val="00D60686"/>
    <w:rsid w:val="00D64BCF"/>
    <w:rsid w:val="00D64FCB"/>
    <w:rsid w:val="00D74F97"/>
    <w:rsid w:val="00D80F34"/>
    <w:rsid w:val="00D82464"/>
    <w:rsid w:val="00D83EEA"/>
    <w:rsid w:val="00D844A4"/>
    <w:rsid w:val="00D87B94"/>
    <w:rsid w:val="00D91574"/>
    <w:rsid w:val="00D91633"/>
    <w:rsid w:val="00D932CC"/>
    <w:rsid w:val="00D95F8F"/>
    <w:rsid w:val="00D97132"/>
    <w:rsid w:val="00DA7D8E"/>
    <w:rsid w:val="00DB2DE4"/>
    <w:rsid w:val="00DB3124"/>
    <w:rsid w:val="00DB538E"/>
    <w:rsid w:val="00DB54C4"/>
    <w:rsid w:val="00DC27FB"/>
    <w:rsid w:val="00DC2999"/>
    <w:rsid w:val="00DC43E6"/>
    <w:rsid w:val="00DC49AD"/>
    <w:rsid w:val="00DC6DE7"/>
    <w:rsid w:val="00DD2D02"/>
    <w:rsid w:val="00DD32A2"/>
    <w:rsid w:val="00DD3493"/>
    <w:rsid w:val="00DD3E5E"/>
    <w:rsid w:val="00DD4709"/>
    <w:rsid w:val="00DD6B54"/>
    <w:rsid w:val="00DD700D"/>
    <w:rsid w:val="00DE2D4A"/>
    <w:rsid w:val="00DE2F51"/>
    <w:rsid w:val="00DE6678"/>
    <w:rsid w:val="00DE7752"/>
    <w:rsid w:val="00DE78F5"/>
    <w:rsid w:val="00DF1530"/>
    <w:rsid w:val="00DF4E5C"/>
    <w:rsid w:val="00E00616"/>
    <w:rsid w:val="00E0078F"/>
    <w:rsid w:val="00E01E85"/>
    <w:rsid w:val="00E0774A"/>
    <w:rsid w:val="00E07A0B"/>
    <w:rsid w:val="00E10CBC"/>
    <w:rsid w:val="00E11653"/>
    <w:rsid w:val="00E12C8A"/>
    <w:rsid w:val="00E14802"/>
    <w:rsid w:val="00E149FE"/>
    <w:rsid w:val="00E15568"/>
    <w:rsid w:val="00E16DAA"/>
    <w:rsid w:val="00E20FE4"/>
    <w:rsid w:val="00E21EE6"/>
    <w:rsid w:val="00E24E95"/>
    <w:rsid w:val="00E25EF5"/>
    <w:rsid w:val="00E274CF"/>
    <w:rsid w:val="00E27762"/>
    <w:rsid w:val="00E31C3D"/>
    <w:rsid w:val="00E32DD4"/>
    <w:rsid w:val="00E40B8B"/>
    <w:rsid w:val="00E41569"/>
    <w:rsid w:val="00E41647"/>
    <w:rsid w:val="00E422F1"/>
    <w:rsid w:val="00E42818"/>
    <w:rsid w:val="00E42E72"/>
    <w:rsid w:val="00E45DB8"/>
    <w:rsid w:val="00E476AD"/>
    <w:rsid w:val="00E478D6"/>
    <w:rsid w:val="00E506F4"/>
    <w:rsid w:val="00E5158C"/>
    <w:rsid w:val="00E537D6"/>
    <w:rsid w:val="00E578F1"/>
    <w:rsid w:val="00E622F9"/>
    <w:rsid w:val="00E66C9E"/>
    <w:rsid w:val="00E66CA7"/>
    <w:rsid w:val="00E71C55"/>
    <w:rsid w:val="00E71D83"/>
    <w:rsid w:val="00E72311"/>
    <w:rsid w:val="00E72EE4"/>
    <w:rsid w:val="00E73AE3"/>
    <w:rsid w:val="00E77BF1"/>
    <w:rsid w:val="00E80EB7"/>
    <w:rsid w:val="00E825C0"/>
    <w:rsid w:val="00E850B1"/>
    <w:rsid w:val="00E90C71"/>
    <w:rsid w:val="00E91C0B"/>
    <w:rsid w:val="00E924A1"/>
    <w:rsid w:val="00E96244"/>
    <w:rsid w:val="00EA0996"/>
    <w:rsid w:val="00EA26E0"/>
    <w:rsid w:val="00EA2A03"/>
    <w:rsid w:val="00EA36FE"/>
    <w:rsid w:val="00EA4F7F"/>
    <w:rsid w:val="00EA4FF6"/>
    <w:rsid w:val="00EA59DE"/>
    <w:rsid w:val="00EA5A26"/>
    <w:rsid w:val="00EB27B9"/>
    <w:rsid w:val="00EB438B"/>
    <w:rsid w:val="00EB7681"/>
    <w:rsid w:val="00EC0A2A"/>
    <w:rsid w:val="00EC39AE"/>
    <w:rsid w:val="00EC5BAC"/>
    <w:rsid w:val="00EC772E"/>
    <w:rsid w:val="00ED252E"/>
    <w:rsid w:val="00ED4B1C"/>
    <w:rsid w:val="00ED5FDA"/>
    <w:rsid w:val="00ED6C37"/>
    <w:rsid w:val="00EE09A3"/>
    <w:rsid w:val="00EE4F2E"/>
    <w:rsid w:val="00EE557D"/>
    <w:rsid w:val="00EF2CA8"/>
    <w:rsid w:val="00EF4499"/>
    <w:rsid w:val="00EF4F00"/>
    <w:rsid w:val="00EF7CB5"/>
    <w:rsid w:val="00F01F7E"/>
    <w:rsid w:val="00F04CD3"/>
    <w:rsid w:val="00F052A8"/>
    <w:rsid w:val="00F05DD1"/>
    <w:rsid w:val="00F05FC8"/>
    <w:rsid w:val="00F07433"/>
    <w:rsid w:val="00F10F63"/>
    <w:rsid w:val="00F12CEF"/>
    <w:rsid w:val="00F15A8B"/>
    <w:rsid w:val="00F16D09"/>
    <w:rsid w:val="00F2417D"/>
    <w:rsid w:val="00F25833"/>
    <w:rsid w:val="00F2680E"/>
    <w:rsid w:val="00F2701B"/>
    <w:rsid w:val="00F31FBB"/>
    <w:rsid w:val="00F322DD"/>
    <w:rsid w:val="00F32DF6"/>
    <w:rsid w:val="00F347D8"/>
    <w:rsid w:val="00F35D91"/>
    <w:rsid w:val="00F35F93"/>
    <w:rsid w:val="00F364A8"/>
    <w:rsid w:val="00F3686B"/>
    <w:rsid w:val="00F37082"/>
    <w:rsid w:val="00F4682F"/>
    <w:rsid w:val="00F46BBA"/>
    <w:rsid w:val="00F47956"/>
    <w:rsid w:val="00F50FF9"/>
    <w:rsid w:val="00F546AF"/>
    <w:rsid w:val="00F54704"/>
    <w:rsid w:val="00F565DF"/>
    <w:rsid w:val="00F56D58"/>
    <w:rsid w:val="00F577BA"/>
    <w:rsid w:val="00F57ABF"/>
    <w:rsid w:val="00F6052B"/>
    <w:rsid w:val="00F60C53"/>
    <w:rsid w:val="00F61903"/>
    <w:rsid w:val="00F64028"/>
    <w:rsid w:val="00F640E1"/>
    <w:rsid w:val="00F64744"/>
    <w:rsid w:val="00F71086"/>
    <w:rsid w:val="00F713BB"/>
    <w:rsid w:val="00F71707"/>
    <w:rsid w:val="00F74F0C"/>
    <w:rsid w:val="00F751D8"/>
    <w:rsid w:val="00F75E38"/>
    <w:rsid w:val="00F7703F"/>
    <w:rsid w:val="00F77EDC"/>
    <w:rsid w:val="00F8115D"/>
    <w:rsid w:val="00F81833"/>
    <w:rsid w:val="00F842CF"/>
    <w:rsid w:val="00F84BAF"/>
    <w:rsid w:val="00F872DD"/>
    <w:rsid w:val="00F87AA5"/>
    <w:rsid w:val="00F927B0"/>
    <w:rsid w:val="00F97C2F"/>
    <w:rsid w:val="00FA00B9"/>
    <w:rsid w:val="00FA0F81"/>
    <w:rsid w:val="00FA1CE6"/>
    <w:rsid w:val="00FA6041"/>
    <w:rsid w:val="00FA61F7"/>
    <w:rsid w:val="00FA77A7"/>
    <w:rsid w:val="00FB218F"/>
    <w:rsid w:val="00FB2C98"/>
    <w:rsid w:val="00FB4B6E"/>
    <w:rsid w:val="00FB5995"/>
    <w:rsid w:val="00FC1D08"/>
    <w:rsid w:val="00FC1D8B"/>
    <w:rsid w:val="00FC54BB"/>
    <w:rsid w:val="00FD07EE"/>
    <w:rsid w:val="00FD19E3"/>
    <w:rsid w:val="00FD25B5"/>
    <w:rsid w:val="00FD3F53"/>
    <w:rsid w:val="00FD4B08"/>
    <w:rsid w:val="00FD5CD9"/>
    <w:rsid w:val="00FE0C62"/>
    <w:rsid w:val="00FE2153"/>
    <w:rsid w:val="00FE6499"/>
    <w:rsid w:val="00FF0472"/>
    <w:rsid w:val="00FF5803"/>
    <w:rsid w:val="00FF7A3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950E8A"/>
  <w15:docId w15:val="{3B24DAD3-CF01-406A-8BC4-261EE271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330"/>
  </w:style>
  <w:style w:type="paragraph" w:styleId="Heading1">
    <w:name w:val="heading 1"/>
    <w:basedOn w:val="Normal"/>
    <w:next w:val="Normal"/>
    <w:link w:val="Heading1Char"/>
    <w:uiPriority w:val="9"/>
    <w:qFormat/>
    <w:rsid w:val="003E5B3B"/>
    <w:pPr>
      <w:keepNext/>
      <w:keepLines/>
      <w:spacing w:before="360" w:after="120" w:line="24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3E5B3B"/>
    <w:pPr>
      <w:keepNext/>
      <w:keepLines/>
      <w:spacing w:before="200" w:after="0"/>
      <w:jc w:val="center"/>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3044FD"/>
    <w:pPr>
      <w:keepNext/>
      <w:keepLines/>
      <w:spacing w:before="200" w:after="0"/>
      <w:jc w:val="center"/>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9FB"/>
    <w:rPr>
      <w:rFonts w:ascii="Segoe UI" w:hAnsi="Segoe UI" w:cs="Segoe UI"/>
      <w:sz w:val="18"/>
      <w:szCs w:val="18"/>
    </w:rPr>
  </w:style>
  <w:style w:type="paragraph" w:styleId="Header">
    <w:name w:val="header"/>
    <w:basedOn w:val="Normal"/>
    <w:link w:val="HeaderChar"/>
    <w:uiPriority w:val="99"/>
    <w:unhideWhenUsed/>
    <w:rsid w:val="00D64B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4BCF"/>
  </w:style>
  <w:style w:type="paragraph" w:styleId="Footer">
    <w:name w:val="footer"/>
    <w:basedOn w:val="Normal"/>
    <w:link w:val="FooterChar"/>
    <w:unhideWhenUsed/>
    <w:rsid w:val="00D64BCF"/>
    <w:pPr>
      <w:tabs>
        <w:tab w:val="center" w:pos="4153"/>
        <w:tab w:val="right" w:pos="8306"/>
      </w:tabs>
      <w:spacing w:after="0" w:line="240" w:lineRule="auto"/>
    </w:pPr>
  </w:style>
  <w:style w:type="character" w:customStyle="1" w:styleId="FooterChar">
    <w:name w:val="Footer Char"/>
    <w:basedOn w:val="DefaultParagraphFont"/>
    <w:link w:val="Footer"/>
    <w:rsid w:val="00D64BCF"/>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Bullet 1"/>
    <w:basedOn w:val="Normal"/>
    <w:link w:val="ListParagraphChar"/>
    <w:uiPriority w:val="34"/>
    <w:qFormat/>
    <w:rsid w:val="007C34B6"/>
    <w:pPr>
      <w:spacing w:after="200" w:line="276" w:lineRule="auto"/>
      <w:ind w:left="720"/>
      <w:contextualSpacing/>
    </w:p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link w:val="FootnoteTextChar"/>
    <w:uiPriority w:val="99"/>
    <w:unhideWhenUsed/>
    <w:qFormat/>
    <w:rsid w:val="003A6971"/>
    <w:pPr>
      <w:spacing w:after="0" w:line="240" w:lineRule="auto"/>
    </w:pPr>
    <w:rPr>
      <w:sz w:val="20"/>
      <w:szCs w:val="20"/>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basedOn w:val="DefaultParagraphFont"/>
    <w:link w:val="FootnoteText"/>
    <w:uiPriority w:val="99"/>
    <w:qFormat/>
    <w:rsid w:val="003A6971"/>
    <w:rPr>
      <w:sz w:val="20"/>
      <w:szCs w:val="20"/>
    </w:rPr>
  </w:style>
  <w:style w:type="character" w:styleId="FootnoteReference">
    <w:name w:val="footnote reference"/>
    <w:aliases w:val="number,SUPERS,BVI fnr,Footnote symbol,Footnote symboFußnotenzeichen,Footnote sign,Footnote Reference Superscript,Footnote number,EN Footnote Reference,-E Fuﬂnotenzeichen,-E Fuûnotenzeichen,stylish,(Footnote Referen,(Diplomarbeit FZ),R"/>
    <w:basedOn w:val="DefaultParagraphFont"/>
    <w:link w:val="FootnoteRefernece"/>
    <w:uiPriority w:val="99"/>
    <w:unhideWhenUsed/>
    <w:qFormat/>
    <w:rsid w:val="003A6971"/>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3A6971"/>
    <w:pPr>
      <w:spacing w:line="240" w:lineRule="exact"/>
      <w:jc w:val="both"/>
      <w:textAlignment w:val="baseline"/>
    </w:pPr>
    <w:rPr>
      <w:vertAlign w:val="superscript"/>
    </w:rPr>
  </w:style>
  <w:style w:type="character" w:styleId="Hyperlink">
    <w:name w:val="Hyperlink"/>
    <w:basedOn w:val="DefaultParagraphFont"/>
    <w:uiPriority w:val="99"/>
    <w:unhideWhenUsed/>
    <w:rsid w:val="003A6971"/>
    <w:rPr>
      <w:color w:val="0000FF"/>
      <w:u w:val="single"/>
    </w:rPr>
  </w:style>
  <w:style w:type="table" w:styleId="TableGrid">
    <w:name w:val="Table Grid"/>
    <w:basedOn w:val="TableNormal"/>
    <w:uiPriority w:val="59"/>
    <w:rsid w:val="003A6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5B3B"/>
    <w:rPr>
      <w:rFonts w:ascii="Times New Roman" w:eastAsiaTheme="majorEastAsia" w:hAnsi="Times New Roman" w:cstheme="majorBidi"/>
      <w:b/>
      <w:sz w:val="28"/>
      <w:szCs w:val="32"/>
    </w:rPr>
  </w:style>
  <w:style w:type="paragraph" w:customStyle="1" w:styleId="Default">
    <w:name w:val="Default"/>
    <w:rsid w:val="00C31D9C"/>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491274"/>
    <w:rPr>
      <w:sz w:val="16"/>
      <w:szCs w:val="16"/>
    </w:rPr>
  </w:style>
  <w:style w:type="paragraph" w:styleId="CommentText">
    <w:name w:val="annotation text"/>
    <w:basedOn w:val="Normal"/>
    <w:link w:val="CommentTextChar"/>
    <w:uiPriority w:val="99"/>
    <w:unhideWhenUsed/>
    <w:rsid w:val="00491274"/>
    <w:pPr>
      <w:spacing w:line="240" w:lineRule="auto"/>
    </w:pPr>
    <w:rPr>
      <w:sz w:val="20"/>
      <w:szCs w:val="20"/>
    </w:rPr>
  </w:style>
  <w:style w:type="character" w:customStyle="1" w:styleId="CommentTextChar">
    <w:name w:val="Comment Text Char"/>
    <w:basedOn w:val="DefaultParagraphFont"/>
    <w:link w:val="CommentText"/>
    <w:uiPriority w:val="99"/>
    <w:rsid w:val="00491274"/>
    <w:rPr>
      <w:sz w:val="20"/>
      <w:szCs w:val="20"/>
    </w:rPr>
  </w:style>
  <w:style w:type="paragraph" w:styleId="CommentSubject">
    <w:name w:val="annotation subject"/>
    <w:basedOn w:val="CommentText"/>
    <w:next w:val="CommentText"/>
    <w:link w:val="CommentSubjectChar"/>
    <w:uiPriority w:val="99"/>
    <w:semiHidden/>
    <w:unhideWhenUsed/>
    <w:rsid w:val="00491274"/>
    <w:rPr>
      <w:b/>
      <w:bCs/>
    </w:rPr>
  </w:style>
  <w:style w:type="character" w:customStyle="1" w:styleId="CommentSubjectChar">
    <w:name w:val="Comment Subject Char"/>
    <w:basedOn w:val="CommentTextChar"/>
    <w:link w:val="CommentSubject"/>
    <w:uiPriority w:val="99"/>
    <w:semiHidden/>
    <w:rsid w:val="00491274"/>
    <w:rPr>
      <w:b/>
      <w:bCs/>
      <w:sz w:val="20"/>
      <w:szCs w:val="20"/>
    </w:rPr>
  </w:style>
  <w:style w:type="paragraph" w:styleId="Revision">
    <w:name w:val="Revision"/>
    <w:hidden/>
    <w:uiPriority w:val="99"/>
    <w:semiHidden/>
    <w:rsid w:val="006B0F57"/>
    <w:pPr>
      <w:spacing w:after="0" w:line="240" w:lineRule="auto"/>
    </w:pPr>
  </w:style>
  <w:style w:type="paragraph" w:styleId="NormalWeb">
    <w:name w:val="Normal (Web)"/>
    <w:basedOn w:val="Normal"/>
    <w:uiPriority w:val="99"/>
    <w:unhideWhenUsed/>
    <w:rsid w:val="00C04D0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3E5B3B"/>
    <w:rPr>
      <w:rFonts w:ascii="Times New Roman" w:eastAsiaTheme="majorEastAsia" w:hAnsi="Times New Roman" w:cstheme="majorBidi"/>
      <w:b/>
      <w:bCs/>
      <w:sz w:val="24"/>
      <w:szCs w:val="26"/>
    </w:rPr>
  </w:style>
  <w:style w:type="paragraph" w:styleId="TOCHeading">
    <w:name w:val="TOC Heading"/>
    <w:basedOn w:val="Heading1"/>
    <w:next w:val="Normal"/>
    <w:uiPriority w:val="39"/>
    <w:unhideWhenUsed/>
    <w:qFormat/>
    <w:rsid w:val="00114263"/>
    <w:pPr>
      <w:spacing w:before="480" w:after="0" w:line="276" w:lineRule="auto"/>
      <w:jc w:val="left"/>
      <w:outlineLvl w:val="9"/>
    </w:pPr>
    <w:rPr>
      <w:rFonts w:asciiTheme="majorHAnsi" w:hAnsiTheme="majorHAnsi"/>
      <w:bCs/>
      <w:color w:val="2E74B5" w:themeColor="accent1" w:themeShade="BF"/>
      <w:szCs w:val="28"/>
      <w:lang w:val="en-US" w:eastAsia="ja-JP"/>
    </w:rPr>
  </w:style>
  <w:style w:type="paragraph" w:styleId="TOC1">
    <w:name w:val="toc 1"/>
    <w:basedOn w:val="Normal"/>
    <w:next w:val="Normal"/>
    <w:autoRedefine/>
    <w:uiPriority w:val="39"/>
    <w:unhideWhenUsed/>
    <w:rsid w:val="00114263"/>
    <w:pPr>
      <w:spacing w:after="100"/>
    </w:pPr>
  </w:style>
  <w:style w:type="paragraph" w:styleId="TOC2">
    <w:name w:val="toc 2"/>
    <w:basedOn w:val="Normal"/>
    <w:next w:val="Normal"/>
    <w:autoRedefine/>
    <w:uiPriority w:val="39"/>
    <w:unhideWhenUsed/>
    <w:rsid w:val="00114263"/>
    <w:pPr>
      <w:spacing w:after="100"/>
      <w:ind w:left="220"/>
    </w:pPr>
  </w:style>
  <w:style w:type="character" w:styleId="FollowedHyperlink">
    <w:name w:val="FollowedHyperlink"/>
    <w:basedOn w:val="DefaultParagraphFont"/>
    <w:uiPriority w:val="99"/>
    <w:semiHidden/>
    <w:unhideWhenUsed/>
    <w:rsid w:val="00F54704"/>
    <w:rPr>
      <w:color w:val="954F72" w:themeColor="followedHyperlink"/>
      <w:u w:val="single"/>
    </w:rPr>
  </w:style>
  <w:style w:type="character" w:customStyle="1" w:styleId="Heading3Char">
    <w:name w:val="Heading 3 Char"/>
    <w:basedOn w:val="DefaultParagraphFont"/>
    <w:link w:val="Heading3"/>
    <w:uiPriority w:val="9"/>
    <w:rsid w:val="003044FD"/>
    <w:rPr>
      <w:rFonts w:ascii="Times New Roman" w:eastAsiaTheme="majorEastAsia" w:hAnsi="Times New Roman" w:cstheme="majorBidi"/>
      <w:b/>
      <w:bCs/>
      <w:sz w:val="24"/>
    </w:rPr>
  </w:style>
  <w:style w:type="paragraph" w:styleId="TOC3">
    <w:name w:val="toc 3"/>
    <w:basedOn w:val="Normal"/>
    <w:next w:val="Normal"/>
    <w:autoRedefine/>
    <w:uiPriority w:val="39"/>
    <w:unhideWhenUsed/>
    <w:rsid w:val="00264ED6"/>
    <w:pPr>
      <w:spacing w:after="100"/>
      <w:ind w:left="440"/>
    </w:p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uiPriority w:val="34"/>
    <w:qFormat/>
    <w:locked/>
    <w:rsid w:val="004A7A1F"/>
  </w:style>
  <w:style w:type="paragraph" w:styleId="Caption">
    <w:name w:val="caption"/>
    <w:aliases w:val="Beschriftung Char"/>
    <w:basedOn w:val="Normal"/>
    <w:next w:val="Normal"/>
    <w:link w:val="CaptionChar"/>
    <w:uiPriority w:val="35"/>
    <w:unhideWhenUsed/>
    <w:qFormat/>
    <w:rsid w:val="00B45BC0"/>
    <w:pPr>
      <w:keepNext/>
      <w:spacing w:before="120" w:after="120" w:line="240" w:lineRule="auto"/>
      <w:jc w:val="center"/>
    </w:pPr>
    <w:rPr>
      <w:rFonts w:ascii="Times New Roman" w:eastAsiaTheme="majorEastAsia" w:hAnsi="Times New Roman" w:cs="Times New Roman"/>
      <w:b/>
      <w:iCs/>
      <w:sz w:val="20"/>
      <w:szCs w:val="20"/>
    </w:rPr>
  </w:style>
  <w:style w:type="character" w:customStyle="1" w:styleId="CaptionChar">
    <w:name w:val="Caption Char"/>
    <w:aliases w:val="Beschriftung Char Char"/>
    <w:link w:val="Caption"/>
    <w:uiPriority w:val="35"/>
    <w:rsid w:val="00B45BC0"/>
    <w:rPr>
      <w:rFonts w:ascii="Times New Roman" w:eastAsiaTheme="majorEastAsia" w:hAnsi="Times New Roman" w:cs="Times New Roman"/>
      <w:b/>
      <w:iCs/>
      <w:sz w:val="20"/>
      <w:szCs w:val="20"/>
    </w:rPr>
  </w:style>
  <w:style w:type="table" w:customStyle="1" w:styleId="TableGridLight1">
    <w:name w:val="Table Grid Light1"/>
    <w:basedOn w:val="TableNormal"/>
    <w:uiPriority w:val="40"/>
    <w:rsid w:val="003F75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3F75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136D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8010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80109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E416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3">
    <w:name w:val="Table Grid Light3"/>
    <w:basedOn w:val="TableNormal"/>
    <w:uiPriority w:val="40"/>
    <w:rsid w:val="009A19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2">
    <w:name w:val="Grid Table 1 Light2"/>
    <w:basedOn w:val="TableNormal"/>
    <w:uiPriority w:val="46"/>
    <w:rsid w:val="00100A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741D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475">
      <w:bodyDiv w:val="1"/>
      <w:marLeft w:val="0"/>
      <w:marRight w:val="0"/>
      <w:marTop w:val="0"/>
      <w:marBottom w:val="0"/>
      <w:divBdr>
        <w:top w:val="none" w:sz="0" w:space="0" w:color="auto"/>
        <w:left w:val="none" w:sz="0" w:space="0" w:color="auto"/>
        <w:bottom w:val="none" w:sz="0" w:space="0" w:color="auto"/>
        <w:right w:val="none" w:sz="0" w:space="0" w:color="auto"/>
      </w:divBdr>
      <w:divsChild>
        <w:div w:id="618681100">
          <w:marLeft w:val="706"/>
          <w:marRight w:val="0"/>
          <w:marTop w:val="0"/>
          <w:marBottom w:val="0"/>
          <w:divBdr>
            <w:top w:val="none" w:sz="0" w:space="0" w:color="auto"/>
            <w:left w:val="none" w:sz="0" w:space="0" w:color="auto"/>
            <w:bottom w:val="none" w:sz="0" w:space="0" w:color="auto"/>
            <w:right w:val="none" w:sz="0" w:space="0" w:color="auto"/>
          </w:divBdr>
        </w:div>
        <w:div w:id="885678269">
          <w:marLeft w:val="706"/>
          <w:marRight w:val="0"/>
          <w:marTop w:val="0"/>
          <w:marBottom w:val="0"/>
          <w:divBdr>
            <w:top w:val="none" w:sz="0" w:space="0" w:color="auto"/>
            <w:left w:val="none" w:sz="0" w:space="0" w:color="auto"/>
            <w:bottom w:val="none" w:sz="0" w:space="0" w:color="auto"/>
            <w:right w:val="none" w:sz="0" w:space="0" w:color="auto"/>
          </w:divBdr>
        </w:div>
        <w:div w:id="1032654408">
          <w:marLeft w:val="706"/>
          <w:marRight w:val="0"/>
          <w:marTop w:val="0"/>
          <w:marBottom w:val="0"/>
          <w:divBdr>
            <w:top w:val="none" w:sz="0" w:space="0" w:color="auto"/>
            <w:left w:val="none" w:sz="0" w:space="0" w:color="auto"/>
            <w:bottom w:val="none" w:sz="0" w:space="0" w:color="auto"/>
            <w:right w:val="none" w:sz="0" w:space="0" w:color="auto"/>
          </w:divBdr>
        </w:div>
        <w:div w:id="1536387303">
          <w:marLeft w:val="706"/>
          <w:marRight w:val="0"/>
          <w:marTop w:val="0"/>
          <w:marBottom w:val="0"/>
          <w:divBdr>
            <w:top w:val="none" w:sz="0" w:space="0" w:color="auto"/>
            <w:left w:val="none" w:sz="0" w:space="0" w:color="auto"/>
            <w:bottom w:val="none" w:sz="0" w:space="0" w:color="auto"/>
            <w:right w:val="none" w:sz="0" w:space="0" w:color="auto"/>
          </w:divBdr>
        </w:div>
        <w:div w:id="1711567273">
          <w:marLeft w:val="706"/>
          <w:marRight w:val="0"/>
          <w:marTop w:val="0"/>
          <w:marBottom w:val="0"/>
          <w:divBdr>
            <w:top w:val="none" w:sz="0" w:space="0" w:color="auto"/>
            <w:left w:val="none" w:sz="0" w:space="0" w:color="auto"/>
            <w:bottom w:val="none" w:sz="0" w:space="0" w:color="auto"/>
            <w:right w:val="none" w:sz="0" w:space="0" w:color="auto"/>
          </w:divBdr>
        </w:div>
        <w:div w:id="1833451195">
          <w:marLeft w:val="547"/>
          <w:marRight w:val="0"/>
          <w:marTop w:val="0"/>
          <w:marBottom w:val="0"/>
          <w:divBdr>
            <w:top w:val="none" w:sz="0" w:space="0" w:color="auto"/>
            <w:left w:val="none" w:sz="0" w:space="0" w:color="auto"/>
            <w:bottom w:val="none" w:sz="0" w:space="0" w:color="auto"/>
            <w:right w:val="none" w:sz="0" w:space="0" w:color="auto"/>
          </w:divBdr>
        </w:div>
      </w:divsChild>
    </w:div>
    <w:div w:id="27267283">
      <w:bodyDiv w:val="1"/>
      <w:marLeft w:val="0"/>
      <w:marRight w:val="0"/>
      <w:marTop w:val="0"/>
      <w:marBottom w:val="0"/>
      <w:divBdr>
        <w:top w:val="none" w:sz="0" w:space="0" w:color="auto"/>
        <w:left w:val="none" w:sz="0" w:space="0" w:color="auto"/>
        <w:bottom w:val="none" w:sz="0" w:space="0" w:color="auto"/>
        <w:right w:val="none" w:sz="0" w:space="0" w:color="auto"/>
      </w:divBdr>
    </w:div>
    <w:div w:id="36441439">
      <w:bodyDiv w:val="1"/>
      <w:marLeft w:val="0"/>
      <w:marRight w:val="0"/>
      <w:marTop w:val="0"/>
      <w:marBottom w:val="0"/>
      <w:divBdr>
        <w:top w:val="none" w:sz="0" w:space="0" w:color="auto"/>
        <w:left w:val="none" w:sz="0" w:space="0" w:color="auto"/>
        <w:bottom w:val="none" w:sz="0" w:space="0" w:color="auto"/>
        <w:right w:val="none" w:sz="0" w:space="0" w:color="auto"/>
      </w:divBdr>
    </w:div>
    <w:div w:id="81294328">
      <w:bodyDiv w:val="1"/>
      <w:marLeft w:val="0"/>
      <w:marRight w:val="0"/>
      <w:marTop w:val="0"/>
      <w:marBottom w:val="0"/>
      <w:divBdr>
        <w:top w:val="none" w:sz="0" w:space="0" w:color="auto"/>
        <w:left w:val="none" w:sz="0" w:space="0" w:color="auto"/>
        <w:bottom w:val="none" w:sz="0" w:space="0" w:color="auto"/>
        <w:right w:val="none" w:sz="0" w:space="0" w:color="auto"/>
      </w:divBdr>
    </w:div>
    <w:div w:id="976908949">
      <w:bodyDiv w:val="1"/>
      <w:marLeft w:val="0"/>
      <w:marRight w:val="0"/>
      <w:marTop w:val="0"/>
      <w:marBottom w:val="0"/>
      <w:divBdr>
        <w:top w:val="none" w:sz="0" w:space="0" w:color="auto"/>
        <w:left w:val="none" w:sz="0" w:space="0" w:color="auto"/>
        <w:bottom w:val="none" w:sz="0" w:space="0" w:color="auto"/>
        <w:right w:val="none" w:sz="0" w:space="0" w:color="auto"/>
      </w:divBdr>
    </w:div>
    <w:div w:id="1464274864">
      <w:bodyDiv w:val="1"/>
      <w:marLeft w:val="0"/>
      <w:marRight w:val="0"/>
      <w:marTop w:val="0"/>
      <w:marBottom w:val="0"/>
      <w:divBdr>
        <w:top w:val="none" w:sz="0" w:space="0" w:color="auto"/>
        <w:left w:val="none" w:sz="0" w:space="0" w:color="auto"/>
        <w:bottom w:val="none" w:sz="0" w:space="0" w:color="auto"/>
        <w:right w:val="none" w:sz="0" w:space="0" w:color="auto"/>
      </w:divBdr>
    </w:div>
    <w:div w:id="1780251464">
      <w:bodyDiv w:val="1"/>
      <w:marLeft w:val="0"/>
      <w:marRight w:val="0"/>
      <w:marTop w:val="0"/>
      <w:marBottom w:val="0"/>
      <w:divBdr>
        <w:top w:val="none" w:sz="0" w:space="0" w:color="auto"/>
        <w:left w:val="none" w:sz="0" w:space="0" w:color="auto"/>
        <w:bottom w:val="none" w:sz="0" w:space="0" w:color="auto"/>
        <w:right w:val="none" w:sz="0" w:space="0" w:color="auto"/>
      </w:divBdr>
    </w:div>
    <w:div w:id="193955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8" Type="http://schemas.openxmlformats.org/officeDocument/2006/relationships/hyperlink" Target="http://www.varam.gov.lv/lat/fondi/ekii/likumdosana/" TargetMode="External"/><Relationship Id="rId3" Type="http://schemas.openxmlformats.org/officeDocument/2006/relationships/hyperlink" Target="https://www.csb.gov.lv/lv/statistika/statistikas-temas/vide-energetika/energetika/meklet-tema/2407-atjaunigo-energoresursu-paterins-2017-gada" TargetMode="External"/><Relationship Id="rId7" Type="http://schemas.openxmlformats.org/officeDocument/2006/relationships/hyperlink" Target="http://www.esfondi.lv/es-fondu-projektu-mekletajs" TargetMode="External"/><Relationship Id="rId2" Type="http://schemas.openxmlformats.org/officeDocument/2006/relationships/hyperlink" Target="http://tap.mk.gov.lv/mk/mksedes/saraksts/protokols/?protokols=2011-08-30" TargetMode="External"/><Relationship Id="rId1" Type="http://schemas.openxmlformats.org/officeDocument/2006/relationships/hyperlink" Target="http://tap.mk.gov.lv/mk/mksedes/saraksts/protokols/?protokols=2011-08-30" TargetMode="External"/><Relationship Id="rId6" Type="http://schemas.openxmlformats.org/officeDocument/2006/relationships/hyperlink" Target="https://em.gov.lv/lv/nozares_politika/atjaunojama_energija_un_kogeneracija/informacija_par_izdotajiem_lemumiem_par_elektroenergijas_obligato_iepirkumu/" TargetMode="External"/><Relationship Id="rId5" Type="http://schemas.openxmlformats.org/officeDocument/2006/relationships/hyperlink" Target="https://www.sprk.gov.lv/content/registresanalicencesana-0" TargetMode="External"/><Relationship Id="rId4" Type="http://schemas.openxmlformats.org/officeDocument/2006/relationships/hyperlink" Target="https://www.em.gov.lv/files/nozares_politika/EMZino_AER_030518.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ustsz\Documents\ienemumu_prognozes\prognozes_2019-2022\IzsoljuIenjemumi_2019-05-0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rv-file\serveris\Departamenti%20un%20nodalas\KVPID\Kopejie\Bezmaksas%20EUA%20zi&#326;ojums\scenariji_bildes_un_excell\bez_ModF\ekii-10c-scenarijiv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'[IzsoljuIenjemumi_2019-05-09.xlsx]faktiskie_ieņēmumi'!$B$63</c:f>
              <c:strCache>
                <c:ptCount val="1"/>
                <c:pt idx="0">
                  <c:v>Ieņēmumi no emisiju kvotu izsolēm primārajā tirgū </c:v>
                </c:pt>
              </c:strCache>
            </c:strRef>
          </c:tx>
          <c:spPr>
            <a:solidFill>
              <a:schemeClr val="accent3">
                <a:lumMod val="60000"/>
                <a:lumOff val="40000"/>
              </a:schemeClr>
            </a:solidFill>
          </c:spPr>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'[IzsoljuIenjemumi_2019-05-09.xlsx]faktiskie_ieņēmumi'!$C$62:$I$62</c:f>
              <c:numCache>
                <c:formatCode>General</c:formatCode>
                <c:ptCount val="7"/>
                <c:pt idx="0">
                  <c:v>2012</c:v>
                </c:pt>
                <c:pt idx="1">
                  <c:v>2013</c:v>
                </c:pt>
                <c:pt idx="2">
                  <c:v>2014</c:v>
                </c:pt>
                <c:pt idx="3">
                  <c:v>2015</c:v>
                </c:pt>
                <c:pt idx="4">
                  <c:v>2016</c:v>
                </c:pt>
                <c:pt idx="5">
                  <c:v>2017</c:v>
                </c:pt>
                <c:pt idx="6">
                  <c:v>2018</c:v>
                </c:pt>
              </c:numCache>
            </c:numRef>
          </c:cat>
          <c:val>
            <c:numRef>
              <c:f>'[IzsoljuIenjemumi_2019-05-09.xlsx]faktiskie_ieņēmumi'!$C$63:$I$63</c:f>
              <c:numCache>
                <c:formatCode>#,##0.00</c:formatCode>
                <c:ptCount val="7"/>
                <c:pt idx="0">
                  <c:v>2.129190001764361</c:v>
                </c:pt>
                <c:pt idx="1">
                  <c:v>10.791975429849575</c:v>
                </c:pt>
                <c:pt idx="2">
                  <c:v>10.224159999999999</c:v>
                </c:pt>
                <c:pt idx="3">
                  <c:v>15.288985</c:v>
                </c:pt>
                <c:pt idx="4">
                  <c:v>11.501849999999999</c:v>
                </c:pt>
                <c:pt idx="5">
                  <c:v>15.391450000000001</c:v>
                </c:pt>
                <c:pt idx="6">
                  <c:v>40.690060000000003</c:v>
                </c:pt>
              </c:numCache>
            </c:numRef>
          </c:val>
        </c:ser>
        <c:ser>
          <c:idx val="1"/>
          <c:order val="1"/>
          <c:tx>
            <c:strRef>
              <c:f>'[IzsoljuIenjemumi_2019-05-09.xlsx]faktiskie_ieņēmumi'!$B$64</c:f>
              <c:strCache>
                <c:ptCount val="1"/>
                <c:pt idx="0">
                  <c:v>Ieņēmumi no emisiju kvotu realizēšanas sekundārajā tirgū</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'[IzsoljuIenjemumi_2019-05-09.xlsx]faktiskie_ieņēmumi'!$C$62:$I$62</c:f>
              <c:numCache>
                <c:formatCode>General</c:formatCode>
                <c:ptCount val="7"/>
                <c:pt idx="0">
                  <c:v>2012</c:v>
                </c:pt>
                <c:pt idx="1">
                  <c:v>2013</c:v>
                </c:pt>
                <c:pt idx="2">
                  <c:v>2014</c:v>
                </c:pt>
                <c:pt idx="3">
                  <c:v>2015</c:v>
                </c:pt>
                <c:pt idx="4">
                  <c:v>2016</c:v>
                </c:pt>
                <c:pt idx="5">
                  <c:v>2017</c:v>
                </c:pt>
                <c:pt idx="6">
                  <c:v>2018</c:v>
                </c:pt>
              </c:numCache>
            </c:numRef>
          </c:cat>
          <c:val>
            <c:numRef>
              <c:f>'[IzsoljuIenjemumi_2019-05-09.xlsx]faktiskie_ieņēmumi'!$C$64:$I$64</c:f>
              <c:numCache>
                <c:formatCode>General</c:formatCode>
                <c:ptCount val="7"/>
                <c:pt idx="6" formatCode="#,##0.00">
                  <c:v>60.655516199999994</c:v>
                </c:pt>
              </c:numCache>
            </c:numRef>
          </c:val>
        </c:ser>
        <c:ser>
          <c:idx val="2"/>
          <c:order val="2"/>
          <c:tx>
            <c:strRef>
              <c:f>'[IzsoljuIenjemumi_2019-05-09.xlsx]faktiskie_ieņēmumi'!$B$65</c:f>
              <c:strCache>
                <c:ptCount val="1"/>
                <c:pt idx="0">
                  <c:v>Kumulatīvi</c:v>
                </c:pt>
              </c:strCache>
            </c:strRef>
          </c:tx>
          <c:spPr>
            <a:solidFill>
              <a:schemeClr val="tx1"/>
            </a:solidFill>
          </c:spPr>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'[IzsoljuIenjemumi_2019-05-09.xlsx]faktiskie_ieņēmumi'!$C$62:$I$62</c:f>
              <c:numCache>
                <c:formatCode>General</c:formatCode>
                <c:ptCount val="7"/>
                <c:pt idx="0">
                  <c:v>2012</c:v>
                </c:pt>
                <c:pt idx="1">
                  <c:v>2013</c:v>
                </c:pt>
                <c:pt idx="2">
                  <c:v>2014</c:v>
                </c:pt>
                <c:pt idx="3">
                  <c:v>2015</c:v>
                </c:pt>
                <c:pt idx="4">
                  <c:v>2016</c:v>
                </c:pt>
                <c:pt idx="5">
                  <c:v>2017</c:v>
                </c:pt>
                <c:pt idx="6">
                  <c:v>2018</c:v>
                </c:pt>
              </c:numCache>
            </c:numRef>
          </c:cat>
          <c:val>
            <c:numRef>
              <c:f>'[IzsoljuIenjemumi_2019-05-09.xlsx]faktiskie_ieņēmumi'!$C$65:$I$65</c:f>
              <c:numCache>
                <c:formatCode>#,##0.00</c:formatCode>
                <c:ptCount val="7"/>
                <c:pt idx="0">
                  <c:v>2.129190001764361</c:v>
                </c:pt>
                <c:pt idx="1">
                  <c:v>12.921165431613936</c:v>
                </c:pt>
                <c:pt idx="2">
                  <c:v>23.145325431613934</c:v>
                </c:pt>
                <c:pt idx="3">
                  <c:v>38.434310431613937</c:v>
                </c:pt>
                <c:pt idx="4">
                  <c:v>49.936160431613935</c:v>
                </c:pt>
                <c:pt idx="5">
                  <c:v>65.327610431613934</c:v>
                </c:pt>
                <c:pt idx="6">
                  <c:v>166.67318663161393</c:v>
                </c:pt>
              </c:numCache>
            </c:numRef>
          </c:val>
        </c:ser>
        <c:dLbls>
          <c:showLegendKey val="0"/>
          <c:showVal val="1"/>
          <c:showCatName val="0"/>
          <c:showSerName val="0"/>
          <c:showPercent val="0"/>
          <c:showBubbleSize val="0"/>
        </c:dLbls>
        <c:gapWidth val="75"/>
        <c:axId val="623989456"/>
        <c:axId val="623991024"/>
      </c:barChart>
      <c:catAx>
        <c:axId val="623989456"/>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623991024"/>
        <c:crosses val="autoZero"/>
        <c:auto val="1"/>
        <c:lblAlgn val="ctr"/>
        <c:lblOffset val="100"/>
        <c:noMultiLvlLbl val="0"/>
      </c:catAx>
      <c:valAx>
        <c:axId val="623991024"/>
        <c:scaling>
          <c:orientation val="minMax"/>
        </c:scaling>
        <c:delete val="0"/>
        <c:axPos val="l"/>
        <c:title>
          <c:tx>
            <c:rich>
              <a:bodyPr rot="-5400000" vert="horz"/>
              <a:lstStyle/>
              <a:p>
                <a:pPr>
                  <a:defRPr>
                    <a:latin typeface="Times New Roman" panose="02020603050405020304" pitchFamily="18" charset="0"/>
                    <a:cs typeface="Times New Roman" panose="02020603050405020304" pitchFamily="18" charset="0"/>
                  </a:defRPr>
                </a:pPr>
                <a:r>
                  <a:rPr lang="lv-LV">
                    <a:latin typeface="Times New Roman" panose="02020603050405020304" pitchFamily="18" charset="0"/>
                    <a:cs typeface="Times New Roman" panose="02020603050405020304" pitchFamily="18" charset="0"/>
                  </a:rPr>
                  <a:t>Miljons</a:t>
                </a:r>
                <a:r>
                  <a:rPr lang="lv-LV" baseline="0">
                    <a:latin typeface="Times New Roman" panose="02020603050405020304" pitchFamily="18" charset="0"/>
                    <a:cs typeface="Times New Roman" panose="02020603050405020304" pitchFamily="18" charset="0"/>
                  </a:rPr>
                  <a:t> </a:t>
                </a:r>
                <a:r>
                  <a:rPr lang="lv-LV" i="1" baseline="0">
                    <a:latin typeface="Times New Roman" panose="02020603050405020304" pitchFamily="18" charset="0"/>
                    <a:cs typeface="Times New Roman" panose="02020603050405020304" pitchFamily="18" charset="0"/>
                  </a:rPr>
                  <a:t>euro</a:t>
                </a:r>
                <a:endParaRPr lang="lv-LV" i="1">
                  <a:latin typeface="Times New Roman" panose="02020603050405020304" pitchFamily="18" charset="0"/>
                  <a:cs typeface="Times New Roman" panose="02020603050405020304" pitchFamily="18" charset="0"/>
                </a:endParaRPr>
              </a:p>
            </c:rich>
          </c:tx>
          <c:layout>
            <c:manualLayout>
              <c:xMode val="edge"/>
              <c:yMode val="edge"/>
              <c:x val="2.2460438999489536E-2"/>
              <c:y val="0.30407182089076357"/>
            </c:manualLayout>
          </c:layout>
          <c:overlay val="0"/>
        </c:title>
        <c:numFmt formatCode="0"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623989456"/>
        <c:crosses val="autoZero"/>
        <c:crossBetween val="between"/>
      </c:valAx>
    </c:plotArea>
    <c:legend>
      <c:legendPos val="b"/>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8.2352451505691968E-2"/>
          <c:y val="3.415172723945871E-2"/>
          <c:w val="0.90029054652192142"/>
          <c:h val="0.57911354646074276"/>
        </c:manualLayout>
      </c:layout>
      <c:lineChart>
        <c:grouping val="standard"/>
        <c:varyColors val="0"/>
        <c:ser>
          <c:idx val="0"/>
          <c:order val="0"/>
          <c:tx>
            <c:strRef>
              <c:f>scenariji_EKII_ietekme!$C$17</c:f>
              <c:strCache>
                <c:ptCount val="1"/>
                <c:pt idx="0">
                  <c:v>1. scenārijs: Bāzes scenārijs</c:v>
                </c:pt>
              </c:strCache>
            </c:strRef>
          </c:tx>
          <c:spPr>
            <a:ln>
              <a:solidFill>
                <a:schemeClr val="tx1"/>
              </a:solidFill>
            </a:ln>
          </c:spPr>
          <c:marker>
            <c:symbol val="none"/>
          </c:marker>
          <c:cat>
            <c:numRef>
              <c:f>scenariji_EKII_ietekme!$D$16:$V$16</c:f>
              <c:numCache>
                <c:formatCode>General</c:formatCode>
                <c:ptCount val="19"/>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pt idx="17">
                  <c:v>2029</c:v>
                </c:pt>
                <c:pt idx="18">
                  <c:v>2030</c:v>
                </c:pt>
              </c:numCache>
            </c:numRef>
          </c:cat>
          <c:val>
            <c:numRef>
              <c:f>scenariji_EKII_ietekme!$D$17:$V$17</c:f>
              <c:numCache>
                <c:formatCode>0.00</c:formatCode>
                <c:ptCount val="19"/>
                <c:pt idx="0">
                  <c:v>2.129190001764361</c:v>
                </c:pt>
                <c:pt idx="1">
                  <c:v>10.791975429849575</c:v>
                </c:pt>
                <c:pt idx="2">
                  <c:v>10.224159999999999</c:v>
                </c:pt>
                <c:pt idx="3">
                  <c:v>15.288985</c:v>
                </c:pt>
                <c:pt idx="4">
                  <c:v>11.501849999999999</c:v>
                </c:pt>
                <c:pt idx="5">
                  <c:v>15.391450000000001</c:v>
                </c:pt>
                <c:pt idx="6">
                  <c:v>40.690060000000003</c:v>
                </c:pt>
                <c:pt idx="7">
                  <c:v>45.786999999999999</c:v>
                </c:pt>
                <c:pt idx="8">
                  <c:v>41.430999999999997</c:v>
                </c:pt>
                <c:pt idx="9">
                  <c:v>30.133555152783032</c:v>
                </c:pt>
                <c:pt idx="10">
                  <c:v>30.061026752685088</c:v>
                </c:pt>
                <c:pt idx="11">
                  <c:v>35.394693785279614</c:v>
                </c:pt>
                <c:pt idx="12">
                  <c:v>46.09426529162122</c:v>
                </c:pt>
                <c:pt idx="13">
                  <c:v>50.866560429668965</c:v>
                </c:pt>
                <c:pt idx="14">
                  <c:v>50.711473981251501</c:v>
                </c:pt>
                <c:pt idx="15">
                  <c:v>50.488200387526362</c:v>
                </c:pt>
                <c:pt idx="16">
                  <c:v>50.196739648493576</c:v>
                </c:pt>
                <c:pt idx="17">
                  <c:v>49.837091764153122</c:v>
                </c:pt>
                <c:pt idx="18">
                  <c:v>49.409256734504993</c:v>
                </c:pt>
              </c:numCache>
            </c:numRef>
          </c:val>
          <c:smooth val="0"/>
        </c:ser>
        <c:ser>
          <c:idx val="1"/>
          <c:order val="1"/>
          <c:tx>
            <c:strRef>
              <c:f>scenariji_EKII_ietekme!$C$18</c:f>
              <c:strCache>
                <c:ptCount val="1"/>
                <c:pt idx="0">
                  <c:v>2. scenārijs: Derogācijas scenārijs</c:v>
                </c:pt>
              </c:strCache>
            </c:strRef>
          </c:tx>
          <c:spPr>
            <a:ln>
              <a:solidFill>
                <a:schemeClr val="bg1">
                  <a:lumMod val="75000"/>
                </a:schemeClr>
              </a:solidFill>
            </a:ln>
          </c:spPr>
          <c:marker>
            <c:symbol val="none"/>
          </c:marker>
          <c:cat>
            <c:numRef>
              <c:f>scenariji_EKII_ietekme!$D$16:$V$16</c:f>
              <c:numCache>
                <c:formatCode>General</c:formatCode>
                <c:ptCount val="19"/>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pt idx="17">
                  <c:v>2029</c:v>
                </c:pt>
                <c:pt idx="18">
                  <c:v>2030</c:v>
                </c:pt>
              </c:numCache>
            </c:numRef>
          </c:cat>
          <c:val>
            <c:numRef>
              <c:f>scenariji_EKII_ietekme!$D$18:$V$18</c:f>
              <c:numCache>
                <c:formatCode>General</c:formatCode>
                <c:ptCount val="19"/>
                <c:pt idx="8" formatCode="0.00">
                  <c:v>41.430999999999997</c:v>
                </c:pt>
                <c:pt idx="9" formatCode="0.00">
                  <c:v>18.966962997914059</c:v>
                </c:pt>
                <c:pt idx="10" formatCode="0.00">
                  <c:v>18.855840385299285</c:v>
                </c:pt>
                <c:pt idx="11" formatCode="0.00">
                  <c:v>24.15091320537698</c:v>
                </c:pt>
                <c:pt idx="12" formatCode="0.00">
                  <c:v>34.811890499201759</c:v>
                </c:pt>
                <c:pt idx="13" formatCode="0.00">
                  <c:v>39.545591424732685</c:v>
                </c:pt>
                <c:pt idx="14" formatCode="0.00">
                  <c:v>39.11056828819315</c:v>
                </c:pt>
                <c:pt idx="15" formatCode="0.00">
                  <c:v>38.607358006345954</c:v>
                </c:pt>
                <c:pt idx="16" formatCode="0.00">
                  <c:v>38.035960579191105</c:v>
                </c:pt>
                <c:pt idx="17" formatCode="0.00">
                  <c:v>37.396376006728588</c:v>
                </c:pt>
                <c:pt idx="18" formatCode="0.00">
                  <c:v>36.688604288958409</c:v>
                </c:pt>
              </c:numCache>
            </c:numRef>
          </c:val>
          <c:smooth val="0"/>
        </c:ser>
        <c:dLbls>
          <c:showLegendKey val="0"/>
          <c:showVal val="0"/>
          <c:showCatName val="0"/>
          <c:showSerName val="0"/>
          <c:showPercent val="0"/>
          <c:showBubbleSize val="0"/>
        </c:dLbls>
        <c:smooth val="0"/>
        <c:axId val="623989848"/>
        <c:axId val="578044448"/>
      </c:lineChart>
      <c:catAx>
        <c:axId val="623989848"/>
        <c:scaling>
          <c:orientation val="minMax"/>
        </c:scaling>
        <c:delete val="0"/>
        <c:axPos val="b"/>
        <c:numFmt formatCode="General" sourceLinked="1"/>
        <c:majorTickMark val="none"/>
        <c:minorTickMark val="none"/>
        <c:tickLblPos val="nextTo"/>
        <c:crossAx val="578044448"/>
        <c:crosses val="autoZero"/>
        <c:auto val="1"/>
        <c:lblAlgn val="ctr"/>
        <c:lblOffset val="100"/>
        <c:noMultiLvlLbl val="0"/>
      </c:catAx>
      <c:valAx>
        <c:axId val="578044448"/>
        <c:scaling>
          <c:orientation val="minMax"/>
        </c:scaling>
        <c:delete val="0"/>
        <c:axPos val="l"/>
        <c:title>
          <c:tx>
            <c:rich>
              <a:bodyPr rot="-5400000" vert="horz"/>
              <a:lstStyle/>
              <a:p>
                <a:pPr>
                  <a:defRPr/>
                </a:pPr>
                <a:r>
                  <a:rPr lang="lv-LV"/>
                  <a:t>Miljons euro</a:t>
                </a:r>
              </a:p>
            </c:rich>
          </c:tx>
          <c:layout/>
          <c:overlay val="0"/>
        </c:title>
        <c:numFmt formatCode="0" sourceLinked="0"/>
        <c:majorTickMark val="none"/>
        <c:minorTickMark val="none"/>
        <c:tickLblPos val="nextTo"/>
        <c:crossAx val="623989848"/>
        <c:crosses val="autoZero"/>
        <c:crossBetween val="between"/>
      </c:valAx>
    </c:plotArea>
    <c:legend>
      <c:legendPos val="b"/>
      <c:layout>
        <c:manualLayout>
          <c:xMode val="edge"/>
          <c:yMode val="edge"/>
          <c:x val="0.19553153488949976"/>
          <c:y val="0.75152606857373649"/>
          <c:w val="0.64049499138051535"/>
          <c:h val="0.1770575736856422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66334-A618-4194-9FC4-7FCE1FA9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23</Pages>
  <Words>29846</Words>
  <Characters>17013</Characters>
  <Application>Microsoft Office Word</Application>
  <DocSecurity>0</DocSecurity>
  <Lines>141</Lines>
  <Paragraphs>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Konceptuālais ziņojums Par bezmaksas emisijas kvotu piešķiršanu elektroenerģijas ražotājiem Eiropas Savienības emisiju tirdzniecības sistēmas 2021. - 2030. gada periodā</vt:lpstr>
      <vt:lpstr/>
    </vt:vector>
  </TitlesOfParts>
  <Manager>Elina.Baltroka@varam.gov.lv</Manager>
  <Company>Vides aizsardzības un reģionālās attīstības ministrija</Company>
  <LinksUpToDate>false</LinksUpToDate>
  <CharactersWithSpaces>46766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bezmaksas emisijas kvotu piešķiršanu elektroenerģijas ražotājiem Eiropas Savienības emisiju tirdzniecības sistēmas 2021. - 2030. gada periodā</dc:title>
  <dc:subject>Konceptuālais ziņojums</dc:subject>
  <dc:creator>Elina.Baltroka@varam.gov.lv</dc:creator>
  <cp:lastModifiedBy>Dmitrijs Dmitrijevs</cp:lastModifiedBy>
  <cp:revision>14</cp:revision>
  <cp:lastPrinted>2019-03-08T07:01:00Z</cp:lastPrinted>
  <dcterms:created xsi:type="dcterms:W3CDTF">2019-06-12T07:40:00Z</dcterms:created>
  <dcterms:modified xsi:type="dcterms:W3CDTF">2019-06-20T11:37:00Z</dcterms:modified>
  <cp:category>Vides politika</cp:category>
</cp:coreProperties>
</file>