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BA71" w14:textId="77777777" w:rsidR="007D7E2C" w:rsidRPr="005B72C7" w:rsidRDefault="007D7E2C" w:rsidP="007D7E2C">
      <w:pPr>
        <w:spacing w:after="120" w:line="360" w:lineRule="auto"/>
        <w:ind w:hanging="709"/>
        <w:jc w:val="center"/>
        <w:rPr>
          <w:rFonts w:ascii="Times New Roman" w:eastAsia="Times New Roman" w:hAnsi="Times New Roman" w:cs="Times New Roman"/>
          <w:bCs/>
          <w:color w:val="000000"/>
          <w:kern w:val="24"/>
          <w:sz w:val="28"/>
          <w:szCs w:val="28"/>
        </w:rPr>
      </w:pPr>
    </w:p>
    <w:p w14:paraId="67E450EC" w14:textId="77777777" w:rsidR="007D7E2C" w:rsidRPr="005B72C7" w:rsidRDefault="007D7E2C" w:rsidP="007D7E2C">
      <w:pPr>
        <w:spacing w:after="120" w:line="360" w:lineRule="auto"/>
        <w:ind w:hanging="709"/>
        <w:jc w:val="center"/>
        <w:rPr>
          <w:rFonts w:ascii="Times New Roman" w:eastAsia="Times New Roman" w:hAnsi="Times New Roman" w:cs="Times New Roman"/>
          <w:bCs/>
          <w:color w:val="000000"/>
          <w:kern w:val="24"/>
          <w:sz w:val="28"/>
          <w:szCs w:val="28"/>
        </w:rPr>
      </w:pPr>
    </w:p>
    <w:p w14:paraId="3D015FB3" w14:textId="77777777" w:rsidR="007D7E2C" w:rsidRPr="005B72C7" w:rsidRDefault="007D7E2C" w:rsidP="007D7E2C">
      <w:pPr>
        <w:tabs>
          <w:tab w:val="left" w:pos="5955"/>
        </w:tabs>
        <w:spacing w:after="120" w:line="360" w:lineRule="auto"/>
        <w:ind w:hanging="709"/>
        <w:rPr>
          <w:rFonts w:ascii="Times New Roman" w:eastAsia="Times New Roman" w:hAnsi="Times New Roman" w:cs="Times New Roman"/>
          <w:bCs/>
          <w:color w:val="000000"/>
          <w:kern w:val="24"/>
          <w:sz w:val="28"/>
          <w:szCs w:val="28"/>
        </w:rPr>
      </w:pPr>
    </w:p>
    <w:p w14:paraId="78C13A6E" w14:textId="77777777" w:rsidR="007D7E2C" w:rsidRPr="005B72C7" w:rsidRDefault="007D7E2C" w:rsidP="007D7E2C">
      <w:pPr>
        <w:spacing w:after="120" w:line="360" w:lineRule="auto"/>
        <w:ind w:hanging="709"/>
        <w:jc w:val="center"/>
        <w:rPr>
          <w:rFonts w:ascii="Times New Roman" w:eastAsia="Times New Roman" w:hAnsi="Times New Roman" w:cs="Times New Roman"/>
          <w:bCs/>
          <w:color w:val="000000"/>
          <w:kern w:val="24"/>
          <w:sz w:val="28"/>
          <w:szCs w:val="28"/>
        </w:rPr>
      </w:pPr>
    </w:p>
    <w:p w14:paraId="27EB7716" w14:textId="77777777" w:rsidR="007D7E2C" w:rsidRPr="005B72C7" w:rsidRDefault="007D7E2C" w:rsidP="007D7E2C">
      <w:pPr>
        <w:spacing w:after="120" w:line="360" w:lineRule="auto"/>
        <w:ind w:hanging="709"/>
        <w:jc w:val="center"/>
        <w:rPr>
          <w:rFonts w:ascii="Times New Roman" w:eastAsia="Times New Roman" w:hAnsi="Times New Roman" w:cs="Times New Roman"/>
          <w:bCs/>
          <w:color w:val="000000"/>
          <w:kern w:val="24"/>
          <w:sz w:val="28"/>
          <w:szCs w:val="28"/>
        </w:rPr>
      </w:pPr>
    </w:p>
    <w:p w14:paraId="0F445AD7" w14:textId="77777777" w:rsidR="007D7E2C" w:rsidRPr="005B72C7" w:rsidRDefault="007D7E2C" w:rsidP="007D7E2C">
      <w:pPr>
        <w:spacing w:after="120" w:line="360" w:lineRule="auto"/>
        <w:ind w:hanging="709"/>
        <w:jc w:val="center"/>
        <w:rPr>
          <w:rFonts w:ascii="Times New Roman" w:eastAsia="Times New Roman" w:hAnsi="Times New Roman" w:cs="Times New Roman"/>
          <w:bCs/>
          <w:color w:val="000000"/>
          <w:kern w:val="24"/>
          <w:sz w:val="28"/>
          <w:szCs w:val="28"/>
        </w:rPr>
      </w:pPr>
    </w:p>
    <w:p w14:paraId="4C5DA765" w14:textId="77777777" w:rsidR="007D7E2C" w:rsidRPr="005B72C7" w:rsidRDefault="007D7E2C" w:rsidP="007D7E2C">
      <w:pPr>
        <w:spacing w:after="120" w:line="360" w:lineRule="auto"/>
        <w:ind w:hanging="709"/>
        <w:jc w:val="center"/>
        <w:rPr>
          <w:rFonts w:ascii="Times New Roman" w:eastAsia="Times New Roman" w:hAnsi="Times New Roman" w:cs="Times New Roman"/>
          <w:b/>
          <w:sz w:val="28"/>
          <w:szCs w:val="28"/>
          <w:lang w:eastAsia="lv-LV"/>
        </w:rPr>
      </w:pPr>
      <w:bookmarkStart w:id="0" w:name="OLE_LINK3"/>
      <w:bookmarkStart w:id="1" w:name="OLE_LINK4"/>
      <w:r w:rsidRPr="005B72C7">
        <w:rPr>
          <w:rFonts w:ascii="Times New Roman" w:eastAsia="Times New Roman" w:hAnsi="Times New Roman" w:cs="Times New Roman"/>
          <w:b/>
          <w:sz w:val="28"/>
          <w:szCs w:val="28"/>
          <w:lang w:eastAsia="lv-LV"/>
        </w:rPr>
        <w:t xml:space="preserve">Konceptuālais ziņojums </w:t>
      </w:r>
    </w:p>
    <w:p w14:paraId="3FEBBDDC" w14:textId="77777777" w:rsidR="007D7E2C" w:rsidRPr="005B72C7" w:rsidRDefault="007D7E2C" w:rsidP="007D7E2C">
      <w:pPr>
        <w:tabs>
          <w:tab w:val="left" w:pos="6521"/>
        </w:tabs>
        <w:spacing w:after="120" w:line="360" w:lineRule="auto"/>
        <w:jc w:val="center"/>
        <w:rPr>
          <w:rFonts w:ascii="Times New Roman" w:eastAsia="Times New Roman" w:hAnsi="Times New Roman" w:cs="Times New Roman"/>
          <w:bCs/>
          <w:color w:val="000000"/>
          <w:kern w:val="24"/>
          <w:sz w:val="28"/>
          <w:szCs w:val="28"/>
        </w:rPr>
      </w:pPr>
      <w:r w:rsidRPr="005B72C7">
        <w:rPr>
          <w:rFonts w:ascii="Times New Roman" w:eastAsia="Times New Roman" w:hAnsi="Times New Roman" w:cs="Times New Roman"/>
          <w:sz w:val="28"/>
          <w:szCs w:val="28"/>
          <w:lang w:eastAsia="lv-LV"/>
        </w:rPr>
        <w:t xml:space="preserve">“Par </w:t>
      </w:r>
      <w:proofErr w:type="spellStart"/>
      <w:r w:rsidRPr="005B72C7">
        <w:rPr>
          <w:rFonts w:ascii="Times New Roman" w:eastAsia="Times New Roman" w:hAnsi="Times New Roman" w:cs="Times New Roman"/>
          <w:sz w:val="28"/>
          <w:szCs w:val="28"/>
          <w:lang w:eastAsia="lv-LV"/>
        </w:rPr>
        <w:t>jaunieviestā</w:t>
      </w:r>
      <w:proofErr w:type="spellEnd"/>
      <w:r w:rsidRPr="005B72C7">
        <w:rPr>
          <w:rFonts w:ascii="Times New Roman" w:eastAsia="Times New Roman" w:hAnsi="Times New Roman" w:cs="Times New Roman"/>
          <w:sz w:val="28"/>
          <w:szCs w:val="28"/>
          <w:lang w:eastAsia="lv-LV"/>
        </w:rPr>
        <w:t xml:space="preserve"> antidopinga uzraudzības mehānisma funkcionalitāti, trūkumiem un priekšrocībām, kā arī nacionālā antidopinga regulējuma noteikšanu ārējos normatīvajos aktos</w:t>
      </w:r>
      <w:r w:rsidRPr="005B72C7">
        <w:rPr>
          <w:rFonts w:ascii="Times New Roman" w:eastAsia="Times New Roman" w:hAnsi="Times New Roman" w:cs="Times New Roman"/>
          <w:bCs/>
          <w:color w:val="000000"/>
          <w:kern w:val="24"/>
          <w:sz w:val="28"/>
          <w:szCs w:val="28"/>
        </w:rPr>
        <w:t>”</w:t>
      </w:r>
      <w:bookmarkEnd w:id="0"/>
      <w:bookmarkEnd w:id="1"/>
      <w:r w:rsidRPr="005B72C7">
        <w:rPr>
          <w:rFonts w:ascii="Times New Roman" w:eastAsia="Times New Roman" w:hAnsi="Times New Roman" w:cs="Times New Roman"/>
          <w:bCs/>
          <w:color w:val="000000"/>
          <w:kern w:val="24"/>
          <w:sz w:val="28"/>
          <w:szCs w:val="28"/>
        </w:rPr>
        <w:t xml:space="preserve"> </w:t>
      </w:r>
    </w:p>
    <w:p w14:paraId="51DF778A"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04F9C214"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7C971DAD"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4C5A80B0"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4707D01B"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11C7726E" w14:textId="77777777" w:rsidR="007D7E2C" w:rsidRPr="005B72C7" w:rsidRDefault="007D7E2C" w:rsidP="007D7E2C">
      <w:pPr>
        <w:tabs>
          <w:tab w:val="left" w:pos="720"/>
          <w:tab w:val="left" w:pos="1440"/>
        </w:tabs>
        <w:spacing w:after="120" w:line="360" w:lineRule="auto"/>
        <w:ind w:hanging="709"/>
        <w:rPr>
          <w:rFonts w:ascii="Times New Roman" w:eastAsia="Times New Roman" w:hAnsi="Times New Roman" w:cs="Times New Roman"/>
          <w:bCs/>
          <w:color w:val="000000"/>
          <w:kern w:val="24"/>
          <w:sz w:val="28"/>
          <w:szCs w:val="28"/>
        </w:rPr>
      </w:pPr>
    </w:p>
    <w:p w14:paraId="2B7D988A"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0C51B0EA"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34FCBF20" w14:textId="7777777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color w:val="000000"/>
          <w:kern w:val="24"/>
          <w:sz w:val="28"/>
          <w:szCs w:val="28"/>
        </w:rPr>
      </w:pPr>
    </w:p>
    <w:p w14:paraId="5F3CF85A" w14:textId="3EEF0119" w:rsidR="007D7E2C" w:rsidRDefault="007D7E2C" w:rsidP="007D7E2C">
      <w:pPr>
        <w:tabs>
          <w:tab w:val="left" w:pos="6521"/>
        </w:tabs>
        <w:spacing w:after="120" w:line="360" w:lineRule="auto"/>
        <w:ind w:hanging="709"/>
        <w:jc w:val="center"/>
        <w:rPr>
          <w:rFonts w:ascii="Times New Roman" w:eastAsia="Times New Roman" w:hAnsi="Times New Roman" w:cs="Times New Roman"/>
          <w:bCs/>
          <w:kern w:val="24"/>
          <w:sz w:val="28"/>
          <w:szCs w:val="28"/>
        </w:rPr>
      </w:pPr>
    </w:p>
    <w:p w14:paraId="7209EF53" w14:textId="77777777" w:rsidR="00EA00E4" w:rsidRPr="005B72C7" w:rsidRDefault="00EA00E4" w:rsidP="007D7E2C">
      <w:pPr>
        <w:tabs>
          <w:tab w:val="left" w:pos="6521"/>
        </w:tabs>
        <w:spacing w:after="120" w:line="360" w:lineRule="auto"/>
        <w:ind w:hanging="709"/>
        <w:jc w:val="center"/>
        <w:rPr>
          <w:rFonts w:ascii="Times New Roman" w:eastAsia="Times New Roman" w:hAnsi="Times New Roman" w:cs="Times New Roman"/>
          <w:bCs/>
          <w:kern w:val="24"/>
          <w:sz w:val="28"/>
          <w:szCs w:val="28"/>
        </w:rPr>
      </w:pPr>
    </w:p>
    <w:p w14:paraId="41108AB5" w14:textId="08B5E547" w:rsidR="007D7E2C" w:rsidRPr="005B72C7" w:rsidRDefault="007D7E2C" w:rsidP="007D7E2C">
      <w:pPr>
        <w:tabs>
          <w:tab w:val="left" w:pos="6521"/>
        </w:tabs>
        <w:spacing w:after="120" w:line="360" w:lineRule="auto"/>
        <w:ind w:hanging="709"/>
        <w:jc w:val="center"/>
        <w:rPr>
          <w:rFonts w:ascii="Times New Roman" w:eastAsia="Times New Roman" w:hAnsi="Times New Roman" w:cs="Times New Roman"/>
          <w:bCs/>
          <w:kern w:val="24"/>
          <w:sz w:val="28"/>
          <w:szCs w:val="28"/>
        </w:rPr>
      </w:pPr>
      <w:r w:rsidRPr="005B72C7">
        <w:rPr>
          <w:rFonts w:ascii="Times New Roman" w:eastAsia="Times New Roman" w:hAnsi="Times New Roman" w:cs="Times New Roman"/>
          <w:bCs/>
          <w:kern w:val="24"/>
          <w:sz w:val="28"/>
          <w:szCs w:val="28"/>
        </w:rPr>
        <w:t xml:space="preserve">2019. gada </w:t>
      </w:r>
      <w:r w:rsidR="00C461D8">
        <w:rPr>
          <w:rFonts w:ascii="Times New Roman" w:eastAsia="Times New Roman" w:hAnsi="Times New Roman" w:cs="Times New Roman"/>
          <w:bCs/>
          <w:kern w:val="24"/>
          <w:sz w:val="28"/>
          <w:szCs w:val="28"/>
        </w:rPr>
        <w:t>aprīlis</w:t>
      </w:r>
    </w:p>
    <w:p w14:paraId="32A61ED1" w14:textId="19ADF82F" w:rsidR="007D7E2C" w:rsidRPr="005B72C7" w:rsidRDefault="007D7E2C" w:rsidP="007D7E2C">
      <w:pPr>
        <w:rPr>
          <w:rFonts w:ascii="Times New Roman" w:hAnsi="Times New Roman" w:cs="Times New Roman"/>
        </w:rPr>
      </w:pPr>
    </w:p>
    <w:p w14:paraId="4216E829" w14:textId="77777777" w:rsidR="00FF7E2A" w:rsidRPr="005B72C7" w:rsidRDefault="00FF7E2A" w:rsidP="007D7E2C">
      <w:pPr>
        <w:rPr>
          <w:rFonts w:ascii="Times New Roman" w:hAnsi="Times New Roman" w:cs="Times New Roman"/>
        </w:rPr>
      </w:pPr>
    </w:p>
    <w:p w14:paraId="71977709" w14:textId="50DB3884" w:rsidR="00E10679" w:rsidRPr="005B72C7" w:rsidRDefault="00E10679">
      <w:pPr>
        <w:rPr>
          <w:rFonts w:ascii="Times New Roman" w:hAnsi="Times New Roman" w:cs="Times New Roman"/>
        </w:rPr>
      </w:pPr>
    </w:p>
    <w:sdt>
      <w:sdtPr>
        <w:rPr>
          <w:rFonts w:ascii="Times New Roman" w:eastAsiaTheme="minorHAnsi" w:hAnsi="Times New Roman" w:cs="Times New Roman"/>
          <w:color w:val="auto"/>
          <w:sz w:val="22"/>
          <w:szCs w:val="22"/>
          <w:lang w:val="lv-LV"/>
        </w:rPr>
        <w:id w:val="-1563397224"/>
        <w:docPartObj>
          <w:docPartGallery w:val="Table of Contents"/>
          <w:docPartUnique/>
        </w:docPartObj>
      </w:sdtPr>
      <w:sdtEndPr>
        <w:rPr>
          <w:b/>
          <w:bCs/>
          <w:noProof/>
        </w:rPr>
      </w:sdtEndPr>
      <w:sdtContent>
        <w:p w14:paraId="10888DB4" w14:textId="022D4526" w:rsidR="00E10679" w:rsidRPr="005B72C7" w:rsidRDefault="00E10679" w:rsidP="00E10679">
          <w:pPr>
            <w:pStyle w:val="TOCHeading"/>
            <w:jc w:val="center"/>
            <w:rPr>
              <w:rFonts w:ascii="Times New Roman" w:hAnsi="Times New Roman" w:cs="Times New Roman"/>
              <w:b/>
              <w:color w:val="auto"/>
            </w:rPr>
          </w:pPr>
          <w:r w:rsidRPr="005B72C7">
            <w:rPr>
              <w:rFonts w:ascii="Times New Roman" w:hAnsi="Times New Roman" w:cs="Times New Roman"/>
              <w:b/>
              <w:color w:val="auto"/>
            </w:rPr>
            <w:t>SATURS</w:t>
          </w:r>
        </w:p>
        <w:p w14:paraId="27AC6C24" w14:textId="77777777" w:rsidR="00E10679" w:rsidRPr="005B72C7" w:rsidRDefault="00E10679" w:rsidP="00E10679">
          <w:pPr>
            <w:rPr>
              <w:rFonts w:ascii="Times New Roman" w:hAnsi="Times New Roman" w:cs="Times New Roman"/>
              <w:lang w:val="en-US"/>
            </w:rPr>
          </w:pPr>
        </w:p>
        <w:p w14:paraId="46698DFD" w14:textId="65063FEE" w:rsidR="008232F4" w:rsidRDefault="00C461D8">
          <w:pPr>
            <w:pStyle w:val="TOC1"/>
            <w:tabs>
              <w:tab w:val="right" w:leader="dot" w:pos="9016"/>
            </w:tabs>
            <w:rPr>
              <w:rFonts w:asciiTheme="minorHAnsi" w:eastAsiaTheme="minorEastAsia" w:hAnsiTheme="minorHAnsi"/>
              <w:noProof/>
              <w:sz w:val="22"/>
              <w:lang w:eastAsia="lv-LV"/>
            </w:rPr>
          </w:pPr>
          <w:r>
            <w:rPr>
              <w:rFonts w:cs="Times New Roman"/>
              <w:b/>
              <w:bCs/>
              <w:noProof/>
              <w:color w:val="000000" w:themeColor="text1"/>
            </w:rPr>
            <w:fldChar w:fldCharType="begin"/>
          </w:r>
          <w:r>
            <w:rPr>
              <w:rFonts w:cs="Times New Roman"/>
              <w:b/>
              <w:bCs/>
              <w:noProof/>
              <w:color w:val="000000" w:themeColor="text1"/>
            </w:rPr>
            <w:instrText xml:space="preserve"> TOC \o "1-3" \h \z \u </w:instrText>
          </w:r>
          <w:r>
            <w:rPr>
              <w:rFonts w:cs="Times New Roman"/>
              <w:b/>
              <w:bCs/>
              <w:noProof/>
              <w:color w:val="000000" w:themeColor="text1"/>
            </w:rPr>
            <w:fldChar w:fldCharType="separate"/>
          </w:r>
          <w:hyperlink w:anchor="_Toc10126846" w:history="1">
            <w:r w:rsidR="008232F4" w:rsidRPr="00AA3483">
              <w:rPr>
                <w:rStyle w:val="Hyperlink"/>
                <w:noProof/>
              </w:rPr>
              <w:t>Konceptuālā ziņojuma kopsavilkums</w:t>
            </w:r>
            <w:r w:rsidR="008232F4">
              <w:rPr>
                <w:noProof/>
                <w:webHidden/>
              </w:rPr>
              <w:tab/>
            </w:r>
            <w:r w:rsidR="008232F4">
              <w:rPr>
                <w:noProof/>
                <w:webHidden/>
              </w:rPr>
              <w:fldChar w:fldCharType="begin"/>
            </w:r>
            <w:r w:rsidR="008232F4">
              <w:rPr>
                <w:noProof/>
                <w:webHidden/>
              </w:rPr>
              <w:instrText xml:space="preserve"> PAGEREF _Toc10126846 \h </w:instrText>
            </w:r>
            <w:r w:rsidR="008232F4">
              <w:rPr>
                <w:noProof/>
                <w:webHidden/>
              </w:rPr>
            </w:r>
            <w:r w:rsidR="008232F4">
              <w:rPr>
                <w:noProof/>
                <w:webHidden/>
              </w:rPr>
              <w:fldChar w:fldCharType="separate"/>
            </w:r>
            <w:r w:rsidR="008232F4">
              <w:rPr>
                <w:noProof/>
                <w:webHidden/>
              </w:rPr>
              <w:t>3</w:t>
            </w:r>
            <w:r w:rsidR="008232F4">
              <w:rPr>
                <w:noProof/>
                <w:webHidden/>
              </w:rPr>
              <w:fldChar w:fldCharType="end"/>
            </w:r>
          </w:hyperlink>
        </w:p>
        <w:p w14:paraId="5A78F328" w14:textId="0DE6947D" w:rsidR="008232F4" w:rsidRDefault="00BC5D4A">
          <w:pPr>
            <w:pStyle w:val="TOC1"/>
            <w:tabs>
              <w:tab w:val="right" w:leader="dot" w:pos="9016"/>
            </w:tabs>
            <w:rPr>
              <w:rFonts w:asciiTheme="minorHAnsi" w:eastAsiaTheme="minorEastAsia" w:hAnsiTheme="minorHAnsi"/>
              <w:noProof/>
              <w:sz w:val="22"/>
              <w:lang w:eastAsia="lv-LV"/>
            </w:rPr>
          </w:pPr>
          <w:hyperlink w:anchor="_Toc10126847" w:history="1">
            <w:r w:rsidR="008232F4" w:rsidRPr="00AA3483">
              <w:rPr>
                <w:rStyle w:val="Hyperlink"/>
                <w:noProof/>
              </w:rPr>
              <w:t>I Esošās situācijas raksturojums</w:t>
            </w:r>
            <w:r w:rsidR="008232F4">
              <w:rPr>
                <w:noProof/>
                <w:webHidden/>
              </w:rPr>
              <w:tab/>
            </w:r>
            <w:r w:rsidR="008232F4">
              <w:rPr>
                <w:noProof/>
                <w:webHidden/>
              </w:rPr>
              <w:fldChar w:fldCharType="begin"/>
            </w:r>
            <w:r w:rsidR="008232F4">
              <w:rPr>
                <w:noProof/>
                <w:webHidden/>
              </w:rPr>
              <w:instrText xml:space="preserve"> PAGEREF _Toc10126847 \h </w:instrText>
            </w:r>
            <w:r w:rsidR="008232F4">
              <w:rPr>
                <w:noProof/>
                <w:webHidden/>
              </w:rPr>
            </w:r>
            <w:r w:rsidR="008232F4">
              <w:rPr>
                <w:noProof/>
                <w:webHidden/>
              </w:rPr>
              <w:fldChar w:fldCharType="separate"/>
            </w:r>
            <w:r w:rsidR="008232F4">
              <w:rPr>
                <w:noProof/>
                <w:webHidden/>
              </w:rPr>
              <w:t>4</w:t>
            </w:r>
            <w:r w:rsidR="008232F4">
              <w:rPr>
                <w:noProof/>
                <w:webHidden/>
              </w:rPr>
              <w:fldChar w:fldCharType="end"/>
            </w:r>
          </w:hyperlink>
        </w:p>
        <w:p w14:paraId="6D1533F9" w14:textId="236C5769" w:rsidR="008232F4" w:rsidRDefault="00BC5D4A">
          <w:pPr>
            <w:pStyle w:val="TOC2"/>
            <w:tabs>
              <w:tab w:val="right" w:leader="dot" w:pos="9016"/>
            </w:tabs>
            <w:rPr>
              <w:rFonts w:asciiTheme="minorHAnsi" w:eastAsiaTheme="minorEastAsia" w:hAnsiTheme="minorHAnsi"/>
              <w:noProof/>
              <w:sz w:val="22"/>
              <w:lang w:eastAsia="lv-LV"/>
            </w:rPr>
          </w:pPr>
          <w:hyperlink w:anchor="_Toc10126848" w:history="1">
            <w:r w:rsidR="008232F4" w:rsidRPr="00AA3483">
              <w:rPr>
                <w:rStyle w:val="Hyperlink"/>
                <w:noProof/>
              </w:rPr>
              <w:t>1.1. Veiktās izmaiņas antidopinga jomā Latvijā.</w:t>
            </w:r>
            <w:r w:rsidR="008232F4">
              <w:rPr>
                <w:noProof/>
                <w:webHidden/>
              </w:rPr>
              <w:tab/>
            </w:r>
            <w:r w:rsidR="008232F4">
              <w:rPr>
                <w:noProof/>
                <w:webHidden/>
              </w:rPr>
              <w:fldChar w:fldCharType="begin"/>
            </w:r>
            <w:r w:rsidR="008232F4">
              <w:rPr>
                <w:noProof/>
                <w:webHidden/>
              </w:rPr>
              <w:instrText xml:space="preserve"> PAGEREF _Toc10126848 \h </w:instrText>
            </w:r>
            <w:r w:rsidR="008232F4">
              <w:rPr>
                <w:noProof/>
                <w:webHidden/>
              </w:rPr>
            </w:r>
            <w:r w:rsidR="008232F4">
              <w:rPr>
                <w:noProof/>
                <w:webHidden/>
              </w:rPr>
              <w:fldChar w:fldCharType="separate"/>
            </w:r>
            <w:r w:rsidR="008232F4">
              <w:rPr>
                <w:noProof/>
                <w:webHidden/>
              </w:rPr>
              <w:t>4</w:t>
            </w:r>
            <w:r w:rsidR="008232F4">
              <w:rPr>
                <w:noProof/>
                <w:webHidden/>
              </w:rPr>
              <w:fldChar w:fldCharType="end"/>
            </w:r>
          </w:hyperlink>
        </w:p>
        <w:p w14:paraId="6177CD9E" w14:textId="0A6AD718" w:rsidR="008232F4" w:rsidRDefault="00BC5D4A">
          <w:pPr>
            <w:pStyle w:val="TOC2"/>
            <w:tabs>
              <w:tab w:val="left" w:pos="1100"/>
              <w:tab w:val="right" w:leader="dot" w:pos="9016"/>
            </w:tabs>
            <w:rPr>
              <w:rFonts w:asciiTheme="minorHAnsi" w:eastAsiaTheme="minorEastAsia" w:hAnsiTheme="minorHAnsi"/>
              <w:noProof/>
              <w:sz w:val="22"/>
              <w:lang w:eastAsia="lv-LV"/>
            </w:rPr>
          </w:pPr>
          <w:hyperlink w:anchor="_Toc10126849" w:history="1">
            <w:r w:rsidR="008232F4" w:rsidRPr="00AA3483">
              <w:rPr>
                <w:rStyle w:val="Hyperlink"/>
                <w:noProof/>
              </w:rPr>
              <w:t>1.2.</w:t>
            </w:r>
            <w:r w:rsidR="008232F4">
              <w:rPr>
                <w:rFonts w:asciiTheme="minorHAnsi" w:eastAsiaTheme="minorEastAsia" w:hAnsiTheme="minorHAnsi"/>
                <w:noProof/>
                <w:sz w:val="22"/>
                <w:lang w:eastAsia="lv-LV"/>
              </w:rPr>
              <w:tab/>
            </w:r>
            <w:r w:rsidR="008232F4" w:rsidRPr="00AA3483">
              <w:rPr>
                <w:rStyle w:val="Hyperlink"/>
                <w:noProof/>
              </w:rPr>
              <w:t>Izmaiņu izvērtējums – atbilstība starptautiskajām saistībām un situācijai Latvijā</w:t>
            </w:r>
            <w:r w:rsidR="008232F4">
              <w:rPr>
                <w:noProof/>
                <w:webHidden/>
              </w:rPr>
              <w:tab/>
            </w:r>
            <w:r w:rsidR="008232F4">
              <w:rPr>
                <w:noProof/>
                <w:webHidden/>
              </w:rPr>
              <w:fldChar w:fldCharType="begin"/>
            </w:r>
            <w:r w:rsidR="008232F4">
              <w:rPr>
                <w:noProof/>
                <w:webHidden/>
              </w:rPr>
              <w:instrText xml:space="preserve"> PAGEREF _Toc10126849 \h </w:instrText>
            </w:r>
            <w:r w:rsidR="008232F4">
              <w:rPr>
                <w:noProof/>
                <w:webHidden/>
              </w:rPr>
            </w:r>
            <w:r w:rsidR="008232F4">
              <w:rPr>
                <w:noProof/>
                <w:webHidden/>
              </w:rPr>
              <w:fldChar w:fldCharType="separate"/>
            </w:r>
            <w:r w:rsidR="008232F4">
              <w:rPr>
                <w:noProof/>
                <w:webHidden/>
              </w:rPr>
              <w:t>5</w:t>
            </w:r>
            <w:r w:rsidR="008232F4">
              <w:rPr>
                <w:noProof/>
                <w:webHidden/>
              </w:rPr>
              <w:fldChar w:fldCharType="end"/>
            </w:r>
          </w:hyperlink>
        </w:p>
        <w:p w14:paraId="4C181178" w14:textId="3323C028" w:rsidR="008232F4" w:rsidRDefault="00BC5D4A">
          <w:pPr>
            <w:pStyle w:val="TOC2"/>
            <w:tabs>
              <w:tab w:val="left" w:pos="1100"/>
              <w:tab w:val="right" w:leader="dot" w:pos="9016"/>
            </w:tabs>
            <w:rPr>
              <w:rFonts w:asciiTheme="minorHAnsi" w:eastAsiaTheme="minorEastAsia" w:hAnsiTheme="minorHAnsi"/>
              <w:noProof/>
              <w:sz w:val="22"/>
              <w:lang w:eastAsia="lv-LV"/>
            </w:rPr>
          </w:pPr>
          <w:hyperlink w:anchor="_Toc10126850" w:history="1">
            <w:r w:rsidR="008232F4" w:rsidRPr="00AA3483">
              <w:rPr>
                <w:rStyle w:val="Hyperlink"/>
                <w:noProof/>
              </w:rPr>
              <w:t>1.3.</w:t>
            </w:r>
            <w:r w:rsidR="008232F4">
              <w:rPr>
                <w:rFonts w:asciiTheme="minorHAnsi" w:eastAsiaTheme="minorEastAsia" w:hAnsiTheme="minorHAnsi"/>
                <w:noProof/>
                <w:sz w:val="22"/>
                <w:lang w:eastAsia="lv-LV"/>
              </w:rPr>
              <w:tab/>
            </w:r>
            <w:r w:rsidR="008232F4" w:rsidRPr="00AA3483">
              <w:rPr>
                <w:rStyle w:val="Hyperlink"/>
                <w:noProof/>
              </w:rPr>
              <w:t>Izveidotās sistēmas tālākā attīstība un nepieciešamie uzlabojumi</w:t>
            </w:r>
            <w:r w:rsidR="008232F4">
              <w:rPr>
                <w:noProof/>
                <w:webHidden/>
              </w:rPr>
              <w:tab/>
            </w:r>
            <w:r w:rsidR="008232F4">
              <w:rPr>
                <w:noProof/>
                <w:webHidden/>
              </w:rPr>
              <w:fldChar w:fldCharType="begin"/>
            </w:r>
            <w:r w:rsidR="008232F4">
              <w:rPr>
                <w:noProof/>
                <w:webHidden/>
              </w:rPr>
              <w:instrText xml:space="preserve"> PAGEREF _Toc10126850 \h </w:instrText>
            </w:r>
            <w:r w:rsidR="008232F4">
              <w:rPr>
                <w:noProof/>
                <w:webHidden/>
              </w:rPr>
            </w:r>
            <w:r w:rsidR="008232F4">
              <w:rPr>
                <w:noProof/>
                <w:webHidden/>
              </w:rPr>
              <w:fldChar w:fldCharType="separate"/>
            </w:r>
            <w:r w:rsidR="008232F4">
              <w:rPr>
                <w:noProof/>
                <w:webHidden/>
              </w:rPr>
              <w:t>6</w:t>
            </w:r>
            <w:r w:rsidR="008232F4">
              <w:rPr>
                <w:noProof/>
                <w:webHidden/>
              </w:rPr>
              <w:fldChar w:fldCharType="end"/>
            </w:r>
          </w:hyperlink>
        </w:p>
        <w:p w14:paraId="52631816" w14:textId="46A1F3B0" w:rsidR="008232F4" w:rsidRDefault="00BC5D4A">
          <w:pPr>
            <w:pStyle w:val="TOC3"/>
            <w:tabs>
              <w:tab w:val="right" w:leader="dot" w:pos="9016"/>
            </w:tabs>
            <w:rPr>
              <w:rFonts w:asciiTheme="minorHAnsi" w:eastAsiaTheme="minorEastAsia" w:hAnsiTheme="minorHAnsi"/>
              <w:noProof/>
              <w:sz w:val="22"/>
              <w:lang w:eastAsia="lv-LV"/>
            </w:rPr>
          </w:pPr>
          <w:hyperlink w:anchor="_Toc10126851" w:history="1">
            <w:r w:rsidR="008232F4" w:rsidRPr="00AA3483">
              <w:rPr>
                <w:rStyle w:val="Hyperlink"/>
                <w:noProof/>
              </w:rPr>
              <w:t>1.3.1. Nepieciešamie uzlabojumi, kas noteikti Eiropas Padomes Antidopinga konvencijas novērtējuma vizītes ziņojumā</w:t>
            </w:r>
            <w:r w:rsidR="008232F4">
              <w:rPr>
                <w:noProof/>
                <w:webHidden/>
              </w:rPr>
              <w:tab/>
            </w:r>
            <w:r w:rsidR="008232F4">
              <w:rPr>
                <w:noProof/>
                <w:webHidden/>
              </w:rPr>
              <w:fldChar w:fldCharType="begin"/>
            </w:r>
            <w:r w:rsidR="008232F4">
              <w:rPr>
                <w:noProof/>
                <w:webHidden/>
              </w:rPr>
              <w:instrText xml:space="preserve"> PAGEREF _Toc10126851 \h </w:instrText>
            </w:r>
            <w:r w:rsidR="008232F4">
              <w:rPr>
                <w:noProof/>
                <w:webHidden/>
              </w:rPr>
            </w:r>
            <w:r w:rsidR="008232F4">
              <w:rPr>
                <w:noProof/>
                <w:webHidden/>
              </w:rPr>
              <w:fldChar w:fldCharType="separate"/>
            </w:r>
            <w:r w:rsidR="008232F4">
              <w:rPr>
                <w:noProof/>
                <w:webHidden/>
              </w:rPr>
              <w:t>6</w:t>
            </w:r>
            <w:r w:rsidR="008232F4">
              <w:rPr>
                <w:noProof/>
                <w:webHidden/>
              </w:rPr>
              <w:fldChar w:fldCharType="end"/>
            </w:r>
          </w:hyperlink>
        </w:p>
        <w:p w14:paraId="3E9FE89F" w14:textId="46CCFD0B" w:rsidR="008232F4" w:rsidRDefault="00BC5D4A">
          <w:pPr>
            <w:pStyle w:val="TOC3"/>
            <w:tabs>
              <w:tab w:val="right" w:leader="dot" w:pos="9016"/>
            </w:tabs>
            <w:rPr>
              <w:rFonts w:asciiTheme="minorHAnsi" w:eastAsiaTheme="minorEastAsia" w:hAnsiTheme="minorHAnsi"/>
              <w:noProof/>
              <w:sz w:val="22"/>
              <w:lang w:eastAsia="lv-LV"/>
            </w:rPr>
          </w:pPr>
          <w:hyperlink w:anchor="_Toc10126852" w:history="1">
            <w:r w:rsidR="008232F4" w:rsidRPr="00AA3483">
              <w:rPr>
                <w:rStyle w:val="Hyperlink"/>
                <w:noProof/>
              </w:rPr>
              <w:t>1.3.2. Nepieciešamie uzlabojumi, kas noteikti Korektīvajā darbību plānā</w:t>
            </w:r>
            <w:r w:rsidR="008232F4">
              <w:rPr>
                <w:noProof/>
                <w:webHidden/>
              </w:rPr>
              <w:tab/>
            </w:r>
            <w:r w:rsidR="008232F4">
              <w:rPr>
                <w:noProof/>
                <w:webHidden/>
              </w:rPr>
              <w:fldChar w:fldCharType="begin"/>
            </w:r>
            <w:r w:rsidR="008232F4">
              <w:rPr>
                <w:noProof/>
                <w:webHidden/>
              </w:rPr>
              <w:instrText xml:space="preserve"> PAGEREF _Toc10126852 \h </w:instrText>
            </w:r>
            <w:r w:rsidR="008232F4">
              <w:rPr>
                <w:noProof/>
                <w:webHidden/>
              </w:rPr>
            </w:r>
            <w:r w:rsidR="008232F4">
              <w:rPr>
                <w:noProof/>
                <w:webHidden/>
              </w:rPr>
              <w:fldChar w:fldCharType="separate"/>
            </w:r>
            <w:r w:rsidR="008232F4">
              <w:rPr>
                <w:noProof/>
                <w:webHidden/>
              </w:rPr>
              <w:t>7</w:t>
            </w:r>
            <w:r w:rsidR="008232F4">
              <w:rPr>
                <w:noProof/>
                <w:webHidden/>
              </w:rPr>
              <w:fldChar w:fldCharType="end"/>
            </w:r>
          </w:hyperlink>
        </w:p>
        <w:p w14:paraId="17ABF36E" w14:textId="35404039" w:rsidR="008232F4" w:rsidRDefault="00BC5D4A">
          <w:pPr>
            <w:pStyle w:val="TOC3"/>
            <w:tabs>
              <w:tab w:val="right" w:leader="dot" w:pos="9016"/>
            </w:tabs>
            <w:rPr>
              <w:rFonts w:asciiTheme="minorHAnsi" w:eastAsiaTheme="minorEastAsia" w:hAnsiTheme="minorHAnsi"/>
              <w:noProof/>
              <w:sz w:val="22"/>
              <w:lang w:eastAsia="lv-LV"/>
            </w:rPr>
          </w:pPr>
          <w:hyperlink w:anchor="_Toc10126853" w:history="1">
            <w:r w:rsidR="008232F4" w:rsidRPr="00AA3483">
              <w:rPr>
                <w:rStyle w:val="Hyperlink"/>
                <w:noProof/>
              </w:rPr>
              <w:t>1.3.3. Citi nepieciešamie uzlabojumi</w:t>
            </w:r>
            <w:r w:rsidR="008232F4">
              <w:rPr>
                <w:noProof/>
                <w:webHidden/>
              </w:rPr>
              <w:tab/>
            </w:r>
            <w:r w:rsidR="008232F4">
              <w:rPr>
                <w:noProof/>
                <w:webHidden/>
              </w:rPr>
              <w:fldChar w:fldCharType="begin"/>
            </w:r>
            <w:r w:rsidR="008232F4">
              <w:rPr>
                <w:noProof/>
                <w:webHidden/>
              </w:rPr>
              <w:instrText xml:space="preserve"> PAGEREF _Toc10126853 \h </w:instrText>
            </w:r>
            <w:r w:rsidR="008232F4">
              <w:rPr>
                <w:noProof/>
                <w:webHidden/>
              </w:rPr>
            </w:r>
            <w:r w:rsidR="008232F4">
              <w:rPr>
                <w:noProof/>
                <w:webHidden/>
              </w:rPr>
              <w:fldChar w:fldCharType="separate"/>
            </w:r>
            <w:r w:rsidR="008232F4">
              <w:rPr>
                <w:noProof/>
                <w:webHidden/>
              </w:rPr>
              <w:t>7</w:t>
            </w:r>
            <w:r w:rsidR="008232F4">
              <w:rPr>
                <w:noProof/>
                <w:webHidden/>
              </w:rPr>
              <w:fldChar w:fldCharType="end"/>
            </w:r>
          </w:hyperlink>
        </w:p>
        <w:p w14:paraId="3AA68A5E" w14:textId="00A77657" w:rsidR="008232F4" w:rsidRDefault="00BC5D4A">
          <w:pPr>
            <w:pStyle w:val="TOC2"/>
            <w:tabs>
              <w:tab w:val="right" w:leader="dot" w:pos="9016"/>
            </w:tabs>
            <w:rPr>
              <w:rFonts w:asciiTheme="minorHAnsi" w:eastAsiaTheme="minorEastAsia" w:hAnsiTheme="minorHAnsi"/>
              <w:noProof/>
              <w:sz w:val="22"/>
              <w:lang w:eastAsia="lv-LV"/>
            </w:rPr>
          </w:pPr>
          <w:hyperlink w:anchor="_Toc10126854" w:history="1">
            <w:r w:rsidR="008232F4" w:rsidRPr="00AA3483">
              <w:rPr>
                <w:rStyle w:val="Hyperlink"/>
                <w:noProof/>
              </w:rPr>
              <w:t>1.4. Jaunieviestā antidopinga uzraudzības mehānisma funkcionalitāte un priekšrocības.</w:t>
            </w:r>
            <w:r w:rsidR="008232F4">
              <w:rPr>
                <w:noProof/>
                <w:webHidden/>
              </w:rPr>
              <w:tab/>
            </w:r>
            <w:r w:rsidR="008232F4">
              <w:rPr>
                <w:noProof/>
                <w:webHidden/>
              </w:rPr>
              <w:fldChar w:fldCharType="begin"/>
            </w:r>
            <w:r w:rsidR="008232F4">
              <w:rPr>
                <w:noProof/>
                <w:webHidden/>
              </w:rPr>
              <w:instrText xml:space="preserve"> PAGEREF _Toc10126854 \h </w:instrText>
            </w:r>
            <w:r w:rsidR="008232F4">
              <w:rPr>
                <w:noProof/>
                <w:webHidden/>
              </w:rPr>
            </w:r>
            <w:r w:rsidR="008232F4">
              <w:rPr>
                <w:noProof/>
                <w:webHidden/>
              </w:rPr>
              <w:fldChar w:fldCharType="separate"/>
            </w:r>
            <w:r w:rsidR="008232F4">
              <w:rPr>
                <w:noProof/>
                <w:webHidden/>
              </w:rPr>
              <w:t>7</w:t>
            </w:r>
            <w:r w:rsidR="008232F4">
              <w:rPr>
                <w:noProof/>
                <w:webHidden/>
              </w:rPr>
              <w:fldChar w:fldCharType="end"/>
            </w:r>
          </w:hyperlink>
        </w:p>
        <w:p w14:paraId="221715F6" w14:textId="528F9A49" w:rsidR="008232F4" w:rsidRDefault="00BC5D4A">
          <w:pPr>
            <w:pStyle w:val="TOC2"/>
            <w:tabs>
              <w:tab w:val="right" w:leader="dot" w:pos="9016"/>
            </w:tabs>
            <w:rPr>
              <w:rFonts w:asciiTheme="minorHAnsi" w:eastAsiaTheme="minorEastAsia" w:hAnsiTheme="minorHAnsi"/>
              <w:noProof/>
              <w:sz w:val="22"/>
              <w:lang w:eastAsia="lv-LV"/>
            </w:rPr>
          </w:pPr>
          <w:hyperlink w:anchor="_Toc10126855" w:history="1">
            <w:r w:rsidR="008232F4" w:rsidRPr="00AA3483">
              <w:rPr>
                <w:rStyle w:val="Hyperlink"/>
                <w:noProof/>
              </w:rPr>
              <w:t>1.5. Jaunieviestā antidopinga uzraudzības mehānisma trūkumi</w:t>
            </w:r>
            <w:r w:rsidR="008232F4">
              <w:rPr>
                <w:noProof/>
                <w:webHidden/>
              </w:rPr>
              <w:tab/>
            </w:r>
            <w:r w:rsidR="008232F4">
              <w:rPr>
                <w:noProof/>
                <w:webHidden/>
              </w:rPr>
              <w:fldChar w:fldCharType="begin"/>
            </w:r>
            <w:r w:rsidR="008232F4">
              <w:rPr>
                <w:noProof/>
                <w:webHidden/>
              </w:rPr>
              <w:instrText xml:space="preserve"> PAGEREF _Toc10126855 \h </w:instrText>
            </w:r>
            <w:r w:rsidR="008232F4">
              <w:rPr>
                <w:noProof/>
                <w:webHidden/>
              </w:rPr>
            </w:r>
            <w:r w:rsidR="008232F4">
              <w:rPr>
                <w:noProof/>
                <w:webHidden/>
              </w:rPr>
              <w:fldChar w:fldCharType="separate"/>
            </w:r>
            <w:r w:rsidR="008232F4">
              <w:rPr>
                <w:noProof/>
                <w:webHidden/>
              </w:rPr>
              <w:t>8</w:t>
            </w:r>
            <w:r w:rsidR="008232F4">
              <w:rPr>
                <w:noProof/>
                <w:webHidden/>
              </w:rPr>
              <w:fldChar w:fldCharType="end"/>
            </w:r>
          </w:hyperlink>
        </w:p>
        <w:p w14:paraId="6AB241BA" w14:textId="495D9B6E" w:rsidR="008232F4" w:rsidRDefault="00BC5D4A">
          <w:pPr>
            <w:pStyle w:val="TOC2"/>
            <w:tabs>
              <w:tab w:val="right" w:leader="dot" w:pos="9016"/>
            </w:tabs>
            <w:rPr>
              <w:rFonts w:asciiTheme="minorHAnsi" w:eastAsiaTheme="minorEastAsia" w:hAnsiTheme="minorHAnsi"/>
              <w:noProof/>
              <w:sz w:val="22"/>
              <w:lang w:eastAsia="lv-LV"/>
            </w:rPr>
          </w:pPr>
          <w:hyperlink w:anchor="_Toc10126856" w:history="1">
            <w:r w:rsidR="008232F4" w:rsidRPr="00AA3483">
              <w:rPr>
                <w:rStyle w:val="Hyperlink"/>
                <w:noProof/>
              </w:rPr>
              <w:t>1.6. Nacionālā antidopinga regulējuma noteikšana ārējos normatīvajos aktos</w:t>
            </w:r>
            <w:r w:rsidR="008232F4">
              <w:rPr>
                <w:noProof/>
                <w:webHidden/>
              </w:rPr>
              <w:tab/>
            </w:r>
            <w:r w:rsidR="008232F4">
              <w:rPr>
                <w:noProof/>
                <w:webHidden/>
              </w:rPr>
              <w:fldChar w:fldCharType="begin"/>
            </w:r>
            <w:r w:rsidR="008232F4">
              <w:rPr>
                <w:noProof/>
                <w:webHidden/>
              </w:rPr>
              <w:instrText xml:space="preserve"> PAGEREF _Toc10126856 \h </w:instrText>
            </w:r>
            <w:r w:rsidR="008232F4">
              <w:rPr>
                <w:noProof/>
                <w:webHidden/>
              </w:rPr>
            </w:r>
            <w:r w:rsidR="008232F4">
              <w:rPr>
                <w:noProof/>
                <w:webHidden/>
              </w:rPr>
              <w:fldChar w:fldCharType="separate"/>
            </w:r>
            <w:r w:rsidR="008232F4">
              <w:rPr>
                <w:noProof/>
                <w:webHidden/>
              </w:rPr>
              <w:t>9</w:t>
            </w:r>
            <w:r w:rsidR="008232F4">
              <w:rPr>
                <w:noProof/>
                <w:webHidden/>
              </w:rPr>
              <w:fldChar w:fldCharType="end"/>
            </w:r>
          </w:hyperlink>
        </w:p>
        <w:p w14:paraId="539061B9" w14:textId="069FDC3C" w:rsidR="008232F4" w:rsidRDefault="00BC5D4A">
          <w:pPr>
            <w:pStyle w:val="TOC1"/>
            <w:tabs>
              <w:tab w:val="right" w:leader="dot" w:pos="9016"/>
            </w:tabs>
            <w:rPr>
              <w:rFonts w:asciiTheme="minorHAnsi" w:eastAsiaTheme="minorEastAsia" w:hAnsiTheme="minorHAnsi"/>
              <w:noProof/>
              <w:sz w:val="22"/>
              <w:lang w:eastAsia="lv-LV"/>
            </w:rPr>
          </w:pPr>
          <w:hyperlink w:anchor="_Toc10126857" w:history="1">
            <w:r w:rsidR="008232F4" w:rsidRPr="00AA3483">
              <w:rPr>
                <w:rStyle w:val="Hyperlink"/>
                <w:noProof/>
              </w:rPr>
              <w:t>II Piedāvātais risinājums</w:t>
            </w:r>
            <w:r w:rsidR="008232F4">
              <w:rPr>
                <w:noProof/>
                <w:webHidden/>
              </w:rPr>
              <w:tab/>
            </w:r>
            <w:r w:rsidR="008232F4">
              <w:rPr>
                <w:noProof/>
                <w:webHidden/>
              </w:rPr>
              <w:fldChar w:fldCharType="begin"/>
            </w:r>
            <w:r w:rsidR="008232F4">
              <w:rPr>
                <w:noProof/>
                <w:webHidden/>
              </w:rPr>
              <w:instrText xml:space="preserve"> PAGEREF _Toc10126857 \h </w:instrText>
            </w:r>
            <w:r w:rsidR="008232F4">
              <w:rPr>
                <w:noProof/>
                <w:webHidden/>
              </w:rPr>
            </w:r>
            <w:r w:rsidR="008232F4">
              <w:rPr>
                <w:noProof/>
                <w:webHidden/>
              </w:rPr>
              <w:fldChar w:fldCharType="separate"/>
            </w:r>
            <w:r w:rsidR="008232F4">
              <w:rPr>
                <w:noProof/>
                <w:webHidden/>
              </w:rPr>
              <w:t>11</w:t>
            </w:r>
            <w:r w:rsidR="008232F4">
              <w:rPr>
                <w:noProof/>
                <w:webHidden/>
              </w:rPr>
              <w:fldChar w:fldCharType="end"/>
            </w:r>
          </w:hyperlink>
        </w:p>
        <w:p w14:paraId="6501D849" w14:textId="7ECE74E8" w:rsidR="008232F4" w:rsidRDefault="00BC5D4A">
          <w:pPr>
            <w:pStyle w:val="TOC1"/>
            <w:tabs>
              <w:tab w:val="right" w:leader="dot" w:pos="9016"/>
            </w:tabs>
            <w:rPr>
              <w:rFonts w:asciiTheme="minorHAnsi" w:eastAsiaTheme="minorEastAsia" w:hAnsiTheme="minorHAnsi"/>
              <w:noProof/>
              <w:sz w:val="22"/>
              <w:lang w:eastAsia="lv-LV"/>
            </w:rPr>
          </w:pPr>
          <w:hyperlink w:anchor="_Toc10126858" w:history="1">
            <w:r w:rsidR="008232F4" w:rsidRPr="00AA3483">
              <w:rPr>
                <w:rStyle w:val="Hyperlink"/>
                <w:noProof/>
              </w:rPr>
              <w:t>III Ietekmes novērtējums uz problēmas risināšanu</w:t>
            </w:r>
            <w:r w:rsidR="008232F4">
              <w:rPr>
                <w:noProof/>
                <w:webHidden/>
              </w:rPr>
              <w:tab/>
            </w:r>
            <w:r w:rsidR="008232F4">
              <w:rPr>
                <w:noProof/>
                <w:webHidden/>
              </w:rPr>
              <w:fldChar w:fldCharType="begin"/>
            </w:r>
            <w:r w:rsidR="008232F4">
              <w:rPr>
                <w:noProof/>
                <w:webHidden/>
              </w:rPr>
              <w:instrText xml:space="preserve"> PAGEREF _Toc10126858 \h </w:instrText>
            </w:r>
            <w:r w:rsidR="008232F4">
              <w:rPr>
                <w:noProof/>
                <w:webHidden/>
              </w:rPr>
            </w:r>
            <w:r w:rsidR="008232F4">
              <w:rPr>
                <w:noProof/>
                <w:webHidden/>
              </w:rPr>
              <w:fldChar w:fldCharType="separate"/>
            </w:r>
            <w:r w:rsidR="008232F4">
              <w:rPr>
                <w:noProof/>
                <w:webHidden/>
              </w:rPr>
              <w:t>12</w:t>
            </w:r>
            <w:r w:rsidR="008232F4">
              <w:rPr>
                <w:noProof/>
                <w:webHidden/>
              </w:rPr>
              <w:fldChar w:fldCharType="end"/>
            </w:r>
          </w:hyperlink>
        </w:p>
        <w:p w14:paraId="12D35FCF" w14:textId="5DBF6017" w:rsidR="008232F4" w:rsidRDefault="00BC5D4A">
          <w:pPr>
            <w:pStyle w:val="TOC1"/>
            <w:tabs>
              <w:tab w:val="right" w:leader="dot" w:pos="9016"/>
            </w:tabs>
            <w:rPr>
              <w:rFonts w:asciiTheme="minorHAnsi" w:eastAsiaTheme="minorEastAsia" w:hAnsiTheme="minorHAnsi"/>
              <w:noProof/>
              <w:sz w:val="22"/>
              <w:lang w:eastAsia="lv-LV"/>
            </w:rPr>
          </w:pPr>
          <w:hyperlink w:anchor="_Toc10126859" w:history="1">
            <w:r w:rsidR="008232F4" w:rsidRPr="00AA3483">
              <w:rPr>
                <w:rStyle w:val="Hyperlink"/>
                <w:noProof/>
              </w:rPr>
              <w:t>IV Risinājuma ietekme uz valsts un pašvaldību budžetu</w:t>
            </w:r>
            <w:r w:rsidR="008232F4">
              <w:rPr>
                <w:noProof/>
                <w:webHidden/>
              </w:rPr>
              <w:tab/>
            </w:r>
            <w:r w:rsidR="008232F4">
              <w:rPr>
                <w:noProof/>
                <w:webHidden/>
              </w:rPr>
              <w:fldChar w:fldCharType="begin"/>
            </w:r>
            <w:r w:rsidR="008232F4">
              <w:rPr>
                <w:noProof/>
                <w:webHidden/>
              </w:rPr>
              <w:instrText xml:space="preserve"> PAGEREF _Toc10126859 \h </w:instrText>
            </w:r>
            <w:r w:rsidR="008232F4">
              <w:rPr>
                <w:noProof/>
                <w:webHidden/>
              </w:rPr>
            </w:r>
            <w:r w:rsidR="008232F4">
              <w:rPr>
                <w:noProof/>
                <w:webHidden/>
              </w:rPr>
              <w:fldChar w:fldCharType="separate"/>
            </w:r>
            <w:r w:rsidR="008232F4">
              <w:rPr>
                <w:noProof/>
                <w:webHidden/>
              </w:rPr>
              <w:t>13</w:t>
            </w:r>
            <w:r w:rsidR="008232F4">
              <w:rPr>
                <w:noProof/>
                <w:webHidden/>
              </w:rPr>
              <w:fldChar w:fldCharType="end"/>
            </w:r>
          </w:hyperlink>
        </w:p>
        <w:p w14:paraId="520F4245" w14:textId="0954AAE5" w:rsidR="008232F4" w:rsidRDefault="00BC5D4A">
          <w:pPr>
            <w:pStyle w:val="TOC3"/>
            <w:tabs>
              <w:tab w:val="right" w:leader="dot" w:pos="9016"/>
            </w:tabs>
            <w:rPr>
              <w:rFonts w:asciiTheme="minorHAnsi" w:eastAsiaTheme="minorEastAsia" w:hAnsiTheme="minorHAnsi"/>
              <w:noProof/>
              <w:sz w:val="22"/>
              <w:lang w:eastAsia="lv-LV"/>
            </w:rPr>
          </w:pPr>
          <w:hyperlink w:anchor="_Toc10126860" w:history="1">
            <w:r w:rsidR="008232F4" w:rsidRPr="00AA3483">
              <w:rPr>
                <w:rStyle w:val="Hyperlink"/>
                <w:noProof/>
              </w:rPr>
              <w:t>Kopsavilkums par konceptuālajā ziņojumā iekļautā risinājuma realizācijai nepieciešamo valsts un pašvaldību budžeta finansējumu</w:t>
            </w:r>
            <w:r w:rsidR="008232F4">
              <w:rPr>
                <w:noProof/>
                <w:webHidden/>
              </w:rPr>
              <w:tab/>
            </w:r>
            <w:r w:rsidR="008232F4">
              <w:rPr>
                <w:noProof/>
                <w:webHidden/>
              </w:rPr>
              <w:fldChar w:fldCharType="begin"/>
            </w:r>
            <w:r w:rsidR="008232F4">
              <w:rPr>
                <w:noProof/>
                <w:webHidden/>
              </w:rPr>
              <w:instrText xml:space="preserve"> PAGEREF _Toc10126860 \h </w:instrText>
            </w:r>
            <w:r w:rsidR="008232F4">
              <w:rPr>
                <w:noProof/>
                <w:webHidden/>
              </w:rPr>
            </w:r>
            <w:r w:rsidR="008232F4">
              <w:rPr>
                <w:noProof/>
                <w:webHidden/>
              </w:rPr>
              <w:fldChar w:fldCharType="separate"/>
            </w:r>
            <w:r w:rsidR="008232F4">
              <w:rPr>
                <w:noProof/>
                <w:webHidden/>
              </w:rPr>
              <w:t>14</w:t>
            </w:r>
            <w:r w:rsidR="008232F4">
              <w:rPr>
                <w:noProof/>
                <w:webHidden/>
              </w:rPr>
              <w:fldChar w:fldCharType="end"/>
            </w:r>
          </w:hyperlink>
        </w:p>
        <w:p w14:paraId="61B0F41A" w14:textId="6F5C63B2" w:rsidR="00E10679" w:rsidRPr="005B72C7" w:rsidRDefault="00C461D8">
          <w:pPr>
            <w:rPr>
              <w:rFonts w:ascii="Times New Roman" w:hAnsi="Times New Roman" w:cs="Times New Roman"/>
            </w:rPr>
          </w:pPr>
          <w:r>
            <w:rPr>
              <w:rFonts w:ascii="Times New Roman" w:hAnsi="Times New Roman" w:cs="Times New Roman"/>
              <w:b/>
              <w:bCs/>
              <w:noProof/>
              <w:color w:val="000000" w:themeColor="text1"/>
              <w:sz w:val="28"/>
            </w:rPr>
            <w:fldChar w:fldCharType="end"/>
          </w:r>
        </w:p>
      </w:sdtContent>
    </w:sdt>
    <w:p w14:paraId="5B1D4C20" w14:textId="286E8C13" w:rsidR="00FF7E2A" w:rsidRPr="005B72C7" w:rsidRDefault="00FF7E2A" w:rsidP="00E10679">
      <w:pPr>
        <w:numPr>
          <w:ilvl w:val="1"/>
          <w:numId w:val="1"/>
        </w:numPr>
        <w:contextualSpacing/>
        <w:rPr>
          <w:rFonts w:ascii="Times New Roman" w:hAnsi="Times New Roman" w:cs="Times New Roman"/>
          <w:b/>
          <w:sz w:val="28"/>
        </w:rPr>
      </w:pPr>
      <w:r w:rsidRPr="005B72C7">
        <w:rPr>
          <w:rFonts w:ascii="Times New Roman" w:hAnsi="Times New Roman" w:cs="Times New Roman"/>
          <w:b/>
          <w:sz w:val="28"/>
        </w:rPr>
        <w:br w:type="page"/>
      </w:r>
    </w:p>
    <w:p w14:paraId="6F36377C" w14:textId="02F50534" w:rsidR="00FF7E2A" w:rsidRPr="00C461D8" w:rsidRDefault="00EA00E4" w:rsidP="00C461D8">
      <w:pPr>
        <w:pStyle w:val="Heading1"/>
      </w:pPr>
      <w:bookmarkStart w:id="2" w:name="_Toc10126846"/>
      <w:r>
        <w:lastRenderedPageBreak/>
        <w:t>Konceptuālā ziņojuma kopsavilkums</w:t>
      </w:r>
      <w:bookmarkEnd w:id="2"/>
    </w:p>
    <w:p w14:paraId="0DFB83D1" w14:textId="3EC3F8E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Konceptuālais ziņojums sagatavots atbilstoši Ministru kabineta 2018.gada 16.janvāra sēdes </w:t>
      </w:r>
      <w:proofErr w:type="spellStart"/>
      <w:r w:rsidRPr="005B72C7">
        <w:rPr>
          <w:rFonts w:ascii="Times New Roman" w:hAnsi="Times New Roman" w:cs="Times New Roman"/>
          <w:sz w:val="28"/>
        </w:rPr>
        <w:t>protokollēmumam</w:t>
      </w:r>
      <w:proofErr w:type="spellEnd"/>
      <w:r w:rsidRPr="005B72C7">
        <w:rPr>
          <w:rFonts w:ascii="Times New Roman" w:hAnsi="Times New Roman" w:cs="Times New Roman"/>
          <w:sz w:val="28"/>
        </w:rPr>
        <w:t xml:space="preserve"> par likumprojektu “Grozījumi Sporta likumā” (prot. Nr. 3, 21.§), kas paredz sagatavot konceptuālo ziņojumu par </w:t>
      </w:r>
      <w:proofErr w:type="spellStart"/>
      <w:r w:rsidRPr="005B72C7">
        <w:rPr>
          <w:rFonts w:ascii="Times New Roman" w:hAnsi="Times New Roman" w:cs="Times New Roman"/>
          <w:sz w:val="28"/>
        </w:rPr>
        <w:t>jaunieviestā</w:t>
      </w:r>
      <w:proofErr w:type="spellEnd"/>
      <w:r w:rsidRPr="005B72C7">
        <w:rPr>
          <w:rFonts w:ascii="Times New Roman" w:hAnsi="Times New Roman" w:cs="Times New Roman"/>
          <w:sz w:val="28"/>
        </w:rPr>
        <w:t xml:space="preserve"> antidopinga uzraudzības mehānisma funkcionalitāti, trūkumiem un priekšrocībām, kā arī nacionālā antidopinga regulējuma noteikšanu ārējos normatīvajos aktos. “Grozījumi Sporta likumā” Saeimā tika pieņemt</w:t>
      </w:r>
      <w:r w:rsidR="00D01FBA">
        <w:rPr>
          <w:rFonts w:ascii="Times New Roman" w:hAnsi="Times New Roman" w:cs="Times New Roman"/>
          <w:sz w:val="28"/>
        </w:rPr>
        <w:t>i</w:t>
      </w:r>
      <w:r w:rsidRPr="005B72C7">
        <w:rPr>
          <w:rFonts w:ascii="Times New Roman" w:hAnsi="Times New Roman" w:cs="Times New Roman"/>
          <w:sz w:val="28"/>
        </w:rPr>
        <w:t xml:space="preserve"> 2018.gada 24.maijā un stājās spēkā 2018.gada 1.jūlijā.</w:t>
      </w:r>
    </w:p>
    <w:p w14:paraId="04FC8E78"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Ziņojumā atspoguļota pašreizējā situācija jeb veiktās izmaiņas antidopinga jomā Latvijā pēc konceptuālajā ziņojumā (apstiprināts ar Ministru kabineta 2017.gada 26.septembra rīkojumu Nr.539) "Par situāciju antidopinga jomā Latvijā un nepieciešamajām izmaiņām" (turpmāk – Konceptuālais ziņojums) ietverto uzlabojumu un risinājumu ieviešanas. </w:t>
      </w:r>
    </w:p>
    <w:p w14:paraId="67F24524" w14:textId="78F4E5A4"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Izveidotās sistēmas tālākās attīstības nepieciešamie uzlabojumi aktualizēti pamatojoties uz Eiropas Padomes Antidopinga konvencijas novērtējuma vizītes Latvijā veikto ziņojum</w:t>
      </w:r>
      <w:r w:rsidR="00D01FBA">
        <w:rPr>
          <w:rFonts w:ascii="Times New Roman" w:hAnsi="Times New Roman" w:cs="Times New Roman"/>
          <w:sz w:val="28"/>
        </w:rPr>
        <w:t xml:space="preserve">u </w:t>
      </w:r>
      <w:r w:rsidRPr="005B72C7">
        <w:rPr>
          <w:rFonts w:ascii="Times New Roman" w:hAnsi="Times New Roman" w:cs="Times New Roman"/>
          <w:sz w:val="28"/>
        </w:rPr>
        <w:t>un Pasaules Antidopinga aģentūras Korektīvo darbību plānā noradītajiem nepieciešamajiem uzlabojumiem. Minētajos dokumentos atspoguļot</w:t>
      </w:r>
      <w:r w:rsidR="00EA00E4">
        <w:rPr>
          <w:rFonts w:ascii="Times New Roman" w:hAnsi="Times New Roman" w:cs="Times New Roman"/>
          <w:sz w:val="28"/>
        </w:rPr>
        <w:t>i</w:t>
      </w:r>
      <w:r w:rsidRPr="005B72C7">
        <w:rPr>
          <w:rFonts w:ascii="Times New Roman" w:hAnsi="Times New Roman" w:cs="Times New Roman"/>
          <w:sz w:val="28"/>
        </w:rPr>
        <w:t xml:space="preserve"> galven</w:t>
      </w:r>
      <w:r w:rsidR="00EA00E4">
        <w:rPr>
          <w:rFonts w:ascii="Times New Roman" w:hAnsi="Times New Roman" w:cs="Times New Roman"/>
          <w:sz w:val="28"/>
        </w:rPr>
        <w:t>ie nepieciešamie uzlabojumi</w:t>
      </w:r>
      <w:r w:rsidRPr="005B72C7">
        <w:rPr>
          <w:rFonts w:ascii="Times New Roman" w:hAnsi="Times New Roman" w:cs="Times New Roman"/>
          <w:sz w:val="28"/>
        </w:rPr>
        <w:t>, kur</w:t>
      </w:r>
      <w:r w:rsidR="001069E7">
        <w:rPr>
          <w:rFonts w:ascii="Times New Roman" w:hAnsi="Times New Roman" w:cs="Times New Roman"/>
          <w:sz w:val="28"/>
        </w:rPr>
        <w:t>i</w:t>
      </w:r>
      <w:r w:rsidRPr="005B72C7">
        <w:rPr>
          <w:rFonts w:ascii="Times New Roman" w:hAnsi="Times New Roman" w:cs="Times New Roman"/>
          <w:sz w:val="28"/>
        </w:rPr>
        <w:t xml:space="preserve"> Latvijas Antidopinga birojam</w:t>
      </w:r>
      <w:r w:rsidR="00EA00E4">
        <w:rPr>
          <w:rFonts w:ascii="Times New Roman" w:hAnsi="Times New Roman" w:cs="Times New Roman"/>
          <w:sz w:val="28"/>
        </w:rPr>
        <w:t xml:space="preserve"> (turpmāk</w:t>
      </w:r>
      <w:r w:rsidR="00122290">
        <w:rPr>
          <w:rFonts w:ascii="Times New Roman" w:hAnsi="Times New Roman" w:cs="Times New Roman"/>
          <w:sz w:val="28"/>
        </w:rPr>
        <w:t xml:space="preserve"> – Birojs)</w:t>
      </w:r>
      <w:r w:rsidRPr="005B72C7">
        <w:rPr>
          <w:rFonts w:ascii="Times New Roman" w:hAnsi="Times New Roman" w:cs="Times New Roman"/>
          <w:sz w:val="28"/>
        </w:rPr>
        <w:t xml:space="preserve"> kopā ar citām iesaistītajām institūcijām būtu jānovērš, piemēram, izglītības programmas pilnveides nepieciešamība, konsultatīvas </w:t>
      </w:r>
      <w:r w:rsidR="00D01FBA">
        <w:rPr>
          <w:rFonts w:ascii="Times New Roman" w:hAnsi="Times New Roman" w:cs="Times New Roman"/>
          <w:sz w:val="28"/>
        </w:rPr>
        <w:t>komisijas</w:t>
      </w:r>
      <w:r w:rsidRPr="005B72C7">
        <w:rPr>
          <w:rFonts w:ascii="Times New Roman" w:hAnsi="Times New Roman" w:cs="Times New Roman"/>
          <w:sz w:val="28"/>
        </w:rPr>
        <w:t xml:space="preserve"> izveidošana Biroja funkciju un stratēģiskās darbības uzlabošanai. Vienlaikus konceptuālajā ziņojumā minēti nepieciešamie sistēmas ADAMS </w:t>
      </w:r>
      <w:r w:rsidRPr="005B72C7">
        <w:rPr>
          <w:rFonts w:ascii="Times New Roman" w:hAnsi="Times New Roman" w:cs="Times New Roman"/>
          <w:sz w:val="28"/>
          <w:lang w:val="en-US"/>
        </w:rPr>
        <w:t>(</w:t>
      </w:r>
      <w:r w:rsidRPr="005B72C7">
        <w:rPr>
          <w:rFonts w:ascii="Times New Roman" w:hAnsi="Times New Roman" w:cs="Times New Roman"/>
          <w:i/>
          <w:sz w:val="28"/>
          <w:lang w:val="en-US"/>
        </w:rPr>
        <w:t>Anti – Doping Administration and Management system</w:t>
      </w:r>
      <w:r w:rsidRPr="005B72C7">
        <w:rPr>
          <w:rFonts w:ascii="Times New Roman" w:hAnsi="Times New Roman" w:cs="Times New Roman"/>
          <w:i/>
          <w:sz w:val="28"/>
        </w:rPr>
        <w:t>)</w:t>
      </w:r>
      <w:r w:rsidRPr="005B72C7">
        <w:rPr>
          <w:rFonts w:ascii="Times New Roman" w:hAnsi="Times New Roman" w:cs="Times New Roman"/>
          <w:sz w:val="28"/>
        </w:rPr>
        <w:t xml:space="preserve"> uzlabojumi, ko aktualizējis </w:t>
      </w:r>
      <w:r w:rsidR="009843CA">
        <w:rPr>
          <w:rFonts w:ascii="Times New Roman" w:hAnsi="Times New Roman" w:cs="Times New Roman"/>
          <w:sz w:val="28"/>
        </w:rPr>
        <w:t>Birojs</w:t>
      </w:r>
      <w:r w:rsidRPr="005B72C7">
        <w:rPr>
          <w:rFonts w:ascii="Times New Roman" w:hAnsi="Times New Roman" w:cs="Times New Roman"/>
          <w:sz w:val="28"/>
        </w:rPr>
        <w:t xml:space="preserve"> tā sekmīgākai un efektīvākai darbībai. Ziņojumā piedāvāt</w:t>
      </w:r>
      <w:r w:rsidR="00BC5D4A">
        <w:rPr>
          <w:rFonts w:ascii="Times New Roman" w:hAnsi="Times New Roman" w:cs="Times New Roman"/>
          <w:sz w:val="28"/>
        </w:rPr>
        <w:t>s</w:t>
      </w:r>
      <w:r w:rsidRPr="005B72C7">
        <w:rPr>
          <w:rFonts w:ascii="Times New Roman" w:hAnsi="Times New Roman" w:cs="Times New Roman"/>
          <w:sz w:val="28"/>
        </w:rPr>
        <w:t xml:space="preserve"> risinājum</w:t>
      </w:r>
      <w:r w:rsidR="00BC5D4A">
        <w:rPr>
          <w:rFonts w:ascii="Times New Roman" w:hAnsi="Times New Roman" w:cs="Times New Roman"/>
          <w:sz w:val="28"/>
        </w:rPr>
        <w:t>s</w:t>
      </w:r>
      <w:bookmarkStart w:id="3" w:name="_GoBack"/>
      <w:bookmarkEnd w:id="3"/>
      <w:r w:rsidRPr="005B72C7">
        <w:rPr>
          <w:rFonts w:ascii="Times New Roman" w:hAnsi="Times New Roman" w:cs="Times New Roman"/>
          <w:sz w:val="28"/>
        </w:rPr>
        <w:t xml:space="preserve"> identificētajām problēmām un aprēķināts nepieciešamais papildu finansējums no valsts budžeta. </w:t>
      </w:r>
    </w:p>
    <w:p w14:paraId="54537515" w14:textId="77777777" w:rsidR="00FF7E2A" w:rsidRPr="005B72C7" w:rsidRDefault="00FF7E2A" w:rsidP="00FF7E2A">
      <w:pPr>
        <w:ind w:firstLine="720"/>
        <w:jc w:val="both"/>
        <w:rPr>
          <w:rFonts w:ascii="Times New Roman" w:hAnsi="Times New Roman" w:cs="Times New Roman"/>
          <w:sz w:val="28"/>
        </w:rPr>
      </w:pPr>
    </w:p>
    <w:p w14:paraId="20BF7BE6" w14:textId="77777777" w:rsidR="00FF7E2A" w:rsidRPr="005B72C7" w:rsidRDefault="00FF7E2A" w:rsidP="00FF7E2A">
      <w:pPr>
        <w:ind w:firstLine="720"/>
        <w:jc w:val="both"/>
        <w:rPr>
          <w:rFonts w:ascii="Times New Roman" w:hAnsi="Times New Roman" w:cs="Times New Roman"/>
          <w:sz w:val="28"/>
        </w:rPr>
      </w:pPr>
    </w:p>
    <w:p w14:paraId="6D00F527" w14:textId="77777777"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sz w:val="28"/>
        </w:rPr>
        <w:tab/>
        <w:t xml:space="preserve"> </w:t>
      </w:r>
    </w:p>
    <w:p w14:paraId="58C9C7C3" w14:textId="77777777" w:rsidR="00FF7E2A" w:rsidRPr="005B72C7" w:rsidRDefault="00FF7E2A" w:rsidP="00FF7E2A">
      <w:pPr>
        <w:rPr>
          <w:rFonts w:ascii="Times New Roman" w:hAnsi="Times New Roman" w:cs="Times New Roman"/>
          <w:sz w:val="28"/>
        </w:rPr>
      </w:pPr>
      <w:r w:rsidRPr="005B72C7">
        <w:rPr>
          <w:rFonts w:ascii="Times New Roman" w:hAnsi="Times New Roman" w:cs="Times New Roman"/>
          <w:sz w:val="28"/>
        </w:rPr>
        <w:br w:type="page"/>
      </w:r>
    </w:p>
    <w:p w14:paraId="50016193" w14:textId="7DDDD6D1" w:rsidR="00FF7E2A" w:rsidRPr="005B72C7" w:rsidRDefault="00FF7E2A" w:rsidP="00E10679">
      <w:pPr>
        <w:pStyle w:val="Heading1"/>
      </w:pPr>
      <w:bookmarkStart w:id="4" w:name="_Toc10126847"/>
      <w:r w:rsidRPr="005B72C7">
        <w:lastRenderedPageBreak/>
        <w:t>I E</w:t>
      </w:r>
      <w:r w:rsidR="005B72C7" w:rsidRPr="005B72C7">
        <w:t>sošās situācijas raksturojums</w:t>
      </w:r>
      <w:bookmarkEnd w:id="4"/>
    </w:p>
    <w:p w14:paraId="60092728" w14:textId="6B3F1E3C" w:rsidR="00FF7E2A" w:rsidRPr="005B72C7" w:rsidRDefault="00FF7E2A" w:rsidP="00E10679">
      <w:pPr>
        <w:pStyle w:val="Heading2"/>
      </w:pPr>
      <w:bookmarkStart w:id="5" w:name="_Toc10126848"/>
      <w:r w:rsidRPr="005B72C7">
        <w:t>1.1. Veiktās izmaiņas antidopinga jomā Latvijā.</w:t>
      </w:r>
      <w:bookmarkEnd w:id="5"/>
    </w:p>
    <w:p w14:paraId="5A3012CE" w14:textId="134B671D"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Iepriekš Latvijas normatīvie akti, kas regulēja nacionālo antidopinga sistēmu Latvijā un tajā ietverto institūciju vietu valsts pārvaldes sistēmā un darbību, neatbilda Pasaules Antidopinga kodeksa prasībām (turpmāk – Kodekss). Starptautiskās konvencijās minēto prasību izpilde un dopinga kontroļu organizēšana tika deleģēta Veselības ministrijas padotības iestādei Valsts sporta medicīnas centram (turpmāk – VSMC). VSMC Antidopinga nodaļai dopinga kontroļu veikšana bija jāsaskaņo ar Antidopinga komiteju, tai skaitā, atbilstoši valsts pārvaldes sistēmai, Antidopinga nodaļa atradās tiešā Valsts sporta medicīnas centra</w:t>
      </w:r>
      <w:r w:rsidR="00C461D8">
        <w:rPr>
          <w:rFonts w:ascii="Times New Roman" w:hAnsi="Times New Roman" w:cs="Times New Roman"/>
          <w:sz w:val="28"/>
        </w:rPr>
        <w:t xml:space="preserve"> pakļautībā</w:t>
      </w:r>
      <w:r w:rsidRPr="005B72C7">
        <w:rPr>
          <w:rFonts w:ascii="Times New Roman" w:hAnsi="Times New Roman" w:cs="Times New Roman"/>
          <w:sz w:val="28"/>
        </w:rPr>
        <w:t xml:space="preserve"> un savukārt VSMC atradās Veselības ministrijas pakļautībā. Šāda padotības forma nenodrošināja VSMC Antidopinga nodaļas autonomiju. </w:t>
      </w:r>
    </w:p>
    <w:p w14:paraId="014E4A8C" w14:textId="1CB7E51F"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Konceptuālajā ziņojumā tika norādīti riski, ja situācija netiks mainīta (aizliegums piedalīties Olimpiskajās spēlēs, daļēji vai pilnīgi apturēts starptautiskais finansējums dalībvalstu nacionālajām olimpiskajām organizācijām, aizliegums rīkot lielus sporta pasākumus un daudzi citi riski). Veselības ministrijas izstrādātajā konceptuālajā ziņojumā situācijas risināšanai un antidopinga sistēmas institucionālā modeļa atbilstības nodrošināšanai </w:t>
      </w:r>
      <w:r w:rsidR="00796043" w:rsidRPr="005B72C7">
        <w:rPr>
          <w:rFonts w:ascii="Times New Roman" w:hAnsi="Times New Roman" w:cs="Times New Roman"/>
          <w:sz w:val="28"/>
        </w:rPr>
        <w:t xml:space="preserve">tika piedāvāts </w:t>
      </w:r>
      <w:r w:rsidRPr="005B72C7">
        <w:rPr>
          <w:rFonts w:ascii="Times New Roman" w:hAnsi="Times New Roman" w:cs="Times New Roman"/>
          <w:sz w:val="28"/>
        </w:rPr>
        <w:t xml:space="preserve">izveidot </w:t>
      </w:r>
      <w:r w:rsidR="009843CA">
        <w:rPr>
          <w:rFonts w:ascii="Times New Roman" w:hAnsi="Times New Roman" w:cs="Times New Roman"/>
          <w:sz w:val="28"/>
        </w:rPr>
        <w:t>Biroju</w:t>
      </w:r>
      <w:r w:rsidRPr="005B72C7">
        <w:rPr>
          <w:rFonts w:ascii="Times New Roman" w:hAnsi="Times New Roman" w:cs="Times New Roman"/>
          <w:sz w:val="28"/>
        </w:rPr>
        <w:t xml:space="preserve"> kā tiešās pārvaldes iestādi VSMC reorganizācijas rezultātā. Veiktie grozījumi Sporta likumā atrisināja jautājumu par antidopinga struktūras neatkarību, izveidojot </w:t>
      </w:r>
      <w:r w:rsidR="009843CA">
        <w:rPr>
          <w:rFonts w:ascii="Times New Roman" w:hAnsi="Times New Roman" w:cs="Times New Roman"/>
          <w:sz w:val="28"/>
        </w:rPr>
        <w:t>B</w:t>
      </w:r>
      <w:r w:rsidRPr="005B72C7">
        <w:rPr>
          <w:rFonts w:ascii="Times New Roman" w:hAnsi="Times New Roman" w:cs="Times New Roman"/>
          <w:sz w:val="28"/>
        </w:rPr>
        <w:t xml:space="preserve">iroju kā atsevišķu tiešās pārvaldes iestādi veselības ministra pārraudzībā. Izveidojot </w:t>
      </w:r>
      <w:r w:rsidR="009843CA">
        <w:rPr>
          <w:rFonts w:ascii="Times New Roman" w:hAnsi="Times New Roman" w:cs="Times New Roman"/>
          <w:sz w:val="28"/>
        </w:rPr>
        <w:t>B</w:t>
      </w:r>
      <w:r w:rsidRPr="005B72C7">
        <w:rPr>
          <w:rFonts w:ascii="Times New Roman" w:hAnsi="Times New Roman" w:cs="Times New Roman"/>
          <w:sz w:val="28"/>
        </w:rPr>
        <w:t xml:space="preserve">iroju, tika nodrošināta Latvijas antidopinga organizācijas autonomija, kas ir būtisks priekšnoteikums saskaņā ar Kodeksa 22.panta 6.punktu, kas nosaka, ka katra valdība ievēro valsts antidopinga organizācijas autonomiju savā valstī un neiejaucas tās lēmumos un darbības organizēšanā. </w:t>
      </w:r>
    </w:p>
    <w:p w14:paraId="338E8AF1" w14:textId="47C0F9DE"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Vienlaikus </w:t>
      </w:r>
      <w:proofErr w:type="spellStart"/>
      <w:r w:rsidRPr="005B72C7">
        <w:rPr>
          <w:rFonts w:ascii="Times New Roman" w:hAnsi="Times New Roman" w:cs="Times New Roman"/>
          <w:sz w:val="28"/>
        </w:rPr>
        <w:t>jaunizveidotajam</w:t>
      </w:r>
      <w:proofErr w:type="spellEnd"/>
      <w:r w:rsidRPr="005B72C7">
        <w:rPr>
          <w:rFonts w:ascii="Times New Roman" w:hAnsi="Times New Roman" w:cs="Times New Roman"/>
          <w:sz w:val="28"/>
        </w:rPr>
        <w:t xml:space="preserve"> </w:t>
      </w:r>
      <w:r w:rsidR="009843CA">
        <w:rPr>
          <w:rFonts w:ascii="Times New Roman" w:hAnsi="Times New Roman" w:cs="Times New Roman"/>
          <w:sz w:val="28"/>
        </w:rPr>
        <w:t>B</w:t>
      </w:r>
      <w:r w:rsidRPr="005B72C7">
        <w:rPr>
          <w:rFonts w:ascii="Times New Roman" w:hAnsi="Times New Roman" w:cs="Times New Roman"/>
          <w:sz w:val="28"/>
        </w:rPr>
        <w:t>irojam tika izveidota atsevišķa budžeta apakšprogramma. Šāda papildu finansējuma piešķiršana ļāva izpildīt Kodeksa prasību, kas nosaka, ka antidopinga institūcijai jānodrošina pietiekami finanšu resursi, lai visās jomās īstenotu Kodeksam un starptautiskajiem standartiem atbilstošas antidopinga programmas.</w:t>
      </w:r>
    </w:p>
    <w:p w14:paraId="7E750E39"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Izveidotais antidopinga jomas attīstības modelis noteica veikt izmaiņas normatīvajā regulējumā, lai nodrošinātu Latvijas antidopinga organizācijas juridisko statusu un darbinieku atlīdzības apmēru atbilstoši darba specifikai. Lai ieviestu konceptuālajā ziņojumā paredzētās izmaiņas attiecībā uz antidopinga jomu Latvijā, tika veikti grozījumi vairākos normatīvajos aktos. Atbilstoši </w:t>
      </w:r>
      <w:r w:rsidRPr="005B72C7">
        <w:rPr>
          <w:rFonts w:ascii="Times New Roman" w:hAnsi="Times New Roman" w:cs="Times New Roman"/>
          <w:sz w:val="28"/>
        </w:rPr>
        <w:lastRenderedPageBreak/>
        <w:t xml:space="preserve">2018.gada 26.jūnija Ministru kabineta noteikumiem Nr.377 “Latvijas Antidopinga biroja nolikums” tika noteiktas Biroja funkcijas, uzdevumi, tiesības un tā darbības organizācija. </w:t>
      </w:r>
    </w:p>
    <w:p w14:paraId="6BAFA1C5"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Konstatēto Kodeksa nepilnību novēršanai, attiecībā uz neatkarīgu Disciplināro antidopinga komisiju un Terapeitiskās lietošanas izņēmumu komisiju, 2018.gada 24.jūlija tika apstiprināti Ministru kabineta </w:t>
      </w:r>
      <w:r w:rsidRPr="005B72C7">
        <w:rPr>
          <w:rFonts w:ascii="Times New Roman" w:hAnsi="Times New Roman" w:cs="Times New Roman"/>
          <w:bCs/>
          <w:sz w:val="28"/>
        </w:rPr>
        <w:t>noteikumi Nr.440</w:t>
      </w:r>
      <w:r w:rsidRPr="005B72C7">
        <w:rPr>
          <w:rFonts w:ascii="Times New Roman" w:hAnsi="Times New Roman" w:cs="Times New Roman"/>
          <w:sz w:val="28"/>
        </w:rPr>
        <w:t xml:space="preserve"> “</w:t>
      </w:r>
      <w:r w:rsidRPr="005B72C7">
        <w:rPr>
          <w:rFonts w:ascii="Times New Roman" w:hAnsi="Times New Roman" w:cs="Times New Roman"/>
          <w:sz w:val="28"/>
          <w:lang w:val="lv"/>
        </w:rPr>
        <w:t xml:space="preserve">Disciplinārās antidopinga komisijas un Terapeitiskās lietošanas izņēmumu komisijas izveidošanas kārtība”. </w:t>
      </w:r>
      <w:r w:rsidRPr="005B72C7">
        <w:rPr>
          <w:rFonts w:ascii="Times New Roman" w:hAnsi="Times New Roman" w:cs="Times New Roman"/>
          <w:sz w:val="28"/>
        </w:rPr>
        <w:t xml:space="preserve">Disciplinārā antidopinga komisija izskata iespējamos antidopinga noteikumu pārkāpumus un pieņem par tiem lēmumus, savukārt Terapeitiskās lietošanas izņēmumu komisijas darbība nodrošina atļauju izsniegšanu sportistiem, kuriem nepieciešams lietot medikamentus vai metodes no aizliegto vielu un metožu saraksta, medicīnisku apstākļu dēļ. </w:t>
      </w:r>
    </w:p>
    <w:p w14:paraId="4BDDEAF1"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Attiecīgi 2018.gada 12.decembrī tika apstiprināts Ministru kabineta rīkojums Nr.666 “Par Pārsūdzības komisiju”. Pārsūdzības komisija atbilstoši starptautiskiem antidopinga noteikumiem izskata sportistu sūdzības par Biroja lēmumiem, par Terapeitiskās lietošanas izņēmumu komisijas lēmumiem, tāpat izskata Biroja, sportistu vai sporta darbinieku sūdzības par Disciplinārās antidopinga komisijas lēmumiem. </w:t>
      </w:r>
    </w:p>
    <w:p w14:paraId="1B8AFA71" w14:textId="5C694419" w:rsidR="00FF7E2A" w:rsidRPr="005B72C7" w:rsidRDefault="00FF7E2A" w:rsidP="00E10679">
      <w:pPr>
        <w:pStyle w:val="Heading2"/>
      </w:pPr>
      <w:bookmarkStart w:id="6" w:name="_Toc10126849"/>
      <w:r w:rsidRPr="005B72C7">
        <w:t>1.2.</w:t>
      </w:r>
      <w:r w:rsidRPr="005B72C7">
        <w:tab/>
        <w:t xml:space="preserve">Izmaiņu </w:t>
      </w:r>
      <w:proofErr w:type="spellStart"/>
      <w:r w:rsidRPr="005B72C7">
        <w:t>izvērtējums</w:t>
      </w:r>
      <w:proofErr w:type="spellEnd"/>
      <w:r w:rsidRPr="005B72C7">
        <w:t xml:space="preserve"> – atbilstība starptautiskajām saistībām un situācijai Latvijā</w:t>
      </w:r>
      <w:bookmarkEnd w:id="6"/>
    </w:p>
    <w:p w14:paraId="3DB68131" w14:textId="57F8B22B"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b/>
          <w:sz w:val="28"/>
        </w:rPr>
        <w:tab/>
      </w:r>
      <w:r w:rsidRPr="005B72C7">
        <w:rPr>
          <w:rFonts w:ascii="Times New Roman" w:hAnsi="Times New Roman" w:cs="Times New Roman"/>
          <w:sz w:val="28"/>
        </w:rPr>
        <w:t xml:space="preserve">Ņemot vērā finansējuma palielinājumu antidopinga jomai Latvijā, </w:t>
      </w:r>
      <w:r w:rsidRPr="005B72C7">
        <w:rPr>
          <w:rFonts w:ascii="Times New Roman" w:hAnsi="Times New Roman" w:cs="Times New Roman"/>
          <w:b/>
          <w:sz w:val="28"/>
        </w:rPr>
        <w:t>izveidotas atsevišķas dopinga kontroļu paraugu savākšanas personāla amata vietas</w:t>
      </w:r>
      <w:r w:rsidRPr="005B72C7">
        <w:rPr>
          <w:rFonts w:ascii="Times New Roman" w:hAnsi="Times New Roman" w:cs="Times New Roman"/>
          <w:sz w:val="28"/>
        </w:rPr>
        <w:t xml:space="preserve">, kā arī </w:t>
      </w:r>
      <w:r w:rsidRPr="005B72C7">
        <w:rPr>
          <w:rFonts w:ascii="Times New Roman" w:hAnsi="Times New Roman" w:cs="Times New Roman"/>
          <w:b/>
          <w:sz w:val="28"/>
        </w:rPr>
        <w:t>palielināts finansējuma apjoms</w:t>
      </w:r>
      <w:r w:rsidRPr="005B72C7">
        <w:rPr>
          <w:rFonts w:ascii="Times New Roman" w:hAnsi="Times New Roman" w:cs="Times New Roman"/>
          <w:sz w:val="28"/>
        </w:rPr>
        <w:t xml:space="preserve"> Pasaules antidopinga akreditētās laboratorijas pakalpojumiem. Atbilstoši tam, Birojs spēj nodrošināt atbilstību Kodeksa prasībām (tehniskajam dokumentam par specifiskajām analīzēm sportā), veicot ne mazāk kā 1000 dopinga kontroles (analīzes) gadā. </w:t>
      </w:r>
    </w:p>
    <w:p w14:paraId="1D86FADC" w14:textId="77777777"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sz w:val="28"/>
        </w:rPr>
        <w:tab/>
        <w:t xml:space="preserve">Atbilstoši Pasaules Antidopinga aģentūras Pārbaužu un izmeklējumu starptautiskā standartā noteiktajam (turpmāk – Standarts), Birojs ir </w:t>
      </w:r>
      <w:r w:rsidRPr="005B72C7">
        <w:rPr>
          <w:rFonts w:ascii="Times New Roman" w:hAnsi="Times New Roman" w:cs="Times New Roman"/>
          <w:b/>
          <w:sz w:val="28"/>
        </w:rPr>
        <w:t>izveidojis paraugu uzglabāšanas sistēmu atkārtotu analīžu veikšanai</w:t>
      </w:r>
      <w:r w:rsidRPr="005B72C7">
        <w:rPr>
          <w:rFonts w:ascii="Times New Roman" w:hAnsi="Times New Roman" w:cs="Times New Roman"/>
          <w:sz w:val="28"/>
        </w:rPr>
        <w:t xml:space="preserve">, kas ļauj atklāt antidopinga noteikumu pārkāpumus nākotnē, izmantojot precīzāku paraugu analizēšanas metodiku. Saskaņā ar Standartā noteikto, Birojs ir izstrādājis iekšēju dokumentu, kas apraksta kā rīkoties ar informāciju, kuru sniegusi trešā persona par iespējamu antidopinga noteikumu pārkāpumu. Atbilstoši Standartam, Birojs ir izstrādājis dopinga kontrolieru mācību plānu, kurā ietilpst sākotnējās mācības, tālākizglītība, dopinga kontrolieru uzraudzība un darba vērtēšana dopinga kontroles procesā sacensību laikā. Vienlaikus Birojs ir uzsācis sportista pases </w:t>
      </w:r>
      <w:r w:rsidRPr="005B72C7">
        <w:rPr>
          <w:rFonts w:ascii="Times New Roman" w:hAnsi="Times New Roman" w:cs="Times New Roman"/>
          <w:sz w:val="28"/>
        </w:rPr>
        <w:lastRenderedPageBreak/>
        <w:t>vadības vienību (</w:t>
      </w:r>
      <w:r w:rsidRPr="005B72C7">
        <w:rPr>
          <w:rFonts w:ascii="Times New Roman" w:hAnsi="Times New Roman" w:cs="Times New Roman"/>
          <w:i/>
          <w:sz w:val="28"/>
          <w:lang w:val="en-GB"/>
        </w:rPr>
        <w:t>Athlete Passport Management Units, APMU)</w:t>
      </w:r>
      <w:r w:rsidRPr="005B72C7">
        <w:rPr>
          <w:rFonts w:ascii="Times New Roman" w:hAnsi="Times New Roman" w:cs="Times New Roman"/>
          <w:sz w:val="28"/>
        </w:rPr>
        <w:t xml:space="preserve"> </w:t>
      </w:r>
      <w:proofErr w:type="spellStart"/>
      <w:r w:rsidRPr="005B72C7">
        <w:rPr>
          <w:rFonts w:ascii="Times New Roman" w:hAnsi="Times New Roman" w:cs="Times New Roman"/>
          <w:sz w:val="28"/>
        </w:rPr>
        <w:t>hematoloģiskās</w:t>
      </w:r>
      <w:proofErr w:type="spellEnd"/>
      <w:r w:rsidRPr="005B72C7">
        <w:rPr>
          <w:rFonts w:ascii="Times New Roman" w:hAnsi="Times New Roman" w:cs="Times New Roman"/>
          <w:sz w:val="28"/>
        </w:rPr>
        <w:t xml:space="preserve"> un steroīdu pases analīzes.</w:t>
      </w:r>
    </w:p>
    <w:p w14:paraId="5E529D64"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Pasaules Antidopinga aģentūras nacionālās antidopinga sistēmas Kodeksa atbilstības kontroles ietvaros tiek sagatavots korektīvo darbību plāns (turpmāk – Korektīvo darbību plāns) par dalībvalstu veiktajiem pasākumiem antidopinga jomā. Saskaņā ar </w:t>
      </w:r>
      <w:bookmarkStart w:id="7" w:name="_Hlk5093064"/>
      <w:r w:rsidRPr="005B72C7">
        <w:rPr>
          <w:rFonts w:ascii="Times New Roman" w:hAnsi="Times New Roman" w:cs="Times New Roman"/>
          <w:sz w:val="28"/>
        </w:rPr>
        <w:t>Korektīvo darbību plānu</w:t>
      </w:r>
      <w:bookmarkEnd w:id="7"/>
      <w:r w:rsidRPr="005B72C7">
        <w:rPr>
          <w:rFonts w:ascii="Times New Roman" w:hAnsi="Times New Roman" w:cs="Times New Roman"/>
          <w:sz w:val="28"/>
        </w:rPr>
        <w:t xml:space="preserve"> veiktas arī šādas izmaiņas: </w:t>
      </w:r>
    </w:p>
    <w:p w14:paraId="226CEC82" w14:textId="77777777" w:rsidR="00FF7E2A" w:rsidRPr="005B72C7" w:rsidRDefault="00FF7E2A" w:rsidP="00FF7E2A">
      <w:pPr>
        <w:numPr>
          <w:ilvl w:val="0"/>
          <w:numId w:val="2"/>
        </w:numPr>
        <w:tabs>
          <w:tab w:val="left" w:pos="993"/>
        </w:tabs>
        <w:ind w:left="0" w:firstLine="720"/>
        <w:contextualSpacing/>
        <w:jc w:val="both"/>
        <w:rPr>
          <w:rFonts w:ascii="Times New Roman" w:hAnsi="Times New Roman" w:cs="Times New Roman"/>
          <w:sz w:val="28"/>
        </w:rPr>
      </w:pPr>
      <w:r w:rsidRPr="005B72C7">
        <w:rPr>
          <w:rFonts w:ascii="Times New Roman" w:hAnsi="Times New Roman" w:cs="Times New Roman"/>
          <w:sz w:val="28"/>
        </w:rPr>
        <w:t xml:space="preserve">Birojs ir izstrādājis sporta veida riska novērtējumu Latvijā, kas balstās uz saņemto informāciju par to, kuras aizliegtās vielas un/vai metodes var tikt ļaunprātīgi izmantotas attiecīgajos sporta veidos un sporta disciplīnās. </w:t>
      </w:r>
    </w:p>
    <w:p w14:paraId="47B9EF46" w14:textId="77777777" w:rsidR="00FF7E2A" w:rsidRPr="005B72C7" w:rsidRDefault="00FF7E2A" w:rsidP="00FF7E2A">
      <w:pPr>
        <w:numPr>
          <w:ilvl w:val="0"/>
          <w:numId w:val="2"/>
        </w:numPr>
        <w:tabs>
          <w:tab w:val="left" w:pos="993"/>
        </w:tabs>
        <w:ind w:left="0" w:firstLine="720"/>
        <w:contextualSpacing/>
        <w:jc w:val="both"/>
        <w:rPr>
          <w:rFonts w:ascii="Times New Roman" w:hAnsi="Times New Roman" w:cs="Times New Roman"/>
          <w:sz w:val="28"/>
        </w:rPr>
      </w:pPr>
      <w:r w:rsidRPr="005B72C7">
        <w:rPr>
          <w:rFonts w:ascii="Times New Roman" w:hAnsi="Times New Roman" w:cs="Times New Roman"/>
          <w:sz w:val="28"/>
        </w:rPr>
        <w:t xml:space="preserve">Birojs ir izstrādājis starptautiskajām prasībām atbilstošu dopinga kontroļu plānu, kas nodrošina mērķtiecīgas dopinga kontroles un arī pārbaužu sistemātiskumu. </w:t>
      </w:r>
    </w:p>
    <w:p w14:paraId="431D252C" w14:textId="29B429B4" w:rsidR="00FF7E2A" w:rsidRPr="005B72C7" w:rsidRDefault="00FF7E2A" w:rsidP="00FF7E2A">
      <w:pPr>
        <w:numPr>
          <w:ilvl w:val="0"/>
          <w:numId w:val="2"/>
        </w:numPr>
        <w:tabs>
          <w:tab w:val="left" w:pos="993"/>
        </w:tabs>
        <w:ind w:left="0" w:firstLine="720"/>
        <w:contextualSpacing/>
        <w:jc w:val="both"/>
        <w:rPr>
          <w:rFonts w:ascii="Times New Roman" w:hAnsi="Times New Roman" w:cs="Times New Roman"/>
          <w:sz w:val="28"/>
        </w:rPr>
      </w:pPr>
      <w:r w:rsidRPr="005B72C7">
        <w:rPr>
          <w:rFonts w:ascii="Times New Roman" w:hAnsi="Times New Roman" w:cs="Times New Roman"/>
          <w:sz w:val="28"/>
        </w:rPr>
        <w:t xml:space="preserve">Birojs ir izstrādājis Antidopinga izglītības plānu, kas sniedz pārskatu par to, kādi pasākumi veicami, lai izglītotu sportistus, sporta darbiniekus, iesaistītās sporta organizācijas un jebkuru sabiedrības locekli antidopinga jautājumos. </w:t>
      </w:r>
    </w:p>
    <w:p w14:paraId="7FB09CA7" w14:textId="77777777" w:rsidR="00E10679" w:rsidRPr="005B72C7" w:rsidRDefault="00E10679" w:rsidP="00E10679">
      <w:pPr>
        <w:tabs>
          <w:tab w:val="left" w:pos="993"/>
        </w:tabs>
        <w:ind w:left="720"/>
        <w:contextualSpacing/>
        <w:jc w:val="both"/>
        <w:rPr>
          <w:rFonts w:ascii="Times New Roman" w:hAnsi="Times New Roman" w:cs="Times New Roman"/>
          <w:sz w:val="28"/>
        </w:rPr>
      </w:pPr>
    </w:p>
    <w:p w14:paraId="5027F388" w14:textId="3143F3B2" w:rsidR="00FF7E2A" w:rsidRPr="005B72C7" w:rsidRDefault="00FF7E2A" w:rsidP="00E10679">
      <w:pPr>
        <w:pStyle w:val="Heading2"/>
      </w:pPr>
      <w:bookmarkStart w:id="8" w:name="_Toc10126850"/>
      <w:r w:rsidRPr="005B72C7">
        <w:t>1.3.</w:t>
      </w:r>
      <w:r w:rsidRPr="005B72C7">
        <w:tab/>
        <w:t>Izveidotās sistēmas tālākā attīstība un nepieciešamie uzlabojumi</w:t>
      </w:r>
      <w:bookmarkEnd w:id="8"/>
    </w:p>
    <w:p w14:paraId="27B68D7C" w14:textId="5A5760AE" w:rsidR="00FF7E2A" w:rsidRPr="00C461D8" w:rsidRDefault="00FF7E2A" w:rsidP="00E10679">
      <w:pPr>
        <w:pStyle w:val="Heading3"/>
        <w:rPr>
          <w:sz w:val="28"/>
        </w:rPr>
      </w:pPr>
      <w:bookmarkStart w:id="9" w:name="_Toc10126851"/>
      <w:bookmarkStart w:id="10" w:name="_Hlk5096274"/>
      <w:r w:rsidRPr="00C461D8">
        <w:rPr>
          <w:sz w:val="28"/>
        </w:rPr>
        <w:t xml:space="preserve">1.3.1. </w:t>
      </w:r>
      <w:bookmarkStart w:id="11" w:name="_Hlk5268856"/>
      <w:r w:rsidRPr="00C461D8">
        <w:rPr>
          <w:sz w:val="28"/>
        </w:rPr>
        <w:t xml:space="preserve">Nepieciešamie uzlabojumi, kas noteikti </w:t>
      </w:r>
      <w:bookmarkStart w:id="12" w:name="_Hlk6300760"/>
      <w:r w:rsidRPr="00C461D8">
        <w:rPr>
          <w:sz w:val="28"/>
        </w:rPr>
        <w:t>Eiropas Padomes Antidopinga konvencijas novērtējuma vizītes ziņojum</w:t>
      </w:r>
      <w:bookmarkEnd w:id="11"/>
      <w:bookmarkEnd w:id="12"/>
      <w:r w:rsidR="00D01FBA">
        <w:rPr>
          <w:sz w:val="28"/>
        </w:rPr>
        <w:t>ā</w:t>
      </w:r>
      <w:bookmarkEnd w:id="9"/>
    </w:p>
    <w:p w14:paraId="25F73537" w14:textId="77777777" w:rsidR="00C461D8" w:rsidRPr="00C461D8" w:rsidRDefault="00C461D8" w:rsidP="00C461D8"/>
    <w:p w14:paraId="215EA929" w14:textId="31941BF9"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2018.gada decembrī Latvijā notika </w:t>
      </w:r>
      <w:bookmarkStart w:id="13" w:name="_Hlk5268813"/>
      <w:r w:rsidRPr="005B72C7">
        <w:rPr>
          <w:rFonts w:ascii="Times New Roman" w:hAnsi="Times New Roman" w:cs="Times New Roman"/>
          <w:sz w:val="28"/>
        </w:rPr>
        <w:t>Eiropas Padomes Antidopinga konvencijas novērtējuma vizīte</w:t>
      </w:r>
      <w:bookmarkEnd w:id="13"/>
      <w:r w:rsidRPr="005B72C7">
        <w:rPr>
          <w:rFonts w:ascii="Times New Roman" w:hAnsi="Times New Roman" w:cs="Times New Roman"/>
          <w:sz w:val="28"/>
        </w:rPr>
        <w:t xml:space="preserve">, tajā tika pieaicināti eksperti, tostarp no Pasaules Antidopinga aģentūras. Eksperti iepazinās ar </w:t>
      </w:r>
      <w:proofErr w:type="spellStart"/>
      <w:r w:rsidRPr="005B72C7">
        <w:rPr>
          <w:rFonts w:ascii="Times New Roman" w:hAnsi="Times New Roman" w:cs="Times New Roman"/>
          <w:sz w:val="28"/>
        </w:rPr>
        <w:t>jaunizveidoto</w:t>
      </w:r>
      <w:proofErr w:type="spellEnd"/>
      <w:r w:rsidRPr="005B72C7">
        <w:rPr>
          <w:rFonts w:ascii="Times New Roman" w:hAnsi="Times New Roman" w:cs="Times New Roman"/>
          <w:sz w:val="28"/>
        </w:rPr>
        <w:t xml:space="preserve"> antidopinga sistēmu Latvijā. Pēc sanāksmes eksperti sniedza rekomendācijas Latvijas atbildīgajām institūcijām par uzlabojumiem, kas nepieciešami efektīvākai antidopinga jomas regulēšanai un tās atbilstībai Kodeksa prasībām. </w:t>
      </w:r>
    </w:p>
    <w:p w14:paraId="478C5EF0" w14:textId="052EBD24"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Ziņojum</w:t>
      </w:r>
      <w:r w:rsidR="00D01FBA">
        <w:rPr>
          <w:rFonts w:ascii="Times New Roman" w:hAnsi="Times New Roman" w:cs="Times New Roman"/>
          <w:sz w:val="28"/>
        </w:rPr>
        <w:t xml:space="preserve">ā </w:t>
      </w:r>
      <w:r w:rsidRPr="005B72C7">
        <w:rPr>
          <w:rFonts w:ascii="Times New Roman" w:hAnsi="Times New Roman" w:cs="Times New Roman"/>
          <w:sz w:val="28"/>
        </w:rPr>
        <w:t>norādītas un akcentētas šādas rekomendācijas un nepieciešamie uzlabojumi:</w:t>
      </w:r>
    </w:p>
    <w:p w14:paraId="6F22FD3E"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1) </w:t>
      </w:r>
      <w:bookmarkStart w:id="14" w:name="_Hlk5710334"/>
      <w:r w:rsidRPr="005B72C7">
        <w:rPr>
          <w:rFonts w:ascii="Times New Roman" w:hAnsi="Times New Roman" w:cs="Times New Roman"/>
          <w:sz w:val="28"/>
        </w:rPr>
        <w:t>Neatkarīgas konsultatīvās komisijas izveides nepieciešamība. Eksperti iesaka izvērtēt iespēju izveidot konsultatīvo komisiju, kas konsultētu Biroju stratēģiskos jautājumos.</w:t>
      </w:r>
      <w:bookmarkEnd w:id="14"/>
    </w:p>
    <w:p w14:paraId="2C5A2E7B"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2) Informācijas apmaiņas uzlabošanai, nepieciešams pilnveidot sadarbību starp Latvijas Sporta federāciju padomi, Latvijas Olimpisko komiteju un Biroju attiecībā par sacensību grafikiem, sportistu un sporta personu datu un citas noderīgas ar antidopingu saistītas informācijas apmaiņu. </w:t>
      </w:r>
    </w:p>
    <w:p w14:paraId="1AB6015F" w14:textId="367EF212"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lastRenderedPageBreak/>
        <w:t xml:space="preserve">3) Nepieciešams pilnveidot izglītības programmu un izglītojošo aktivitāšu īstenošanas plānu, t.sk. ieviešot kvalitātes kontroles kritērijus, nodrošinot uz vērtībām balstītus mērķtiecīgas izglītošanas pasākumus (informatīvās kampaņas sportā iesaistītajām personām, sabiedrībai un ar dopinga kontroli saistīto sektoru personālam). </w:t>
      </w:r>
      <w:bookmarkEnd w:id="10"/>
    </w:p>
    <w:p w14:paraId="535F6770" w14:textId="17C14B43" w:rsidR="00FF7E2A" w:rsidRPr="00C461D8" w:rsidRDefault="00FF7E2A" w:rsidP="00E10679">
      <w:pPr>
        <w:pStyle w:val="Heading3"/>
        <w:rPr>
          <w:sz w:val="28"/>
        </w:rPr>
      </w:pPr>
      <w:bookmarkStart w:id="15" w:name="_Toc10126852"/>
      <w:r w:rsidRPr="00C461D8">
        <w:rPr>
          <w:sz w:val="28"/>
        </w:rPr>
        <w:t>1.3.2. Nepieciešamie uzlabojumi, kas noteikti Korektīvajā darbību plānā</w:t>
      </w:r>
      <w:bookmarkEnd w:id="15"/>
      <w:r w:rsidRPr="00C461D8">
        <w:rPr>
          <w:sz w:val="28"/>
        </w:rPr>
        <w:t xml:space="preserve"> </w:t>
      </w:r>
    </w:p>
    <w:p w14:paraId="6D70F95E" w14:textId="77777777" w:rsidR="00C461D8" w:rsidRPr="00C461D8" w:rsidRDefault="00C461D8" w:rsidP="00C461D8"/>
    <w:p w14:paraId="0E1009EF" w14:textId="77777777"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Lai nodrošinātu pilnīgu korektīvo darbību plāna izpildi, kas apstiprina Biroja īstenoto funkciju atbilstību starptautiskajām saistībām, Pasaules Antidopinga aģentūra norāda, ka nepieciešams veikt uzlabojumus izstrādātajai antidopinga izglītības programmai (nepieciešams paredzēt atbilstošu finansējumu saskaņā ar aktualizēto izglītības aktivitāšu īstenošanas plānu). </w:t>
      </w:r>
    </w:p>
    <w:p w14:paraId="1859CBED" w14:textId="221B758C" w:rsidR="00FF7E2A" w:rsidRPr="00C461D8" w:rsidRDefault="00FF7E2A" w:rsidP="00E10679">
      <w:pPr>
        <w:pStyle w:val="Heading3"/>
        <w:rPr>
          <w:sz w:val="28"/>
        </w:rPr>
      </w:pPr>
      <w:bookmarkStart w:id="16" w:name="_Toc10126853"/>
      <w:r w:rsidRPr="00C461D8">
        <w:rPr>
          <w:sz w:val="28"/>
        </w:rPr>
        <w:t>1.3.3. Citi nepieciešamie uzlabojumi</w:t>
      </w:r>
      <w:bookmarkEnd w:id="16"/>
    </w:p>
    <w:p w14:paraId="12795301" w14:textId="77777777" w:rsidR="00C461D8" w:rsidRPr="00C461D8" w:rsidRDefault="00C461D8" w:rsidP="00C461D8"/>
    <w:p w14:paraId="47F0FC1E" w14:textId="77777777"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b/>
          <w:sz w:val="28"/>
        </w:rPr>
        <w:tab/>
      </w:r>
      <w:r w:rsidRPr="005B72C7">
        <w:rPr>
          <w:rFonts w:ascii="Times New Roman" w:hAnsi="Times New Roman" w:cs="Times New Roman"/>
          <w:sz w:val="28"/>
        </w:rPr>
        <w:t>Ar Pasaules Antidopinga aģentūras izstrādāto ADAMS (</w:t>
      </w:r>
      <w:r w:rsidRPr="005B72C7">
        <w:rPr>
          <w:rFonts w:ascii="Times New Roman" w:hAnsi="Times New Roman" w:cs="Times New Roman"/>
          <w:i/>
          <w:iCs/>
          <w:sz w:val="28"/>
          <w:lang w:val="en-US"/>
        </w:rPr>
        <w:t>Anti-Doping Administration and Management System</w:t>
      </w:r>
      <w:r w:rsidRPr="005B72C7">
        <w:rPr>
          <w:rFonts w:ascii="Times New Roman" w:hAnsi="Times New Roman" w:cs="Times New Roman"/>
          <w:sz w:val="28"/>
        </w:rPr>
        <w:t>) jaunāko atjaunojumu plānoto ieviešanu 2019.gada 3.ceturksnī, tiks uzlabota un automatizēta virkne funkciju – sportistu atrašanās vietas informācija, pārbaužu plānošanas, bioloģisko pasu, terapeitiskās lietošanas atļauju un laboratorijas rezultātu moduļi, kā arī elektronisko dopinga kontroļu anketu sistēma (</w:t>
      </w:r>
      <w:proofErr w:type="spellStart"/>
      <w:r w:rsidRPr="005B72C7">
        <w:rPr>
          <w:rFonts w:ascii="Times New Roman" w:hAnsi="Times New Roman" w:cs="Times New Roman"/>
          <w:i/>
          <w:iCs/>
          <w:sz w:val="28"/>
        </w:rPr>
        <w:t>Paperless</w:t>
      </w:r>
      <w:proofErr w:type="spellEnd"/>
      <w:r w:rsidRPr="005B72C7">
        <w:rPr>
          <w:rFonts w:ascii="Times New Roman" w:hAnsi="Times New Roman" w:cs="Times New Roman"/>
          <w:sz w:val="28"/>
        </w:rPr>
        <w:t xml:space="preserve">). Ieviešot elektronisko dopinga kontroļu sistēmu tiks automatizēta datu ievade ADAMS, paraugu savākšanas paziņošana, elektroniskā parakstīšana un integrēta sportistu atrašanās vietas informācija. Šāda sistēma novērsīs kļūdu pieļaušanas risku aizpildot dopinga kontroles veidlapas, gan sacensību, gan ārpus sacensību dopinga kontrolēs, kas var ietekmēt dopinga kontroļu rezultātu </w:t>
      </w:r>
      <w:proofErr w:type="spellStart"/>
      <w:r w:rsidRPr="005B72C7">
        <w:rPr>
          <w:rFonts w:ascii="Times New Roman" w:hAnsi="Times New Roman" w:cs="Times New Roman"/>
          <w:sz w:val="28"/>
        </w:rPr>
        <w:t>attiecināmību</w:t>
      </w:r>
      <w:proofErr w:type="spellEnd"/>
      <w:r w:rsidRPr="005B72C7">
        <w:rPr>
          <w:rFonts w:ascii="Times New Roman" w:hAnsi="Times New Roman" w:cs="Times New Roman"/>
          <w:sz w:val="28"/>
        </w:rPr>
        <w:t xml:space="preserve"> uz konkrēto dopinga kontroles procesu. </w:t>
      </w:r>
      <w:bookmarkStart w:id="17" w:name="_Hlk5710147"/>
      <w:r w:rsidRPr="005B72C7">
        <w:rPr>
          <w:rFonts w:ascii="Times New Roman" w:hAnsi="Times New Roman" w:cs="Times New Roman"/>
          <w:sz w:val="28"/>
        </w:rPr>
        <w:t xml:space="preserve">Šādas sistēmas nodrošināšanai nepieciešama atbilstošu mobilo iekārtu, operētājsistēmu iegāde un pastāvīga tīkla </w:t>
      </w:r>
      <w:proofErr w:type="spellStart"/>
      <w:r w:rsidRPr="005B72C7">
        <w:rPr>
          <w:rFonts w:ascii="Times New Roman" w:hAnsi="Times New Roman" w:cs="Times New Roman"/>
          <w:sz w:val="28"/>
        </w:rPr>
        <w:t>pieslēguma</w:t>
      </w:r>
      <w:proofErr w:type="spellEnd"/>
      <w:r w:rsidRPr="005B72C7">
        <w:rPr>
          <w:rFonts w:ascii="Times New Roman" w:hAnsi="Times New Roman" w:cs="Times New Roman"/>
          <w:sz w:val="28"/>
        </w:rPr>
        <w:t xml:space="preserve"> nodrošināšana dopinga kontroļu plānošanas un savākšanas laikā.</w:t>
      </w:r>
      <w:bookmarkEnd w:id="17"/>
    </w:p>
    <w:p w14:paraId="0304ED82" w14:textId="77777777" w:rsidR="00FF7E2A" w:rsidRPr="005B72C7" w:rsidRDefault="00FF7E2A" w:rsidP="00FF7E2A">
      <w:pPr>
        <w:jc w:val="both"/>
        <w:rPr>
          <w:rFonts w:ascii="Times New Roman" w:hAnsi="Times New Roman" w:cs="Times New Roman"/>
          <w:sz w:val="28"/>
        </w:rPr>
      </w:pPr>
    </w:p>
    <w:p w14:paraId="6F184933" w14:textId="5476FB91" w:rsidR="00FF7E2A" w:rsidRPr="005B72C7" w:rsidRDefault="00FF7E2A" w:rsidP="005B72C7">
      <w:pPr>
        <w:pStyle w:val="Heading2"/>
      </w:pPr>
      <w:bookmarkStart w:id="18" w:name="_Toc10126854"/>
      <w:r w:rsidRPr="005B72C7">
        <w:t>1.4.</w:t>
      </w:r>
      <w:r w:rsidR="005B72C7" w:rsidRPr="005B72C7">
        <w:t xml:space="preserve"> </w:t>
      </w:r>
      <w:proofErr w:type="spellStart"/>
      <w:r w:rsidRPr="005B72C7">
        <w:t>Jaunieviestā</w:t>
      </w:r>
      <w:proofErr w:type="spellEnd"/>
      <w:r w:rsidRPr="005B72C7">
        <w:t xml:space="preserve"> antidopinga uzraudzības mehānisma funkcionalitāte un priekšrocības.</w:t>
      </w:r>
      <w:bookmarkEnd w:id="18"/>
    </w:p>
    <w:p w14:paraId="11BD137B" w14:textId="77777777"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b/>
          <w:sz w:val="28"/>
        </w:rPr>
        <w:tab/>
      </w:r>
      <w:r w:rsidRPr="005B72C7">
        <w:rPr>
          <w:rFonts w:ascii="Times New Roman" w:hAnsi="Times New Roman" w:cs="Times New Roman"/>
          <w:sz w:val="28"/>
        </w:rPr>
        <w:t xml:space="preserve">Izveidojot Biroju tika novērstas galvenās Latvijas antidopinga sistēmas nepilnības – nepietiekama antidopinga institucionālā modeļa autonomija un finansiālā neatkarība, kā arī mazināts birokrātiskais slogs. Nacionālās antidopinga sistēmas regulējošo normatīvo aktu grozījumi (Sporta likums) nodrošina Biroja autonomiju, atbilstošu juridisko statusu valsts pārvaldes sistēmā </w:t>
      </w:r>
      <w:r w:rsidRPr="005B72C7">
        <w:rPr>
          <w:rFonts w:ascii="Times New Roman" w:hAnsi="Times New Roman" w:cs="Times New Roman"/>
          <w:sz w:val="28"/>
        </w:rPr>
        <w:lastRenderedPageBreak/>
        <w:t xml:space="preserve">un tiesības nepastarpināti īstenot antidopinga jomas uzdevumus atbilstoši Kodeksā noteiktajiem nacionālās antidopinga organizācijas mērķiem. Papildu finansējums un atsevišķa budžeta programma ļauj nodrošināt efektīvāku un kvalitatīvu Biroja darbu, veicot labas pārvaldības principus. Ņemot vērā palielināto finansējumu, Birojs spēj veikt starptautiskajās prasībās noteikto dopinga analīžu skaitu. </w:t>
      </w:r>
    </w:p>
    <w:p w14:paraId="1DA11A18" w14:textId="593E19E3"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sz w:val="28"/>
        </w:rPr>
        <w:tab/>
        <w:t xml:space="preserve">Izveidojot antidopinga komisijas tika ieviesti vairāki instrumenti, kas papildina antidopinga jomas regulējumu un kas ir saskaņā ar Konvenciju. Ministru kabineta noteikumos ir </w:t>
      </w:r>
      <w:r w:rsidR="00736E87">
        <w:rPr>
          <w:rFonts w:ascii="Times New Roman" w:hAnsi="Times New Roman" w:cs="Times New Roman"/>
          <w:sz w:val="28"/>
        </w:rPr>
        <w:t>noteikta kārtība</w:t>
      </w:r>
      <w:r w:rsidRPr="005B72C7">
        <w:rPr>
          <w:rFonts w:ascii="Times New Roman" w:hAnsi="Times New Roman" w:cs="Times New Roman"/>
          <w:sz w:val="28"/>
        </w:rPr>
        <w:t xml:space="preserve"> Disciplinārās antidopinga komisijas, Terapeitiskās lietošanas izņēmumu komisijas</w:t>
      </w:r>
      <w:r w:rsidRPr="005B72C7">
        <w:rPr>
          <w:rFonts w:ascii="Times New Roman" w:hAnsi="Times New Roman" w:cs="Times New Roman"/>
          <w:sz w:val="28"/>
          <w:vertAlign w:val="superscript"/>
        </w:rPr>
        <w:footnoteReference w:id="1"/>
      </w:r>
      <w:r w:rsidRPr="005B72C7">
        <w:rPr>
          <w:rFonts w:ascii="Times New Roman" w:hAnsi="Times New Roman" w:cs="Times New Roman"/>
          <w:sz w:val="28"/>
        </w:rPr>
        <w:t xml:space="preserve"> un Pārsūdzības komisijas </w:t>
      </w:r>
      <w:r w:rsidR="00991570">
        <w:rPr>
          <w:rFonts w:ascii="Times New Roman" w:hAnsi="Times New Roman" w:cs="Times New Roman"/>
          <w:sz w:val="28"/>
        </w:rPr>
        <w:t>izveidei</w:t>
      </w:r>
      <w:r w:rsidRPr="005B72C7">
        <w:rPr>
          <w:rFonts w:ascii="Times New Roman" w:hAnsi="Times New Roman" w:cs="Times New Roman"/>
          <w:sz w:val="28"/>
          <w:vertAlign w:val="superscript"/>
        </w:rPr>
        <w:footnoteReference w:id="2"/>
      </w:r>
      <w:r w:rsidRPr="005B72C7">
        <w:rPr>
          <w:rFonts w:ascii="Times New Roman" w:hAnsi="Times New Roman" w:cs="Times New Roman"/>
          <w:sz w:val="28"/>
        </w:rPr>
        <w:t xml:space="preserve">. </w:t>
      </w:r>
    </w:p>
    <w:p w14:paraId="79C87E5A" w14:textId="54A72926" w:rsidR="00FF7E2A" w:rsidRDefault="00FF7E2A" w:rsidP="00FF7E2A">
      <w:pPr>
        <w:jc w:val="both"/>
        <w:rPr>
          <w:rFonts w:ascii="Times New Roman" w:hAnsi="Times New Roman" w:cs="Times New Roman"/>
          <w:sz w:val="28"/>
        </w:rPr>
      </w:pPr>
      <w:r w:rsidRPr="005B72C7">
        <w:rPr>
          <w:rFonts w:ascii="Times New Roman" w:hAnsi="Times New Roman" w:cs="Times New Roman"/>
          <w:sz w:val="28"/>
        </w:rPr>
        <w:tab/>
        <w:t>Atbilstoši Eiropas Padomes Antidopinga konvencijas novērtējuma vizītes ziņojum</w:t>
      </w:r>
      <w:r w:rsidR="00D01FBA">
        <w:rPr>
          <w:rFonts w:ascii="Times New Roman" w:hAnsi="Times New Roman" w:cs="Times New Roman"/>
          <w:sz w:val="28"/>
        </w:rPr>
        <w:t>am</w:t>
      </w:r>
      <w:r w:rsidRPr="005B72C7">
        <w:rPr>
          <w:rFonts w:ascii="Times New Roman" w:hAnsi="Times New Roman" w:cs="Times New Roman"/>
          <w:sz w:val="28"/>
        </w:rPr>
        <w:t>, jau šobrīd Latvij</w:t>
      </w:r>
      <w:r w:rsidR="00991570">
        <w:rPr>
          <w:rFonts w:ascii="Times New Roman" w:hAnsi="Times New Roman" w:cs="Times New Roman"/>
          <w:sz w:val="28"/>
        </w:rPr>
        <w:t>ā</w:t>
      </w:r>
      <w:r w:rsidRPr="005B72C7">
        <w:rPr>
          <w:rFonts w:ascii="Times New Roman" w:hAnsi="Times New Roman" w:cs="Times New Roman"/>
          <w:sz w:val="28"/>
        </w:rPr>
        <w:t xml:space="preserve"> antidopinga jomā tiek izpildītas prasības, kas noteiktas Kodeksā. Ir izveidojusies sadarbība starp Biroju un vietējām sporta organizācijām (Latvijas Sporta Federācijas padome, Latvijas Olimpiskā komiteja), kas nodrošina informācijas apmaiņu dopinga jautājumos, tomēr starptautiskie Eiropas padomes eksperti atzīmē, ka šai sadarbībai ir jābūt ciešākai un jānodrošina efektīvāka un tiesiska informācijas apmaiņa. Tāpat eksperti atzīmē, ka šobrīd Latvijai nav savas Pasaules Antidopinga aģentūras akreditētas laboratorijas, bet tas netraucē dopinga kontroļu veikšanai, jo ir izveidota sadarbība ar Drēzdenes laboratoriju, kas atbilst Konvencijai un darbojas efektīvi. Vienlaikus ekspertu ziņojum</w:t>
      </w:r>
      <w:r w:rsidR="00D01FBA">
        <w:rPr>
          <w:rFonts w:ascii="Times New Roman" w:hAnsi="Times New Roman" w:cs="Times New Roman"/>
          <w:sz w:val="28"/>
        </w:rPr>
        <w:t xml:space="preserve">ā </w:t>
      </w:r>
      <w:r w:rsidRPr="005B72C7">
        <w:rPr>
          <w:rFonts w:ascii="Times New Roman" w:hAnsi="Times New Roman" w:cs="Times New Roman"/>
          <w:sz w:val="28"/>
        </w:rPr>
        <w:t>norādīts, ka šobrīd jau tiek nodrošināti pasākumi antidopinga izglītošanas jomā, tomēr nepieciešami uzlabojumi gan izveidotajām antidopinga programmām, gan sabiedrības informēšanai</w:t>
      </w:r>
      <w:r w:rsidR="00D01FBA">
        <w:rPr>
          <w:rFonts w:ascii="Times New Roman" w:hAnsi="Times New Roman" w:cs="Times New Roman"/>
          <w:sz w:val="28"/>
        </w:rPr>
        <w:t>, paredzot tam arī atbilstošu finansējumu.</w:t>
      </w:r>
    </w:p>
    <w:p w14:paraId="6B3F5BEB" w14:textId="77777777" w:rsidR="00C461D8" w:rsidRPr="005B72C7" w:rsidRDefault="00C461D8" w:rsidP="00FF7E2A">
      <w:pPr>
        <w:jc w:val="both"/>
        <w:rPr>
          <w:rFonts w:ascii="Times New Roman" w:hAnsi="Times New Roman" w:cs="Times New Roman"/>
          <w:sz w:val="28"/>
        </w:rPr>
      </w:pPr>
    </w:p>
    <w:p w14:paraId="1BA43F3B" w14:textId="273E89A9" w:rsidR="00FF7E2A" w:rsidRPr="005B72C7" w:rsidRDefault="00796043" w:rsidP="00796043">
      <w:pPr>
        <w:pStyle w:val="Heading2"/>
      </w:pPr>
      <w:bookmarkStart w:id="19" w:name="_Toc10126855"/>
      <w:r>
        <w:t xml:space="preserve">1.5. </w:t>
      </w:r>
      <w:proofErr w:type="spellStart"/>
      <w:r w:rsidR="00FF7E2A" w:rsidRPr="005B72C7">
        <w:t>Jaunieviestā</w:t>
      </w:r>
      <w:proofErr w:type="spellEnd"/>
      <w:r w:rsidR="00FF7E2A" w:rsidRPr="005B72C7">
        <w:t xml:space="preserve"> antidopinga uzraudzības mehānisma trūkumi</w:t>
      </w:r>
      <w:bookmarkEnd w:id="19"/>
    </w:p>
    <w:p w14:paraId="071A69B8" w14:textId="28DFFD6D" w:rsidR="00FF7E2A" w:rsidRPr="005B72C7" w:rsidRDefault="00FF7E2A" w:rsidP="00FF7E2A">
      <w:pPr>
        <w:jc w:val="both"/>
        <w:rPr>
          <w:rFonts w:ascii="Times New Roman" w:hAnsi="Times New Roman" w:cs="Times New Roman"/>
          <w:sz w:val="28"/>
        </w:rPr>
      </w:pPr>
      <w:r w:rsidRPr="005B72C7">
        <w:rPr>
          <w:rFonts w:ascii="Times New Roman" w:hAnsi="Times New Roman" w:cs="Times New Roman"/>
          <w:b/>
          <w:sz w:val="28"/>
        </w:rPr>
        <w:tab/>
      </w:r>
      <w:r w:rsidRPr="005B72C7">
        <w:rPr>
          <w:rFonts w:ascii="Times New Roman" w:hAnsi="Times New Roman" w:cs="Times New Roman"/>
          <w:sz w:val="28"/>
        </w:rPr>
        <w:t>Izvērtējot esošo situāciju un ekspertu ziņojum</w:t>
      </w:r>
      <w:r w:rsidR="00D01FBA">
        <w:rPr>
          <w:rFonts w:ascii="Times New Roman" w:hAnsi="Times New Roman" w:cs="Times New Roman"/>
          <w:sz w:val="28"/>
        </w:rPr>
        <w:t>u</w:t>
      </w:r>
      <w:r w:rsidRPr="005B72C7">
        <w:rPr>
          <w:rFonts w:ascii="Times New Roman" w:hAnsi="Times New Roman" w:cs="Times New Roman"/>
          <w:sz w:val="28"/>
        </w:rPr>
        <w:t xml:space="preserve">, konstatēti šādi trūkumi un nepieciešami uzlabojumi: </w:t>
      </w:r>
    </w:p>
    <w:p w14:paraId="1B565C90" w14:textId="77777777" w:rsidR="00FF7E2A" w:rsidRPr="005B72C7" w:rsidRDefault="00FF7E2A" w:rsidP="00FF7E2A">
      <w:pPr>
        <w:numPr>
          <w:ilvl w:val="0"/>
          <w:numId w:val="18"/>
        </w:numPr>
        <w:ind w:firstLine="360"/>
        <w:contextualSpacing/>
        <w:jc w:val="both"/>
        <w:rPr>
          <w:rFonts w:ascii="Times New Roman" w:hAnsi="Times New Roman" w:cs="Times New Roman"/>
          <w:sz w:val="28"/>
        </w:rPr>
      </w:pPr>
      <w:r w:rsidRPr="005B72C7">
        <w:rPr>
          <w:rFonts w:ascii="Times New Roman" w:hAnsi="Times New Roman" w:cs="Times New Roman"/>
          <w:sz w:val="28"/>
        </w:rPr>
        <w:t xml:space="preserve">Nepilnīga normatīvā regulējuma bāze antidopinga jomā ir būtisks trūkums efektīvai un pārdomātai Biroja darbībai, tāpēc ir nepieciešams pēc iespējas ātrāk izstrādāt Kodeksam atbilstošus Nacionālos antidopinga noteikumus. </w:t>
      </w:r>
    </w:p>
    <w:p w14:paraId="5B29B3F0" w14:textId="77777777" w:rsidR="00FF7E2A" w:rsidRPr="005B72C7" w:rsidRDefault="00FF7E2A" w:rsidP="00FF7E2A">
      <w:pPr>
        <w:numPr>
          <w:ilvl w:val="0"/>
          <w:numId w:val="18"/>
        </w:numPr>
        <w:ind w:firstLine="360"/>
        <w:contextualSpacing/>
        <w:jc w:val="both"/>
        <w:rPr>
          <w:rFonts w:ascii="Times New Roman" w:hAnsi="Times New Roman" w:cs="Times New Roman"/>
          <w:sz w:val="28"/>
        </w:rPr>
      </w:pPr>
      <w:r w:rsidRPr="005B72C7">
        <w:rPr>
          <w:rFonts w:ascii="Times New Roman" w:hAnsi="Times New Roman" w:cs="Times New Roman"/>
          <w:sz w:val="28"/>
        </w:rPr>
        <w:t xml:space="preserve">Ir jāpilnveido antidopinga izglītības programmu darbība, lai izpildītu starptautiskajās prasībās noteikto un sasniegtu pēc iespējas plašāku informētību sabiedrībā un īpaši sportistu, treneru un citu sporta darbinieku vidū. </w:t>
      </w:r>
    </w:p>
    <w:p w14:paraId="69E8DDCB" w14:textId="77777777" w:rsidR="00FF7E2A" w:rsidRPr="005B72C7" w:rsidRDefault="00FF7E2A" w:rsidP="00FF7E2A">
      <w:pPr>
        <w:numPr>
          <w:ilvl w:val="0"/>
          <w:numId w:val="18"/>
        </w:numPr>
        <w:ind w:firstLine="360"/>
        <w:contextualSpacing/>
        <w:jc w:val="both"/>
        <w:rPr>
          <w:rFonts w:ascii="Times New Roman" w:hAnsi="Times New Roman" w:cs="Times New Roman"/>
          <w:sz w:val="28"/>
        </w:rPr>
      </w:pPr>
      <w:r w:rsidRPr="005B72C7">
        <w:rPr>
          <w:rFonts w:ascii="Times New Roman" w:hAnsi="Times New Roman" w:cs="Times New Roman"/>
          <w:sz w:val="28"/>
        </w:rPr>
        <w:t>Šobrīd nav izveidota konsultatīvā komisija, kas varētu sniegt atbalstu Birojam stratēģiskajos jautājumos. Šādas komisijas izveide varētu veicināt Biroja darbības efektivitāti.</w:t>
      </w:r>
    </w:p>
    <w:p w14:paraId="2591AC42" w14:textId="50BEE90F" w:rsidR="00FF7E2A" w:rsidRPr="005B72C7" w:rsidRDefault="00FF7E2A" w:rsidP="00E10679">
      <w:pPr>
        <w:pStyle w:val="Heading2"/>
      </w:pPr>
      <w:bookmarkStart w:id="20" w:name="_Toc10126856"/>
      <w:r w:rsidRPr="005B72C7">
        <w:t>1.</w:t>
      </w:r>
      <w:r w:rsidR="00796043">
        <w:t>6</w:t>
      </w:r>
      <w:r w:rsidRPr="005B72C7">
        <w:t>. Nacionālā antidopinga regulējuma noteikšana ārējos normatīvajos aktos</w:t>
      </w:r>
      <w:bookmarkEnd w:id="20"/>
    </w:p>
    <w:p w14:paraId="608A2EF3" w14:textId="0FE15072"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 xml:space="preserve">2018.gada 24.maija Saeimā pieņemtajā likumā “Grozījumi Sporta likumā” noteikts izstrādāt vairākus normatīvos aktus antidopinga jomas pilnveidošanai Latvijā. Atbilstoši Ministru kabinetam noteikts ne vēlāk kā līdz 2019.gada 30.jūnijam izdot: </w:t>
      </w:r>
    </w:p>
    <w:p w14:paraId="30380B5A" w14:textId="77777777" w:rsidR="00FF7E2A" w:rsidRPr="005B72C7" w:rsidRDefault="00FF7E2A" w:rsidP="00FF7E2A">
      <w:pPr>
        <w:numPr>
          <w:ilvl w:val="0"/>
          <w:numId w:val="17"/>
        </w:numPr>
        <w:contextualSpacing/>
        <w:jc w:val="both"/>
        <w:rPr>
          <w:rFonts w:ascii="Times New Roman" w:hAnsi="Times New Roman" w:cs="Times New Roman"/>
          <w:sz w:val="28"/>
        </w:rPr>
      </w:pPr>
      <w:r w:rsidRPr="005B72C7">
        <w:rPr>
          <w:rFonts w:ascii="Times New Roman" w:hAnsi="Times New Roman" w:cs="Times New Roman"/>
          <w:sz w:val="28"/>
        </w:rPr>
        <w:t>Nacionālos antidopinga noteikumus;</w:t>
      </w:r>
    </w:p>
    <w:p w14:paraId="711844D3" w14:textId="77777777" w:rsidR="00FF7E2A" w:rsidRPr="005B72C7" w:rsidRDefault="00FF7E2A" w:rsidP="00FF7E2A">
      <w:pPr>
        <w:numPr>
          <w:ilvl w:val="0"/>
          <w:numId w:val="17"/>
        </w:numPr>
        <w:contextualSpacing/>
        <w:jc w:val="both"/>
        <w:rPr>
          <w:rFonts w:ascii="Times New Roman" w:hAnsi="Times New Roman" w:cs="Times New Roman"/>
          <w:sz w:val="28"/>
        </w:rPr>
      </w:pPr>
      <w:r w:rsidRPr="005B72C7">
        <w:rPr>
          <w:rFonts w:ascii="Times New Roman" w:hAnsi="Times New Roman" w:cs="Times New Roman"/>
          <w:sz w:val="28"/>
        </w:rPr>
        <w:t xml:space="preserve">Noteikumus par kārtību un termiņiem, kādos Latvijas Antidopinga birojs vēršas Disciplinārajā antidopinga komisijā, un kārtību un termiņu, kādos Disciplinārā antidopinga komisija izskata iespējamos antidopinga noteikumu pārkāpumus un pieņem par tiem lēmumus; </w:t>
      </w:r>
    </w:p>
    <w:p w14:paraId="4B153748" w14:textId="77777777" w:rsidR="00FF7E2A" w:rsidRPr="005B72C7" w:rsidRDefault="00FF7E2A" w:rsidP="00FF7E2A">
      <w:pPr>
        <w:numPr>
          <w:ilvl w:val="0"/>
          <w:numId w:val="17"/>
        </w:numPr>
        <w:contextualSpacing/>
        <w:jc w:val="both"/>
        <w:rPr>
          <w:rFonts w:ascii="Times New Roman" w:hAnsi="Times New Roman" w:cs="Times New Roman"/>
          <w:sz w:val="28"/>
        </w:rPr>
      </w:pPr>
      <w:r w:rsidRPr="005B72C7">
        <w:rPr>
          <w:rFonts w:ascii="Times New Roman" w:hAnsi="Times New Roman" w:cs="Times New Roman"/>
          <w:sz w:val="28"/>
        </w:rPr>
        <w:t xml:space="preserve">Noteikumus par kārtību un termiņiem, kādos sportists iesniedz terapeitiskās lietošanas izņēmumu pieteikumu anketu, kā arī kārtību un termiņiem, kādos Terapeitiskās lietošanas izņēmumu komisija pieņem lēmumu par terapeitiskās lietošanas izņēmumiem. </w:t>
      </w:r>
    </w:p>
    <w:p w14:paraId="14B6FB37" w14:textId="4F0A26B2" w:rsidR="00570EDB" w:rsidRDefault="00FF7E2A" w:rsidP="0035439B">
      <w:pPr>
        <w:ind w:firstLine="720"/>
        <w:jc w:val="both"/>
        <w:rPr>
          <w:rFonts w:ascii="Times New Roman" w:hAnsi="Times New Roman" w:cs="Times New Roman"/>
          <w:sz w:val="28"/>
        </w:rPr>
      </w:pPr>
      <w:r w:rsidRPr="005B72C7">
        <w:rPr>
          <w:rFonts w:ascii="Times New Roman" w:hAnsi="Times New Roman" w:cs="Times New Roman"/>
          <w:sz w:val="28"/>
        </w:rPr>
        <w:t>Ievērojot minēto, šobrīd norit darbs pie Nacionālo antidopinga noteikumu izstrādes. Atbilstoši Sporta likuma 11.</w:t>
      </w:r>
      <w:r w:rsidRPr="005B72C7">
        <w:rPr>
          <w:rFonts w:ascii="Times New Roman" w:hAnsi="Times New Roman" w:cs="Times New Roman"/>
          <w:sz w:val="28"/>
          <w:vertAlign w:val="superscript"/>
        </w:rPr>
        <w:t>3</w:t>
      </w:r>
      <w:r w:rsidR="00991570">
        <w:rPr>
          <w:rFonts w:ascii="Times New Roman" w:hAnsi="Times New Roman" w:cs="Times New Roman"/>
          <w:sz w:val="28"/>
        </w:rPr>
        <w:t xml:space="preserve"> </w:t>
      </w:r>
      <w:r w:rsidRPr="005B72C7">
        <w:rPr>
          <w:rFonts w:ascii="Times New Roman" w:hAnsi="Times New Roman" w:cs="Times New Roman"/>
          <w:sz w:val="28"/>
        </w:rPr>
        <w:t>panta sest</w:t>
      </w:r>
      <w:r w:rsidR="00796043">
        <w:rPr>
          <w:rFonts w:ascii="Times New Roman" w:hAnsi="Times New Roman" w:cs="Times New Roman"/>
          <w:sz w:val="28"/>
        </w:rPr>
        <w:t>ajai</w:t>
      </w:r>
      <w:r w:rsidRPr="005B72C7">
        <w:rPr>
          <w:rFonts w:ascii="Times New Roman" w:hAnsi="Times New Roman" w:cs="Times New Roman"/>
          <w:sz w:val="28"/>
        </w:rPr>
        <w:t xml:space="preserve"> daļa</w:t>
      </w:r>
      <w:r w:rsidR="00796043">
        <w:rPr>
          <w:rFonts w:ascii="Times New Roman" w:hAnsi="Times New Roman" w:cs="Times New Roman"/>
          <w:sz w:val="28"/>
        </w:rPr>
        <w:t>i</w:t>
      </w:r>
      <w:r w:rsidRPr="005B72C7">
        <w:rPr>
          <w:rFonts w:ascii="Times New Roman" w:hAnsi="Times New Roman" w:cs="Times New Roman"/>
          <w:sz w:val="28"/>
        </w:rPr>
        <w:t xml:space="preserve"> un 11.</w:t>
      </w:r>
      <w:r w:rsidRPr="005B72C7">
        <w:rPr>
          <w:rFonts w:ascii="Times New Roman" w:hAnsi="Times New Roman" w:cs="Times New Roman"/>
          <w:sz w:val="28"/>
          <w:vertAlign w:val="superscript"/>
        </w:rPr>
        <w:t>4</w:t>
      </w:r>
      <w:r w:rsidRPr="005B72C7">
        <w:rPr>
          <w:rFonts w:ascii="Times New Roman" w:hAnsi="Times New Roman" w:cs="Times New Roman"/>
          <w:sz w:val="28"/>
        </w:rPr>
        <w:t xml:space="preserve"> panta sest</w:t>
      </w:r>
      <w:r w:rsidR="00796043">
        <w:rPr>
          <w:rFonts w:ascii="Times New Roman" w:hAnsi="Times New Roman" w:cs="Times New Roman"/>
          <w:sz w:val="28"/>
        </w:rPr>
        <w:t>ajai</w:t>
      </w:r>
      <w:r w:rsidRPr="005B72C7">
        <w:rPr>
          <w:rFonts w:ascii="Times New Roman" w:hAnsi="Times New Roman" w:cs="Times New Roman"/>
          <w:sz w:val="28"/>
        </w:rPr>
        <w:t xml:space="preserve"> daļa</w:t>
      </w:r>
      <w:r w:rsidR="00796043">
        <w:rPr>
          <w:rFonts w:ascii="Times New Roman" w:hAnsi="Times New Roman" w:cs="Times New Roman"/>
          <w:sz w:val="28"/>
        </w:rPr>
        <w:t>i</w:t>
      </w:r>
      <w:r w:rsidRPr="005B72C7">
        <w:rPr>
          <w:rFonts w:ascii="Times New Roman" w:hAnsi="Times New Roman" w:cs="Times New Roman"/>
          <w:sz w:val="28"/>
        </w:rPr>
        <w:t xml:space="preserve"> ir jānosaka arī kārtība un termiņi attiecībā </w:t>
      </w:r>
      <w:r w:rsidR="00796043">
        <w:rPr>
          <w:rFonts w:ascii="Times New Roman" w:hAnsi="Times New Roman" w:cs="Times New Roman"/>
          <w:sz w:val="28"/>
        </w:rPr>
        <w:t xml:space="preserve">uz vēršanos par iespējamiem pārkāpumiem </w:t>
      </w:r>
      <w:r w:rsidRPr="005B72C7">
        <w:rPr>
          <w:rFonts w:ascii="Times New Roman" w:hAnsi="Times New Roman" w:cs="Times New Roman"/>
          <w:sz w:val="28"/>
        </w:rPr>
        <w:t>Disciplinār</w:t>
      </w:r>
      <w:r w:rsidR="00796043">
        <w:rPr>
          <w:rFonts w:ascii="Times New Roman" w:hAnsi="Times New Roman" w:cs="Times New Roman"/>
          <w:sz w:val="28"/>
        </w:rPr>
        <w:t>ajā</w:t>
      </w:r>
      <w:r w:rsidRPr="005B72C7">
        <w:rPr>
          <w:rFonts w:ascii="Times New Roman" w:hAnsi="Times New Roman" w:cs="Times New Roman"/>
          <w:sz w:val="28"/>
        </w:rPr>
        <w:t xml:space="preserve"> antidopinga komisij</w:t>
      </w:r>
      <w:r w:rsidR="00796043">
        <w:rPr>
          <w:rFonts w:ascii="Times New Roman" w:hAnsi="Times New Roman" w:cs="Times New Roman"/>
          <w:sz w:val="28"/>
        </w:rPr>
        <w:t>ā</w:t>
      </w:r>
      <w:r w:rsidRPr="005B72C7">
        <w:rPr>
          <w:rFonts w:ascii="Times New Roman" w:hAnsi="Times New Roman" w:cs="Times New Roman"/>
          <w:sz w:val="28"/>
        </w:rPr>
        <w:t xml:space="preserve"> (b. apakšpunkts) un </w:t>
      </w:r>
      <w:r w:rsidR="00796043">
        <w:rPr>
          <w:rFonts w:ascii="Times New Roman" w:hAnsi="Times New Roman" w:cs="Times New Roman"/>
          <w:sz w:val="28"/>
        </w:rPr>
        <w:t xml:space="preserve">kārtība un termiņi par sportista vēršanos </w:t>
      </w:r>
      <w:r w:rsidRPr="005B72C7">
        <w:rPr>
          <w:rFonts w:ascii="Times New Roman" w:hAnsi="Times New Roman" w:cs="Times New Roman"/>
          <w:sz w:val="28"/>
        </w:rPr>
        <w:t>Terapeitisko lietošanas izņēmumu komisij</w:t>
      </w:r>
      <w:r w:rsidR="00796043">
        <w:rPr>
          <w:rFonts w:ascii="Times New Roman" w:hAnsi="Times New Roman" w:cs="Times New Roman"/>
          <w:sz w:val="28"/>
        </w:rPr>
        <w:t>ā</w:t>
      </w:r>
      <w:r w:rsidRPr="005B72C7">
        <w:rPr>
          <w:rFonts w:ascii="Times New Roman" w:hAnsi="Times New Roman" w:cs="Times New Roman"/>
          <w:sz w:val="28"/>
        </w:rPr>
        <w:t xml:space="preserve"> (c. apakšpunkts). Ņemot vērā plānoto noteikumu specifiku antidopinga jomā, tiks izstrādāti Nacionālie antidopinga noteikumi, kuros tiks iekļauts arī noteikumi par kārtību un termiņiem attiecībā uz Disciplināro antidopinga komisiju un Terapeitisko</w:t>
      </w:r>
      <w:r w:rsidR="00796043">
        <w:rPr>
          <w:rFonts w:ascii="Times New Roman" w:hAnsi="Times New Roman" w:cs="Times New Roman"/>
          <w:sz w:val="28"/>
        </w:rPr>
        <w:t xml:space="preserve"> </w:t>
      </w:r>
      <w:r w:rsidRPr="005B72C7">
        <w:rPr>
          <w:rFonts w:ascii="Times New Roman" w:hAnsi="Times New Roman" w:cs="Times New Roman"/>
          <w:sz w:val="28"/>
        </w:rPr>
        <w:t>lietošanas izņēmumu komisiju.</w:t>
      </w:r>
    </w:p>
    <w:p w14:paraId="5FAA91CD" w14:textId="23E1F00D" w:rsidR="0054043A" w:rsidRDefault="00D01FBA" w:rsidP="0054043A">
      <w:pPr>
        <w:spacing w:after="0"/>
        <w:ind w:firstLine="720"/>
        <w:jc w:val="both"/>
        <w:rPr>
          <w:rFonts w:ascii="Times New Roman" w:hAnsi="Times New Roman" w:cs="Times New Roman"/>
          <w:sz w:val="28"/>
        </w:rPr>
      </w:pPr>
      <w:r>
        <w:rPr>
          <w:rFonts w:ascii="Times New Roman" w:hAnsi="Times New Roman" w:cs="Times New Roman"/>
          <w:sz w:val="28"/>
        </w:rPr>
        <w:t xml:space="preserve">Attiecībā par periodu, kamēr nav izstrādāti Nacionālie antidopinga noteikumi, </w:t>
      </w:r>
      <w:r w:rsidR="0054043A" w:rsidRPr="0054043A">
        <w:rPr>
          <w:rFonts w:ascii="Times New Roman" w:hAnsi="Times New Roman" w:cs="Times New Roman"/>
          <w:sz w:val="28"/>
        </w:rPr>
        <w:t>Sporta likuma Pārejas noteikumu 12.punktā ietvertā frāze "piemēro Pasaules Antidopinga kodeksā noteiktos principus" jāskata kontekstā ar Pasaules Antidopinga kodeksā definēto Pasaules Antidopinga programmu jeb tās elementiem, kas nodrošina optimālu saskaņotību un labāko praksi starp starptautiskajām un nacionālajām antidopinga sistēmām. Attiecīgi starptautiskas organizācijas respektē nacionāl</w:t>
      </w:r>
      <w:r w:rsidR="00991570">
        <w:rPr>
          <w:rFonts w:ascii="Times New Roman" w:hAnsi="Times New Roman" w:cs="Times New Roman"/>
          <w:sz w:val="28"/>
        </w:rPr>
        <w:t xml:space="preserve">o </w:t>
      </w:r>
      <w:r w:rsidR="0054043A" w:rsidRPr="0054043A">
        <w:rPr>
          <w:rFonts w:ascii="Times New Roman" w:hAnsi="Times New Roman" w:cs="Times New Roman"/>
          <w:sz w:val="28"/>
        </w:rPr>
        <w:t>organizāciju pieņemtos lēmumus un otrādāk, vai arī piemēro detalizētu, Pasaules antidopinga programmā noteiktu lēmumu atzīšanas kārtību, sākot no dopinga kontroļu saskaņošanas līdz lēmumiem terapeitiskā izņēmumu piešķiršanas vai disciplinārajos, pārsūdzības procesos. Pasaules antidopinga programmas elementi ir Pasaules Antidopinga kodekss, Starptautiskie standarti, kā arī labākās prakses paraugi un vadlīnijas.</w:t>
      </w:r>
    </w:p>
    <w:p w14:paraId="55D2CC1A" w14:textId="2656A472" w:rsidR="0054043A" w:rsidRDefault="0054043A" w:rsidP="0054043A">
      <w:pPr>
        <w:spacing w:after="0"/>
        <w:ind w:firstLine="720"/>
        <w:jc w:val="both"/>
        <w:rPr>
          <w:rFonts w:ascii="Times New Roman" w:hAnsi="Times New Roman" w:cs="Times New Roman"/>
          <w:sz w:val="28"/>
        </w:rPr>
      </w:pPr>
      <w:r w:rsidRPr="0054043A">
        <w:rPr>
          <w:rFonts w:ascii="Times New Roman" w:hAnsi="Times New Roman" w:cs="Times New Roman"/>
          <w:sz w:val="28"/>
        </w:rPr>
        <w:t xml:space="preserve">Lai nodrošinātu personu tiesības uz taisnīgu antidopinga noteikumu pārkāpumu lietu izskatīšanu, kā arī lēmumu pārsūdzību, </w:t>
      </w:r>
      <w:r w:rsidR="00991570">
        <w:rPr>
          <w:rFonts w:ascii="Times New Roman" w:hAnsi="Times New Roman" w:cs="Times New Roman"/>
          <w:sz w:val="28"/>
        </w:rPr>
        <w:t>B</w:t>
      </w:r>
      <w:r w:rsidRPr="0054043A">
        <w:rPr>
          <w:rFonts w:ascii="Times New Roman" w:hAnsi="Times New Roman" w:cs="Times New Roman"/>
          <w:sz w:val="28"/>
        </w:rPr>
        <w:t>irojs un attiecīgi Disciplinārā antidopinga komisija vai Pārsūdzības komisija, papildus Pasaules Antidopinga Kodeksa 8. un 13.pantam, piemēro arī Rezultātu pārvaldības, lietu izskatīšanas un lēmumu pieņemšanas vadlīnijas</w:t>
      </w:r>
      <w:r>
        <w:rPr>
          <w:rStyle w:val="FootnoteReference"/>
          <w:rFonts w:ascii="Times New Roman" w:hAnsi="Times New Roman" w:cs="Times New Roman"/>
          <w:sz w:val="28"/>
        </w:rPr>
        <w:footnoteReference w:id="3"/>
      </w:r>
      <w:r>
        <w:rPr>
          <w:rFonts w:ascii="Times New Roman" w:hAnsi="Times New Roman" w:cs="Times New Roman"/>
          <w:sz w:val="28"/>
        </w:rPr>
        <w:t xml:space="preserve">. </w:t>
      </w:r>
      <w:r w:rsidRPr="0054043A">
        <w:rPr>
          <w:rFonts w:ascii="Times New Roman" w:hAnsi="Times New Roman" w:cs="Times New Roman"/>
          <w:sz w:val="28"/>
        </w:rPr>
        <w:t xml:space="preserve">Ņemot vērā, ka vadlīnijas ir Antidopinga programmas elements, tajās norādītās procedūras ir daļa no Pasaules Antidopinga kodeksā noteiktajiem principiem. </w:t>
      </w:r>
      <w:r w:rsidR="00991570">
        <w:rPr>
          <w:rFonts w:ascii="Times New Roman" w:hAnsi="Times New Roman" w:cs="Times New Roman"/>
          <w:sz w:val="28"/>
        </w:rPr>
        <w:t>B</w:t>
      </w:r>
      <w:r w:rsidRPr="0054043A">
        <w:rPr>
          <w:rFonts w:ascii="Times New Roman" w:hAnsi="Times New Roman" w:cs="Times New Roman"/>
          <w:sz w:val="28"/>
        </w:rPr>
        <w:t xml:space="preserve">irojam konstatējot nelabvēlīgus analīžu rezultātus vai citu Pasaules Antidopinga kodeksā noteiktu pārkāpumu, iesaistītās puses, atbilstoši vadlīnijām, tiek detalizēti informētas par tālākajiem procesiem un termiņiem </w:t>
      </w:r>
      <w:r w:rsidR="00991570">
        <w:rPr>
          <w:rFonts w:ascii="Times New Roman" w:hAnsi="Times New Roman" w:cs="Times New Roman"/>
          <w:sz w:val="28"/>
        </w:rPr>
        <w:t>–</w:t>
      </w:r>
      <w:r w:rsidRPr="0054043A">
        <w:rPr>
          <w:rFonts w:ascii="Times New Roman" w:hAnsi="Times New Roman" w:cs="Times New Roman"/>
          <w:sz w:val="28"/>
        </w:rPr>
        <w:t xml:space="preserve"> paskaidrojumu sniegšanas termiņu, noteikumu pārkāpumu lietas izskatīšanas vietu un laiku (pēc paskaidrojumu saņemšanas), kā arī termiņiem, kuros tiek paziņots par lēmumu un termiņiem, kurā rakstāms iesniegums par pārsūdzības pieteikumu (iesaistītās puses tiek detalizēti informētas par to tiesībaizsardzības iespējām). Līdz Nacionālo Antidopinga noteikumu spēkā stāšanās brīdim </w:t>
      </w:r>
      <w:r w:rsidR="00991570">
        <w:rPr>
          <w:rFonts w:ascii="Times New Roman" w:hAnsi="Times New Roman" w:cs="Times New Roman"/>
          <w:sz w:val="28"/>
        </w:rPr>
        <w:t>B</w:t>
      </w:r>
      <w:r w:rsidRPr="0054043A">
        <w:rPr>
          <w:rFonts w:ascii="Times New Roman" w:hAnsi="Times New Roman" w:cs="Times New Roman"/>
          <w:sz w:val="28"/>
        </w:rPr>
        <w:t>irojs noteikumu pārkāpumu lietvedību organizē tā, lai taisnīga lietas izskatīšana un lēmumu pieņemšana notiktu savlaicīgi (</w:t>
      </w:r>
      <w:proofErr w:type="spellStart"/>
      <w:r w:rsidRPr="0054043A">
        <w:rPr>
          <w:rFonts w:ascii="Times New Roman" w:hAnsi="Times New Roman" w:cs="Times New Roman"/>
          <w:i/>
          <w:sz w:val="28"/>
        </w:rPr>
        <w:t>in</w:t>
      </w:r>
      <w:proofErr w:type="spellEnd"/>
      <w:r w:rsidRPr="0054043A">
        <w:rPr>
          <w:rFonts w:ascii="Times New Roman" w:hAnsi="Times New Roman" w:cs="Times New Roman"/>
          <w:i/>
          <w:sz w:val="28"/>
        </w:rPr>
        <w:t xml:space="preserve"> a </w:t>
      </w:r>
      <w:proofErr w:type="spellStart"/>
      <w:r w:rsidRPr="0054043A">
        <w:rPr>
          <w:rFonts w:ascii="Times New Roman" w:hAnsi="Times New Roman" w:cs="Times New Roman"/>
          <w:i/>
          <w:sz w:val="28"/>
        </w:rPr>
        <w:t>timley</w:t>
      </w:r>
      <w:proofErr w:type="spellEnd"/>
      <w:r w:rsidRPr="0054043A">
        <w:rPr>
          <w:rFonts w:ascii="Times New Roman" w:hAnsi="Times New Roman" w:cs="Times New Roman"/>
          <w:i/>
          <w:sz w:val="28"/>
        </w:rPr>
        <w:t xml:space="preserve"> </w:t>
      </w:r>
      <w:proofErr w:type="spellStart"/>
      <w:r w:rsidRPr="0054043A">
        <w:rPr>
          <w:rFonts w:ascii="Times New Roman" w:hAnsi="Times New Roman" w:cs="Times New Roman"/>
          <w:i/>
          <w:sz w:val="28"/>
        </w:rPr>
        <w:t>manner</w:t>
      </w:r>
      <w:proofErr w:type="spellEnd"/>
      <w:r w:rsidRPr="0054043A">
        <w:rPr>
          <w:rFonts w:ascii="Times New Roman" w:hAnsi="Times New Roman" w:cs="Times New Roman"/>
          <w:sz w:val="28"/>
        </w:rPr>
        <w:t>), kas vadlīnijās tiek rekomendētas periodā, kas nepārsniedz sešus mēnešus. Papildus vadlīnijām, pārkāpumu lietvedībā vērā tiek ņemtas arī Eiropas Padomes Monitoringa grupas 2017.gada 20.februāra rekomendācijas</w:t>
      </w:r>
      <w:r>
        <w:rPr>
          <w:rStyle w:val="FootnoteReference"/>
          <w:rFonts w:ascii="Times New Roman" w:hAnsi="Times New Roman" w:cs="Times New Roman"/>
          <w:sz w:val="28"/>
        </w:rPr>
        <w:footnoteReference w:id="4"/>
      </w:r>
      <w:r>
        <w:rPr>
          <w:rFonts w:ascii="Times New Roman" w:hAnsi="Times New Roman" w:cs="Times New Roman"/>
          <w:sz w:val="28"/>
        </w:rPr>
        <w:t>.</w:t>
      </w:r>
      <w:r w:rsidRPr="0054043A">
        <w:rPr>
          <w:rFonts w:ascii="Times New Roman" w:hAnsi="Times New Roman" w:cs="Times New Roman"/>
          <w:sz w:val="28"/>
        </w:rPr>
        <w:t xml:space="preserve"> Gan vadlīnijas, gan Eiropas Padomes rekomendācijas ietver galvenos principus, kas jāievēro šādām komisijām, tai skaitā lietas izskatīšanas procesa pamatus.</w:t>
      </w:r>
    </w:p>
    <w:p w14:paraId="605426ED" w14:textId="1C6761DB" w:rsidR="00C65A62" w:rsidRDefault="00C65A62" w:rsidP="0054043A">
      <w:pPr>
        <w:spacing w:after="0"/>
        <w:ind w:firstLine="720"/>
        <w:jc w:val="both"/>
        <w:rPr>
          <w:rFonts w:ascii="Times New Roman" w:hAnsi="Times New Roman" w:cs="Times New Roman"/>
          <w:sz w:val="28"/>
        </w:rPr>
      </w:pPr>
      <w:r w:rsidRPr="00C65A62">
        <w:rPr>
          <w:rFonts w:ascii="Times New Roman" w:hAnsi="Times New Roman" w:cs="Times New Roman"/>
          <w:sz w:val="28"/>
        </w:rPr>
        <w:t>Pārsūdzības komisijas, Disciplinārās antidopinga komisijas un Terapeitiskās lietošanas komisijas izveide ir noteikta Sporta likuma 11.</w:t>
      </w:r>
      <w:r w:rsidRPr="00CE3AA0">
        <w:rPr>
          <w:rFonts w:ascii="Times New Roman" w:hAnsi="Times New Roman" w:cs="Times New Roman"/>
          <w:sz w:val="28"/>
          <w:vertAlign w:val="superscript"/>
        </w:rPr>
        <w:t>3</w:t>
      </w:r>
      <w:r w:rsidRPr="00C65A62">
        <w:rPr>
          <w:rFonts w:ascii="Times New Roman" w:hAnsi="Times New Roman" w:cs="Times New Roman"/>
          <w:sz w:val="28"/>
        </w:rPr>
        <w:t>,</w:t>
      </w:r>
      <w:r w:rsidR="00991570">
        <w:rPr>
          <w:rFonts w:ascii="Times New Roman" w:hAnsi="Times New Roman" w:cs="Times New Roman"/>
          <w:sz w:val="28"/>
        </w:rPr>
        <w:t xml:space="preserve"> </w:t>
      </w:r>
      <w:r w:rsidRPr="00C65A62">
        <w:rPr>
          <w:rFonts w:ascii="Times New Roman" w:hAnsi="Times New Roman" w:cs="Times New Roman"/>
          <w:sz w:val="28"/>
        </w:rPr>
        <w:t>11.</w:t>
      </w:r>
      <w:r w:rsidRPr="00CE3AA0">
        <w:rPr>
          <w:rFonts w:ascii="Times New Roman" w:hAnsi="Times New Roman" w:cs="Times New Roman"/>
          <w:sz w:val="28"/>
          <w:vertAlign w:val="superscript"/>
        </w:rPr>
        <w:t>4</w:t>
      </w:r>
      <w:r w:rsidRPr="00C65A62">
        <w:rPr>
          <w:rFonts w:ascii="Times New Roman" w:hAnsi="Times New Roman" w:cs="Times New Roman"/>
          <w:sz w:val="28"/>
        </w:rPr>
        <w:t>,</w:t>
      </w:r>
      <w:r w:rsidR="00991570">
        <w:rPr>
          <w:rFonts w:ascii="Times New Roman" w:hAnsi="Times New Roman" w:cs="Times New Roman"/>
          <w:sz w:val="28"/>
        </w:rPr>
        <w:t xml:space="preserve"> </w:t>
      </w:r>
      <w:r w:rsidRPr="00C65A62">
        <w:rPr>
          <w:rFonts w:ascii="Times New Roman" w:hAnsi="Times New Roman" w:cs="Times New Roman"/>
          <w:sz w:val="28"/>
        </w:rPr>
        <w:t>11.</w:t>
      </w:r>
      <w:r w:rsidRPr="00CE3AA0">
        <w:rPr>
          <w:rFonts w:ascii="Times New Roman" w:hAnsi="Times New Roman" w:cs="Times New Roman"/>
          <w:sz w:val="28"/>
          <w:vertAlign w:val="superscript"/>
        </w:rPr>
        <w:t>5</w:t>
      </w:r>
      <w:r w:rsidRPr="00C65A62">
        <w:rPr>
          <w:rFonts w:ascii="Times New Roman" w:hAnsi="Times New Roman" w:cs="Times New Roman"/>
          <w:sz w:val="28"/>
        </w:rPr>
        <w:t xml:space="preserve"> pantos. Savukārt to darbību reglamentē iekšējie normatīvie akti (nolikumi), ko apstiprina iestādes vadītājs vai komisijas priekšsēdētājs, un kas nav saistoši trešajām pusēm. Lai nodrošinātu augstāk minēto komisiju tiesiskāku darbību, nepieciešams Ministru kabineta noteikumos noteikt komisiju lēmumu pieņemšanas kārtību. Attiecīgi nosakot šīs normas Ministru kabineta noteikumos (Nacionālie antidopinga noteikumi), tiktu uzlabota lēmumu pieņemšanas kārtība un noteikumi būtu saistoši visām iesaistītajām pusēm.</w:t>
      </w:r>
    </w:p>
    <w:p w14:paraId="3CDDD8DE" w14:textId="73002ECE" w:rsidR="00C01AFB" w:rsidRDefault="00C01AFB" w:rsidP="0054043A">
      <w:pPr>
        <w:ind w:firstLine="720"/>
        <w:jc w:val="both"/>
        <w:rPr>
          <w:rStyle w:val="Heading1Char"/>
        </w:rPr>
      </w:pPr>
    </w:p>
    <w:p w14:paraId="1AEDF1EF" w14:textId="4623CDDF" w:rsidR="00FF7E2A" w:rsidRPr="00C01AFB" w:rsidRDefault="00FF7E2A" w:rsidP="00C01AFB">
      <w:pPr>
        <w:ind w:firstLine="720"/>
        <w:jc w:val="center"/>
        <w:rPr>
          <w:rFonts w:ascii="Times New Roman" w:hAnsi="Times New Roman" w:cs="Times New Roman"/>
          <w:sz w:val="28"/>
        </w:rPr>
      </w:pPr>
      <w:bookmarkStart w:id="21" w:name="_Toc10126857"/>
      <w:r w:rsidRPr="00C01AFB">
        <w:rPr>
          <w:rStyle w:val="Heading1Char"/>
        </w:rPr>
        <w:t>II Piedāvāt</w:t>
      </w:r>
      <w:r w:rsidR="008232F4">
        <w:rPr>
          <w:rStyle w:val="Heading1Char"/>
        </w:rPr>
        <w:t>ais</w:t>
      </w:r>
      <w:r w:rsidRPr="00C01AFB">
        <w:rPr>
          <w:rStyle w:val="Heading1Char"/>
        </w:rPr>
        <w:t xml:space="preserve"> risinājum</w:t>
      </w:r>
      <w:r w:rsidR="008232F4">
        <w:rPr>
          <w:rStyle w:val="Heading1Char"/>
        </w:rPr>
        <w:t>s</w:t>
      </w:r>
      <w:bookmarkEnd w:id="21"/>
    </w:p>
    <w:p w14:paraId="35671127" w14:textId="77777777" w:rsidR="00FF7E2A" w:rsidRPr="005B72C7" w:rsidRDefault="00FF7E2A" w:rsidP="00FF7E2A">
      <w:pPr>
        <w:numPr>
          <w:ilvl w:val="0"/>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Oficiālas sadarbības nodrošināšanai starp Biroju un Latvijas Sporta federāciju padomi, kā arī starp Biroju un Latvijas Olimpisko komiteju, nepieciešams slēgt sadarbības līgumus starp iesaistītajām pusēm, lai organizētu ar dopinga jautājumiem saistītās informācijas apmaiņu. </w:t>
      </w:r>
    </w:p>
    <w:p w14:paraId="4E09C8E7" w14:textId="77777777" w:rsidR="00FF7E2A" w:rsidRPr="005B72C7" w:rsidRDefault="00FF7E2A" w:rsidP="00FF7E2A">
      <w:pPr>
        <w:numPr>
          <w:ilvl w:val="0"/>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Neatkarīgas konsultatīvās komisijas izveide risinātu jautājumu par nacionālo antidopinga stratēģisko attīstību, sniegtu priekšlikumus par antidopinga jautājumiem un nepieciešamajiem uzlabojumiem. Paredzēts, ka šādu komisiju nepieciešams izveidot un apstiprināt Birojam, piesaistot tajā kompetentās iestādes antidopinga jautājumu regulēšanai. </w:t>
      </w:r>
    </w:p>
    <w:p w14:paraId="686D278C" w14:textId="7F6CF3FB" w:rsidR="00FF7E2A" w:rsidRPr="005B72C7" w:rsidRDefault="00FF7E2A" w:rsidP="00FF7E2A">
      <w:pPr>
        <w:numPr>
          <w:ilvl w:val="0"/>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Antidopinga izglītības programmu nepilnību novēršana ir būtisks uzdevums, lai nodrošinātu sabiedrības un iesaistīto mērķauditoriju (sportistu, sporta darbinieku, </w:t>
      </w:r>
      <w:r w:rsidR="00BD5FB8">
        <w:rPr>
          <w:rFonts w:ascii="Times New Roman" w:hAnsi="Times New Roman" w:cs="Times New Roman"/>
          <w:sz w:val="28"/>
        </w:rPr>
        <w:t xml:space="preserve">sporta speciālistu </w:t>
      </w:r>
      <w:r w:rsidRPr="005B72C7">
        <w:rPr>
          <w:rFonts w:ascii="Times New Roman" w:hAnsi="Times New Roman" w:cs="Times New Roman"/>
          <w:sz w:val="28"/>
        </w:rPr>
        <w:t xml:space="preserve">u.c. iesaistīto pušu) informētību un zināšanas antidopinga jomā. Nepieciešams pilnveidot un novērst atklātās nepilnības saistībā ar izglītības plānu, kuras minētas gan </w:t>
      </w:r>
      <w:r w:rsidR="0035439B">
        <w:rPr>
          <w:rFonts w:ascii="Times New Roman" w:hAnsi="Times New Roman" w:cs="Times New Roman"/>
          <w:sz w:val="28"/>
        </w:rPr>
        <w:t>ekspertu</w:t>
      </w:r>
      <w:r w:rsidRPr="005B72C7">
        <w:rPr>
          <w:rFonts w:ascii="Times New Roman" w:hAnsi="Times New Roman" w:cs="Times New Roman"/>
          <w:sz w:val="28"/>
        </w:rPr>
        <w:t xml:space="preserve"> ziņojum</w:t>
      </w:r>
      <w:r w:rsidR="00D01FBA">
        <w:rPr>
          <w:rFonts w:ascii="Times New Roman" w:hAnsi="Times New Roman" w:cs="Times New Roman"/>
          <w:sz w:val="28"/>
        </w:rPr>
        <w:t>ā</w:t>
      </w:r>
      <w:r w:rsidRPr="005B72C7">
        <w:rPr>
          <w:rFonts w:ascii="Times New Roman" w:hAnsi="Times New Roman" w:cs="Times New Roman"/>
          <w:sz w:val="28"/>
        </w:rPr>
        <w:t xml:space="preserve">, gan arī Pasaules Antidopinga aģentūras korektīvo rīcību plānā. </w:t>
      </w:r>
    </w:p>
    <w:p w14:paraId="3E9319B3" w14:textId="5A62922F" w:rsidR="00FF7E2A" w:rsidRPr="005B72C7" w:rsidRDefault="00FF7E2A" w:rsidP="00FF7E2A">
      <w:pPr>
        <w:numPr>
          <w:ilvl w:val="1"/>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Izglītības plānam ir </w:t>
      </w:r>
      <w:r w:rsidR="00BD5FB8">
        <w:rPr>
          <w:rFonts w:ascii="Times New Roman" w:hAnsi="Times New Roman" w:cs="Times New Roman"/>
          <w:sz w:val="28"/>
        </w:rPr>
        <w:t>jāparedz</w:t>
      </w:r>
      <w:r w:rsidRPr="005B72C7">
        <w:rPr>
          <w:rFonts w:ascii="Times New Roman" w:hAnsi="Times New Roman" w:cs="Times New Roman"/>
          <w:sz w:val="28"/>
        </w:rPr>
        <w:t xml:space="preserve"> skaidra kontroles un vērtēšanas kārtība. Ievērojot šos nosacījumus, tiks nodrošināta izglītības plāna sistemātiska virzība nākotnē, kā arī tas nodrošinātu nemainīgu izglītojošo aktivitāšu kvalitāti un regularitāti. </w:t>
      </w:r>
    </w:p>
    <w:p w14:paraId="2C4DBAD3" w14:textId="77777777" w:rsidR="00FF7E2A" w:rsidRPr="005B72C7" w:rsidRDefault="00FF7E2A" w:rsidP="00FF7E2A">
      <w:pPr>
        <w:numPr>
          <w:ilvl w:val="1"/>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Šobrīd izveidotais Biroja izglītības plāns ir jāpilnveido, lai tajā būtu iekļautas visas mērķauditorijas ar tām noteiktām prioritātēm nākamajiem trim gadiem. Vienlaikus jāiekļauj izglītības plānā iestādes, kurām būtu papildu jāiesaistās izglītojošo programmu īstenošanas atbalstā un jāparedz nepieciešamie resursi programmas izpildei. </w:t>
      </w:r>
    </w:p>
    <w:p w14:paraId="3D04FF7A" w14:textId="51D7EF84" w:rsidR="00FF7E2A" w:rsidRPr="005B72C7" w:rsidRDefault="00FF7E2A" w:rsidP="00FF7E2A">
      <w:pPr>
        <w:numPr>
          <w:ilvl w:val="1"/>
          <w:numId w:val="10"/>
        </w:numPr>
        <w:contextualSpacing/>
        <w:jc w:val="both"/>
        <w:rPr>
          <w:rFonts w:ascii="Times New Roman" w:hAnsi="Times New Roman" w:cs="Times New Roman"/>
          <w:sz w:val="28"/>
        </w:rPr>
      </w:pPr>
      <w:r w:rsidRPr="005B72C7">
        <w:rPr>
          <w:rFonts w:ascii="Times New Roman" w:hAnsi="Times New Roman" w:cs="Times New Roman"/>
          <w:sz w:val="28"/>
        </w:rPr>
        <w:t>Sabiedrības informēšanai un pozitīvas attieksmes veidošanai par tīru, un “patiesu” sportu un godīgu rīcību, nepieciešams veidot sociālas kampaņas, lai efektīvi informētu un izglītotu sabiedrību, kā arī mainītu attieksmi par dopinga vielu nekaitīgumu. Lai īstenotu šādas kampaņas</w:t>
      </w:r>
      <w:r w:rsidR="00607C1D">
        <w:rPr>
          <w:rFonts w:ascii="Times New Roman" w:hAnsi="Times New Roman" w:cs="Times New Roman"/>
          <w:sz w:val="28"/>
        </w:rPr>
        <w:t>,</w:t>
      </w:r>
      <w:r w:rsidRPr="005B72C7">
        <w:rPr>
          <w:rFonts w:ascii="Times New Roman" w:hAnsi="Times New Roman" w:cs="Times New Roman"/>
          <w:sz w:val="28"/>
        </w:rPr>
        <w:t xml:space="preserve"> nepieciešams papildu finansējums.</w:t>
      </w:r>
    </w:p>
    <w:p w14:paraId="03C9C876" w14:textId="38B6F632" w:rsidR="00FF7E2A" w:rsidRPr="005B72C7" w:rsidRDefault="00FF7E2A" w:rsidP="00FF7E2A">
      <w:pPr>
        <w:numPr>
          <w:ilvl w:val="0"/>
          <w:numId w:val="10"/>
        </w:numPr>
        <w:contextualSpacing/>
        <w:jc w:val="both"/>
        <w:rPr>
          <w:rFonts w:ascii="Times New Roman" w:hAnsi="Times New Roman" w:cs="Times New Roman"/>
          <w:sz w:val="28"/>
        </w:rPr>
      </w:pPr>
      <w:r w:rsidRPr="005B72C7">
        <w:rPr>
          <w:rFonts w:ascii="Times New Roman" w:hAnsi="Times New Roman" w:cs="Times New Roman"/>
          <w:sz w:val="28"/>
        </w:rPr>
        <w:t xml:space="preserve">Pasaules Antidopinga Aģentūras izstrādātajai ADAMS atjaunojuma ieviešanai nepieciešams papildu finansējums, lai realizētu plānotās sistēmas tehnisko nodrošinājumu. Darbības nodrošināšanai nepieciešama atbilstošu mobilo iekārtu, operētājsistēmu iegāde un patstāvīga tīkla </w:t>
      </w:r>
      <w:proofErr w:type="spellStart"/>
      <w:r w:rsidRPr="005B72C7">
        <w:rPr>
          <w:rFonts w:ascii="Times New Roman" w:hAnsi="Times New Roman" w:cs="Times New Roman"/>
          <w:sz w:val="28"/>
        </w:rPr>
        <w:t>pieslēguma</w:t>
      </w:r>
      <w:proofErr w:type="spellEnd"/>
      <w:r w:rsidRPr="005B72C7">
        <w:rPr>
          <w:rFonts w:ascii="Times New Roman" w:hAnsi="Times New Roman" w:cs="Times New Roman"/>
          <w:sz w:val="28"/>
        </w:rPr>
        <w:t xml:space="preserve"> nodrošināšana dopinga kontroļu plānošanas un savākšanas laikā.</w:t>
      </w:r>
    </w:p>
    <w:p w14:paraId="5E0FAECF" w14:textId="77777777" w:rsidR="00FF7E2A" w:rsidRPr="005B72C7" w:rsidRDefault="00FF7E2A" w:rsidP="00FF7E2A">
      <w:pPr>
        <w:ind w:left="360"/>
        <w:contextualSpacing/>
        <w:jc w:val="both"/>
        <w:rPr>
          <w:rFonts w:ascii="Times New Roman" w:hAnsi="Times New Roman" w:cs="Times New Roman"/>
          <w:sz w:val="28"/>
        </w:rPr>
      </w:pPr>
    </w:p>
    <w:p w14:paraId="6F1C01E0" w14:textId="0608338F" w:rsidR="00FF7E2A" w:rsidRPr="005B72C7" w:rsidRDefault="00FF7E2A" w:rsidP="00E10679">
      <w:pPr>
        <w:pStyle w:val="Heading1"/>
      </w:pPr>
      <w:bookmarkStart w:id="22" w:name="_Toc10126858"/>
      <w:r w:rsidRPr="005B72C7">
        <w:t>III Ietekmes novērtējums uz problēmas risināšanu</w:t>
      </w:r>
      <w:bookmarkEnd w:id="22"/>
    </w:p>
    <w:p w14:paraId="2080D242" w14:textId="4845C125" w:rsidR="00FF7E2A" w:rsidRPr="005B72C7" w:rsidRDefault="00FF7E2A" w:rsidP="00FF7E2A">
      <w:pPr>
        <w:ind w:firstLine="720"/>
        <w:jc w:val="both"/>
        <w:rPr>
          <w:rFonts w:ascii="Times New Roman" w:hAnsi="Times New Roman" w:cs="Times New Roman"/>
          <w:sz w:val="28"/>
        </w:rPr>
      </w:pPr>
      <w:r w:rsidRPr="005B72C7">
        <w:rPr>
          <w:rFonts w:ascii="Times New Roman" w:hAnsi="Times New Roman" w:cs="Times New Roman"/>
          <w:sz w:val="28"/>
        </w:rPr>
        <w:t>Īstenojot plānotās izmaiņas saistībā ar antidopinga jomu Latvijā, kas noteiktas gan Eiropas Padomes Antidopinga konvencijas novērtējuma vizītes ziņojum</w:t>
      </w:r>
      <w:r w:rsidR="00D01FBA">
        <w:rPr>
          <w:rFonts w:ascii="Times New Roman" w:hAnsi="Times New Roman" w:cs="Times New Roman"/>
          <w:sz w:val="28"/>
        </w:rPr>
        <w:t>ā</w:t>
      </w:r>
      <w:r w:rsidRPr="005B72C7">
        <w:rPr>
          <w:rFonts w:ascii="Times New Roman" w:hAnsi="Times New Roman" w:cs="Times New Roman"/>
          <w:sz w:val="28"/>
        </w:rPr>
        <w:t xml:space="preserve">, gan Korektīvo darbību plānā, kā arī ņemot vērā Biroja aktualizētos nepieciešamos uzlabojumus, tiek plānota šāda minēto risinājumu ietekme: </w:t>
      </w:r>
    </w:p>
    <w:p w14:paraId="090EE667" w14:textId="49FA3551" w:rsidR="00FF7E2A" w:rsidRPr="005B72C7" w:rsidRDefault="00FF7E2A" w:rsidP="00FF7E2A">
      <w:pPr>
        <w:numPr>
          <w:ilvl w:val="1"/>
          <w:numId w:val="16"/>
        </w:numPr>
        <w:ind w:left="142" w:firstLine="491"/>
        <w:contextualSpacing/>
        <w:jc w:val="both"/>
        <w:rPr>
          <w:rFonts w:ascii="Times New Roman" w:hAnsi="Times New Roman" w:cs="Times New Roman"/>
          <w:sz w:val="28"/>
        </w:rPr>
      </w:pPr>
      <w:r w:rsidRPr="005B72C7">
        <w:rPr>
          <w:rFonts w:ascii="Times New Roman" w:hAnsi="Times New Roman" w:cs="Times New Roman"/>
          <w:sz w:val="28"/>
        </w:rPr>
        <w:t xml:space="preserve">Izveidojot konsultatīvo </w:t>
      </w:r>
      <w:r w:rsidR="00D01FBA">
        <w:rPr>
          <w:rFonts w:ascii="Times New Roman" w:hAnsi="Times New Roman" w:cs="Times New Roman"/>
          <w:sz w:val="28"/>
        </w:rPr>
        <w:t>komisiju</w:t>
      </w:r>
      <w:r w:rsidRPr="005B72C7">
        <w:rPr>
          <w:rFonts w:ascii="Times New Roman" w:hAnsi="Times New Roman" w:cs="Times New Roman"/>
          <w:sz w:val="28"/>
        </w:rPr>
        <w:t>, tiek izveidota platforma</w:t>
      </w:r>
      <w:r w:rsidR="00D01FBA">
        <w:rPr>
          <w:rFonts w:ascii="Times New Roman" w:hAnsi="Times New Roman" w:cs="Times New Roman"/>
          <w:sz w:val="28"/>
        </w:rPr>
        <w:t>,</w:t>
      </w:r>
      <w:r w:rsidRPr="005B72C7">
        <w:rPr>
          <w:rFonts w:ascii="Times New Roman" w:hAnsi="Times New Roman" w:cs="Times New Roman"/>
          <w:sz w:val="28"/>
        </w:rPr>
        <w:t xml:space="preserve"> uzticot tai funkcijas, kas saistās ar valsts finansējuma atbildīgu izlietojumu, galveno Biroja standartu ievērošanu, galveno stratēģisko prioritāšu noteikšanu.</w:t>
      </w:r>
    </w:p>
    <w:p w14:paraId="1BA9A848" w14:textId="77777777" w:rsidR="00FF7E2A" w:rsidRPr="005B72C7" w:rsidRDefault="00FF7E2A" w:rsidP="00FF7E2A">
      <w:pPr>
        <w:numPr>
          <w:ilvl w:val="1"/>
          <w:numId w:val="16"/>
        </w:numPr>
        <w:ind w:left="142" w:firstLine="491"/>
        <w:contextualSpacing/>
        <w:jc w:val="both"/>
        <w:rPr>
          <w:rFonts w:ascii="Times New Roman" w:hAnsi="Times New Roman" w:cs="Times New Roman"/>
          <w:sz w:val="28"/>
        </w:rPr>
      </w:pPr>
      <w:r w:rsidRPr="005B72C7">
        <w:rPr>
          <w:rFonts w:ascii="Times New Roman" w:hAnsi="Times New Roman" w:cs="Times New Roman"/>
          <w:sz w:val="28"/>
        </w:rPr>
        <w:t xml:space="preserve">Sadarbības nodrošināšana starp galveno antidopinga ierobežošanas institūciju un Latvijas Sporta federācijas padomi un Latvijas Olimpisko komiteju veicinās efektīvāku informācijas apmaiņu par testēšanu un izglītības aktivitāšu attīstību. </w:t>
      </w:r>
    </w:p>
    <w:p w14:paraId="56A981BC" w14:textId="7DDCEE87" w:rsidR="00FF7E2A" w:rsidRPr="005B72C7" w:rsidRDefault="00FF7E2A" w:rsidP="00FF7E2A">
      <w:pPr>
        <w:numPr>
          <w:ilvl w:val="1"/>
          <w:numId w:val="16"/>
        </w:numPr>
        <w:ind w:left="0" w:firstLine="633"/>
        <w:contextualSpacing/>
        <w:jc w:val="both"/>
        <w:rPr>
          <w:rFonts w:ascii="Times New Roman" w:hAnsi="Times New Roman" w:cs="Times New Roman"/>
          <w:sz w:val="28"/>
        </w:rPr>
      </w:pPr>
      <w:r w:rsidRPr="005B72C7">
        <w:rPr>
          <w:rFonts w:ascii="Times New Roman" w:hAnsi="Times New Roman" w:cs="Times New Roman"/>
          <w:sz w:val="28"/>
        </w:rPr>
        <w:t xml:space="preserve">Izglītības programmu pilnveidošanas rezultātā tiks organizēti mērķtiecīgi izglītojošie pasākumi katrai no mērķauditorijām, tādējādi uzlabojot kopējo sabiedrības informētību par dopinga jautājumiem un tā lietošanas sekām. Gan sabiedrībā, gan sporta vidē tiks veicināta “tīra un godīga sporta” kā vērtības attīstība un popularizēšana, kas sekmēs dopinga lietošanas </w:t>
      </w:r>
      <w:r w:rsidR="0035439B">
        <w:rPr>
          <w:rFonts w:ascii="Times New Roman" w:hAnsi="Times New Roman" w:cs="Times New Roman"/>
          <w:sz w:val="28"/>
        </w:rPr>
        <w:t>mazināšanos.</w:t>
      </w:r>
    </w:p>
    <w:p w14:paraId="3FE2F040" w14:textId="77777777" w:rsidR="00FF7E2A" w:rsidRPr="005B72C7" w:rsidRDefault="00FF7E2A" w:rsidP="00FF7E2A">
      <w:pPr>
        <w:numPr>
          <w:ilvl w:val="1"/>
          <w:numId w:val="16"/>
        </w:numPr>
        <w:ind w:left="0" w:firstLine="633"/>
        <w:contextualSpacing/>
        <w:jc w:val="both"/>
        <w:rPr>
          <w:rFonts w:ascii="Times New Roman" w:hAnsi="Times New Roman" w:cs="Times New Roman"/>
          <w:sz w:val="28"/>
        </w:rPr>
      </w:pPr>
      <w:r w:rsidRPr="005B72C7">
        <w:rPr>
          <w:rFonts w:ascii="Times New Roman" w:hAnsi="Times New Roman" w:cs="Times New Roman"/>
          <w:sz w:val="28"/>
        </w:rPr>
        <w:t xml:space="preserve">ADAMS sistēmas automatizēšana ievērojami samazinās nepieciešamā darba un laika patēriņu salīdzinājumā ar esošo papīra anketu sistēmu, tāpat šādas sistēmas izveide novērš kļūdu pieļaušanas risku aizpildot dopinga kontroles veidlapas, gan sacensību, gan ārpus sacensību dopinga kontrolēs, kas var ietekmēt dopinga kontroļu rezultātu </w:t>
      </w:r>
      <w:proofErr w:type="spellStart"/>
      <w:r w:rsidRPr="005B72C7">
        <w:rPr>
          <w:rFonts w:ascii="Times New Roman" w:hAnsi="Times New Roman" w:cs="Times New Roman"/>
          <w:sz w:val="28"/>
        </w:rPr>
        <w:t>attiecināmību</w:t>
      </w:r>
      <w:proofErr w:type="spellEnd"/>
      <w:r w:rsidRPr="005B72C7">
        <w:rPr>
          <w:rFonts w:ascii="Times New Roman" w:hAnsi="Times New Roman" w:cs="Times New Roman"/>
          <w:sz w:val="28"/>
        </w:rPr>
        <w:t xml:space="preserve"> uz konkrēto dopinga kontroles procesu.</w:t>
      </w:r>
    </w:p>
    <w:p w14:paraId="5A701D1D" w14:textId="772A8074" w:rsidR="007336B8" w:rsidRPr="005B72C7" w:rsidRDefault="007336B8" w:rsidP="007336B8">
      <w:pPr>
        <w:rPr>
          <w:rFonts w:ascii="Times New Roman" w:hAnsi="Times New Roman" w:cs="Times New Roman"/>
          <w:sz w:val="28"/>
        </w:rPr>
      </w:pPr>
      <w:r w:rsidRPr="005B72C7">
        <w:rPr>
          <w:rFonts w:ascii="Times New Roman" w:hAnsi="Times New Roman" w:cs="Times New Roman"/>
          <w:sz w:val="28"/>
        </w:rPr>
        <w:br w:type="page"/>
      </w:r>
    </w:p>
    <w:p w14:paraId="46E229D9" w14:textId="4F2314C1" w:rsidR="009B611D" w:rsidRPr="005B72C7" w:rsidRDefault="009B611D" w:rsidP="00E10679">
      <w:pPr>
        <w:pStyle w:val="Heading1"/>
      </w:pPr>
      <w:bookmarkStart w:id="23" w:name="_Toc10126859"/>
      <w:r w:rsidRPr="005B72C7">
        <w:t>IV Risinājuma ietekme uz valsts un pašvaldību budžetu</w:t>
      </w:r>
      <w:bookmarkEnd w:id="23"/>
    </w:p>
    <w:p w14:paraId="6D6C4445" w14:textId="7C78E755" w:rsidR="009B611D" w:rsidRPr="005B72C7" w:rsidRDefault="009B611D" w:rsidP="009B611D">
      <w:pPr>
        <w:ind w:firstLine="720"/>
        <w:jc w:val="both"/>
        <w:rPr>
          <w:rFonts w:ascii="Times New Roman" w:hAnsi="Times New Roman" w:cs="Times New Roman"/>
          <w:sz w:val="28"/>
        </w:rPr>
      </w:pPr>
      <w:r w:rsidRPr="005B72C7">
        <w:rPr>
          <w:rFonts w:ascii="Times New Roman" w:hAnsi="Times New Roman" w:cs="Times New Roman"/>
          <w:sz w:val="28"/>
        </w:rPr>
        <w:t>Lai sekmīgi īstenotu un realizētu Latvijas antidopinga biroja darbības principus, nepieciešams papildu finansējums šādiem pasākumiem, sākot no 2020.gada un turpmāk ik gadu</w:t>
      </w:r>
      <w:r w:rsidR="006952F5">
        <w:rPr>
          <w:rFonts w:ascii="Times New Roman" w:hAnsi="Times New Roman" w:cs="Times New Roman"/>
          <w:sz w:val="28"/>
        </w:rPr>
        <w:t>.</w:t>
      </w:r>
    </w:p>
    <w:tbl>
      <w:tblPr>
        <w:tblStyle w:val="TableGrid"/>
        <w:tblW w:w="0" w:type="auto"/>
        <w:tblLook w:val="04A0" w:firstRow="1" w:lastRow="0" w:firstColumn="1" w:lastColumn="0" w:noHBand="0" w:noVBand="1"/>
      </w:tblPr>
      <w:tblGrid>
        <w:gridCol w:w="2122"/>
        <w:gridCol w:w="1196"/>
        <w:gridCol w:w="1659"/>
        <w:gridCol w:w="1659"/>
        <w:gridCol w:w="1660"/>
      </w:tblGrid>
      <w:tr w:rsidR="009B611D" w:rsidRPr="005B72C7" w14:paraId="2CB2D00D" w14:textId="77777777" w:rsidTr="00E10679">
        <w:trPr>
          <w:trHeight w:val="605"/>
        </w:trPr>
        <w:tc>
          <w:tcPr>
            <w:tcW w:w="2122" w:type="dxa"/>
          </w:tcPr>
          <w:p w14:paraId="6D83EE1F" w14:textId="77777777" w:rsidR="009B611D" w:rsidRPr="005B72C7" w:rsidRDefault="009B611D" w:rsidP="00E10679">
            <w:pPr>
              <w:jc w:val="center"/>
              <w:rPr>
                <w:rFonts w:ascii="Times New Roman" w:hAnsi="Times New Roman" w:cs="Times New Roman"/>
              </w:rPr>
            </w:pPr>
          </w:p>
          <w:p w14:paraId="7952FA31"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Pasākums</w:t>
            </w:r>
          </w:p>
        </w:tc>
        <w:tc>
          <w:tcPr>
            <w:tcW w:w="1196" w:type="dxa"/>
          </w:tcPr>
          <w:p w14:paraId="7F552F65" w14:textId="77777777" w:rsidR="009B611D" w:rsidRPr="005B72C7" w:rsidRDefault="009B611D" w:rsidP="00E10679">
            <w:pPr>
              <w:jc w:val="center"/>
              <w:rPr>
                <w:rFonts w:ascii="Times New Roman" w:hAnsi="Times New Roman" w:cs="Times New Roman"/>
              </w:rPr>
            </w:pPr>
          </w:p>
          <w:p w14:paraId="020830CD" w14:textId="77777777" w:rsidR="009B611D" w:rsidRPr="005B72C7" w:rsidRDefault="009B611D" w:rsidP="00E10679">
            <w:pPr>
              <w:jc w:val="center"/>
              <w:rPr>
                <w:rFonts w:ascii="Times New Roman" w:hAnsi="Times New Roman" w:cs="Times New Roman"/>
                <w:b/>
              </w:rPr>
            </w:pPr>
            <w:r w:rsidRPr="005B72C7">
              <w:rPr>
                <w:rFonts w:ascii="Times New Roman" w:hAnsi="Times New Roman" w:cs="Times New Roman"/>
                <w:b/>
              </w:rPr>
              <w:t>2019</w:t>
            </w:r>
          </w:p>
        </w:tc>
        <w:tc>
          <w:tcPr>
            <w:tcW w:w="1659" w:type="dxa"/>
          </w:tcPr>
          <w:p w14:paraId="0F44ECBC" w14:textId="77777777" w:rsidR="009B611D" w:rsidRPr="005B72C7" w:rsidRDefault="009B611D" w:rsidP="00E10679">
            <w:pPr>
              <w:jc w:val="center"/>
              <w:rPr>
                <w:rFonts w:ascii="Times New Roman" w:hAnsi="Times New Roman" w:cs="Times New Roman"/>
              </w:rPr>
            </w:pPr>
          </w:p>
          <w:p w14:paraId="623AADFB" w14:textId="77777777" w:rsidR="009B611D" w:rsidRPr="005B72C7" w:rsidRDefault="009B611D" w:rsidP="00E10679">
            <w:pPr>
              <w:jc w:val="center"/>
              <w:rPr>
                <w:rFonts w:ascii="Times New Roman" w:hAnsi="Times New Roman" w:cs="Times New Roman"/>
                <w:b/>
              </w:rPr>
            </w:pPr>
            <w:r w:rsidRPr="005B72C7">
              <w:rPr>
                <w:rFonts w:ascii="Times New Roman" w:hAnsi="Times New Roman" w:cs="Times New Roman"/>
                <w:b/>
              </w:rPr>
              <w:t>2020</w:t>
            </w:r>
          </w:p>
        </w:tc>
        <w:tc>
          <w:tcPr>
            <w:tcW w:w="1659" w:type="dxa"/>
          </w:tcPr>
          <w:p w14:paraId="0031642F" w14:textId="77777777" w:rsidR="009B611D" w:rsidRPr="005B72C7" w:rsidRDefault="009B611D" w:rsidP="00E10679">
            <w:pPr>
              <w:jc w:val="center"/>
              <w:rPr>
                <w:rFonts w:ascii="Times New Roman" w:hAnsi="Times New Roman" w:cs="Times New Roman"/>
              </w:rPr>
            </w:pPr>
          </w:p>
          <w:p w14:paraId="01DD0511" w14:textId="77777777" w:rsidR="009B611D" w:rsidRPr="005B72C7" w:rsidRDefault="009B611D" w:rsidP="00E10679">
            <w:pPr>
              <w:jc w:val="center"/>
              <w:rPr>
                <w:rFonts w:ascii="Times New Roman" w:hAnsi="Times New Roman" w:cs="Times New Roman"/>
                <w:b/>
              </w:rPr>
            </w:pPr>
            <w:r w:rsidRPr="005B72C7">
              <w:rPr>
                <w:rFonts w:ascii="Times New Roman" w:hAnsi="Times New Roman" w:cs="Times New Roman"/>
                <w:b/>
              </w:rPr>
              <w:t>2021</w:t>
            </w:r>
          </w:p>
        </w:tc>
        <w:tc>
          <w:tcPr>
            <w:tcW w:w="1660" w:type="dxa"/>
          </w:tcPr>
          <w:p w14:paraId="1718142D" w14:textId="77777777" w:rsidR="009B611D" w:rsidRPr="005B72C7" w:rsidRDefault="009B611D" w:rsidP="00E10679">
            <w:pPr>
              <w:jc w:val="center"/>
              <w:rPr>
                <w:rFonts w:ascii="Times New Roman" w:hAnsi="Times New Roman" w:cs="Times New Roman"/>
              </w:rPr>
            </w:pPr>
          </w:p>
          <w:p w14:paraId="11CAD0A4"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Turpmāk ik gadu</w:t>
            </w:r>
          </w:p>
        </w:tc>
      </w:tr>
      <w:tr w:rsidR="009B611D" w:rsidRPr="005B72C7" w14:paraId="6FA6F10A" w14:textId="77777777" w:rsidTr="00E10679">
        <w:trPr>
          <w:trHeight w:val="605"/>
        </w:trPr>
        <w:tc>
          <w:tcPr>
            <w:tcW w:w="2122" w:type="dxa"/>
          </w:tcPr>
          <w:p w14:paraId="62E441D9" w14:textId="77777777" w:rsidR="009B611D" w:rsidRPr="005B72C7" w:rsidRDefault="009B611D" w:rsidP="00E10679">
            <w:pPr>
              <w:rPr>
                <w:rStyle w:val="Emphasis"/>
                <w:rFonts w:ascii="Times New Roman" w:hAnsi="Times New Roman" w:cs="Times New Roman"/>
                <w:sz w:val="20"/>
                <w:szCs w:val="20"/>
              </w:rPr>
            </w:pPr>
            <w:r w:rsidRPr="005B72C7">
              <w:rPr>
                <w:rStyle w:val="Emphasis"/>
                <w:rFonts w:ascii="Times New Roman" w:hAnsi="Times New Roman" w:cs="Times New Roman"/>
                <w:sz w:val="20"/>
                <w:szCs w:val="20"/>
              </w:rPr>
              <w:t>Kampaņas izstrāde, īstenošana un reklāma “Patiess Sports”</w:t>
            </w:r>
          </w:p>
        </w:tc>
        <w:tc>
          <w:tcPr>
            <w:tcW w:w="1196" w:type="dxa"/>
          </w:tcPr>
          <w:p w14:paraId="69BF1016" w14:textId="77777777" w:rsidR="009B611D" w:rsidRPr="005B72C7" w:rsidRDefault="009B611D" w:rsidP="00E10679">
            <w:pPr>
              <w:jc w:val="center"/>
              <w:rPr>
                <w:rFonts w:ascii="Times New Roman" w:hAnsi="Times New Roman" w:cs="Times New Roman"/>
              </w:rPr>
            </w:pPr>
          </w:p>
          <w:p w14:paraId="61D913E0"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5FDC6A31" w14:textId="77777777" w:rsidR="009B611D" w:rsidRPr="005B72C7" w:rsidRDefault="009B611D" w:rsidP="00E10679">
            <w:pPr>
              <w:jc w:val="center"/>
              <w:rPr>
                <w:rFonts w:ascii="Times New Roman" w:hAnsi="Times New Roman" w:cs="Times New Roman"/>
              </w:rPr>
            </w:pPr>
          </w:p>
          <w:p w14:paraId="25E2B045"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50 698</w:t>
            </w:r>
          </w:p>
        </w:tc>
        <w:tc>
          <w:tcPr>
            <w:tcW w:w="1659" w:type="dxa"/>
          </w:tcPr>
          <w:p w14:paraId="04911213" w14:textId="77777777" w:rsidR="009B611D" w:rsidRPr="005B72C7" w:rsidRDefault="009B611D" w:rsidP="00E10679">
            <w:pPr>
              <w:jc w:val="center"/>
              <w:rPr>
                <w:rFonts w:ascii="Times New Roman" w:hAnsi="Times New Roman" w:cs="Times New Roman"/>
              </w:rPr>
            </w:pPr>
          </w:p>
          <w:p w14:paraId="4C6F0F8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50 698</w:t>
            </w:r>
          </w:p>
        </w:tc>
        <w:tc>
          <w:tcPr>
            <w:tcW w:w="1660" w:type="dxa"/>
          </w:tcPr>
          <w:p w14:paraId="5BB4C4AD" w14:textId="77777777" w:rsidR="009B611D" w:rsidRPr="005B72C7" w:rsidRDefault="009B611D" w:rsidP="00E10679">
            <w:pPr>
              <w:jc w:val="center"/>
              <w:rPr>
                <w:rFonts w:ascii="Times New Roman" w:hAnsi="Times New Roman" w:cs="Times New Roman"/>
              </w:rPr>
            </w:pPr>
          </w:p>
          <w:p w14:paraId="40EA17FC"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50 698</w:t>
            </w:r>
          </w:p>
        </w:tc>
      </w:tr>
      <w:tr w:rsidR="009B611D" w:rsidRPr="005B72C7" w14:paraId="124D6A46" w14:textId="77777777" w:rsidTr="00E10679">
        <w:trPr>
          <w:trHeight w:val="605"/>
        </w:trPr>
        <w:tc>
          <w:tcPr>
            <w:tcW w:w="2122" w:type="dxa"/>
          </w:tcPr>
          <w:p w14:paraId="727A0C4F" w14:textId="77777777" w:rsidR="009B611D" w:rsidRPr="005B72C7" w:rsidRDefault="009B611D" w:rsidP="00E10679">
            <w:pPr>
              <w:jc w:val="both"/>
              <w:rPr>
                <w:rFonts w:ascii="Times New Roman" w:hAnsi="Times New Roman" w:cs="Times New Roman"/>
                <w:i/>
                <w:sz w:val="20"/>
                <w:szCs w:val="20"/>
              </w:rPr>
            </w:pPr>
          </w:p>
          <w:p w14:paraId="4F372052"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Reklāma</w:t>
            </w:r>
          </w:p>
        </w:tc>
        <w:tc>
          <w:tcPr>
            <w:tcW w:w="1196" w:type="dxa"/>
          </w:tcPr>
          <w:p w14:paraId="10DFB9BE" w14:textId="77777777" w:rsidR="009B611D" w:rsidRPr="005B72C7" w:rsidRDefault="009B611D" w:rsidP="00E10679">
            <w:pPr>
              <w:jc w:val="center"/>
              <w:rPr>
                <w:rFonts w:ascii="Times New Roman" w:hAnsi="Times New Roman" w:cs="Times New Roman"/>
              </w:rPr>
            </w:pPr>
          </w:p>
          <w:p w14:paraId="71E55A3A"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1 000</w:t>
            </w:r>
          </w:p>
        </w:tc>
        <w:tc>
          <w:tcPr>
            <w:tcW w:w="1659" w:type="dxa"/>
          </w:tcPr>
          <w:p w14:paraId="06C369B8" w14:textId="77777777" w:rsidR="009B611D" w:rsidRPr="005B72C7" w:rsidRDefault="009B611D" w:rsidP="00E10679">
            <w:pPr>
              <w:jc w:val="center"/>
              <w:rPr>
                <w:rFonts w:ascii="Times New Roman" w:hAnsi="Times New Roman" w:cs="Times New Roman"/>
              </w:rPr>
            </w:pPr>
          </w:p>
          <w:p w14:paraId="11BB7B0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606C9F4D" w14:textId="77777777" w:rsidR="009B611D" w:rsidRPr="005B72C7" w:rsidRDefault="009B611D" w:rsidP="00E10679">
            <w:pPr>
              <w:jc w:val="center"/>
              <w:rPr>
                <w:rFonts w:ascii="Times New Roman" w:hAnsi="Times New Roman" w:cs="Times New Roman"/>
              </w:rPr>
            </w:pPr>
          </w:p>
          <w:p w14:paraId="4228374C"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60" w:type="dxa"/>
          </w:tcPr>
          <w:p w14:paraId="1BDE2EC9" w14:textId="77777777" w:rsidR="009B611D" w:rsidRPr="005B72C7" w:rsidRDefault="009B611D" w:rsidP="00E10679">
            <w:pPr>
              <w:jc w:val="center"/>
              <w:rPr>
                <w:rFonts w:ascii="Times New Roman" w:hAnsi="Times New Roman" w:cs="Times New Roman"/>
              </w:rPr>
            </w:pPr>
          </w:p>
          <w:p w14:paraId="35B59622"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r>
      <w:tr w:rsidR="009B611D" w:rsidRPr="005B72C7" w14:paraId="062CD9A3" w14:textId="77777777" w:rsidTr="00E10679">
        <w:trPr>
          <w:trHeight w:val="605"/>
        </w:trPr>
        <w:tc>
          <w:tcPr>
            <w:tcW w:w="2122" w:type="dxa"/>
          </w:tcPr>
          <w:p w14:paraId="3EF2C3B1"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Reprezentācija materiāli “Patiess Sports”</w:t>
            </w:r>
          </w:p>
        </w:tc>
        <w:tc>
          <w:tcPr>
            <w:tcW w:w="1196" w:type="dxa"/>
          </w:tcPr>
          <w:p w14:paraId="024A22FD" w14:textId="77777777" w:rsidR="009B611D" w:rsidRPr="005B72C7" w:rsidRDefault="009B611D" w:rsidP="00E10679">
            <w:pPr>
              <w:jc w:val="center"/>
              <w:rPr>
                <w:rFonts w:ascii="Times New Roman" w:hAnsi="Times New Roman" w:cs="Times New Roman"/>
              </w:rPr>
            </w:pPr>
          </w:p>
          <w:p w14:paraId="712CF489"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64AE278D" w14:textId="77777777" w:rsidR="009B611D" w:rsidRPr="005B72C7" w:rsidRDefault="009B611D" w:rsidP="00E10679">
            <w:pPr>
              <w:jc w:val="center"/>
              <w:rPr>
                <w:rFonts w:ascii="Times New Roman" w:hAnsi="Times New Roman" w:cs="Times New Roman"/>
              </w:rPr>
            </w:pPr>
          </w:p>
          <w:p w14:paraId="08303FD7"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2 885</w:t>
            </w:r>
          </w:p>
        </w:tc>
        <w:tc>
          <w:tcPr>
            <w:tcW w:w="1659" w:type="dxa"/>
          </w:tcPr>
          <w:p w14:paraId="3E0DD8FF" w14:textId="77777777" w:rsidR="009B611D" w:rsidRPr="005B72C7" w:rsidRDefault="009B611D" w:rsidP="00E10679">
            <w:pPr>
              <w:jc w:val="center"/>
              <w:rPr>
                <w:rFonts w:ascii="Times New Roman" w:hAnsi="Times New Roman" w:cs="Times New Roman"/>
              </w:rPr>
            </w:pPr>
          </w:p>
          <w:p w14:paraId="344A89D3"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2 885</w:t>
            </w:r>
          </w:p>
        </w:tc>
        <w:tc>
          <w:tcPr>
            <w:tcW w:w="1660" w:type="dxa"/>
          </w:tcPr>
          <w:p w14:paraId="2A963FAA" w14:textId="77777777" w:rsidR="009B611D" w:rsidRPr="005B72C7" w:rsidRDefault="009B611D" w:rsidP="00E10679">
            <w:pPr>
              <w:jc w:val="center"/>
              <w:rPr>
                <w:rFonts w:ascii="Times New Roman" w:hAnsi="Times New Roman" w:cs="Times New Roman"/>
              </w:rPr>
            </w:pPr>
          </w:p>
          <w:p w14:paraId="611538B1"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2 885</w:t>
            </w:r>
          </w:p>
        </w:tc>
      </w:tr>
      <w:tr w:rsidR="009B611D" w:rsidRPr="005B72C7" w14:paraId="4E66B259" w14:textId="77777777" w:rsidTr="00E10679">
        <w:trPr>
          <w:trHeight w:val="605"/>
        </w:trPr>
        <w:tc>
          <w:tcPr>
            <w:tcW w:w="2122" w:type="dxa"/>
          </w:tcPr>
          <w:p w14:paraId="01A5F4F2" w14:textId="77777777" w:rsidR="009B611D" w:rsidRPr="005B72C7" w:rsidRDefault="009B611D" w:rsidP="00E10679">
            <w:pPr>
              <w:jc w:val="both"/>
              <w:rPr>
                <w:rFonts w:ascii="Times New Roman" w:hAnsi="Times New Roman" w:cs="Times New Roman"/>
                <w:i/>
                <w:sz w:val="20"/>
                <w:szCs w:val="20"/>
              </w:rPr>
            </w:pPr>
          </w:p>
          <w:p w14:paraId="56B29A44"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Lektoru izmaksas</w:t>
            </w:r>
          </w:p>
        </w:tc>
        <w:tc>
          <w:tcPr>
            <w:tcW w:w="1196" w:type="dxa"/>
          </w:tcPr>
          <w:p w14:paraId="1CD4FEF2" w14:textId="77777777" w:rsidR="009B611D" w:rsidRPr="005B72C7" w:rsidRDefault="009B611D" w:rsidP="00E10679">
            <w:pPr>
              <w:jc w:val="center"/>
              <w:rPr>
                <w:rFonts w:ascii="Times New Roman" w:hAnsi="Times New Roman" w:cs="Times New Roman"/>
              </w:rPr>
            </w:pPr>
          </w:p>
          <w:p w14:paraId="3245397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1 998</w:t>
            </w:r>
          </w:p>
        </w:tc>
        <w:tc>
          <w:tcPr>
            <w:tcW w:w="1659" w:type="dxa"/>
          </w:tcPr>
          <w:p w14:paraId="24BB7DBA" w14:textId="77777777" w:rsidR="009B611D" w:rsidRPr="005B72C7" w:rsidRDefault="009B611D" w:rsidP="00E10679">
            <w:pPr>
              <w:jc w:val="center"/>
              <w:rPr>
                <w:rFonts w:ascii="Times New Roman" w:hAnsi="Times New Roman" w:cs="Times New Roman"/>
              </w:rPr>
            </w:pPr>
          </w:p>
          <w:p w14:paraId="47D31213"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3 807</w:t>
            </w:r>
          </w:p>
        </w:tc>
        <w:tc>
          <w:tcPr>
            <w:tcW w:w="1659" w:type="dxa"/>
          </w:tcPr>
          <w:p w14:paraId="07694403" w14:textId="77777777" w:rsidR="009B611D" w:rsidRPr="005B72C7" w:rsidRDefault="009B611D" w:rsidP="00E10679">
            <w:pPr>
              <w:jc w:val="center"/>
              <w:rPr>
                <w:rFonts w:ascii="Times New Roman" w:hAnsi="Times New Roman" w:cs="Times New Roman"/>
              </w:rPr>
            </w:pPr>
          </w:p>
          <w:p w14:paraId="6C62EA26"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3 807</w:t>
            </w:r>
          </w:p>
        </w:tc>
        <w:tc>
          <w:tcPr>
            <w:tcW w:w="1660" w:type="dxa"/>
          </w:tcPr>
          <w:p w14:paraId="29BDA373" w14:textId="77777777" w:rsidR="009B611D" w:rsidRPr="005B72C7" w:rsidRDefault="009B611D" w:rsidP="00E10679">
            <w:pPr>
              <w:jc w:val="center"/>
              <w:rPr>
                <w:rFonts w:ascii="Times New Roman" w:hAnsi="Times New Roman" w:cs="Times New Roman"/>
              </w:rPr>
            </w:pPr>
          </w:p>
          <w:p w14:paraId="6B343F21"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3 807</w:t>
            </w:r>
          </w:p>
        </w:tc>
      </w:tr>
      <w:tr w:rsidR="009B611D" w:rsidRPr="005B72C7" w14:paraId="6ADAF3EA" w14:textId="77777777" w:rsidTr="00E10679">
        <w:trPr>
          <w:trHeight w:val="605"/>
        </w:trPr>
        <w:tc>
          <w:tcPr>
            <w:tcW w:w="2122" w:type="dxa"/>
          </w:tcPr>
          <w:p w14:paraId="54D4E6C2"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Informatīvie izdales materiāli</w:t>
            </w:r>
          </w:p>
          <w:p w14:paraId="06A585EF" w14:textId="77777777" w:rsidR="009B611D" w:rsidRPr="005B72C7" w:rsidRDefault="009B611D" w:rsidP="00E10679">
            <w:pPr>
              <w:jc w:val="both"/>
              <w:rPr>
                <w:rFonts w:ascii="Times New Roman" w:hAnsi="Times New Roman" w:cs="Times New Roman"/>
                <w:i/>
                <w:sz w:val="20"/>
                <w:szCs w:val="20"/>
              </w:rPr>
            </w:pPr>
          </w:p>
        </w:tc>
        <w:tc>
          <w:tcPr>
            <w:tcW w:w="1196" w:type="dxa"/>
          </w:tcPr>
          <w:p w14:paraId="170FD30E" w14:textId="77777777" w:rsidR="009B611D" w:rsidRPr="005B72C7" w:rsidRDefault="009B611D" w:rsidP="00E10679">
            <w:pPr>
              <w:jc w:val="center"/>
              <w:rPr>
                <w:rFonts w:ascii="Times New Roman" w:hAnsi="Times New Roman" w:cs="Times New Roman"/>
              </w:rPr>
            </w:pPr>
          </w:p>
          <w:p w14:paraId="55208086"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1 000</w:t>
            </w:r>
          </w:p>
        </w:tc>
        <w:tc>
          <w:tcPr>
            <w:tcW w:w="1659" w:type="dxa"/>
          </w:tcPr>
          <w:p w14:paraId="5AEF769C" w14:textId="77777777" w:rsidR="009B611D" w:rsidRPr="005B72C7" w:rsidRDefault="009B611D" w:rsidP="00E10679">
            <w:pPr>
              <w:jc w:val="center"/>
              <w:rPr>
                <w:rFonts w:ascii="Times New Roman" w:hAnsi="Times New Roman" w:cs="Times New Roman"/>
              </w:rPr>
            </w:pPr>
          </w:p>
          <w:p w14:paraId="2FA62806"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2 420</w:t>
            </w:r>
          </w:p>
        </w:tc>
        <w:tc>
          <w:tcPr>
            <w:tcW w:w="1659" w:type="dxa"/>
          </w:tcPr>
          <w:p w14:paraId="145A307F" w14:textId="77777777" w:rsidR="009B611D" w:rsidRPr="005B72C7" w:rsidRDefault="009B611D" w:rsidP="00E10679">
            <w:pPr>
              <w:jc w:val="center"/>
              <w:rPr>
                <w:rFonts w:ascii="Times New Roman" w:hAnsi="Times New Roman" w:cs="Times New Roman"/>
              </w:rPr>
            </w:pPr>
          </w:p>
          <w:p w14:paraId="63032218"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2 420</w:t>
            </w:r>
          </w:p>
        </w:tc>
        <w:tc>
          <w:tcPr>
            <w:tcW w:w="1660" w:type="dxa"/>
          </w:tcPr>
          <w:p w14:paraId="0A3FE823" w14:textId="77777777" w:rsidR="009B611D" w:rsidRPr="005B72C7" w:rsidRDefault="009B611D" w:rsidP="00E10679">
            <w:pPr>
              <w:jc w:val="center"/>
              <w:rPr>
                <w:rFonts w:ascii="Times New Roman" w:hAnsi="Times New Roman" w:cs="Times New Roman"/>
              </w:rPr>
            </w:pPr>
          </w:p>
          <w:p w14:paraId="50B92C07"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2 420</w:t>
            </w:r>
          </w:p>
        </w:tc>
      </w:tr>
      <w:tr w:rsidR="009B611D" w:rsidRPr="005B72C7" w14:paraId="6230AD0A" w14:textId="77777777" w:rsidTr="00E10679">
        <w:trPr>
          <w:trHeight w:val="605"/>
        </w:trPr>
        <w:tc>
          <w:tcPr>
            <w:tcW w:w="2122" w:type="dxa"/>
          </w:tcPr>
          <w:p w14:paraId="6CCC3D02" w14:textId="77777777" w:rsidR="009B611D" w:rsidRPr="005B72C7" w:rsidRDefault="009B611D" w:rsidP="00E10679">
            <w:pPr>
              <w:jc w:val="both"/>
              <w:rPr>
                <w:rFonts w:ascii="Times New Roman" w:hAnsi="Times New Roman" w:cs="Times New Roman"/>
                <w:i/>
                <w:sz w:val="20"/>
                <w:szCs w:val="20"/>
              </w:rPr>
            </w:pPr>
          </w:p>
          <w:p w14:paraId="724D703B"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Diena par tīru sportu</w:t>
            </w:r>
          </w:p>
        </w:tc>
        <w:tc>
          <w:tcPr>
            <w:tcW w:w="1196" w:type="dxa"/>
          </w:tcPr>
          <w:p w14:paraId="1FD7870A" w14:textId="77777777" w:rsidR="009B611D" w:rsidRPr="005B72C7" w:rsidRDefault="009B611D" w:rsidP="00E10679">
            <w:pPr>
              <w:jc w:val="center"/>
              <w:rPr>
                <w:rFonts w:ascii="Times New Roman" w:hAnsi="Times New Roman" w:cs="Times New Roman"/>
              </w:rPr>
            </w:pPr>
          </w:p>
          <w:p w14:paraId="2A644AF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1 525</w:t>
            </w:r>
          </w:p>
        </w:tc>
        <w:tc>
          <w:tcPr>
            <w:tcW w:w="1659" w:type="dxa"/>
          </w:tcPr>
          <w:p w14:paraId="649DF399" w14:textId="77777777" w:rsidR="009B611D" w:rsidRPr="005B72C7" w:rsidRDefault="009B611D" w:rsidP="00E10679">
            <w:pPr>
              <w:jc w:val="center"/>
              <w:rPr>
                <w:rFonts w:ascii="Times New Roman" w:hAnsi="Times New Roman" w:cs="Times New Roman"/>
              </w:rPr>
            </w:pPr>
          </w:p>
          <w:p w14:paraId="1A97220E"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3 083</w:t>
            </w:r>
          </w:p>
        </w:tc>
        <w:tc>
          <w:tcPr>
            <w:tcW w:w="1659" w:type="dxa"/>
          </w:tcPr>
          <w:p w14:paraId="33023506" w14:textId="77777777" w:rsidR="009B611D" w:rsidRPr="005B72C7" w:rsidRDefault="009B611D" w:rsidP="00E10679">
            <w:pPr>
              <w:jc w:val="center"/>
              <w:rPr>
                <w:rFonts w:ascii="Times New Roman" w:hAnsi="Times New Roman" w:cs="Times New Roman"/>
              </w:rPr>
            </w:pPr>
          </w:p>
          <w:p w14:paraId="76B8FB05"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3 083</w:t>
            </w:r>
          </w:p>
          <w:p w14:paraId="3182F8D6" w14:textId="77777777" w:rsidR="009B611D" w:rsidRPr="005B72C7" w:rsidRDefault="009B611D" w:rsidP="00E10679">
            <w:pPr>
              <w:jc w:val="center"/>
              <w:rPr>
                <w:rFonts w:ascii="Times New Roman" w:hAnsi="Times New Roman" w:cs="Times New Roman"/>
              </w:rPr>
            </w:pPr>
          </w:p>
        </w:tc>
        <w:tc>
          <w:tcPr>
            <w:tcW w:w="1660" w:type="dxa"/>
          </w:tcPr>
          <w:p w14:paraId="0890F3B3" w14:textId="77777777" w:rsidR="009B611D" w:rsidRPr="005B72C7" w:rsidRDefault="009B611D" w:rsidP="00E10679">
            <w:pPr>
              <w:jc w:val="center"/>
              <w:rPr>
                <w:rFonts w:ascii="Times New Roman" w:hAnsi="Times New Roman" w:cs="Times New Roman"/>
              </w:rPr>
            </w:pPr>
          </w:p>
          <w:p w14:paraId="3BE1D838"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3 083</w:t>
            </w:r>
          </w:p>
        </w:tc>
      </w:tr>
      <w:tr w:rsidR="009B611D" w:rsidRPr="005B72C7" w14:paraId="7A836CE6" w14:textId="77777777" w:rsidTr="00E10679">
        <w:trPr>
          <w:trHeight w:val="605"/>
        </w:trPr>
        <w:tc>
          <w:tcPr>
            <w:tcW w:w="2122" w:type="dxa"/>
          </w:tcPr>
          <w:p w14:paraId="006B4A87"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Elektronisko dopinga kontroļu anketu sistēmas ieviešana un uzturēšana</w:t>
            </w:r>
          </w:p>
        </w:tc>
        <w:tc>
          <w:tcPr>
            <w:tcW w:w="1196" w:type="dxa"/>
          </w:tcPr>
          <w:p w14:paraId="2F16D41E" w14:textId="77777777" w:rsidR="009B611D" w:rsidRPr="005B72C7" w:rsidRDefault="009B611D" w:rsidP="00E10679">
            <w:pPr>
              <w:jc w:val="center"/>
              <w:rPr>
                <w:rFonts w:ascii="Times New Roman" w:hAnsi="Times New Roman" w:cs="Times New Roman"/>
              </w:rPr>
            </w:pPr>
          </w:p>
          <w:p w14:paraId="19D449C9"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001F5C8F" w14:textId="77777777" w:rsidR="009B611D" w:rsidRPr="005B72C7" w:rsidRDefault="009B611D" w:rsidP="00E10679">
            <w:pPr>
              <w:jc w:val="center"/>
              <w:rPr>
                <w:rFonts w:ascii="Times New Roman" w:hAnsi="Times New Roman" w:cs="Times New Roman"/>
              </w:rPr>
            </w:pPr>
          </w:p>
          <w:p w14:paraId="4E2E7C14"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2 633</w:t>
            </w:r>
          </w:p>
        </w:tc>
        <w:tc>
          <w:tcPr>
            <w:tcW w:w="1659" w:type="dxa"/>
          </w:tcPr>
          <w:p w14:paraId="685AEE35" w14:textId="77777777" w:rsidR="009B611D" w:rsidRPr="005B72C7" w:rsidRDefault="009B611D" w:rsidP="00E10679">
            <w:pPr>
              <w:jc w:val="center"/>
              <w:rPr>
                <w:rFonts w:ascii="Times New Roman" w:hAnsi="Times New Roman" w:cs="Times New Roman"/>
              </w:rPr>
            </w:pPr>
          </w:p>
          <w:p w14:paraId="03715D1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500</w:t>
            </w:r>
          </w:p>
        </w:tc>
        <w:tc>
          <w:tcPr>
            <w:tcW w:w="1660" w:type="dxa"/>
          </w:tcPr>
          <w:p w14:paraId="2F0E1706" w14:textId="77777777" w:rsidR="009B611D" w:rsidRPr="005B72C7" w:rsidRDefault="009B611D" w:rsidP="00E10679">
            <w:pPr>
              <w:jc w:val="center"/>
              <w:rPr>
                <w:rFonts w:ascii="Times New Roman" w:hAnsi="Times New Roman" w:cs="Times New Roman"/>
              </w:rPr>
            </w:pPr>
          </w:p>
          <w:p w14:paraId="4A9613D3"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500</w:t>
            </w:r>
          </w:p>
        </w:tc>
      </w:tr>
      <w:tr w:rsidR="009B611D" w:rsidRPr="005B72C7" w14:paraId="163E316B" w14:textId="77777777" w:rsidTr="00E10679">
        <w:trPr>
          <w:trHeight w:val="605"/>
        </w:trPr>
        <w:tc>
          <w:tcPr>
            <w:tcW w:w="2122" w:type="dxa"/>
          </w:tcPr>
          <w:p w14:paraId="1EF5BF4C"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Mājaslapas izveidošana uz vienotās platformas un uzturēšana</w:t>
            </w:r>
          </w:p>
        </w:tc>
        <w:tc>
          <w:tcPr>
            <w:tcW w:w="1196" w:type="dxa"/>
          </w:tcPr>
          <w:p w14:paraId="54B8974E" w14:textId="77777777" w:rsidR="009B611D" w:rsidRPr="005B72C7" w:rsidRDefault="009B611D" w:rsidP="00E10679">
            <w:pPr>
              <w:jc w:val="center"/>
              <w:rPr>
                <w:rFonts w:ascii="Times New Roman" w:hAnsi="Times New Roman" w:cs="Times New Roman"/>
              </w:rPr>
            </w:pPr>
          </w:p>
          <w:p w14:paraId="48917D3A"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1 200</w:t>
            </w:r>
          </w:p>
        </w:tc>
        <w:tc>
          <w:tcPr>
            <w:tcW w:w="1659" w:type="dxa"/>
          </w:tcPr>
          <w:p w14:paraId="107DF782" w14:textId="77777777" w:rsidR="009B611D" w:rsidRPr="005B72C7" w:rsidRDefault="009B611D" w:rsidP="00E10679">
            <w:pPr>
              <w:jc w:val="center"/>
              <w:rPr>
                <w:rFonts w:ascii="Times New Roman" w:hAnsi="Times New Roman" w:cs="Times New Roman"/>
              </w:rPr>
            </w:pPr>
          </w:p>
          <w:p w14:paraId="4B8CFD1C"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7AD6EE90" w14:textId="77777777" w:rsidR="009B611D" w:rsidRPr="005B72C7" w:rsidRDefault="009B611D" w:rsidP="00E10679">
            <w:pPr>
              <w:jc w:val="center"/>
              <w:rPr>
                <w:rFonts w:ascii="Times New Roman" w:hAnsi="Times New Roman" w:cs="Times New Roman"/>
              </w:rPr>
            </w:pPr>
          </w:p>
          <w:p w14:paraId="228B10E3"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60" w:type="dxa"/>
          </w:tcPr>
          <w:p w14:paraId="4C1390A2" w14:textId="77777777" w:rsidR="009B611D" w:rsidRPr="005B72C7" w:rsidRDefault="009B611D" w:rsidP="00E10679">
            <w:pPr>
              <w:jc w:val="center"/>
              <w:rPr>
                <w:rFonts w:ascii="Times New Roman" w:hAnsi="Times New Roman" w:cs="Times New Roman"/>
              </w:rPr>
            </w:pPr>
          </w:p>
          <w:p w14:paraId="25A06B39"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r>
      <w:tr w:rsidR="009B611D" w:rsidRPr="005B72C7" w14:paraId="01F06CB3" w14:textId="77777777" w:rsidTr="00E10679">
        <w:trPr>
          <w:trHeight w:val="605"/>
        </w:trPr>
        <w:tc>
          <w:tcPr>
            <w:tcW w:w="2122" w:type="dxa"/>
          </w:tcPr>
          <w:p w14:paraId="6AFA82D3"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Suvenīri stenda pasākumos “</w:t>
            </w:r>
            <w:proofErr w:type="spellStart"/>
            <w:r w:rsidRPr="005B72C7">
              <w:rPr>
                <w:rFonts w:ascii="Times New Roman" w:hAnsi="Times New Roman" w:cs="Times New Roman"/>
                <w:i/>
                <w:sz w:val="20"/>
                <w:szCs w:val="20"/>
              </w:rPr>
              <w:t>Outreach</w:t>
            </w:r>
            <w:proofErr w:type="spellEnd"/>
            <w:r w:rsidRPr="005B72C7">
              <w:rPr>
                <w:rFonts w:ascii="Times New Roman" w:hAnsi="Times New Roman" w:cs="Times New Roman"/>
                <w:i/>
                <w:sz w:val="20"/>
                <w:szCs w:val="20"/>
              </w:rPr>
              <w:t>”</w:t>
            </w:r>
          </w:p>
        </w:tc>
        <w:tc>
          <w:tcPr>
            <w:tcW w:w="1196" w:type="dxa"/>
          </w:tcPr>
          <w:p w14:paraId="2779D842" w14:textId="77777777" w:rsidR="009B611D" w:rsidRPr="005B72C7" w:rsidRDefault="009B611D" w:rsidP="00E10679">
            <w:pPr>
              <w:jc w:val="center"/>
              <w:rPr>
                <w:rFonts w:ascii="Times New Roman" w:hAnsi="Times New Roman" w:cs="Times New Roman"/>
              </w:rPr>
            </w:pPr>
          </w:p>
          <w:p w14:paraId="086A1C58"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1 000</w:t>
            </w:r>
          </w:p>
        </w:tc>
        <w:tc>
          <w:tcPr>
            <w:tcW w:w="1659" w:type="dxa"/>
          </w:tcPr>
          <w:p w14:paraId="69CE1091" w14:textId="77777777" w:rsidR="009B611D" w:rsidRPr="005B72C7" w:rsidRDefault="009B611D" w:rsidP="00E10679">
            <w:pPr>
              <w:jc w:val="center"/>
              <w:rPr>
                <w:rFonts w:ascii="Times New Roman" w:hAnsi="Times New Roman" w:cs="Times New Roman"/>
              </w:rPr>
            </w:pPr>
          </w:p>
          <w:p w14:paraId="215E7826"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59" w:type="dxa"/>
          </w:tcPr>
          <w:p w14:paraId="40340BBE" w14:textId="77777777" w:rsidR="009B611D" w:rsidRPr="005B72C7" w:rsidRDefault="009B611D" w:rsidP="00E10679">
            <w:pPr>
              <w:jc w:val="center"/>
              <w:rPr>
                <w:rFonts w:ascii="Times New Roman" w:hAnsi="Times New Roman" w:cs="Times New Roman"/>
              </w:rPr>
            </w:pPr>
          </w:p>
          <w:p w14:paraId="27B34BDF"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c>
          <w:tcPr>
            <w:tcW w:w="1660" w:type="dxa"/>
          </w:tcPr>
          <w:p w14:paraId="2472674E" w14:textId="77777777" w:rsidR="009B611D" w:rsidRPr="005B72C7" w:rsidRDefault="009B611D" w:rsidP="00E10679">
            <w:pPr>
              <w:jc w:val="center"/>
              <w:rPr>
                <w:rFonts w:ascii="Times New Roman" w:hAnsi="Times New Roman" w:cs="Times New Roman"/>
              </w:rPr>
            </w:pPr>
          </w:p>
          <w:p w14:paraId="53F1E524"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0</w:t>
            </w:r>
          </w:p>
        </w:tc>
      </w:tr>
      <w:tr w:rsidR="009B611D" w:rsidRPr="005B72C7" w14:paraId="08A51F5B" w14:textId="77777777" w:rsidTr="00E10679">
        <w:trPr>
          <w:trHeight w:val="605"/>
        </w:trPr>
        <w:tc>
          <w:tcPr>
            <w:tcW w:w="2122" w:type="dxa"/>
          </w:tcPr>
          <w:p w14:paraId="7F86C19A" w14:textId="77777777" w:rsidR="009B611D" w:rsidRPr="005B72C7" w:rsidRDefault="009B611D" w:rsidP="00E10679">
            <w:pPr>
              <w:jc w:val="both"/>
              <w:rPr>
                <w:rFonts w:ascii="Times New Roman" w:hAnsi="Times New Roman" w:cs="Times New Roman"/>
                <w:i/>
                <w:sz w:val="20"/>
                <w:szCs w:val="20"/>
              </w:rPr>
            </w:pPr>
          </w:p>
          <w:p w14:paraId="6FBE2216" w14:textId="77777777" w:rsidR="009B611D" w:rsidRPr="005B72C7" w:rsidRDefault="009B611D" w:rsidP="00E10679">
            <w:pPr>
              <w:jc w:val="both"/>
              <w:rPr>
                <w:rFonts w:ascii="Times New Roman" w:hAnsi="Times New Roman" w:cs="Times New Roman"/>
                <w:i/>
                <w:sz w:val="20"/>
                <w:szCs w:val="20"/>
              </w:rPr>
            </w:pPr>
            <w:r w:rsidRPr="005B72C7">
              <w:rPr>
                <w:rFonts w:ascii="Times New Roman" w:hAnsi="Times New Roman" w:cs="Times New Roman"/>
                <w:i/>
                <w:sz w:val="20"/>
                <w:szCs w:val="20"/>
              </w:rPr>
              <w:t xml:space="preserve">        KOPĀ</w:t>
            </w:r>
          </w:p>
        </w:tc>
        <w:tc>
          <w:tcPr>
            <w:tcW w:w="1196" w:type="dxa"/>
          </w:tcPr>
          <w:p w14:paraId="6C2EA18C" w14:textId="77777777" w:rsidR="009B611D" w:rsidRPr="005B72C7" w:rsidRDefault="009B611D" w:rsidP="00E10679">
            <w:pPr>
              <w:jc w:val="center"/>
              <w:rPr>
                <w:rFonts w:ascii="Times New Roman" w:hAnsi="Times New Roman" w:cs="Times New Roman"/>
              </w:rPr>
            </w:pPr>
          </w:p>
          <w:p w14:paraId="53F865EE"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7 723*</w:t>
            </w:r>
          </w:p>
        </w:tc>
        <w:tc>
          <w:tcPr>
            <w:tcW w:w="1659" w:type="dxa"/>
          </w:tcPr>
          <w:p w14:paraId="7B6B2EDA" w14:textId="77777777" w:rsidR="009B611D" w:rsidRPr="005B72C7" w:rsidRDefault="009B611D" w:rsidP="00E10679">
            <w:pPr>
              <w:jc w:val="center"/>
              <w:rPr>
                <w:rFonts w:ascii="Times New Roman" w:hAnsi="Times New Roman" w:cs="Times New Roman"/>
              </w:rPr>
            </w:pPr>
          </w:p>
          <w:p w14:paraId="59F167C4"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65 526</w:t>
            </w:r>
          </w:p>
        </w:tc>
        <w:tc>
          <w:tcPr>
            <w:tcW w:w="1659" w:type="dxa"/>
          </w:tcPr>
          <w:p w14:paraId="1D26ACBC" w14:textId="77777777" w:rsidR="009B611D" w:rsidRPr="005B72C7" w:rsidRDefault="009B611D" w:rsidP="00E10679">
            <w:pPr>
              <w:jc w:val="center"/>
              <w:rPr>
                <w:rFonts w:ascii="Times New Roman" w:hAnsi="Times New Roman" w:cs="Times New Roman"/>
              </w:rPr>
            </w:pPr>
          </w:p>
          <w:p w14:paraId="6FBD7CAA"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63 393</w:t>
            </w:r>
          </w:p>
        </w:tc>
        <w:tc>
          <w:tcPr>
            <w:tcW w:w="1660" w:type="dxa"/>
          </w:tcPr>
          <w:p w14:paraId="536473D4" w14:textId="77777777" w:rsidR="009B611D" w:rsidRPr="005B72C7" w:rsidRDefault="009B611D" w:rsidP="00E10679">
            <w:pPr>
              <w:jc w:val="center"/>
              <w:rPr>
                <w:rFonts w:ascii="Times New Roman" w:hAnsi="Times New Roman" w:cs="Times New Roman"/>
              </w:rPr>
            </w:pPr>
          </w:p>
          <w:p w14:paraId="4FBC5F69" w14:textId="77777777" w:rsidR="009B611D" w:rsidRPr="005B72C7" w:rsidRDefault="009B611D" w:rsidP="00E10679">
            <w:pPr>
              <w:jc w:val="center"/>
              <w:rPr>
                <w:rFonts w:ascii="Times New Roman" w:hAnsi="Times New Roman" w:cs="Times New Roman"/>
              </w:rPr>
            </w:pPr>
            <w:r w:rsidRPr="005B72C7">
              <w:rPr>
                <w:rFonts w:ascii="Times New Roman" w:hAnsi="Times New Roman" w:cs="Times New Roman"/>
              </w:rPr>
              <w:t>63 393</w:t>
            </w:r>
          </w:p>
        </w:tc>
      </w:tr>
    </w:tbl>
    <w:p w14:paraId="41B0A23A" w14:textId="77777777" w:rsidR="009B611D" w:rsidRPr="005B72C7" w:rsidRDefault="009B611D" w:rsidP="009B611D">
      <w:pPr>
        <w:rPr>
          <w:rFonts w:ascii="Times New Roman" w:hAnsi="Times New Roman" w:cs="Times New Roman"/>
        </w:rPr>
      </w:pPr>
    </w:p>
    <w:p w14:paraId="304C5F71" w14:textId="4CE34EFB" w:rsidR="009B611D" w:rsidRPr="005B72C7" w:rsidRDefault="009B611D" w:rsidP="002E45B7">
      <w:pPr>
        <w:jc w:val="both"/>
        <w:rPr>
          <w:rFonts w:ascii="Times New Roman" w:hAnsi="Times New Roman" w:cs="Times New Roman"/>
        </w:rPr>
      </w:pPr>
      <w:r w:rsidRPr="005B72C7">
        <w:rPr>
          <w:rFonts w:ascii="Times New Roman" w:hAnsi="Times New Roman" w:cs="Times New Roman"/>
        </w:rPr>
        <w:t>*</w:t>
      </w:r>
      <w:r w:rsidR="002E45B7" w:rsidRPr="005B72C7">
        <w:rPr>
          <w:rFonts w:ascii="Times New Roman" w:hAnsi="Times New Roman" w:cs="Times New Roman"/>
        </w:rPr>
        <w:t>F</w:t>
      </w:r>
      <w:r w:rsidRPr="005B72C7">
        <w:rPr>
          <w:rFonts w:ascii="Times New Roman" w:hAnsi="Times New Roman" w:cs="Times New Roman"/>
        </w:rPr>
        <w:t xml:space="preserve">inansējums pasākumu </w:t>
      </w:r>
      <w:r w:rsidR="002E45B7" w:rsidRPr="005B72C7">
        <w:rPr>
          <w:rFonts w:ascii="Times New Roman" w:hAnsi="Times New Roman" w:cs="Times New Roman"/>
        </w:rPr>
        <w:t>ieviešanai 2019.gadā tiks</w:t>
      </w:r>
      <w:r w:rsidRPr="005B72C7">
        <w:rPr>
          <w:rFonts w:ascii="Times New Roman" w:hAnsi="Times New Roman" w:cs="Times New Roman"/>
        </w:rPr>
        <w:t xml:space="preserve"> </w:t>
      </w:r>
      <w:r w:rsidR="002E45B7" w:rsidRPr="005B72C7">
        <w:rPr>
          <w:rFonts w:ascii="Times New Roman" w:hAnsi="Times New Roman" w:cs="Times New Roman"/>
        </w:rPr>
        <w:t>novirzīts no budžeta apakšprogrammas 39.07.00 “Antidopinga politikas veidošana” esošā finansējuma atbilstoši l</w:t>
      </w:r>
      <w:r w:rsidRPr="005B72C7">
        <w:rPr>
          <w:rFonts w:ascii="Times New Roman" w:hAnsi="Times New Roman" w:cs="Times New Roman"/>
        </w:rPr>
        <w:t>ikum</w:t>
      </w:r>
      <w:r w:rsidR="002E45B7" w:rsidRPr="005B72C7">
        <w:rPr>
          <w:rFonts w:ascii="Times New Roman" w:hAnsi="Times New Roman" w:cs="Times New Roman"/>
        </w:rPr>
        <w:t>am</w:t>
      </w:r>
      <w:r w:rsidRPr="005B72C7">
        <w:rPr>
          <w:rFonts w:ascii="Times New Roman" w:hAnsi="Times New Roman" w:cs="Times New Roman"/>
        </w:rPr>
        <w:t xml:space="preserve"> “Par valsts budžetu 2019. gadam” </w:t>
      </w:r>
    </w:p>
    <w:p w14:paraId="51045ED1" w14:textId="025BAF19" w:rsidR="00D10C9D" w:rsidRPr="005B72C7" w:rsidRDefault="00D10C9D" w:rsidP="00B11EE1">
      <w:pPr>
        <w:jc w:val="both"/>
        <w:rPr>
          <w:rFonts w:ascii="Times New Roman" w:hAnsi="Times New Roman" w:cs="Times New Roman"/>
          <w:sz w:val="28"/>
        </w:rPr>
      </w:pPr>
    </w:p>
    <w:p w14:paraId="125910CD" w14:textId="7DE648B8" w:rsidR="00D10C9D" w:rsidRPr="005B72C7" w:rsidRDefault="00D10C9D" w:rsidP="00B11EE1">
      <w:pPr>
        <w:jc w:val="both"/>
        <w:rPr>
          <w:rFonts w:ascii="Times New Roman" w:hAnsi="Times New Roman" w:cs="Times New Roman"/>
          <w:sz w:val="28"/>
        </w:rPr>
      </w:pPr>
    </w:p>
    <w:p w14:paraId="50BC44CF" w14:textId="77777777" w:rsidR="002E45B7" w:rsidRPr="005B72C7" w:rsidRDefault="002E45B7" w:rsidP="00326B72">
      <w:pPr>
        <w:pStyle w:val="ListParagraph"/>
        <w:spacing w:after="120" w:line="360" w:lineRule="auto"/>
        <w:ind w:left="0"/>
        <w:jc w:val="both"/>
        <w:rPr>
          <w:rFonts w:ascii="Times New Roman" w:hAnsi="Times New Roman" w:cs="Times New Roman"/>
          <w:szCs w:val="24"/>
        </w:rPr>
        <w:sectPr w:rsidR="002E45B7" w:rsidRPr="005B72C7" w:rsidSect="00EF1062">
          <w:footerReference w:type="default" r:id="rId8"/>
          <w:pgSz w:w="11906" w:h="16838"/>
          <w:pgMar w:top="1440" w:right="1440" w:bottom="1440" w:left="1440" w:header="708" w:footer="708" w:gutter="0"/>
          <w:cols w:space="708"/>
          <w:titlePg/>
          <w:docGrid w:linePitch="360"/>
        </w:sectPr>
      </w:pPr>
    </w:p>
    <w:p w14:paraId="32AD5A25" w14:textId="0B4CA16C" w:rsidR="002E45B7" w:rsidRPr="005B72C7" w:rsidRDefault="002E45B7" w:rsidP="005B72C7">
      <w:pPr>
        <w:pStyle w:val="Heading3"/>
      </w:pPr>
      <w:bookmarkStart w:id="24" w:name="_Toc256000029"/>
      <w:bookmarkStart w:id="25" w:name="_Toc256000015"/>
      <w:bookmarkStart w:id="26" w:name="_Toc256000080"/>
      <w:bookmarkStart w:id="27" w:name="_Toc256000039"/>
      <w:bookmarkStart w:id="28" w:name="_Toc486592205"/>
      <w:bookmarkStart w:id="29" w:name="_Toc488140835"/>
      <w:bookmarkStart w:id="30" w:name="_Toc493761838"/>
      <w:bookmarkStart w:id="31" w:name="_Toc10126860"/>
      <w:r w:rsidRPr="005B72C7">
        <w:t>Kopsavilkums par konceptuālajā ziņojumā iekļautā risinājuma realizācijai nepieciešamo valsts un pašvaldību budžeta finansējumu</w:t>
      </w:r>
      <w:bookmarkEnd w:id="24"/>
      <w:bookmarkEnd w:id="25"/>
      <w:bookmarkEnd w:id="26"/>
      <w:bookmarkEnd w:id="27"/>
      <w:bookmarkEnd w:id="28"/>
      <w:bookmarkEnd w:id="29"/>
      <w:bookmarkEnd w:id="30"/>
      <w:bookmarkEnd w:id="31"/>
    </w:p>
    <w:tbl>
      <w:tblPr>
        <w:tblW w:w="55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67"/>
        <w:gridCol w:w="1263"/>
        <w:gridCol w:w="1924"/>
        <w:gridCol w:w="725"/>
        <w:gridCol w:w="700"/>
        <w:gridCol w:w="684"/>
        <w:gridCol w:w="760"/>
        <w:gridCol w:w="811"/>
        <w:gridCol w:w="808"/>
        <w:gridCol w:w="2376"/>
        <w:gridCol w:w="1886"/>
        <w:gridCol w:w="2300"/>
      </w:tblGrid>
      <w:tr w:rsidR="002E45B7" w:rsidRPr="005B72C7" w14:paraId="3A6DD36E" w14:textId="77777777" w:rsidTr="00D6248F">
        <w:trPr>
          <w:trHeight w:val="1246"/>
          <w:jc w:val="center"/>
        </w:trPr>
        <w:tc>
          <w:tcPr>
            <w:tcW w:w="524" w:type="pct"/>
            <w:vMerge w:val="restart"/>
            <w:tcBorders>
              <w:top w:val="outset" w:sz="6" w:space="0" w:color="414142"/>
              <w:left w:val="outset" w:sz="6" w:space="0" w:color="414142"/>
              <w:bottom w:val="outset" w:sz="6" w:space="0" w:color="414142"/>
              <w:right w:val="outset" w:sz="6" w:space="0" w:color="414142"/>
            </w:tcBorders>
            <w:vAlign w:val="center"/>
            <w:hideMark/>
          </w:tcPr>
          <w:p w14:paraId="3F67FABC"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Risinājums</w:t>
            </w:r>
          </w:p>
        </w:tc>
        <w:tc>
          <w:tcPr>
            <w:tcW w:w="397" w:type="pct"/>
            <w:vMerge w:val="restart"/>
            <w:tcBorders>
              <w:top w:val="outset" w:sz="6" w:space="0" w:color="414142"/>
              <w:left w:val="outset" w:sz="6" w:space="0" w:color="414142"/>
              <w:bottom w:val="outset" w:sz="6" w:space="0" w:color="414142"/>
              <w:right w:val="outset" w:sz="6" w:space="0" w:color="414142"/>
            </w:tcBorders>
            <w:vAlign w:val="center"/>
            <w:hideMark/>
          </w:tcPr>
          <w:p w14:paraId="130AC81B" w14:textId="3B7DCF1E"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Risinājums (risinājuma varianti)</w:t>
            </w:r>
          </w:p>
        </w:tc>
        <w:tc>
          <w:tcPr>
            <w:tcW w:w="605" w:type="pct"/>
            <w:vMerge w:val="restart"/>
            <w:tcBorders>
              <w:top w:val="outset" w:sz="6" w:space="0" w:color="414142"/>
              <w:left w:val="outset" w:sz="6" w:space="0" w:color="414142"/>
              <w:bottom w:val="outset" w:sz="6" w:space="0" w:color="414142"/>
              <w:right w:val="outset" w:sz="6" w:space="0" w:color="414142"/>
            </w:tcBorders>
            <w:vAlign w:val="center"/>
            <w:hideMark/>
          </w:tcPr>
          <w:p w14:paraId="1FAB6411"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Budžeta programmas (apakš-</w:t>
            </w:r>
            <w:r w:rsidRPr="005B72C7">
              <w:rPr>
                <w:rFonts w:ascii="Times New Roman" w:eastAsia="Times New Roman" w:hAnsi="Times New Roman" w:cs="Times New Roman"/>
                <w:bCs/>
                <w:szCs w:val="24"/>
                <w:lang w:eastAsia="lv-LV"/>
              </w:rPr>
              <w:br/>
              <w:t>programmas)</w:t>
            </w:r>
            <w:r w:rsidRPr="005B72C7">
              <w:rPr>
                <w:rFonts w:ascii="Times New Roman" w:eastAsia="Times New Roman" w:hAnsi="Times New Roman" w:cs="Times New Roman"/>
                <w:bCs/>
                <w:szCs w:val="24"/>
                <w:lang w:eastAsia="lv-LV"/>
              </w:rPr>
              <w:br/>
              <w:t>kods un nosaukums</w:t>
            </w:r>
          </w:p>
        </w:tc>
        <w:tc>
          <w:tcPr>
            <w:tcW w:w="663" w:type="pct"/>
            <w:gridSpan w:val="3"/>
            <w:tcBorders>
              <w:top w:val="outset" w:sz="6" w:space="0" w:color="414142"/>
              <w:left w:val="outset" w:sz="6" w:space="0" w:color="414142"/>
              <w:bottom w:val="outset" w:sz="6" w:space="0" w:color="414142"/>
              <w:right w:val="outset" w:sz="6" w:space="0" w:color="414142"/>
            </w:tcBorders>
            <w:vAlign w:val="center"/>
            <w:hideMark/>
          </w:tcPr>
          <w:p w14:paraId="0D2A92C1"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Vidēja termiņa budžeta ietvara likumā plānotais finansējums</w:t>
            </w:r>
          </w:p>
        </w:tc>
        <w:tc>
          <w:tcPr>
            <w:tcW w:w="2088" w:type="pct"/>
            <w:gridSpan w:val="5"/>
            <w:tcBorders>
              <w:top w:val="outset" w:sz="6" w:space="0" w:color="414142"/>
              <w:left w:val="outset" w:sz="6" w:space="0" w:color="414142"/>
              <w:bottom w:val="outset" w:sz="6" w:space="0" w:color="414142"/>
              <w:right w:val="outset" w:sz="6" w:space="0" w:color="414142"/>
            </w:tcBorders>
            <w:vAlign w:val="center"/>
            <w:hideMark/>
          </w:tcPr>
          <w:p w14:paraId="354CC0E5"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Nepieciešamais papildu finansējums</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5C90CF4E"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Pasākuma īstenošanas gads</w:t>
            </w:r>
            <w:r w:rsidRPr="005B72C7">
              <w:rPr>
                <w:rFonts w:ascii="Times New Roman" w:eastAsia="Times New Roman" w:hAnsi="Times New Roman" w:cs="Times New Roman"/>
                <w:bCs/>
                <w:szCs w:val="24"/>
                <w:lang w:eastAsia="lv-LV"/>
              </w:rPr>
              <w:br/>
              <w:t>(ja risinājuma (risinājuma varianta) īstenošana ir terminēta)</w:t>
            </w:r>
          </w:p>
        </w:tc>
      </w:tr>
      <w:tr w:rsidR="002E45B7" w:rsidRPr="005B72C7" w14:paraId="1603B8E0" w14:textId="77777777" w:rsidTr="00D6248F">
        <w:trPr>
          <w:trHeight w:val="1616"/>
          <w:jc w:val="center"/>
        </w:trPr>
        <w:tc>
          <w:tcPr>
            <w:tcW w:w="524" w:type="pct"/>
            <w:vMerge/>
            <w:tcBorders>
              <w:top w:val="outset" w:sz="6" w:space="0" w:color="414142"/>
              <w:left w:val="outset" w:sz="6" w:space="0" w:color="414142"/>
              <w:bottom w:val="outset" w:sz="6" w:space="0" w:color="414142"/>
              <w:right w:val="outset" w:sz="6" w:space="0" w:color="414142"/>
            </w:tcBorders>
            <w:vAlign w:val="center"/>
            <w:hideMark/>
          </w:tcPr>
          <w:p w14:paraId="2254F29D" w14:textId="77777777" w:rsidR="002E45B7" w:rsidRPr="005B72C7" w:rsidRDefault="002E45B7" w:rsidP="002E45B7">
            <w:pPr>
              <w:spacing w:after="0" w:line="240" w:lineRule="auto"/>
              <w:rPr>
                <w:rFonts w:ascii="Times New Roman" w:eastAsia="Times New Roman" w:hAnsi="Times New Roman" w:cs="Times New Roman"/>
                <w:bCs/>
                <w:szCs w:val="24"/>
                <w:lang w:eastAsia="lv-LV"/>
              </w:rPr>
            </w:pPr>
          </w:p>
        </w:tc>
        <w:tc>
          <w:tcPr>
            <w:tcW w:w="397" w:type="pct"/>
            <w:vMerge/>
            <w:tcBorders>
              <w:top w:val="outset" w:sz="6" w:space="0" w:color="414142"/>
              <w:left w:val="outset" w:sz="6" w:space="0" w:color="414142"/>
              <w:bottom w:val="outset" w:sz="6" w:space="0" w:color="414142"/>
              <w:right w:val="outset" w:sz="6" w:space="0" w:color="414142"/>
            </w:tcBorders>
            <w:vAlign w:val="center"/>
            <w:hideMark/>
          </w:tcPr>
          <w:p w14:paraId="2FEC27BC" w14:textId="77777777" w:rsidR="002E45B7" w:rsidRPr="005B72C7" w:rsidRDefault="002E45B7" w:rsidP="002E45B7">
            <w:pPr>
              <w:spacing w:after="0" w:line="240" w:lineRule="auto"/>
              <w:rPr>
                <w:rFonts w:ascii="Times New Roman" w:eastAsia="Times New Roman" w:hAnsi="Times New Roman" w:cs="Times New Roman"/>
                <w:bCs/>
                <w:szCs w:val="24"/>
                <w:lang w:eastAsia="lv-LV"/>
              </w:rPr>
            </w:pPr>
          </w:p>
        </w:tc>
        <w:tc>
          <w:tcPr>
            <w:tcW w:w="605" w:type="pct"/>
            <w:vMerge/>
            <w:tcBorders>
              <w:top w:val="outset" w:sz="6" w:space="0" w:color="414142"/>
              <w:left w:val="outset" w:sz="6" w:space="0" w:color="414142"/>
              <w:bottom w:val="outset" w:sz="6" w:space="0" w:color="414142"/>
              <w:right w:val="outset" w:sz="6" w:space="0" w:color="414142"/>
            </w:tcBorders>
            <w:vAlign w:val="center"/>
            <w:hideMark/>
          </w:tcPr>
          <w:p w14:paraId="11BD21B4" w14:textId="77777777" w:rsidR="002E45B7" w:rsidRPr="005B72C7" w:rsidRDefault="002E45B7" w:rsidP="002E45B7">
            <w:pPr>
              <w:spacing w:after="0" w:line="240" w:lineRule="auto"/>
              <w:rPr>
                <w:rFonts w:ascii="Times New Roman" w:eastAsia="Times New Roman" w:hAnsi="Times New Roman" w:cs="Times New Roman"/>
                <w:bCs/>
                <w:szCs w:val="24"/>
                <w:lang w:eastAsia="lv-LV"/>
              </w:rPr>
            </w:pPr>
          </w:p>
        </w:tc>
        <w:tc>
          <w:tcPr>
            <w:tcW w:w="228" w:type="pct"/>
            <w:tcBorders>
              <w:top w:val="outset" w:sz="6" w:space="0" w:color="414142"/>
              <w:left w:val="outset" w:sz="6" w:space="0" w:color="414142"/>
              <w:bottom w:val="outset" w:sz="6" w:space="0" w:color="414142"/>
              <w:right w:val="outset" w:sz="6" w:space="0" w:color="414142"/>
            </w:tcBorders>
            <w:vAlign w:val="center"/>
            <w:hideMark/>
          </w:tcPr>
          <w:p w14:paraId="1FC2B808"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2019</w:t>
            </w:r>
          </w:p>
        </w:tc>
        <w:tc>
          <w:tcPr>
            <w:tcW w:w="220" w:type="pct"/>
            <w:tcBorders>
              <w:top w:val="outset" w:sz="6" w:space="0" w:color="414142"/>
              <w:left w:val="outset" w:sz="6" w:space="0" w:color="414142"/>
              <w:bottom w:val="outset" w:sz="6" w:space="0" w:color="414142"/>
              <w:right w:val="outset" w:sz="6" w:space="0" w:color="414142"/>
            </w:tcBorders>
            <w:noWrap/>
            <w:vAlign w:val="center"/>
            <w:hideMark/>
          </w:tcPr>
          <w:p w14:paraId="0C1AC2E2"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2020</w:t>
            </w:r>
          </w:p>
        </w:tc>
        <w:tc>
          <w:tcPr>
            <w:tcW w:w="215" w:type="pct"/>
            <w:tcBorders>
              <w:top w:val="outset" w:sz="6" w:space="0" w:color="414142"/>
              <w:left w:val="outset" w:sz="6" w:space="0" w:color="414142"/>
              <w:bottom w:val="outset" w:sz="6" w:space="0" w:color="414142"/>
              <w:right w:val="outset" w:sz="6" w:space="0" w:color="414142"/>
            </w:tcBorders>
            <w:noWrap/>
            <w:vAlign w:val="center"/>
            <w:hideMark/>
          </w:tcPr>
          <w:p w14:paraId="79B2FF83"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2021</w:t>
            </w:r>
          </w:p>
        </w:tc>
        <w:tc>
          <w:tcPr>
            <w:tcW w:w="239" w:type="pct"/>
            <w:tcBorders>
              <w:top w:val="outset" w:sz="6" w:space="0" w:color="414142"/>
              <w:left w:val="outset" w:sz="6" w:space="0" w:color="414142"/>
              <w:bottom w:val="outset" w:sz="6" w:space="0" w:color="414142"/>
              <w:right w:val="outset" w:sz="6" w:space="0" w:color="414142"/>
            </w:tcBorders>
            <w:noWrap/>
            <w:vAlign w:val="center"/>
            <w:hideMark/>
          </w:tcPr>
          <w:p w14:paraId="63013342"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2019</w:t>
            </w:r>
          </w:p>
        </w:tc>
        <w:tc>
          <w:tcPr>
            <w:tcW w:w="255" w:type="pct"/>
            <w:tcBorders>
              <w:top w:val="outset" w:sz="6" w:space="0" w:color="414142"/>
              <w:left w:val="outset" w:sz="6" w:space="0" w:color="414142"/>
              <w:bottom w:val="outset" w:sz="6" w:space="0" w:color="414142"/>
              <w:right w:val="outset" w:sz="6" w:space="0" w:color="414142"/>
            </w:tcBorders>
            <w:noWrap/>
            <w:vAlign w:val="center"/>
            <w:hideMark/>
          </w:tcPr>
          <w:p w14:paraId="40184FC1"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2020</w:t>
            </w:r>
          </w:p>
        </w:tc>
        <w:tc>
          <w:tcPr>
            <w:tcW w:w="254" w:type="pct"/>
            <w:tcBorders>
              <w:top w:val="outset" w:sz="6" w:space="0" w:color="414142"/>
              <w:left w:val="outset" w:sz="6" w:space="0" w:color="414142"/>
              <w:bottom w:val="outset" w:sz="6" w:space="0" w:color="414142"/>
              <w:right w:val="outset" w:sz="6" w:space="0" w:color="414142"/>
            </w:tcBorders>
            <w:noWrap/>
            <w:vAlign w:val="center"/>
            <w:hideMark/>
          </w:tcPr>
          <w:p w14:paraId="7FB884B6"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2021</w:t>
            </w:r>
          </w:p>
        </w:tc>
        <w:tc>
          <w:tcPr>
            <w:tcW w:w="747" w:type="pct"/>
            <w:tcBorders>
              <w:top w:val="outset" w:sz="6" w:space="0" w:color="414142"/>
              <w:left w:val="outset" w:sz="6" w:space="0" w:color="414142"/>
              <w:bottom w:val="outset" w:sz="6" w:space="0" w:color="414142"/>
              <w:right w:val="outset" w:sz="6" w:space="0" w:color="414142"/>
            </w:tcBorders>
            <w:vAlign w:val="center"/>
            <w:hideMark/>
          </w:tcPr>
          <w:p w14:paraId="64C84602"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turpmākajā laikposmā līdz risinājuma (risinājuma varianta) pabeigšanai</w:t>
            </w:r>
            <w:r w:rsidRPr="005B72C7">
              <w:rPr>
                <w:rFonts w:ascii="Times New Roman" w:eastAsia="Times New Roman" w:hAnsi="Times New Roman" w:cs="Times New Roman"/>
                <w:bCs/>
                <w:szCs w:val="24"/>
                <w:lang w:eastAsia="lv-LV"/>
              </w:rPr>
              <w:br/>
              <w:t>(ja īstenošana ir terminēta)</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7232995C" w14:textId="77777777" w:rsidR="002E45B7" w:rsidRPr="005B72C7" w:rsidRDefault="002E45B7" w:rsidP="002E45B7">
            <w:pPr>
              <w:spacing w:after="0" w:line="240" w:lineRule="auto"/>
              <w:jc w:val="center"/>
              <w:rPr>
                <w:rFonts w:ascii="Times New Roman" w:eastAsia="Times New Roman" w:hAnsi="Times New Roman" w:cs="Times New Roman"/>
                <w:bCs/>
                <w:szCs w:val="24"/>
                <w:lang w:eastAsia="lv-LV"/>
              </w:rPr>
            </w:pPr>
            <w:r w:rsidRPr="005B72C7">
              <w:rPr>
                <w:rFonts w:ascii="Times New Roman" w:eastAsia="Times New Roman" w:hAnsi="Times New Roman" w:cs="Times New Roman"/>
                <w:bCs/>
                <w:szCs w:val="24"/>
                <w:lang w:eastAsia="lv-LV"/>
              </w:rPr>
              <w:t>turpmāk ik gadu</w:t>
            </w:r>
            <w:r w:rsidRPr="005B72C7">
              <w:rPr>
                <w:rFonts w:ascii="Times New Roman" w:eastAsia="Times New Roman" w:hAnsi="Times New Roman" w:cs="Times New Roman"/>
                <w:bCs/>
                <w:szCs w:val="24"/>
                <w:lang w:eastAsia="lv-LV"/>
              </w:rPr>
              <w:br/>
              <w:t>(ja risinājuma (risinājuma varianta) izpilde nav terminēta)</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1A324813" w14:textId="77777777" w:rsidR="002E45B7" w:rsidRPr="005B72C7" w:rsidRDefault="002E45B7" w:rsidP="002E45B7">
            <w:pPr>
              <w:spacing w:after="0" w:line="240" w:lineRule="auto"/>
              <w:rPr>
                <w:rFonts w:ascii="Times New Roman" w:eastAsia="Times New Roman" w:hAnsi="Times New Roman" w:cs="Times New Roman"/>
                <w:bCs/>
                <w:szCs w:val="24"/>
                <w:lang w:eastAsia="lv-LV"/>
              </w:rPr>
            </w:pPr>
          </w:p>
        </w:tc>
      </w:tr>
      <w:tr w:rsidR="00D6248F" w:rsidRPr="005B72C7" w14:paraId="1D7F603F" w14:textId="77777777" w:rsidTr="00D6248F">
        <w:trPr>
          <w:trHeight w:val="887"/>
          <w:jc w:val="center"/>
        </w:trPr>
        <w:tc>
          <w:tcPr>
            <w:tcW w:w="524" w:type="pct"/>
            <w:tcBorders>
              <w:top w:val="outset" w:sz="6" w:space="0" w:color="414142"/>
              <w:left w:val="outset" w:sz="6" w:space="0" w:color="414142"/>
              <w:bottom w:val="outset" w:sz="6" w:space="0" w:color="414142"/>
              <w:right w:val="outset" w:sz="6" w:space="0" w:color="414142"/>
            </w:tcBorders>
            <w:shd w:val="clear" w:color="auto" w:fill="C4BC96"/>
            <w:hideMark/>
          </w:tcPr>
          <w:p w14:paraId="27D83727" w14:textId="77777777" w:rsidR="002E45B7" w:rsidRPr="005B72C7" w:rsidRDefault="002E45B7" w:rsidP="002E45B7">
            <w:pPr>
              <w:spacing w:after="0" w:line="240" w:lineRule="auto"/>
              <w:rPr>
                <w:rFonts w:ascii="Times New Roman" w:eastAsia="Times New Roman" w:hAnsi="Times New Roman" w:cs="Times New Roman"/>
                <w:bCs/>
                <w:sz w:val="20"/>
                <w:szCs w:val="20"/>
                <w:lang w:eastAsia="lv-LV"/>
              </w:rPr>
            </w:pPr>
            <w:r w:rsidRPr="005B72C7">
              <w:rPr>
                <w:rFonts w:ascii="Times New Roman" w:eastAsia="Times New Roman" w:hAnsi="Times New Roman" w:cs="Times New Roman"/>
                <w:bCs/>
                <w:sz w:val="20"/>
                <w:szCs w:val="20"/>
                <w:lang w:eastAsia="lv-LV"/>
              </w:rPr>
              <w:t>Finansējums konceptuālā ziņojuma īstenošanai kopā</w:t>
            </w:r>
          </w:p>
        </w:tc>
        <w:tc>
          <w:tcPr>
            <w:tcW w:w="397"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CC89B7A"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bCs/>
                <w:sz w:val="20"/>
                <w:szCs w:val="20"/>
                <w:lang w:eastAsia="lv-LV"/>
              </w:rPr>
            </w:pPr>
            <w:r w:rsidRPr="005B72C7">
              <w:rPr>
                <w:rFonts w:ascii="Times New Roman" w:eastAsia="Times New Roman" w:hAnsi="Times New Roman" w:cs="Times New Roman"/>
                <w:bCs/>
                <w:sz w:val="20"/>
                <w:szCs w:val="20"/>
                <w:lang w:eastAsia="lv-LV"/>
              </w:rPr>
              <w:t> </w:t>
            </w:r>
          </w:p>
        </w:tc>
        <w:tc>
          <w:tcPr>
            <w:tcW w:w="605"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70155AA" w14:textId="77777777" w:rsidR="002E45B7" w:rsidRPr="005B72C7" w:rsidRDefault="002E45B7" w:rsidP="002E45B7">
            <w:pPr>
              <w:spacing w:after="0" w:line="240" w:lineRule="auto"/>
              <w:jc w:val="center"/>
              <w:rPr>
                <w:rFonts w:ascii="Times New Roman" w:eastAsia="Times New Roman" w:hAnsi="Times New Roman" w:cs="Times New Roman"/>
                <w:bCs/>
                <w:sz w:val="20"/>
                <w:szCs w:val="20"/>
                <w:lang w:eastAsia="lv-LV"/>
              </w:rPr>
            </w:pPr>
            <w:r w:rsidRPr="005B72C7">
              <w:rPr>
                <w:rFonts w:ascii="Times New Roman" w:eastAsia="Times New Roman" w:hAnsi="Times New Roman" w:cs="Times New Roman"/>
                <w:bCs/>
                <w:sz w:val="20"/>
                <w:szCs w:val="20"/>
                <w:lang w:eastAsia="lv-LV"/>
              </w:rPr>
              <w:t>39.07.00 apakšprogrammai Antidopinga politikas īstenošana </w:t>
            </w:r>
          </w:p>
        </w:tc>
        <w:tc>
          <w:tcPr>
            <w:tcW w:w="228"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79401307"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7 723</w:t>
            </w:r>
          </w:p>
        </w:tc>
        <w:tc>
          <w:tcPr>
            <w:tcW w:w="220"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A26DD32"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0</w:t>
            </w:r>
          </w:p>
        </w:tc>
        <w:tc>
          <w:tcPr>
            <w:tcW w:w="215"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30007F2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0</w:t>
            </w:r>
          </w:p>
        </w:tc>
        <w:tc>
          <w:tcPr>
            <w:tcW w:w="239"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1E1A2F7E"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0</w:t>
            </w:r>
          </w:p>
        </w:tc>
        <w:tc>
          <w:tcPr>
            <w:tcW w:w="255"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6D9CBD14"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65 526</w:t>
            </w:r>
          </w:p>
        </w:tc>
        <w:tc>
          <w:tcPr>
            <w:tcW w:w="25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310E8CF8"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63 393</w:t>
            </w:r>
          </w:p>
        </w:tc>
        <w:tc>
          <w:tcPr>
            <w:tcW w:w="747"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1642E4BB"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0</w:t>
            </w:r>
          </w:p>
        </w:tc>
        <w:tc>
          <w:tcPr>
            <w:tcW w:w="59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1F4D9D39"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63 393</w:t>
            </w:r>
          </w:p>
        </w:tc>
        <w:tc>
          <w:tcPr>
            <w:tcW w:w="72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7F954B86"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heme="minorEastAsia" w:hAnsi="Times New Roman" w:cs="Times New Roman"/>
                <w:sz w:val="20"/>
                <w:szCs w:val="20"/>
              </w:rPr>
              <w:t>0</w:t>
            </w:r>
          </w:p>
        </w:tc>
      </w:tr>
      <w:tr w:rsidR="00D6248F" w:rsidRPr="005B72C7" w14:paraId="4DECBC89" w14:textId="77777777" w:rsidTr="00D6248F">
        <w:trPr>
          <w:trHeight w:val="311"/>
          <w:jc w:val="center"/>
        </w:trPr>
        <w:tc>
          <w:tcPr>
            <w:tcW w:w="524" w:type="pct"/>
            <w:tcBorders>
              <w:top w:val="outset" w:sz="6" w:space="0" w:color="414142"/>
              <w:left w:val="outset" w:sz="6" w:space="0" w:color="414142"/>
              <w:bottom w:val="outset" w:sz="6" w:space="0" w:color="414142"/>
              <w:right w:val="outset" w:sz="6" w:space="0" w:color="414142"/>
            </w:tcBorders>
            <w:shd w:val="clear" w:color="auto" w:fill="DDD9C3"/>
            <w:hideMark/>
          </w:tcPr>
          <w:p w14:paraId="3A9C216F" w14:textId="77777777" w:rsidR="002E45B7" w:rsidRPr="005B72C7" w:rsidRDefault="002E45B7" w:rsidP="002E45B7">
            <w:pPr>
              <w:spacing w:after="0" w:line="240" w:lineRule="auto"/>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tajā skaitā</w:t>
            </w:r>
          </w:p>
        </w:tc>
        <w:tc>
          <w:tcPr>
            <w:tcW w:w="39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2BB8348"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60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EA82079"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22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2F28817"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D5BB4CB"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21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233B2CE"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23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45F414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5575234"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1F95B7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74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6370ED7"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59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9413ECC"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c>
          <w:tcPr>
            <w:tcW w:w="72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712F925"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p>
        </w:tc>
      </w:tr>
      <w:tr w:rsidR="00D6248F" w:rsidRPr="005B72C7" w14:paraId="7BAE5770" w14:textId="77777777" w:rsidTr="00D6248F">
        <w:trPr>
          <w:trHeight w:val="455"/>
          <w:jc w:val="center"/>
        </w:trPr>
        <w:tc>
          <w:tcPr>
            <w:tcW w:w="524" w:type="pct"/>
            <w:tcBorders>
              <w:top w:val="outset" w:sz="6" w:space="0" w:color="414142"/>
              <w:left w:val="outset" w:sz="6" w:space="0" w:color="414142"/>
              <w:bottom w:val="outset" w:sz="6" w:space="0" w:color="414142"/>
              <w:right w:val="outset" w:sz="6" w:space="0" w:color="414142"/>
            </w:tcBorders>
            <w:shd w:val="clear" w:color="auto" w:fill="DDD9C3"/>
            <w:hideMark/>
          </w:tcPr>
          <w:p w14:paraId="0E09A12D" w14:textId="77777777" w:rsidR="002E45B7" w:rsidRPr="005B72C7" w:rsidRDefault="002E45B7" w:rsidP="002E45B7">
            <w:pPr>
              <w:spacing w:after="0" w:line="240" w:lineRule="auto"/>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29.Veselības ministrija</w:t>
            </w:r>
          </w:p>
        </w:tc>
        <w:tc>
          <w:tcPr>
            <w:tcW w:w="39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278E0D0"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60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2555E83"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22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0177DFC"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7 723</w:t>
            </w:r>
          </w:p>
        </w:tc>
        <w:tc>
          <w:tcPr>
            <w:tcW w:w="220"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04927CE"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1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188DC09"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3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A6E02B7"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5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96AD7DD"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65 526</w:t>
            </w:r>
          </w:p>
        </w:tc>
        <w:tc>
          <w:tcPr>
            <w:tcW w:w="25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2E7E14C"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4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4BAFA4C"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59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4211FB5"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2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5CA446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r>
      <w:tr w:rsidR="00D6248F" w:rsidRPr="005B72C7" w14:paraId="14E5E1EB" w14:textId="77777777" w:rsidTr="00D6248F">
        <w:trPr>
          <w:trHeight w:val="287"/>
          <w:jc w:val="center"/>
        </w:trPr>
        <w:tc>
          <w:tcPr>
            <w:tcW w:w="524" w:type="pct"/>
            <w:tcBorders>
              <w:top w:val="outset" w:sz="6" w:space="0" w:color="414142"/>
              <w:left w:val="outset" w:sz="6" w:space="0" w:color="414142"/>
              <w:bottom w:val="outset" w:sz="6" w:space="0" w:color="414142"/>
              <w:right w:val="outset" w:sz="6" w:space="0" w:color="414142"/>
            </w:tcBorders>
            <w:shd w:val="clear" w:color="auto" w:fill="DDD9C3"/>
            <w:hideMark/>
          </w:tcPr>
          <w:p w14:paraId="6A5D5CD8" w14:textId="77777777" w:rsidR="002E45B7" w:rsidRPr="005B72C7" w:rsidRDefault="002E45B7" w:rsidP="002E45B7">
            <w:pPr>
              <w:spacing w:after="0" w:line="240" w:lineRule="auto"/>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1. risinājums</w:t>
            </w:r>
          </w:p>
        </w:tc>
        <w:tc>
          <w:tcPr>
            <w:tcW w:w="39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ABFBFBC"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60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92B4D0A"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22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D3745E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7 723</w:t>
            </w:r>
          </w:p>
        </w:tc>
        <w:tc>
          <w:tcPr>
            <w:tcW w:w="220"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C80D35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1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5392540"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3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C56BDF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5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6C2DC5D"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65 526</w:t>
            </w:r>
          </w:p>
        </w:tc>
        <w:tc>
          <w:tcPr>
            <w:tcW w:w="25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C8CACA2"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4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BC79C50"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59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3C4A49F"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2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9EC2F79"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r>
      <w:tr w:rsidR="00D6248F" w:rsidRPr="005B72C7" w14:paraId="4A77967C" w14:textId="77777777" w:rsidTr="00D6248F">
        <w:trPr>
          <w:trHeight w:val="311"/>
          <w:jc w:val="center"/>
        </w:trPr>
        <w:tc>
          <w:tcPr>
            <w:tcW w:w="524" w:type="pct"/>
            <w:tcBorders>
              <w:top w:val="outset" w:sz="6" w:space="0" w:color="414142"/>
              <w:left w:val="outset" w:sz="6" w:space="0" w:color="414142"/>
              <w:bottom w:val="outset" w:sz="6" w:space="0" w:color="414142"/>
              <w:right w:val="outset" w:sz="6" w:space="0" w:color="414142"/>
            </w:tcBorders>
            <w:shd w:val="clear" w:color="auto" w:fill="DDD9C3"/>
            <w:hideMark/>
          </w:tcPr>
          <w:p w14:paraId="5218A73F" w14:textId="77777777" w:rsidR="002E45B7" w:rsidRPr="005B72C7" w:rsidRDefault="002E45B7" w:rsidP="002E45B7">
            <w:pPr>
              <w:spacing w:after="0" w:line="240" w:lineRule="auto"/>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 </w:t>
            </w:r>
          </w:p>
        </w:tc>
        <w:tc>
          <w:tcPr>
            <w:tcW w:w="39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6D5028B"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1. variants</w:t>
            </w:r>
          </w:p>
        </w:tc>
        <w:tc>
          <w:tcPr>
            <w:tcW w:w="60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4CF3C22"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22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D428938"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7 723</w:t>
            </w:r>
          </w:p>
        </w:tc>
        <w:tc>
          <w:tcPr>
            <w:tcW w:w="220"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C96EAE9"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1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4BE9DA5"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3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FB2BB3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5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6C481D3"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65 526</w:t>
            </w:r>
          </w:p>
        </w:tc>
        <w:tc>
          <w:tcPr>
            <w:tcW w:w="25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BB53D84"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4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305BDD5"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59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E5055C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2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AF8162C"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r>
      <w:tr w:rsidR="00D6248F" w:rsidRPr="005B72C7" w14:paraId="5DF9AA7D" w14:textId="77777777" w:rsidTr="00D6248F">
        <w:trPr>
          <w:trHeight w:val="599"/>
          <w:jc w:val="center"/>
        </w:trPr>
        <w:tc>
          <w:tcPr>
            <w:tcW w:w="524" w:type="pct"/>
            <w:tcBorders>
              <w:top w:val="outset" w:sz="6" w:space="0" w:color="414142"/>
              <w:left w:val="outset" w:sz="6" w:space="0" w:color="414142"/>
              <w:bottom w:val="outset" w:sz="6" w:space="0" w:color="414142"/>
              <w:right w:val="outset" w:sz="6" w:space="0" w:color="414142"/>
            </w:tcBorders>
            <w:shd w:val="clear" w:color="auto" w:fill="DDD9C3"/>
            <w:hideMark/>
          </w:tcPr>
          <w:p w14:paraId="68D500AA" w14:textId="77777777" w:rsidR="002E45B7" w:rsidRPr="005B72C7" w:rsidRDefault="002E45B7" w:rsidP="002E45B7">
            <w:pPr>
              <w:spacing w:after="0" w:line="240" w:lineRule="auto"/>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 </w:t>
            </w:r>
          </w:p>
        </w:tc>
        <w:tc>
          <w:tcPr>
            <w:tcW w:w="39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E876FFE"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29.Veselības ministrija</w:t>
            </w:r>
          </w:p>
        </w:tc>
        <w:tc>
          <w:tcPr>
            <w:tcW w:w="60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3CE0553D" w14:textId="77777777" w:rsidR="002E45B7" w:rsidRPr="005B72C7" w:rsidRDefault="002E45B7" w:rsidP="002E45B7">
            <w:pPr>
              <w:spacing w:before="100" w:beforeAutospacing="1" w:after="100" w:afterAutospacing="1" w:line="315" w:lineRule="atLeast"/>
              <w:jc w:val="center"/>
              <w:rPr>
                <w:rFonts w:ascii="Times New Roman" w:eastAsia="Times New Roman" w:hAnsi="Times New Roman" w:cs="Times New Roman"/>
                <w:i/>
                <w:iCs/>
                <w:sz w:val="20"/>
                <w:szCs w:val="20"/>
                <w:lang w:eastAsia="lv-LV"/>
              </w:rPr>
            </w:pPr>
            <w:r w:rsidRPr="005B72C7">
              <w:rPr>
                <w:rFonts w:ascii="Times New Roman" w:eastAsia="Times New Roman" w:hAnsi="Times New Roman" w:cs="Times New Roman"/>
                <w:i/>
                <w:iCs/>
                <w:sz w:val="20"/>
                <w:szCs w:val="20"/>
                <w:lang w:eastAsia="lv-LV"/>
              </w:rPr>
              <w:t> </w:t>
            </w:r>
          </w:p>
        </w:tc>
        <w:tc>
          <w:tcPr>
            <w:tcW w:w="22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532E991"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7 723</w:t>
            </w:r>
          </w:p>
        </w:tc>
        <w:tc>
          <w:tcPr>
            <w:tcW w:w="220"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0D372271"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1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730F676"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39"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C6BC331"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255"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D2BFCB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65 526</w:t>
            </w:r>
          </w:p>
        </w:tc>
        <w:tc>
          <w:tcPr>
            <w:tcW w:w="25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B8B41CF"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47"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2868A507"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c>
          <w:tcPr>
            <w:tcW w:w="59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518FB6B6"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63 393</w:t>
            </w:r>
          </w:p>
        </w:tc>
        <w:tc>
          <w:tcPr>
            <w:tcW w:w="723"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16154AA" w14:textId="77777777" w:rsidR="002E45B7" w:rsidRPr="005B72C7" w:rsidRDefault="002E45B7" w:rsidP="002E45B7">
            <w:pPr>
              <w:spacing w:after="0" w:line="240" w:lineRule="auto"/>
              <w:jc w:val="center"/>
              <w:rPr>
                <w:rFonts w:ascii="Times New Roman" w:eastAsia="Times New Roman" w:hAnsi="Times New Roman" w:cs="Times New Roman"/>
                <w:sz w:val="20"/>
                <w:szCs w:val="20"/>
                <w:lang w:eastAsia="lv-LV"/>
              </w:rPr>
            </w:pPr>
            <w:r w:rsidRPr="005B72C7">
              <w:rPr>
                <w:rFonts w:ascii="Times New Roman" w:eastAsia="Times New Roman" w:hAnsi="Times New Roman" w:cs="Times New Roman"/>
                <w:sz w:val="20"/>
                <w:szCs w:val="20"/>
                <w:lang w:eastAsia="lv-LV"/>
              </w:rPr>
              <w:t>0</w:t>
            </w:r>
          </w:p>
        </w:tc>
      </w:tr>
    </w:tbl>
    <w:p w14:paraId="0E0F0D17" w14:textId="77777777" w:rsidR="002E45B7" w:rsidRPr="005B72C7" w:rsidRDefault="002E45B7" w:rsidP="00326B72">
      <w:pPr>
        <w:tabs>
          <w:tab w:val="left" w:pos="7655"/>
        </w:tabs>
        <w:spacing w:after="120" w:line="360" w:lineRule="auto"/>
        <w:rPr>
          <w:rFonts w:ascii="Times New Roman" w:hAnsi="Times New Roman" w:cs="Times New Roman"/>
          <w:szCs w:val="24"/>
        </w:rPr>
      </w:pPr>
    </w:p>
    <w:p w14:paraId="1D917E27" w14:textId="77777777" w:rsidR="002E45B7" w:rsidRPr="005B72C7" w:rsidRDefault="00326B72" w:rsidP="00EF1062">
      <w:pPr>
        <w:tabs>
          <w:tab w:val="left" w:pos="11340"/>
        </w:tabs>
        <w:spacing w:after="0" w:line="240" w:lineRule="auto"/>
        <w:rPr>
          <w:rFonts w:ascii="Times New Roman" w:eastAsia="Calibri" w:hAnsi="Times New Roman" w:cs="Times New Roman"/>
          <w:sz w:val="28"/>
          <w:szCs w:val="28"/>
        </w:rPr>
      </w:pPr>
      <w:r w:rsidRPr="005B72C7">
        <w:rPr>
          <w:rFonts w:ascii="Times New Roman" w:eastAsia="Calibri" w:hAnsi="Times New Roman" w:cs="Times New Roman"/>
          <w:sz w:val="28"/>
          <w:szCs w:val="28"/>
        </w:rPr>
        <w:t>Veselības ministre</w:t>
      </w:r>
      <w:r w:rsidRPr="005B72C7">
        <w:rPr>
          <w:rFonts w:ascii="Times New Roman" w:eastAsia="Calibri" w:hAnsi="Times New Roman" w:cs="Times New Roman"/>
          <w:sz w:val="28"/>
          <w:szCs w:val="28"/>
        </w:rPr>
        <w:tab/>
        <w:t>Ilze Viņķele</w:t>
      </w:r>
    </w:p>
    <w:p w14:paraId="7FDF2276" w14:textId="7D82CA22" w:rsidR="002E45B7" w:rsidRPr="005B72C7" w:rsidRDefault="00326B72" w:rsidP="002E45B7">
      <w:pPr>
        <w:tabs>
          <w:tab w:val="left" w:pos="7655"/>
        </w:tabs>
        <w:spacing w:after="0" w:line="240" w:lineRule="auto"/>
        <w:rPr>
          <w:rFonts w:ascii="Times New Roman" w:eastAsia="Calibri" w:hAnsi="Times New Roman" w:cs="Times New Roman"/>
          <w:sz w:val="28"/>
          <w:szCs w:val="28"/>
        </w:rPr>
      </w:pPr>
      <w:r w:rsidRPr="005B72C7">
        <w:rPr>
          <w:rFonts w:ascii="Times New Roman" w:eastAsia="Calibri" w:hAnsi="Times New Roman" w:cs="Times New Roman"/>
          <w:sz w:val="28"/>
          <w:szCs w:val="28"/>
        </w:rPr>
        <w:t xml:space="preserve"> </w:t>
      </w:r>
    </w:p>
    <w:p w14:paraId="2FB2D6B2" w14:textId="31E3812B" w:rsidR="00326B72" w:rsidRPr="005B72C7" w:rsidRDefault="00326B72" w:rsidP="00EF1062">
      <w:pPr>
        <w:tabs>
          <w:tab w:val="left" w:pos="11340"/>
        </w:tabs>
        <w:spacing w:after="0" w:line="240" w:lineRule="auto"/>
        <w:rPr>
          <w:rFonts w:ascii="Times New Roman" w:eastAsia="Calibri" w:hAnsi="Times New Roman" w:cs="Times New Roman"/>
          <w:sz w:val="28"/>
          <w:szCs w:val="28"/>
        </w:rPr>
      </w:pPr>
      <w:r w:rsidRPr="005B72C7">
        <w:rPr>
          <w:rFonts w:ascii="Times New Roman" w:eastAsia="Calibri" w:hAnsi="Times New Roman" w:cs="Times New Roman"/>
          <w:sz w:val="28"/>
          <w:szCs w:val="28"/>
        </w:rPr>
        <w:t>Iesniedzējs: Veselības ministre</w:t>
      </w:r>
      <w:r w:rsidRPr="005B72C7">
        <w:rPr>
          <w:rFonts w:ascii="Times New Roman" w:eastAsia="Calibri" w:hAnsi="Times New Roman" w:cs="Times New Roman"/>
          <w:sz w:val="28"/>
          <w:szCs w:val="28"/>
        </w:rPr>
        <w:tab/>
        <w:t>Ilze Viņķele</w:t>
      </w:r>
    </w:p>
    <w:p w14:paraId="7CADD030" w14:textId="77777777" w:rsidR="00326B72" w:rsidRPr="005B72C7" w:rsidRDefault="00326B72" w:rsidP="002E45B7">
      <w:pPr>
        <w:tabs>
          <w:tab w:val="right" w:pos="9072"/>
        </w:tabs>
        <w:spacing w:after="0" w:line="240" w:lineRule="auto"/>
        <w:ind w:right="-766"/>
        <w:rPr>
          <w:rFonts w:ascii="Times New Roman" w:eastAsia="Calibri" w:hAnsi="Times New Roman" w:cs="Times New Roman"/>
          <w:sz w:val="28"/>
          <w:szCs w:val="28"/>
        </w:rPr>
      </w:pPr>
    </w:p>
    <w:p w14:paraId="3D1169C7" w14:textId="67A31735" w:rsidR="00326B72" w:rsidRPr="005B72C7" w:rsidRDefault="00326B72" w:rsidP="00EF1062">
      <w:pPr>
        <w:tabs>
          <w:tab w:val="right" w:pos="12616"/>
        </w:tabs>
        <w:spacing w:after="0" w:line="240" w:lineRule="auto"/>
        <w:ind w:right="-766"/>
        <w:rPr>
          <w:rFonts w:ascii="Times New Roman" w:hAnsi="Times New Roman" w:cs="Times New Roman"/>
          <w:sz w:val="28"/>
        </w:rPr>
      </w:pPr>
      <w:r w:rsidRPr="005B72C7">
        <w:rPr>
          <w:rFonts w:ascii="Times New Roman" w:eastAsia="Calibri" w:hAnsi="Times New Roman" w:cs="Times New Roman"/>
          <w:sz w:val="28"/>
          <w:szCs w:val="28"/>
        </w:rPr>
        <w:t xml:space="preserve">Vīza: Valsts sekretāre </w:t>
      </w:r>
      <w:r w:rsidRPr="005B72C7">
        <w:rPr>
          <w:rFonts w:ascii="Times New Roman" w:eastAsia="Calibri" w:hAnsi="Times New Roman" w:cs="Times New Roman"/>
          <w:sz w:val="28"/>
          <w:szCs w:val="28"/>
        </w:rPr>
        <w:tab/>
        <w:t xml:space="preserve">Daina </w:t>
      </w:r>
      <w:proofErr w:type="spellStart"/>
      <w:r w:rsidRPr="005B72C7">
        <w:rPr>
          <w:rFonts w:ascii="Times New Roman" w:eastAsia="Calibri" w:hAnsi="Times New Roman" w:cs="Times New Roman"/>
          <w:sz w:val="28"/>
          <w:szCs w:val="28"/>
        </w:rPr>
        <w:t>Mūrmane</w:t>
      </w:r>
      <w:proofErr w:type="spellEnd"/>
      <w:r w:rsidR="00D03086" w:rsidRPr="005B72C7">
        <w:rPr>
          <w:rFonts w:ascii="Times New Roman" w:eastAsia="Calibri" w:hAnsi="Times New Roman" w:cs="Times New Roman"/>
          <w:sz w:val="28"/>
          <w:szCs w:val="28"/>
        </w:rPr>
        <w:t xml:space="preserve"> </w:t>
      </w:r>
      <w:r w:rsidRPr="005B72C7">
        <w:rPr>
          <w:rFonts w:ascii="Times New Roman" w:eastAsia="Calibri" w:hAnsi="Times New Roman" w:cs="Times New Roman"/>
          <w:sz w:val="28"/>
          <w:szCs w:val="28"/>
        </w:rPr>
        <w:t>-</w:t>
      </w:r>
      <w:r w:rsidR="00D03086" w:rsidRPr="005B72C7">
        <w:rPr>
          <w:rFonts w:ascii="Times New Roman" w:eastAsia="Calibri" w:hAnsi="Times New Roman" w:cs="Times New Roman"/>
          <w:sz w:val="28"/>
          <w:szCs w:val="28"/>
        </w:rPr>
        <w:t xml:space="preserve"> </w:t>
      </w:r>
      <w:proofErr w:type="spellStart"/>
      <w:r w:rsidRPr="005B72C7">
        <w:rPr>
          <w:rFonts w:ascii="Times New Roman" w:eastAsia="Calibri" w:hAnsi="Times New Roman" w:cs="Times New Roman"/>
          <w:sz w:val="28"/>
          <w:szCs w:val="28"/>
        </w:rPr>
        <w:t>Umbraš</w:t>
      </w:r>
      <w:r w:rsidR="002E45B7" w:rsidRPr="005B72C7">
        <w:rPr>
          <w:rFonts w:ascii="Times New Roman" w:eastAsia="Calibri" w:hAnsi="Times New Roman" w:cs="Times New Roman"/>
          <w:sz w:val="28"/>
          <w:szCs w:val="28"/>
        </w:rPr>
        <w:t>k</w:t>
      </w:r>
      <w:r w:rsidR="00F43450">
        <w:rPr>
          <w:rFonts w:ascii="Times New Roman" w:eastAsia="Calibri" w:hAnsi="Times New Roman" w:cs="Times New Roman"/>
          <w:sz w:val="28"/>
          <w:szCs w:val="28"/>
        </w:rPr>
        <w:t>o</w:t>
      </w:r>
      <w:proofErr w:type="spellEnd"/>
    </w:p>
    <w:sectPr w:rsidR="00326B72" w:rsidRPr="005B72C7" w:rsidSect="00F43450">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9BAF" w14:textId="77777777" w:rsidR="00E10679" w:rsidRDefault="00E10679" w:rsidP="00B30B95">
      <w:pPr>
        <w:spacing w:after="0" w:line="240" w:lineRule="auto"/>
      </w:pPr>
      <w:r>
        <w:separator/>
      </w:r>
    </w:p>
  </w:endnote>
  <w:endnote w:type="continuationSeparator" w:id="0">
    <w:p w14:paraId="3F5C7562" w14:textId="77777777" w:rsidR="00E10679" w:rsidRDefault="00E10679" w:rsidP="00B3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901497"/>
      <w:docPartObj>
        <w:docPartGallery w:val="Page Numbers (Bottom of Page)"/>
        <w:docPartUnique/>
      </w:docPartObj>
    </w:sdtPr>
    <w:sdtEndPr>
      <w:rPr>
        <w:rFonts w:ascii="Times New Roman" w:hAnsi="Times New Roman" w:cs="Times New Roman"/>
        <w:noProof/>
      </w:rPr>
    </w:sdtEndPr>
    <w:sdtContent>
      <w:p w14:paraId="5D37BEDE" w14:textId="6FABE691" w:rsidR="008232F4" w:rsidRPr="008232F4" w:rsidRDefault="008232F4">
        <w:pPr>
          <w:pStyle w:val="Footer"/>
          <w:jc w:val="center"/>
          <w:rPr>
            <w:rFonts w:ascii="Times New Roman" w:hAnsi="Times New Roman" w:cs="Times New Roman"/>
          </w:rPr>
        </w:pPr>
        <w:r w:rsidRPr="008232F4">
          <w:rPr>
            <w:rFonts w:ascii="Times New Roman" w:hAnsi="Times New Roman" w:cs="Times New Roman"/>
          </w:rPr>
          <w:fldChar w:fldCharType="begin"/>
        </w:r>
        <w:r w:rsidRPr="008232F4">
          <w:rPr>
            <w:rFonts w:ascii="Times New Roman" w:hAnsi="Times New Roman" w:cs="Times New Roman"/>
          </w:rPr>
          <w:instrText xml:space="preserve"> PAGE   \* MERGEFORMAT </w:instrText>
        </w:r>
        <w:r w:rsidRPr="008232F4">
          <w:rPr>
            <w:rFonts w:ascii="Times New Roman" w:hAnsi="Times New Roman" w:cs="Times New Roman"/>
          </w:rPr>
          <w:fldChar w:fldCharType="separate"/>
        </w:r>
        <w:r w:rsidRPr="008232F4">
          <w:rPr>
            <w:rFonts w:ascii="Times New Roman" w:hAnsi="Times New Roman" w:cs="Times New Roman"/>
            <w:noProof/>
          </w:rPr>
          <w:t>2</w:t>
        </w:r>
        <w:r w:rsidRPr="008232F4">
          <w:rPr>
            <w:rFonts w:ascii="Times New Roman" w:hAnsi="Times New Roman" w:cs="Times New Roman"/>
            <w:noProof/>
          </w:rPr>
          <w:fldChar w:fldCharType="end"/>
        </w:r>
      </w:p>
    </w:sdtContent>
  </w:sdt>
  <w:p w14:paraId="4C7D48B0" w14:textId="109F32DF" w:rsidR="00EF1062" w:rsidRDefault="00EF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47DDF" w14:textId="77777777" w:rsidR="00E10679" w:rsidRDefault="00E10679" w:rsidP="00B30B95">
      <w:pPr>
        <w:spacing w:after="0" w:line="240" w:lineRule="auto"/>
      </w:pPr>
      <w:r>
        <w:separator/>
      </w:r>
    </w:p>
  </w:footnote>
  <w:footnote w:type="continuationSeparator" w:id="0">
    <w:p w14:paraId="3E08F667" w14:textId="77777777" w:rsidR="00E10679" w:rsidRDefault="00E10679" w:rsidP="00B30B95">
      <w:pPr>
        <w:spacing w:after="0" w:line="240" w:lineRule="auto"/>
      </w:pPr>
      <w:r>
        <w:continuationSeparator/>
      </w:r>
    </w:p>
  </w:footnote>
  <w:footnote w:id="1">
    <w:p w14:paraId="002790C2" w14:textId="77777777" w:rsidR="00E10679" w:rsidRPr="00E56BC6" w:rsidRDefault="00E10679" w:rsidP="00FF7E2A">
      <w:pPr>
        <w:pStyle w:val="FootnoteText"/>
        <w:rPr>
          <w:rFonts w:ascii="Times New Roman" w:hAnsi="Times New Roman" w:cs="Times New Roman"/>
        </w:rPr>
      </w:pPr>
      <w:r w:rsidRPr="00E56BC6">
        <w:rPr>
          <w:rStyle w:val="FootnoteReference"/>
          <w:rFonts w:ascii="Times New Roman" w:hAnsi="Times New Roman" w:cs="Times New Roman"/>
        </w:rPr>
        <w:footnoteRef/>
      </w:r>
      <w:r w:rsidRPr="00E56BC6">
        <w:rPr>
          <w:rFonts w:ascii="Times New Roman" w:hAnsi="Times New Roman" w:cs="Times New Roman"/>
        </w:rPr>
        <w:t xml:space="preserve"> https://likumi.lv/ta/id/300575-disciplinaras-antidopinga-komisijas-un-terapeitiskas-lietosanas-iznemumu-komisijas-izveidosanas-kartiba</w:t>
      </w:r>
    </w:p>
  </w:footnote>
  <w:footnote w:id="2">
    <w:p w14:paraId="08E91D39" w14:textId="77777777" w:rsidR="00E10679" w:rsidRDefault="00E10679" w:rsidP="00FF7E2A">
      <w:pPr>
        <w:pStyle w:val="FootnoteText"/>
      </w:pPr>
      <w:r w:rsidRPr="00E56BC6">
        <w:rPr>
          <w:rStyle w:val="FootnoteReference"/>
          <w:rFonts w:ascii="Times New Roman" w:hAnsi="Times New Roman" w:cs="Times New Roman"/>
        </w:rPr>
        <w:footnoteRef/>
      </w:r>
      <w:r w:rsidRPr="00E56BC6">
        <w:rPr>
          <w:rFonts w:ascii="Times New Roman" w:hAnsi="Times New Roman" w:cs="Times New Roman"/>
        </w:rPr>
        <w:t xml:space="preserve"> https://likumi.lv/ta/id/303664-par-parsudzibas-komisiju</w:t>
      </w:r>
    </w:p>
  </w:footnote>
  <w:footnote w:id="3">
    <w:p w14:paraId="50C83179" w14:textId="3316E82A" w:rsidR="0054043A" w:rsidRPr="0054043A" w:rsidRDefault="0054043A">
      <w:pPr>
        <w:pStyle w:val="FootnoteText"/>
        <w:rPr>
          <w:rFonts w:ascii="Times New Roman" w:hAnsi="Times New Roman" w:cs="Times New Roman"/>
        </w:rPr>
      </w:pPr>
      <w:r w:rsidRPr="0054043A">
        <w:rPr>
          <w:rStyle w:val="FootnoteReference"/>
          <w:rFonts w:ascii="Times New Roman" w:hAnsi="Times New Roman" w:cs="Times New Roman"/>
        </w:rPr>
        <w:footnoteRef/>
      </w:r>
      <w:r w:rsidRPr="0054043A">
        <w:rPr>
          <w:rFonts w:ascii="Times New Roman" w:hAnsi="Times New Roman" w:cs="Times New Roman"/>
        </w:rPr>
        <w:t xml:space="preserve"> GUIDELINES - RESULTS MANAGEMENT, HEARINGS AND DECISIONS; https://www.wada-ama.org/en/resources/world-anti-doping-program/guidelines-results-management-hearings-and-decisions</w:t>
      </w:r>
    </w:p>
  </w:footnote>
  <w:footnote w:id="4">
    <w:p w14:paraId="12AE064C" w14:textId="163A4431" w:rsidR="0054043A" w:rsidRDefault="0054043A">
      <w:pPr>
        <w:pStyle w:val="FootnoteText"/>
      </w:pPr>
      <w:r w:rsidRPr="0054043A">
        <w:rPr>
          <w:rStyle w:val="FootnoteReference"/>
          <w:rFonts w:ascii="Times New Roman" w:hAnsi="Times New Roman" w:cs="Times New Roman"/>
        </w:rPr>
        <w:footnoteRef/>
      </w:r>
      <w:r w:rsidRPr="0054043A">
        <w:rPr>
          <w:rFonts w:ascii="Times New Roman" w:hAnsi="Times New Roman" w:cs="Times New Roman"/>
        </w:rPr>
        <w:t xml:space="preserve"> </w:t>
      </w:r>
      <w:r w:rsidRPr="00CE3AA0">
        <w:rPr>
          <w:rFonts w:ascii="Times New Roman" w:hAnsi="Times New Roman" w:cs="Times New Roman"/>
          <w:lang w:val="en-GB"/>
        </w:rPr>
        <w:t>Recommendation on ensuring the independence of hearing panels (bodies) and promoting fair trial in anti-doping cases</w:t>
      </w:r>
      <w:r w:rsidRPr="0054043A">
        <w:rPr>
          <w:rFonts w:ascii="Times New Roman" w:hAnsi="Times New Roman" w:cs="Times New Roman"/>
        </w:rPr>
        <w:t>; https://rm.coe.int/recommendation-on-ensuring-the-independence-of-hearing-panels-bodies-a/1680735159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AA"/>
    <w:multiLevelType w:val="hybridMultilevel"/>
    <w:tmpl w:val="49800D8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0F1015A0"/>
    <w:multiLevelType w:val="hybridMultilevel"/>
    <w:tmpl w:val="A802E0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D2373F8"/>
    <w:multiLevelType w:val="hybridMultilevel"/>
    <w:tmpl w:val="D50EF6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ED2202E"/>
    <w:multiLevelType w:val="hybridMultilevel"/>
    <w:tmpl w:val="7E3E8178"/>
    <w:lvl w:ilvl="0" w:tplc="620618A6">
      <w:start w:val="1"/>
      <w:numFmt w:val="decimal"/>
      <w:lvlText w:val="%1)"/>
      <w:lvlJc w:val="left"/>
      <w:pPr>
        <w:ind w:left="360" w:hanging="360"/>
      </w:pPr>
      <w:rPr>
        <w:rFonts w:ascii="Times New Roman" w:eastAsiaTheme="minorHAnsi" w:hAnsi="Times New Roman" w:cstheme="minorBidi"/>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F0336C"/>
    <w:multiLevelType w:val="hybridMultilevel"/>
    <w:tmpl w:val="ECA4CCCA"/>
    <w:lvl w:ilvl="0" w:tplc="04260001">
      <w:start w:val="1"/>
      <w:numFmt w:val="bullet"/>
      <w:lvlText w:val=""/>
      <w:lvlJc w:val="left"/>
      <w:pPr>
        <w:ind w:left="2889" w:hanging="360"/>
      </w:pPr>
      <w:rPr>
        <w:rFonts w:ascii="Symbol" w:hAnsi="Symbol" w:hint="default"/>
      </w:rPr>
    </w:lvl>
    <w:lvl w:ilvl="1" w:tplc="04260003" w:tentative="1">
      <w:start w:val="1"/>
      <w:numFmt w:val="bullet"/>
      <w:lvlText w:val="o"/>
      <w:lvlJc w:val="left"/>
      <w:pPr>
        <w:ind w:left="3609" w:hanging="360"/>
      </w:pPr>
      <w:rPr>
        <w:rFonts w:ascii="Courier New" w:hAnsi="Courier New" w:cs="Courier New" w:hint="default"/>
      </w:rPr>
    </w:lvl>
    <w:lvl w:ilvl="2" w:tplc="04260005" w:tentative="1">
      <w:start w:val="1"/>
      <w:numFmt w:val="bullet"/>
      <w:lvlText w:val=""/>
      <w:lvlJc w:val="left"/>
      <w:pPr>
        <w:ind w:left="4329" w:hanging="360"/>
      </w:pPr>
      <w:rPr>
        <w:rFonts w:ascii="Wingdings" w:hAnsi="Wingdings" w:hint="default"/>
      </w:rPr>
    </w:lvl>
    <w:lvl w:ilvl="3" w:tplc="04260001" w:tentative="1">
      <w:start w:val="1"/>
      <w:numFmt w:val="bullet"/>
      <w:lvlText w:val=""/>
      <w:lvlJc w:val="left"/>
      <w:pPr>
        <w:ind w:left="5049" w:hanging="360"/>
      </w:pPr>
      <w:rPr>
        <w:rFonts w:ascii="Symbol" w:hAnsi="Symbol" w:hint="default"/>
      </w:rPr>
    </w:lvl>
    <w:lvl w:ilvl="4" w:tplc="04260003" w:tentative="1">
      <w:start w:val="1"/>
      <w:numFmt w:val="bullet"/>
      <w:lvlText w:val="o"/>
      <w:lvlJc w:val="left"/>
      <w:pPr>
        <w:ind w:left="5769" w:hanging="360"/>
      </w:pPr>
      <w:rPr>
        <w:rFonts w:ascii="Courier New" w:hAnsi="Courier New" w:cs="Courier New" w:hint="default"/>
      </w:rPr>
    </w:lvl>
    <w:lvl w:ilvl="5" w:tplc="04260005" w:tentative="1">
      <w:start w:val="1"/>
      <w:numFmt w:val="bullet"/>
      <w:lvlText w:val=""/>
      <w:lvlJc w:val="left"/>
      <w:pPr>
        <w:ind w:left="6489" w:hanging="360"/>
      </w:pPr>
      <w:rPr>
        <w:rFonts w:ascii="Wingdings" w:hAnsi="Wingdings" w:hint="default"/>
      </w:rPr>
    </w:lvl>
    <w:lvl w:ilvl="6" w:tplc="04260001" w:tentative="1">
      <w:start w:val="1"/>
      <w:numFmt w:val="bullet"/>
      <w:lvlText w:val=""/>
      <w:lvlJc w:val="left"/>
      <w:pPr>
        <w:ind w:left="7209" w:hanging="360"/>
      </w:pPr>
      <w:rPr>
        <w:rFonts w:ascii="Symbol" w:hAnsi="Symbol" w:hint="default"/>
      </w:rPr>
    </w:lvl>
    <w:lvl w:ilvl="7" w:tplc="04260003" w:tentative="1">
      <w:start w:val="1"/>
      <w:numFmt w:val="bullet"/>
      <w:lvlText w:val="o"/>
      <w:lvlJc w:val="left"/>
      <w:pPr>
        <w:ind w:left="7929" w:hanging="360"/>
      </w:pPr>
      <w:rPr>
        <w:rFonts w:ascii="Courier New" w:hAnsi="Courier New" w:cs="Courier New" w:hint="default"/>
      </w:rPr>
    </w:lvl>
    <w:lvl w:ilvl="8" w:tplc="04260005" w:tentative="1">
      <w:start w:val="1"/>
      <w:numFmt w:val="bullet"/>
      <w:lvlText w:val=""/>
      <w:lvlJc w:val="left"/>
      <w:pPr>
        <w:ind w:left="8649" w:hanging="360"/>
      </w:pPr>
      <w:rPr>
        <w:rFonts w:ascii="Wingdings" w:hAnsi="Wingdings" w:hint="default"/>
      </w:rPr>
    </w:lvl>
  </w:abstractNum>
  <w:abstractNum w:abstractNumId="5" w15:restartNumberingAfterBreak="0">
    <w:nsid w:val="2D666EAA"/>
    <w:multiLevelType w:val="multilevel"/>
    <w:tmpl w:val="635C29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B5039E"/>
    <w:multiLevelType w:val="hybridMultilevel"/>
    <w:tmpl w:val="C97C3E64"/>
    <w:lvl w:ilvl="0" w:tplc="8F7E5B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7E45667"/>
    <w:multiLevelType w:val="hybridMultilevel"/>
    <w:tmpl w:val="C9A679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9B806A7"/>
    <w:multiLevelType w:val="hybridMultilevel"/>
    <w:tmpl w:val="5DC6F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C36BC5"/>
    <w:multiLevelType w:val="hybridMultilevel"/>
    <w:tmpl w:val="BBC4DD00"/>
    <w:lvl w:ilvl="0" w:tplc="04260019">
      <w:start w:val="1"/>
      <w:numFmt w:val="lowerLetter"/>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6932870"/>
    <w:multiLevelType w:val="hybridMultilevel"/>
    <w:tmpl w:val="873C969C"/>
    <w:lvl w:ilvl="0" w:tplc="A236848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0BD3B3A"/>
    <w:multiLevelType w:val="hybridMultilevel"/>
    <w:tmpl w:val="A78AC1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5001B0A"/>
    <w:multiLevelType w:val="hybridMultilevel"/>
    <w:tmpl w:val="32460C04"/>
    <w:lvl w:ilvl="0" w:tplc="A20E6A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0B28D4"/>
    <w:multiLevelType w:val="hybridMultilevel"/>
    <w:tmpl w:val="AE103238"/>
    <w:lvl w:ilvl="0" w:tplc="B0206B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31085B"/>
    <w:multiLevelType w:val="hybridMultilevel"/>
    <w:tmpl w:val="FEACAF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C02606"/>
    <w:multiLevelType w:val="hybridMultilevel"/>
    <w:tmpl w:val="2B909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0D4AA2"/>
    <w:multiLevelType w:val="hybridMultilevel"/>
    <w:tmpl w:val="EC1480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85B7E1C"/>
    <w:multiLevelType w:val="hybridMultilevel"/>
    <w:tmpl w:val="749626F2"/>
    <w:lvl w:ilvl="0" w:tplc="A1F25F46">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3"/>
  </w:num>
  <w:num w:numId="3">
    <w:abstractNumId w:val="6"/>
  </w:num>
  <w:num w:numId="4">
    <w:abstractNumId w:val="15"/>
  </w:num>
  <w:num w:numId="5">
    <w:abstractNumId w:val="14"/>
  </w:num>
  <w:num w:numId="6">
    <w:abstractNumId w:val="1"/>
  </w:num>
  <w:num w:numId="7">
    <w:abstractNumId w:val="11"/>
  </w:num>
  <w:num w:numId="8">
    <w:abstractNumId w:val="4"/>
  </w:num>
  <w:num w:numId="9">
    <w:abstractNumId w:val="10"/>
  </w:num>
  <w:num w:numId="10">
    <w:abstractNumId w:val="3"/>
  </w:num>
  <w:num w:numId="11">
    <w:abstractNumId w:val="2"/>
  </w:num>
  <w:num w:numId="12">
    <w:abstractNumId w:val="12"/>
  </w:num>
  <w:num w:numId="13">
    <w:abstractNumId w:val="0"/>
  </w:num>
  <w:num w:numId="14">
    <w:abstractNumId w:val="7"/>
  </w:num>
  <w:num w:numId="15">
    <w:abstractNumId w:val="16"/>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8"/>
    <w:rsid w:val="00012E8F"/>
    <w:rsid w:val="0007296C"/>
    <w:rsid w:val="00086216"/>
    <w:rsid w:val="00087B55"/>
    <w:rsid w:val="000970DD"/>
    <w:rsid w:val="000A161F"/>
    <w:rsid w:val="000A72C9"/>
    <w:rsid w:val="000E69E3"/>
    <w:rsid w:val="000F4C34"/>
    <w:rsid w:val="000F6398"/>
    <w:rsid w:val="00103436"/>
    <w:rsid w:val="001069E7"/>
    <w:rsid w:val="00106A9C"/>
    <w:rsid w:val="00120CA0"/>
    <w:rsid w:val="00122290"/>
    <w:rsid w:val="001369D8"/>
    <w:rsid w:val="00192667"/>
    <w:rsid w:val="00197467"/>
    <w:rsid w:val="001A0018"/>
    <w:rsid w:val="001B7E75"/>
    <w:rsid w:val="001C771B"/>
    <w:rsid w:val="001E1C69"/>
    <w:rsid w:val="001F685F"/>
    <w:rsid w:val="002007E3"/>
    <w:rsid w:val="00221941"/>
    <w:rsid w:val="00236A14"/>
    <w:rsid w:val="00266361"/>
    <w:rsid w:val="002731FD"/>
    <w:rsid w:val="002A1DC8"/>
    <w:rsid w:val="002B25D8"/>
    <w:rsid w:val="002E45B7"/>
    <w:rsid w:val="0031587A"/>
    <w:rsid w:val="00326B72"/>
    <w:rsid w:val="00337379"/>
    <w:rsid w:val="00342BB2"/>
    <w:rsid w:val="0035439B"/>
    <w:rsid w:val="00357293"/>
    <w:rsid w:val="00364623"/>
    <w:rsid w:val="0038558B"/>
    <w:rsid w:val="00387BD6"/>
    <w:rsid w:val="00390668"/>
    <w:rsid w:val="003E05B9"/>
    <w:rsid w:val="00444299"/>
    <w:rsid w:val="00444B0C"/>
    <w:rsid w:val="00466D67"/>
    <w:rsid w:val="004D6761"/>
    <w:rsid w:val="004E1863"/>
    <w:rsid w:val="004E7A2E"/>
    <w:rsid w:val="00511326"/>
    <w:rsid w:val="00514B87"/>
    <w:rsid w:val="00523A93"/>
    <w:rsid w:val="0054043A"/>
    <w:rsid w:val="00546946"/>
    <w:rsid w:val="005541FF"/>
    <w:rsid w:val="005656BE"/>
    <w:rsid w:val="00570EDB"/>
    <w:rsid w:val="00587EF4"/>
    <w:rsid w:val="00596B64"/>
    <w:rsid w:val="005A1B34"/>
    <w:rsid w:val="005B0915"/>
    <w:rsid w:val="005B72C7"/>
    <w:rsid w:val="005D524D"/>
    <w:rsid w:val="005E2566"/>
    <w:rsid w:val="005E54F1"/>
    <w:rsid w:val="00604BEC"/>
    <w:rsid w:val="00607C1D"/>
    <w:rsid w:val="006730B3"/>
    <w:rsid w:val="0067398E"/>
    <w:rsid w:val="006952F5"/>
    <w:rsid w:val="006B73C6"/>
    <w:rsid w:val="006C49D1"/>
    <w:rsid w:val="006D17DC"/>
    <w:rsid w:val="006E5744"/>
    <w:rsid w:val="00716B68"/>
    <w:rsid w:val="00725FA4"/>
    <w:rsid w:val="007336B8"/>
    <w:rsid w:val="00736E87"/>
    <w:rsid w:val="0074572B"/>
    <w:rsid w:val="00751099"/>
    <w:rsid w:val="0076193D"/>
    <w:rsid w:val="00762ADE"/>
    <w:rsid w:val="00796043"/>
    <w:rsid w:val="007B7DB4"/>
    <w:rsid w:val="007C0C11"/>
    <w:rsid w:val="007D5DC3"/>
    <w:rsid w:val="007D7878"/>
    <w:rsid w:val="007D7E2C"/>
    <w:rsid w:val="007F23A9"/>
    <w:rsid w:val="008064A6"/>
    <w:rsid w:val="008232F4"/>
    <w:rsid w:val="0084074C"/>
    <w:rsid w:val="0084784B"/>
    <w:rsid w:val="00877E68"/>
    <w:rsid w:val="00885403"/>
    <w:rsid w:val="00886E2F"/>
    <w:rsid w:val="00895EC9"/>
    <w:rsid w:val="008C1A5B"/>
    <w:rsid w:val="008D4FAE"/>
    <w:rsid w:val="009063E0"/>
    <w:rsid w:val="00911886"/>
    <w:rsid w:val="009402F6"/>
    <w:rsid w:val="00951C20"/>
    <w:rsid w:val="00961B77"/>
    <w:rsid w:val="009778BD"/>
    <w:rsid w:val="009843CA"/>
    <w:rsid w:val="00991570"/>
    <w:rsid w:val="00994FB1"/>
    <w:rsid w:val="009B283A"/>
    <w:rsid w:val="009B611D"/>
    <w:rsid w:val="009C02EC"/>
    <w:rsid w:val="009C1131"/>
    <w:rsid w:val="009D051F"/>
    <w:rsid w:val="00A02CC7"/>
    <w:rsid w:val="00A11BF1"/>
    <w:rsid w:val="00A27A28"/>
    <w:rsid w:val="00A31B82"/>
    <w:rsid w:val="00A50AE5"/>
    <w:rsid w:val="00AB098E"/>
    <w:rsid w:val="00AE23F9"/>
    <w:rsid w:val="00B11EE1"/>
    <w:rsid w:val="00B25016"/>
    <w:rsid w:val="00B30B95"/>
    <w:rsid w:val="00B32B7D"/>
    <w:rsid w:val="00B5554C"/>
    <w:rsid w:val="00B56165"/>
    <w:rsid w:val="00B610F8"/>
    <w:rsid w:val="00B66D3B"/>
    <w:rsid w:val="00B91527"/>
    <w:rsid w:val="00B93CF0"/>
    <w:rsid w:val="00BB0A3C"/>
    <w:rsid w:val="00BC17B8"/>
    <w:rsid w:val="00BC5D4A"/>
    <w:rsid w:val="00BD491B"/>
    <w:rsid w:val="00BD5958"/>
    <w:rsid w:val="00BD5FB8"/>
    <w:rsid w:val="00C01AFB"/>
    <w:rsid w:val="00C13373"/>
    <w:rsid w:val="00C318AF"/>
    <w:rsid w:val="00C461D8"/>
    <w:rsid w:val="00C65A62"/>
    <w:rsid w:val="00C81815"/>
    <w:rsid w:val="00CB3480"/>
    <w:rsid w:val="00CB5407"/>
    <w:rsid w:val="00CC7F37"/>
    <w:rsid w:val="00CE3AA0"/>
    <w:rsid w:val="00CE77E0"/>
    <w:rsid w:val="00D01FBA"/>
    <w:rsid w:val="00D03086"/>
    <w:rsid w:val="00D10C9D"/>
    <w:rsid w:val="00D254F4"/>
    <w:rsid w:val="00D554AE"/>
    <w:rsid w:val="00D6248F"/>
    <w:rsid w:val="00D67DBF"/>
    <w:rsid w:val="00D818E5"/>
    <w:rsid w:val="00DC22CD"/>
    <w:rsid w:val="00E10679"/>
    <w:rsid w:val="00E2533A"/>
    <w:rsid w:val="00E56BC6"/>
    <w:rsid w:val="00E87CC7"/>
    <w:rsid w:val="00E9193C"/>
    <w:rsid w:val="00EA00E4"/>
    <w:rsid w:val="00EB0430"/>
    <w:rsid w:val="00EB3E64"/>
    <w:rsid w:val="00EC1ACB"/>
    <w:rsid w:val="00EF1062"/>
    <w:rsid w:val="00EF4AB1"/>
    <w:rsid w:val="00F24F91"/>
    <w:rsid w:val="00F43450"/>
    <w:rsid w:val="00F57AD1"/>
    <w:rsid w:val="00F62956"/>
    <w:rsid w:val="00FA6D7E"/>
    <w:rsid w:val="00FB0C36"/>
    <w:rsid w:val="00FF08C5"/>
    <w:rsid w:val="00FF7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F90255"/>
  <w15:chartTrackingRefBased/>
  <w15:docId w15:val="{725AFE1C-C05E-45D3-A84F-A4DE287B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1D8"/>
  </w:style>
  <w:style w:type="paragraph" w:styleId="Heading1">
    <w:name w:val="heading 1"/>
    <w:basedOn w:val="Normal"/>
    <w:next w:val="Normal"/>
    <w:link w:val="Heading1Char"/>
    <w:uiPriority w:val="9"/>
    <w:qFormat/>
    <w:rsid w:val="005B72C7"/>
    <w:pPr>
      <w:keepNext/>
      <w:keepLines/>
      <w:spacing w:before="120" w:after="120" w:line="360" w:lineRule="auto"/>
      <w:jc w:val="center"/>
      <w:outlineLvl w:val="0"/>
    </w:pPr>
    <w:rPr>
      <w:rFonts w:ascii="Times New Roman" w:eastAsiaTheme="majorEastAsia" w:hAnsi="Times New Roman" w:cs="Times New Roman"/>
      <w:b/>
      <w:color w:val="000000" w:themeColor="text1"/>
      <w:sz w:val="32"/>
      <w:szCs w:val="32"/>
    </w:rPr>
  </w:style>
  <w:style w:type="paragraph" w:styleId="Heading2">
    <w:name w:val="heading 2"/>
    <w:basedOn w:val="Normal"/>
    <w:next w:val="Normal"/>
    <w:link w:val="Heading2Char"/>
    <w:uiPriority w:val="9"/>
    <w:unhideWhenUsed/>
    <w:qFormat/>
    <w:rsid w:val="005B72C7"/>
    <w:pPr>
      <w:keepNext/>
      <w:keepLines/>
      <w:spacing w:before="120" w:after="120" w:line="360" w:lineRule="auto"/>
      <w:jc w:val="center"/>
      <w:outlineLvl w:val="1"/>
    </w:pPr>
    <w:rPr>
      <w:rFonts w:ascii="Times New Roman" w:eastAsiaTheme="majorEastAsia" w:hAnsi="Times New Roman" w:cs="Times New Roman"/>
      <w:b/>
      <w:color w:val="000000" w:themeColor="text1"/>
      <w:sz w:val="28"/>
      <w:szCs w:val="28"/>
    </w:rPr>
  </w:style>
  <w:style w:type="paragraph" w:styleId="Heading3">
    <w:name w:val="heading 3"/>
    <w:basedOn w:val="Normal"/>
    <w:next w:val="Normal"/>
    <w:link w:val="Heading3Char"/>
    <w:uiPriority w:val="9"/>
    <w:unhideWhenUsed/>
    <w:qFormat/>
    <w:rsid w:val="005B72C7"/>
    <w:pPr>
      <w:keepNext/>
      <w:keepLines/>
      <w:spacing w:before="40" w:after="0"/>
      <w:jc w:val="center"/>
      <w:outlineLvl w:val="2"/>
    </w:pPr>
    <w:rPr>
      <w:rFonts w:ascii="Times New Roman" w:eastAsiaTheme="majorEastAsia" w:hAnsi="Times New Roman"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D7E2C"/>
    <w:pPr>
      <w:ind w:left="720"/>
      <w:contextualSpacing/>
    </w:pPr>
  </w:style>
  <w:style w:type="character" w:styleId="CommentReference">
    <w:name w:val="annotation reference"/>
    <w:basedOn w:val="DefaultParagraphFont"/>
    <w:uiPriority w:val="99"/>
    <w:semiHidden/>
    <w:unhideWhenUsed/>
    <w:rsid w:val="00D554AE"/>
    <w:rPr>
      <w:sz w:val="16"/>
      <w:szCs w:val="16"/>
    </w:rPr>
  </w:style>
  <w:style w:type="paragraph" w:styleId="CommentText">
    <w:name w:val="annotation text"/>
    <w:basedOn w:val="Normal"/>
    <w:link w:val="CommentTextChar"/>
    <w:uiPriority w:val="99"/>
    <w:semiHidden/>
    <w:unhideWhenUsed/>
    <w:rsid w:val="00D554AE"/>
    <w:pPr>
      <w:spacing w:line="240" w:lineRule="auto"/>
    </w:pPr>
    <w:rPr>
      <w:sz w:val="20"/>
      <w:szCs w:val="20"/>
    </w:rPr>
  </w:style>
  <w:style w:type="character" w:customStyle="1" w:styleId="CommentTextChar">
    <w:name w:val="Comment Text Char"/>
    <w:basedOn w:val="DefaultParagraphFont"/>
    <w:link w:val="CommentText"/>
    <w:uiPriority w:val="99"/>
    <w:semiHidden/>
    <w:rsid w:val="00D554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54AE"/>
    <w:rPr>
      <w:b/>
      <w:bCs/>
    </w:rPr>
  </w:style>
  <w:style w:type="character" w:customStyle="1" w:styleId="CommentSubjectChar">
    <w:name w:val="Comment Subject Char"/>
    <w:basedOn w:val="CommentTextChar"/>
    <w:link w:val="CommentSubject"/>
    <w:uiPriority w:val="99"/>
    <w:semiHidden/>
    <w:rsid w:val="00D554AE"/>
    <w:rPr>
      <w:rFonts w:ascii="Times New Roman" w:hAnsi="Times New Roman"/>
      <w:b/>
      <w:bCs/>
      <w:sz w:val="20"/>
      <w:szCs w:val="20"/>
    </w:rPr>
  </w:style>
  <w:style w:type="paragraph" w:styleId="BalloonText">
    <w:name w:val="Balloon Text"/>
    <w:basedOn w:val="Normal"/>
    <w:link w:val="BalloonTextChar"/>
    <w:uiPriority w:val="99"/>
    <w:semiHidden/>
    <w:unhideWhenUsed/>
    <w:rsid w:val="00D5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AE"/>
    <w:rPr>
      <w:rFonts w:ascii="Segoe UI" w:hAnsi="Segoe UI" w:cs="Segoe UI"/>
      <w:sz w:val="18"/>
      <w:szCs w:val="18"/>
    </w:rPr>
  </w:style>
  <w:style w:type="paragraph" w:styleId="FootnoteText">
    <w:name w:val="footnote text"/>
    <w:basedOn w:val="Normal"/>
    <w:link w:val="FootnoteTextChar"/>
    <w:uiPriority w:val="99"/>
    <w:semiHidden/>
    <w:unhideWhenUsed/>
    <w:rsid w:val="00B30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B95"/>
    <w:rPr>
      <w:rFonts w:ascii="Times New Roman" w:hAnsi="Times New Roman"/>
      <w:sz w:val="20"/>
      <w:szCs w:val="20"/>
    </w:rPr>
  </w:style>
  <w:style w:type="character" w:styleId="FootnoteReference">
    <w:name w:val="footnote reference"/>
    <w:basedOn w:val="DefaultParagraphFont"/>
    <w:uiPriority w:val="99"/>
    <w:semiHidden/>
    <w:unhideWhenUsed/>
    <w:rsid w:val="00B30B95"/>
    <w:rPr>
      <w:vertAlign w:val="superscript"/>
    </w:rPr>
  </w:style>
  <w:style w:type="paragraph" w:styleId="Header">
    <w:name w:val="header"/>
    <w:basedOn w:val="Normal"/>
    <w:link w:val="HeaderChar"/>
    <w:uiPriority w:val="99"/>
    <w:unhideWhenUsed/>
    <w:rsid w:val="00C133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373"/>
    <w:rPr>
      <w:rFonts w:ascii="Times New Roman" w:hAnsi="Times New Roman"/>
      <w:sz w:val="24"/>
    </w:rPr>
  </w:style>
  <w:style w:type="paragraph" w:styleId="Footer">
    <w:name w:val="footer"/>
    <w:basedOn w:val="Normal"/>
    <w:link w:val="FooterChar"/>
    <w:uiPriority w:val="99"/>
    <w:unhideWhenUsed/>
    <w:rsid w:val="00C133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373"/>
    <w:rPr>
      <w:rFonts w:ascii="Times New Roman" w:hAnsi="Times New Roman"/>
      <w:sz w:val="24"/>
    </w:rPr>
  </w:style>
  <w:style w:type="table" w:styleId="TableGrid">
    <w:name w:val="Table Grid"/>
    <w:basedOn w:val="TableNormal"/>
    <w:uiPriority w:val="39"/>
    <w:rsid w:val="009B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611D"/>
    <w:rPr>
      <w:i/>
      <w:iC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26B72"/>
    <w:rPr>
      <w:rFonts w:ascii="Times New Roman" w:hAnsi="Times New Roman"/>
      <w:sz w:val="24"/>
    </w:rPr>
  </w:style>
  <w:style w:type="character" w:customStyle="1" w:styleId="Heading1Char">
    <w:name w:val="Heading 1 Char"/>
    <w:basedOn w:val="DefaultParagraphFont"/>
    <w:link w:val="Heading1"/>
    <w:uiPriority w:val="9"/>
    <w:rsid w:val="005B72C7"/>
    <w:rPr>
      <w:rFonts w:ascii="Times New Roman" w:eastAsiaTheme="majorEastAsia" w:hAnsi="Times New Roman" w:cs="Times New Roman"/>
      <w:b/>
      <w:color w:val="000000" w:themeColor="text1"/>
      <w:sz w:val="32"/>
      <w:szCs w:val="32"/>
    </w:rPr>
  </w:style>
  <w:style w:type="character" w:customStyle="1" w:styleId="Heading2Char">
    <w:name w:val="Heading 2 Char"/>
    <w:basedOn w:val="DefaultParagraphFont"/>
    <w:link w:val="Heading2"/>
    <w:uiPriority w:val="9"/>
    <w:rsid w:val="005B72C7"/>
    <w:rPr>
      <w:rFonts w:ascii="Times New Roman" w:eastAsiaTheme="majorEastAsia" w:hAnsi="Times New Roman" w:cs="Times New Roman"/>
      <w:b/>
      <w:color w:val="000000" w:themeColor="text1"/>
      <w:sz w:val="28"/>
      <w:szCs w:val="28"/>
    </w:rPr>
  </w:style>
  <w:style w:type="character" w:customStyle="1" w:styleId="Heading3Char">
    <w:name w:val="Heading 3 Char"/>
    <w:basedOn w:val="DefaultParagraphFont"/>
    <w:link w:val="Heading3"/>
    <w:uiPriority w:val="9"/>
    <w:rsid w:val="005B72C7"/>
    <w:rPr>
      <w:rFonts w:ascii="Times New Roman" w:eastAsiaTheme="majorEastAsia" w:hAnsi="Times New Roman" w:cs="Times New Roman"/>
      <w:b/>
      <w:color w:val="000000" w:themeColor="text1"/>
      <w:szCs w:val="24"/>
    </w:rPr>
  </w:style>
  <w:style w:type="paragraph" w:styleId="TOCHeading">
    <w:name w:val="TOC Heading"/>
    <w:basedOn w:val="Heading1"/>
    <w:next w:val="Normal"/>
    <w:uiPriority w:val="39"/>
    <w:unhideWhenUsed/>
    <w:qFormat/>
    <w:rsid w:val="00E10679"/>
    <w:pPr>
      <w:spacing w:before="240" w:after="0" w:line="259" w:lineRule="auto"/>
      <w:jc w:val="left"/>
      <w:outlineLvl w:val="9"/>
    </w:pPr>
    <w:rPr>
      <w:rFonts w:asciiTheme="majorHAnsi" w:hAnsiTheme="majorHAnsi" w:cstheme="majorBidi"/>
      <w:b w:val="0"/>
      <w:color w:val="2F5496" w:themeColor="accent1" w:themeShade="BF"/>
      <w:lang w:val="en-US"/>
    </w:rPr>
  </w:style>
  <w:style w:type="paragraph" w:styleId="TOC1">
    <w:name w:val="toc 1"/>
    <w:basedOn w:val="Normal"/>
    <w:next w:val="Normal"/>
    <w:autoRedefine/>
    <w:uiPriority w:val="39"/>
    <w:unhideWhenUsed/>
    <w:rsid w:val="00C461D8"/>
    <w:pPr>
      <w:spacing w:after="100"/>
    </w:pPr>
    <w:rPr>
      <w:rFonts w:ascii="Times New Roman" w:hAnsi="Times New Roman"/>
      <w:sz w:val="28"/>
    </w:rPr>
  </w:style>
  <w:style w:type="paragraph" w:styleId="TOC2">
    <w:name w:val="toc 2"/>
    <w:basedOn w:val="Normal"/>
    <w:next w:val="Normal"/>
    <w:autoRedefine/>
    <w:uiPriority w:val="39"/>
    <w:unhideWhenUsed/>
    <w:rsid w:val="00C461D8"/>
    <w:pPr>
      <w:spacing w:after="100"/>
      <w:ind w:left="240"/>
    </w:pPr>
    <w:rPr>
      <w:rFonts w:ascii="Times New Roman" w:hAnsi="Times New Roman"/>
      <w:sz w:val="28"/>
    </w:rPr>
  </w:style>
  <w:style w:type="paragraph" w:styleId="TOC3">
    <w:name w:val="toc 3"/>
    <w:basedOn w:val="Normal"/>
    <w:next w:val="Normal"/>
    <w:autoRedefine/>
    <w:uiPriority w:val="39"/>
    <w:unhideWhenUsed/>
    <w:rsid w:val="00C461D8"/>
    <w:pPr>
      <w:spacing w:after="100"/>
      <w:ind w:left="480"/>
    </w:pPr>
    <w:rPr>
      <w:rFonts w:ascii="Times New Roman" w:hAnsi="Times New Roman"/>
      <w:sz w:val="28"/>
    </w:rPr>
  </w:style>
  <w:style w:type="character" w:styleId="Hyperlink">
    <w:name w:val="Hyperlink"/>
    <w:basedOn w:val="DefaultParagraphFont"/>
    <w:uiPriority w:val="99"/>
    <w:unhideWhenUsed/>
    <w:rsid w:val="00E10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00492">
      <w:bodyDiv w:val="1"/>
      <w:marLeft w:val="0"/>
      <w:marRight w:val="0"/>
      <w:marTop w:val="0"/>
      <w:marBottom w:val="0"/>
      <w:divBdr>
        <w:top w:val="none" w:sz="0" w:space="0" w:color="auto"/>
        <w:left w:val="none" w:sz="0" w:space="0" w:color="auto"/>
        <w:bottom w:val="none" w:sz="0" w:space="0" w:color="auto"/>
        <w:right w:val="none" w:sz="0" w:space="0" w:color="auto"/>
      </w:divBdr>
      <w:divsChild>
        <w:div w:id="1658918464">
          <w:marLeft w:val="0"/>
          <w:marRight w:val="0"/>
          <w:marTop w:val="0"/>
          <w:marBottom w:val="0"/>
          <w:divBdr>
            <w:top w:val="none" w:sz="0" w:space="0" w:color="auto"/>
            <w:left w:val="none" w:sz="0" w:space="0" w:color="auto"/>
            <w:bottom w:val="none" w:sz="0" w:space="0" w:color="auto"/>
            <w:right w:val="none" w:sz="0" w:space="0" w:color="auto"/>
          </w:divBdr>
        </w:div>
      </w:divsChild>
    </w:div>
    <w:div w:id="935748811">
      <w:bodyDiv w:val="1"/>
      <w:marLeft w:val="0"/>
      <w:marRight w:val="0"/>
      <w:marTop w:val="0"/>
      <w:marBottom w:val="0"/>
      <w:divBdr>
        <w:top w:val="none" w:sz="0" w:space="0" w:color="auto"/>
        <w:left w:val="none" w:sz="0" w:space="0" w:color="auto"/>
        <w:bottom w:val="none" w:sz="0" w:space="0" w:color="auto"/>
        <w:right w:val="none" w:sz="0" w:space="0" w:color="auto"/>
      </w:divBdr>
      <w:divsChild>
        <w:div w:id="1921134200">
          <w:marLeft w:val="0"/>
          <w:marRight w:val="0"/>
          <w:marTop w:val="0"/>
          <w:marBottom w:val="0"/>
          <w:divBdr>
            <w:top w:val="none" w:sz="0" w:space="0" w:color="auto"/>
            <w:left w:val="none" w:sz="0" w:space="0" w:color="auto"/>
            <w:bottom w:val="none" w:sz="0" w:space="0" w:color="auto"/>
            <w:right w:val="none" w:sz="0" w:space="0" w:color="auto"/>
          </w:divBdr>
        </w:div>
      </w:divsChild>
    </w:div>
    <w:div w:id="1570073438">
      <w:bodyDiv w:val="1"/>
      <w:marLeft w:val="0"/>
      <w:marRight w:val="0"/>
      <w:marTop w:val="0"/>
      <w:marBottom w:val="0"/>
      <w:divBdr>
        <w:top w:val="none" w:sz="0" w:space="0" w:color="auto"/>
        <w:left w:val="none" w:sz="0" w:space="0" w:color="auto"/>
        <w:bottom w:val="none" w:sz="0" w:space="0" w:color="auto"/>
        <w:right w:val="none" w:sz="0" w:space="0" w:color="auto"/>
      </w:divBdr>
      <w:divsChild>
        <w:div w:id="188837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A81C-1FB4-4D46-AE05-113E3AC5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17158</Words>
  <Characters>9781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Purvlīcis</dc:creator>
  <cp:keywords/>
  <dc:description/>
  <cp:lastModifiedBy>Rolands Purvlīcis</cp:lastModifiedBy>
  <cp:revision>24</cp:revision>
  <cp:lastPrinted>2019-04-24T08:33:00Z</cp:lastPrinted>
  <dcterms:created xsi:type="dcterms:W3CDTF">2019-04-23T09:40:00Z</dcterms:created>
  <dcterms:modified xsi:type="dcterms:W3CDTF">2019-05-30T13:47:00Z</dcterms:modified>
</cp:coreProperties>
</file>