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F6" w:rsidRPr="00CE64E6" w:rsidRDefault="00F773F6" w:rsidP="00F773F6">
      <w:pPr>
        <w:pStyle w:val="Subtitle"/>
        <w:jc w:val="center"/>
        <w:rPr>
          <w:lang w:val="lv-LV"/>
        </w:rPr>
      </w:pPr>
      <w:bookmarkStart w:id="0" w:name="_GoBack"/>
      <w:bookmarkEnd w:id="0"/>
    </w:p>
    <w:p w:rsidR="00F773F6" w:rsidRPr="00CE64E6" w:rsidRDefault="00F773F6" w:rsidP="00F773F6">
      <w:pPr>
        <w:pStyle w:val="Logo"/>
        <w:ind w:left="0"/>
        <w:jc w:val="left"/>
        <w:rPr>
          <w:b/>
          <w:lang w:val="lv-LV"/>
        </w:rPr>
      </w:pPr>
      <w:r>
        <w:rPr>
          <w:b/>
          <w:noProof/>
          <w:lang w:val="lv-LV" w:eastAsia="lv-LV"/>
        </w:rPr>
        <w:drawing>
          <wp:anchor distT="0" distB="0" distL="114300" distR="114300" simplePos="0" relativeHeight="251659264" behindDoc="1" locked="0" layoutInCell="1" allowOverlap="1" wp14:anchorId="016ED2E2" wp14:editId="139CCA59">
            <wp:simplePos x="0" y="0"/>
            <wp:positionH relativeFrom="margin">
              <wp:align>left</wp:align>
            </wp:positionH>
            <wp:positionV relativeFrom="paragraph">
              <wp:posOffset>190500</wp:posOffset>
            </wp:positionV>
            <wp:extent cx="6190615" cy="401891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615" cy="4018915"/>
                    </a:xfrm>
                    <a:prstGeom prst="rect">
                      <a:avLst/>
                    </a:prstGeom>
                    <a:noFill/>
                  </pic:spPr>
                </pic:pic>
              </a:graphicData>
            </a:graphic>
            <wp14:sizeRelH relativeFrom="page">
              <wp14:pctWidth>0</wp14:pctWidth>
            </wp14:sizeRelH>
            <wp14:sizeRelV relativeFrom="page">
              <wp14:pctHeight>0</wp14:pctHeight>
            </wp14:sizeRelV>
          </wp:anchor>
        </w:drawing>
      </w:r>
    </w:p>
    <w:sdt>
      <w:sdtPr>
        <w:rPr>
          <w:color w:val="auto"/>
          <w:lang w:val="lv-LV"/>
        </w:rPr>
        <w:alias w:val="Enter title:"/>
        <w:tag w:val=""/>
        <w:id w:val="390237733"/>
        <w:placeholder>
          <w:docPart w:val="C52832C047A8460B9D599B9FEF0B0FD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773F6" w:rsidRPr="001C55F5" w:rsidRDefault="001C55F5" w:rsidP="00D52854">
          <w:pPr>
            <w:pStyle w:val="Title"/>
            <w:jc w:val="center"/>
            <w:rPr>
              <w:color w:val="auto"/>
              <w:lang w:val="lv-LV"/>
            </w:rPr>
          </w:pPr>
          <w:r w:rsidRPr="001C55F5">
            <w:rPr>
              <w:color w:val="auto"/>
              <w:lang w:val="lv-LV"/>
            </w:rPr>
            <w:t>INFORMATĪVAIS ZIŅOJUMS “PAR SITUĀCIJU VALSTS MEŽA DIENESTĀ MEŽA UGUNSDZĒSĪBAS JOMĀ”</w:t>
          </w:r>
        </w:p>
      </w:sdtContent>
    </w:sdt>
    <w:p w:rsidR="00F773F6" w:rsidRDefault="00F773F6" w:rsidP="00F773F6">
      <w:pPr>
        <w:ind w:left="0"/>
        <w:rPr>
          <w:rFonts w:asciiTheme="majorHAnsi" w:eastAsiaTheme="majorEastAsia" w:hAnsiTheme="majorHAnsi" w:cstheme="majorBidi"/>
          <w:caps/>
          <w:sz w:val="28"/>
          <w:szCs w:val="28"/>
          <w:lang w:val="lv-LV"/>
        </w:rPr>
      </w:pPr>
    </w:p>
    <w:p w:rsidR="00D52854" w:rsidRDefault="00D52854" w:rsidP="00F773F6">
      <w:pPr>
        <w:jc w:val="right"/>
        <w:rPr>
          <w:rFonts w:asciiTheme="majorHAnsi" w:eastAsiaTheme="majorEastAsia" w:hAnsiTheme="majorHAnsi" w:cstheme="majorBidi"/>
          <w:caps/>
          <w:sz w:val="28"/>
          <w:szCs w:val="28"/>
          <w:lang w:val="lv-LV"/>
        </w:rPr>
      </w:pPr>
    </w:p>
    <w:sdt>
      <w:sdtPr>
        <w:rPr>
          <w:rFonts w:asciiTheme="minorHAnsi" w:eastAsiaTheme="minorEastAsia" w:hAnsiTheme="minorHAnsi" w:cstheme="minorBidi"/>
          <w:caps w:val="0"/>
          <w:color w:val="auto"/>
          <w:sz w:val="22"/>
          <w:szCs w:val="22"/>
          <w:lang w:val="lv-LV"/>
        </w:rPr>
        <w:id w:val="1058672328"/>
        <w:docPartObj>
          <w:docPartGallery w:val="Table of Contents"/>
          <w:docPartUnique/>
        </w:docPartObj>
      </w:sdtPr>
      <w:sdtEndPr>
        <w:rPr>
          <w:b/>
          <w:bCs/>
          <w:noProof/>
        </w:rPr>
      </w:sdtEndPr>
      <w:sdtContent>
        <w:p w:rsidR="00F773F6" w:rsidRPr="003F2E00" w:rsidRDefault="00F773F6" w:rsidP="00F773F6">
          <w:pPr>
            <w:pStyle w:val="TOCHeading"/>
            <w:rPr>
              <w:rFonts w:ascii="Times New Roman" w:hAnsi="Times New Roman" w:cs="Times New Roman"/>
              <w:b/>
              <w:color w:val="C45911" w:themeColor="accent2" w:themeShade="BF"/>
              <w:lang w:val="lv-LV"/>
            </w:rPr>
          </w:pPr>
          <w:r w:rsidRPr="003F2E00">
            <w:rPr>
              <w:rFonts w:ascii="Times New Roman" w:hAnsi="Times New Roman" w:cs="Times New Roman"/>
              <w:b/>
              <w:color w:val="C45911" w:themeColor="accent2" w:themeShade="BF"/>
              <w:lang w:val="lv-LV"/>
            </w:rPr>
            <w:t>Satur</w:t>
          </w:r>
          <w:r w:rsidR="001F5D2A" w:rsidRPr="003F2E00">
            <w:rPr>
              <w:rFonts w:ascii="Times New Roman" w:hAnsi="Times New Roman" w:cs="Times New Roman"/>
              <w:b/>
              <w:color w:val="C45911" w:themeColor="accent2" w:themeShade="BF"/>
              <w:lang w:val="lv-LV"/>
            </w:rPr>
            <w:t>A RĀDĪTĀJS</w:t>
          </w:r>
        </w:p>
        <w:p w:rsidR="00747004" w:rsidRPr="003F2E00" w:rsidRDefault="00F773F6">
          <w:pPr>
            <w:pStyle w:val="TOC2"/>
            <w:tabs>
              <w:tab w:val="left" w:pos="660"/>
              <w:tab w:val="right" w:leader="dot" w:pos="9350"/>
            </w:tabs>
            <w:rPr>
              <w:rFonts w:ascii="Times New Roman" w:hAnsi="Times New Roman"/>
              <w:noProof/>
              <w:sz w:val="28"/>
              <w:szCs w:val="28"/>
              <w:lang w:val="lv-LV" w:eastAsia="lv-LV"/>
            </w:rPr>
          </w:pPr>
          <w:r w:rsidRPr="003F2E00">
            <w:rPr>
              <w:rFonts w:ascii="Times New Roman" w:hAnsi="Times New Roman"/>
              <w:sz w:val="28"/>
              <w:szCs w:val="28"/>
              <w:lang w:val="lv-LV"/>
            </w:rPr>
            <w:fldChar w:fldCharType="begin"/>
          </w:r>
          <w:r w:rsidRPr="003F2E00">
            <w:rPr>
              <w:rFonts w:ascii="Times New Roman" w:hAnsi="Times New Roman"/>
              <w:sz w:val="28"/>
              <w:szCs w:val="28"/>
              <w:lang w:val="lv-LV"/>
            </w:rPr>
            <w:instrText xml:space="preserve"> TOC \o "1-3" \h \z \u </w:instrText>
          </w:r>
          <w:r w:rsidRPr="003F2E00">
            <w:rPr>
              <w:rFonts w:ascii="Times New Roman" w:hAnsi="Times New Roman"/>
              <w:sz w:val="28"/>
              <w:szCs w:val="28"/>
              <w:lang w:val="lv-LV"/>
            </w:rPr>
            <w:fldChar w:fldCharType="separate"/>
          </w:r>
          <w:hyperlink w:anchor="_Toc5911194" w:history="1">
            <w:r w:rsidR="00747004" w:rsidRPr="003F2E00">
              <w:rPr>
                <w:rStyle w:val="Hyperlink"/>
                <w:rFonts w:ascii="Times New Roman" w:hAnsi="Times New Roman"/>
                <w:noProof/>
                <w:sz w:val="28"/>
                <w:szCs w:val="28"/>
              </w:rPr>
              <w:t>1.</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Ievads</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_Toc5911194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2</w:t>
            </w:r>
            <w:r w:rsidR="00747004" w:rsidRPr="003F2E00">
              <w:rPr>
                <w:rFonts w:ascii="Times New Roman" w:hAnsi="Times New Roman"/>
                <w:noProof/>
                <w:webHidden/>
                <w:sz w:val="28"/>
                <w:szCs w:val="28"/>
              </w:rPr>
              <w:fldChar w:fldCharType="end"/>
            </w:r>
          </w:hyperlink>
        </w:p>
        <w:p w:rsidR="00747004" w:rsidRPr="003F2E00" w:rsidRDefault="00CC3590">
          <w:pPr>
            <w:pStyle w:val="TOC2"/>
            <w:tabs>
              <w:tab w:val="left" w:pos="660"/>
              <w:tab w:val="right" w:leader="dot" w:pos="9350"/>
            </w:tabs>
            <w:rPr>
              <w:rFonts w:ascii="Times New Roman" w:hAnsi="Times New Roman"/>
              <w:noProof/>
              <w:sz w:val="28"/>
              <w:szCs w:val="28"/>
              <w:lang w:val="lv-LV" w:eastAsia="lv-LV"/>
            </w:rPr>
          </w:pPr>
          <w:hyperlink w:anchor="_Toc5911195" w:history="1">
            <w:r w:rsidR="00747004" w:rsidRPr="003F2E00">
              <w:rPr>
                <w:rStyle w:val="Hyperlink"/>
                <w:rFonts w:ascii="Times New Roman" w:hAnsi="Times New Roman"/>
                <w:noProof/>
                <w:sz w:val="28"/>
                <w:szCs w:val="28"/>
              </w:rPr>
              <w:t>2.</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Situācijas apraksts</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_Toc5911195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3</w:t>
            </w:r>
            <w:r w:rsidR="00747004" w:rsidRPr="003F2E00">
              <w:rPr>
                <w:rFonts w:ascii="Times New Roman" w:hAnsi="Times New Roman"/>
                <w:noProof/>
                <w:webHidden/>
                <w:sz w:val="28"/>
                <w:szCs w:val="28"/>
              </w:rPr>
              <w:fldChar w:fldCharType="end"/>
            </w:r>
          </w:hyperlink>
        </w:p>
        <w:p w:rsidR="00747004" w:rsidRPr="003F2E00" w:rsidRDefault="00CC3590">
          <w:pPr>
            <w:pStyle w:val="TOC3"/>
            <w:tabs>
              <w:tab w:val="left" w:pos="1100"/>
              <w:tab w:val="right" w:leader="dot" w:pos="9350"/>
            </w:tabs>
            <w:rPr>
              <w:rFonts w:ascii="Times New Roman" w:hAnsi="Times New Roman"/>
              <w:noProof/>
              <w:sz w:val="28"/>
              <w:szCs w:val="28"/>
              <w:lang w:val="lv-LV" w:eastAsia="lv-LV"/>
            </w:rPr>
          </w:pPr>
          <w:hyperlink w:anchor="_Toc5911196" w:history="1">
            <w:r w:rsidR="00747004" w:rsidRPr="003F2E00">
              <w:rPr>
                <w:rStyle w:val="Hyperlink"/>
                <w:rFonts w:ascii="Times New Roman" w:hAnsi="Times New Roman"/>
                <w:noProof/>
                <w:sz w:val="28"/>
                <w:szCs w:val="28"/>
              </w:rPr>
              <w:t>2.1.</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Latvijas mežu platība un ugunsgrēku postījumi</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_Toc5911196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4</w:t>
            </w:r>
            <w:r w:rsidR="00747004" w:rsidRPr="003F2E00">
              <w:rPr>
                <w:rFonts w:ascii="Times New Roman" w:hAnsi="Times New Roman"/>
                <w:noProof/>
                <w:webHidden/>
                <w:sz w:val="28"/>
                <w:szCs w:val="28"/>
              </w:rPr>
              <w:fldChar w:fldCharType="end"/>
            </w:r>
          </w:hyperlink>
        </w:p>
        <w:p w:rsidR="00747004" w:rsidRPr="003F2E00" w:rsidRDefault="00CC3590">
          <w:pPr>
            <w:pStyle w:val="TOC3"/>
            <w:tabs>
              <w:tab w:val="left" w:pos="1100"/>
              <w:tab w:val="right" w:leader="dot" w:pos="9350"/>
            </w:tabs>
            <w:rPr>
              <w:rFonts w:ascii="Times New Roman" w:hAnsi="Times New Roman"/>
              <w:noProof/>
              <w:sz w:val="28"/>
              <w:szCs w:val="28"/>
              <w:lang w:val="lv-LV" w:eastAsia="lv-LV"/>
            </w:rPr>
          </w:pPr>
          <w:hyperlink w:anchor="_Toc5911197" w:history="1">
            <w:r w:rsidR="00747004" w:rsidRPr="003F2E00">
              <w:rPr>
                <w:rStyle w:val="Hyperlink"/>
                <w:rFonts w:ascii="Times New Roman" w:hAnsi="Times New Roman"/>
                <w:noProof/>
                <w:sz w:val="28"/>
                <w:szCs w:val="28"/>
              </w:rPr>
              <w:t>2.2.</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Meža ugunsgrēka vietas uzraudzība</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_Toc5911197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6</w:t>
            </w:r>
            <w:r w:rsidR="00747004" w:rsidRPr="003F2E00">
              <w:rPr>
                <w:rFonts w:ascii="Times New Roman" w:hAnsi="Times New Roman"/>
                <w:noProof/>
                <w:webHidden/>
                <w:sz w:val="28"/>
                <w:szCs w:val="28"/>
              </w:rPr>
              <w:fldChar w:fldCharType="end"/>
            </w:r>
          </w:hyperlink>
        </w:p>
        <w:p w:rsidR="00747004" w:rsidRPr="003F2E00" w:rsidRDefault="00CC3590">
          <w:pPr>
            <w:pStyle w:val="TOC3"/>
            <w:tabs>
              <w:tab w:val="left" w:pos="1100"/>
              <w:tab w:val="right" w:leader="dot" w:pos="9350"/>
            </w:tabs>
            <w:rPr>
              <w:rFonts w:ascii="Times New Roman" w:hAnsi="Times New Roman"/>
              <w:noProof/>
              <w:sz w:val="28"/>
              <w:szCs w:val="28"/>
              <w:lang w:val="lv-LV" w:eastAsia="lv-LV"/>
            </w:rPr>
          </w:pPr>
          <w:hyperlink w:anchor="_Toc5911198" w:history="1">
            <w:r w:rsidR="00747004" w:rsidRPr="003F2E00">
              <w:rPr>
                <w:rStyle w:val="Hyperlink"/>
                <w:rFonts w:ascii="Times New Roman" w:hAnsi="Times New Roman"/>
                <w:noProof/>
                <w:sz w:val="28"/>
                <w:szCs w:val="28"/>
              </w:rPr>
              <w:t>2.3.</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Meža ugunsdzēsībā nodarbinātie</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_Toc5911198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6</w:t>
            </w:r>
            <w:r w:rsidR="00747004" w:rsidRPr="003F2E00">
              <w:rPr>
                <w:rFonts w:ascii="Times New Roman" w:hAnsi="Times New Roman"/>
                <w:noProof/>
                <w:webHidden/>
                <w:sz w:val="28"/>
                <w:szCs w:val="28"/>
              </w:rPr>
              <w:fldChar w:fldCharType="end"/>
            </w:r>
          </w:hyperlink>
        </w:p>
        <w:p w:rsidR="00747004" w:rsidRPr="003F2E00" w:rsidRDefault="00CC3590">
          <w:pPr>
            <w:pStyle w:val="TOC3"/>
            <w:tabs>
              <w:tab w:val="left" w:pos="1100"/>
              <w:tab w:val="right" w:leader="dot" w:pos="9350"/>
            </w:tabs>
            <w:rPr>
              <w:rFonts w:ascii="Times New Roman" w:hAnsi="Times New Roman"/>
              <w:noProof/>
              <w:sz w:val="28"/>
              <w:szCs w:val="28"/>
              <w:lang w:val="lv-LV" w:eastAsia="lv-LV"/>
            </w:rPr>
          </w:pPr>
          <w:hyperlink w:anchor="_Toc5911199" w:history="1">
            <w:r w:rsidR="00747004" w:rsidRPr="003F2E00">
              <w:rPr>
                <w:rStyle w:val="Hyperlink"/>
                <w:rFonts w:ascii="Times New Roman" w:hAnsi="Times New Roman"/>
                <w:noProof/>
                <w:sz w:val="28"/>
                <w:szCs w:val="28"/>
              </w:rPr>
              <w:t>2.4.</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Meža ugunsdzēsības tehnika</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_Toc5911199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8</w:t>
            </w:r>
            <w:r w:rsidR="00747004" w:rsidRPr="003F2E00">
              <w:rPr>
                <w:rFonts w:ascii="Times New Roman" w:hAnsi="Times New Roman"/>
                <w:noProof/>
                <w:webHidden/>
                <w:sz w:val="28"/>
                <w:szCs w:val="28"/>
              </w:rPr>
              <w:fldChar w:fldCharType="end"/>
            </w:r>
          </w:hyperlink>
        </w:p>
        <w:p w:rsidR="00747004" w:rsidRPr="003F2E00" w:rsidRDefault="00CC3590">
          <w:pPr>
            <w:pStyle w:val="TOC3"/>
            <w:tabs>
              <w:tab w:val="left" w:pos="1100"/>
              <w:tab w:val="right" w:leader="dot" w:pos="9350"/>
            </w:tabs>
            <w:rPr>
              <w:rFonts w:ascii="Times New Roman" w:hAnsi="Times New Roman"/>
              <w:noProof/>
              <w:sz w:val="28"/>
              <w:szCs w:val="28"/>
              <w:lang w:val="lv-LV" w:eastAsia="lv-LV"/>
            </w:rPr>
          </w:pPr>
          <w:hyperlink w:anchor="_Toc5911200" w:history="1">
            <w:r w:rsidR="00747004" w:rsidRPr="003F2E00">
              <w:rPr>
                <w:rStyle w:val="Hyperlink"/>
                <w:rFonts w:ascii="Times New Roman" w:hAnsi="Times New Roman"/>
                <w:noProof/>
                <w:sz w:val="28"/>
                <w:szCs w:val="28"/>
              </w:rPr>
              <w:t>2.5.</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Ugunsnovērošanas torņi</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_Toc5911200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9</w:t>
            </w:r>
            <w:r w:rsidR="00747004" w:rsidRPr="003F2E00">
              <w:rPr>
                <w:rFonts w:ascii="Times New Roman" w:hAnsi="Times New Roman"/>
                <w:noProof/>
                <w:webHidden/>
                <w:sz w:val="28"/>
                <w:szCs w:val="28"/>
              </w:rPr>
              <w:fldChar w:fldCharType="end"/>
            </w:r>
          </w:hyperlink>
        </w:p>
        <w:p w:rsidR="00747004" w:rsidRPr="003F2E00" w:rsidRDefault="00CC3590">
          <w:pPr>
            <w:pStyle w:val="TOC2"/>
            <w:tabs>
              <w:tab w:val="left" w:pos="660"/>
              <w:tab w:val="right" w:leader="dot" w:pos="9350"/>
            </w:tabs>
            <w:rPr>
              <w:rFonts w:ascii="Times New Roman" w:hAnsi="Times New Roman"/>
              <w:noProof/>
              <w:sz w:val="28"/>
              <w:szCs w:val="28"/>
              <w:lang w:val="lv-LV" w:eastAsia="lv-LV"/>
            </w:rPr>
          </w:pPr>
          <w:hyperlink w:anchor="_Toc5911202" w:history="1">
            <w:r w:rsidR="00A2789E" w:rsidRPr="003F2E00">
              <w:rPr>
                <w:rStyle w:val="Hyperlink"/>
                <w:rFonts w:ascii="Times New Roman" w:hAnsi="Times New Roman"/>
                <w:noProof/>
                <w:sz w:val="28"/>
                <w:szCs w:val="28"/>
              </w:rPr>
              <w:t>3</w:t>
            </w:r>
            <w:r w:rsidR="00747004" w:rsidRPr="003F2E00">
              <w:rPr>
                <w:rStyle w:val="Hyperlink"/>
                <w:rFonts w:ascii="Times New Roman" w:hAnsi="Times New Roman"/>
                <w:noProof/>
                <w:sz w:val="28"/>
                <w:szCs w:val="28"/>
              </w:rPr>
              <w:t>.</w:t>
            </w:r>
            <w:r w:rsidR="00747004" w:rsidRPr="003F2E00">
              <w:rPr>
                <w:rFonts w:ascii="Times New Roman" w:hAnsi="Times New Roman"/>
                <w:noProof/>
                <w:sz w:val="28"/>
                <w:szCs w:val="28"/>
                <w:lang w:val="lv-LV" w:eastAsia="lv-LV"/>
              </w:rPr>
              <w:tab/>
            </w:r>
            <w:r w:rsidR="00747004" w:rsidRPr="003F2E00">
              <w:rPr>
                <w:rStyle w:val="Hyperlink"/>
                <w:rFonts w:ascii="Times New Roman" w:hAnsi="Times New Roman"/>
                <w:noProof/>
                <w:sz w:val="28"/>
                <w:szCs w:val="28"/>
              </w:rPr>
              <w:t>Iespējamās sekas</w:t>
            </w:r>
            <w:r w:rsidR="00747004" w:rsidRPr="003F2E00">
              <w:rPr>
                <w:rFonts w:ascii="Times New Roman" w:hAnsi="Times New Roman"/>
                <w:noProof/>
                <w:webHidden/>
                <w:sz w:val="28"/>
                <w:szCs w:val="28"/>
              </w:rPr>
              <w:tab/>
            </w:r>
            <w:r w:rsidR="00747004" w:rsidRPr="003F2E00">
              <w:rPr>
                <w:rFonts w:ascii="Times New Roman" w:hAnsi="Times New Roman"/>
                <w:noProof/>
                <w:webHidden/>
                <w:sz w:val="28"/>
                <w:szCs w:val="28"/>
              </w:rPr>
              <w:fldChar w:fldCharType="begin"/>
            </w:r>
            <w:r w:rsidR="00747004" w:rsidRPr="003F2E00">
              <w:rPr>
                <w:rFonts w:ascii="Times New Roman" w:hAnsi="Times New Roman"/>
                <w:noProof/>
                <w:webHidden/>
                <w:sz w:val="28"/>
                <w:szCs w:val="28"/>
              </w:rPr>
              <w:instrText xml:space="preserve"> PAGEREF _Toc5911202 \h </w:instrText>
            </w:r>
            <w:r w:rsidR="00747004" w:rsidRPr="003F2E00">
              <w:rPr>
                <w:rFonts w:ascii="Times New Roman" w:hAnsi="Times New Roman"/>
                <w:noProof/>
                <w:webHidden/>
                <w:sz w:val="28"/>
                <w:szCs w:val="28"/>
              </w:rPr>
            </w:r>
            <w:r w:rsidR="00747004" w:rsidRPr="003F2E00">
              <w:rPr>
                <w:rFonts w:ascii="Times New Roman" w:hAnsi="Times New Roman"/>
                <w:noProof/>
                <w:webHidden/>
                <w:sz w:val="28"/>
                <w:szCs w:val="28"/>
              </w:rPr>
              <w:fldChar w:fldCharType="separate"/>
            </w:r>
            <w:r w:rsidR="003F2E00">
              <w:rPr>
                <w:rFonts w:ascii="Times New Roman" w:hAnsi="Times New Roman"/>
                <w:noProof/>
                <w:webHidden/>
                <w:sz w:val="28"/>
                <w:szCs w:val="28"/>
              </w:rPr>
              <w:t>11</w:t>
            </w:r>
            <w:r w:rsidR="00747004" w:rsidRPr="003F2E00">
              <w:rPr>
                <w:rFonts w:ascii="Times New Roman" w:hAnsi="Times New Roman"/>
                <w:noProof/>
                <w:webHidden/>
                <w:sz w:val="28"/>
                <w:szCs w:val="28"/>
              </w:rPr>
              <w:fldChar w:fldCharType="end"/>
            </w:r>
          </w:hyperlink>
        </w:p>
        <w:p w:rsidR="00F773F6" w:rsidRPr="00CE64E6" w:rsidRDefault="00F773F6" w:rsidP="00F773F6">
          <w:pPr>
            <w:rPr>
              <w:lang w:val="lv-LV"/>
            </w:rPr>
          </w:pPr>
          <w:r w:rsidRPr="003F2E00">
            <w:rPr>
              <w:rFonts w:ascii="Times New Roman" w:hAnsi="Times New Roman" w:cs="Times New Roman"/>
              <w:b/>
              <w:bCs/>
              <w:noProof/>
              <w:sz w:val="28"/>
              <w:szCs w:val="28"/>
              <w:lang w:val="lv-LV"/>
            </w:rPr>
            <w:fldChar w:fldCharType="end"/>
          </w:r>
        </w:p>
      </w:sdtContent>
    </w:sdt>
    <w:p w:rsidR="00F773F6" w:rsidRPr="003F2E00" w:rsidRDefault="00F773F6" w:rsidP="00262F32">
      <w:pPr>
        <w:pStyle w:val="Heading20"/>
      </w:pPr>
      <w:bookmarkStart w:id="1" w:name="_Toc516556528"/>
      <w:bookmarkStart w:id="2" w:name="_Toc5911194"/>
      <w:r w:rsidRPr="003F2E00">
        <w:t>Ievads</w:t>
      </w:r>
      <w:bookmarkEnd w:id="1"/>
      <w:bookmarkEnd w:id="2"/>
    </w:p>
    <w:p w:rsidR="00F773F6" w:rsidRPr="003F2E00" w:rsidRDefault="00F773F6" w:rsidP="00F773F6">
      <w:pPr>
        <w:pStyle w:val="Tekstastils"/>
        <w:rPr>
          <w:rStyle w:val="TekstastilsChar"/>
          <w:rFonts w:eastAsia="Calibri" w:cs="Times New Roman"/>
          <w:sz w:val="28"/>
          <w:szCs w:val="28"/>
        </w:rPr>
      </w:pPr>
      <w:r w:rsidRPr="003F2E00">
        <w:rPr>
          <w:rStyle w:val="TekstastilsChar"/>
          <w:rFonts w:eastAsia="Calibri" w:cs="Times New Roman"/>
          <w:sz w:val="28"/>
          <w:szCs w:val="28"/>
        </w:rPr>
        <w:t xml:space="preserve">Meža ugunsgrēki var radīt katastrofālas </w:t>
      </w:r>
      <w:r w:rsidR="001F5D2A" w:rsidRPr="003F2E00">
        <w:rPr>
          <w:rStyle w:val="TekstastilsChar"/>
          <w:rFonts w:eastAsia="Calibri" w:cs="Times New Roman"/>
          <w:sz w:val="28"/>
          <w:szCs w:val="28"/>
        </w:rPr>
        <w:t>pār</w:t>
      </w:r>
      <w:r w:rsidRPr="003F2E00">
        <w:rPr>
          <w:rStyle w:val="TekstastilsChar"/>
          <w:rFonts w:eastAsia="Calibri" w:cs="Times New Roman"/>
          <w:sz w:val="28"/>
          <w:szCs w:val="28"/>
        </w:rPr>
        <w:t xml:space="preserve">maiņas ekosistēmā, izraisot lielākās daļas biocenozi veidojošo populāciju bojāeju. Ugunsgrēka laikā tiek iznīcinātas vai bojātas mežaudzes un zemsedzes fauna. Ugunsgrēka netiešā ietekme izpaužas kā </w:t>
      </w:r>
      <w:proofErr w:type="spellStart"/>
      <w:r w:rsidRPr="003F2E00">
        <w:rPr>
          <w:rStyle w:val="TekstastilsChar"/>
          <w:rFonts w:eastAsia="Calibri" w:cs="Times New Roman"/>
          <w:sz w:val="28"/>
          <w:szCs w:val="28"/>
        </w:rPr>
        <w:t>dendrofāgo</w:t>
      </w:r>
      <w:proofErr w:type="spellEnd"/>
      <w:r w:rsidRPr="003F2E00">
        <w:rPr>
          <w:rStyle w:val="TekstastilsChar"/>
          <w:rFonts w:eastAsia="Calibri" w:cs="Times New Roman"/>
          <w:sz w:val="28"/>
          <w:szCs w:val="28"/>
        </w:rPr>
        <w:t xml:space="preserve"> kukaiņu un parazitāro sēņu izplatīšanās</w:t>
      </w:r>
      <w:r w:rsidR="001F5D2A" w:rsidRPr="003F2E00">
        <w:rPr>
          <w:rStyle w:val="TekstastilsChar"/>
          <w:rFonts w:eastAsia="Calibri" w:cs="Times New Roman"/>
          <w:sz w:val="28"/>
          <w:szCs w:val="28"/>
        </w:rPr>
        <w:t xml:space="preserve"> un</w:t>
      </w:r>
      <w:r w:rsidRPr="003F2E00">
        <w:rPr>
          <w:rStyle w:val="TekstastilsChar"/>
          <w:rFonts w:eastAsia="Calibri" w:cs="Times New Roman"/>
          <w:sz w:val="28"/>
          <w:szCs w:val="28"/>
        </w:rPr>
        <w:t xml:space="preserve"> mežaudžu krājas pieauguma </w:t>
      </w:r>
      <w:r w:rsidR="001F5D2A" w:rsidRPr="003F2E00">
        <w:rPr>
          <w:rStyle w:val="TekstastilsChar"/>
          <w:rFonts w:eastAsia="Calibri" w:cs="Times New Roman"/>
          <w:sz w:val="28"/>
          <w:szCs w:val="28"/>
        </w:rPr>
        <w:t>pār</w:t>
      </w:r>
      <w:r w:rsidRPr="003F2E00">
        <w:rPr>
          <w:rStyle w:val="TekstastilsChar"/>
          <w:rFonts w:eastAsia="Calibri" w:cs="Times New Roman"/>
          <w:sz w:val="28"/>
          <w:szCs w:val="28"/>
        </w:rPr>
        <w:t xml:space="preserve">maiņas. Lieli meža un purva ugunsgrēki </w:t>
      </w:r>
      <w:r w:rsidR="00747004" w:rsidRPr="003F2E00">
        <w:rPr>
          <w:rStyle w:val="TekstastilsChar"/>
          <w:rFonts w:eastAsia="Calibri" w:cs="Times New Roman"/>
          <w:sz w:val="28"/>
          <w:szCs w:val="28"/>
        </w:rPr>
        <w:t>rada</w:t>
      </w:r>
      <w:r w:rsidRPr="003F2E00">
        <w:rPr>
          <w:rStyle w:val="TekstastilsChar"/>
          <w:rFonts w:eastAsia="Calibri" w:cs="Times New Roman"/>
          <w:sz w:val="28"/>
          <w:szCs w:val="28"/>
        </w:rPr>
        <w:t xml:space="preserve"> draudus vietējo iedzīvotāju drošībai un veselībai. Pēdējos gados vērojam</w:t>
      </w:r>
      <w:r w:rsidR="000D69B4" w:rsidRPr="003F2E00">
        <w:rPr>
          <w:rStyle w:val="TekstastilsChar"/>
          <w:rFonts w:eastAsia="Calibri" w:cs="Times New Roman"/>
          <w:sz w:val="28"/>
          <w:szCs w:val="28"/>
        </w:rPr>
        <w:t>a</w:t>
      </w:r>
      <w:r w:rsidRPr="003F2E00">
        <w:rPr>
          <w:rStyle w:val="TekstastilsChar"/>
          <w:rFonts w:eastAsia="Calibri" w:cs="Times New Roman"/>
          <w:sz w:val="28"/>
          <w:szCs w:val="28"/>
        </w:rPr>
        <w:t xml:space="preserve">s meža īpašnieku </w:t>
      </w:r>
      <w:r w:rsidR="000D69B4" w:rsidRPr="003F2E00">
        <w:rPr>
          <w:rStyle w:val="TekstastilsChar"/>
          <w:rFonts w:eastAsia="Calibri" w:cs="Times New Roman"/>
          <w:sz w:val="28"/>
          <w:szCs w:val="28"/>
        </w:rPr>
        <w:t xml:space="preserve">aktīvākas </w:t>
      </w:r>
      <w:r w:rsidRPr="003F2E00">
        <w:rPr>
          <w:rStyle w:val="TekstastilsChar"/>
          <w:rFonts w:eastAsia="Calibri" w:cs="Times New Roman"/>
          <w:sz w:val="28"/>
          <w:szCs w:val="28"/>
        </w:rPr>
        <w:t>saimnieciskās darbības meža atjaunošanas darbos, kopšanas ciršu izpildē, tūrisma un dabas taku izveidē, medību saimniecības darb</w:t>
      </w:r>
      <w:r w:rsidR="000D69B4" w:rsidRPr="003F2E00">
        <w:rPr>
          <w:rStyle w:val="TekstastilsChar"/>
          <w:rFonts w:eastAsia="Calibri" w:cs="Times New Roman"/>
          <w:sz w:val="28"/>
          <w:szCs w:val="28"/>
        </w:rPr>
        <w:t>os</w:t>
      </w:r>
      <w:r w:rsidRPr="003F2E00">
        <w:rPr>
          <w:rStyle w:val="TekstastilsChar"/>
          <w:rFonts w:eastAsia="Calibri" w:cs="Times New Roman"/>
          <w:sz w:val="28"/>
          <w:szCs w:val="28"/>
        </w:rPr>
        <w:t>, rekreācijas vietu izveidē un mežizstrādes darb</w:t>
      </w:r>
      <w:r w:rsidR="000D69B4" w:rsidRPr="003F2E00">
        <w:rPr>
          <w:rStyle w:val="TekstastilsChar"/>
          <w:rFonts w:eastAsia="Calibri" w:cs="Times New Roman"/>
          <w:sz w:val="28"/>
          <w:szCs w:val="28"/>
        </w:rPr>
        <w:t>os</w:t>
      </w:r>
      <w:r w:rsidRPr="003F2E00">
        <w:rPr>
          <w:rStyle w:val="TekstastilsChar"/>
          <w:rFonts w:eastAsia="Calibri" w:cs="Times New Roman"/>
          <w:sz w:val="28"/>
          <w:szCs w:val="28"/>
        </w:rPr>
        <w:t xml:space="preserve">, </w:t>
      </w:r>
      <w:r w:rsidR="000D69B4" w:rsidRPr="003F2E00">
        <w:rPr>
          <w:rStyle w:val="TekstastilsChar"/>
          <w:rFonts w:eastAsia="Calibri" w:cs="Times New Roman"/>
          <w:sz w:val="28"/>
          <w:szCs w:val="28"/>
        </w:rPr>
        <w:t>nozīmīgi ir palielinājies</w:t>
      </w:r>
      <w:r w:rsidRPr="003F2E00">
        <w:rPr>
          <w:rStyle w:val="TekstastilsChar"/>
          <w:rFonts w:eastAsia="Calibri" w:cs="Times New Roman"/>
          <w:sz w:val="28"/>
          <w:szCs w:val="28"/>
        </w:rPr>
        <w:t xml:space="preserve"> meža apmeklētāju skaits un biežums, kas ugunsnedrošajā laikposmā pastiprina meža ugunsgrēku izcelšanās draudus. Meža ugunsgrēku izcelšanās draud</w:t>
      </w:r>
      <w:r w:rsidR="000D69B4" w:rsidRPr="003F2E00">
        <w:rPr>
          <w:rStyle w:val="TekstastilsChar"/>
          <w:rFonts w:eastAsia="Calibri" w:cs="Times New Roman"/>
          <w:sz w:val="28"/>
          <w:szCs w:val="28"/>
        </w:rPr>
        <w:t>us</w:t>
      </w:r>
      <w:r w:rsidRPr="003F2E00">
        <w:rPr>
          <w:rStyle w:val="TekstastilsChar"/>
          <w:rFonts w:eastAsia="Calibri" w:cs="Times New Roman"/>
          <w:sz w:val="28"/>
          <w:szCs w:val="28"/>
        </w:rPr>
        <w:t xml:space="preserve"> pēdējos gados </w:t>
      </w:r>
      <w:r w:rsidR="000D69B4" w:rsidRPr="003F2E00">
        <w:rPr>
          <w:rStyle w:val="TekstastilsChar"/>
          <w:rFonts w:eastAsia="Calibri" w:cs="Times New Roman"/>
          <w:sz w:val="28"/>
          <w:szCs w:val="28"/>
        </w:rPr>
        <w:t xml:space="preserve">veicina </w:t>
      </w:r>
      <w:r w:rsidRPr="003F2E00">
        <w:rPr>
          <w:rStyle w:val="TekstastilsChar"/>
          <w:rFonts w:eastAsia="Calibri" w:cs="Times New Roman"/>
          <w:sz w:val="28"/>
          <w:szCs w:val="28"/>
        </w:rPr>
        <w:t xml:space="preserve">arī klimata </w:t>
      </w:r>
      <w:r w:rsidR="000D69B4" w:rsidRPr="003F2E00">
        <w:rPr>
          <w:rStyle w:val="TekstastilsChar"/>
          <w:rFonts w:eastAsia="Calibri" w:cs="Times New Roman"/>
          <w:sz w:val="28"/>
          <w:szCs w:val="28"/>
        </w:rPr>
        <w:t>pār</w:t>
      </w:r>
      <w:r w:rsidRPr="003F2E00">
        <w:rPr>
          <w:rStyle w:val="TekstastilsChar"/>
          <w:rFonts w:eastAsia="Calibri" w:cs="Times New Roman"/>
          <w:sz w:val="28"/>
          <w:szCs w:val="28"/>
        </w:rPr>
        <w:t>mai</w:t>
      </w:r>
      <w:r w:rsidR="00213380" w:rsidRPr="003F2E00">
        <w:rPr>
          <w:rStyle w:val="TekstastilsChar"/>
          <w:rFonts w:eastAsia="Calibri" w:cs="Times New Roman"/>
          <w:sz w:val="28"/>
          <w:szCs w:val="28"/>
        </w:rPr>
        <w:t>ņu radīt</w:t>
      </w:r>
      <w:r w:rsidR="000D69B4" w:rsidRPr="003F2E00">
        <w:rPr>
          <w:rStyle w:val="TekstastilsChar"/>
          <w:rFonts w:eastAsia="Calibri" w:cs="Times New Roman"/>
          <w:sz w:val="28"/>
          <w:szCs w:val="28"/>
        </w:rPr>
        <w:t>ās</w:t>
      </w:r>
      <w:r w:rsidR="00213380" w:rsidRPr="003F2E00">
        <w:rPr>
          <w:rStyle w:val="TekstastilsChar"/>
          <w:rFonts w:eastAsia="Calibri" w:cs="Times New Roman"/>
          <w:sz w:val="28"/>
          <w:szCs w:val="28"/>
        </w:rPr>
        <w:t xml:space="preserve"> dabas katastrof</w:t>
      </w:r>
      <w:r w:rsidR="000D69B4" w:rsidRPr="003F2E00">
        <w:rPr>
          <w:rStyle w:val="TekstastilsChar"/>
          <w:rFonts w:eastAsia="Calibri" w:cs="Times New Roman"/>
          <w:sz w:val="28"/>
          <w:szCs w:val="28"/>
        </w:rPr>
        <w:t>as</w:t>
      </w:r>
      <w:r w:rsidR="00213380" w:rsidRPr="003F2E00">
        <w:rPr>
          <w:rStyle w:val="TekstastilsChar"/>
          <w:rFonts w:eastAsia="Calibri" w:cs="Times New Roman"/>
          <w:sz w:val="28"/>
          <w:szCs w:val="28"/>
        </w:rPr>
        <w:t xml:space="preserve">. </w:t>
      </w:r>
      <w:r w:rsidRPr="003F2E00">
        <w:rPr>
          <w:rFonts w:cs="Times New Roman"/>
          <w:sz w:val="28"/>
          <w:szCs w:val="28"/>
        </w:rPr>
        <w:t xml:space="preserve">Meža ugunsgrēku radītās kopējās izmaksas bieži nav nosakāmas, jo tās veido gan meža ugunsgrēku seku likvidēšanas izdevumi, gan kokmateriālu zaudējumi, gan ar tūrismu saistīti zaudējumi, </w:t>
      </w:r>
      <w:r w:rsidR="000D69B4" w:rsidRPr="003F2E00">
        <w:rPr>
          <w:rFonts w:cs="Times New Roman"/>
          <w:sz w:val="28"/>
          <w:szCs w:val="28"/>
        </w:rPr>
        <w:t>gan</w:t>
      </w:r>
      <w:r w:rsidRPr="003F2E00">
        <w:rPr>
          <w:rFonts w:cs="Times New Roman"/>
          <w:sz w:val="28"/>
          <w:szCs w:val="28"/>
        </w:rPr>
        <w:t xml:space="preserve"> arī ietekme uz cilvēku veselību</w:t>
      </w:r>
      <w:r w:rsidR="000D69B4" w:rsidRPr="003F2E00">
        <w:rPr>
          <w:rFonts w:cs="Times New Roman"/>
          <w:sz w:val="28"/>
          <w:szCs w:val="28"/>
        </w:rPr>
        <w:t xml:space="preserve"> un</w:t>
      </w:r>
      <w:r w:rsidRPr="003F2E00">
        <w:rPr>
          <w:rFonts w:cs="Times New Roman"/>
          <w:sz w:val="28"/>
          <w:szCs w:val="28"/>
        </w:rPr>
        <w:t xml:space="preserve"> ekosistēmu bojājumi.</w:t>
      </w:r>
      <w:r w:rsidRPr="003F2E00">
        <w:rPr>
          <w:rStyle w:val="TekstastilsChar"/>
          <w:rFonts w:eastAsia="Calibri" w:cs="Times New Roman"/>
          <w:sz w:val="28"/>
          <w:szCs w:val="28"/>
        </w:rPr>
        <w:t xml:space="preserve"> </w:t>
      </w:r>
    </w:p>
    <w:p w:rsidR="00F773F6" w:rsidRPr="003F2E00" w:rsidRDefault="00F773F6" w:rsidP="00F773F6">
      <w:pPr>
        <w:pStyle w:val="Tekstastils"/>
        <w:rPr>
          <w:rFonts w:cs="Times New Roman"/>
          <w:sz w:val="28"/>
          <w:szCs w:val="28"/>
        </w:rPr>
      </w:pPr>
      <w:r w:rsidRPr="003F2E00">
        <w:rPr>
          <w:rFonts w:cs="Times New Roman"/>
          <w:sz w:val="28"/>
          <w:szCs w:val="28"/>
        </w:rPr>
        <w:t>Nacionālās drošības likums nosaka nacionālās drošības sistēmu un tās uzdevumus, nacionālās drošības sistēmas subjektu kompetenci, to darbības saskaņošanas, nodrošināšanas un kontroles principus un kārtību (2.</w:t>
      </w:r>
      <w:r w:rsidR="008C3EF6" w:rsidRPr="003F2E00">
        <w:rPr>
          <w:rFonts w:cs="Times New Roman"/>
          <w:sz w:val="28"/>
          <w:szCs w:val="28"/>
        </w:rPr>
        <w:t xml:space="preserve"> </w:t>
      </w:r>
      <w:r w:rsidRPr="003F2E00">
        <w:rPr>
          <w:rFonts w:cs="Times New Roman"/>
          <w:sz w:val="28"/>
          <w:szCs w:val="28"/>
        </w:rPr>
        <w:t xml:space="preserve">pants). Pamatojoties uz </w:t>
      </w:r>
      <w:r w:rsidR="008C3EF6" w:rsidRPr="003F2E00">
        <w:rPr>
          <w:rFonts w:cs="Times New Roman"/>
          <w:sz w:val="28"/>
          <w:szCs w:val="28"/>
        </w:rPr>
        <w:t>šā</w:t>
      </w:r>
      <w:r w:rsidRPr="003F2E00">
        <w:rPr>
          <w:rFonts w:cs="Times New Roman"/>
          <w:sz w:val="28"/>
          <w:szCs w:val="28"/>
        </w:rPr>
        <w:t xml:space="preserve"> likuma 23.</w:t>
      </w:r>
      <w:r w:rsidR="008C3EF6" w:rsidRPr="003F2E00">
        <w:rPr>
          <w:rFonts w:cs="Times New Roman"/>
          <w:sz w:val="28"/>
          <w:szCs w:val="28"/>
        </w:rPr>
        <w:t xml:space="preserve"> </w:t>
      </w:r>
      <w:r w:rsidRPr="003F2E00">
        <w:rPr>
          <w:rFonts w:cs="Times New Roman"/>
          <w:sz w:val="28"/>
          <w:szCs w:val="28"/>
        </w:rPr>
        <w:t>panta otro daļu, k</w:t>
      </w:r>
      <w:r w:rsidR="008C3EF6" w:rsidRPr="003F2E00">
        <w:rPr>
          <w:rFonts w:cs="Times New Roman"/>
          <w:sz w:val="28"/>
          <w:szCs w:val="28"/>
        </w:rPr>
        <w:t>urā</w:t>
      </w:r>
      <w:r w:rsidRPr="003F2E00">
        <w:rPr>
          <w:rFonts w:cs="Times New Roman"/>
          <w:sz w:val="28"/>
          <w:szCs w:val="28"/>
        </w:rPr>
        <w:t xml:space="preserve"> no</w:t>
      </w:r>
      <w:r w:rsidR="008C3EF6" w:rsidRPr="003F2E00">
        <w:rPr>
          <w:rFonts w:cs="Times New Roman"/>
          <w:sz w:val="28"/>
          <w:szCs w:val="28"/>
        </w:rPr>
        <w:t>teikts</w:t>
      </w:r>
      <w:r w:rsidRPr="003F2E00">
        <w:rPr>
          <w:rFonts w:cs="Times New Roman"/>
          <w:sz w:val="28"/>
          <w:szCs w:val="28"/>
        </w:rPr>
        <w:t xml:space="preserve">, ka ministrijas prognozē to kompetencē esošo nozaru apdraudējumus un plāno apdraudējumu novēršanu, pārvarēšanu un iespējamo seku likvidēšanu, valstī ir izstrādāts „Valsts nozīmes nozīmīgāko risku identifikāciju un nozares apdraudējuma novēršanas plāns”.  Izvērtējot nozares apdraudējumus, ir atzīts, ka meža ugunsgrēki ir nozīmīgs risks ar </w:t>
      </w:r>
      <w:r w:rsidR="008C3EF6" w:rsidRPr="003F2E00">
        <w:rPr>
          <w:rFonts w:cs="Times New Roman"/>
          <w:sz w:val="28"/>
          <w:szCs w:val="28"/>
        </w:rPr>
        <w:t>liel</w:t>
      </w:r>
      <w:r w:rsidRPr="003F2E00">
        <w:rPr>
          <w:rFonts w:cs="Times New Roman"/>
          <w:sz w:val="28"/>
          <w:szCs w:val="28"/>
        </w:rPr>
        <w:t xml:space="preserve">u iestāšanās varbūtību. Valsts apdraudējuma novēršanai saskaņā ar Nacionālās </w:t>
      </w:r>
      <w:r w:rsidRPr="003F2E00">
        <w:rPr>
          <w:rFonts w:cs="Times New Roman"/>
          <w:sz w:val="28"/>
          <w:szCs w:val="28"/>
        </w:rPr>
        <w:lastRenderedPageBreak/>
        <w:t xml:space="preserve">drošības likuma 36. pantu ir izstrādāts Valsts civilās aizsardzības plāns (turpmāk </w:t>
      </w:r>
      <w:r w:rsidR="009143F4" w:rsidRPr="003F2E00">
        <w:rPr>
          <w:rFonts w:cs="Times New Roman"/>
          <w:sz w:val="28"/>
          <w:szCs w:val="28"/>
        </w:rPr>
        <w:t>–</w:t>
      </w:r>
      <w:r w:rsidRPr="003F2E00">
        <w:rPr>
          <w:rFonts w:cs="Times New Roman"/>
          <w:sz w:val="28"/>
          <w:szCs w:val="28"/>
        </w:rPr>
        <w:t xml:space="preserve"> CA plāns), kas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 </w:t>
      </w:r>
    </w:p>
    <w:p w:rsidR="00F773F6" w:rsidRPr="003F2E00" w:rsidRDefault="00F773F6" w:rsidP="00F773F6">
      <w:pPr>
        <w:pStyle w:val="Tekstastils"/>
        <w:rPr>
          <w:rFonts w:cs="Times New Roman"/>
          <w:sz w:val="28"/>
          <w:szCs w:val="28"/>
        </w:rPr>
      </w:pPr>
      <w:r w:rsidRPr="003F2E00">
        <w:rPr>
          <w:rFonts w:cs="Times New Roman"/>
          <w:sz w:val="28"/>
          <w:szCs w:val="28"/>
        </w:rPr>
        <w:t>CA plānā viens no apdraudējuma veidiem ir mežu un purvu ugunsgrēki</w:t>
      </w:r>
      <w:r w:rsidR="008C3EF6" w:rsidRPr="003F2E00">
        <w:rPr>
          <w:rFonts w:cs="Times New Roman"/>
          <w:sz w:val="28"/>
          <w:szCs w:val="28"/>
        </w:rPr>
        <w:t>,</w:t>
      </w:r>
      <w:r w:rsidRPr="003F2E00">
        <w:rPr>
          <w:rFonts w:cs="Times New Roman"/>
          <w:sz w:val="28"/>
          <w:szCs w:val="28"/>
        </w:rPr>
        <w:t xml:space="preserve"> un CA plāna 10.pielikumā norādīti </w:t>
      </w:r>
      <w:r w:rsidR="008C3EF6" w:rsidRPr="003F2E00">
        <w:rPr>
          <w:rFonts w:cs="Times New Roman"/>
          <w:sz w:val="28"/>
          <w:szCs w:val="28"/>
        </w:rPr>
        <w:t>t</w:t>
      </w:r>
      <w:r w:rsidRPr="003F2E00">
        <w:rPr>
          <w:rFonts w:cs="Times New Roman"/>
          <w:sz w:val="28"/>
          <w:szCs w:val="28"/>
        </w:rPr>
        <w:t xml:space="preserve">ādi preventīvie pasākumi </w:t>
      </w:r>
      <w:r w:rsidR="008C3EF6" w:rsidRPr="003F2E00">
        <w:rPr>
          <w:rFonts w:cs="Times New Roman"/>
          <w:sz w:val="28"/>
          <w:szCs w:val="28"/>
        </w:rPr>
        <w:t>kā</w:t>
      </w:r>
      <w:r w:rsidRPr="003F2E00">
        <w:rPr>
          <w:rFonts w:cs="Times New Roman"/>
          <w:sz w:val="28"/>
          <w:szCs w:val="28"/>
        </w:rPr>
        <w:t xml:space="preserve"> meža ugunsnedrošā laikposma noteikšana katru gadu aprīlī</w:t>
      </w:r>
      <w:r w:rsidR="008C3EF6" w:rsidRPr="003F2E00">
        <w:rPr>
          <w:rFonts w:cs="Times New Roman"/>
          <w:sz w:val="28"/>
          <w:szCs w:val="28"/>
        </w:rPr>
        <w:t xml:space="preserve"> un</w:t>
      </w:r>
      <w:r w:rsidRPr="003F2E00">
        <w:rPr>
          <w:rFonts w:cs="Times New Roman"/>
          <w:sz w:val="28"/>
          <w:szCs w:val="28"/>
        </w:rPr>
        <w:t xml:space="preserve"> meža novērošana no uguns novērošanas torņiem. Gatavības, reaģēšanas un seku likvidēšanas neatliekamie pasākumi ir ugunsgrēku dzēšana un ierobežošanas darb</w:t>
      </w:r>
      <w:r w:rsidR="008C3EF6" w:rsidRPr="003F2E00">
        <w:rPr>
          <w:rFonts w:cs="Times New Roman"/>
          <w:sz w:val="28"/>
          <w:szCs w:val="28"/>
        </w:rPr>
        <w:t>i</w:t>
      </w:r>
      <w:r w:rsidRPr="003F2E00">
        <w:rPr>
          <w:rFonts w:cs="Times New Roman"/>
          <w:sz w:val="28"/>
          <w:szCs w:val="28"/>
        </w:rPr>
        <w:t xml:space="preserve">, kas ir </w:t>
      </w:r>
      <w:r w:rsidR="008B1282" w:rsidRPr="003F2E00">
        <w:rPr>
          <w:rFonts w:cs="Times New Roman"/>
          <w:sz w:val="28"/>
          <w:szCs w:val="28"/>
        </w:rPr>
        <w:t xml:space="preserve">Valsts meža dienesta (turpmāk – VMD) </w:t>
      </w:r>
      <w:r w:rsidRPr="003F2E00">
        <w:rPr>
          <w:rFonts w:cs="Times New Roman"/>
          <w:sz w:val="28"/>
          <w:szCs w:val="28"/>
        </w:rPr>
        <w:t>darbinieku ikdienas pienākumi ugunsnedrošajā laikposmā. Svarīgi apzināties, ka VMD, pildot meža ugunsdzēsības funkciju, vienlaikus pilda arī civilās aizsardzības uzdevumus</w:t>
      </w:r>
      <w:r w:rsidR="005F6C33" w:rsidRPr="003F2E00">
        <w:rPr>
          <w:rFonts w:cs="Times New Roman"/>
          <w:sz w:val="28"/>
          <w:szCs w:val="28"/>
        </w:rPr>
        <w:t>, kas ir nozīmīgi</w:t>
      </w:r>
      <w:r w:rsidRPr="003F2E00">
        <w:rPr>
          <w:rFonts w:cs="Times New Roman"/>
          <w:sz w:val="28"/>
          <w:szCs w:val="28"/>
        </w:rPr>
        <w:t xml:space="preserve"> nacionālai drošībai.</w:t>
      </w:r>
    </w:p>
    <w:p w:rsidR="00F773F6" w:rsidRPr="003F2E00" w:rsidRDefault="00F773F6" w:rsidP="00F773F6">
      <w:pPr>
        <w:pStyle w:val="Tekstastils"/>
        <w:rPr>
          <w:rFonts w:cs="Times New Roman"/>
          <w:sz w:val="28"/>
          <w:szCs w:val="28"/>
        </w:rPr>
      </w:pPr>
      <w:r w:rsidRPr="003F2E00">
        <w:rPr>
          <w:rFonts w:cs="Times New Roman"/>
          <w:sz w:val="28"/>
          <w:szCs w:val="28"/>
        </w:rPr>
        <w:t>Saskaņā ar Civilās aizsardzības likuma 8.</w:t>
      </w:r>
      <w:r w:rsidR="008C3EF6" w:rsidRPr="003F2E00">
        <w:rPr>
          <w:rFonts w:cs="Times New Roman"/>
          <w:sz w:val="28"/>
          <w:szCs w:val="28"/>
        </w:rPr>
        <w:t xml:space="preserve"> </w:t>
      </w:r>
      <w:r w:rsidRPr="003F2E00">
        <w:rPr>
          <w:rFonts w:cs="Times New Roman"/>
          <w:sz w:val="28"/>
          <w:szCs w:val="28"/>
        </w:rPr>
        <w:t>panta pirmo daļu Zemkopības ministrijas uzdevums civilajā aizsardzībā ir nodrošināt Valsts civilās aizsardzības plānā noteikto pasākumu izpildi.</w:t>
      </w:r>
    </w:p>
    <w:p w:rsidR="00F773F6" w:rsidRPr="003F2E00" w:rsidRDefault="00F773F6" w:rsidP="00F773F6">
      <w:pPr>
        <w:pStyle w:val="Tekstastils"/>
        <w:rPr>
          <w:rFonts w:cs="Times New Roman"/>
          <w:sz w:val="28"/>
          <w:szCs w:val="28"/>
        </w:rPr>
      </w:pPr>
      <w:r w:rsidRPr="003F2E00">
        <w:rPr>
          <w:rFonts w:cs="Times New Roman"/>
          <w:sz w:val="28"/>
          <w:szCs w:val="28"/>
        </w:rPr>
        <w:t>M</w:t>
      </w:r>
      <w:r w:rsidRPr="003F2E00">
        <w:rPr>
          <w:rFonts w:eastAsia="Calibri" w:cs="Times New Roman"/>
          <w:sz w:val="28"/>
          <w:szCs w:val="28"/>
        </w:rPr>
        <w:t xml:space="preserve">eža ugunsdzēsība ir svarīga arī nākotnē, </w:t>
      </w:r>
      <w:r w:rsidRPr="003F2E00">
        <w:rPr>
          <w:rFonts w:cs="Times New Roman"/>
          <w:sz w:val="28"/>
          <w:szCs w:val="28"/>
        </w:rPr>
        <w:t>jo Latvijas Nacionālajā attīstības plānā 2014.</w:t>
      </w:r>
      <w:r w:rsidR="008C3EF6" w:rsidRPr="003F2E00">
        <w:rPr>
          <w:rFonts w:cs="Times New Roman"/>
          <w:sz w:val="28"/>
          <w:szCs w:val="28"/>
        </w:rPr>
        <w:t>–</w:t>
      </w:r>
      <w:r w:rsidRPr="003F2E00">
        <w:rPr>
          <w:rFonts w:cs="Times New Roman"/>
          <w:sz w:val="28"/>
          <w:szCs w:val="28"/>
        </w:rPr>
        <w:t xml:space="preserve">2020. gadam viens no mērķiem ir saglabāt dabas kapitālu kā bāzi ilgtspējīgai ekonomiskajai izaugsmei un sekmēt tā ilgtspējīgu izmantošanu, mazinot dabas un cilvēka darbības radītos riskus vides kvalitātei. </w:t>
      </w:r>
    </w:p>
    <w:p w:rsidR="00F773F6" w:rsidRPr="003F2E00" w:rsidRDefault="00F773F6" w:rsidP="00262F32">
      <w:pPr>
        <w:pStyle w:val="Heading20"/>
      </w:pPr>
      <w:bookmarkStart w:id="3" w:name="_Toc516556529"/>
      <w:bookmarkStart w:id="4" w:name="_Toc5911195"/>
      <w:r w:rsidRPr="003F2E00">
        <w:t>Situācijas apraksts</w:t>
      </w:r>
      <w:bookmarkEnd w:id="3"/>
      <w:bookmarkEnd w:id="4"/>
    </w:p>
    <w:p w:rsidR="00F773F6" w:rsidRPr="003F2E00" w:rsidRDefault="00F773F6" w:rsidP="00F773F6">
      <w:pPr>
        <w:pStyle w:val="Tekstastils"/>
        <w:rPr>
          <w:rFonts w:cs="Times New Roman"/>
          <w:sz w:val="28"/>
          <w:szCs w:val="28"/>
        </w:rPr>
      </w:pPr>
      <w:r w:rsidRPr="003F2E00">
        <w:rPr>
          <w:rFonts w:cs="Times New Roman"/>
          <w:sz w:val="28"/>
          <w:szCs w:val="28"/>
        </w:rPr>
        <w:t xml:space="preserve">Saskaņā ar Valsts meža dienesta likuma 2. panta pirmo daļu un Ugunsdrošības un ugunsdzēsības likuma </w:t>
      </w:r>
      <w:r w:rsidRPr="003F2E00">
        <w:rPr>
          <w:rStyle w:val="CommentReference"/>
          <w:rFonts w:cs="Times New Roman"/>
          <w:sz w:val="28"/>
          <w:szCs w:val="28"/>
        </w:rPr>
        <w:t>6</w:t>
      </w:r>
      <w:r w:rsidRPr="003F2E00">
        <w:rPr>
          <w:rFonts w:cs="Times New Roman"/>
          <w:sz w:val="28"/>
          <w:szCs w:val="28"/>
        </w:rPr>
        <w:t>.</w:t>
      </w:r>
      <w:r w:rsidR="008C3EF6" w:rsidRPr="003F2E00">
        <w:rPr>
          <w:rFonts w:cs="Times New Roman"/>
          <w:sz w:val="28"/>
          <w:szCs w:val="28"/>
        </w:rPr>
        <w:t xml:space="preserve"> </w:t>
      </w:r>
      <w:r w:rsidRPr="003F2E00">
        <w:rPr>
          <w:rFonts w:cs="Times New Roman"/>
          <w:sz w:val="28"/>
          <w:szCs w:val="28"/>
        </w:rPr>
        <w:t>panta trešo daļu VMD uzrauga un īsteno meža ugunsdzēsību Latvijas Republikas teritorijā esošajos mežos un meža zemēs, tas ir, veic meža ugunsdrošības uzraudzību, atklāj, ierobežo un likvidē meža ugunsgrēkus, iesaista meža īpašniekus (valdītājus) ugunsgrēka vietas uzraudzībā (Ministru kabineta 2013. gada 30. jūlija noteikumu Nr. 449 „Valsts meža dienesta nolikums” 4.11. apakšpunkts).</w:t>
      </w:r>
      <w:bookmarkStart w:id="5" w:name="_Toc524596695"/>
      <w:bookmarkStart w:id="6" w:name="_Toc524598902"/>
    </w:p>
    <w:p w:rsidR="00F75F55" w:rsidRPr="003F2E00" w:rsidRDefault="00CF1465" w:rsidP="008C3EF6">
      <w:pPr>
        <w:pStyle w:val="Tekstastils"/>
        <w:rPr>
          <w:rFonts w:cs="Times New Roman"/>
          <w:sz w:val="28"/>
          <w:szCs w:val="28"/>
        </w:rPr>
      </w:pPr>
      <w:r w:rsidRPr="003F2E00">
        <w:rPr>
          <w:rFonts w:cs="Times New Roman"/>
          <w:sz w:val="28"/>
          <w:szCs w:val="28"/>
        </w:rPr>
        <w:t>Kopš M</w:t>
      </w:r>
      <w:r w:rsidR="009143F4" w:rsidRPr="003F2E00">
        <w:rPr>
          <w:rFonts w:cs="Times New Roman"/>
          <w:sz w:val="28"/>
          <w:szCs w:val="28"/>
        </w:rPr>
        <w:t>inistru kabineta</w:t>
      </w:r>
      <w:r w:rsidRPr="003F2E00">
        <w:rPr>
          <w:rFonts w:cs="Times New Roman"/>
          <w:sz w:val="28"/>
          <w:szCs w:val="28"/>
        </w:rPr>
        <w:t xml:space="preserve"> </w:t>
      </w:r>
      <w:r w:rsidR="009143F4" w:rsidRPr="003F2E00">
        <w:rPr>
          <w:rFonts w:cs="Times New Roman"/>
          <w:sz w:val="28"/>
          <w:szCs w:val="28"/>
        </w:rPr>
        <w:t>2015. gada 15. s</w:t>
      </w:r>
      <w:r w:rsidR="008C3EF6" w:rsidRPr="003F2E00">
        <w:rPr>
          <w:rFonts w:cs="Times New Roman"/>
          <w:sz w:val="28"/>
          <w:szCs w:val="28"/>
        </w:rPr>
        <w:t>e</w:t>
      </w:r>
      <w:r w:rsidR="009143F4" w:rsidRPr="003F2E00">
        <w:rPr>
          <w:rFonts w:cs="Times New Roman"/>
          <w:sz w:val="28"/>
          <w:szCs w:val="28"/>
        </w:rPr>
        <w:t xml:space="preserve">ptembra </w:t>
      </w:r>
      <w:r w:rsidRPr="003F2E00">
        <w:rPr>
          <w:rFonts w:cs="Times New Roman"/>
          <w:sz w:val="28"/>
          <w:szCs w:val="28"/>
        </w:rPr>
        <w:t>rīkojuma Nr.562 “Par konceptuālo ziņojumu “Par pašreizējo situāciju Valsts meža dienestā meža ugunsdzēsības jomā un priekšlikumi situācijas risināšanai”, kur</w:t>
      </w:r>
      <w:r w:rsidR="008C3EF6" w:rsidRPr="003F2E00">
        <w:rPr>
          <w:rFonts w:cs="Times New Roman"/>
          <w:sz w:val="28"/>
          <w:szCs w:val="28"/>
        </w:rPr>
        <w:t>ā</w:t>
      </w:r>
      <w:r w:rsidRPr="003F2E00">
        <w:rPr>
          <w:rFonts w:cs="Times New Roman"/>
          <w:sz w:val="28"/>
          <w:szCs w:val="28"/>
        </w:rPr>
        <w:t xml:space="preserve"> raksturota VMD kritiskā situācija meža ugunsdzēsībā, vienlaikus piedāvājot iespējamos risinājumus</w:t>
      </w:r>
      <w:r w:rsidR="009E33E6" w:rsidRPr="003F2E00">
        <w:rPr>
          <w:rFonts w:cs="Times New Roman"/>
          <w:sz w:val="28"/>
          <w:szCs w:val="28"/>
        </w:rPr>
        <w:t>,</w:t>
      </w:r>
      <w:r w:rsidRPr="003F2E00">
        <w:rPr>
          <w:rFonts w:cs="Times New Roman"/>
          <w:sz w:val="28"/>
          <w:szCs w:val="28"/>
        </w:rPr>
        <w:t xml:space="preserve"> </w:t>
      </w:r>
      <w:r w:rsidR="008C3EF6" w:rsidRPr="003F2E00">
        <w:rPr>
          <w:rFonts w:cs="Times New Roman"/>
          <w:sz w:val="28"/>
          <w:szCs w:val="28"/>
        </w:rPr>
        <w:t xml:space="preserve">2019. gadā </w:t>
      </w:r>
      <w:r w:rsidRPr="003F2E00">
        <w:rPr>
          <w:rFonts w:cs="Times New Roman"/>
          <w:sz w:val="28"/>
          <w:szCs w:val="28"/>
        </w:rPr>
        <w:t xml:space="preserve">situācija attiecībā </w:t>
      </w:r>
      <w:r w:rsidR="00E854D1" w:rsidRPr="003F2E00">
        <w:rPr>
          <w:rFonts w:cs="Times New Roman"/>
          <w:sz w:val="28"/>
          <w:szCs w:val="28"/>
        </w:rPr>
        <w:t xml:space="preserve">uz </w:t>
      </w:r>
      <w:r w:rsidR="008C3EF6" w:rsidRPr="003F2E00">
        <w:rPr>
          <w:rFonts w:cs="Times New Roman"/>
          <w:sz w:val="28"/>
          <w:szCs w:val="28"/>
        </w:rPr>
        <w:t xml:space="preserve">ugunsdzēsībai pieejamiem </w:t>
      </w:r>
      <w:r w:rsidR="00156A24" w:rsidRPr="003F2E00">
        <w:rPr>
          <w:rFonts w:cs="Times New Roman"/>
          <w:sz w:val="28"/>
          <w:szCs w:val="28"/>
        </w:rPr>
        <w:t xml:space="preserve">papildu </w:t>
      </w:r>
      <w:r w:rsidR="009E33E6" w:rsidRPr="003F2E00">
        <w:rPr>
          <w:rFonts w:cs="Times New Roman"/>
          <w:sz w:val="28"/>
          <w:szCs w:val="28"/>
        </w:rPr>
        <w:t>finanšu resurs</w:t>
      </w:r>
      <w:r w:rsidR="008C3EF6" w:rsidRPr="003F2E00">
        <w:rPr>
          <w:rFonts w:cs="Times New Roman"/>
          <w:sz w:val="28"/>
          <w:szCs w:val="28"/>
        </w:rPr>
        <w:t>iem</w:t>
      </w:r>
      <w:r w:rsidR="009E33E6" w:rsidRPr="003F2E00">
        <w:rPr>
          <w:rFonts w:cs="Times New Roman"/>
          <w:sz w:val="28"/>
          <w:szCs w:val="28"/>
        </w:rPr>
        <w:t xml:space="preserve">, </w:t>
      </w:r>
      <w:r w:rsidR="00E854D1" w:rsidRPr="003F2E00">
        <w:rPr>
          <w:rFonts w:cs="Times New Roman"/>
          <w:sz w:val="28"/>
          <w:szCs w:val="28"/>
        </w:rPr>
        <w:t>kas</w:t>
      </w:r>
      <w:r w:rsidRPr="003F2E00">
        <w:rPr>
          <w:rFonts w:cs="Times New Roman"/>
          <w:sz w:val="28"/>
          <w:szCs w:val="28"/>
        </w:rPr>
        <w:t xml:space="preserve"> </w:t>
      </w:r>
      <w:r w:rsidR="005F6C33" w:rsidRPr="003F2E00">
        <w:rPr>
          <w:rFonts w:cs="Times New Roman"/>
          <w:sz w:val="28"/>
          <w:szCs w:val="28"/>
        </w:rPr>
        <w:t xml:space="preserve">VMD </w:t>
      </w:r>
      <w:r w:rsidR="00E854D1" w:rsidRPr="003F2E00">
        <w:rPr>
          <w:rFonts w:cs="Times New Roman"/>
          <w:sz w:val="28"/>
          <w:szCs w:val="28"/>
        </w:rPr>
        <w:t>dotu iespēju</w:t>
      </w:r>
      <w:r w:rsidR="009E33E6" w:rsidRPr="003F2E00">
        <w:rPr>
          <w:rFonts w:cs="Times New Roman"/>
          <w:sz w:val="28"/>
          <w:szCs w:val="28"/>
        </w:rPr>
        <w:t xml:space="preserve"> risināt jautājumu</w:t>
      </w:r>
      <w:r w:rsidR="00E854D1" w:rsidRPr="003F2E00">
        <w:rPr>
          <w:rFonts w:cs="Times New Roman"/>
          <w:sz w:val="28"/>
          <w:szCs w:val="28"/>
        </w:rPr>
        <w:t xml:space="preserve"> par</w:t>
      </w:r>
      <w:r w:rsidR="009E33E6" w:rsidRPr="003F2E00">
        <w:rPr>
          <w:rFonts w:cs="Times New Roman"/>
          <w:sz w:val="28"/>
          <w:szCs w:val="28"/>
        </w:rPr>
        <w:t xml:space="preserve"> personāla </w:t>
      </w:r>
      <w:r w:rsidR="00E854D1" w:rsidRPr="003F2E00">
        <w:rPr>
          <w:rFonts w:cs="Times New Roman"/>
          <w:sz w:val="28"/>
          <w:szCs w:val="28"/>
        </w:rPr>
        <w:t xml:space="preserve">un optimāla </w:t>
      </w:r>
      <w:r w:rsidR="009E33E6" w:rsidRPr="003F2E00">
        <w:rPr>
          <w:rFonts w:cs="Times New Roman"/>
          <w:sz w:val="28"/>
          <w:szCs w:val="28"/>
        </w:rPr>
        <w:t xml:space="preserve">sezonas darbinieku </w:t>
      </w:r>
      <w:r w:rsidR="005F6C33" w:rsidRPr="003F2E00">
        <w:rPr>
          <w:rFonts w:cs="Times New Roman"/>
          <w:sz w:val="28"/>
          <w:szCs w:val="28"/>
        </w:rPr>
        <w:t>skaitu ugunsnedrošā laikposmā</w:t>
      </w:r>
      <w:r w:rsidR="00E854D1" w:rsidRPr="003F2E00">
        <w:rPr>
          <w:rFonts w:cs="Times New Roman"/>
          <w:sz w:val="28"/>
          <w:szCs w:val="28"/>
        </w:rPr>
        <w:t xml:space="preserve">, nodrošinot tiem darba tirgū </w:t>
      </w:r>
      <w:r w:rsidR="009E33E6" w:rsidRPr="003F2E00">
        <w:rPr>
          <w:rFonts w:cs="Times New Roman"/>
          <w:sz w:val="28"/>
          <w:szCs w:val="28"/>
        </w:rPr>
        <w:t>konkur</w:t>
      </w:r>
      <w:r w:rsidR="00F75F55" w:rsidRPr="003F2E00">
        <w:rPr>
          <w:rFonts w:cs="Times New Roman"/>
          <w:sz w:val="28"/>
          <w:szCs w:val="28"/>
        </w:rPr>
        <w:t xml:space="preserve">ēt </w:t>
      </w:r>
      <w:r w:rsidR="009E33E6" w:rsidRPr="003F2E00">
        <w:rPr>
          <w:rFonts w:cs="Times New Roman"/>
          <w:sz w:val="28"/>
          <w:szCs w:val="28"/>
        </w:rPr>
        <w:t>spējīgu atalgojum</w:t>
      </w:r>
      <w:r w:rsidR="00E854D1" w:rsidRPr="003F2E00">
        <w:rPr>
          <w:rFonts w:cs="Times New Roman"/>
          <w:sz w:val="28"/>
          <w:szCs w:val="28"/>
        </w:rPr>
        <w:t>u</w:t>
      </w:r>
      <w:r w:rsidR="008C3EF6" w:rsidRPr="003F2E00">
        <w:rPr>
          <w:rFonts w:cs="Times New Roman"/>
          <w:sz w:val="28"/>
          <w:szCs w:val="28"/>
        </w:rPr>
        <w:t>,</w:t>
      </w:r>
      <w:r w:rsidR="00E854D1" w:rsidRPr="003F2E00">
        <w:rPr>
          <w:rFonts w:cs="Times New Roman"/>
          <w:sz w:val="28"/>
          <w:szCs w:val="28"/>
        </w:rPr>
        <w:t xml:space="preserve"> </w:t>
      </w:r>
      <w:r w:rsidR="008C3EF6" w:rsidRPr="003F2E00">
        <w:rPr>
          <w:rFonts w:cs="Times New Roman"/>
          <w:sz w:val="28"/>
          <w:szCs w:val="28"/>
        </w:rPr>
        <w:t>nav mainījusies.</w:t>
      </w:r>
    </w:p>
    <w:p w:rsidR="00FD5344" w:rsidRPr="003F2E00" w:rsidRDefault="008C3EF6" w:rsidP="00F773F6">
      <w:pPr>
        <w:pStyle w:val="Tekstastils"/>
        <w:rPr>
          <w:rFonts w:cs="Times New Roman"/>
          <w:sz w:val="28"/>
          <w:szCs w:val="28"/>
        </w:rPr>
      </w:pPr>
      <w:r w:rsidRPr="003F2E00">
        <w:rPr>
          <w:rFonts w:cs="Times New Roman"/>
          <w:sz w:val="28"/>
          <w:szCs w:val="28"/>
        </w:rPr>
        <w:lastRenderedPageBreak/>
        <w:t>Jān</w:t>
      </w:r>
      <w:r w:rsidR="0035793A" w:rsidRPr="003F2E00">
        <w:rPr>
          <w:rFonts w:cs="Times New Roman"/>
          <w:sz w:val="28"/>
          <w:szCs w:val="28"/>
        </w:rPr>
        <w:t>orād</w:t>
      </w:r>
      <w:r w:rsidRPr="003F2E00">
        <w:rPr>
          <w:rFonts w:cs="Times New Roman"/>
          <w:sz w:val="28"/>
          <w:szCs w:val="28"/>
        </w:rPr>
        <w:t>a</w:t>
      </w:r>
      <w:r w:rsidR="0035793A" w:rsidRPr="003F2E00">
        <w:rPr>
          <w:rFonts w:cs="Times New Roman"/>
          <w:sz w:val="28"/>
          <w:szCs w:val="28"/>
        </w:rPr>
        <w:t xml:space="preserve">, </w:t>
      </w:r>
      <w:r w:rsidR="005F6C33" w:rsidRPr="003F2E00">
        <w:rPr>
          <w:rFonts w:cs="Times New Roman"/>
          <w:sz w:val="28"/>
          <w:szCs w:val="28"/>
        </w:rPr>
        <w:t xml:space="preserve">ka </w:t>
      </w:r>
      <w:r w:rsidR="00B55AF2" w:rsidRPr="003F2E00">
        <w:rPr>
          <w:rFonts w:cs="Times New Roman"/>
          <w:sz w:val="28"/>
          <w:szCs w:val="28"/>
        </w:rPr>
        <w:t xml:space="preserve">Saeimas Aizsardzības, </w:t>
      </w:r>
      <w:r w:rsidR="00B73209" w:rsidRPr="003F2E00">
        <w:rPr>
          <w:rFonts w:cs="Times New Roman"/>
          <w:sz w:val="28"/>
          <w:szCs w:val="28"/>
        </w:rPr>
        <w:t>Iekšlietu</w:t>
      </w:r>
      <w:r w:rsidR="00B55AF2" w:rsidRPr="003F2E00">
        <w:rPr>
          <w:rFonts w:cs="Times New Roman"/>
          <w:sz w:val="28"/>
          <w:szCs w:val="28"/>
        </w:rPr>
        <w:t xml:space="preserve"> un korupcijas novēršanas komisijas 2018.</w:t>
      </w:r>
      <w:r w:rsidR="009143F4" w:rsidRPr="003F2E00">
        <w:rPr>
          <w:rFonts w:cs="Times New Roman"/>
          <w:sz w:val="28"/>
          <w:szCs w:val="28"/>
        </w:rPr>
        <w:t xml:space="preserve"> gada 26. septembra </w:t>
      </w:r>
      <w:r w:rsidR="00B55AF2" w:rsidRPr="003F2E00">
        <w:rPr>
          <w:rFonts w:cs="Times New Roman"/>
          <w:sz w:val="28"/>
          <w:szCs w:val="28"/>
        </w:rPr>
        <w:t xml:space="preserve">sēdē, pamatojoties uz VMD Ziņojumu par pašreizējo situāciju </w:t>
      </w:r>
      <w:r w:rsidR="00CD3F28" w:rsidRPr="003F2E00">
        <w:rPr>
          <w:rFonts w:cs="Times New Roman"/>
          <w:sz w:val="28"/>
          <w:szCs w:val="28"/>
        </w:rPr>
        <w:t>VMD</w:t>
      </w:r>
      <w:r w:rsidR="00B55AF2" w:rsidRPr="003F2E00">
        <w:rPr>
          <w:rFonts w:cs="Times New Roman"/>
          <w:sz w:val="28"/>
          <w:szCs w:val="28"/>
        </w:rPr>
        <w:t xml:space="preserve"> ugunsdzēsības jomā, t</w:t>
      </w:r>
      <w:r w:rsidR="00FD5344" w:rsidRPr="003F2E00">
        <w:rPr>
          <w:rFonts w:cs="Times New Roman"/>
          <w:sz w:val="28"/>
          <w:szCs w:val="28"/>
        </w:rPr>
        <w:t xml:space="preserve">ika pieņemti </w:t>
      </w:r>
      <w:r w:rsidR="009143F4" w:rsidRPr="003F2E00">
        <w:rPr>
          <w:rFonts w:cs="Times New Roman"/>
          <w:sz w:val="28"/>
          <w:szCs w:val="28"/>
        </w:rPr>
        <w:t>šādi</w:t>
      </w:r>
      <w:r w:rsidR="00616018" w:rsidRPr="003F2E00">
        <w:rPr>
          <w:rFonts w:cs="Times New Roman"/>
          <w:sz w:val="28"/>
          <w:szCs w:val="28"/>
        </w:rPr>
        <w:t xml:space="preserve"> </w:t>
      </w:r>
      <w:r w:rsidR="00FD5344" w:rsidRPr="003F2E00">
        <w:rPr>
          <w:rFonts w:cs="Times New Roman"/>
          <w:sz w:val="28"/>
          <w:szCs w:val="28"/>
        </w:rPr>
        <w:t>lēmumi</w:t>
      </w:r>
      <w:r w:rsidR="007B1907" w:rsidRPr="003F2E00">
        <w:rPr>
          <w:rFonts w:cs="Times New Roman"/>
          <w:sz w:val="28"/>
          <w:szCs w:val="28"/>
        </w:rPr>
        <w:t xml:space="preserve"> attiecībā uz 2019.gada budžetu:</w:t>
      </w:r>
    </w:p>
    <w:p w:rsidR="00CF1465" w:rsidRPr="003F2E00" w:rsidRDefault="00B015A5" w:rsidP="009B0F4F">
      <w:pPr>
        <w:pStyle w:val="Tekstastils"/>
        <w:numPr>
          <w:ilvl w:val="0"/>
          <w:numId w:val="7"/>
        </w:numPr>
        <w:rPr>
          <w:rFonts w:cs="Times New Roman"/>
          <w:sz w:val="28"/>
          <w:szCs w:val="28"/>
        </w:rPr>
      </w:pPr>
      <w:r w:rsidRPr="003F2E00">
        <w:rPr>
          <w:rFonts w:cs="Times New Roman"/>
          <w:sz w:val="28"/>
          <w:szCs w:val="28"/>
        </w:rPr>
        <w:t>ievērojot</w:t>
      </w:r>
      <w:r w:rsidR="00FB2CF0" w:rsidRPr="003F2E00">
        <w:rPr>
          <w:rFonts w:cs="Times New Roman"/>
          <w:sz w:val="28"/>
          <w:szCs w:val="28"/>
        </w:rPr>
        <w:t xml:space="preserve"> konstatēt</w:t>
      </w:r>
      <w:r w:rsidRPr="003F2E00">
        <w:rPr>
          <w:rFonts w:cs="Times New Roman"/>
          <w:sz w:val="28"/>
          <w:szCs w:val="28"/>
        </w:rPr>
        <w:t>ās</w:t>
      </w:r>
      <w:r w:rsidR="00FB2CF0" w:rsidRPr="003F2E00">
        <w:rPr>
          <w:rFonts w:cs="Times New Roman"/>
          <w:sz w:val="28"/>
          <w:szCs w:val="28"/>
        </w:rPr>
        <w:t xml:space="preserve"> VMD personāla un sezonas darbinieku </w:t>
      </w:r>
      <w:r w:rsidR="00B73209" w:rsidRPr="003F2E00">
        <w:rPr>
          <w:rFonts w:cs="Times New Roman"/>
          <w:sz w:val="28"/>
          <w:szCs w:val="28"/>
        </w:rPr>
        <w:t>konkurētspējīga</w:t>
      </w:r>
      <w:r w:rsidR="00FB2CF0" w:rsidRPr="003F2E00">
        <w:rPr>
          <w:rFonts w:cs="Times New Roman"/>
          <w:sz w:val="28"/>
          <w:szCs w:val="28"/>
        </w:rPr>
        <w:t xml:space="preserve"> atalgojuma problēm</w:t>
      </w:r>
      <w:r w:rsidRPr="003F2E00">
        <w:rPr>
          <w:rFonts w:cs="Times New Roman"/>
          <w:sz w:val="28"/>
          <w:szCs w:val="28"/>
        </w:rPr>
        <w:t>as,</w:t>
      </w:r>
      <w:r w:rsidR="00FB2CF0" w:rsidRPr="003F2E00">
        <w:rPr>
          <w:rFonts w:cs="Times New Roman"/>
          <w:sz w:val="28"/>
          <w:szCs w:val="28"/>
        </w:rPr>
        <w:t xml:space="preserve"> komisija</w:t>
      </w:r>
      <w:r w:rsidR="00875BC5" w:rsidRPr="003F2E00">
        <w:rPr>
          <w:rFonts w:cs="Times New Roman"/>
          <w:sz w:val="28"/>
          <w:szCs w:val="28"/>
        </w:rPr>
        <w:t>i</w:t>
      </w:r>
      <w:r w:rsidR="00FB2CF0" w:rsidRPr="003F2E00">
        <w:rPr>
          <w:rFonts w:cs="Times New Roman"/>
          <w:sz w:val="28"/>
          <w:szCs w:val="28"/>
        </w:rPr>
        <w:t xml:space="preserve"> aicināt Ministru </w:t>
      </w:r>
      <w:r w:rsidR="00862DE5" w:rsidRPr="003F2E00">
        <w:rPr>
          <w:rFonts w:cs="Times New Roman"/>
          <w:sz w:val="28"/>
          <w:szCs w:val="28"/>
        </w:rPr>
        <w:t>k</w:t>
      </w:r>
      <w:r w:rsidR="00FB2CF0" w:rsidRPr="003F2E00">
        <w:rPr>
          <w:rFonts w:cs="Times New Roman"/>
          <w:sz w:val="28"/>
          <w:szCs w:val="28"/>
        </w:rPr>
        <w:t>abinetu atbalstīt VMD lūgumu piešķirt papildu finansējumu dienesta kapacitātes stiprināšanai</w:t>
      </w:r>
      <w:r w:rsidR="00FD5344" w:rsidRPr="003F2E00">
        <w:rPr>
          <w:rFonts w:cs="Times New Roman"/>
          <w:sz w:val="28"/>
          <w:szCs w:val="28"/>
        </w:rPr>
        <w:t>;</w:t>
      </w:r>
    </w:p>
    <w:p w:rsidR="00070F7F" w:rsidRPr="003F2E00" w:rsidRDefault="00F75F55" w:rsidP="009B0F4F">
      <w:pPr>
        <w:pStyle w:val="Tekstastils"/>
        <w:numPr>
          <w:ilvl w:val="0"/>
          <w:numId w:val="7"/>
        </w:numPr>
        <w:rPr>
          <w:rFonts w:cs="Times New Roman"/>
          <w:sz w:val="28"/>
          <w:szCs w:val="28"/>
        </w:rPr>
      </w:pPr>
      <w:r w:rsidRPr="003F2E00">
        <w:rPr>
          <w:rFonts w:cs="Times New Roman"/>
          <w:sz w:val="28"/>
          <w:szCs w:val="28"/>
        </w:rPr>
        <w:t>ņemot vērā VMD konstatēto nepieciešamību precizēt normatīvo regulējumu attiecībā uz uguns uzraudzību un ugunsdzēsības funkciju realizāciju īpaši aizsargājamās dabas teritorijās un militārajos poligonos, dzēšanas darba vadītāja pilnvaru paplašināšanu un iespēju lai</w:t>
      </w:r>
      <w:r w:rsidR="00B015A5" w:rsidRPr="003F2E00">
        <w:rPr>
          <w:rFonts w:cs="Times New Roman"/>
          <w:sz w:val="28"/>
          <w:szCs w:val="28"/>
        </w:rPr>
        <w:t>kus</w:t>
      </w:r>
      <w:r w:rsidRPr="003F2E00">
        <w:rPr>
          <w:rFonts w:cs="Times New Roman"/>
          <w:sz w:val="28"/>
          <w:szCs w:val="28"/>
        </w:rPr>
        <w:t xml:space="preserve"> saņemt bezmaksas informāciju no Latvijas Vides, ģeoloģijas un meteoroloģijas centra, komisija nolēma atbalstīt dienesta ierosinātos priekšlikumus izdarīt grozījumus normatīvajos aktos.</w:t>
      </w:r>
    </w:p>
    <w:p w:rsidR="00FD5344" w:rsidRPr="003F2E00" w:rsidRDefault="00070F7F" w:rsidP="00862DE5">
      <w:pPr>
        <w:pStyle w:val="Tekstastils"/>
        <w:ind w:left="0" w:firstLine="851"/>
        <w:rPr>
          <w:rFonts w:cs="Times New Roman"/>
          <w:sz w:val="28"/>
          <w:szCs w:val="28"/>
        </w:rPr>
      </w:pPr>
      <w:r w:rsidRPr="003F2E00">
        <w:rPr>
          <w:rFonts w:cs="Times New Roman"/>
          <w:sz w:val="28"/>
          <w:szCs w:val="28"/>
        </w:rPr>
        <w:t xml:space="preserve">Zemkopības ministrija ir sagatavojusi priekšlikumus grozījumiem </w:t>
      </w:r>
      <w:r w:rsidR="005C1DEE" w:rsidRPr="003F2E00">
        <w:rPr>
          <w:rFonts w:cs="Times New Roman"/>
          <w:sz w:val="28"/>
          <w:szCs w:val="28"/>
        </w:rPr>
        <w:t>U</w:t>
      </w:r>
      <w:r w:rsidRPr="003F2E00">
        <w:rPr>
          <w:rFonts w:cs="Times New Roman"/>
          <w:sz w:val="28"/>
          <w:szCs w:val="28"/>
        </w:rPr>
        <w:t xml:space="preserve">gunsdrošības </w:t>
      </w:r>
      <w:r w:rsidR="005C1DEE" w:rsidRPr="003F2E00">
        <w:rPr>
          <w:rFonts w:cs="Times New Roman"/>
          <w:sz w:val="28"/>
          <w:szCs w:val="28"/>
        </w:rPr>
        <w:t xml:space="preserve">un ugunsdzēsības </w:t>
      </w:r>
      <w:r w:rsidRPr="003F2E00">
        <w:rPr>
          <w:rFonts w:cs="Times New Roman"/>
          <w:sz w:val="28"/>
          <w:szCs w:val="28"/>
        </w:rPr>
        <w:t>likumā un M</w:t>
      </w:r>
      <w:r w:rsidR="00862DE5" w:rsidRPr="003F2E00">
        <w:rPr>
          <w:rFonts w:cs="Times New Roman"/>
          <w:sz w:val="28"/>
          <w:szCs w:val="28"/>
        </w:rPr>
        <w:t>inistru kabineta</w:t>
      </w:r>
      <w:r w:rsidRPr="003F2E00">
        <w:rPr>
          <w:rFonts w:cs="Times New Roman"/>
          <w:sz w:val="28"/>
          <w:szCs w:val="28"/>
        </w:rPr>
        <w:t xml:space="preserve"> </w:t>
      </w:r>
      <w:r w:rsidR="00862DE5" w:rsidRPr="003F2E00">
        <w:rPr>
          <w:rFonts w:cs="Times New Roman"/>
          <w:sz w:val="28"/>
          <w:szCs w:val="28"/>
        </w:rPr>
        <w:t>2016. gada 19.</w:t>
      </w:r>
      <w:r w:rsidR="00B015A5" w:rsidRPr="003F2E00">
        <w:rPr>
          <w:rFonts w:cs="Times New Roman"/>
          <w:sz w:val="28"/>
          <w:szCs w:val="28"/>
        </w:rPr>
        <w:t xml:space="preserve"> </w:t>
      </w:r>
      <w:r w:rsidR="00862DE5" w:rsidRPr="003F2E00">
        <w:rPr>
          <w:rFonts w:cs="Times New Roman"/>
          <w:sz w:val="28"/>
          <w:szCs w:val="28"/>
        </w:rPr>
        <w:t xml:space="preserve">aprīļa </w:t>
      </w:r>
      <w:r w:rsidRPr="003F2E00">
        <w:rPr>
          <w:rFonts w:cs="Times New Roman"/>
          <w:sz w:val="28"/>
          <w:szCs w:val="28"/>
        </w:rPr>
        <w:t xml:space="preserve">noteikumos Nr. 238 “Ugunsdrošības noteikumi” un iesniegusi </w:t>
      </w:r>
      <w:r w:rsidR="00862DE5" w:rsidRPr="003F2E00">
        <w:rPr>
          <w:rFonts w:cs="Times New Roman"/>
          <w:sz w:val="28"/>
          <w:szCs w:val="28"/>
        </w:rPr>
        <w:t>to</w:t>
      </w:r>
      <w:r w:rsidR="00B015A5" w:rsidRPr="003F2E00">
        <w:rPr>
          <w:rFonts w:cs="Times New Roman"/>
          <w:sz w:val="28"/>
          <w:szCs w:val="28"/>
        </w:rPr>
        <w:t>s</w:t>
      </w:r>
      <w:r w:rsidR="00862DE5" w:rsidRPr="003F2E00">
        <w:rPr>
          <w:rFonts w:cs="Times New Roman"/>
          <w:sz w:val="28"/>
          <w:szCs w:val="28"/>
        </w:rPr>
        <w:t xml:space="preserve"> </w:t>
      </w:r>
      <w:r w:rsidRPr="003F2E00">
        <w:rPr>
          <w:rFonts w:cs="Times New Roman"/>
          <w:sz w:val="28"/>
          <w:szCs w:val="28"/>
        </w:rPr>
        <w:t>Iekšlietu ministri</w:t>
      </w:r>
      <w:r w:rsidR="003F2E00">
        <w:rPr>
          <w:rFonts w:cs="Times New Roman"/>
          <w:sz w:val="28"/>
          <w:szCs w:val="28"/>
        </w:rPr>
        <w:t>j</w:t>
      </w:r>
      <w:r w:rsidR="00862DE5" w:rsidRPr="003F2E00">
        <w:rPr>
          <w:rFonts w:cs="Times New Roman"/>
          <w:sz w:val="28"/>
          <w:szCs w:val="28"/>
        </w:rPr>
        <w:t>ā</w:t>
      </w:r>
      <w:r w:rsidRPr="003F2E00">
        <w:rPr>
          <w:rFonts w:cs="Times New Roman"/>
          <w:sz w:val="28"/>
          <w:szCs w:val="28"/>
        </w:rPr>
        <w:t>.</w:t>
      </w:r>
    </w:p>
    <w:p w:rsidR="00F773F6" w:rsidRPr="003F2E00" w:rsidRDefault="00F773F6" w:rsidP="00DE053A">
      <w:pPr>
        <w:pStyle w:val="heading2"/>
        <w:numPr>
          <w:ilvl w:val="1"/>
          <w:numId w:val="7"/>
        </w:numPr>
        <w:rPr>
          <w:rFonts w:ascii="Times New Roman" w:hAnsi="Times New Roman" w:cs="Times New Roman"/>
          <w:szCs w:val="28"/>
        </w:rPr>
      </w:pPr>
      <w:bookmarkStart w:id="7" w:name="_Toc5911196"/>
      <w:r w:rsidRPr="003F2E00">
        <w:rPr>
          <w:rFonts w:ascii="Times New Roman" w:hAnsi="Times New Roman" w:cs="Times New Roman"/>
          <w:szCs w:val="28"/>
        </w:rPr>
        <w:t>Latvijas mežu platība un ugunsgrēku postījumi</w:t>
      </w:r>
      <w:bookmarkEnd w:id="5"/>
      <w:bookmarkEnd w:id="6"/>
      <w:bookmarkEnd w:id="7"/>
    </w:p>
    <w:p w:rsidR="00F773F6" w:rsidRPr="003F2E00" w:rsidRDefault="00213380" w:rsidP="00F773F6">
      <w:pPr>
        <w:pStyle w:val="Tekstastils"/>
        <w:rPr>
          <w:rFonts w:cs="Times New Roman"/>
          <w:sz w:val="28"/>
          <w:szCs w:val="28"/>
        </w:rPr>
      </w:pPr>
      <w:r w:rsidRPr="003F2E00">
        <w:rPr>
          <w:rFonts w:cs="Times New Roman"/>
          <w:sz w:val="28"/>
          <w:szCs w:val="28"/>
        </w:rPr>
        <w:t>Meža valsts reģistr</w:t>
      </w:r>
      <w:r w:rsidR="00B015A5" w:rsidRPr="003F2E00">
        <w:rPr>
          <w:rFonts w:cs="Times New Roman"/>
          <w:sz w:val="28"/>
          <w:szCs w:val="28"/>
        </w:rPr>
        <w:t>a</w:t>
      </w:r>
      <w:r w:rsidR="00F773F6" w:rsidRPr="003F2E00">
        <w:rPr>
          <w:rFonts w:cs="Times New Roman"/>
          <w:sz w:val="28"/>
          <w:szCs w:val="28"/>
        </w:rPr>
        <w:t xml:space="preserve"> (turpmāk</w:t>
      </w:r>
      <w:r w:rsidR="00862DE5" w:rsidRPr="003F2E00">
        <w:rPr>
          <w:rFonts w:cs="Times New Roman"/>
          <w:sz w:val="28"/>
          <w:szCs w:val="28"/>
        </w:rPr>
        <w:t xml:space="preserve"> – </w:t>
      </w:r>
      <w:r w:rsidR="00F773F6" w:rsidRPr="003F2E00">
        <w:rPr>
          <w:rFonts w:cs="Times New Roman"/>
          <w:sz w:val="28"/>
          <w:szCs w:val="28"/>
        </w:rPr>
        <w:t>MVR) informācij</w:t>
      </w:r>
      <w:r w:rsidR="00B015A5" w:rsidRPr="003F2E00">
        <w:rPr>
          <w:rFonts w:cs="Times New Roman"/>
          <w:sz w:val="28"/>
          <w:szCs w:val="28"/>
        </w:rPr>
        <w:t>a liecina, ka</w:t>
      </w:r>
      <w:r w:rsidR="00F773F6" w:rsidRPr="003F2E00">
        <w:rPr>
          <w:rFonts w:cs="Times New Roman"/>
          <w:sz w:val="28"/>
          <w:szCs w:val="28"/>
        </w:rPr>
        <w:t xml:space="preserve"> meža zeme </w:t>
      </w:r>
      <w:r w:rsidR="00B015A5" w:rsidRPr="003F2E00">
        <w:rPr>
          <w:rFonts w:cs="Times New Roman"/>
          <w:sz w:val="28"/>
          <w:szCs w:val="28"/>
        </w:rPr>
        <w:t>aizņem</w:t>
      </w:r>
      <w:r w:rsidR="00F773F6" w:rsidRPr="003F2E00">
        <w:rPr>
          <w:rFonts w:cs="Times New Roman"/>
          <w:sz w:val="28"/>
          <w:szCs w:val="28"/>
        </w:rPr>
        <w:t xml:space="preserve"> 3</w:t>
      </w:r>
      <w:r w:rsidR="00B015A5" w:rsidRPr="003F2E00">
        <w:rPr>
          <w:rFonts w:cs="Times New Roman"/>
          <w:sz w:val="28"/>
          <w:szCs w:val="28"/>
        </w:rPr>
        <w:t>,</w:t>
      </w:r>
      <w:r w:rsidR="00F773F6" w:rsidRPr="003F2E00">
        <w:rPr>
          <w:rFonts w:cs="Times New Roman"/>
          <w:sz w:val="28"/>
          <w:szCs w:val="28"/>
        </w:rPr>
        <w:t>32</w:t>
      </w:r>
      <w:r w:rsidR="00B015A5" w:rsidRPr="003F2E00">
        <w:rPr>
          <w:rFonts w:cs="Times New Roman"/>
          <w:sz w:val="28"/>
          <w:szCs w:val="28"/>
        </w:rPr>
        <w:t> </w:t>
      </w:r>
      <w:r w:rsidR="00F773F6" w:rsidRPr="003F2E00">
        <w:rPr>
          <w:rFonts w:cs="Times New Roman"/>
          <w:sz w:val="28"/>
          <w:szCs w:val="28"/>
        </w:rPr>
        <w:t>milj.</w:t>
      </w:r>
      <w:r w:rsidR="00B015A5" w:rsidRPr="003F2E00">
        <w:rPr>
          <w:rFonts w:cs="Times New Roman"/>
          <w:sz w:val="28"/>
          <w:szCs w:val="28"/>
        </w:rPr>
        <w:t xml:space="preserve"> </w:t>
      </w:r>
      <w:r w:rsidR="00F773F6" w:rsidRPr="003F2E00">
        <w:rPr>
          <w:rFonts w:cs="Times New Roman"/>
          <w:sz w:val="28"/>
          <w:szCs w:val="28"/>
        </w:rPr>
        <w:t>ha, t.i., vairāk nekā pus</w:t>
      </w:r>
      <w:r w:rsidR="00B015A5" w:rsidRPr="003F2E00">
        <w:rPr>
          <w:rFonts w:cs="Times New Roman"/>
          <w:sz w:val="28"/>
          <w:szCs w:val="28"/>
        </w:rPr>
        <w:t>i</w:t>
      </w:r>
      <w:r w:rsidR="00F773F6" w:rsidRPr="003F2E00">
        <w:rPr>
          <w:rFonts w:cs="Times New Roman"/>
          <w:sz w:val="28"/>
          <w:szCs w:val="28"/>
        </w:rPr>
        <w:t xml:space="preserve"> no Latvijas </w:t>
      </w:r>
      <w:r w:rsidR="00116ECA" w:rsidRPr="003F2E00">
        <w:rPr>
          <w:rFonts w:cs="Times New Roman"/>
          <w:sz w:val="28"/>
          <w:szCs w:val="28"/>
        </w:rPr>
        <w:t>teritorijas</w:t>
      </w:r>
      <w:r w:rsidR="00F773F6" w:rsidRPr="003F2E00">
        <w:rPr>
          <w:rFonts w:cs="Times New Roman"/>
          <w:sz w:val="28"/>
          <w:szCs w:val="28"/>
        </w:rPr>
        <w:t xml:space="preserve">. </w:t>
      </w:r>
      <w:r w:rsidR="00B015A5" w:rsidRPr="003F2E00">
        <w:rPr>
          <w:rFonts w:cs="Times New Roman"/>
          <w:sz w:val="28"/>
          <w:szCs w:val="28"/>
        </w:rPr>
        <w:t>P</w:t>
      </w:r>
      <w:r w:rsidR="00F773F6" w:rsidRPr="003F2E00">
        <w:rPr>
          <w:rFonts w:cs="Times New Roman"/>
          <w:sz w:val="28"/>
          <w:szCs w:val="28"/>
        </w:rPr>
        <w:t>ēc nacionālā meža monitoringa datiem</w:t>
      </w:r>
      <w:r w:rsidR="00B015A5" w:rsidRPr="003F2E00">
        <w:rPr>
          <w:rFonts w:cs="Times New Roman"/>
          <w:sz w:val="28"/>
          <w:szCs w:val="28"/>
        </w:rPr>
        <w:t>,</w:t>
      </w:r>
      <w:r w:rsidR="00F773F6" w:rsidRPr="003F2E00">
        <w:rPr>
          <w:rFonts w:cs="Times New Roman"/>
          <w:sz w:val="28"/>
          <w:szCs w:val="28"/>
        </w:rPr>
        <w:t xml:space="preserve"> </w:t>
      </w:r>
      <w:r w:rsidR="00B015A5" w:rsidRPr="003F2E00">
        <w:rPr>
          <w:rFonts w:cs="Times New Roman"/>
          <w:sz w:val="28"/>
          <w:szCs w:val="28"/>
        </w:rPr>
        <w:t xml:space="preserve">valstī </w:t>
      </w:r>
      <w:r w:rsidR="00F773F6" w:rsidRPr="003F2E00">
        <w:rPr>
          <w:rFonts w:cs="Times New Roman"/>
          <w:sz w:val="28"/>
          <w:szCs w:val="28"/>
        </w:rPr>
        <w:t>Meža likumā noteiktajai meža definīcijai atbilst 152 tūkst. ha zem</w:t>
      </w:r>
      <w:r w:rsidR="00F12608" w:rsidRPr="003F2E00">
        <w:rPr>
          <w:rFonts w:cs="Times New Roman"/>
          <w:sz w:val="28"/>
          <w:szCs w:val="28"/>
        </w:rPr>
        <w:t>es</w:t>
      </w:r>
      <w:r w:rsidR="00F773F6" w:rsidRPr="003F2E00">
        <w:rPr>
          <w:rFonts w:cs="Times New Roman"/>
          <w:sz w:val="28"/>
          <w:szCs w:val="28"/>
        </w:rPr>
        <w:t>, kur</w:t>
      </w:r>
      <w:r w:rsidR="00F12608" w:rsidRPr="003F2E00">
        <w:rPr>
          <w:rFonts w:cs="Times New Roman"/>
          <w:sz w:val="28"/>
          <w:szCs w:val="28"/>
        </w:rPr>
        <w:t>as</w:t>
      </w:r>
      <w:r w:rsidR="00F773F6" w:rsidRPr="003F2E00">
        <w:rPr>
          <w:rFonts w:cs="Times New Roman"/>
          <w:sz w:val="28"/>
          <w:szCs w:val="28"/>
        </w:rPr>
        <w:t xml:space="preserve"> juridiskais statuss šobrīd nav mežs</w:t>
      </w:r>
      <w:r w:rsidR="00F12608" w:rsidRPr="003F2E00">
        <w:rPr>
          <w:rFonts w:cs="Times New Roman"/>
          <w:sz w:val="28"/>
          <w:szCs w:val="28"/>
        </w:rPr>
        <w:t>,</w:t>
      </w:r>
      <w:r w:rsidR="00F773F6" w:rsidRPr="003F2E00">
        <w:rPr>
          <w:rFonts w:cs="Times New Roman"/>
          <w:sz w:val="28"/>
          <w:szCs w:val="28"/>
        </w:rPr>
        <w:t xml:space="preserve"> un 158 tūkst. ha </w:t>
      </w:r>
      <w:r w:rsidR="00F12608" w:rsidRPr="003F2E00">
        <w:rPr>
          <w:rFonts w:cs="Times New Roman"/>
          <w:sz w:val="28"/>
          <w:szCs w:val="28"/>
        </w:rPr>
        <w:t xml:space="preserve">lielas </w:t>
      </w:r>
      <w:r w:rsidR="00F773F6" w:rsidRPr="003F2E00">
        <w:rPr>
          <w:rFonts w:cs="Times New Roman"/>
          <w:sz w:val="28"/>
          <w:szCs w:val="28"/>
        </w:rPr>
        <w:t>zem</w:t>
      </w:r>
      <w:r w:rsidR="00F12608" w:rsidRPr="003F2E00">
        <w:rPr>
          <w:rFonts w:cs="Times New Roman"/>
          <w:sz w:val="28"/>
          <w:szCs w:val="28"/>
        </w:rPr>
        <w:t>es</w:t>
      </w:r>
      <w:r w:rsidR="00F773F6" w:rsidRPr="003F2E00">
        <w:rPr>
          <w:rFonts w:cs="Times New Roman"/>
          <w:sz w:val="28"/>
          <w:szCs w:val="28"/>
        </w:rPr>
        <w:t xml:space="preserve"> platības tuvākajos gados atbildīs Meža likumā noteiktajiem meža izdalīšanas kritērijiem</w:t>
      </w:r>
      <w:r w:rsidR="007050FF" w:rsidRPr="003F2E00">
        <w:rPr>
          <w:rFonts w:cs="Times New Roman"/>
          <w:sz w:val="28"/>
          <w:szCs w:val="28"/>
        </w:rPr>
        <w:t xml:space="preserve"> –</w:t>
      </w:r>
      <w:r w:rsidR="00F773F6" w:rsidRPr="003F2E00">
        <w:rPr>
          <w:rFonts w:cs="Times New Roman"/>
          <w:sz w:val="28"/>
          <w:szCs w:val="28"/>
        </w:rPr>
        <w:t xml:space="preserve"> </w:t>
      </w:r>
      <w:r w:rsidR="007050FF" w:rsidRPr="003F2E00">
        <w:rPr>
          <w:rFonts w:cs="Times New Roman"/>
          <w:sz w:val="28"/>
          <w:szCs w:val="28"/>
        </w:rPr>
        <w:t>t</w:t>
      </w:r>
      <w:r w:rsidR="00F773F6" w:rsidRPr="003F2E00">
        <w:rPr>
          <w:rFonts w:cs="Times New Roman"/>
          <w:sz w:val="28"/>
          <w:szCs w:val="28"/>
        </w:rPr>
        <w:t>as ir papildus gandrīz 10 % no paš</w:t>
      </w:r>
      <w:r w:rsidR="007050FF" w:rsidRPr="003F2E00">
        <w:rPr>
          <w:rFonts w:cs="Times New Roman"/>
          <w:sz w:val="28"/>
          <w:szCs w:val="28"/>
        </w:rPr>
        <w:t>laik</w:t>
      </w:r>
      <w:r w:rsidR="00F773F6" w:rsidRPr="003F2E00">
        <w:rPr>
          <w:rFonts w:cs="Times New Roman"/>
          <w:sz w:val="28"/>
          <w:szCs w:val="28"/>
        </w:rPr>
        <w:t xml:space="preserve"> VMD uzraugāmās platības. Tas nozīmē, ka </w:t>
      </w:r>
      <w:r w:rsidR="007050FF" w:rsidRPr="003F2E00">
        <w:rPr>
          <w:rFonts w:cs="Times New Roman"/>
          <w:sz w:val="28"/>
          <w:szCs w:val="28"/>
        </w:rPr>
        <w:t xml:space="preserve">turpina palielināties </w:t>
      </w:r>
      <w:r w:rsidR="00F773F6" w:rsidRPr="003F2E00">
        <w:rPr>
          <w:rFonts w:cs="Times New Roman"/>
          <w:sz w:val="28"/>
          <w:szCs w:val="28"/>
        </w:rPr>
        <w:t xml:space="preserve">VMD </w:t>
      </w:r>
      <w:r w:rsidR="007050FF" w:rsidRPr="003F2E00">
        <w:rPr>
          <w:rFonts w:cs="Times New Roman"/>
          <w:sz w:val="28"/>
          <w:szCs w:val="28"/>
        </w:rPr>
        <w:t xml:space="preserve">nodarbināto </w:t>
      </w:r>
      <w:r w:rsidR="00F773F6" w:rsidRPr="003F2E00">
        <w:rPr>
          <w:rFonts w:cs="Times New Roman"/>
          <w:sz w:val="28"/>
          <w:szCs w:val="28"/>
        </w:rPr>
        <w:t>darba slodze.</w:t>
      </w:r>
    </w:p>
    <w:p w:rsidR="00F773F6" w:rsidRPr="003F2E00" w:rsidRDefault="00F773F6" w:rsidP="00F773F6">
      <w:pPr>
        <w:pStyle w:val="Tekstastils"/>
        <w:rPr>
          <w:rStyle w:val="Hyperlink"/>
          <w:rFonts w:cs="Times New Roman"/>
          <w:bCs/>
          <w:color w:val="auto"/>
          <w:sz w:val="28"/>
          <w:szCs w:val="28"/>
          <w:u w:val="none"/>
        </w:rPr>
      </w:pPr>
      <w:r w:rsidRPr="003F2E00">
        <w:rPr>
          <w:rFonts w:cs="Times New Roman"/>
          <w:bCs/>
          <w:sz w:val="28"/>
          <w:szCs w:val="28"/>
        </w:rPr>
        <w:t xml:space="preserve">Gados ar </w:t>
      </w:r>
      <w:r w:rsidR="007050FF" w:rsidRPr="003F2E00">
        <w:rPr>
          <w:rFonts w:cs="Times New Roman"/>
          <w:bCs/>
          <w:sz w:val="28"/>
          <w:szCs w:val="28"/>
        </w:rPr>
        <w:t>lielu</w:t>
      </w:r>
      <w:r w:rsidRPr="003F2E00">
        <w:rPr>
          <w:rFonts w:cs="Times New Roman"/>
          <w:bCs/>
          <w:sz w:val="28"/>
          <w:szCs w:val="28"/>
        </w:rPr>
        <w:t xml:space="preserve"> ugunsbīstamību, kā</w:t>
      </w:r>
      <w:r w:rsidR="007050FF" w:rsidRPr="003F2E00">
        <w:rPr>
          <w:rFonts w:cs="Times New Roman"/>
          <w:bCs/>
          <w:sz w:val="28"/>
          <w:szCs w:val="28"/>
        </w:rPr>
        <w:t>,</w:t>
      </w:r>
      <w:r w:rsidRPr="003F2E00">
        <w:rPr>
          <w:rFonts w:cs="Times New Roman"/>
          <w:bCs/>
          <w:sz w:val="28"/>
          <w:szCs w:val="28"/>
        </w:rPr>
        <w:t xml:space="preserve"> piemēram</w:t>
      </w:r>
      <w:r w:rsidR="007050FF" w:rsidRPr="003F2E00">
        <w:rPr>
          <w:rFonts w:cs="Times New Roman"/>
          <w:bCs/>
          <w:sz w:val="28"/>
          <w:szCs w:val="28"/>
        </w:rPr>
        <w:t>,</w:t>
      </w:r>
      <w:r w:rsidRPr="003F2E00">
        <w:rPr>
          <w:rFonts w:cs="Times New Roman"/>
          <w:bCs/>
          <w:sz w:val="28"/>
          <w:szCs w:val="28"/>
        </w:rPr>
        <w:t xml:space="preserve"> 1992.gadā</w:t>
      </w:r>
      <w:r w:rsidR="007050FF" w:rsidRPr="003F2E00">
        <w:rPr>
          <w:rFonts w:cs="Times New Roman"/>
          <w:bCs/>
          <w:sz w:val="28"/>
          <w:szCs w:val="28"/>
        </w:rPr>
        <w:t>,</w:t>
      </w:r>
      <w:r w:rsidRPr="003F2E00">
        <w:rPr>
          <w:rFonts w:cs="Times New Roman"/>
          <w:bCs/>
          <w:sz w:val="28"/>
          <w:szCs w:val="28"/>
        </w:rPr>
        <w:t xml:space="preserve"> vidējā izdegusī meža platība bija 5,57 ha, 2002.gadā – 1,36 ha, 2006.gadā </w:t>
      </w:r>
      <w:r w:rsidR="007050FF" w:rsidRPr="003F2E00">
        <w:rPr>
          <w:rFonts w:cs="Times New Roman"/>
          <w:bCs/>
          <w:sz w:val="28"/>
          <w:szCs w:val="28"/>
        </w:rPr>
        <w:t xml:space="preserve">– </w:t>
      </w:r>
      <w:r w:rsidRPr="003F2E00">
        <w:rPr>
          <w:rFonts w:cs="Times New Roman"/>
          <w:bCs/>
          <w:sz w:val="28"/>
          <w:szCs w:val="28"/>
        </w:rPr>
        <w:t>1,96 ha, savukārt pārējos gados vidējā izdegusī meža zemes platība nepārsniedz</w:t>
      </w:r>
      <w:r w:rsidR="005F6C33" w:rsidRPr="003F2E00">
        <w:rPr>
          <w:rFonts w:cs="Times New Roman"/>
          <w:bCs/>
          <w:sz w:val="28"/>
          <w:szCs w:val="28"/>
        </w:rPr>
        <w:t>a</w:t>
      </w:r>
      <w:r w:rsidRPr="003F2E00">
        <w:rPr>
          <w:rFonts w:cs="Times New Roman"/>
          <w:bCs/>
          <w:sz w:val="28"/>
          <w:szCs w:val="28"/>
        </w:rPr>
        <w:t xml:space="preserve"> 1 ha</w:t>
      </w:r>
      <w:r w:rsidR="007050FF" w:rsidRPr="003F2E00">
        <w:rPr>
          <w:rFonts w:cs="Times New Roman"/>
          <w:bCs/>
          <w:sz w:val="28"/>
          <w:szCs w:val="28"/>
        </w:rPr>
        <w:t>. Tas</w:t>
      </w:r>
      <w:r w:rsidRPr="003F2E00">
        <w:rPr>
          <w:rFonts w:cs="Times New Roman"/>
          <w:bCs/>
          <w:sz w:val="28"/>
          <w:szCs w:val="28"/>
        </w:rPr>
        <w:t xml:space="preserve"> liecina par VMD spēju ātri un operatīvi atklāt un likvidēt meža ugunsgrēku. </w:t>
      </w:r>
      <w:r w:rsidR="007050FF" w:rsidRPr="003F2E00">
        <w:rPr>
          <w:rFonts w:cs="Times New Roman"/>
          <w:bCs/>
          <w:sz w:val="28"/>
          <w:szCs w:val="28"/>
        </w:rPr>
        <w:t>Jāpiebilst</w:t>
      </w:r>
      <w:r w:rsidRPr="003F2E00">
        <w:rPr>
          <w:rFonts w:cs="Times New Roman"/>
          <w:bCs/>
          <w:sz w:val="28"/>
          <w:szCs w:val="28"/>
        </w:rPr>
        <w:t xml:space="preserve">, ka viena mežziņa uzraugāmā teritorija – apgaita </w:t>
      </w:r>
      <w:r w:rsidR="007050FF" w:rsidRPr="003F2E00">
        <w:rPr>
          <w:rFonts w:cs="Times New Roman"/>
          <w:bCs/>
          <w:sz w:val="28"/>
          <w:szCs w:val="28"/>
        </w:rPr>
        <w:t xml:space="preserve">– </w:t>
      </w:r>
      <w:r w:rsidRPr="003F2E00">
        <w:rPr>
          <w:rFonts w:cs="Times New Roman"/>
          <w:bCs/>
          <w:sz w:val="28"/>
          <w:szCs w:val="28"/>
        </w:rPr>
        <w:t>ir aptuveni 10000 ha meža zemes, kas bieži vien kopā ar zem</w:t>
      </w:r>
      <w:r w:rsidR="007050FF" w:rsidRPr="003F2E00">
        <w:rPr>
          <w:rFonts w:cs="Times New Roman"/>
          <w:bCs/>
          <w:sz w:val="28"/>
          <w:szCs w:val="28"/>
        </w:rPr>
        <w:t>i, kurai ir</w:t>
      </w:r>
      <w:r w:rsidRPr="003F2E00">
        <w:rPr>
          <w:rFonts w:cs="Times New Roman"/>
          <w:bCs/>
          <w:sz w:val="28"/>
          <w:szCs w:val="28"/>
        </w:rPr>
        <w:t xml:space="preserve"> </w:t>
      </w:r>
      <w:r w:rsidR="007050FF" w:rsidRPr="003F2E00">
        <w:rPr>
          <w:rFonts w:cs="Times New Roman"/>
          <w:bCs/>
          <w:sz w:val="28"/>
          <w:szCs w:val="28"/>
        </w:rPr>
        <w:t xml:space="preserve">cits </w:t>
      </w:r>
      <w:r w:rsidRPr="003F2E00">
        <w:rPr>
          <w:rFonts w:cs="Times New Roman"/>
          <w:bCs/>
          <w:sz w:val="28"/>
          <w:szCs w:val="28"/>
        </w:rPr>
        <w:t>lietošanas veid</w:t>
      </w:r>
      <w:r w:rsidR="007050FF" w:rsidRPr="003F2E00">
        <w:rPr>
          <w:rFonts w:cs="Times New Roman"/>
          <w:bCs/>
          <w:sz w:val="28"/>
          <w:szCs w:val="28"/>
        </w:rPr>
        <w:t>s, veido</w:t>
      </w:r>
      <w:r w:rsidRPr="003F2E00">
        <w:rPr>
          <w:rFonts w:cs="Times New Roman"/>
          <w:bCs/>
          <w:sz w:val="28"/>
          <w:szCs w:val="28"/>
        </w:rPr>
        <w:t xml:space="preserve"> ap 20000 ha lielu teritoriju. Vidējā izdegusī platība</w:t>
      </w:r>
      <w:r w:rsidR="00176FDA" w:rsidRPr="003F2E00">
        <w:rPr>
          <w:rFonts w:cs="Times New Roman"/>
          <w:bCs/>
          <w:sz w:val="28"/>
          <w:szCs w:val="28"/>
        </w:rPr>
        <w:t xml:space="preserve"> 2018.gadā </w:t>
      </w:r>
      <w:r w:rsidR="007050FF" w:rsidRPr="003F2E00">
        <w:rPr>
          <w:rFonts w:cs="Times New Roman"/>
          <w:bCs/>
          <w:sz w:val="28"/>
          <w:szCs w:val="28"/>
        </w:rPr>
        <w:t>bija</w:t>
      </w:r>
      <w:r w:rsidR="00176FDA" w:rsidRPr="003F2E00">
        <w:rPr>
          <w:rFonts w:cs="Times New Roman"/>
          <w:bCs/>
          <w:sz w:val="28"/>
          <w:szCs w:val="28"/>
        </w:rPr>
        <w:t xml:space="preserve"> 2</w:t>
      </w:r>
      <w:r w:rsidR="007050FF" w:rsidRPr="003F2E00">
        <w:rPr>
          <w:rFonts w:cs="Times New Roman"/>
          <w:bCs/>
          <w:sz w:val="28"/>
          <w:szCs w:val="28"/>
        </w:rPr>
        <w:t>,</w:t>
      </w:r>
      <w:r w:rsidR="00176FDA" w:rsidRPr="003F2E00">
        <w:rPr>
          <w:rFonts w:cs="Times New Roman"/>
          <w:bCs/>
          <w:sz w:val="28"/>
          <w:szCs w:val="28"/>
        </w:rPr>
        <w:t>95</w:t>
      </w:r>
      <w:r w:rsidRPr="003F2E00">
        <w:rPr>
          <w:rFonts w:cs="Times New Roman"/>
          <w:bCs/>
          <w:sz w:val="28"/>
          <w:szCs w:val="28"/>
        </w:rPr>
        <w:t xml:space="preserve"> ha</w:t>
      </w:r>
      <w:r w:rsidR="004C1E2F" w:rsidRPr="003F2E00">
        <w:rPr>
          <w:rFonts w:cs="Times New Roman"/>
          <w:bCs/>
          <w:sz w:val="28"/>
          <w:szCs w:val="28"/>
        </w:rPr>
        <w:t xml:space="preserve">. </w:t>
      </w:r>
      <w:hyperlink r:id="rId10" w:history="1">
        <w:r w:rsidR="004C1E2F" w:rsidRPr="003F2E00">
          <w:rPr>
            <w:rStyle w:val="Hyperlink"/>
            <w:rFonts w:cs="Times New Roman"/>
            <w:bCs/>
            <w:color w:val="auto"/>
            <w:sz w:val="28"/>
            <w:szCs w:val="28"/>
            <w:u w:val="none"/>
          </w:rPr>
          <w:t>Meža ugunsgrēku statistika no 1990</w:t>
        </w:r>
        <w:r w:rsidR="007050FF" w:rsidRPr="003F2E00">
          <w:rPr>
            <w:rStyle w:val="Hyperlink"/>
            <w:rFonts w:cs="Times New Roman"/>
            <w:bCs/>
            <w:color w:val="auto"/>
            <w:sz w:val="28"/>
            <w:szCs w:val="28"/>
            <w:u w:val="none"/>
          </w:rPr>
          <w:t>.</w:t>
        </w:r>
        <w:r w:rsidR="004C1E2F" w:rsidRPr="003F2E00">
          <w:rPr>
            <w:rStyle w:val="Hyperlink"/>
            <w:rFonts w:cs="Times New Roman"/>
            <w:bCs/>
            <w:color w:val="auto"/>
            <w:sz w:val="28"/>
            <w:szCs w:val="28"/>
            <w:u w:val="none"/>
          </w:rPr>
          <w:t xml:space="preserve"> līdz 201</w:t>
        </w:r>
        <w:r w:rsidR="00D57B4D" w:rsidRPr="003F2E00">
          <w:rPr>
            <w:rStyle w:val="Hyperlink"/>
            <w:rFonts w:cs="Times New Roman"/>
            <w:bCs/>
            <w:color w:val="auto"/>
            <w:sz w:val="28"/>
            <w:szCs w:val="28"/>
            <w:u w:val="none"/>
          </w:rPr>
          <w:t>9</w:t>
        </w:r>
        <w:r w:rsidR="004C1E2F" w:rsidRPr="003F2E00">
          <w:rPr>
            <w:rStyle w:val="Hyperlink"/>
            <w:rFonts w:cs="Times New Roman"/>
            <w:bCs/>
            <w:color w:val="auto"/>
            <w:sz w:val="28"/>
            <w:szCs w:val="28"/>
            <w:u w:val="none"/>
          </w:rPr>
          <w:t>.</w:t>
        </w:r>
        <w:r w:rsidR="00A243D9" w:rsidRPr="003F2E00">
          <w:rPr>
            <w:rStyle w:val="Hyperlink"/>
            <w:rFonts w:cs="Times New Roman"/>
            <w:bCs/>
            <w:color w:val="auto"/>
            <w:sz w:val="28"/>
            <w:szCs w:val="28"/>
            <w:u w:val="none"/>
          </w:rPr>
          <w:t xml:space="preserve"> </w:t>
        </w:r>
        <w:r w:rsidR="004C1E2F" w:rsidRPr="003F2E00">
          <w:rPr>
            <w:rStyle w:val="Hyperlink"/>
            <w:rFonts w:cs="Times New Roman"/>
            <w:bCs/>
            <w:color w:val="auto"/>
            <w:sz w:val="28"/>
            <w:szCs w:val="28"/>
            <w:u w:val="none"/>
          </w:rPr>
          <w:t>gada</w:t>
        </w:r>
        <w:r w:rsidR="00D57B4D" w:rsidRPr="003F2E00">
          <w:rPr>
            <w:rStyle w:val="Hyperlink"/>
            <w:rFonts w:cs="Times New Roman"/>
            <w:bCs/>
            <w:color w:val="auto"/>
            <w:sz w:val="28"/>
            <w:szCs w:val="28"/>
            <w:u w:val="none"/>
          </w:rPr>
          <w:t xml:space="preserve"> 11.</w:t>
        </w:r>
        <w:r w:rsidR="00A243D9" w:rsidRPr="003F2E00">
          <w:rPr>
            <w:rStyle w:val="Hyperlink"/>
            <w:rFonts w:cs="Times New Roman"/>
            <w:bCs/>
            <w:color w:val="auto"/>
            <w:sz w:val="28"/>
            <w:szCs w:val="28"/>
            <w:u w:val="none"/>
          </w:rPr>
          <w:t xml:space="preserve"> </w:t>
        </w:r>
        <w:r w:rsidR="00D57B4D" w:rsidRPr="003F2E00">
          <w:rPr>
            <w:rStyle w:val="Hyperlink"/>
            <w:rFonts w:cs="Times New Roman"/>
            <w:bCs/>
            <w:color w:val="auto"/>
            <w:sz w:val="28"/>
            <w:szCs w:val="28"/>
            <w:u w:val="none"/>
          </w:rPr>
          <w:t>jūnijam</w:t>
        </w:r>
        <w:r w:rsidR="007050FF" w:rsidRPr="003F2E00">
          <w:rPr>
            <w:rStyle w:val="Hyperlink"/>
            <w:rFonts w:cs="Times New Roman"/>
            <w:bCs/>
            <w:color w:val="auto"/>
            <w:sz w:val="28"/>
            <w:szCs w:val="28"/>
            <w:u w:val="none"/>
          </w:rPr>
          <w:t xml:space="preserve"> parādīta attēlā</w:t>
        </w:r>
        <w:r w:rsidR="004C1E2F" w:rsidRPr="003F2E00">
          <w:rPr>
            <w:rStyle w:val="Hyperlink"/>
            <w:rFonts w:cs="Times New Roman"/>
            <w:bCs/>
            <w:color w:val="auto"/>
            <w:sz w:val="28"/>
            <w:szCs w:val="28"/>
            <w:u w:val="none"/>
          </w:rPr>
          <w:t>.</w:t>
        </w:r>
      </w:hyperlink>
    </w:p>
    <w:p w:rsidR="00A74A8E" w:rsidRPr="006023D0" w:rsidRDefault="00D57B4D" w:rsidP="00D57B4D">
      <w:pPr>
        <w:pStyle w:val="Tekstastils"/>
        <w:ind w:hanging="74"/>
        <w:rPr>
          <w:bCs/>
        </w:rPr>
      </w:pPr>
      <w:r>
        <w:rPr>
          <w:noProof/>
          <w:lang w:eastAsia="lv-LV"/>
          <w14:ligatures w14:val="none"/>
        </w:rPr>
        <w:lastRenderedPageBreak/>
        <w:drawing>
          <wp:inline distT="0" distB="0" distL="0" distR="0" wp14:anchorId="40B3EF5F" wp14:editId="008D6E16">
            <wp:extent cx="59055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9715" cy="3819171"/>
                    </a:xfrm>
                    <a:prstGeom prst="rect">
                      <a:avLst/>
                    </a:prstGeom>
                  </pic:spPr>
                </pic:pic>
              </a:graphicData>
            </a:graphic>
          </wp:inline>
        </w:drawing>
      </w:r>
    </w:p>
    <w:p w:rsidR="00F773F6" w:rsidRPr="003F2E00" w:rsidRDefault="00F773F6" w:rsidP="00476A22">
      <w:pPr>
        <w:pStyle w:val="Tekstastils"/>
        <w:rPr>
          <w:rFonts w:cs="Times New Roman"/>
          <w:sz w:val="28"/>
          <w:szCs w:val="28"/>
        </w:rPr>
      </w:pPr>
      <w:bookmarkStart w:id="8" w:name="_Toc495413803"/>
      <w:r w:rsidRPr="003F2E00">
        <w:rPr>
          <w:rFonts w:cs="Times New Roman"/>
          <w:sz w:val="28"/>
          <w:szCs w:val="28"/>
        </w:rPr>
        <w:t>2018. gadā īpaši jāizceļ ugunsgrēki Valdgalē (Talsu novadā), Ādažu militārajā poligonā un Ramatā (Mazsalacas novadā), k</w:t>
      </w:r>
      <w:r w:rsidR="00A243D9" w:rsidRPr="003F2E00">
        <w:rPr>
          <w:rFonts w:cs="Times New Roman"/>
          <w:sz w:val="28"/>
          <w:szCs w:val="28"/>
        </w:rPr>
        <w:t>uri</w:t>
      </w:r>
      <w:r w:rsidRPr="003F2E00">
        <w:rPr>
          <w:rFonts w:cs="Times New Roman"/>
          <w:sz w:val="28"/>
          <w:szCs w:val="28"/>
        </w:rPr>
        <w:t xml:space="preserve"> pēc apjoma un bīstamības ir pēdējie desmitgades lielākie meža ugunsgrēki valstī: Valdgalē izdegusī meža zemes platība </w:t>
      </w:r>
      <w:r w:rsidR="00862DE5" w:rsidRPr="003F2E00">
        <w:rPr>
          <w:rFonts w:cs="Times New Roman"/>
          <w:sz w:val="28"/>
          <w:szCs w:val="28"/>
        </w:rPr>
        <w:t xml:space="preserve">– </w:t>
      </w:r>
      <w:r w:rsidRPr="003F2E00">
        <w:rPr>
          <w:rFonts w:cs="Times New Roman"/>
          <w:sz w:val="28"/>
          <w:szCs w:val="28"/>
        </w:rPr>
        <w:t>1353</w:t>
      </w:r>
      <w:r w:rsidR="00A243D9" w:rsidRPr="003F2E00">
        <w:rPr>
          <w:rFonts w:cs="Times New Roman"/>
          <w:sz w:val="28"/>
          <w:szCs w:val="28"/>
        </w:rPr>
        <w:t>,</w:t>
      </w:r>
      <w:r w:rsidRPr="003F2E00">
        <w:rPr>
          <w:rFonts w:cs="Times New Roman"/>
          <w:sz w:val="28"/>
          <w:szCs w:val="28"/>
        </w:rPr>
        <w:t>1 ha, Ramatā</w:t>
      </w:r>
      <w:r w:rsidR="00862DE5" w:rsidRPr="003F2E00">
        <w:rPr>
          <w:rFonts w:cs="Times New Roman"/>
          <w:sz w:val="28"/>
          <w:szCs w:val="28"/>
        </w:rPr>
        <w:t xml:space="preserve"> –</w:t>
      </w:r>
      <w:r w:rsidRPr="003F2E00">
        <w:rPr>
          <w:rFonts w:cs="Times New Roman"/>
          <w:sz w:val="28"/>
          <w:szCs w:val="28"/>
        </w:rPr>
        <w:t xml:space="preserve"> 239</w:t>
      </w:r>
      <w:r w:rsidR="00A243D9" w:rsidRPr="003F2E00">
        <w:rPr>
          <w:rFonts w:cs="Times New Roman"/>
          <w:sz w:val="28"/>
          <w:szCs w:val="28"/>
        </w:rPr>
        <w:t>,</w:t>
      </w:r>
      <w:r w:rsidRPr="003F2E00">
        <w:rPr>
          <w:rFonts w:cs="Times New Roman"/>
          <w:sz w:val="28"/>
          <w:szCs w:val="28"/>
        </w:rPr>
        <w:t>7 ha, Ādažu militārajā poligonā</w:t>
      </w:r>
      <w:r w:rsidR="00862DE5" w:rsidRPr="003F2E00">
        <w:rPr>
          <w:rFonts w:cs="Times New Roman"/>
          <w:sz w:val="28"/>
          <w:szCs w:val="28"/>
        </w:rPr>
        <w:t xml:space="preserve"> –</w:t>
      </w:r>
      <w:r w:rsidRPr="003F2E00">
        <w:rPr>
          <w:rFonts w:cs="Times New Roman"/>
          <w:sz w:val="28"/>
          <w:szCs w:val="28"/>
        </w:rPr>
        <w:t xml:space="preserve"> 776,83 ha. Lielais ugunsgrēku apjoms pamatojams ar vairāku apstākļu vienlaicīgu sakritību: klimatiskiem apstākļiem </w:t>
      </w:r>
      <w:r w:rsidR="00A243D9" w:rsidRPr="003F2E00">
        <w:rPr>
          <w:rFonts w:cs="Times New Roman"/>
          <w:sz w:val="28"/>
          <w:szCs w:val="28"/>
        </w:rPr>
        <w:t>–</w:t>
      </w:r>
      <w:r w:rsidRPr="003F2E00">
        <w:rPr>
          <w:rFonts w:cs="Times New Roman"/>
          <w:sz w:val="28"/>
          <w:szCs w:val="28"/>
        </w:rPr>
        <w:t xml:space="preserve"> ilgstošu sausumu, lielo vēju, kas veicināja strauju skrejuguns un vainaguguns izplatību, plaš</w:t>
      </w:r>
      <w:r w:rsidR="00A243D9" w:rsidRPr="003F2E00">
        <w:rPr>
          <w:rFonts w:cs="Times New Roman"/>
          <w:sz w:val="28"/>
          <w:szCs w:val="28"/>
        </w:rPr>
        <w:t>o</w:t>
      </w:r>
      <w:r w:rsidRPr="003F2E00">
        <w:rPr>
          <w:rFonts w:cs="Times New Roman"/>
          <w:sz w:val="28"/>
          <w:szCs w:val="28"/>
        </w:rPr>
        <w:t xml:space="preserve"> degšanas teritorij</w:t>
      </w:r>
      <w:r w:rsidR="00A243D9" w:rsidRPr="003F2E00">
        <w:rPr>
          <w:rFonts w:cs="Times New Roman"/>
          <w:sz w:val="28"/>
          <w:szCs w:val="28"/>
        </w:rPr>
        <w:t>u</w:t>
      </w:r>
      <w:r w:rsidRPr="003F2E00">
        <w:rPr>
          <w:rFonts w:cs="Times New Roman"/>
          <w:sz w:val="28"/>
          <w:szCs w:val="28"/>
        </w:rPr>
        <w:t>, kurā bija apgrūtināta ūdens piegāde, kā arī nepietiek</w:t>
      </w:r>
      <w:r w:rsidR="00A243D9" w:rsidRPr="003F2E00">
        <w:rPr>
          <w:rFonts w:cs="Times New Roman"/>
          <w:sz w:val="28"/>
          <w:szCs w:val="28"/>
        </w:rPr>
        <w:t>amu</w:t>
      </w:r>
      <w:r w:rsidRPr="003F2E00">
        <w:rPr>
          <w:rFonts w:cs="Times New Roman"/>
          <w:sz w:val="28"/>
          <w:szCs w:val="28"/>
        </w:rPr>
        <w:t xml:space="preserve"> ceļu tīkl</w:t>
      </w:r>
      <w:r w:rsidR="00A243D9" w:rsidRPr="003F2E00">
        <w:rPr>
          <w:rFonts w:cs="Times New Roman"/>
          <w:sz w:val="28"/>
          <w:szCs w:val="28"/>
        </w:rPr>
        <w:t>u</w:t>
      </w:r>
      <w:r w:rsidRPr="003F2E00">
        <w:rPr>
          <w:rFonts w:cs="Times New Roman"/>
          <w:sz w:val="28"/>
          <w:szCs w:val="28"/>
        </w:rPr>
        <w:t xml:space="preserve"> ugunsgrēka teritorijā, lai nodrošinātu ugunsdzēsības tehnikas pārvietošanos</w:t>
      </w:r>
      <w:r w:rsidR="00A243D9" w:rsidRPr="003F2E00">
        <w:rPr>
          <w:rFonts w:cs="Times New Roman"/>
          <w:sz w:val="28"/>
          <w:szCs w:val="28"/>
        </w:rPr>
        <w:t>,</w:t>
      </w:r>
      <w:r w:rsidRPr="003F2E00">
        <w:rPr>
          <w:rFonts w:cs="Times New Roman"/>
          <w:sz w:val="28"/>
          <w:szCs w:val="28"/>
        </w:rPr>
        <w:t xml:space="preserve"> vai vid</w:t>
      </w:r>
      <w:r w:rsidR="00A243D9" w:rsidRPr="003F2E00">
        <w:rPr>
          <w:rFonts w:cs="Times New Roman"/>
          <w:sz w:val="28"/>
          <w:szCs w:val="28"/>
        </w:rPr>
        <w:t>i</w:t>
      </w:r>
      <w:r w:rsidRPr="003F2E00">
        <w:rPr>
          <w:rFonts w:cs="Times New Roman"/>
          <w:sz w:val="28"/>
          <w:szCs w:val="28"/>
        </w:rPr>
        <w:t>, kur</w:t>
      </w:r>
      <w:r w:rsidR="00A243D9" w:rsidRPr="003F2E00">
        <w:rPr>
          <w:rFonts w:cs="Times New Roman"/>
          <w:sz w:val="28"/>
          <w:szCs w:val="28"/>
        </w:rPr>
        <w:t>ā</w:t>
      </w:r>
      <w:r w:rsidRPr="003F2E00">
        <w:rPr>
          <w:rFonts w:cs="Times New Roman"/>
          <w:sz w:val="28"/>
          <w:szCs w:val="28"/>
        </w:rPr>
        <w:t xml:space="preserve"> tehnikas pārvietošanās nebija iespējama un bez lidaparātu atbalsta no gaisa ugunsgrēka likvidācija ievērojami ieilgtu un uguns postījumu apjoms būtu vēl lielāks. Jā</w:t>
      </w:r>
      <w:r w:rsidR="00A243D9" w:rsidRPr="003F2E00">
        <w:rPr>
          <w:rFonts w:cs="Times New Roman"/>
          <w:sz w:val="28"/>
          <w:szCs w:val="28"/>
        </w:rPr>
        <w:t>piebilst</w:t>
      </w:r>
      <w:r w:rsidRPr="003F2E00">
        <w:rPr>
          <w:rFonts w:cs="Times New Roman"/>
          <w:sz w:val="28"/>
          <w:szCs w:val="28"/>
        </w:rPr>
        <w:t xml:space="preserve"> arī, ka </w:t>
      </w:r>
      <w:r w:rsidR="00A243D9" w:rsidRPr="003F2E00">
        <w:rPr>
          <w:rFonts w:cs="Times New Roman"/>
          <w:sz w:val="28"/>
          <w:szCs w:val="28"/>
        </w:rPr>
        <w:t xml:space="preserve">atsevišķos gadījumos </w:t>
      </w:r>
      <w:r w:rsidRPr="003F2E00">
        <w:rPr>
          <w:rFonts w:cs="Times New Roman"/>
          <w:sz w:val="28"/>
          <w:szCs w:val="28"/>
        </w:rPr>
        <w:t>VMD cilvēku un materiāltehniskie resursi bija jāsadala, jo ugunsgrēki vienlai</w:t>
      </w:r>
      <w:r w:rsidR="00A243D9" w:rsidRPr="003F2E00">
        <w:rPr>
          <w:rFonts w:cs="Times New Roman"/>
          <w:sz w:val="28"/>
          <w:szCs w:val="28"/>
        </w:rPr>
        <w:t>kus</w:t>
      </w:r>
      <w:r w:rsidRPr="003F2E00">
        <w:rPr>
          <w:rFonts w:cs="Times New Roman"/>
          <w:sz w:val="28"/>
          <w:szCs w:val="28"/>
        </w:rPr>
        <w:t xml:space="preserve"> notika vairākās vietās. Īpaši jāizceļ meža ugunsgrēki, k</w:t>
      </w:r>
      <w:r w:rsidR="00A243D9" w:rsidRPr="003F2E00">
        <w:rPr>
          <w:rFonts w:cs="Times New Roman"/>
          <w:sz w:val="28"/>
          <w:szCs w:val="28"/>
        </w:rPr>
        <w:t>as</w:t>
      </w:r>
      <w:r w:rsidRPr="003F2E00">
        <w:rPr>
          <w:rFonts w:cs="Times New Roman"/>
          <w:sz w:val="28"/>
          <w:szCs w:val="28"/>
        </w:rPr>
        <w:t xml:space="preserve"> </w:t>
      </w:r>
      <w:r w:rsidR="00A243D9" w:rsidRPr="003F2E00">
        <w:rPr>
          <w:rFonts w:cs="Times New Roman"/>
          <w:sz w:val="28"/>
          <w:szCs w:val="28"/>
        </w:rPr>
        <w:t xml:space="preserve">līdz ar intensīvākām </w:t>
      </w:r>
      <w:r w:rsidRPr="003F2E00">
        <w:rPr>
          <w:rFonts w:cs="Times New Roman"/>
          <w:sz w:val="28"/>
          <w:szCs w:val="28"/>
        </w:rPr>
        <w:t>militār</w:t>
      </w:r>
      <w:r w:rsidR="00A243D9" w:rsidRPr="003F2E00">
        <w:rPr>
          <w:rFonts w:cs="Times New Roman"/>
          <w:sz w:val="28"/>
          <w:szCs w:val="28"/>
        </w:rPr>
        <w:t>ajām</w:t>
      </w:r>
      <w:r w:rsidRPr="003F2E00">
        <w:rPr>
          <w:rFonts w:cs="Times New Roman"/>
          <w:sz w:val="28"/>
          <w:szCs w:val="28"/>
        </w:rPr>
        <w:t xml:space="preserve"> mācīb</w:t>
      </w:r>
      <w:r w:rsidR="00A243D9" w:rsidRPr="003F2E00">
        <w:rPr>
          <w:rFonts w:cs="Times New Roman"/>
          <w:sz w:val="28"/>
          <w:szCs w:val="28"/>
        </w:rPr>
        <w:t>ām</w:t>
      </w:r>
      <w:r w:rsidRPr="003F2E00">
        <w:rPr>
          <w:rFonts w:cs="Times New Roman"/>
          <w:sz w:val="28"/>
          <w:szCs w:val="28"/>
        </w:rPr>
        <w:t xml:space="preserve"> izcēlušies Ādažu militārajā mācību poligonā un radījuši papildu izdevumus un slogu VMD. Ādažu militārais mācību poligons ir specifiska teritorija, </w:t>
      </w:r>
      <w:r w:rsidR="00A243D9" w:rsidRPr="003F2E00">
        <w:rPr>
          <w:rFonts w:cs="Times New Roman"/>
          <w:sz w:val="28"/>
          <w:szCs w:val="28"/>
        </w:rPr>
        <w:t>tāpēc</w:t>
      </w:r>
      <w:r w:rsidRPr="003F2E00">
        <w:rPr>
          <w:rFonts w:cs="Times New Roman"/>
          <w:sz w:val="28"/>
          <w:szCs w:val="28"/>
        </w:rPr>
        <w:t xml:space="preserve"> VMD ir liegta iespēja lai</w:t>
      </w:r>
      <w:r w:rsidR="00A243D9" w:rsidRPr="003F2E00">
        <w:rPr>
          <w:rFonts w:cs="Times New Roman"/>
          <w:sz w:val="28"/>
          <w:szCs w:val="28"/>
        </w:rPr>
        <w:t>kus</w:t>
      </w:r>
      <w:r w:rsidRPr="003F2E00">
        <w:rPr>
          <w:rFonts w:cs="Times New Roman"/>
          <w:sz w:val="28"/>
          <w:szCs w:val="28"/>
        </w:rPr>
        <w:t xml:space="preserve"> uzsākt meža ugunsgrēka ierobežošanu un likvidāciju, kamēr nor</w:t>
      </w:r>
      <w:r w:rsidR="00A243D9" w:rsidRPr="003F2E00">
        <w:rPr>
          <w:rFonts w:cs="Times New Roman"/>
          <w:sz w:val="28"/>
          <w:szCs w:val="28"/>
        </w:rPr>
        <w:t>i</w:t>
      </w:r>
      <w:r w:rsidRPr="003F2E00">
        <w:rPr>
          <w:rFonts w:cs="Times New Roman"/>
          <w:sz w:val="28"/>
          <w:szCs w:val="28"/>
        </w:rPr>
        <w:t>sinās militārās mācības.</w:t>
      </w:r>
      <w:r w:rsidR="00CF0DFA" w:rsidRPr="003F2E00">
        <w:rPr>
          <w:rFonts w:cs="Times New Roman"/>
          <w:sz w:val="28"/>
          <w:szCs w:val="28"/>
        </w:rPr>
        <w:t xml:space="preserve"> </w:t>
      </w:r>
      <w:r w:rsidRPr="003F2E00">
        <w:rPr>
          <w:rFonts w:cs="Times New Roman"/>
          <w:sz w:val="28"/>
          <w:szCs w:val="28"/>
        </w:rPr>
        <w:t xml:space="preserve">2018. gads raksturojams ar to, ka no kopējā apjoma izdegušo platību </w:t>
      </w:r>
      <w:r w:rsidR="005F6C33" w:rsidRPr="003F2E00">
        <w:rPr>
          <w:rFonts w:cs="Times New Roman"/>
          <w:sz w:val="28"/>
          <w:szCs w:val="28"/>
        </w:rPr>
        <w:t xml:space="preserve">83% </w:t>
      </w:r>
      <w:r w:rsidRPr="003F2E00">
        <w:rPr>
          <w:rFonts w:cs="Times New Roman"/>
          <w:sz w:val="28"/>
          <w:szCs w:val="28"/>
        </w:rPr>
        <w:t>atrodas aizsargājamās teritorijās, kur</w:t>
      </w:r>
      <w:r w:rsidR="00A243D9" w:rsidRPr="003F2E00">
        <w:rPr>
          <w:rFonts w:cs="Times New Roman"/>
          <w:sz w:val="28"/>
          <w:szCs w:val="28"/>
        </w:rPr>
        <w:t>ās</w:t>
      </w:r>
      <w:r w:rsidRPr="003F2E00">
        <w:rPr>
          <w:rFonts w:cs="Times New Roman"/>
          <w:sz w:val="28"/>
          <w:szCs w:val="28"/>
        </w:rPr>
        <w:t xml:space="preserve"> ir slikta pieejamība meža ugunsdzēsības tehnikai, </w:t>
      </w:r>
      <w:r w:rsidR="00A243D9" w:rsidRPr="003F2E00">
        <w:rPr>
          <w:rFonts w:cs="Times New Roman"/>
          <w:sz w:val="28"/>
          <w:szCs w:val="28"/>
        </w:rPr>
        <w:t xml:space="preserve">kā arī </w:t>
      </w:r>
      <w:r w:rsidRPr="003F2E00">
        <w:rPr>
          <w:rFonts w:cs="Times New Roman"/>
          <w:sz w:val="28"/>
          <w:szCs w:val="28"/>
        </w:rPr>
        <w:t>nesakārtota meža infrastruktūra ugunsdzēsības nodrošināšanai</w:t>
      </w:r>
      <w:r w:rsidR="00F203F6" w:rsidRPr="003F2E00">
        <w:rPr>
          <w:rFonts w:cs="Times New Roman"/>
          <w:sz w:val="28"/>
          <w:szCs w:val="28"/>
        </w:rPr>
        <w:t>.</w:t>
      </w:r>
    </w:p>
    <w:p w:rsidR="009131BE" w:rsidRPr="003F2E00" w:rsidRDefault="009131BE" w:rsidP="00476A22">
      <w:pPr>
        <w:pStyle w:val="Tekstastils"/>
        <w:rPr>
          <w:rFonts w:cs="Times New Roman"/>
          <w:sz w:val="28"/>
          <w:szCs w:val="28"/>
        </w:rPr>
      </w:pPr>
      <w:r w:rsidRPr="003F2E00">
        <w:rPr>
          <w:rFonts w:cs="Times New Roman"/>
          <w:sz w:val="28"/>
          <w:szCs w:val="28"/>
        </w:rPr>
        <w:lastRenderedPageBreak/>
        <w:t>Meža ugunsgrēkos nodarīto zaudējumu apjoms valsts mežos</w:t>
      </w:r>
      <w:r w:rsidR="00A243D9" w:rsidRPr="003F2E00">
        <w:rPr>
          <w:rFonts w:cs="Times New Roman"/>
          <w:sz w:val="28"/>
          <w:szCs w:val="28"/>
        </w:rPr>
        <w:t>,</w:t>
      </w:r>
      <w:r w:rsidRPr="003F2E00">
        <w:rPr>
          <w:rFonts w:cs="Times New Roman"/>
          <w:sz w:val="28"/>
          <w:szCs w:val="28"/>
        </w:rPr>
        <w:t xml:space="preserve"> pēc AS </w:t>
      </w:r>
      <w:r w:rsidR="00A243D9" w:rsidRPr="003F2E00">
        <w:rPr>
          <w:rFonts w:cs="Times New Roman"/>
          <w:sz w:val="28"/>
          <w:szCs w:val="28"/>
        </w:rPr>
        <w:t>“</w:t>
      </w:r>
      <w:r w:rsidRPr="003F2E00">
        <w:rPr>
          <w:rFonts w:cs="Times New Roman"/>
          <w:sz w:val="28"/>
          <w:szCs w:val="28"/>
        </w:rPr>
        <w:t>Latvijas valsts meži</w:t>
      </w:r>
      <w:r w:rsidR="00A243D9" w:rsidRPr="003F2E00">
        <w:rPr>
          <w:rFonts w:cs="Times New Roman"/>
          <w:sz w:val="28"/>
          <w:szCs w:val="28"/>
        </w:rPr>
        <w:t>”</w:t>
      </w:r>
      <w:r w:rsidRPr="003F2E00">
        <w:rPr>
          <w:rFonts w:cs="Times New Roman"/>
          <w:sz w:val="28"/>
          <w:szCs w:val="28"/>
        </w:rPr>
        <w:t xml:space="preserve"> sniegtās informācijas</w:t>
      </w:r>
      <w:r w:rsidR="00A243D9" w:rsidRPr="003F2E00">
        <w:rPr>
          <w:rFonts w:cs="Times New Roman"/>
          <w:sz w:val="28"/>
          <w:szCs w:val="28"/>
        </w:rPr>
        <w:t>,</w:t>
      </w:r>
      <w:r w:rsidRPr="003F2E00">
        <w:rPr>
          <w:rFonts w:cs="Times New Roman"/>
          <w:sz w:val="28"/>
          <w:szCs w:val="28"/>
        </w:rPr>
        <w:t xml:space="preserve"> pēdējos gados turpina palielināties</w:t>
      </w:r>
      <w:r w:rsidR="008620C5" w:rsidRPr="003F2E00">
        <w:rPr>
          <w:rFonts w:cs="Times New Roman"/>
          <w:sz w:val="28"/>
          <w:szCs w:val="28"/>
        </w:rPr>
        <w:t>:</w:t>
      </w:r>
      <w:r w:rsidRPr="003F2E00">
        <w:rPr>
          <w:rFonts w:cs="Times New Roman"/>
          <w:sz w:val="28"/>
          <w:szCs w:val="28"/>
        </w:rPr>
        <w:t xml:space="preserve"> 2016.</w:t>
      </w:r>
      <w:r w:rsidR="00A243D9" w:rsidRPr="003F2E00">
        <w:rPr>
          <w:rFonts w:cs="Times New Roman"/>
          <w:sz w:val="28"/>
          <w:szCs w:val="28"/>
        </w:rPr>
        <w:t xml:space="preserve"> </w:t>
      </w:r>
      <w:r w:rsidRPr="003F2E00">
        <w:rPr>
          <w:rFonts w:cs="Times New Roman"/>
          <w:sz w:val="28"/>
          <w:szCs w:val="28"/>
        </w:rPr>
        <w:t>gadā</w:t>
      </w:r>
      <w:r w:rsidR="00875BC5" w:rsidRPr="003F2E00">
        <w:rPr>
          <w:rFonts w:cs="Times New Roman"/>
          <w:sz w:val="28"/>
          <w:szCs w:val="28"/>
        </w:rPr>
        <w:t xml:space="preserve"> </w:t>
      </w:r>
      <w:r w:rsidR="00862DE5" w:rsidRPr="003F2E00">
        <w:rPr>
          <w:rFonts w:cs="Times New Roman"/>
          <w:sz w:val="28"/>
          <w:szCs w:val="28"/>
        </w:rPr>
        <w:t xml:space="preserve">– </w:t>
      </w:r>
      <w:r w:rsidRPr="003F2E00">
        <w:rPr>
          <w:rFonts w:cs="Times New Roman"/>
          <w:sz w:val="28"/>
          <w:szCs w:val="28"/>
        </w:rPr>
        <w:t>774</w:t>
      </w:r>
      <w:r w:rsidR="00875BC5" w:rsidRPr="003F2E00">
        <w:rPr>
          <w:rFonts w:cs="Times New Roman"/>
          <w:sz w:val="28"/>
          <w:szCs w:val="28"/>
        </w:rPr>
        <w:t xml:space="preserve"> </w:t>
      </w:r>
      <w:r w:rsidRPr="003F2E00">
        <w:rPr>
          <w:rFonts w:cs="Times New Roman"/>
          <w:sz w:val="28"/>
          <w:szCs w:val="28"/>
        </w:rPr>
        <w:t>690</w:t>
      </w:r>
      <w:r w:rsidR="00875BC5" w:rsidRPr="003F2E00">
        <w:rPr>
          <w:rFonts w:cs="Times New Roman"/>
          <w:sz w:val="28"/>
          <w:szCs w:val="28"/>
        </w:rPr>
        <w:t xml:space="preserve"> </w:t>
      </w:r>
      <w:r w:rsidR="00CE6368" w:rsidRPr="003F2E00">
        <w:rPr>
          <w:rFonts w:cs="Times New Roman"/>
          <w:sz w:val="28"/>
          <w:szCs w:val="28"/>
        </w:rPr>
        <w:t>EUR</w:t>
      </w:r>
      <w:r w:rsidRPr="003F2E00">
        <w:rPr>
          <w:rFonts w:cs="Times New Roman"/>
          <w:sz w:val="28"/>
          <w:szCs w:val="28"/>
        </w:rPr>
        <w:t>, 2017.</w:t>
      </w:r>
      <w:r w:rsidR="00A243D9" w:rsidRPr="003F2E00">
        <w:rPr>
          <w:rFonts w:cs="Times New Roman"/>
          <w:sz w:val="28"/>
          <w:szCs w:val="28"/>
        </w:rPr>
        <w:t xml:space="preserve"> </w:t>
      </w:r>
      <w:r w:rsidRPr="003F2E00">
        <w:rPr>
          <w:rFonts w:cs="Times New Roman"/>
          <w:sz w:val="28"/>
          <w:szCs w:val="28"/>
        </w:rPr>
        <w:t>gadā</w:t>
      </w:r>
      <w:r w:rsidR="00875BC5" w:rsidRPr="003F2E00">
        <w:rPr>
          <w:rFonts w:cs="Times New Roman"/>
          <w:sz w:val="28"/>
          <w:szCs w:val="28"/>
        </w:rPr>
        <w:t xml:space="preserve"> – </w:t>
      </w:r>
      <w:r w:rsidRPr="003F2E00">
        <w:rPr>
          <w:rFonts w:cs="Times New Roman"/>
          <w:sz w:val="28"/>
          <w:szCs w:val="28"/>
        </w:rPr>
        <w:t>331</w:t>
      </w:r>
      <w:r w:rsidR="00A243D9" w:rsidRPr="003F2E00">
        <w:rPr>
          <w:rFonts w:cs="Times New Roman"/>
          <w:sz w:val="28"/>
          <w:szCs w:val="28"/>
        </w:rPr>
        <w:t> </w:t>
      </w:r>
      <w:r w:rsidRPr="003F2E00">
        <w:rPr>
          <w:rFonts w:cs="Times New Roman"/>
          <w:sz w:val="28"/>
          <w:szCs w:val="28"/>
        </w:rPr>
        <w:t>837</w:t>
      </w:r>
      <w:r w:rsidR="00A243D9" w:rsidRPr="003F2E00">
        <w:rPr>
          <w:rFonts w:cs="Times New Roman"/>
          <w:sz w:val="28"/>
          <w:szCs w:val="28"/>
        </w:rPr>
        <w:t xml:space="preserve"> EUR</w:t>
      </w:r>
      <w:r w:rsidRPr="003F2E00">
        <w:rPr>
          <w:rFonts w:cs="Times New Roman"/>
          <w:sz w:val="28"/>
          <w:szCs w:val="28"/>
        </w:rPr>
        <w:t>, 2018.gadā</w:t>
      </w:r>
      <w:r w:rsidR="00875BC5" w:rsidRPr="003F2E00">
        <w:rPr>
          <w:rFonts w:cs="Times New Roman"/>
          <w:sz w:val="28"/>
          <w:szCs w:val="28"/>
        </w:rPr>
        <w:t xml:space="preserve"> </w:t>
      </w:r>
      <w:r w:rsidR="00862DE5" w:rsidRPr="003F2E00">
        <w:rPr>
          <w:rFonts w:cs="Times New Roman"/>
          <w:sz w:val="28"/>
          <w:szCs w:val="28"/>
        </w:rPr>
        <w:t>–</w:t>
      </w:r>
      <w:r w:rsidR="00875BC5" w:rsidRPr="003F2E00">
        <w:rPr>
          <w:rFonts w:cs="Times New Roman"/>
          <w:sz w:val="28"/>
          <w:szCs w:val="28"/>
        </w:rPr>
        <w:t xml:space="preserve"> </w:t>
      </w:r>
      <w:r w:rsidRPr="003F2E00">
        <w:rPr>
          <w:rFonts w:cs="Times New Roman"/>
          <w:sz w:val="28"/>
          <w:szCs w:val="28"/>
        </w:rPr>
        <w:t>2</w:t>
      </w:r>
      <w:r w:rsidR="00875BC5" w:rsidRPr="003F2E00">
        <w:rPr>
          <w:rFonts w:cs="Times New Roman"/>
          <w:sz w:val="28"/>
          <w:szCs w:val="28"/>
        </w:rPr>
        <w:t> </w:t>
      </w:r>
      <w:r w:rsidRPr="003F2E00">
        <w:rPr>
          <w:rFonts w:cs="Times New Roman"/>
          <w:sz w:val="28"/>
          <w:szCs w:val="28"/>
        </w:rPr>
        <w:t>696</w:t>
      </w:r>
      <w:r w:rsidR="00875BC5" w:rsidRPr="003F2E00">
        <w:rPr>
          <w:rFonts w:cs="Times New Roman"/>
          <w:sz w:val="28"/>
          <w:szCs w:val="28"/>
        </w:rPr>
        <w:t xml:space="preserve"> 020</w:t>
      </w:r>
      <w:r w:rsidRPr="003F2E00">
        <w:rPr>
          <w:rFonts w:cs="Times New Roman"/>
          <w:sz w:val="28"/>
          <w:szCs w:val="28"/>
        </w:rPr>
        <w:t xml:space="preserve"> </w:t>
      </w:r>
      <w:r w:rsidR="00CE6368" w:rsidRPr="003F2E00">
        <w:rPr>
          <w:rFonts w:cs="Times New Roman"/>
          <w:sz w:val="28"/>
          <w:szCs w:val="28"/>
        </w:rPr>
        <w:t>EUR</w:t>
      </w:r>
      <w:r w:rsidRPr="003F2E00">
        <w:rPr>
          <w:rFonts w:cs="Times New Roman"/>
          <w:sz w:val="28"/>
          <w:szCs w:val="28"/>
        </w:rPr>
        <w:t xml:space="preserve">. </w:t>
      </w:r>
    </w:p>
    <w:p w:rsidR="00F773F6" w:rsidRPr="003F2E00" w:rsidRDefault="00F773F6" w:rsidP="00DE053A">
      <w:pPr>
        <w:pStyle w:val="heading2"/>
        <w:numPr>
          <w:ilvl w:val="1"/>
          <w:numId w:val="7"/>
        </w:numPr>
        <w:rPr>
          <w:rFonts w:ascii="Times New Roman" w:hAnsi="Times New Roman" w:cs="Times New Roman"/>
          <w:szCs w:val="28"/>
        </w:rPr>
      </w:pPr>
      <w:bookmarkStart w:id="9" w:name="_Toc524596696"/>
      <w:bookmarkStart w:id="10" w:name="_Toc524598903"/>
      <w:bookmarkStart w:id="11" w:name="_Toc5911197"/>
      <w:r w:rsidRPr="003F2E00">
        <w:rPr>
          <w:rFonts w:ascii="Times New Roman" w:hAnsi="Times New Roman" w:cs="Times New Roman"/>
          <w:szCs w:val="28"/>
        </w:rPr>
        <w:t>Meža ugunsgrēka vietas uzraudzība</w:t>
      </w:r>
      <w:bookmarkEnd w:id="9"/>
      <w:bookmarkEnd w:id="10"/>
      <w:bookmarkEnd w:id="11"/>
    </w:p>
    <w:p w:rsidR="00F773F6" w:rsidRPr="003F2E00" w:rsidRDefault="00F773F6" w:rsidP="00476A22">
      <w:pPr>
        <w:pStyle w:val="Tekstastils"/>
        <w:rPr>
          <w:rFonts w:cs="Times New Roman"/>
          <w:sz w:val="28"/>
          <w:szCs w:val="28"/>
        </w:rPr>
      </w:pPr>
      <w:r w:rsidRPr="003F2E00">
        <w:rPr>
          <w:rFonts w:cs="Times New Roman"/>
          <w:sz w:val="28"/>
          <w:szCs w:val="28"/>
        </w:rPr>
        <w:t>Saskaņā ar Ugunsdrošības un ugunsdzēsības likuma 101. pantu meža īpašniekam ir pienākums uzraudzīt meža ugunsgrēka vietu</w:t>
      </w:r>
      <w:r w:rsidR="00F203F6" w:rsidRPr="003F2E00">
        <w:rPr>
          <w:rFonts w:cs="Times New Roman"/>
          <w:sz w:val="28"/>
          <w:szCs w:val="28"/>
        </w:rPr>
        <w:t xml:space="preserve"> pēc ugunsgrēka likvidācijas.</w:t>
      </w:r>
      <w:r w:rsidRPr="003F2E00">
        <w:rPr>
          <w:rFonts w:cs="Times New Roman"/>
          <w:sz w:val="28"/>
          <w:szCs w:val="28"/>
        </w:rPr>
        <w:t xml:space="preserve"> Salīdzin</w:t>
      </w:r>
      <w:r w:rsidR="00A243D9" w:rsidRPr="003F2E00">
        <w:rPr>
          <w:rFonts w:cs="Times New Roman"/>
          <w:sz w:val="28"/>
          <w:szCs w:val="28"/>
        </w:rPr>
        <w:t>ājumā</w:t>
      </w:r>
      <w:r w:rsidRPr="003F2E00">
        <w:rPr>
          <w:rFonts w:cs="Times New Roman"/>
          <w:sz w:val="28"/>
          <w:szCs w:val="28"/>
        </w:rPr>
        <w:t xml:space="preserve"> ar iepriekšējiem gadiem </w:t>
      </w:r>
      <w:r w:rsidR="00A243D9" w:rsidRPr="003F2E00">
        <w:rPr>
          <w:rFonts w:cs="Times New Roman"/>
          <w:sz w:val="28"/>
          <w:szCs w:val="28"/>
        </w:rPr>
        <w:t>jā</w:t>
      </w:r>
      <w:r w:rsidRPr="003F2E00">
        <w:rPr>
          <w:rFonts w:cs="Times New Roman"/>
          <w:sz w:val="28"/>
          <w:szCs w:val="28"/>
        </w:rPr>
        <w:t>norād</w:t>
      </w:r>
      <w:r w:rsidR="00A243D9" w:rsidRPr="003F2E00">
        <w:rPr>
          <w:rFonts w:cs="Times New Roman"/>
          <w:sz w:val="28"/>
          <w:szCs w:val="28"/>
        </w:rPr>
        <w:t>a</w:t>
      </w:r>
      <w:r w:rsidRPr="003F2E00">
        <w:rPr>
          <w:rFonts w:cs="Times New Roman"/>
          <w:sz w:val="28"/>
          <w:szCs w:val="28"/>
        </w:rPr>
        <w:t xml:space="preserve">, ka </w:t>
      </w:r>
      <w:r w:rsidR="00A243D9" w:rsidRPr="003F2E00">
        <w:rPr>
          <w:rFonts w:cs="Times New Roman"/>
          <w:sz w:val="28"/>
          <w:szCs w:val="28"/>
        </w:rPr>
        <w:t xml:space="preserve">nav uzlabojusies </w:t>
      </w:r>
      <w:r w:rsidRPr="003F2E00">
        <w:rPr>
          <w:rFonts w:cs="Times New Roman"/>
          <w:sz w:val="28"/>
          <w:szCs w:val="28"/>
        </w:rPr>
        <w:t xml:space="preserve">situācija privāto īpašnieku mežos ugunsgrēka vietas uzraudzībā. </w:t>
      </w:r>
      <w:r w:rsidR="00A243D9" w:rsidRPr="003F2E00">
        <w:rPr>
          <w:rFonts w:cs="Times New Roman"/>
          <w:sz w:val="28"/>
          <w:szCs w:val="28"/>
        </w:rPr>
        <w:t>D</w:t>
      </w:r>
      <w:r w:rsidRPr="003F2E00">
        <w:rPr>
          <w:rFonts w:cs="Times New Roman"/>
          <w:sz w:val="28"/>
          <w:szCs w:val="28"/>
        </w:rPr>
        <w:t xml:space="preserve">audzos gadījumos VMD ar saviem cilvēku un tehniskajiem resursiem pēc ugunsgrēka likvidācijas </w:t>
      </w:r>
      <w:r w:rsidR="00A243D9" w:rsidRPr="003F2E00">
        <w:rPr>
          <w:rFonts w:cs="Times New Roman"/>
          <w:sz w:val="28"/>
          <w:szCs w:val="28"/>
        </w:rPr>
        <w:t xml:space="preserve">joprojām </w:t>
      </w:r>
      <w:r w:rsidRPr="003F2E00">
        <w:rPr>
          <w:rFonts w:cs="Times New Roman"/>
          <w:sz w:val="28"/>
          <w:szCs w:val="28"/>
        </w:rPr>
        <w:t xml:space="preserve">ir jāuzrauga ugunsgrēka vieta. </w:t>
      </w:r>
      <w:r w:rsidR="00F44219" w:rsidRPr="003F2E00">
        <w:rPr>
          <w:rFonts w:cs="Times New Roman"/>
          <w:sz w:val="28"/>
          <w:szCs w:val="28"/>
        </w:rPr>
        <w:t>2018.gadā</w:t>
      </w:r>
      <w:r w:rsidRPr="003F2E00">
        <w:rPr>
          <w:rFonts w:cs="Times New Roman"/>
          <w:sz w:val="28"/>
          <w:szCs w:val="28"/>
        </w:rPr>
        <w:t xml:space="preserve"> 29% gadījumos uzraudzību veica VMD. Galvenie problēmas iemesli ir </w:t>
      </w:r>
      <w:r w:rsidR="005F6C33" w:rsidRPr="003F2E00">
        <w:rPr>
          <w:rFonts w:cs="Times New Roman"/>
          <w:sz w:val="28"/>
          <w:szCs w:val="28"/>
        </w:rPr>
        <w:t>t</w:t>
      </w:r>
      <w:r w:rsidR="00A243D9" w:rsidRPr="003F2E00">
        <w:rPr>
          <w:rFonts w:cs="Times New Roman"/>
          <w:sz w:val="28"/>
          <w:szCs w:val="28"/>
        </w:rPr>
        <w:t>ie</w:t>
      </w:r>
      <w:r w:rsidR="005F6C33" w:rsidRPr="003F2E00">
        <w:rPr>
          <w:rFonts w:cs="Times New Roman"/>
          <w:sz w:val="28"/>
          <w:szCs w:val="28"/>
        </w:rPr>
        <w:t xml:space="preserve">, ka </w:t>
      </w:r>
      <w:r w:rsidRPr="003F2E00">
        <w:rPr>
          <w:rFonts w:cs="Times New Roman"/>
          <w:sz w:val="28"/>
          <w:szCs w:val="28"/>
        </w:rPr>
        <w:t xml:space="preserve">meža īpašnieki nav sasniedzami, nedzīvo pie saviem meža īpašumiem, </w:t>
      </w:r>
      <w:r w:rsidR="00A243D9" w:rsidRPr="003F2E00">
        <w:rPr>
          <w:rFonts w:cs="Times New Roman"/>
          <w:sz w:val="28"/>
          <w:szCs w:val="28"/>
        </w:rPr>
        <w:t xml:space="preserve">tiem </w:t>
      </w:r>
      <w:r w:rsidRPr="003F2E00">
        <w:rPr>
          <w:rFonts w:cs="Times New Roman"/>
          <w:sz w:val="28"/>
          <w:szCs w:val="28"/>
        </w:rPr>
        <w:t xml:space="preserve">trūkst zināšanu un praktisko iemaņu, nav atbilstoša aprīkojuma, arī darba drošības inventāra. </w:t>
      </w:r>
    </w:p>
    <w:p w:rsidR="00F773F6" w:rsidRPr="003F2E00" w:rsidRDefault="00F773F6" w:rsidP="00DE053A">
      <w:pPr>
        <w:pStyle w:val="heading2"/>
        <w:numPr>
          <w:ilvl w:val="1"/>
          <w:numId w:val="7"/>
        </w:numPr>
        <w:rPr>
          <w:rFonts w:ascii="Times New Roman" w:hAnsi="Times New Roman" w:cs="Times New Roman"/>
          <w:szCs w:val="28"/>
        </w:rPr>
      </w:pPr>
      <w:bookmarkStart w:id="12" w:name="_Toc524596697"/>
      <w:bookmarkStart w:id="13" w:name="_Toc524598904"/>
      <w:bookmarkStart w:id="14" w:name="_Toc5911198"/>
      <w:r w:rsidRPr="003F2E00">
        <w:rPr>
          <w:rFonts w:ascii="Times New Roman" w:hAnsi="Times New Roman" w:cs="Times New Roman"/>
          <w:szCs w:val="28"/>
        </w:rPr>
        <w:t>Meža ugunsdzēsībā nodarbinātie</w:t>
      </w:r>
      <w:bookmarkEnd w:id="12"/>
      <w:bookmarkEnd w:id="13"/>
      <w:bookmarkEnd w:id="14"/>
    </w:p>
    <w:p w:rsidR="00F773F6" w:rsidRPr="003F2E00" w:rsidRDefault="00F773F6" w:rsidP="00F773F6">
      <w:pPr>
        <w:pStyle w:val="Tekstastils"/>
        <w:rPr>
          <w:rFonts w:eastAsia="Times New Roman" w:cs="Times New Roman"/>
          <w:sz w:val="28"/>
          <w:szCs w:val="28"/>
        </w:rPr>
      </w:pPr>
      <w:r w:rsidRPr="003F2E00">
        <w:rPr>
          <w:rFonts w:eastAsia="Times New Roman" w:cs="Times New Roman"/>
          <w:sz w:val="28"/>
          <w:szCs w:val="28"/>
        </w:rPr>
        <w:t>VMD ugunsdzēsības darbi tiek organizēti š</w:t>
      </w:r>
      <w:r w:rsidR="00A243D9" w:rsidRPr="003F2E00">
        <w:rPr>
          <w:rFonts w:eastAsia="Times New Roman" w:cs="Times New Roman"/>
          <w:sz w:val="28"/>
          <w:szCs w:val="28"/>
        </w:rPr>
        <w:t>ād</w:t>
      </w:r>
      <w:r w:rsidRPr="003F2E00">
        <w:rPr>
          <w:rFonts w:eastAsia="Times New Roman" w:cs="Times New Roman"/>
          <w:sz w:val="28"/>
          <w:szCs w:val="28"/>
        </w:rPr>
        <w:t>i: teritorijās ar lielu degamību (piemēram, ap Rīgu, ap Daugavpili), kas veido 8% visas uzraugāmās teritorijas,</w:t>
      </w:r>
      <w:r w:rsidR="00A243D9" w:rsidRPr="003F2E00">
        <w:rPr>
          <w:rFonts w:eastAsia="Times New Roman" w:cs="Times New Roman"/>
          <w:sz w:val="28"/>
          <w:szCs w:val="28"/>
        </w:rPr>
        <w:t xml:space="preserve"> galveno</w:t>
      </w:r>
      <w:r w:rsidRPr="003F2E00">
        <w:rPr>
          <w:rFonts w:eastAsia="Times New Roman" w:cs="Times New Roman"/>
          <w:sz w:val="28"/>
          <w:szCs w:val="28"/>
        </w:rPr>
        <w:t xml:space="preserve"> lom</w:t>
      </w:r>
      <w:r w:rsidR="00A243D9" w:rsidRPr="003F2E00">
        <w:rPr>
          <w:rFonts w:eastAsia="Times New Roman" w:cs="Times New Roman"/>
          <w:sz w:val="28"/>
          <w:szCs w:val="28"/>
        </w:rPr>
        <w:t>u</w:t>
      </w:r>
      <w:r w:rsidRPr="003F2E00">
        <w:rPr>
          <w:rFonts w:eastAsia="Times New Roman" w:cs="Times New Roman"/>
          <w:sz w:val="28"/>
          <w:szCs w:val="28"/>
        </w:rPr>
        <w:t xml:space="preserve"> dzēšanas darbos </w:t>
      </w:r>
      <w:r w:rsidR="00A243D9" w:rsidRPr="003F2E00">
        <w:rPr>
          <w:rFonts w:eastAsia="Times New Roman" w:cs="Times New Roman"/>
          <w:sz w:val="28"/>
          <w:szCs w:val="28"/>
        </w:rPr>
        <w:t>pilda</w:t>
      </w:r>
      <w:r w:rsidRPr="003F2E00">
        <w:rPr>
          <w:rFonts w:eastAsia="Times New Roman" w:cs="Times New Roman"/>
          <w:sz w:val="28"/>
          <w:szCs w:val="28"/>
        </w:rPr>
        <w:t xml:space="preserve"> organizatorisk</w:t>
      </w:r>
      <w:r w:rsidR="00A243D9" w:rsidRPr="003F2E00">
        <w:rPr>
          <w:rFonts w:eastAsia="Times New Roman" w:cs="Times New Roman"/>
          <w:sz w:val="28"/>
          <w:szCs w:val="28"/>
        </w:rPr>
        <w:t xml:space="preserve">ās </w:t>
      </w:r>
      <w:r w:rsidRPr="003F2E00">
        <w:rPr>
          <w:rFonts w:eastAsia="Times New Roman" w:cs="Times New Roman"/>
          <w:sz w:val="28"/>
          <w:szCs w:val="28"/>
        </w:rPr>
        <w:t>struktūrvienīb</w:t>
      </w:r>
      <w:r w:rsidR="00A243D9" w:rsidRPr="003F2E00">
        <w:rPr>
          <w:rFonts w:eastAsia="Times New Roman" w:cs="Times New Roman"/>
          <w:sz w:val="28"/>
          <w:szCs w:val="28"/>
        </w:rPr>
        <w:t>as –</w:t>
      </w:r>
      <w:r w:rsidRPr="003F2E00">
        <w:rPr>
          <w:rFonts w:eastAsia="Times New Roman" w:cs="Times New Roman"/>
          <w:sz w:val="28"/>
          <w:szCs w:val="28"/>
        </w:rPr>
        <w:t xml:space="preserve"> Meža ugunsdzēsības stacij</w:t>
      </w:r>
      <w:r w:rsidR="00A243D9" w:rsidRPr="003F2E00">
        <w:rPr>
          <w:rFonts w:eastAsia="Times New Roman" w:cs="Times New Roman"/>
          <w:sz w:val="28"/>
          <w:szCs w:val="28"/>
        </w:rPr>
        <w:t>as</w:t>
      </w:r>
      <w:r w:rsidRPr="003F2E00">
        <w:rPr>
          <w:rFonts w:eastAsia="Times New Roman" w:cs="Times New Roman"/>
          <w:sz w:val="28"/>
          <w:szCs w:val="28"/>
        </w:rPr>
        <w:t>, kuru rīcībā ir attiecīga materiālt</w:t>
      </w:r>
      <w:r w:rsidR="00C17502" w:rsidRPr="003F2E00">
        <w:rPr>
          <w:rFonts w:eastAsia="Times New Roman" w:cs="Times New Roman"/>
          <w:sz w:val="28"/>
          <w:szCs w:val="28"/>
        </w:rPr>
        <w:t>ehniskā bāze</w:t>
      </w:r>
      <w:r w:rsidRPr="003F2E00">
        <w:rPr>
          <w:rFonts w:eastAsia="Times New Roman" w:cs="Times New Roman"/>
          <w:sz w:val="28"/>
          <w:szCs w:val="28"/>
        </w:rPr>
        <w:t xml:space="preserve">. Ugunsbīstamajā laikposmā šajās stacijās tiek pieņemti sezonas </w:t>
      </w:r>
      <w:r w:rsidR="00A243D9" w:rsidRPr="003F2E00">
        <w:rPr>
          <w:rFonts w:eastAsia="Times New Roman" w:cs="Times New Roman"/>
          <w:sz w:val="28"/>
          <w:szCs w:val="28"/>
        </w:rPr>
        <w:t>nodarbinātie –</w:t>
      </w:r>
      <w:r w:rsidRPr="003F2E00">
        <w:rPr>
          <w:rFonts w:eastAsia="Times New Roman" w:cs="Times New Roman"/>
          <w:sz w:val="28"/>
          <w:szCs w:val="28"/>
        </w:rPr>
        <w:t xml:space="preserve"> </w:t>
      </w:r>
      <w:r w:rsidRPr="003F2E00">
        <w:rPr>
          <w:rFonts w:cs="Times New Roman"/>
          <w:sz w:val="28"/>
          <w:szCs w:val="28"/>
        </w:rPr>
        <w:t>meža ugunsdzēsības stacijas vadītāji,</w:t>
      </w:r>
      <w:r w:rsidRPr="003F2E00">
        <w:rPr>
          <w:rFonts w:eastAsia="Times New Roman" w:cs="Times New Roman"/>
          <w:sz w:val="28"/>
          <w:szCs w:val="28"/>
        </w:rPr>
        <w:t xml:space="preserve"> uguns</w:t>
      </w:r>
      <w:r w:rsidR="008620C5" w:rsidRPr="003F2E00">
        <w:rPr>
          <w:rFonts w:eastAsia="Times New Roman" w:cs="Times New Roman"/>
          <w:sz w:val="28"/>
          <w:szCs w:val="28"/>
        </w:rPr>
        <w:t xml:space="preserve"> </w:t>
      </w:r>
      <w:r w:rsidRPr="003F2E00">
        <w:rPr>
          <w:rFonts w:eastAsia="Times New Roman" w:cs="Times New Roman"/>
          <w:sz w:val="28"/>
          <w:szCs w:val="28"/>
        </w:rPr>
        <w:t xml:space="preserve">novērošanas torņu dežuranti, meža ugunsdzēsēji, specializētā autotransporta vadītāji un operatīvie dežuranti. Sezonas </w:t>
      </w:r>
      <w:proofErr w:type="spellStart"/>
      <w:r w:rsidR="00A243D9" w:rsidRPr="003F2E00">
        <w:rPr>
          <w:rFonts w:eastAsia="Times New Roman" w:cs="Times New Roman"/>
          <w:sz w:val="28"/>
          <w:szCs w:val="28"/>
        </w:rPr>
        <w:t>bodarbinātie</w:t>
      </w:r>
      <w:proofErr w:type="spellEnd"/>
      <w:r w:rsidR="00A243D9" w:rsidRPr="003F2E00">
        <w:rPr>
          <w:rFonts w:eastAsia="Times New Roman" w:cs="Times New Roman"/>
          <w:sz w:val="28"/>
          <w:szCs w:val="28"/>
        </w:rPr>
        <w:t xml:space="preserve"> </w:t>
      </w:r>
      <w:r w:rsidRPr="003F2E00">
        <w:rPr>
          <w:rFonts w:eastAsia="Times New Roman" w:cs="Times New Roman"/>
          <w:sz w:val="28"/>
          <w:szCs w:val="28"/>
        </w:rPr>
        <w:t>regulāri tiek apmācīti. Pastāvīga problēma</w:t>
      </w:r>
      <w:r w:rsidR="00A243D9" w:rsidRPr="003F2E00">
        <w:rPr>
          <w:rFonts w:eastAsia="Times New Roman" w:cs="Times New Roman"/>
          <w:sz w:val="28"/>
          <w:szCs w:val="28"/>
        </w:rPr>
        <w:t>,</w:t>
      </w:r>
      <w:r w:rsidRPr="003F2E00">
        <w:rPr>
          <w:rFonts w:eastAsia="Times New Roman" w:cs="Times New Roman"/>
          <w:sz w:val="28"/>
          <w:szCs w:val="28"/>
        </w:rPr>
        <w:t xml:space="preserve"> ar ko VMD ir jāsaskaras katru gadu pirms sezonas</w:t>
      </w:r>
      <w:r w:rsidR="00A243D9" w:rsidRPr="003F2E00">
        <w:rPr>
          <w:rFonts w:eastAsia="Times New Roman" w:cs="Times New Roman"/>
          <w:sz w:val="28"/>
          <w:szCs w:val="28"/>
        </w:rPr>
        <w:t>,</w:t>
      </w:r>
      <w:r w:rsidRPr="003F2E00">
        <w:rPr>
          <w:rFonts w:eastAsia="Times New Roman" w:cs="Times New Roman"/>
          <w:sz w:val="28"/>
          <w:szCs w:val="28"/>
        </w:rPr>
        <w:t xml:space="preserve"> ir</w:t>
      </w:r>
      <w:r w:rsidRPr="003F2E00">
        <w:rPr>
          <w:rFonts w:cs="Times New Roman"/>
          <w:sz w:val="28"/>
          <w:szCs w:val="28"/>
        </w:rPr>
        <w:t xml:space="preserve"> papildu darbinieku piesaistīšana. Galvenie iemesli </w:t>
      </w:r>
      <w:r w:rsidR="00862DE5" w:rsidRPr="003F2E00">
        <w:rPr>
          <w:rFonts w:cs="Times New Roman"/>
          <w:sz w:val="28"/>
          <w:szCs w:val="28"/>
        </w:rPr>
        <w:t>–</w:t>
      </w:r>
      <w:r w:rsidRPr="003F2E00">
        <w:rPr>
          <w:rFonts w:cs="Times New Roman"/>
          <w:sz w:val="28"/>
          <w:szCs w:val="28"/>
        </w:rPr>
        <w:t xml:space="preserve"> smagi darba apstākļi, maza darba samaksa un ierobežota darbaspēka pieejamība mazapdzīvotos lauku apvidos. </w:t>
      </w:r>
      <w:r w:rsidRPr="003F2E00">
        <w:rPr>
          <w:rFonts w:eastAsia="Times New Roman" w:cs="Times New Roman"/>
          <w:sz w:val="28"/>
          <w:szCs w:val="28"/>
        </w:rPr>
        <w:t xml:space="preserve">Pārējās teritorijās </w:t>
      </w:r>
      <w:r w:rsidR="00A243D9" w:rsidRPr="003F2E00">
        <w:rPr>
          <w:rFonts w:eastAsia="Times New Roman" w:cs="Times New Roman"/>
          <w:sz w:val="28"/>
          <w:szCs w:val="28"/>
        </w:rPr>
        <w:t xml:space="preserve">par </w:t>
      </w:r>
      <w:r w:rsidRPr="003F2E00">
        <w:rPr>
          <w:rFonts w:eastAsia="Times New Roman" w:cs="Times New Roman"/>
          <w:sz w:val="28"/>
          <w:szCs w:val="28"/>
        </w:rPr>
        <w:t xml:space="preserve">meža ugunsgrēku atklāšanu, ierobežošanu un likvidāciju </w:t>
      </w:r>
      <w:r w:rsidR="00A243D9" w:rsidRPr="003F2E00">
        <w:rPr>
          <w:rFonts w:eastAsia="Times New Roman" w:cs="Times New Roman"/>
          <w:sz w:val="28"/>
          <w:szCs w:val="28"/>
        </w:rPr>
        <w:t>ir atbildīgi</w:t>
      </w:r>
      <w:r w:rsidRPr="003F2E00">
        <w:rPr>
          <w:rFonts w:eastAsia="Times New Roman" w:cs="Times New Roman"/>
          <w:sz w:val="28"/>
          <w:szCs w:val="28"/>
        </w:rPr>
        <w:t xml:space="preserve"> mežziņi, </w:t>
      </w:r>
      <w:r w:rsidR="007A2AAF" w:rsidRPr="003F2E00">
        <w:rPr>
          <w:rFonts w:eastAsia="Times New Roman" w:cs="Times New Roman"/>
          <w:sz w:val="28"/>
          <w:szCs w:val="28"/>
        </w:rPr>
        <w:t xml:space="preserve">bet </w:t>
      </w:r>
      <w:r w:rsidRPr="003F2E00">
        <w:rPr>
          <w:rFonts w:eastAsia="Times New Roman" w:cs="Times New Roman"/>
          <w:sz w:val="28"/>
          <w:szCs w:val="28"/>
        </w:rPr>
        <w:t xml:space="preserve">Meža ugunsdzēsības stacijās nodarbinātie tiek piesaistīti kā papildspēki </w:t>
      </w:r>
      <w:r w:rsidR="00A243D9" w:rsidRPr="003F2E00">
        <w:rPr>
          <w:rFonts w:eastAsia="Times New Roman" w:cs="Times New Roman"/>
          <w:sz w:val="28"/>
          <w:szCs w:val="28"/>
        </w:rPr>
        <w:t xml:space="preserve">pēc </w:t>
      </w:r>
      <w:r w:rsidRPr="003F2E00">
        <w:rPr>
          <w:rFonts w:eastAsia="Times New Roman" w:cs="Times New Roman"/>
          <w:sz w:val="28"/>
          <w:szCs w:val="28"/>
        </w:rPr>
        <w:t xml:space="preserve">nepieciešamības. Ugunsdzēsība ir tikai viens no mežziņu darba pienākumiem ugunsbīstamajā laikposmā. Augstas degamības sezonās mežziņu darbs citās kompetences jomās </w:t>
      </w:r>
      <w:r w:rsidR="00A243D9" w:rsidRPr="003F2E00">
        <w:rPr>
          <w:rFonts w:eastAsia="Times New Roman" w:cs="Times New Roman"/>
          <w:sz w:val="28"/>
          <w:szCs w:val="28"/>
        </w:rPr>
        <w:t>tiek</w:t>
      </w:r>
      <w:r w:rsidRPr="003F2E00">
        <w:rPr>
          <w:rFonts w:eastAsia="Times New Roman" w:cs="Times New Roman"/>
          <w:sz w:val="28"/>
          <w:szCs w:val="28"/>
        </w:rPr>
        <w:t xml:space="preserve"> ilgstoši pārtraukts. Ievērojot darba īpatnības, VMD </w:t>
      </w:r>
      <w:r w:rsidR="00A243D9" w:rsidRPr="003F2E00">
        <w:rPr>
          <w:rFonts w:eastAsia="Times New Roman" w:cs="Times New Roman"/>
          <w:sz w:val="28"/>
          <w:szCs w:val="28"/>
        </w:rPr>
        <w:t xml:space="preserve">nodarbinātajiem </w:t>
      </w:r>
      <w:r w:rsidRPr="003F2E00">
        <w:rPr>
          <w:rFonts w:eastAsia="Times New Roman" w:cs="Times New Roman"/>
          <w:sz w:val="28"/>
          <w:szCs w:val="28"/>
        </w:rPr>
        <w:t>jābūt sasniedzamiem jebkurā diennakts laikā</w:t>
      </w:r>
      <w:r w:rsidR="00A243D9" w:rsidRPr="003F2E00">
        <w:rPr>
          <w:rFonts w:eastAsia="Times New Roman" w:cs="Times New Roman"/>
          <w:sz w:val="28"/>
          <w:szCs w:val="28"/>
        </w:rPr>
        <w:t>,</w:t>
      </w:r>
      <w:r w:rsidRPr="003F2E00">
        <w:rPr>
          <w:rFonts w:eastAsia="Times New Roman" w:cs="Times New Roman"/>
          <w:sz w:val="28"/>
          <w:szCs w:val="28"/>
        </w:rPr>
        <w:t xml:space="preserve"> </w:t>
      </w:r>
      <w:r w:rsidR="00A243D9" w:rsidRPr="003F2E00">
        <w:rPr>
          <w:rFonts w:eastAsia="Times New Roman" w:cs="Times New Roman"/>
          <w:sz w:val="28"/>
          <w:szCs w:val="28"/>
        </w:rPr>
        <w:t>t</w:t>
      </w:r>
      <w:r w:rsidRPr="003F2E00">
        <w:rPr>
          <w:rFonts w:eastAsia="Times New Roman" w:cs="Times New Roman"/>
          <w:sz w:val="28"/>
          <w:szCs w:val="28"/>
        </w:rPr>
        <w:t>ādēļ darbalaika ilgums netiek mērīts vai iepriekš noteikts un ugunsnedrošajā laika posmā darbiniekiem nav formālā darbalaika beigu ierobežojuma (</w:t>
      </w:r>
      <w:r w:rsidRPr="003F2E00">
        <w:rPr>
          <w:rFonts w:cs="Times New Roman"/>
          <w:sz w:val="28"/>
          <w:szCs w:val="28"/>
        </w:rPr>
        <w:t>Valsts meža dienesta likuma 4. panta otrā daļa</w:t>
      </w:r>
      <w:r w:rsidR="00A14434" w:rsidRPr="003F2E00">
        <w:rPr>
          <w:rFonts w:cs="Times New Roman"/>
          <w:sz w:val="28"/>
          <w:szCs w:val="28"/>
        </w:rPr>
        <w:t>).</w:t>
      </w:r>
    </w:p>
    <w:p w:rsidR="008B1282" w:rsidRPr="003F2E00" w:rsidRDefault="00F773F6" w:rsidP="008B1282">
      <w:pPr>
        <w:pStyle w:val="Tekstastils"/>
        <w:rPr>
          <w:rFonts w:eastAsia="Times New Roman" w:cs="Times New Roman"/>
          <w:sz w:val="28"/>
          <w:szCs w:val="28"/>
        </w:rPr>
      </w:pPr>
      <w:r w:rsidRPr="003F2E00">
        <w:rPr>
          <w:rFonts w:cs="Times New Roman"/>
          <w:sz w:val="28"/>
          <w:szCs w:val="28"/>
        </w:rPr>
        <w:t xml:space="preserve">Ugunsnedrošajā laikposmā darbā netiek pieņemts </w:t>
      </w:r>
      <w:r w:rsidR="000D7882" w:rsidRPr="003F2E00">
        <w:rPr>
          <w:rFonts w:cs="Times New Roman"/>
          <w:sz w:val="28"/>
          <w:szCs w:val="28"/>
        </w:rPr>
        <w:t>pietiekams skaits meža uguns</w:t>
      </w:r>
      <w:r w:rsidR="00CB50D3" w:rsidRPr="003F2E00">
        <w:rPr>
          <w:rFonts w:cs="Times New Roman"/>
          <w:sz w:val="28"/>
          <w:szCs w:val="28"/>
        </w:rPr>
        <w:t xml:space="preserve"> </w:t>
      </w:r>
      <w:r w:rsidR="000D7882" w:rsidRPr="003F2E00">
        <w:rPr>
          <w:rFonts w:cs="Times New Roman"/>
          <w:sz w:val="28"/>
          <w:szCs w:val="28"/>
        </w:rPr>
        <w:t xml:space="preserve">novērošanas torņu dežurantu, </w:t>
      </w:r>
      <w:r w:rsidRPr="003F2E00">
        <w:rPr>
          <w:rFonts w:cs="Times New Roman"/>
          <w:sz w:val="28"/>
          <w:szCs w:val="28"/>
        </w:rPr>
        <w:t xml:space="preserve">meža ugunsdzēsēju un specializētā autotransporta vadītāju. </w:t>
      </w:r>
      <w:r w:rsidR="000D7882" w:rsidRPr="003F2E00">
        <w:rPr>
          <w:rFonts w:cs="Times New Roman"/>
          <w:sz w:val="28"/>
          <w:szCs w:val="28"/>
        </w:rPr>
        <w:t xml:space="preserve">Pēc VMD aprēķina, </w:t>
      </w:r>
      <w:r w:rsidR="00862DE5" w:rsidRPr="003F2E00">
        <w:rPr>
          <w:rFonts w:cs="Times New Roman"/>
          <w:sz w:val="28"/>
          <w:szCs w:val="28"/>
        </w:rPr>
        <w:t>likuma “G</w:t>
      </w:r>
      <w:r w:rsidRPr="003F2E00">
        <w:rPr>
          <w:rFonts w:cs="Times New Roman"/>
          <w:sz w:val="28"/>
          <w:szCs w:val="28"/>
        </w:rPr>
        <w:t xml:space="preserve">rozījumu </w:t>
      </w:r>
      <w:hyperlink r:id="rId12" w:tgtFrame="_blank" w:history="1">
        <w:r w:rsidRPr="003F2E00">
          <w:rPr>
            <w:rFonts w:cs="Times New Roman"/>
            <w:sz w:val="28"/>
            <w:szCs w:val="28"/>
          </w:rPr>
          <w:t>Ugunsdrošības un ugunsdzēsības likumā</w:t>
        </w:r>
      </w:hyperlink>
      <w:r w:rsidR="00862DE5" w:rsidRPr="003F2E00">
        <w:rPr>
          <w:rFonts w:cs="Times New Roman"/>
          <w:sz w:val="28"/>
          <w:szCs w:val="28"/>
        </w:rPr>
        <w:t xml:space="preserve">” (pieņemts </w:t>
      </w:r>
      <w:r w:rsidRPr="003F2E00">
        <w:rPr>
          <w:rFonts w:cs="Times New Roman"/>
          <w:sz w:val="28"/>
          <w:szCs w:val="28"/>
        </w:rPr>
        <w:t>16.12.2010.</w:t>
      </w:r>
      <w:r w:rsidR="00862DE5" w:rsidRPr="003F2E00">
        <w:rPr>
          <w:rFonts w:cs="Times New Roman"/>
          <w:sz w:val="28"/>
          <w:szCs w:val="28"/>
        </w:rPr>
        <w:t>)</w:t>
      </w:r>
      <w:r w:rsidRPr="003F2E00">
        <w:rPr>
          <w:rFonts w:cs="Times New Roman"/>
          <w:sz w:val="28"/>
          <w:szCs w:val="28"/>
        </w:rPr>
        <w:t xml:space="preserve"> anotācijā norādīts, ka sezonā </w:t>
      </w:r>
      <w:r w:rsidRPr="003F2E00">
        <w:rPr>
          <w:rFonts w:cs="Times New Roman"/>
          <w:sz w:val="28"/>
          <w:szCs w:val="28"/>
        </w:rPr>
        <w:lastRenderedPageBreak/>
        <w:t>ugunsdzēsības darbu veikšanai darbā būtu jāpieņem 680 sezonas darbiniek</w:t>
      </w:r>
      <w:r w:rsidR="00A243D9" w:rsidRPr="003F2E00">
        <w:rPr>
          <w:rFonts w:cs="Times New Roman"/>
          <w:sz w:val="28"/>
          <w:szCs w:val="28"/>
        </w:rPr>
        <w:t>u</w:t>
      </w:r>
      <w:r w:rsidRPr="003F2E00">
        <w:rPr>
          <w:rFonts w:cs="Times New Roman"/>
          <w:sz w:val="28"/>
          <w:szCs w:val="28"/>
        </w:rPr>
        <w:t xml:space="preserve">. </w:t>
      </w:r>
      <w:r w:rsidR="00E27F15" w:rsidRPr="003F2E00">
        <w:rPr>
          <w:rFonts w:cs="Times New Roman"/>
          <w:sz w:val="28"/>
          <w:szCs w:val="28"/>
        </w:rPr>
        <w:t>No nepieciešamā 680 sezonā nodarbināto skaita tiek pieņemti vidēji 320</w:t>
      </w:r>
      <w:r w:rsidR="00A243D9" w:rsidRPr="003F2E00">
        <w:rPr>
          <w:rFonts w:cs="Times New Roman"/>
          <w:sz w:val="28"/>
          <w:szCs w:val="28"/>
        </w:rPr>
        <w:t>–</w:t>
      </w:r>
      <w:r w:rsidR="00E27F15" w:rsidRPr="003F2E00">
        <w:rPr>
          <w:rFonts w:cs="Times New Roman"/>
          <w:sz w:val="28"/>
          <w:szCs w:val="28"/>
        </w:rPr>
        <w:t>380 nodarbinātie (2018. gad</w:t>
      </w:r>
      <w:r w:rsidR="008620C5" w:rsidRPr="003F2E00">
        <w:rPr>
          <w:rFonts w:cs="Times New Roman"/>
          <w:sz w:val="28"/>
          <w:szCs w:val="28"/>
        </w:rPr>
        <w:t>ā</w:t>
      </w:r>
      <w:r w:rsidR="00E27F15" w:rsidRPr="003F2E00">
        <w:rPr>
          <w:rFonts w:cs="Times New Roman"/>
          <w:sz w:val="28"/>
          <w:szCs w:val="28"/>
        </w:rPr>
        <w:t xml:space="preserve"> </w:t>
      </w:r>
      <w:r w:rsidR="00862DE5" w:rsidRPr="003F2E00">
        <w:rPr>
          <w:rFonts w:cs="Times New Roman"/>
          <w:sz w:val="28"/>
          <w:szCs w:val="28"/>
        </w:rPr>
        <w:t xml:space="preserve">bija </w:t>
      </w:r>
      <w:r w:rsidR="00E27F15" w:rsidRPr="003F2E00">
        <w:rPr>
          <w:rFonts w:cs="Times New Roman"/>
          <w:sz w:val="28"/>
          <w:szCs w:val="28"/>
        </w:rPr>
        <w:t xml:space="preserve">335 nodarbinātie), </w:t>
      </w:r>
      <w:r w:rsidRPr="003F2E00">
        <w:rPr>
          <w:rFonts w:cs="Times New Roman"/>
          <w:sz w:val="28"/>
          <w:szCs w:val="28"/>
        </w:rPr>
        <w:t xml:space="preserve">Katru gadu VMD norāda uz nepieciešamību piešķirt papildu finansējumu sezonas darbinieku </w:t>
      </w:r>
      <w:r w:rsidR="00E27F15" w:rsidRPr="003F2E00">
        <w:rPr>
          <w:rFonts w:cs="Times New Roman"/>
          <w:sz w:val="28"/>
          <w:szCs w:val="28"/>
        </w:rPr>
        <w:t>atlīdzībai</w:t>
      </w:r>
      <w:r w:rsidRPr="003F2E00">
        <w:rPr>
          <w:rFonts w:cs="Times New Roman"/>
          <w:sz w:val="28"/>
          <w:szCs w:val="28"/>
        </w:rPr>
        <w:t xml:space="preserve">. </w:t>
      </w:r>
      <w:r w:rsidR="00E27F15" w:rsidRPr="003F2E00">
        <w:rPr>
          <w:rFonts w:cs="Times New Roman"/>
          <w:sz w:val="28"/>
          <w:szCs w:val="28"/>
        </w:rPr>
        <w:t>Par papildu finansējumu VMD varētu algot vēl 313 sezonā nodarbināto</w:t>
      </w:r>
      <w:r w:rsidR="00A243D9" w:rsidRPr="003F2E00">
        <w:rPr>
          <w:rFonts w:cs="Times New Roman"/>
          <w:sz w:val="28"/>
          <w:szCs w:val="28"/>
        </w:rPr>
        <w:t>. Tad kopumā</w:t>
      </w:r>
      <w:r w:rsidR="00E27F15" w:rsidRPr="003F2E00">
        <w:rPr>
          <w:rFonts w:cs="Times New Roman"/>
          <w:sz w:val="28"/>
          <w:szCs w:val="28"/>
        </w:rPr>
        <w:t xml:space="preserve"> būtu 648 nodarbinātie, kas būtu optimālais skaits, </w:t>
      </w:r>
      <w:r w:rsidR="00A243D9" w:rsidRPr="003F2E00">
        <w:rPr>
          <w:rFonts w:cs="Times New Roman"/>
          <w:sz w:val="28"/>
          <w:szCs w:val="28"/>
        </w:rPr>
        <w:t xml:space="preserve">lai gan </w:t>
      </w:r>
      <w:r w:rsidR="00E27F15" w:rsidRPr="003F2E00">
        <w:rPr>
          <w:rFonts w:cs="Times New Roman"/>
          <w:sz w:val="28"/>
          <w:szCs w:val="28"/>
        </w:rPr>
        <w:t>nesasnie</w:t>
      </w:r>
      <w:r w:rsidR="00A243D9" w:rsidRPr="003F2E00">
        <w:rPr>
          <w:rFonts w:cs="Times New Roman"/>
          <w:sz w:val="28"/>
          <w:szCs w:val="28"/>
        </w:rPr>
        <w:t>gtu</w:t>
      </w:r>
      <w:r w:rsidR="00E27F15" w:rsidRPr="003F2E00">
        <w:rPr>
          <w:rFonts w:cs="Times New Roman"/>
          <w:sz w:val="28"/>
          <w:szCs w:val="28"/>
        </w:rPr>
        <w:t xml:space="preserve"> maksimālo. </w:t>
      </w:r>
      <w:r w:rsidR="007A2AAF" w:rsidRPr="003F2E00">
        <w:rPr>
          <w:rFonts w:cs="Times New Roman"/>
          <w:sz w:val="28"/>
          <w:szCs w:val="28"/>
        </w:rPr>
        <w:t>Pēc precizētajiem datiem</w:t>
      </w:r>
      <w:r w:rsidR="00A243D9" w:rsidRPr="003F2E00">
        <w:rPr>
          <w:rFonts w:cs="Times New Roman"/>
          <w:sz w:val="28"/>
          <w:szCs w:val="28"/>
        </w:rPr>
        <w:t>,</w:t>
      </w:r>
      <w:r w:rsidR="007A2AAF" w:rsidRPr="003F2E00">
        <w:rPr>
          <w:rFonts w:cs="Times New Roman"/>
          <w:sz w:val="28"/>
          <w:szCs w:val="28"/>
        </w:rPr>
        <w:t xml:space="preserve"> 2019. gadā a</w:t>
      </w:r>
      <w:r w:rsidRPr="003F2E00">
        <w:rPr>
          <w:rFonts w:cs="Times New Roman"/>
          <w:sz w:val="28"/>
          <w:szCs w:val="28"/>
        </w:rPr>
        <w:t xml:space="preserve">tlīdzībai nepieciešamais papildu finansējums sezonas darbiniekiem </w:t>
      </w:r>
      <w:r w:rsidR="00A243D9" w:rsidRPr="003F2E00">
        <w:rPr>
          <w:rFonts w:cs="Times New Roman"/>
          <w:sz w:val="28"/>
          <w:szCs w:val="28"/>
        </w:rPr>
        <w:t>veido</w:t>
      </w:r>
      <w:r w:rsidR="007A2AAF" w:rsidRPr="003F2E00">
        <w:rPr>
          <w:rFonts w:cs="Times New Roman"/>
          <w:sz w:val="28"/>
          <w:szCs w:val="28"/>
        </w:rPr>
        <w:t xml:space="preserve"> </w:t>
      </w:r>
      <w:r w:rsidR="00E27F15" w:rsidRPr="003F2E00">
        <w:rPr>
          <w:rFonts w:cs="Times New Roman"/>
          <w:sz w:val="28"/>
          <w:szCs w:val="28"/>
        </w:rPr>
        <w:t xml:space="preserve">2 212 165 </w:t>
      </w:r>
      <w:r w:rsidRPr="003F2E00">
        <w:rPr>
          <w:rFonts w:cs="Times New Roman"/>
          <w:sz w:val="28"/>
          <w:szCs w:val="28"/>
        </w:rPr>
        <w:t>EUR</w:t>
      </w:r>
      <w:r w:rsidR="007A2AAF" w:rsidRPr="003F2E00">
        <w:rPr>
          <w:rFonts w:cs="Times New Roman"/>
          <w:sz w:val="28"/>
          <w:szCs w:val="28"/>
        </w:rPr>
        <w:t>.</w:t>
      </w:r>
      <w:r w:rsidR="00E27F15" w:rsidRPr="003F2E00">
        <w:rPr>
          <w:rFonts w:cs="Times New Roman"/>
          <w:sz w:val="28"/>
          <w:szCs w:val="28"/>
        </w:rPr>
        <w:t xml:space="preserve"> Finansējums nepieciešams, </w:t>
      </w:r>
      <w:r w:rsidRPr="003F2E00">
        <w:rPr>
          <w:rFonts w:cs="Times New Roman"/>
          <w:sz w:val="28"/>
          <w:szCs w:val="28"/>
        </w:rPr>
        <w:t>lai varētu nokomplektēt nepieciešamo uguns apsardzības sezonā nodarbināto skaitu</w:t>
      </w:r>
      <w:r w:rsidR="005560EB" w:rsidRPr="003F2E00">
        <w:rPr>
          <w:rFonts w:cs="Times New Roman"/>
          <w:sz w:val="28"/>
          <w:szCs w:val="28"/>
        </w:rPr>
        <w:t>, tā</w:t>
      </w:r>
      <w:r w:rsidRPr="003F2E00">
        <w:rPr>
          <w:rFonts w:cs="Times New Roman"/>
          <w:sz w:val="28"/>
          <w:szCs w:val="28"/>
        </w:rPr>
        <w:t xml:space="preserve"> samazinot un novēršot meža ugunsgrēku draudus sabiedrībai un nodrošinot sezonas </w:t>
      </w:r>
      <w:r w:rsidR="00A243D9" w:rsidRPr="003F2E00">
        <w:rPr>
          <w:rFonts w:cs="Times New Roman"/>
          <w:sz w:val="28"/>
          <w:szCs w:val="28"/>
        </w:rPr>
        <w:t xml:space="preserve">nodarbinātajiem </w:t>
      </w:r>
      <w:r w:rsidR="00E27F15" w:rsidRPr="003F2E00">
        <w:rPr>
          <w:rFonts w:cs="Times New Roman"/>
          <w:sz w:val="28"/>
          <w:szCs w:val="28"/>
        </w:rPr>
        <w:t xml:space="preserve">konkurētspējīgu </w:t>
      </w:r>
      <w:r w:rsidRPr="003F2E00">
        <w:rPr>
          <w:rFonts w:cs="Times New Roman"/>
          <w:sz w:val="28"/>
          <w:szCs w:val="28"/>
        </w:rPr>
        <w:t xml:space="preserve">darba samaksu. </w:t>
      </w:r>
      <w:r w:rsidR="00A243D9" w:rsidRPr="003F2E00">
        <w:rPr>
          <w:rFonts w:cs="Times New Roman"/>
          <w:sz w:val="28"/>
          <w:szCs w:val="28"/>
        </w:rPr>
        <w:t>Patlaban</w:t>
      </w:r>
      <w:r w:rsidR="008B1282" w:rsidRPr="003F2E00">
        <w:rPr>
          <w:rFonts w:cs="Times New Roman"/>
          <w:sz w:val="28"/>
          <w:szCs w:val="28"/>
        </w:rPr>
        <w:t xml:space="preserve"> </w:t>
      </w:r>
      <w:r w:rsidR="00A243D9" w:rsidRPr="003F2E00">
        <w:rPr>
          <w:rFonts w:cs="Times New Roman"/>
          <w:sz w:val="28"/>
          <w:szCs w:val="28"/>
        </w:rPr>
        <w:t xml:space="preserve">cilvēkresursu trūkuma dēļ </w:t>
      </w:r>
      <w:r w:rsidR="008B1282" w:rsidRPr="003F2E00">
        <w:rPr>
          <w:rFonts w:cs="Times New Roman"/>
          <w:sz w:val="28"/>
          <w:szCs w:val="28"/>
        </w:rPr>
        <w:t>ugunsdzēsībā nodarbināto darbu nav iespējams organizēt maiņās.</w:t>
      </w:r>
    </w:p>
    <w:p w:rsidR="00F773F6" w:rsidRPr="003F2E00" w:rsidRDefault="00F773F6" w:rsidP="00F773F6">
      <w:pPr>
        <w:pStyle w:val="Tekstastils"/>
        <w:rPr>
          <w:rFonts w:cs="Times New Roman"/>
          <w:bCs/>
          <w:sz w:val="28"/>
          <w:szCs w:val="28"/>
        </w:rPr>
      </w:pPr>
      <w:r w:rsidRPr="003F2E00">
        <w:rPr>
          <w:rFonts w:cs="Times New Roman"/>
          <w:sz w:val="28"/>
          <w:szCs w:val="28"/>
        </w:rPr>
        <w:t xml:space="preserve">Līdz šim, kad trūkst darbaspēka, meža dzēšana tika nodrošināta tikai labvēlīgu meteoroloģisko apstākļu dēļ </w:t>
      </w:r>
      <w:r w:rsidR="00A243D9" w:rsidRPr="003F2E00">
        <w:rPr>
          <w:rFonts w:cs="Times New Roman"/>
          <w:sz w:val="28"/>
          <w:szCs w:val="28"/>
        </w:rPr>
        <w:t>–</w:t>
      </w:r>
      <w:r w:rsidRPr="003F2E00">
        <w:rPr>
          <w:rFonts w:cs="Times New Roman"/>
          <w:sz w:val="28"/>
          <w:szCs w:val="28"/>
        </w:rPr>
        <w:t xml:space="preserve"> Latvijas mežos nebija </w:t>
      </w:r>
      <w:r w:rsidR="00A243D9" w:rsidRPr="003F2E00">
        <w:rPr>
          <w:rFonts w:cs="Times New Roman"/>
          <w:sz w:val="28"/>
          <w:szCs w:val="28"/>
        </w:rPr>
        <w:t>liel</w:t>
      </w:r>
      <w:r w:rsidRPr="003F2E00">
        <w:rPr>
          <w:rFonts w:cs="Times New Roman"/>
          <w:sz w:val="28"/>
          <w:szCs w:val="28"/>
        </w:rPr>
        <w:t xml:space="preserve">as ugunsbīstamības. Līdzšinējā statistika </w:t>
      </w:r>
      <w:r w:rsidR="00A243D9" w:rsidRPr="003F2E00">
        <w:rPr>
          <w:rFonts w:cs="Times New Roman"/>
          <w:sz w:val="28"/>
          <w:szCs w:val="28"/>
        </w:rPr>
        <w:t>liecina</w:t>
      </w:r>
      <w:r w:rsidRPr="003F2E00">
        <w:rPr>
          <w:rFonts w:cs="Times New Roman"/>
          <w:sz w:val="28"/>
          <w:szCs w:val="28"/>
        </w:rPr>
        <w:t xml:space="preserve">, ka gadi ar </w:t>
      </w:r>
      <w:r w:rsidR="00A243D9" w:rsidRPr="003F2E00">
        <w:rPr>
          <w:rFonts w:cs="Times New Roman"/>
          <w:sz w:val="28"/>
          <w:szCs w:val="28"/>
        </w:rPr>
        <w:t>lieli</w:t>
      </w:r>
      <w:r w:rsidRPr="003F2E00">
        <w:rPr>
          <w:rFonts w:cs="Times New Roman"/>
          <w:sz w:val="28"/>
          <w:szCs w:val="28"/>
        </w:rPr>
        <w:t xml:space="preserve"> ugunsbīstamību atkārtojas ik pēc 10</w:t>
      </w:r>
      <w:r w:rsidR="00A243D9" w:rsidRPr="003F2E00">
        <w:rPr>
          <w:rFonts w:cs="Times New Roman"/>
          <w:sz w:val="28"/>
          <w:szCs w:val="28"/>
        </w:rPr>
        <w:t>–</w:t>
      </w:r>
      <w:r w:rsidRPr="003F2E00">
        <w:rPr>
          <w:rFonts w:cs="Times New Roman"/>
          <w:sz w:val="28"/>
          <w:szCs w:val="28"/>
        </w:rPr>
        <w:t xml:space="preserve">12 gadiem, bet, ņemot vērā vispārējo globālo sasilšanu, gadi ar augstu degamību varētu atkārtoties arvien biežāk. </w:t>
      </w:r>
      <w:r w:rsidRPr="003F2E00">
        <w:rPr>
          <w:rFonts w:cs="Times New Roman"/>
          <w:bCs/>
          <w:sz w:val="28"/>
          <w:szCs w:val="28"/>
        </w:rPr>
        <w:t>Ugunsdzēsēju komandas nedarboj</w:t>
      </w:r>
      <w:r w:rsidR="00A243D9" w:rsidRPr="003F2E00">
        <w:rPr>
          <w:rFonts w:cs="Times New Roman"/>
          <w:bCs/>
          <w:sz w:val="28"/>
          <w:szCs w:val="28"/>
        </w:rPr>
        <w:t>a</w:t>
      </w:r>
      <w:r w:rsidRPr="003F2E00">
        <w:rPr>
          <w:rFonts w:cs="Times New Roman"/>
          <w:bCs/>
          <w:sz w:val="28"/>
          <w:szCs w:val="28"/>
        </w:rPr>
        <w:t>s ar nepieciešamo cilvēku skaitu, tā radot draudus gan nodarbināto veselībai un dzīvībai, gan sabiedrības drošībai un tās ekonomiskajām interesēm.</w:t>
      </w:r>
      <w:r w:rsidRPr="003F2E00">
        <w:rPr>
          <w:rFonts w:cs="Times New Roman"/>
          <w:sz w:val="28"/>
          <w:szCs w:val="28"/>
        </w:rPr>
        <w:t xml:space="preserve"> </w:t>
      </w:r>
      <w:r w:rsidR="00DA4319" w:rsidRPr="003F2E00">
        <w:rPr>
          <w:rFonts w:cs="Times New Roman"/>
          <w:bCs/>
          <w:sz w:val="28"/>
          <w:szCs w:val="28"/>
        </w:rPr>
        <w:t>Noteiktais</w:t>
      </w:r>
      <w:r w:rsidRPr="003F2E00">
        <w:rPr>
          <w:rFonts w:cs="Times New Roman"/>
          <w:bCs/>
          <w:sz w:val="28"/>
          <w:szCs w:val="28"/>
        </w:rPr>
        <w:t xml:space="preserve"> cilvēku skaits nepieciešams, lai nodrošinātu cilvēku aizvietojamību un darba </w:t>
      </w:r>
      <w:r w:rsidR="00A243D9" w:rsidRPr="003F2E00">
        <w:rPr>
          <w:rFonts w:cs="Times New Roman"/>
          <w:bCs/>
          <w:sz w:val="28"/>
          <w:szCs w:val="28"/>
        </w:rPr>
        <w:t>normatīvajos aktos noteikto</w:t>
      </w:r>
      <w:r w:rsidRPr="003F2E00">
        <w:rPr>
          <w:rFonts w:cs="Times New Roman"/>
          <w:bCs/>
          <w:sz w:val="28"/>
          <w:szCs w:val="28"/>
        </w:rPr>
        <w:t xml:space="preserve"> prasību ievērošanu attiecībā uz pieļaujamo maksimālo darba stundu skaitu. Strādājot ar nepietiek</w:t>
      </w:r>
      <w:r w:rsidR="00A243D9" w:rsidRPr="003F2E00">
        <w:rPr>
          <w:rFonts w:cs="Times New Roman"/>
          <w:bCs/>
          <w:sz w:val="28"/>
          <w:szCs w:val="28"/>
        </w:rPr>
        <w:t>am</w:t>
      </w:r>
      <w:r w:rsidRPr="003F2E00">
        <w:rPr>
          <w:rFonts w:cs="Times New Roman"/>
          <w:bCs/>
          <w:sz w:val="28"/>
          <w:szCs w:val="28"/>
        </w:rPr>
        <w:t>u darbinieku skaitu, nopietni tiek apdraudēta meža ugunsgrēku savlaicīga atklāšana un dzēšanas uzdevuma izpilde periodos, kad p</w:t>
      </w:r>
      <w:r w:rsidR="00A243D9" w:rsidRPr="003F2E00">
        <w:rPr>
          <w:rFonts w:cs="Times New Roman"/>
          <w:bCs/>
          <w:sz w:val="28"/>
          <w:szCs w:val="28"/>
        </w:rPr>
        <w:t>alielinās</w:t>
      </w:r>
      <w:r w:rsidRPr="003F2E00">
        <w:rPr>
          <w:rFonts w:cs="Times New Roman"/>
          <w:bCs/>
          <w:sz w:val="28"/>
          <w:szCs w:val="28"/>
        </w:rPr>
        <w:t xml:space="preserve"> meža ugunsgrēku skaits. Šādās situācijās gan pastāvīgi, gan sezonā ugunsdzēsībā nodarbinātie tiek pakļauti pārslodzei un tiek apdraudēta gan to dzīvība, gan veselība.</w:t>
      </w:r>
    </w:p>
    <w:p w:rsidR="00F773F6" w:rsidRPr="003F2E00" w:rsidRDefault="00F773F6" w:rsidP="00F773F6">
      <w:pPr>
        <w:pStyle w:val="Tekstastils"/>
        <w:rPr>
          <w:rFonts w:cs="Times New Roman"/>
          <w:sz w:val="28"/>
          <w:szCs w:val="28"/>
        </w:rPr>
      </w:pPr>
      <w:r w:rsidRPr="003F2E00">
        <w:rPr>
          <w:rFonts w:cs="Times New Roman"/>
          <w:sz w:val="28"/>
          <w:szCs w:val="28"/>
        </w:rPr>
        <w:t xml:space="preserve">Ugunsgrēku likvidācijā ievērojamu atbalstu VMD sniedz Valsts ugunsdzēsības un glābšanas dienests, Nacionālie bruņotie spēki, Zemessardze, AS </w:t>
      </w:r>
      <w:r w:rsidR="004E2140" w:rsidRPr="003F2E00">
        <w:rPr>
          <w:rFonts w:cs="Times New Roman"/>
          <w:sz w:val="28"/>
          <w:szCs w:val="28"/>
        </w:rPr>
        <w:t>“</w:t>
      </w:r>
      <w:r w:rsidRPr="003F2E00">
        <w:rPr>
          <w:rFonts w:cs="Times New Roman"/>
          <w:sz w:val="28"/>
          <w:szCs w:val="28"/>
        </w:rPr>
        <w:t>Latvijas valsts meži</w:t>
      </w:r>
      <w:r w:rsidR="004E2140" w:rsidRPr="003F2E00">
        <w:rPr>
          <w:rFonts w:cs="Times New Roman"/>
          <w:sz w:val="28"/>
          <w:szCs w:val="28"/>
        </w:rPr>
        <w:t>”</w:t>
      </w:r>
      <w:r w:rsidRPr="003F2E00">
        <w:rPr>
          <w:rFonts w:cs="Times New Roman"/>
          <w:sz w:val="28"/>
          <w:szCs w:val="28"/>
        </w:rPr>
        <w:t xml:space="preserve">, pašvaldības un citas juridiskas personas. Institūciju un VMD sadarbības juridiskais pamats ir </w:t>
      </w:r>
      <w:r w:rsidRPr="003F2E00">
        <w:rPr>
          <w:rFonts w:eastAsia="Times New Roman" w:cs="Times New Roman"/>
          <w:bCs/>
          <w:sz w:val="28"/>
          <w:szCs w:val="28"/>
          <w:lang w:eastAsia="lv-LV"/>
        </w:rPr>
        <w:t xml:space="preserve">Ministru kabineta </w:t>
      </w:r>
      <w:r w:rsidR="00862DE5" w:rsidRPr="003F2E00">
        <w:rPr>
          <w:rFonts w:cs="Times New Roman"/>
          <w:sz w:val="28"/>
          <w:szCs w:val="28"/>
        </w:rPr>
        <w:t xml:space="preserve">2016. </w:t>
      </w:r>
      <w:r w:rsidR="000204EB" w:rsidRPr="003F2E00">
        <w:rPr>
          <w:rFonts w:cs="Times New Roman"/>
          <w:sz w:val="28"/>
          <w:szCs w:val="28"/>
        </w:rPr>
        <w:t xml:space="preserve">gada </w:t>
      </w:r>
      <w:r w:rsidR="00862DE5" w:rsidRPr="003F2E00">
        <w:rPr>
          <w:rFonts w:cs="Times New Roman"/>
          <w:sz w:val="28"/>
          <w:szCs w:val="28"/>
        </w:rPr>
        <w:t>19.</w:t>
      </w:r>
      <w:r w:rsidR="000204EB" w:rsidRPr="003F2E00">
        <w:rPr>
          <w:rFonts w:cs="Times New Roman"/>
          <w:sz w:val="28"/>
          <w:szCs w:val="28"/>
        </w:rPr>
        <w:t xml:space="preserve"> </w:t>
      </w:r>
      <w:r w:rsidR="00862DE5" w:rsidRPr="003F2E00">
        <w:rPr>
          <w:rFonts w:cs="Times New Roman"/>
          <w:sz w:val="28"/>
          <w:szCs w:val="28"/>
        </w:rPr>
        <w:t xml:space="preserve">aprīļa </w:t>
      </w:r>
      <w:r w:rsidRPr="003F2E00">
        <w:rPr>
          <w:rFonts w:eastAsia="Times New Roman" w:cs="Times New Roman"/>
          <w:bCs/>
          <w:sz w:val="28"/>
          <w:szCs w:val="28"/>
          <w:lang w:eastAsia="lv-LV"/>
        </w:rPr>
        <w:t>noteikumu Nr. 238</w:t>
      </w:r>
      <w:r w:rsidRPr="003F2E00">
        <w:rPr>
          <w:rFonts w:eastAsia="Times New Roman" w:cs="Times New Roman"/>
          <w:sz w:val="28"/>
          <w:szCs w:val="28"/>
          <w:lang w:eastAsia="lv-LV"/>
        </w:rPr>
        <w:t xml:space="preserve"> “</w:t>
      </w:r>
      <w:r w:rsidRPr="003F2E00">
        <w:rPr>
          <w:rFonts w:eastAsia="Times New Roman" w:cs="Times New Roman"/>
          <w:bCs/>
          <w:sz w:val="28"/>
          <w:szCs w:val="28"/>
          <w:lang w:eastAsia="lv-LV"/>
        </w:rPr>
        <w:t>Ugunsdrošības noteikumi” 418.</w:t>
      </w:r>
      <w:r w:rsidR="000204EB" w:rsidRPr="003F2E00">
        <w:rPr>
          <w:rFonts w:eastAsia="Times New Roman" w:cs="Times New Roman"/>
          <w:bCs/>
          <w:sz w:val="28"/>
          <w:szCs w:val="28"/>
          <w:lang w:eastAsia="lv-LV"/>
        </w:rPr>
        <w:t> </w:t>
      </w:r>
      <w:r w:rsidRPr="003F2E00">
        <w:rPr>
          <w:rFonts w:eastAsia="Times New Roman" w:cs="Times New Roman"/>
          <w:bCs/>
          <w:sz w:val="28"/>
          <w:szCs w:val="28"/>
          <w:lang w:eastAsia="lv-LV"/>
        </w:rPr>
        <w:t>punkts, k</w:t>
      </w:r>
      <w:r w:rsidR="000204EB" w:rsidRPr="003F2E00">
        <w:rPr>
          <w:rFonts w:eastAsia="Times New Roman" w:cs="Times New Roman"/>
          <w:bCs/>
          <w:sz w:val="28"/>
          <w:szCs w:val="28"/>
          <w:lang w:eastAsia="lv-LV"/>
        </w:rPr>
        <w:t>urā</w:t>
      </w:r>
      <w:r w:rsidRPr="003F2E00">
        <w:rPr>
          <w:rFonts w:eastAsia="Times New Roman" w:cs="Times New Roman"/>
          <w:bCs/>
          <w:sz w:val="28"/>
          <w:szCs w:val="28"/>
          <w:lang w:eastAsia="lv-LV"/>
        </w:rPr>
        <w:t xml:space="preserve"> no</w:t>
      </w:r>
      <w:r w:rsidR="000204EB" w:rsidRPr="003F2E00">
        <w:rPr>
          <w:rFonts w:eastAsia="Times New Roman" w:cs="Times New Roman"/>
          <w:bCs/>
          <w:sz w:val="28"/>
          <w:szCs w:val="28"/>
          <w:lang w:eastAsia="lv-LV"/>
        </w:rPr>
        <w:t>teikts</w:t>
      </w:r>
      <w:r w:rsidRPr="003F2E00">
        <w:rPr>
          <w:rFonts w:eastAsia="Times New Roman" w:cs="Times New Roman"/>
          <w:bCs/>
          <w:sz w:val="28"/>
          <w:szCs w:val="28"/>
          <w:lang w:eastAsia="lv-LV"/>
        </w:rPr>
        <w:t>, ka</w:t>
      </w:r>
      <w:r w:rsidRPr="003F2E00">
        <w:rPr>
          <w:rFonts w:eastAsia="Times New Roman" w:cs="Times New Roman"/>
          <w:sz w:val="28"/>
          <w:szCs w:val="28"/>
          <w:lang w:eastAsia="lv-LV"/>
        </w:rPr>
        <w:t xml:space="preserve"> </w:t>
      </w:r>
      <w:r w:rsidRPr="003F2E00">
        <w:rPr>
          <w:rFonts w:cs="Times New Roman"/>
          <w:sz w:val="28"/>
          <w:szCs w:val="28"/>
        </w:rPr>
        <w:t>meža objekta īpašnieks iesniedz VMD un saskaņo meža objekta ugunsdrošības preventīvo pasākum</w:t>
      </w:r>
      <w:r w:rsidR="000204EB" w:rsidRPr="003F2E00">
        <w:rPr>
          <w:rFonts w:cs="Times New Roman"/>
          <w:sz w:val="28"/>
          <w:szCs w:val="28"/>
        </w:rPr>
        <w:t>u</w:t>
      </w:r>
      <w:r w:rsidRPr="003F2E00">
        <w:rPr>
          <w:rFonts w:cs="Times New Roman"/>
          <w:sz w:val="28"/>
          <w:szCs w:val="28"/>
        </w:rPr>
        <w:t xml:space="preserve"> plānu, kur</w:t>
      </w:r>
      <w:r w:rsidR="000204EB" w:rsidRPr="003F2E00">
        <w:rPr>
          <w:rFonts w:cs="Times New Roman"/>
          <w:sz w:val="28"/>
          <w:szCs w:val="28"/>
        </w:rPr>
        <w:t>ā</w:t>
      </w:r>
      <w:r w:rsidRPr="003F2E00">
        <w:rPr>
          <w:rFonts w:cs="Times New Roman"/>
          <w:sz w:val="28"/>
          <w:szCs w:val="28"/>
        </w:rPr>
        <w:t xml:space="preserve"> </w:t>
      </w:r>
      <w:r w:rsidR="000204EB" w:rsidRPr="003F2E00">
        <w:rPr>
          <w:rFonts w:cs="Times New Roman"/>
          <w:sz w:val="28"/>
          <w:szCs w:val="28"/>
        </w:rPr>
        <w:t xml:space="preserve">starp </w:t>
      </w:r>
      <w:r w:rsidRPr="003F2E00">
        <w:rPr>
          <w:rFonts w:cs="Times New Roman"/>
          <w:sz w:val="28"/>
          <w:szCs w:val="28"/>
        </w:rPr>
        <w:t>cit</w:t>
      </w:r>
      <w:r w:rsidR="000204EB" w:rsidRPr="003F2E00">
        <w:rPr>
          <w:rFonts w:cs="Times New Roman"/>
          <w:sz w:val="28"/>
          <w:szCs w:val="28"/>
        </w:rPr>
        <w:t>ām</w:t>
      </w:r>
      <w:r w:rsidRPr="003F2E00">
        <w:rPr>
          <w:rFonts w:cs="Times New Roman"/>
          <w:sz w:val="28"/>
          <w:szCs w:val="28"/>
        </w:rPr>
        <w:t xml:space="preserve"> prasīb</w:t>
      </w:r>
      <w:r w:rsidR="000204EB" w:rsidRPr="003F2E00">
        <w:rPr>
          <w:rFonts w:cs="Times New Roman"/>
          <w:sz w:val="28"/>
          <w:szCs w:val="28"/>
        </w:rPr>
        <w:t>ām</w:t>
      </w:r>
      <w:r w:rsidRPr="003F2E00">
        <w:rPr>
          <w:rFonts w:cs="Times New Roman"/>
          <w:sz w:val="28"/>
          <w:szCs w:val="28"/>
        </w:rPr>
        <w:t xml:space="preserve"> ir noteikta ugunsdzēsības vajadzībām izmantojamā tehnika un līdzekļi</w:t>
      </w:r>
      <w:r w:rsidR="000204EB" w:rsidRPr="003F2E00">
        <w:rPr>
          <w:rFonts w:cs="Times New Roman"/>
          <w:sz w:val="28"/>
          <w:szCs w:val="28"/>
        </w:rPr>
        <w:t>,</w:t>
      </w:r>
      <w:r w:rsidRPr="003F2E00">
        <w:rPr>
          <w:rFonts w:cs="Times New Roman"/>
          <w:sz w:val="28"/>
          <w:szCs w:val="28"/>
        </w:rPr>
        <w:t xml:space="preserve"> </w:t>
      </w:r>
      <w:r w:rsidR="000204EB" w:rsidRPr="003F2E00">
        <w:rPr>
          <w:rFonts w:cs="Times New Roman"/>
          <w:sz w:val="28"/>
          <w:szCs w:val="28"/>
        </w:rPr>
        <w:t>kā arī</w:t>
      </w:r>
      <w:r w:rsidRPr="003F2E00">
        <w:rPr>
          <w:rFonts w:cs="Times New Roman"/>
          <w:sz w:val="28"/>
          <w:szCs w:val="28"/>
        </w:rPr>
        <w:t xml:space="preserve"> VMD un </w:t>
      </w:r>
      <w:r w:rsidR="00862DE5" w:rsidRPr="003F2E00">
        <w:rPr>
          <w:rFonts w:cs="Times New Roman"/>
          <w:sz w:val="28"/>
          <w:szCs w:val="28"/>
        </w:rPr>
        <w:t xml:space="preserve">AS </w:t>
      </w:r>
      <w:r w:rsidR="000204EB" w:rsidRPr="003F2E00">
        <w:rPr>
          <w:rFonts w:cs="Times New Roman"/>
          <w:sz w:val="28"/>
          <w:szCs w:val="28"/>
        </w:rPr>
        <w:t>“</w:t>
      </w:r>
      <w:r w:rsidR="00862DE5" w:rsidRPr="003F2E00">
        <w:rPr>
          <w:rFonts w:cs="Times New Roman"/>
          <w:sz w:val="28"/>
          <w:szCs w:val="28"/>
        </w:rPr>
        <w:t>Latvijas valsts meži</w:t>
      </w:r>
      <w:r w:rsidR="000204EB" w:rsidRPr="003F2E00">
        <w:rPr>
          <w:rFonts w:cs="Times New Roman"/>
          <w:sz w:val="28"/>
          <w:szCs w:val="28"/>
        </w:rPr>
        <w:t>”</w:t>
      </w:r>
      <w:r w:rsidRPr="003F2E00">
        <w:rPr>
          <w:rFonts w:cs="Times New Roman"/>
          <w:sz w:val="28"/>
          <w:szCs w:val="28"/>
        </w:rPr>
        <w:t xml:space="preserve"> </w:t>
      </w:r>
      <w:r w:rsidR="00664FBB" w:rsidRPr="003F2E00">
        <w:rPr>
          <w:rFonts w:cs="Times New Roman"/>
          <w:sz w:val="28"/>
          <w:szCs w:val="28"/>
        </w:rPr>
        <w:t xml:space="preserve">05.06.2014. </w:t>
      </w:r>
      <w:r w:rsidRPr="003F2E00">
        <w:rPr>
          <w:rFonts w:cs="Times New Roman"/>
          <w:sz w:val="28"/>
          <w:szCs w:val="28"/>
        </w:rPr>
        <w:t>noslēgtā</w:t>
      </w:r>
      <w:r w:rsidR="00664FBB" w:rsidRPr="003F2E00">
        <w:rPr>
          <w:rFonts w:cs="Times New Roman"/>
          <w:sz w:val="28"/>
          <w:szCs w:val="28"/>
        </w:rPr>
        <w:t>s</w:t>
      </w:r>
      <w:r w:rsidRPr="003F2E00">
        <w:rPr>
          <w:rFonts w:cs="Times New Roman"/>
          <w:sz w:val="28"/>
          <w:szCs w:val="28"/>
        </w:rPr>
        <w:t xml:space="preserve"> </w:t>
      </w:r>
      <w:r w:rsidR="000204EB" w:rsidRPr="003F2E00">
        <w:rPr>
          <w:rFonts w:cs="Times New Roman"/>
          <w:sz w:val="28"/>
          <w:szCs w:val="28"/>
        </w:rPr>
        <w:t>v</w:t>
      </w:r>
      <w:r w:rsidRPr="003F2E00">
        <w:rPr>
          <w:rFonts w:cs="Times New Roman"/>
          <w:sz w:val="28"/>
          <w:szCs w:val="28"/>
        </w:rPr>
        <w:t>ienošanās Nr. 5.8-2.1_00ab_101_14_30 1.</w:t>
      </w:r>
      <w:r w:rsidR="000204EB" w:rsidRPr="003F2E00">
        <w:rPr>
          <w:rFonts w:cs="Times New Roman"/>
          <w:sz w:val="28"/>
          <w:szCs w:val="28"/>
        </w:rPr>
        <w:t> </w:t>
      </w:r>
      <w:r w:rsidRPr="003F2E00">
        <w:rPr>
          <w:rFonts w:cs="Times New Roman"/>
          <w:sz w:val="28"/>
          <w:szCs w:val="28"/>
        </w:rPr>
        <w:t>pielikums</w:t>
      </w:r>
      <w:r w:rsidR="00664FBB" w:rsidRPr="003F2E00">
        <w:rPr>
          <w:rFonts w:cs="Times New Roman"/>
          <w:sz w:val="28"/>
          <w:szCs w:val="28"/>
        </w:rPr>
        <w:t xml:space="preserve">, </w:t>
      </w:r>
      <w:r w:rsidRPr="003F2E00">
        <w:rPr>
          <w:rFonts w:cs="Times New Roman"/>
          <w:sz w:val="28"/>
          <w:szCs w:val="28"/>
        </w:rPr>
        <w:t>M</w:t>
      </w:r>
      <w:r w:rsidR="00664FBB" w:rsidRPr="003F2E00">
        <w:rPr>
          <w:rFonts w:cs="Times New Roman"/>
          <w:sz w:val="28"/>
          <w:szCs w:val="28"/>
        </w:rPr>
        <w:t>inistru kabineta</w:t>
      </w:r>
      <w:r w:rsidRPr="003F2E00">
        <w:rPr>
          <w:rFonts w:cs="Times New Roman"/>
          <w:sz w:val="28"/>
          <w:szCs w:val="28"/>
        </w:rPr>
        <w:t xml:space="preserve"> </w:t>
      </w:r>
      <w:r w:rsidR="00664FBB" w:rsidRPr="003F2E00">
        <w:rPr>
          <w:rFonts w:cs="Times New Roman"/>
          <w:sz w:val="28"/>
          <w:szCs w:val="28"/>
        </w:rPr>
        <w:t>2008. gada 10.</w:t>
      </w:r>
      <w:r w:rsidR="000204EB" w:rsidRPr="003F2E00">
        <w:rPr>
          <w:rFonts w:cs="Times New Roman"/>
          <w:sz w:val="28"/>
          <w:szCs w:val="28"/>
        </w:rPr>
        <w:t xml:space="preserve"> </w:t>
      </w:r>
      <w:r w:rsidR="00664FBB" w:rsidRPr="003F2E00">
        <w:rPr>
          <w:rFonts w:cs="Times New Roman"/>
          <w:sz w:val="28"/>
          <w:szCs w:val="28"/>
        </w:rPr>
        <w:t xml:space="preserve">jūnija </w:t>
      </w:r>
      <w:r w:rsidRPr="003F2E00">
        <w:rPr>
          <w:rFonts w:cs="Times New Roman"/>
          <w:sz w:val="28"/>
          <w:szCs w:val="28"/>
        </w:rPr>
        <w:t>noteikumi Nr.</w:t>
      </w:r>
      <w:r w:rsidR="000204EB" w:rsidRPr="003F2E00">
        <w:rPr>
          <w:rFonts w:cs="Times New Roman"/>
          <w:sz w:val="28"/>
          <w:szCs w:val="28"/>
        </w:rPr>
        <w:t xml:space="preserve"> </w:t>
      </w:r>
      <w:r w:rsidRPr="003F2E00">
        <w:rPr>
          <w:rFonts w:cs="Times New Roman"/>
          <w:sz w:val="28"/>
          <w:szCs w:val="28"/>
        </w:rPr>
        <w:t>420 “</w:t>
      </w:r>
      <w:r w:rsidRPr="003F2E00">
        <w:rPr>
          <w:rFonts w:cs="Times New Roman"/>
          <w:bCs/>
          <w:sz w:val="28"/>
          <w:szCs w:val="28"/>
        </w:rPr>
        <w:t>Noteikumi par meža ugunsdzēsības darbiem un Valsts meža dienesta un Valsts ugunsdzēsības un glābšanas dienesta sadarbības kārtību, veicot meža ugunsgrēku ierobežošanas un likvidācijas darbus”,</w:t>
      </w:r>
      <w:r w:rsidR="00664FBB" w:rsidRPr="003F2E00">
        <w:rPr>
          <w:rFonts w:cs="Times New Roman"/>
          <w:sz w:val="28"/>
          <w:szCs w:val="28"/>
        </w:rPr>
        <w:t xml:space="preserve"> </w:t>
      </w:r>
      <w:r w:rsidRPr="003F2E00">
        <w:rPr>
          <w:rFonts w:cs="Times New Roman"/>
          <w:sz w:val="28"/>
          <w:szCs w:val="28"/>
        </w:rPr>
        <w:t>kur</w:t>
      </w:r>
      <w:r w:rsidR="000204EB" w:rsidRPr="003F2E00">
        <w:rPr>
          <w:rFonts w:cs="Times New Roman"/>
          <w:sz w:val="28"/>
          <w:szCs w:val="28"/>
        </w:rPr>
        <w:t>os</w:t>
      </w:r>
      <w:r w:rsidRPr="003F2E00">
        <w:rPr>
          <w:rFonts w:cs="Times New Roman"/>
          <w:sz w:val="28"/>
          <w:szCs w:val="28"/>
        </w:rPr>
        <w:t xml:space="preserve"> noteikta VMD un Valsts ugunsdzēsības un glābšanas dienesta (turpmāk</w:t>
      </w:r>
      <w:r w:rsidR="00BF371C" w:rsidRPr="003F2E00">
        <w:rPr>
          <w:rFonts w:cs="Times New Roman"/>
          <w:sz w:val="28"/>
          <w:szCs w:val="28"/>
        </w:rPr>
        <w:t xml:space="preserve"> tekstā </w:t>
      </w:r>
      <w:r w:rsidR="000204EB" w:rsidRPr="003F2E00">
        <w:rPr>
          <w:rFonts w:cs="Times New Roman"/>
          <w:sz w:val="28"/>
          <w:szCs w:val="28"/>
        </w:rPr>
        <w:t xml:space="preserve">– </w:t>
      </w:r>
      <w:r w:rsidRPr="003F2E00">
        <w:rPr>
          <w:rFonts w:cs="Times New Roman"/>
          <w:sz w:val="28"/>
          <w:szCs w:val="28"/>
        </w:rPr>
        <w:t xml:space="preserve">VUGD) sadarbības kārtība meža ugunsgrēku </w:t>
      </w:r>
      <w:r w:rsidRPr="003F2E00">
        <w:rPr>
          <w:rFonts w:cs="Times New Roman"/>
          <w:sz w:val="28"/>
          <w:szCs w:val="28"/>
        </w:rPr>
        <w:lastRenderedPageBreak/>
        <w:t>ierobežošanas un likvidācijas darb</w:t>
      </w:r>
      <w:r w:rsidR="000204EB" w:rsidRPr="003F2E00">
        <w:rPr>
          <w:rFonts w:cs="Times New Roman"/>
          <w:sz w:val="28"/>
          <w:szCs w:val="28"/>
        </w:rPr>
        <w:t>o</w:t>
      </w:r>
      <w:r w:rsidRPr="003F2E00">
        <w:rPr>
          <w:rFonts w:cs="Times New Roman"/>
          <w:sz w:val="28"/>
          <w:szCs w:val="28"/>
        </w:rPr>
        <w:t xml:space="preserve">s, VMD un VUGD </w:t>
      </w:r>
      <w:r w:rsidR="00664FBB" w:rsidRPr="003F2E00">
        <w:rPr>
          <w:rFonts w:cs="Times New Roman"/>
          <w:sz w:val="28"/>
          <w:szCs w:val="28"/>
        </w:rPr>
        <w:t xml:space="preserve">10.10.2017. </w:t>
      </w:r>
      <w:r w:rsidRPr="003F2E00">
        <w:rPr>
          <w:rFonts w:cs="Times New Roman"/>
          <w:sz w:val="28"/>
          <w:szCs w:val="28"/>
        </w:rPr>
        <w:t xml:space="preserve">Starpresoru </w:t>
      </w:r>
      <w:r w:rsidR="000204EB" w:rsidRPr="003F2E00">
        <w:rPr>
          <w:rFonts w:cs="Times New Roman"/>
          <w:sz w:val="28"/>
          <w:szCs w:val="28"/>
        </w:rPr>
        <w:t>v</w:t>
      </w:r>
      <w:r w:rsidRPr="003F2E00">
        <w:rPr>
          <w:rFonts w:cs="Times New Roman"/>
          <w:sz w:val="28"/>
          <w:szCs w:val="28"/>
        </w:rPr>
        <w:t>ienošanās par meža ugunsgrēku uzskaites informācijas apmaiņu un sadarbību ugunsgrēku dzēšanā meža ugunsnedrošajā laika posmā</w:t>
      </w:r>
      <w:r w:rsidR="00870DF7" w:rsidRPr="003F2E00">
        <w:rPr>
          <w:rFonts w:cs="Times New Roman"/>
          <w:sz w:val="28"/>
          <w:szCs w:val="28"/>
        </w:rPr>
        <w:t xml:space="preserve"> un</w:t>
      </w:r>
      <w:r w:rsidRPr="003F2E00">
        <w:rPr>
          <w:rFonts w:cs="Times New Roman"/>
          <w:sz w:val="28"/>
          <w:szCs w:val="28"/>
        </w:rPr>
        <w:t xml:space="preserve"> </w:t>
      </w:r>
      <w:r w:rsidR="00870DF7" w:rsidRPr="003F2E00">
        <w:rPr>
          <w:rFonts w:cs="Times New Roman"/>
          <w:sz w:val="28"/>
          <w:szCs w:val="28"/>
        </w:rPr>
        <w:t xml:space="preserve">VMD un Nacionālo bruņoto spēku </w:t>
      </w:r>
      <w:r w:rsidRPr="003F2E00">
        <w:rPr>
          <w:rFonts w:cs="Times New Roman"/>
          <w:sz w:val="28"/>
          <w:szCs w:val="28"/>
        </w:rPr>
        <w:t xml:space="preserve">04.06.2008. Starpresoru </w:t>
      </w:r>
      <w:r w:rsidR="00870DF7" w:rsidRPr="003F2E00">
        <w:rPr>
          <w:rFonts w:cs="Times New Roman"/>
          <w:sz w:val="28"/>
          <w:szCs w:val="28"/>
        </w:rPr>
        <w:t>v</w:t>
      </w:r>
      <w:r w:rsidRPr="003F2E00">
        <w:rPr>
          <w:rFonts w:cs="Times New Roman"/>
          <w:sz w:val="28"/>
          <w:szCs w:val="28"/>
        </w:rPr>
        <w:t>ienošanās. Ļoti būtiska ir informācija par ugunsbīstamības stāvokli Latvijā no Latvijas vides un meteoroloģijas dienesta, lai operatīvāk varētu prognozēt rīcību konkrētos Latvijas reģionos. Šobrīd tas ir maksas pakalpojums, bet</w:t>
      </w:r>
      <w:r w:rsidR="003537F1" w:rsidRPr="003F2E00">
        <w:rPr>
          <w:rFonts w:cs="Times New Roman"/>
          <w:sz w:val="28"/>
          <w:szCs w:val="28"/>
        </w:rPr>
        <w:t>,</w:t>
      </w:r>
      <w:r w:rsidRPr="003F2E00">
        <w:rPr>
          <w:rFonts w:cs="Times New Roman"/>
          <w:sz w:val="28"/>
          <w:szCs w:val="28"/>
        </w:rPr>
        <w:t xml:space="preserve"> ņemot vērā Nacionālās drošības likumā noteikto</w:t>
      </w:r>
      <w:r w:rsidR="003537F1" w:rsidRPr="003F2E00">
        <w:rPr>
          <w:rFonts w:cs="Times New Roman"/>
          <w:sz w:val="28"/>
          <w:szCs w:val="28"/>
        </w:rPr>
        <w:t>,</w:t>
      </w:r>
      <w:r w:rsidRPr="003F2E00">
        <w:rPr>
          <w:rFonts w:cs="Times New Roman"/>
          <w:sz w:val="28"/>
          <w:szCs w:val="28"/>
        </w:rPr>
        <w:t xml:space="preserve"> šiem datiem VMD ir jābūt pieejamiem bez maksas</w:t>
      </w:r>
      <w:r w:rsidR="003537F1" w:rsidRPr="003F2E00">
        <w:rPr>
          <w:rFonts w:cs="Times New Roman"/>
          <w:sz w:val="28"/>
          <w:szCs w:val="28"/>
        </w:rPr>
        <w:t>.</w:t>
      </w:r>
    </w:p>
    <w:p w:rsidR="00F773F6" w:rsidRPr="003F2E00" w:rsidRDefault="00F773F6" w:rsidP="00DE053A">
      <w:pPr>
        <w:pStyle w:val="heading2"/>
        <w:numPr>
          <w:ilvl w:val="1"/>
          <w:numId w:val="7"/>
        </w:numPr>
        <w:rPr>
          <w:rFonts w:ascii="Times New Roman" w:hAnsi="Times New Roman" w:cs="Times New Roman"/>
          <w:szCs w:val="28"/>
        </w:rPr>
      </w:pPr>
      <w:bookmarkStart w:id="15" w:name="_Toc524596698"/>
      <w:bookmarkStart w:id="16" w:name="_Toc524598905"/>
      <w:bookmarkStart w:id="17" w:name="_Toc5911199"/>
      <w:r w:rsidRPr="003F2E00">
        <w:rPr>
          <w:rFonts w:ascii="Times New Roman" w:hAnsi="Times New Roman" w:cs="Times New Roman"/>
          <w:szCs w:val="28"/>
        </w:rPr>
        <w:t>Meža ugunsdzēsības tehnika</w:t>
      </w:r>
      <w:bookmarkEnd w:id="15"/>
      <w:bookmarkEnd w:id="16"/>
      <w:bookmarkEnd w:id="17"/>
    </w:p>
    <w:p w:rsidR="00C017AC" w:rsidRPr="003F2E00" w:rsidRDefault="00F773F6" w:rsidP="00546145">
      <w:pPr>
        <w:pStyle w:val="Tekstastils"/>
        <w:ind w:left="0"/>
        <w:rPr>
          <w:rFonts w:cs="Times New Roman"/>
          <w:sz w:val="28"/>
          <w:szCs w:val="28"/>
        </w:rPr>
      </w:pPr>
      <w:r w:rsidRPr="003F2E00">
        <w:rPr>
          <w:rFonts w:cs="Times New Roman"/>
          <w:sz w:val="28"/>
          <w:szCs w:val="28"/>
        </w:rPr>
        <w:t>Pēdējo gadu vienreizējās investīcijas ir ļāvušas VMD novērst kritisk</w:t>
      </w:r>
      <w:r w:rsidR="00E95727" w:rsidRPr="003F2E00">
        <w:rPr>
          <w:rFonts w:cs="Times New Roman"/>
          <w:sz w:val="28"/>
          <w:szCs w:val="28"/>
        </w:rPr>
        <w:t xml:space="preserve">o situāciju meža ugunsdzēsībā. </w:t>
      </w:r>
      <w:r w:rsidR="003537F1" w:rsidRPr="003F2E00">
        <w:rPr>
          <w:rFonts w:cs="Times New Roman"/>
          <w:sz w:val="28"/>
          <w:szCs w:val="28"/>
        </w:rPr>
        <w:t>VMD īpašumā esošā novecojusī tehnika meža ugunsgrēku dzēšanai p</w:t>
      </w:r>
      <w:r w:rsidRPr="003F2E00">
        <w:rPr>
          <w:rFonts w:cs="Times New Roman"/>
          <w:sz w:val="28"/>
          <w:szCs w:val="28"/>
        </w:rPr>
        <w:t>akāpeniski tiek nomai</w:t>
      </w:r>
      <w:r w:rsidR="003537F1" w:rsidRPr="003F2E00">
        <w:rPr>
          <w:rFonts w:cs="Times New Roman"/>
          <w:sz w:val="28"/>
          <w:szCs w:val="28"/>
        </w:rPr>
        <w:t>nīta</w:t>
      </w:r>
      <w:r w:rsidRPr="003F2E00">
        <w:rPr>
          <w:rFonts w:cs="Times New Roman"/>
          <w:sz w:val="28"/>
          <w:szCs w:val="28"/>
        </w:rPr>
        <w:t xml:space="preserve"> </w:t>
      </w:r>
      <w:r w:rsidR="003537F1" w:rsidRPr="003F2E00">
        <w:rPr>
          <w:rFonts w:cs="Times New Roman"/>
          <w:sz w:val="28"/>
          <w:szCs w:val="28"/>
        </w:rPr>
        <w:t>pret</w:t>
      </w:r>
      <w:r w:rsidRPr="003F2E00">
        <w:rPr>
          <w:rFonts w:cs="Times New Roman"/>
          <w:sz w:val="28"/>
          <w:szCs w:val="28"/>
        </w:rPr>
        <w:t xml:space="preserve"> jaunām īpaši meža ugunsgrēku dzēšanai pielāgotām </w:t>
      </w:r>
      <w:proofErr w:type="spellStart"/>
      <w:r w:rsidRPr="003F2E00">
        <w:rPr>
          <w:rFonts w:cs="Times New Roman"/>
          <w:i/>
          <w:sz w:val="28"/>
          <w:szCs w:val="28"/>
        </w:rPr>
        <w:t>Mercedes</w:t>
      </w:r>
      <w:proofErr w:type="spellEnd"/>
      <w:r w:rsidRPr="003F2E00">
        <w:rPr>
          <w:rFonts w:cs="Times New Roman"/>
          <w:i/>
          <w:sz w:val="28"/>
          <w:szCs w:val="28"/>
        </w:rPr>
        <w:t xml:space="preserve"> </w:t>
      </w:r>
      <w:proofErr w:type="spellStart"/>
      <w:r w:rsidRPr="003F2E00">
        <w:rPr>
          <w:rFonts w:cs="Times New Roman"/>
          <w:i/>
          <w:sz w:val="28"/>
          <w:szCs w:val="28"/>
        </w:rPr>
        <w:t>Benz</w:t>
      </w:r>
      <w:proofErr w:type="spellEnd"/>
      <w:r w:rsidR="00B43267" w:rsidRPr="003F2E00">
        <w:rPr>
          <w:rFonts w:cs="Times New Roman"/>
          <w:i/>
          <w:sz w:val="28"/>
          <w:szCs w:val="28"/>
        </w:rPr>
        <w:t xml:space="preserve"> </w:t>
      </w:r>
      <w:proofErr w:type="spellStart"/>
      <w:r w:rsidR="00B43267" w:rsidRPr="003F2E00">
        <w:rPr>
          <w:rFonts w:cs="Times New Roman"/>
          <w:i/>
          <w:sz w:val="28"/>
          <w:szCs w:val="28"/>
        </w:rPr>
        <w:t>Unimog</w:t>
      </w:r>
      <w:proofErr w:type="spellEnd"/>
      <w:r w:rsidR="00B43267" w:rsidRPr="003F2E00">
        <w:rPr>
          <w:rFonts w:cs="Times New Roman"/>
          <w:sz w:val="28"/>
          <w:szCs w:val="28"/>
        </w:rPr>
        <w:t xml:space="preserve"> </w:t>
      </w:r>
      <w:r w:rsidR="00B43267" w:rsidRPr="003F2E00">
        <w:rPr>
          <w:rFonts w:cs="Times New Roman"/>
          <w:i/>
          <w:sz w:val="28"/>
          <w:szCs w:val="28"/>
        </w:rPr>
        <w:t xml:space="preserve">4000 </w:t>
      </w:r>
      <w:r w:rsidR="00B43267" w:rsidRPr="003F2E00">
        <w:rPr>
          <w:rFonts w:cs="Times New Roman"/>
          <w:sz w:val="28"/>
          <w:szCs w:val="28"/>
        </w:rPr>
        <w:t>autocisternām. 2018. gadā</w:t>
      </w:r>
      <w:r w:rsidRPr="003F2E00">
        <w:rPr>
          <w:rFonts w:cs="Times New Roman"/>
          <w:sz w:val="28"/>
          <w:szCs w:val="28"/>
        </w:rPr>
        <w:t xml:space="preserve"> </w:t>
      </w:r>
      <w:r w:rsidR="00B43267" w:rsidRPr="003F2E00">
        <w:rPr>
          <w:rFonts w:cs="Times New Roman"/>
          <w:sz w:val="28"/>
          <w:szCs w:val="28"/>
        </w:rPr>
        <w:t>VMD saņēma</w:t>
      </w:r>
      <w:r w:rsidRPr="003F2E00">
        <w:rPr>
          <w:rFonts w:cs="Times New Roman"/>
          <w:sz w:val="28"/>
          <w:szCs w:val="28"/>
        </w:rPr>
        <w:t xml:space="preserve"> </w:t>
      </w:r>
      <w:r w:rsidR="003537F1" w:rsidRPr="003F2E00">
        <w:rPr>
          <w:rFonts w:cs="Times New Roman"/>
          <w:sz w:val="28"/>
          <w:szCs w:val="28"/>
        </w:rPr>
        <w:t>vienpadsmit</w:t>
      </w:r>
      <w:r w:rsidRPr="003F2E00">
        <w:rPr>
          <w:rFonts w:cs="Times New Roman"/>
          <w:sz w:val="28"/>
          <w:szCs w:val="28"/>
        </w:rPr>
        <w:t xml:space="preserve"> </w:t>
      </w:r>
      <w:proofErr w:type="spellStart"/>
      <w:r w:rsidRPr="003F2E00">
        <w:rPr>
          <w:rFonts w:cs="Times New Roman"/>
          <w:i/>
          <w:sz w:val="28"/>
          <w:szCs w:val="28"/>
        </w:rPr>
        <w:t>Mercedes</w:t>
      </w:r>
      <w:proofErr w:type="spellEnd"/>
      <w:r w:rsidRPr="003F2E00">
        <w:rPr>
          <w:rFonts w:cs="Times New Roman"/>
          <w:i/>
          <w:sz w:val="28"/>
          <w:szCs w:val="28"/>
        </w:rPr>
        <w:t xml:space="preserve"> </w:t>
      </w:r>
      <w:proofErr w:type="spellStart"/>
      <w:r w:rsidRPr="003F2E00">
        <w:rPr>
          <w:rFonts w:cs="Times New Roman"/>
          <w:i/>
          <w:sz w:val="28"/>
          <w:szCs w:val="28"/>
        </w:rPr>
        <w:t>Benz</w:t>
      </w:r>
      <w:proofErr w:type="spellEnd"/>
      <w:r w:rsidRPr="003F2E00">
        <w:rPr>
          <w:rFonts w:cs="Times New Roman"/>
          <w:i/>
          <w:sz w:val="28"/>
          <w:szCs w:val="28"/>
        </w:rPr>
        <w:t xml:space="preserve"> </w:t>
      </w:r>
      <w:proofErr w:type="spellStart"/>
      <w:r w:rsidRPr="003F2E00">
        <w:rPr>
          <w:rFonts w:cs="Times New Roman"/>
          <w:i/>
          <w:sz w:val="28"/>
          <w:szCs w:val="28"/>
        </w:rPr>
        <w:t>Unimog</w:t>
      </w:r>
      <w:proofErr w:type="spellEnd"/>
      <w:r w:rsidRPr="003F2E00">
        <w:rPr>
          <w:rFonts w:cs="Times New Roman"/>
          <w:sz w:val="28"/>
          <w:szCs w:val="28"/>
        </w:rPr>
        <w:t xml:space="preserve"> </w:t>
      </w:r>
      <w:r w:rsidRPr="003F2E00">
        <w:rPr>
          <w:rFonts w:cs="Times New Roman"/>
          <w:i/>
          <w:sz w:val="28"/>
          <w:szCs w:val="28"/>
        </w:rPr>
        <w:t>4023</w:t>
      </w:r>
      <w:r w:rsidRPr="003F2E00">
        <w:rPr>
          <w:rFonts w:cs="Times New Roman"/>
          <w:sz w:val="28"/>
          <w:szCs w:val="28"/>
        </w:rPr>
        <w:t xml:space="preserve"> meža ugunsdzēsības autocisternas. Paš</w:t>
      </w:r>
      <w:r w:rsidR="003537F1" w:rsidRPr="003F2E00">
        <w:rPr>
          <w:rFonts w:cs="Times New Roman"/>
          <w:sz w:val="28"/>
          <w:szCs w:val="28"/>
        </w:rPr>
        <w:t>laik</w:t>
      </w:r>
      <w:r w:rsidRPr="003F2E00">
        <w:rPr>
          <w:rFonts w:cs="Times New Roman"/>
          <w:sz w:val="28"/>
          <w:szCs w:val="28"/>
        </w:rPr>
        <w:t xml:space="preserve"> VMD īpašumā ir </w:t>
      </w:r>
      <w:r w:rsidR="00CC7171" w:rsidRPr="003F2E00">
        <w:rPr>
          <w:rFonts w:cs="Times New Roman"/>
          <w:sz w:val="28"/>
          <w:szCs w:val="28"/>
        </w:rPr>
        <w:t>74 specializētā transporta vienības</w:t>
      </w:r>
      <w:r w:rsidR="00405D2E" w:rsidRPr="003F2E00">
        <w:rPr>
          <w:rFonts w:cs="Times New Roman"/>
          <w:sz w:val="28"/>
          <w:szCs w:val="28"/>
        </w:rPr>
        <w:t xml:space="preserve"> </w:t>
      </w:r>
      <w:r w:rsidR="00CB50D3" w:rsidRPr="003F2E00">
        <w:rPr>
          <w:rFonts w:cs="Times New Roman"/>
          <w:sz w:val="28"/>
          <w:szCs w:val="28"/>
        </w:rPr>
        <w:t>(</w:t>
      </w:r>
      <w:r w:rsidR="00405D2E" w:rsidRPr="003F2E00">
        <w:rPr>
          <w:rFonts w:cs="Times New Roman"/>
          <w:sz w:val="28"/>
          <w:szCs w:val="28"/>
        </w:rPr>
        <w:t>t</w:t>
      </w:r>
      <w:r w:rsidR="003537F1" w:rsidRPr="003F2E00">
        <w:rPr>
          <w:rFonts w:cs="Times New Roman"/>
          <w:sz w:val="28"/>
          <w:szCs w:val="28"/>
        </w:rPr>
        <w:t>ajā skaitā</w:t>
      </w:r>
      <w:r w:rsidR="00405D2E" w:rsidRPr="003F2E00">
        <w:rPr>
          <w:rFonts w:cs="Times New Roman"/>
          <w:sz w:val="28"/>
          <w:szCs w:val="28"/>
        </w:rPr>
        <w:t xml:space="preserve"> 2 traktori</w:t>
      </w:r>
      <w:r w:rsidR="00CB50D3" w:rsidRPr="003F2E00">
        <w:rPr>
          <w:rFonts w:cs="Times New Roman"/>
          <w:sz w:val="28"/>
          <w:szCs w:val="28"/>
        </w:rPr>
        <w:t xml:space="preserve">), </w:t>
      </w:r>
      <w:r w:rsidRPr="003F2E00">
        <w:rPr>
          <w:rFonts w:cs="Times New Roman"/>
          <w:sz w:val="28"/>
          <w:szCs w:val="28"/>
        </w:rPr>
        <w:t xml:space="preserve">no kurām puse ir ražotas </w:t>
      </w:r>
      <w:r w:rsidR="00AC79EA" w:rsidRPr="003F2E00">
        <w:rPr>
          <w:rFonts w:cs="Times New Roman"/>
          <w:sz w:val="28"/>
          <w:szCs w:val="28"/>
        </w:rPr>
        <w:t>līdz 2000</w:t>
      </w:r>
      <w:r w:rsidRPr="003F2E00">
        <w:rPr>
          <w:rFonts w:cs="Times New Roman"/>
          <w:sz w:val="28"/>
          <w:szCs w:val="28"/>
        </w:rPr>
        <w:t>. gada</w:t>
      </w:r>
      <w:r w:rsidR="00AC79EA" w:rsidRPr="003F2E00">
        <w:rPr>
          <w:rFonts w:cs="Times New Roman"/>
          <w:sz w:val="28"/>
          <w:szCs w:val="28"/>
        </w:rPr>
        <w:t>m</w:t>
      </w:r>
      <w:r w:rsidR="001C641E" w:rsidRPr="003F2E00">
        <w:rPr>
          <w:rFonts w:cs="Times New Roman"/>
          <w:sz w:val="28"/>
          <w:szCs w:val="28"/>
        </w:rPr>
        <w:t>.</w:t>
      </w:r>
    </w:p>
    <w:p w:rsidR="00C017AC" w:rsidRPr="003F2E00" w:rsidRDefault="00C017AC" w:rsidP="00C017AC">
      <w:pPr>
        <w:pStyle w:val="Tekstastils"/>
        <w:rPr>
          <w:rFonts w:cs="Times New Roman"/>
          <w:bCs/>
          <w:sz w:val="28"/>
          <w:szCs w:val="28"/>
        </w:rPr>
      </w:pPr>
      <w:r w:rsidRPr="003F2E00">
        <w:rPr>
          <w:rFonts w:cs="Times New Roman"/>
          <w:sz w:val="28"/>
          <w:szCs w:val="28"/>
        </w:rPr>
        <w:t>Jau 2013. gada ziņojumā Ministru kabinetam VMD informēja, ka lielākā daļa š</w:t>
      </w:r>
      <w:r w:rsidR="003537F1" w:rsidRPr="003F2E00">
        <w:rPr>
          <w:rFonts w:cs="Times New Roman"/>
          <w:sz w:val="28"/>
          <w:szCs w:val="28"/>
        </w:rPr>
        <w:t>o</w:t>
      </w:r>
      <w:r w:rsidRPr="003F2E00">
        <w:rPr>
          <w:rFonts w:cs="Times New Roman"/>
          <w:sz w:val="28"/>
          <w:szCs w:val="28"/>
        </w:rPr>
        <w:t xml:space="preserve"> ūdens autocistern</w:t>
      </w:r>
      <w:r w:rsidR="003537F1" w:rsidRPr="003F2E00">
        <w:rPr>
          <w:rFonts w:cs="Times New Roman"/>
          <w:sz w:val="28"/>
          <w:szCs w:val="28"/>
        </w:rPr>
        <w:t>u</w:t>
      </w:r>
      <w:r w:rsidRPr="003F2E00">
        <w:rPr>
          <w:rFonts w:cs="Times New Roman"/>
          <w:sz w:val="28"/>
          <w:szCs w:val="28"/>
        </w:rPr>
        <w:t xml:space="preserve"> ir ļoti sliktā tehniskā stāvoklī, to remonts ir ekonomiski neizdevīgs</w:t>
      </w:r>
      <w:r w:rsidR="003537F1" w:rsidRPr="003F2E00">
        <w:rPr>
          <w:rFonts w:cs="Times New Roman"/>
          <w:sz w:val="28"/>
          <w:szCs w:val="28"/>
        </w:rPr>
        <w:t>,</w:t>
      </w:r>
      <w:r w:rsidRPr="003F2E00">
        <w:rPr>
          <w:rFonts w:cs="Times New Roman"/>
          <w:sz w:val="28"/>
          <w:szCs w:val="28"/>
        </w:rPr>
        <w:t xml:space="preserve"> un </w:t>
      </w:r>
      <w:r w:rsidR="003537F1" w:rsidRPr="003F2E00">
        <w:rPr>
          <w:rFonts w:cs="Times New Roman"/>
          <w:sz w:val="28"/>
          <w:szCs w:val="28"/>
        </w:rPr>
        <w:t xml:space="preserve">tās </w:t>
      </w:r>
      <w:r w:rsidRPr="003F2E00">
        <w:rPr>
          <w:rFonts w:cs="Times New Roman"/>
          <w:sz w:val="28"/>
          <w:szCs w:val="28"/>
        </w:rPr>
        <w:t>nepieciešams norakstī</w:t>
      </w:r>
      <w:r w:rsidR="003537F1" w:rsidRPr="003F2E00">
        <w:rPr>
          <w:rFonts w:cs="Times New Roman"/>
          <w:sz w:val="28"/>
          <w:szCs w:val="28"/>
        </w:rPr>
        <w:t>t</w:t>
      </w:r>
      <w:r w:rsidRPr="003F2E00">
        <w:rPr>
          <w:rFonts w:cs="Times New Roman"/>
          <w:sz w:val="28"/>
          <w:szCs w:val="28"/>
        </w:rPr>
        <w:t xml:space="preserve">. Lai nodrošinātu </w:t>
      </w:r>
      <w:r w:rsidR="003537F1" w:rsidRPr="003F2E00">
        <w:rPr>
          <w:rFonts w:cs="Times New Roman"/>
          <w:sz w:val="28"/>
          <w:szCs w:val="28"/>
        </w:rPr>
        <w:t xml:space="preserve">novecojušā smagās ugunsdzēsības tehnikas autoparka </w:t>
      </w:r>
      <w:r w:rsidRPr="003F2E00">
        <w:rPr>
          <w:rFonts w:cs="Times New Roman"/>
          <w:sz w:val="28"/>
          <w:szCs w:val="28"/>
        </w:rPr>
        <w:t xml:space="preserve">funkcionēšanu, laikā no 2011. </w:t>
      </w:r>
      <w:r w:rsidR="003537F1" w:rsidRPr="003F2E00">
        <w:rPr>
          <w:rFonts w:cs="Times New Roman"/>
          <w:sz w:val="28"/>
          <w:szCs w:val="28"/>
        </w:rPr>
        <w:t>līdz</w:t>
      </w:r>
      <w:r w:rsidRPr="003F2E00">
        <w:rPr>
          <w:rFonts w:cs="Times New Roman"/>
          <w:sz w:val="28"/>
          <w:szCs w:val="28"/>
        </w:rPr>
        <w:t xml:space="preserve"> 2013. gadam bija jāiegādājas 35 jaunas specializētās ugunsdzēsības autocisternas. Līdz šim brīdim nepietiekamā finansējuma dēļ VMD ir iegādājies 28 jaunas </w:t>
      </w:r>
      <w:proofErr w:type="spellStart"/>
      <w:r w:rsidRPr="003F2E00">
        <w:rPr>
          <w:rFonts w:cs="Times New Roman"/>
          <w:i/>
          <w:sz w:val="28"/>
          <w:szCs w:val="28"/>
        </w:rPr>
        <w:t>Mercedes</w:t>
      </w:r>
      <w:proofErr w:type="spellEnd"/>
      <w:r w:rsidRPr="003F2E00">
        <w:rPr>
          <w:rFonts w:cs="Times New Roman"/>
          <w:i/>
          <w:sz w:val="28"/>
          <w:szCs w:val="28"/>
        </w:rPr>
        <w:t xml:space="preserve"> </w:t>
      </w:r>
      <w:proofErr w:type="spellStart"/>
      <w:r w:rsidRPr="003F2E00">
        <w:rPr>
          <w:rFonts w:cs="Times New Roman"/>
          <w:i/>
          <w:sz w:val="28"/>
          <w:szCs w:val="28"/>
        </w:rPr>
        <w:t>Benz</w:t>
      </w:r>
      <w:proofErr w:type="spellEnd"/>
      <w:r w:rsidRPr="003F2E00">
        <w:rPr>
          <w:rFonts w:cs="Times New Roman"/>
          <w:i/>
          <w:sz w:val="28"/>
          <w:szCs w:val="28"/>
        </w:rPr>
        <w:t xml:space="preserve"> </w:t>
      </w:r>
      <w:proofErr w:type="spellStart"/>
      <w:r w:rsidRPr="003F2E00">
        <w:rPr>
          <w:rFonts w:cs="Times New Roman"/>
          <w:i/>
          <w:sz w:val="28"/>
          <w:szCs w:val="28"/>
        </w:rPr>
        <w:t>Unimog</w:t>
      </w:r>
      <w:proofErr w:type="spellEnd"/>
      <w:r w:rsidRPr="003F2E00">
        <w:rPr>
          <w:rFonts w:cs="Times New Roman"/>
          <w:sz w:val="28"/>
          <w:szCs w:val="28"/>
        </w:rPr>
        <w:t xml:space="preserve"> specializētās meža ugunsdzēsības autocisternas. </w:t>
      </w:r>
      <w:r w:rsidRPr="003F2E00">
        <w:rPr>
          <w:rFonts w:cs="Times New Roman"/>
          <w:bCs/>
          <w:sz w:val="28"/>
          <w:szCs w:val="28"/>
        </w:rPr>
        <w:t xml:space="preserve">Daļa ugunsdzēsībā izmantojamo ēku ir nolietojušās un nav drošas, </w:t>
      </w:r>
      <w:r w:rsidR="003537F1" w:rsidRPr="003F2E00">
        <w:rPr>
          <w:rFonts w:cs="Times New Roman"/>
          <w:bCs/>
          <w:sz w:val="28"/>
          <w:szCs w:val="28"/>
        </w:rPr>
        <w:t>turklāt</w:t>
      </w:r>
      <w:r w:rsidRPr="003F2E00">
        <w:rPr>
          <w:rFonts w:cs="Times New Roman"/>
          <w:bCs/>
          <w:sz w:val="28"/>
          <w:szCs w:val="28"/>
        </w:rPr>
        <w:t xml:space="preserve"> neatbilst tām vajadzībām, kas nepieciešamas iegādāto moderno specializēto autocisternu uzturēšanai.</w:t>
      </w:r>
    </w:p>
    <w:p w:rsidR="00DE4064" w:rsidRPr="003F2E00" w:rsidRDefault="00C017AC" w:rsidP="00C017AC">
      <w:pPr>
        <w:pStyle w:val="Tekstastils"/>
        <w:rPr>
          <w:rFonts w:cs="Times New Roman"/>
          <w:sz w:val="28"/>
          <w:szCs w:val="28"/>
        </w:rPr>
      </w:pPr>
      <w:r w:rsidRPr="003F2E00">
        <w:rPr>
          <w:rFonts w:cs="Times New Roman"/>
          <w:sz w:val="28"/>
          <w:szCs w:val="28"/>
        </w:rPr>
        <w:t>2018.</w:t>
      </w:r>
      <w:r w:rsidR="003537F1" w:rsidRPr="003F2E00">
        <w:rPr>
          <w:rFonts w:cs="Times New Roman"/>
          <w:sz w:val="28"/>
          <w:szCs w:val="28"/>
        </w:rPr>
        <w:t> </w:t>
      </w:r>
      <w:r w:rsidRPr="003F2E00">
        <w:rPr>
          <w:rFonts w:cs="Times New Roman"/>
          <w:sz w:val="28"/>
          <w:szCs w:val="28"/>
        </w:rPr>
        <w:t xml:space="preserve">gadā ir </w:t>
      </w:r>
      <w:r w:rsidR="003537F1" w:rsidRPr="003F2E00">
        <w:rPr>
          <w:rFonts w:cs="Times New Roman"/>
          <w:sz w:val="28"/>
          <w:szCs w:val="28"/>
        </w:rPr>
        <w:t>nomainīti</w:t>
      </w:r>
      <w:r w:rsidRPr="003F2E00">
        <w:rPr>
          <w:rFonts w:cs="Times New Roman"/>
          <w:sz w:val="28"/>
          <w:szCs w:val="28"/>
        </w:rPr>
        <w:t xml:space="preserve"> 2006. gadā iegādāt</w:t>
      </w:r>
      <w:r w:rsidR="003537F1" w:rsidRPr="003F2E00">
        <w:rPr>
          <w:rFonts w:cs="Times New Roman"/>
          <w:sz w:val="28"/>
          <w:szCs w:val="28"/>
        </w:rPr>
        <w:t>ie</w:t>
      </w:r>
      <w:r w:rsidRPr="003F2E00">
        <w:rPr>
          <w:rFonts w:cs="Times New Roman"/>
          <w:sz w:val="28"/>
          <w:szCs w:val="28"/>
        </w:rPr>
        <w:t xml:space="preserve"> kravas apvidus automobiļ</w:t>
      </w:r>
      <w:r w:rsidR="003537F1" w:rsidRPr="003F2E00">
        <w:rPr>
          <w:rFonts w:cs="Times New Roman"/>
          <w:sz w:val="28"/>
          <w:szCs w:val="28"/>
        </w:rPr>
        <w:t>i</w:t>
      </w:r>
      <w:r w:rsidRPr="003F2E00">
        <w:rPr>
          <w:rFonts w:cs="Times New Roman"/>
          <w:sz w:val="28"/>
          <w:szCs w:val="28"/>
        </w:rPr>
        <w:t>, k</w:t>
      </w:r>
      <w:r w:rsidR="003537F1" w:rsidRPr="003F2E00">
        <w:rPr>
          <w:rFonts w:cs="Times New Roman"/>
          <w:sz w:val="28"/>
          <w:szCs w:val="28"/>
        </w:rPr>
        <w:t>uri</w:t>
      </w:r>
      <w:r w:rsidRPr="003F2E00">
        <w:rPr>
          <w:rFonts w:cs="Times New Roman"/>
          <w:sz w:val="28"/>
          <w:szCs w:val="28"/>
        </w:rPr>
        <w:t xml:space="preserve"> speciāli aprīkoti meža ugunsdzēsības profilaktiskās uzraudzības un operatīvās ugunsgrēku ierobežošanas vajadzībām un kurus ikdienā izmanto ar meža ugunsdzēsību saistītie VMD darbinieki. 2018.</w:t>
      </w:r>
      <w:r w:rsidR="00582207" w:rsidRPr="003F2E00">
        <w:rPr>
          <w:rFonts w:cs="Times New Roman"/>
          <w:sz w:val="28"/>
          <w:szCs w:val="28"/>
        </w:rPr>
        <w:t> </w:t>
      </w:r>
      <w:r w:rsidRPr="003F2E00">
        <w:rPr>
          <w:rFonts w:cs="Times New Roman"/>
          <w:sz w:val="28"/>
          <w:szCs w:val="28"/>
        </w:rPr>
        <w:t>gada lielākajos ugunsgrēkos gūtā pieredze apliecina to, ka VMD rīcībā esošais tehniskais nodrošinājums purvu un pārmitru teritoriju ugunsgrēku operatīvai atklāšanai un dzēšanai ir nepietiek</w:t>
      </w:r>
      <w:r w:rsidR="00582207" w:rsidRPr="003F2E00">
        <w:rPr>
          <w:rFonts w:cs="Times New Roman"/>
          <w:sz w:val="28"/>
          <w:szCs w:val="28"/>
        </w:rPr>
        <w:t>am</w:t>
      </w:r>
      <w:r w:rsidRPr="003F2E00">
        <w:rPr>
          <w:rFonts w:cs="Times New Roman"/>
          <w:sz w:val="28"/>
          <w:szCs w:val="28"/>
        </w:rPr>
        <w:t>s. Trešo personu sniegtais tehniskais atbalsts (</w:t>
      </w:r>
      <w:r w:rsidR="00B73209" w:rsidRPr="003F2E00">
        <w:rPr>
          <w:rFonts w:cs="Times New Roman"/>
          <w:sz w:val="28"/>
          <w:szCs w:val="28"/>
        </w:rPr>
        <w:t>kvadricikli</w:t>
      </w:r>
      <w:r w:rsidRPr="003F2E00">
        <w:rPr>
          <w:rFonts w:cs="Times New Roman"/>
          <w:sz w:val="28"/>
          <w:szCs w:val="28"/>
        </w:rPr>
        <w:t>, visurgājēji utt.) ugunsgrēka vietas operatīv</w:t>
      </w:r>
      <w:r w:rsidR="00582207" w:rsidRPr="003F2E00">
        <w:rPr>
          <w:rFonts w:cs="Times New Roman"/>
          <w:sz w:val="28"/>
          <w:szCs w:val="28"/>
        </w:rPr>
        <w:t>ai</w:t>
      </w:r>
      <w:r w:rsidRPr="003F2E00">
        <w:rPr>
          <w:rFonts w:cs="Times New Roman"/>
          <w:sz w:val="28"/>
          <w:szCs w:val="28"/>
        </w:rPr>
        <w:t xml:space="preserve"> ierobežošan</w:t>
      </w:r>
      <w:r w:rsidR="00582207" w:rsidRPr="003F2E00">
        <w:rPr>
          <w:rFonts w:cs="Times New Roman"/>
          <w:sz w:val="28"/>
          <w:szCs w:val="28"/>
        </w:rPr>
        <w:t>ai</w:t>
      </w:r>
      <w:r w:rsidRPr="003F2E00">
        <w:rPr>
          <w:rFonts w:cs="Times New Roman"/>
          <w:sz w:val="28"/>
          <w:szCs w:val="28"/>
        </w:rPr>
        <w:t>, ūdens šļūteņu pārvietošan</w:t>
      </w:r>
      <w:r w:rsidR="00582207" w:rsidRPr="003F2E00">
        <w:rPr>
          <w:rFonts w:cs="Times New Roman"/>
          <w:sz w:val="28"/>
          <w:szCs w:val="28"/>
        </w:rPr>
        <w:t>ai</w:t>
      </w:r>
      <w:r w:rsidRPr="003F2E00">
        <w:rPr>
          <w:rFonts w:cs="Times New Roman"/>
          <w:sz w:val="28"/>
          <w:szCs w:val="28"/>
        </w:rPr>
        <w:t xml:space="preserve"> bezceļu apstākļos</w:t>
      </w:r>
      <w:r w:rsidR="00582207" w:rsidRPr="003F2E00">
        <w:rPr>
          <w:rFonts w:cs="Times New Roman"/>
          <w:sz w:val="28"/>
          <w:szCs w:val="28"/>
        </w:rPr>
        <w:t xml:space="preserve"> un</w:t>
      </w:r>
      <w:r w:rsidRPr="003F2E00">
        <w:rPr>
          <w:rFonts w:cs="Times New Roman"/>
          <w:sz w:val="28"/>
          <w:szCs w:val="28"/>
        </w:rPr>
        <w:t xml:space="preserve"> pārtikas pievešanai ugunsdzēsējiem mežā bija neatsverams atbalsts ugunsgrēka likvidācijā un ugunsdzēsēju darba nodrošināšanā. Ir nepieciešama kvadriciklu iegāde, lai efektīvāk varētu nodrošināt meža ugunsgrēku vietas apsekošanu, </w:t>
      </w:r>
      <w:r w:rsidR="00DA4319" w:rsidRPr="003F2E00">
        <w:rPr>
          <w:rFonts w:cs="Times New Roman"/>
          <w:sz w:val="28"/>
          <w:szCs w:val="28"/>
        </w:rPr>
        <w:t xml:space="preserve">ūdens </w:t>
      </w:r>
      <w:r w:rsidRPr="003F2E00">
        <w:rPr>
          <w:rFonts w:cs="Times New Roman"/>
          <w:sz w:val="28"/>
          <w:szCs w:val="28"/>
        </w:rPr>
        <w:t>līniju izvilkšanu, ēdiena piegādi vietās</w:t>
      </w:r>
      <w:r w:rsidR="00582207" w:rsidRPr="003F2E00">
        <w:rPr>
          <w:rFonts w:cs="Times New Roman"/>
          <w:sz w:val="28"/>
          <w:szCs w:val="28"/>
        </w:rPr>
        <w:t>,</w:t>
      </w:r>
      <w:r w:rsidRPr="003F2E00">
        <w:rPr>
          <w:rFonts w:cs="Times New Roman"/>
          <w:sz w:val="28"/>
          <w:szCs w:val="28"/>
        </w:rPr>
        <w:t xml:space="preserve"> kur ar citu tehniku nav iespējams piekļūt. Jā</w:t>
      </w:r>
      <w:r w:rsidR="00582207" w:rsidRPr="003F2E00">
        <w:rPr>
          <w:rFonts w:cs="Times New Roman"/>
          <w:sz w:val="28"/>
          <w:szCs w:val="28"/>
        </w:rPr>
        <w:t>iegādājas</w:t>
      </w:r>
      <w:r w:rsidRPr="003F2E00">
        <w:rPr>
          <w:rFonts w:cs="Times New Roman"/>
          <w:sz w:val="28"/>
          <w:szCs w:val="28"/>
        </w:rPr>
        <w:t xml:space="preserve"> </w:t>
      </w:r>
      <w:r w:rsidR="007A2AAF" w:rsidRPr="003F2E00">
        <w:rPr>
          <w:rFonts w:cs="Times New Roman"/>
          <w:sz w:val="28"/>
          <w:szCs w:val="28"/>
        </w:rPr>
        <w:t>bezpilota lidaparāt</w:t>
      </w:r>
      <w:r w:rsidR="00582207" w:rsidRPr="003F2E00">
        <w:rPr>
          <w:rFonts w:cs="Times New Roman"/>
          <w:sz w:val="28"/>
          <w:szCs w:val="28"/>
        </w:rPr>
        <w:t>i</w:t>
      </w:r>
      <w:r w:rsidR="007A2AAF" w:rsidRPr="003F2E00">
        <w:rPr>
          <w:rFonts w:cs="Times New Roman"/>
          <w:sz w:val="28"/>
          <w:szCs w:val="28"/>
        </w:rPr>
        <w:t xml:space="preserve"> jeb </w:t>
      </w:r>
      <w:r w:rsidRPr="003F2E00">
        <w:rPr>
          <w:rFonts w:cs="Times New Roman"/>
          <w:sz w:val="28"/>
          <w:szCs w:val="28"/>
        </w:rPr>
        <w:t>dron</w:t>
      </w:r>
      <w:r w:rsidR="00582207" w:rsidRPr="003F2E00">
        <w:rPr>
          <w:rFonts w:cs="Times New Roman"/>
          <w:sz w:val="28"/>
          <w:szCs w:val="28"/>
        </w:rPr>
        <w:t>i</w:t>
      </w:r>
      <w:r w:rsidRPr="003F2E00">
        <w:rPr>
          <w:rFonts w:cs="Times New Roman"/>
          <w:sz w:val="28"/>
          <w:szCs w:val="28"/>
        </w:rPr>
        <w:t xml:space="preserve">, lai </w:t>
      </w:r>
      <w:r w:rsidR="00CB50D3" w:rsidRPr="003F2E00">
        <w:rPr>
          <w:rFonts w:cs="Times New Roman"/>
          <w:sz w:val="28"/>
          <w:szCs w:val="28"/>
        </w:rPr>
        <w:t>operatīvāk</w:t>
      </w:r>
      <w:r w:rsidRPr="003F2E00">
        <w:rPr>
          <w:rFonts w:cs="Times New Roman"/>
          <w:sz w:val="28"/>
          <w:szCs w:val="28"/>
        </w:rPr>
        <w:t xml:space="preserve"> varētu iegūt informāciju </w:t>
      </w:r>
      <w:r w:rsidRPr="003F2E00">
        <w:rPr>
          <w:rFonts w:cs="Times New Roman"/>
          <w:sz w:val="28"/>
          <w:szCs w:val="28"/>
        </w:rPr>
        <w:lastRenderedPageBreak/>
        <w:t>par meža ugunsgrēku lielumu</w:t>
      </w:r>
      <w:r w:rsidR="00DA4319" w:rsidRPr="003F2E00">
        <w:rPr>
          <w:rFonts w:cs="Times New Roman"/>
          <w:sz w:val="28"/>
          <w:szCs w:val="28"/>
        </w:rPr>
        <w:t>,</w:t>
      </w:r>
      <w:r w:rsidRPr="003F2E00">
        <w:rPr>
          <w:rFonts w:cs="Times New Roman"/>
          <w:sz w:val="28"/>
          <w:szCs w:val="28"/>
        </w:rPr>
        <w:t xml:space="preserve"> attīstības gaitu, virzienu un ātrāk pieņemt lēmumus par efektīvāko rīcību.</w:t>
      </w:r>
    </w:p>
    <w:p w:rsidR="00F773F6" w:rsidRPr="003F2E00" w:rsidRDefault="00F773F6" w:rsidP="00F773F6">
      <w:pPr>
        <w:pStyle w:val="Mansatt"/>
        <w:jc w:val="right"/>
        <w:rPr>
          <w:rFonts w:ascii="Times New Roman" w:hAnsi="Times New Roman" w:cs="Times New Roman"/>
          <w:sz w:val="28"/>
          <w:szCs w:val="28"/>
        </w:rPr>
      </w:pP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STYLEREF 2 \s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0</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SEQ .tabula \* ARABIC \s 2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1</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00582207" w:rsidRPr="003F2E00">
        <w:rPr>
          <w:rFonts w:ascii="Times New Roman" w:hAnsi="Times New Roman" w:cs="Times New Roman"/>
          <w:sz w:val="28"/>
          <w:szCs w:val="28"/>
        </w:rPr>
        <w:t> </w:t>
      </w:r>
      <w:r w:rsidRPr="003F2E00">
        <w:rPr>
          <w:rFonts w:ascii="Times New Roman" w:hAnsi="Times New Roman" w:cs="Times New Roman"/>
          <w:sz w:val="28"/>
          <w:szCs w:val="28"/>
        </w:rPr>
        <w:t>tabula</w:t>
      </w:r>
    </w:p>
    <w:p w:rsidR="00F773F6" w:rsidRPr="003F2E00" w:rsidRDefault="00F773F6" w:rsidP="00213380">
      <w:pPr>
        <w:pStyle w:val="Mansatt"/>
        <w:rPr>
          <w:rFonts w:ascii="Times New Roman" w:hAnsi="Times New Roman" w:cs="Times New Roman"/>
          <w:sz w:val="28"/>
          <w:szCs w:val="28"/>
        </w:rPr>
      </w:pPr>
      <w:r w:rsidRPr="003F2E00">
        <w:rPr>
          <w:rFonts w:ascii="Times New Roman" w:hAnsi="Times New Roman" w:cs="Times New Roman"/>
          <w:sz w:val="28"/>
          <w:szCs w:val="28"/>
        </w:rPr>
        <w:t>VMD īpašumā esošās smagās ugunsdzēsības autocisternas sadalījumā pa reģistrācijas gadiem</w:t>
      </w:r>
    </w:p>
    <w:tbl>
      <w:tblPr>
        <w:tblW w:w="5000" w:type="pct"/>
        <w:tblBorders>
          <w:top w:val="single" w:sz="4" w:space="0" w:color="F1CBB5"/>
          <w:left w:val="single" w:sz="4" w:space="0" w:color="F1CBB5"/>
          <w:bottom w:val="single" w:sz="4" w:space="0" w:color="F1CBB5"/>
          <w:right w:val="single" w:sz="4" w:space="0" w:color="F1CBB5"/>
          <w:insideH w:val="single" w:sz="4" w:space="0" w:color="F1CBB5"/>
          <w:insideV w:val="single" w:sz="4" w:space="0" w:color="F1CBB5"/>
        </w:tblBorders>
        <w:tblCellMar>
          <w:left w:w="0" w:type="dxa"/>
          <w:right w:w="0" w:type="dxa"/>
        </w:tblCellMar>
        <w:tblLook w:val="0420" w:firstRow="1" w:lastRow="0" w:firstColumn="0" w:lastColumn="0" w:noHBand="0" w:noVBand="1"/>
      </w:tblPr>
      <w:tblGrid>
        <w:gridCol w:w="3195"/>
        <w:gridCol w:w="1304"/>
        <w:gridCol w:w="2092"/>
        <w:gridCol w:w="2094"/>
        <w:gridCol w:w="715"/>
      </w:tblGrid>
      <w:tr w:rsidR="00472BF8" w:rsidRPr="006023D0" w:rsidTr="00472BF8">
        <w:trPr>
          <w:tblHeader/>
        </w:trPr>
        <w:tc>
          <w:tcPr>
            <w:tcW w:w="1708" w:type="pct"/>
            <w:vMerge w:val="restart"/>
            <w:tcBorders>
              <w:top w:val="nil"/>
              <w:left w:val="nil"/>
            </w:tcBorders>
            <w:shd w:val="clear" w:color="auto" w:fill="auto"/>
            <w:vAlign w:val="center"/>
          </w:tcPr>
          <w:p w:rsidR="00472BF8" w:rsidRPr="00262F32" w:rsidRDefault="00472BF8" w:rsidP="00944AA9">
            <w:pPr>
              <w:rPr>
                <w:rFonts w:ascii="Times New Roman" w:eastAsia="Times New Roman" w:hAnsi="Times New Roman" w:cs="Times New Roman"/>
                <w:b/>
                <w:bCs/>
                <w:sz w:val="24"/>
                <w:szCs w:val="24"/>
                <w:lang w:val="lv-LV"/>
              </w:rPr>
            </w:pPr>
            <w:r w:rsidRPr="00262F32">
              <w:rPr>
                <w:rFonts w:ascii="Times New Roman" w:eastAsia="Times New Roman" w:hAnsi="Times New Roman" w:cs="Times New Roman"/>
                <w:b/>
                <w:bCs/>
                <w:sz w:val="24"/>
                <w:szCs w:val="24"/>
                <w:lang w:val="lv-LV"/>
              </w:rPr>
              <w:t>Marka/modelis</w:t>
            </w:r>
          </w:p>
        </w:tc>
        <w:tc>
          <w:tcPr>
            <w:tcW w:w="2944" w:type="pct"/>
            <w:gridSpan w:val="3"/>
            <w:tcBorders>
              <w:top w:val="nil"/>
              <w:bottom w:val="single" w:sz="12" w:space="0" w:color="EAB290"/>
            </w:tcBorders>
            <w:shd w:val="clear" w:color="auto" w:fill="auto"/>
            <w:vAlign w:val="center"/>
          </w:tcPr>
          <w:p w:rsidR="00472BF8" w:rsidRPr="00262F32" w:rsidRDefault="00472BF8" w:rsidP="00944AA9">
            <w:pPr>
              <w:pStyle w:val="Rightalign"/>
              <w:jc w:val="center"/>
              <w:rPr>
                <w:rFonts w:ascii="Times New Roman" w:hAnsi="Times New Roman" w:cs="Times New Roman"/>
                <w:b/>
                <w:bCs/>
                <w:sz w:val="24"/>
                <w:szCs w:val="24"/>
                <w:lang w:val="lv-LV"/>
              </w:rPr>
            </w:pPr>
            <w:r w:rsidRPr="00262F32">
              <w:rPr>
                <w:rFonts w:ascii="Times New Roman" w:eastAsia="Times New Roman" w:hAnsi="Times New Roman" w:cs="Times New Roman"/>
                <w:b/>
                <w:bCs/>
                <w:sz w:val="24"/>
                <w:szCs w:val="24"/>
                <w:lang w:val="lv-LV"/>
              </w:rPr>
              <w:t>Autocisternas reģistrācijas</w:t>
            </w:r>
            <w:r w:rsidRPr="00262F32">
              <w:rPr>
                <w:rFonts w:ascii="Times New Roman" w:eastAsia="Times New Roman" w:hAnsi="Times New Roman" w:cs="Times New Roman"/>
                <w:sz w:val="24"/>
                <w:szCs w:val="24"/>
                <w:lang w:val="lv-LV"/>
              </w:rPr>
              <w:t xml:space="preserve"> </w:t>
            </w:r>
            <w:r w:rsidRPr="00262F32">
              <w:rPr>
                <w:rFonts w:ascii="Times New Roman" w:eastAsia="Times New Roman" w:hAnsi="Times New Roman" w:cs="Times New Roman"/>
                <w:b/>
                <w:bCs/>
                <w:sz w:val="24"/>
                <w:szCs w:val="24"/>
                <w:lang w:val="lv-LV"/>
              </w:rPr>
              <w:t>gads</w:t>
            </w:r>
          </w:p>
        </w:tc>
        <w:tc>
          <w:tcPr>
            <w:tcW w:w="348" w:type="pct"/>
            <w:vMerge w:val="restart"/>
            <w:tcBorders>
              <w:top w:val="nil"/>
            </w:tcBorders>
          </w:tcPr>
          <w:p w:rsidR="00472BF8" w:rsidRPr="00262F32" w:rsidRDefault="00472BF8" w:rsidP="00944AA9">
            <w:pPr>
              <w:pStyle w:val="Rightalign"/>
              <w:jc w:val="center"/>
              <w:rPr>
                <w:rFonts w:ascii="Times New Roman" w:hAnsi="Times New Roman" w:cs="Times New Roman"/>
                <w:b/>
                <w:bCs/>
                <w:sz w:val="24"/>
                <w:szCs w:val="24"/>
                <w:lang w:val="lv-LV"/>
              </w:rPr>
            </w:pPr>
            <w:r w:rsidRPr="00262F32">
              <w:rPr>
                <w:rFonts w:ascii="Times New Roman" w:hAnsi="Times New Roman" w:cs="Times New Roman"/>
                <w:b/>
                <w:bCs/>
                <w:sz w:val="24"/>
                <w:szCs w:val="24"/>
                <w:lang w:val="lv-LV"/>
              </w:rPr>
              <w:t>Kopā</w:t>
            </w:r>
          </w:p>
        </w:tc>
      </w:tr>
      <w:tr w:rsidR="00472BF8" w:rsidRPr="006023D0" w:rsidTr="00472BF8">
        <w:trPr>
          <w:tblHeader/>
        </w:trPr>
        <w:tc>
          <w:tcPr>
            <w:tcW w:w="1708" w:type="pct"/>
            <w:vMerge/>
            <w:tcBorders>
              <w:left w:val="nil"/>
              <w:bottom w:val="single" w:sz="12" w:space="0" w:color="EAB290"/>
            </w:tcBorders>
            <w:shd w:val="clear" w:color="auto" w:fill="auto"/>
            <w:vAlign w:val="bottom"/>
          </w:tcPr>
          <w:p w:rsidR="00472BF8" w:rsidRPr="00262F32" w:rsidRDefault="00472BF8" w:rsidP="00944AA9">
            <w:pPr>
              <w:rPr>
                <w:rFonts w:ascii="Times New Roman" w:eastAsia="Times New Roman" w:hAnsi="Times New Roman" w:cs="Times New Roman"/>
                <w:b/>
                <w:bCs/>
                <w:sz w:val="24"/>
                <w:szCs w:val="24"/>
                <w:lang w:val="lv-LV"/>
              </w:rPr>
            </w:pPr>
          </w:p>
        </w:tc>
        <w:tc>
          <w:tcPr>
            <w:tcW w:w="702" w:type="pct"/>
            <w:tcBorders>
              <w:top w:val="nil"/>
              <w:bottom w:val="single" w:sz="12" w:space="0" w:color="EAB290"/>
            </w:tcBorders>
            <w:shd w:val="clear" w:color="auto" w:fill="auto"/>
            <w:vAlign w:val="center"/>
          </w:tcPr>
          <w:p w:rsidR="00472BF8" w:rsidRPr="00262F32" w:rsidRDefault="00472BF8" w:rsidP="00DB789A">
            <w:pPr>
              <w:jc w:val="center"/>
              <w:rPr>
                <w:rFonts w:ascii="Times New Roman" w:eastAsia="Times New Roman" w:hAnsi="Times New Roman" w:cs="Times New Roman"/>
                <w:b/>
                <w:bCs/>
                <w:sz w:val="24"/>
                <w:szCs w:val="24"/>
                <w:lang w:val="lv-LV"/>
              </w:rPr>
            </w:pPr>
            <w:r w:rsidRPr="00262F32">
              <w:rPr>
                <w:rFonts w:ascii="Times New Roman" w:eastAsia="Times New Roman" w:hAnsi="Times New Roman" w:cs="Times New Roman"/>
                <w:b/>
                <w:bCs/>
                <w:sz w:val="24"/>
                <w:szCs w:val="24"/>
                <w:lang w:val="lv-LV"/>
              </w:rPr>
              <w:t>&lt; 2000</w:t>
            </w:r>
            <w:r w:rsidR="00582207" w:rsidRPr="00262F32">
              <w:rPr>
                <w:rFonts w:ascii="Times New Roman" w:eastAsia="Times New Roman" w:hAnsi="Times New Roman" w:cs="Times New Roman"/>
                <w:b/>
                <w:bCs/>
                <w:sz w:val="24"/>
                <w:szCs w:val="24"/>
                <w:lang w:val="lv-LV"/>
              </w:rPr>
              <w:t>.</w:t>
            </w:r>
          </w:p>
        </w:tc>
        <w:tc>
          <w:tcPr>
            <w:tcW w:w="1121" w:type="pct"/>
            <w:tcBorders>
              <w:top w:val="nil"/>
              <w:bottom w:val="single" w:sz="12" w:space="0" w:color="EAB290"/>
            </w:tcBorders>
            <w:shd w:val="clear" w:color="auto" w:fill="auto"/>
            <w:vAlign w:val="center"/>
          </w:tcPr>
          <w:p w:rsidR="00472BF8" w:rsidRPr="00262F32" w:rsidRDefault="00472BF8" w:rsidP="00944AA9">
            <w:pPr>
              <w:pStyle w:val="Rightalign"/>
              <w:jc w:val="center"/>
              <w:rPr>
                <w:rFonts w:ascii="Times New Roman" w:hAnsi="Times New Roman" w:cs="Times New Roman"/>
                <w:b/>
                <w:bCs/>
                <w:sz w:val="24"/>
                <w:szCs w:val="24"/>
                <w:lang w:val="lv-LV"/>
              </w:rPr>
            </w:pPr>
            <w:r w:rsidRPr="00262F32">
              <w:rPr>
                <w:rFonts w:ascii="Times New Roman" w:hAnsi="Times New Roman" w:cs="Times New Roman"/>
                <w:b/>
                <w:bCs/>
                <w:sz w:val="24"/>
                <w:szCs w:val="24"/>
                <w:lang w:val="lv-LV"/>
              </w:rPr>
              <w:t>2000</w:t>
            </w:r>
            <w:r w:rsidR="00582207" w:rsidRPr="00262F32">
              <w:rPr>
                <w:rFonts w:ascii="Times New Roman" w:hAnsi="Times New Roman" w:cs="Times New Roman"/>
                <w:b/>
                <w:bCs/>
                <w:sz w:val="24"/>
                <w:szCs w:val="24"/>
                <w:lang w:val="lv-LV"/>
              </w:rPr>
              <w:t>.–</w:t>
            </w:r>
            <w:r w:rsidRPr="00262F32">
              <w:rPr>
                <w:rFonts w:ascii="Times New Roman" w:hAnsi="Times New Roman" w:cs="Times New Roman"/>
                <w:b/>
                <w:bCs/>
                <w:sz w:val="24"/>
                <w:szCs w:val="24"/>
                <w:lang w:val="lv-LV"/>
              </w:rPr>
              <w:t>2009</w:t>
            </w:r>
            <w:r w:rsidR="00582207" w:rsidRPr="00262F32">
              <w:rPr>
                <w:rFonts w:ascii="Times New Roman" w:hAnsi="Times New Roman" w:cs="Times New Roman"/>
                <w:b/>
                <w:bCs/>
                <w:sz w:val="24"/>
                <w:szCs w:val="24"/>
                <w:lang w:val="lv-LV"/>
              </w:rPr>
              <w:t>.</w:t>
            </w:r>
          </w:p>
        </w:tc>
        <w:tc>
          <w:tcPr>
            <w:tcW w:w="1122" w:type="pct"/>
            <w:tcBorders>
              <w:top w:val="nil"/>
              <w:bottom w:val="single" w:sz="12" w:space="0" w:color="EAB290"/>
            </w:tcBorders>
          </w:tcPr>
          <w:p w:rsidR="00472BF8" w:rsidRPr="00262F32" w:rsidRDefault="00472BF8" w:rsidP="00944AA9">
            <w:pPr>
              <w:pStyle w:val="Rightalign"/>
              <w:jc w:val="center"/>
              <w:rPr>
                <w:rFonts w:ascii="Times New Roman" w:hAnsi="Times New Roman" w:cs="Times New Roman"/>
                <w:b/>
                <w:bCs/>
                <w:sz w:val="24"/>
                <w:szCs w:val="24"/>
                <w:lang w:val="lv-LV"/>
              </w:rPr>
            </w:pPr>
            <w:r w:rsidRPr="00262F32">
              <w:rPr>
                <w:rFonts w:ascii="Times New Roman" w:hAnsi="Times New Roman" w:cs="Times New Roman"/>
                <w:b/>
                <w:bCs/>
                <w:sz w:val="24"/>
                <w:szCs w:val="24"/>
                <w:lang w:val="lv-LV"/>
              </w:rPr>
              <w:t>2010</w:t>
            </w:r>
            <w:r w:rsidR="00582207" w:rsidRPr="00262F32">
              <w:rPr>
                <w:rFonts w:ascii="Times New Roman" w:hAnsi="Times New Roman" w:cs="Times New Roman"/>
                <w:b/>
                <w:bCs/>
                <w:sz w:val="24"/>
                <w:szCs w:val="24"/>
                <w:lang w:val="lv-LV"/>
              </w:rPr>
              <w:t>.–</w:t>
            </w:r>
            <w:r w:rsidRPr="00262F32">
              <w:rPr>
                <w:rFonts w:ascii="Times New Roman" w:hAnsi="Times New Roman" w:cs="Times New Roman"/>
                <w:b/>
                <w:bCs/>
                <w:sz w:val="24"/>
                <w:szCs w:val="24"/>
                <w:lang w:val="lv-LV"/>
              </w:rPr>
              <w:t>2019</w:t>
            </w:r>
            <w:r w:rsidR="00582207" w:rsidRPr="00262F32">
              <w:rPr>
                <w:rFonts w:ascii="Times New Roman" w:hAnsi="Times New Roman" w:cs="Times New Roman"/>
                <w:b/>
                <w:bCs/>
                <w:sz w:val="24"/>
                <w:szCs w:val="24"/>
                <w:lang w:val="lv-LV"/>
              </w:rPr>
              <w:t>.</w:t>
            </w:r>
          </w:p>
        </w:tc>
        <w:tc>
          <w:tcPr>
            <w:tcW w:w="348" w:type="pct"/>
            <w:vMerge/>
            <w:tcBorders>
              <w:bottom w:val="single" w:sz="12" w:space="0" w:color="EAB290"/>
            </w:tcBorders>
          </w:tcPr>
          <w:p w:rsidR="00472BF8" w:rsidRPr="00262F32" w:rsidRDefault="00472BF8" w:rsidP="00944AA9">
            <w:pPr>
              <w:pStyle w:val="Rightalign"/>
              <w:jc w:val="center"/>
              <w:rPr>
                <w:rFonts w:ascii="Times New Roman" w:hAnsi="Times New Roman" w:cs="Times New Roman"/>
                <w:b/>
                <w:bCs/>
                <w:sz w:val="24"/>
                <w:szCs w:val="24"/>
                <w:lang w:val="lv-LV"/>
              </w:rPr>
            </w:pP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GAZ 3308</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7</w:t>
            </w: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7</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GAZ 5312</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GAZ 66</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r w:rsidR="00075269" w:rsidRPr="00262F32">
              <w:rPr>
                <w:rFonts w:ascii="Times New Roman" w:hAnsi="Times New Roman" w:cs="Times New Roman"/>
                <w:sz w:val="24"/>
                <w:szCs w:val="24"/>
              </w:rPr>
              <w:t>3</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23</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 xml:space="preserve">Iveco </w:t>
            </w:r>
            <w:proofErr w:type="spellStart"/>
            <w:r w:rsidRPr="00262F32">
              <w:rPr>
                <w:rFonts w:ascii="Times New Roman" w:hAnsi="Times New Roman" w:cs="Times New Roman"/>
                <w:sz w:val="24"/>
                <w:szCs w:val="24"/>
              </w:rPr>
              <w:t>Unic</w:t>
            </w:r>
            <w:proofErr w:type="spellEnd"/>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proofErr w:type="spellStart"/>
            <w:r w:rsidRPr="00262F32">
              <w:rPr>
                <w:rFonts w:ascii="Times New Roman" w:hAnsi="Times New Roman" w:cs="Times New Roman"/>
                <w:sz w:val="24"/>
                <w:szCs w:val="24"/>
              </w:rPr>
              <w:t>Kamaz</w:t>
            </w:r>
            <w:proofErr w:type="spellEnd"/>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MB Unimog 416</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MB Unimog C250</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MB Unimog U4000</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17</w:t>
            </w: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17</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MB Unimog U4023</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11</w:t>
            </w: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11</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proofErr w:type="spellStart"/>
            <w:r w:rsidRPr="00262F32">
              <w:rPr>
                <w:rFonts w:ascii="Times New Roman" w:hAnsi="Times New Roman" w:cs="Times New Roman"/>
                <w:sz w:val="24"/>
                <w:szCs w:val="24"/>
              </w:rPr>
              <w:t>Pinzgauer</w:t>
            </w:r>
            <w:proofErr w:type="spellEnd"/>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T-150</w:t>
            </w:r>
            <w:r w:rsidR="00CC7171" w:rsidRPr="00262F32">
              <w:rPr>
                <w:rFonts w:ascii="Times New Roman" w:hAnsi="Times New Roman" w:cs="Times New Roman"/>
                <w:sz w:val="24"/>
                <w:szCs w:val="24"/>
              </w:rPr>
              <w:t xml:space="preserve"> (</w:t>
            </w:r>
            <w:proofErr w:type="spellStart"/>
            <w:r w:rsidR="00CC7171" w:rsidRPr="00262F32">
              <w:rPr>
                <w:rFonts w:ascii="Times New Roman" w:hAnsi="Times New Roman" w:cs="Times New Roman"/>
                <w:sz w:val="24"/>
                <w:szCs w:val="24"/>
              </w:rPr>
              <w:t>traktori</w:t>
            </w:r>
            <w:proofErr w:type="spellEnd"/>
            <w:r w:rsidR="00CC7171" w:rsidRPr="00262F32">
              <w:rPr>
                <w:rFonts w:ascii="Times New Roman" w:hAnsi="Times New Roman" w:cs="Times New Roman"/>
                <w:sz w:val="24"/>
                <w:szCs w:val="24"/>
              </w:rPr>
              <w:t>)</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2</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ZIL 130</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5</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5</w:t>
            </w:r>
          </w:p>
        </w:tc>
      </w:tr>
      <w:tr w:rsidR="00C86A92" w:rsidRPr="00944AA9" w:rsidTr="00472BF8">
        <w:tc>
          <w:tcPr>
            <w:tcW w:w="1708" w:type="pct"/>
            <w:tcBorders>
              <w:left w:val="nil"/>
            </w:tcBorders>
            <w:shd w:val="clear" w:color="auto" w:fill="auto"/>
          </w:tcPr>
          <w:p w:rsidR="00C86A92" w:rsidRPr="00262F32" w:rsidRDefault="00C86A92" w:rsidP="00C86A92">
            <w:pPr>
              <w:rPr>
                <w:rFonts w:ascii="Times New Roman" w:hAnsi="Times New Roman" w:cs="Times New Roman"/>
                <w:sz w:val="24"/>
                <w:szCs w:val="24"/>
              </w:rPr>
            </w:pPr>
            <w:r w:rsidRPr="00262F32">
              <w:rPr>
                <w:rFonts w:ascii="Times New Roman" w:hAnsi="Times New Roman" w:cs="Times New Roman"/>
                <w:sz w:val="24"/>
                <w:szCs w:val="24"/>
              </w:rPr>
              <w:t>ZIL 131</w:t>
            </w:r>
          </w:p>
        </w:tc>
        <w:tc>
          <w:tcPr>
            <w:tcW w:w="702" w:type="pct"/>
            <w:shd w:val="clear" w:color="auto" w:fill="auto"/>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c>
          <w:tcPr>
            <w:tcW w:w="1121" w:type="pct"/>
            <w:shd w:val="clear" w:color="auto" w:fill="auto"/>
            <w:vAlign w:val="center"/>
          </w:tcPr>
          <w:p w:rsidR="00C86A92" w:rsidRPr="00262F32" w:rsidRDefault="00C86A92" w:rsidP="00472BF8">
            <w:pPr>
              <w:jc w:val="center"/>
              <w:rPr>
                <w:rFonts w:ascii="Times New Roman" w:hAnsi="Times New Roman" w:cs="Times New Roman"/>
                <w:sz w:val="24"/>
                <w:szCs w:val="24"/>
              </w:rPr>
            </w:pPr>
          </w:p>
        </w:tc>
        <w:tc>
          <w:tcPr>
            <w:tcW w:w="1122" w:type="pct"/>
            <w:vAlign w:val="center"/>
          </w:tcPr>
          <w:p w:rsidR="00C86A92" w:rsidRPr="00262F32" w:rsidRDefault="00C86A92" w:rsidP="00472BF8">
            <w:pPr>
              <w:jc w:val="center"/>
              <w:rPr>
                <w:rFonts w:ascii="Times New Roman" w:hAnsi="Times New Roman" w:cs="Times New Roman"/>
                <w:sz w:val="24"/>
                <w:szCs w:val="24"/>
              </w:rPr>
            </w:pPr>
          </w:p>
        </w:tc>
        <w:tc>
          <w:tcPr>
            <w:tcW w:w="348" w:type="pct"/>
            <w:vAlign w:val="center"/>
          </w:tcPr>
          <w:p w:rsidR="00C86A92" w:rsidRPr="00262F32" w:rsidRDefault="00C86A92" w:rsidP="00472BF8">
            <w:pPr>
              <w:jc w:val="center"/>
              <w:rPr>
                <w:rFonts w:ascii="Times New Roman" w:hAnsi="Times New Roman" w:cs="Times New Roman"/>
                <w:sz w:val="24"/>
                <w:szCs w:val="24"/>
              </w:rPr>
            </w:pPr>
            <w:r w:rsidRPr="00262F32">
              <w:rPr>
                <w:rFonts w:ascii="Times New Roman" w:hAnsi="Times New Roman" w:cs="Times New Roman"/>
                <w:sz w:val="24"/>
                <w:szCs w:val="24"/>
              </w:rPr>
              <w:t>1</w:t>
            </w:r>
          </w:p>
        </w:tc>
      </w:tr>
      <w:tr w:rsidR="00C86A92" w:rsidRPr="00472BF8" w:rsidTr="00472BF8">
        <w:tc>
          <w:tcPr>
            <w:tcW w:w="1708" w:type="pct"/>
            <w:tcBorders>
              <w:left w:val="nil"/>
            </w:tcBorders>
            <w:shd w:val="clear" w:color="auto" w:fill="auto"/>
          </w:tcPr>
          <w:p w:rsidR="00C86A92" w:rsidRPr="00262F32" w:rsidRDefault="00472BF8" w:rsidP="00C86A92">
            <w:pPr>
              <w:rPr>
                <w:rFonts w:ascii="Times New Roman" w:hAnsi="Times New Roman" w:cs="Times New Roman"/>
                <w:b/>
                <w:sz w:val="24"/>
                <w:szCs w:val="24"/>
              </w:rPr>
            </w:pPr>
            <w:proofErr w:type="spellStart"/>
            <w:r w:rsidRPr="00262F32">
              <w:rPr>
                <w:rFonts w:ascii="Times New Roman" w:hAnsi="Times New Roman" w:cs="Times New Roman"/>
                <w:b/>
                <w:sz w:val="24"/>
                <w:szCs w:val="24"/>
              </w:rPr>
              <w:t>Kopā</w:t>
            </w:r>
            <w:proofErr w:type="spellEnd"/>
            <w:r w:rsidRPr="00262F32">
              <w:rPr>
                <w:rFonts w:ascii="Times New Roman" w:hAnsi="Times New Roman" w:cs="Times New Roman"/>
                <w:b/>
                <w:sz w:val="24"/>
                <w:szCs w:val="24"/>
              </w:rPr>
              <w:t>:</w:t>
            </w:r>
          </w:p>
        </w:tc>
        <w:tc>
          <w:tcPr>
            <w:tcW w:w="702" w:type="pct"/>
            <w:shd w:val="clear" w:color="auto" w:fill="auto"/>
            <w:vAlign w:val="center"/>
          </w:tcPr>
          <w:p w:rsidR="00C86A92" w:rsidRPr="00262F32" w:rsidRDefault="00075269" w:rsidP="00075269">
            <w:pPr>
              <w:jc w:val="center"/>
              <w:rPr>
                <w:rFonts w:ascii="Times New Roman" w:hAnsi="Times New Roman" w:cs="Times New Roman"/>
                <w:b/>
                <w:sz w:val="24"/>
                <w:szCs w:val="24"/>
              </w:rPr>
            </w:pPr>
            <w:r w:rsidRPr="00262F32">
              <w:rPr>
                <w:rFonts w:ascii="Times New Roman" w:hAnsi="Times New Roman" w:cs="Times New Roman"/>
                <w:b/>
                <w:sz w:val="24"/>
                <w:szCs w:val="24"/>
              </w:rPr>
              <w:t>38</w:t>
            </w:r>
          </w:p>
        </w:tc>
        <w:tc>
          <w:tcPr>
            <w:tcW w:w="1121" w:type="pct"/>
            <w:shd w:val="clear" w:color="auto" w:fill="auto"/>
            <w:vAlign w:val="center"/>
          </w:tcPr>
          <w:p w:rsidR="00C86A92" w:rsidRPr="00262F32" w:rsidRDefault="00075269" w:rsidP="00472BF8">
            <w:pPr>
              <w:jc w:val="center"/>
              <w:rPr>
                <w:rFonts w:ascii="Times New Roman" w:hAnsi="Times New Roman" w:cs="Times New Roman"/>
                <w:b/>
                <w:sz w:val="24"/>
                <w:szCs w:val="24"/>
              </w:rPr>
            </w:pPr>
            <w:r w:rsidRPr="00262F32">
              <w:rPr>
                <w:rFonts w:ascii="Times New Roman" w:hAnsi="Times New Roman" w:cs="Times New Roman"/>
                <w:b/>
                <w:sz w:val="24"/>
                <w:szCs w:val="24"/>
              </w:rPr>
              <w:t>8</w:t>
            </w:r>
          </w:p>
        </w:tc>
        <w:tc>
          <w:tcPr>
            <w:tcW w:w="1122" w:type="pct"/>
            <w:vAlign w:val="center"/>
          </w:tcPr>
          <w:p w:rsidR="00C86A92" w:rsidRPr="00262F32" w:rsidRDefault="00C86A92" w:rsidP="00472BF8">
            <w:pPr>
              <w:jc w:val="center"/>
              <w:rPr>
                <w:rFonts w:ascii="Times New Roman" w:hAnsi="Times New Roman" w:cs="Times New Roman"/>
                <w:b/>
                <w:sz w:val="24"/>
                <w:szCs w:val="24"/>
              </w:rPr>
            </w:pPr>
            <w:r w:rsidRPr="00262F32">
              <w:rPr>
                <w:rFonts w:ascii="Times New Roman" w:hAnsi="Times New Roman" w:cs="Times New Roman"/>
                <w:b/>
                <w:sz w:val="24"/>
                <w:szCs w:val="24"/>
              </w:rPr>
              <w:t>28</w:t>
            </w:r>
          </w:p>
        </w:tc>
        <w:tc>
          <w:tcPr>
            <w:tcW w:w="348" w:type="pct"/>
            <w:vAlign w:val="center"/>
          </w:tcPr>
          <w:p w:rsidR="00C86A92" w:rsidRPr="00262F32" w:rsidRDefault="00C86A92" w:rsidP="00472BF8">
            <w:pPr>
              <w:jc w:val="center"/>
              <w:rPr>
                <w:rFonts w:ascii="Times New Roman" w:hAnsi="Times New Roman" w:cs="Times New Roman"/>
                <w:b/>
                <w:sz w:val="24"/>
                <w:szCs w:val="24"/>
              </w:rPr>
            </w:pPr>
            <w:r w:rsidRPr="00262F32">
              <w:rPr>
                <w:rFonts w:ascii="Times New Roman" w:hAnsi="Times New Roman" w:cs="Times New Roman"/>
                <w:b/>
                <w:sz w:val="24"/>
                <w:szCs w:val="24"/>
              </w:rPr>
              <w:t>74</w:t>
            </w:r>
          </w:p>
        </w:tc>
      </w:tr>
    </w:tbl>
    <w:p w:rsidR="00F773F6" w:rsidRPr="00DE053A" w:rsidRDefault="00F773F6" w:rsidP="00DE053A">
      <w:pPr>
        <w:pStyle w:val="heading2"/>
        <w:numPr>
          <w:ilvl w:val="1"/>
          <w:numId w:val="7"/>
        </w:numPr>
        <w:rPr>
          <w:rFonts w:ascii="Times New Roman" w:hAnsi="Times New Roman" w:cs="Times New Roman"/>
          <w:szCs w:val="28"/>
        </w:rPr>
      </w:pPr>
      <w:bookmarkStart w:id="18" w:name="_Toc524596699"/>
      <w:bookmarkStart w:id="19" w:name="_Toc524598906"/>
      <w:bookmarkStart w:id="20" w:name="_Toc5911200"/>
      <w:r w:rsidRPr="00DE053A">
        <w:rPr>
          <w:rFonts w:ascii="Times New Roman" w:hAnsi="Times New Roman" w:cs="Times New Roman"/>
          <w:szCs w:val="28"/>
        </w:rPr>
        <w:t>Uguns</w:t>
      </w:r>
      <w:r w:rsidR="005D04CB" w:rsidRPr="00DE053A">
        <w:rPr>
          <w:rFonts w:ascii="Times New Roman" w:hAnsi="Times New Roman" w:cs="Times New Roman"/>
          <w:szCs w:val="28"/>
        </w:rPr>
        <w:t xml:space="preserve"> </w:t>
      </w:r>
      <w:r w:rsidRPr="00DE053A">
        <w:rPr>
          <w:rFonts w:ascii="Times New Roman" w:hAnsi="Times New Roman" w:cs="Times New Roman"/>
          <w:szCs w:val="28"/>
        </w:rPr>
        <w:t>novērošanas torņi</w:t>
      </w:r>
      <w:bookmarkEnd w:id="18"/>
      <w:bookmarkEnd w:id="19"/>
      <w:bookmarkEnd w:id="20"/>
    </w:p>
    <w:p w:rsidR="00F773F6" w:rsidRPr="003F2E00" w:rsidRDefault="00F773F6" w:rsidP="00F773F6">
      <w:pPr>
        <w:pStyle w:val="Tekstastils"/>
        <w:rPr>
          <w:sz w:val="28"/>
          <w:szCs w:val="28"/>
        </w:rPr>
      </w:pPr>
      <w:r w:rsidRPr="003F2E00">
        <w:rPr>
          <w:sz w:val="28"/>
          <w:szCs w:val="28"/>
        </w:rPr>
        <w:t xml:space="preserve">Meža ugunsgrēku radīto ekonomisko, sociālo un ekoloģisko seku mazināšanā būtiska ir savlaicīga meža ugunsgrēka vietas atklāšana. Meža ugunsgrēku atklāšanā būtiska nozīme ir </w:t>
      </w:r>
      <w:r w:rsidR="00F44219" w:rsidRPr="003F2E00">
        <w:rPr>
          <w:sz w:val="28"/>
          <w:szCs w:val="28"/>
        </w:rPr>
        <w:t>uguns</w:t>
      </w:r>
      <w:r w:rsidR="00CB50D3" w:rsidRPr="003F2E00">
        <w:rPr>
          <w:sz w:val="28"/>
          <w:szCs w:val="28"/>
        </w:rPr>
        <w:t xml:space="preserve"> </w:t>
      </w:r>
      <w:r w:rsidR="00F44219" w:rsidRPr="003F2E00">
        <w:rPr>
          <w:sz w:val="28"/>
          <w:szCs w:val="28"/>
        </w:rPr>
        <w:t>novērošanas torņu (turpmāk</w:t>
      </w:r>
      <w:r w:rsidR="00664FBB" w:rsidRPr="003F2E00">
        <w:rPr>
          <w:sz w:val="28"/>
          <w:szCs w:val="28"/>
        </w:rPr>
        <w:t xml:space="preserve"> –</w:t>
      </w:r>
      <w:r w:rsidR="00D732F0" w:rsidRPr="003F2E00">
        <w:rPr>
          <w:sz w:val="28"/>
          <w:szCs w:val="28"/>
        </w:rPr>
        <w:t xml:space="preserve"> </w:t>
      </w:r>
      <w:r w:rsidR="00F44219" w:rsidRPr="003F2E00">
        <w:rPr>
          <w:sz w:val="28"/>
          <w:szCs w:val="28"/>
        </w:rPr>
        <w:t>UNT)</w:t>
      </w:r>
      <w:r w:rsidRPr="003F2E00">
        <w:rPr>
          <w:sz w:val="28"/>
          <w:szCs w:val="28"/>
        </w:rPr>
        <w:t xml:space="preserve"> tīklam. Latvijā ugunsnedrošajā laikposmā torņos tiek nodarbināti torņu dežuranti. Darba apstākļi UNT karstā vai vējainā laikā ir smagi, jo torņa kabīnē ir paaugstināta temperatūra un tā ir pakļauta svārstībām, kuru amplitūda ir atkarīg</w:t>
      </w:r>
      <w:r w:rsidR="00582207" w:rsidRPr="003F2E00">
        <w:rPr>
          <w:sz w:val="28"/>
          <w:szCs w:val="28"/>
        </w:rPr>
        <w:t>a</w:t>
      </w:r>
      <w:r w:rsidRPr="003F2E00">
        <w:rPr>
          <w:sz w:val="28"/>
          <w:szCs w:val="28"/>
        </w:rPr>
        <w:t xml:space="preserve"> no torņa konstrukcijas un vēja stipruma. Smagie darba apstākļi un ierobežotā darbaspēka pieejamība mazapdzīvotos lauku apvidos apgrūtina darbaspēka piesaistīšanu sezonas darbam uguns</w:t>
      </w:r>
      <w:r w:rsidR="008620C5" w:rsidRPr="003F2E00">
        <w:rPr>
          <w:sz w:val="28"/>
          <w:szCs w:val="28"/>
        </w:rPr>
        <w:t xml:space="preserve"> </w:t>
      </w:r>
      <w:r w:rsidRPr="003F2E00">
        <w:rPr>
          <w:sz w:val="28"/>
          <w:szCs w:val="28"/>
        </w:rPr>
        <w:t>novērošanas torņos.</w:t>
      </w:r>
    </w:p>
    <w:p w:rsidR="00D732F0" w:rsidRPr="003F2E00" w:rsidRDefault="00247718" w:rsidP="000679DE">
      <w:pPr>
        <w:pStyle w:val="Tekstastils"/>
        <w:rPr>
          <w:sz w:val="28"/>
          <w:szCs w:val="28"/>
        </w:rPr>
      </w:pPr>
      <w:r w:rsidRPr="003F2E00">
        <w:rPr>
          <w:sz w:val="28"/>
          <w:szCs w:val="28"/>
        </w:rPr>
        <w:t>VMD rīcībā ir 181</w:t>
      </w:r>
      <w:r w:rsidR="00F773F6" w:rsidRPr="003F2E00">
        <w:rPr>
          <w:sz w:val="28"/>
          <w:szCs w:val="28"/>
        </w:rPr>
        <w:t xml:space="preserve"> UNT. VMD veic UNT rekonstrukciju atbilstoši </w:t>
      </w:r>
      <w:r w:rsidR="00D7023C" w:rsidRPr="003F2E00">
        <w:rPr>
          <w:sz w:val="28"/>
          <w:szCs w:val="28"/>
        </w:rPr>
        <w:t xml:space="preserve">pieejamajam finansējumam. </w:t>
      </w:r>
    </w:p>
    <w:p w:rsidR="00F773F6" w:rsidRPr="003F2E00" w:rsidRDefault="00D7023C" w:rsidP="000679DE">
      <w:pPr>
        <w:pStyle w:val="Tekstastils"/>
        <w:rPr>
          <w:sz w:val="28"/>
          <w:szCs w:val="28"/>
        </w:rPr>
      </w:pPr>
      <w:r w:rsidRPr="003F2E00">
        <w:rPr>
          <w:sz w:val="28"/>
          <w:szCs w:val="28"/>
        </w:rPr>
        <w:lastRenderedPageBreak/>
        <w:t xml:space="preserve"> </w:t>
      </w:r>
    </w:p>
    <w:p w:rsidR="00F773F6" w:rsidRPr="003F2E00" w:rsidRDefault="00F773F6" w:rsidP="00F773F6">
      <w:pPr>
        <w:pStyle w:val="Mansatt"/>
        <w:jc w:val="right"/>
        <w:rPr>
          <w:rFonts w:ascii="Times New Roman" w:hAnsi="Times New Roman" w:cs="Times New Roman"/>
          <w:sz w:val="28"/>
          <w:szCs w:val="28"/>
        </w:rPr>
      </w:pP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STYLEREF 2 \s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0</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SEQ .tabula \* ARABIC \s 2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2</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00582207" w:rsidRPr="003F2E00">
        <w:rPr>
          <w:rFonts w:ascii="Times New Roman" w:hAnsi="Times New Roman" w:cs="Times New Roman"/>
          <w:sz w:val="28"/>
          <w:szCs w:val="28"/>
        </w:rPr>
        <w:t> </w:t>
      </w:r>
      <w:r w:rsidRPr="003F2E00">
        <w:rPr>
          <w:rFonts w:ascii="Times New Roman" w:hAnsi="Times New Roman" w:cs="Times New Roman"/>
          <w:sz w:val="28"/>
          <w:szCs w:val="28"/>
        </w:rPr>
        <w:t>tabula</w:t>
      </w:r>
    </w:p>
    <w:p w:rsidR="00F773F6" w:rsidRPr="003F2E00" w:rsidRDefault="00F773F6" w:rsidP="00F773F6">
      <w:pPr>
        <w:pStyle w:val="Mansatt"/>
        <w:rPr>
          <w:rFonts w:ascii="Times New Roman" w:hAnsi="Times New Roman" w:cs="Times New Roman"/>
          <w:sz w:val="28"/>
          <w:szCs w:val="28"/>
        </w:rPr>
      </w:pPr>
      <w:r w:rsidRPr="003F2E00">
        <w:rPr>
          <w:rFonts w:ascii="Times New Roman" w:hAnsi="Times New Roman" w:cs="Times New Roman"/>
          <w:sz w:val="28"/>
          <w:szCs w:val="28"/>
        </w:rPr>
        <w:t>Informācija par rekonstruētajiem to</w:t>
      </w:r>
      <w:r w:rsidR="00FF3741" w:rsidRPr="003F2E00">
        <w:rPr>
          <w:rFonts w:ascii="Times New Roman" w:hAnsi="Times New Roman" w:cs="Times New Roman"/>
          <w:sz w:val="28"/>
          <w:szCs w:val="28"/>
        </w:rPr>
        <w:t>r</w:t>
      </w:r>
      <w:r w:rsidRPr="003F2E00">
        <w:rPr>
          <w:rFonts w:ascii="Times New Roman" w:hAnsi="Times New Roman" w:cs="Times New Roman"/>
          <w:sz w:val="28"/>
          <w:szCs w:val="28"/>
        </w:rPr>
        <w:t>ņiem (</w:t>
      </w:r>
      <w:r w:rsidR="00582207" w:rsidRPr="003F2E00">
        <w:rPr>
          <w:rFonts w:ascii="Times New Roman" w:hAnsi="Times New Roman" w:cs="Times New Roman"/>
          <w:sz w:val="28"/>
          <w:szCs w:val="28"/>
        </w:rPr>
        <w:t>par</w:t>
      </w:r>
      <w:r w:rsidR="00D06CCA" w:rsidRPr="003F2E00">
        <w:rPr>
          <w:rFonts w:ascii="Times New Roman" w:hAnsi="Times New Roman" w:cs="Times New Roman"/>
          <w:sz w:val="28"/>
          <w:szCs w:val="28"/>
        </w:rPr>
        <w:t xml:space="preserve"> Eiropas Lauksaimniecības fonda lauku attīstība</w:t>
      </w:r>
      <w:r w:rsidR="00582207" w:rsidRPr="003F2E00">
        <w:rPr>
          <w:rFonts w:ascii="Times New Roman" w:hAnsi="Times New Roman" w:cs="Times New Roman"/>
          <w:sz w:val="28"/>
          <w:szCs w:val="28"/>
        </w:rPr>
        <w:t>s līdzekļiem</w:t>
      </w:r>
      <w:r w:rsidRPr="003F2E00">
        <w:rPr>
          <w:rFonts w:ascii="Times New Roman" w:hAnsi="Times New Roman" w:cs="Times New Roman"/>
          <w:sz w:val="28"/>
          <w:szCs w:val="28"/>
        </w:rPr>
        <w:t>)</w:t>
      </w:r>
    </w:p>
    <w:tbl>
      <w:tblPr>
        <w:tblW w:w="5000" w:type="pct"/>
        <w:tblBorders>
          <w:top w:val="single" w:sz="4" w:space="0" w:color="F1CBB5"/>
          <w:left w:val="single" w:sz="4" w:space="0" w:color="F1CBB5"/>
          <w:bottom w:val="single" w:sz="4" w:space="0" w:color="F1CBB5"/>
          <w:right w:val="single" w:sz="4" w:space="0" w:color="F1CBB5"/>
          <w:insideH w:val="single" w:sz="4" w:space="0" w:color="F1CBB5"/>
          <w:insideV w:val="single" w:sz="4" w:space="0" w:color="F1CBB5"/>
        </w:tblBorders>
        <w:tblCellMar>
          <w:left w:w="0" w:type="dxa"/>
          <w:right w:w="0" w:type="dxa"/>
        </w:tblCellMar>
        <w:tblLook w:val="0420" w:firstRow="1" w:lastRow="0" w:firstColumn="0" w:lastColumn="0" w:noHBand="0" w:noVBand="1"/>
      </w:tblPr>
      <w:tblGrid>
        <w:gridCol w:w="3545"/>
        <w:gridCol w:w="3548"/>
        <w:gridCol w:w="2307"/>
      </w:tblGrid>
      <w:tr w:rsidR="00F773F6" w:rsidRPr="006023D0" w:rsidTr="000679DE">
        <w:trPr>
          <w:tblHeader/>
        </w:trPr>
        <w:tc>
          <w:tcPr>
            <w:tcW w:w="1886" w:type="pct"/>
            <w:tcBorders>
              <w:top w:val="nil"/>
              <w:left w:val="nil"/>
              <w:bottom w:val="single" w:sz="12" w:space="0" w:color="EAB290"/>
            </w:tcBorders>
            <w:shd w:val="clear" w:color="auto" w:fill="auto"/>
            <w:vAlign w:val="center"/>
          </w:tcPr>
          <w:p w:rsidR="00F773F6" w:rsidRPr="00262F32" w:rsidRDefault="00F773F6" w:rsidP="000679DE">
            <w:pPr>
              <w:jc w:val="center"/>
              <w:rPr>
                <w:rFonts w:ascii="Times New Roman" w:eastAsia="Times New Roman" w:hAnsi="Times New Roman" w:cs="Times New Roman"/>
                <w:b/>
                <w:bCs/>
                <w:sz w:val="24"/>
                <w:szCs w:val="24"/>
                <w:lang w:val="lv-LV"/>
              </w:rPr>
            </w:pPr>
            <w:r w:rsidRPr="00262F32">
              <w:rPr>
                <w:rFonts w:ascii="Times New Roman" w:eastAsia="Times New Roman" w:hAnsi="Times New Roman" w:cs="Times New Roman"/>
                <w:b/>
                <w:bCs/>
                <w:sz w:val="24"/>
                <w:szCs w:val="24"/>
                <w:lang w:val="lv-LV"/>
              </w:rPr>
              <w:t>Gads</w:t>
            </w:r>
          </w:p>
        </w:tc>
        <w:tc>
          <w:tcPr>
            <w:tcW w:w="1887" w:type="pct"/>
            <w:tcBorders>
              <w:top w:val="nil"/>
              <w:bottom w:val="single" w:sz="12" w:space="0" w:color="EAB290"/>
            </w:tcBorders>
            <w:shd w:val="clear" w:color="auto" w:fill="auto"/>
            <w:vAlign w:val="center"/>
          </w:tcPr>
          <w:p w:rsidR="00F773F6" w:rsidRPr="00262F32" w:rsidRDefault="00F773F6" w:rsidP="000679DE">
            <w:pPr>
              <w:jc w:val="center"/>
              <w:rPr>
                <w:rFonts w:ascii="Times New Roman" w:eastAsia="Times New Roman" w:hAnsi="Times New Roman" w:cs="Times New Roman"/>
                <w:b/>
                <w:bCs/>
                <w:sz w:val="24"/>
                <w:szCs w:val="24"/>
                <w:lang w:val="lv-LV"/>
              </w:rPr>
            </w:pPr>
            <w:r w:rsidRPr="00262F32">
              <w:rPr>
                <w:rFonts w:ascii="Times New Roman" w:eastAsia="Times New Roman" w:hAnsi="Times New Roman" w:cs="Times New Roman"/>
                <w:b/>
                <w:bCs/>
                <w:sz w:val="24"/>
                <w:szCs w:val="24"/>
                <w:lang w:val="lv-LV"/>
              </w:rPr>
              <w:t>Rekonstruēti torņi</w:t>
            </w:r>
          </w:p>
        </w:tc>
        <w:tc>
          <w:tcPr>
            <w:tcW w:w="1227" w:type="pct"/>
            <w:tcBorders>
              <w:top w:val="nil"/>
              <w:bottom w:val="single" w:sz="12" w:space="0" w:color="EAB290"/>
            </w:tcBorders>
            <w:shd w:val="clear" w:color="auto" w:fill="auto"/>
            <w:vAlign w:val="center"/>
          </w:tcPr>
          <w:p w:rsidR="00F773F6" w:rsidRPr="00262F32" w:rsidRDefault="00F773F6" w:rsidP="000679DE">
            <w:pPr>
              <w:pStyle w:val="Rightalign"/>
              <w:jc w:val="center"/>
              <w:rPr>
                <w:rFonts w:ascii="Times New Roman" w:hAnsi="Times New Roman" w:cs="Times New Roman"/>
                <w:b/>
                <w:bCs/>
                <w:sz w:val="24"/>
                <w:szCs w:val="24"/>
                <w:lang w:val="lv-LV"/>
              </w:rPr>
            </w:pPr>
            <w:r w:rsidRPr="00262F32">
              <w:rPr>
                <w:rFonts w:ascii="Times New Roman" w:hAnsi="Times New Roman" w:cs="Times New Roman"/>
                <w:b/>
                <w:bCs/>
                <w:sz w:val="24"/>
                <w:szCs w:val="24"/>
                <w:lang w:val="lv-LV"/>
              </w:rPr>
              <w:t>Jaunuzcelti torņi</w:t>
            </w:r>
          </w:p>
        </w:tc>
      </w:tr>
      <w:tr w:rsidR="0086750A" w:rsidRPr="006023D0" w:rsidTr="000679DE">
        <w:tc>
          <w:tcPr>
            <w:tcW w:w="1886" w:type="pct"/>
            <w:tcBorders>
              <w:left w:val="nil"/>
            </w:tcBorders>
            <w:shd w:val="clear" w:color="auto" w:fill="auto"/>
            <w:vAlign w:val="center"/>
          </w:tcPr>
          <w:p w:rsidR="0086750A" w:rsidRPr="00262F32" w:rsidRDefault="0086750A"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2009</w:t>
            </w:r>
            <w:r w:rsidR="00582207" w:rsidRPr="00262F32">
              <w:rPr>
                <w:rFonts w:ascii="Times New Roman" w:eastAsia="Times New Roman" w:hAnsi="Times New Roman" w:cs="Times New Roman"/>
                <w:sz w:val="24"/>
                <w:szCs w:val="24"/>
                <w:lang w:val="lv-LV"/>
              </w:rPr>
              <w:t>.–</w:t>
            </w:r>
            <w:r w:rsidRPr="00262F32">
              <w:rPr>
                <w:rFonts w:ascii="Times New Roman" w:eastAsia="Times New Roman" w:hAnsi="Times New Roman" w:cs="Times New Roman"/>
                <w:sz w:val="24"/>
                <w:szCs w:val="24"/>
                <w:lang w:val="lv-LV"/>
              </w:rPr>
              <w:t>2011</w:t>
            </w:r>
            <w:r w:rsidR="00582207" w:rsidRPr="00262F32">
              <w:rPr>
                <w:rFonts w:ascii="Times New Roman" w:eastAsia="Times New Roman" w:hAnsi="Times New Roman" w:cs="Times New Roman"/>
                <w:sz w:val="24"/>
                <w:szCs w:val="24"/>
                <w:lang w:val="lv-LV"/>
              </w:rPr>
              <w:t>.</w:t>
            </w:r>
          </w:p>
        </w:tc>
        <w:tc>
          <w:tcPr>
            <w:tcW w:w="1887" w:type="pct"/>
            <w:shd w:val="clear" w:color="auto" w:fill="auto"/>
            <w:vAlign w:val="center"/>
          </w:tcPr>
          <w:p w:rsidR="0086750A" w:rsidRPr="00262F32" w:rsidDel="00FF3741" w:rsidRDefault="0086750A"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40</w:t>
            </w:r>
          </w:p>
        </w:tc>
        <w:tc>
          <w:tcPr>
            <w:tcW w:w="1227" w:type="pct"/>
            <w:shd w:val="clear" w:color="auto" w:fill="auto"/>
            <w:vAlign w:val="center"/>
          </w:tcPr>
          <w:p w:rsidR="0086750A" w:rsidRPr="00262F32" w:rsidRDefault="0086750A" w:rsidP="000679DE">
            <w:pPr>
              <w:pStyle w:val="Rightalign"/>
              <w:jc w:val="center"/>
              <w:rPr>
                <w:rFonts w:ascii="Times New Roman" w:hAnsi="Times New Roman" w:cs="Times New Roman"/>
                <w:sz w:val="24"/>
                <w:szCs w:val="24"/>
                <w:lang w:val="lv-LV"/>
              </w:rPr>
            </w:pPr>
            <w:r w:rsidRPr="00262F32">
              <w:rPr>
                <w:rFonts w:ascii="Times New Roman" w:hAnsi="Times New Roman" w:cs="Times New Roman"/>
                <w:sz w:val="24"/>
                <w:szCs w:val="24"/>
                <w:lang w:val="lv-LV"/>
              </w:rPr>
              <w:t>0</w:t>
            </w:r>
          </w:p>
        </w:tc>
      </w:tr>
      <w:tr w:rsidR="00F773F6" w:rsidRPr="006023D0" w:rsidTr="000679DE">
        <w:tc>
          <w:tcPr>
            <w:tcW w:w="1886" w:type="pct"/>
            <w:tcBorders>
              <w:left w:val="nil"/>
            </w:tcBorders>
            <w:shd w:val="clear" w:color="auto" w:fill="auto"/>
            <w:vAlign w:val="center"/>
          </w:tcPr>
          <w:p w:rsidR="00F773F6" w:rsidRPr="00262F32" w:rsidRDefault="0086750A"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2011</w:t>
            </w:r>
            <w:r w:rsidR="00582207" w:rsidRPr="00262F32">
              <w:rPr>
                <w:rFonts w:ascii="Times New Roman" w:eastAsia="Times New Roman" w:hAnsi="Times New Roman" w:cs="Times New Roman"/>
                <w:sz w:val="24"/>
                <w:szCs w:val="24"/>
                <w:lang w:val="lv-LV"/>
              </w:rPr>
              <w:t>.–</w:t>
            </w:r>
            <w:r w:rsidR="00F773F6" w:rsidRPr="00262F32">
              <w:rPr>
                <w:rFonts w:ascii="Times New Roman" w:eastAsia="Times New Roman" w:hAnsi="Times New Roman" w:cs="Times New Roman"/>
                <w:sz w:val="24"/>
                <w:szCs w:val="24"/>
                <w:lang w:val="lv-LV"/>
              </w:rPr>
              <w:t>2013</w:t>
            </w:r>
            <w:r w:rsidR="00582207" w:rsidRPr="00262F32">
              <w:rPr>
                <w:rFonts w:ascii="Times New Roman" w:eastAsia="Times New Roman" w:hAnsi="Times New Roman" w:cs="Times New Roman"/>
                <w:sz w:val="24"/>
                <w:szCs w:val="24"/>
                <w:lang w:val="lv-LV"/>
              </w:rPr>
              <w:t>.</w:t>
            </w:r>
          </w:p>
        </w:tc>
        <w:tc>
          <w:tcPr>
            <w:tcW w:w="1887" w:type="pct"/>
            <w:shd w:val="clear" w:color="auto" w:fill="auto"/>
            <w:vAlign w:val="center"/>
          </w:tcPr>
          <w:p w:rsidR="00F773F6" w:rsidRPr="00262F32" w:rsidRDefault="00FF3741"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32</w:t>
            </w:r>
          </w:p>
        </w:tc>
        <w:tc>
          <w:tcPr>
            <w:tcW w:w="1227" w:type="pct"/>
            <w:shd w:val="clear" w:color="auto" w:fill="auto"/>
            <w:vAlign w:val="center"/>
          </w:tcPr>
          <w:p w:rsidR="00F773F6" w:rsidRPr="00262F32" w:rsidRDefault="00F773F6" w:rsidP="000679DE">
            <w:pPr>
              <w:pStyle w:val="Rightalign"/>
              <w:jc w:val="center"/>
              <w:rPr>
                <w:rFonts w:ascii="Times New Roman" w:hAnsi="Times New Roman" w:cs="Times New Roman"/>
                <w:sz w:val="24"/>
                <w:szCs w:val="24"/>
                <w:lang w:val="lv-LV"/>
              </w:rPr>
            </w:pPr>
            <w:r w:rsidRPr="00262F32">
              <w:rPr>
                <w:rFonts w:ascii="Times New Roman" w:hAnsi="Times New Roman" w:cs="Times New Roman"/>
                <w:sz w:val="24"/>
                <w:szCs w:val="24"/>
                <w:lang w:val="lv-LV"/>
              </w:rPr>
              <w:t>2</w:t>
            </w:r>
          </w:p>
        </w:tc>
      </w:tr>
      <w:tr w:rsidR="00F773F6" w:rsidRPr="006023D0" w:rsidTr="000679DE">
        <w:tc>
          <w:tcPr>
            <w:tcW w:w="1886" w:type="pct"/>
            <w:tcBorders>
              <w:left w:val="nil"/>
            </w:tcBorders>
            <w:shd w:val="clear" w:color="auto" w:fill="auto"/>
            <w:vAlign w:val="center"/>
          </w:tcPr>
          <w:p w:rsidR="00F773F6" w:rsidRPr="00262F32" w:rsidRDefault="00FF3741"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2013</w:t>
            </w:r>
            <w:r w:rsidR="00582207" w:rsidRPr="00262F32">
              <w:rPr>
                <w:rFonts w:ascii="Times New Roman" w:eastAsia="Times New Roman" w:hAnsi="Times New Roman" w:cs="Times New Roman"/>
                <w:sz w:val="24"/>
                <w:szCs w:val="24"/>
                <w:lang w:val="lv-LV"/>
              </w:rPr>
              <w:t>.–</w:t>
            </w:r>
            <w:r w:rsidR="00F773F6" w:rsidRPr="00262F32">
              <w:rPr>
                <w:rFonts w:ascii="Times New Roman" w:eastAsia="Times New Roman" w:hAnsi="Times New Roman" w:cs="Times New Roman"/>
                <w:sz w:val="24"/>
                <w:szCs w:val="24"/>
                <w:lang w:val="lv-LV"/>
              </w:rPr>
              <w:t>2014</w:t>
            </w:r>
            <w:r w:rsidR="00582207" w:rsidRPr="00262F32">
              <w:rPr>
                <w:rFonts w:ascii="Times New Roman" w:eastAsia="Times New Roman" w:hAnsi="Times New Roman" w:cs="Times New Roman"/>
                <w:sz w:val="24"/>
                <w:szCs w:val="24"/>
                <w:lang w:val="lv-LV"/>
              </w:rPr>
              <w:t>.</w:t>
            </w:r>
          </w:p>
        </w:tc>
        <w:tc>
          <w:tcPr>
            <w:tcW w:w="1887" w:type="pct"/>
            <w:shd w:val="clear" w:color="auto" w:fill="auto"/>
            <w:vAlign w:val="center"/>
          </w:tcPr>
          <w:p w:rsidR="00F773F6" w:rsidRPr="00262F32" w:rsidRDefault="00F773F6"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30</w:t>
            </w:r>
          </w:p>
        </w:tc>
        <w:tc>
          <w:tcPr>
            <w:tcW w:w="1227" w:type="pct"/>
            <w:shd w:val="clear" w:color="auto" w:fill="auto"/>
            <w:vAlign w:val="center"/>
          </w:tcPr>
          <w:p w:rsidR="00F773F6" w:rsidRPr="00262F32" w:rsidRDefault="00F773F6" w:rsidP="000679DE">
            <w:pPr>
              <w:pStyle w:val="Rightalign"/>
              <w:jc w:val="center"/>
              <w:rPr>
                <w:rFonts w:ascii="Times New Roman" w:hAnsi="Times New Roman" w:cs="Times New Roman"/>
                <w:sz w:val="24"/>
                <w:szCs w:val="24"/>
                <w:lang w:val="lv-LV"/>
              </w:rPr>
            </w:pPr>
            <w:r w:rsidRPr="00262F32">
              <w:rPr>
                <w:rFonts w:ascii="Times New Roman" w:hAnsi="Times New Roman" w:cs="Times New Roman"/>
                <w:sz w:val="24"/>
                <w:szCs w:val="24"/>
                <w:lang w:val="lv-LV"/>
              </w:rPr>
              <w:t>3</w:t>
            </w:r>
          </w:p>
        </w:tc>
      </w:tr>
      <w:tr w:rsidR="00F773F6" w:rsidRPr="006023D0" w:rsidTr="000679DE">
        <w:tc>
          <w:tcPr>
            <w:tcW w:w="1886" w:type="pct"/>
            <w:tcBorders>
              <w:left w:val="nil"/>
            </w:tcBorders>
            <w:shd w:val="clear" w:color="auto" w:fill="auto"/>
            <w:vAlign w:val="center"/>
          </w:tcPr>
          <w:p w:rsidR="00F773F6" w:rsidRPr="00262F32" w:rsidRDefault="00FF3741">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2017</w:t>
            </w:r>
            <w:r w:rsidR="00582207" w:rsidRPr="00262F32">
              <w:rPr>
                <w:rFonts w:ascii="Times New Roman" w:eastAsia="Times New Roman" w:hAnsi="Times New Roman" w:cs="Times New Roman"/>
                <w:sz w:val="24"/>
                <w:szCs w:val="24"/>
                <w:lang w:val="lv-LV"/>
              </w:rPr>
              <w:t>.–</w:t>
            </w:r>
            <w:r w:rsidRPr="00262F32">
              <w:rPr>
                <w:rFonts w:ascii="Times New Roman" w:eastAsia="Times New Roman" w:hAnsi="Times New Roman" w:cs="Times New Roman"/>
                <w:sz w:val="24"/>
                <w:szCs w:val="24"/>
                <w:lang w:val="lv-LV"/>
              </w:rPr>
              <w:t>2018</w:t>
            </w:r>
            <w:r w:rsidR="00582207" w:rsidRPr="00262F32">
              <w:rPr>
                <w:rFonts w:ascii="Times New Roman" w:eastAsia="Times New Roman" w:hAnsi="Times New Roman" w:cs="Times New Roman"/>
                <w:sz w:val="24"/>
                <w:szCs w:val="24"/>
                <w:lang w:val="lv-LV"/>
              </w:rPr>
              <w:t>.</w:t>
            </w:r>
          </w:p>
        </w:tc>
        <w:tc>
          <w:tcPr>
            <w:tcW w:w="1887" w:type="pct"/>
            <w:shd w:val="clear" w:color="auto" w:fill="auto"/>
            <w:vAlign w:val="center"/>
          </w:tcPr>
          <w:p w:rsidR="00F773F6" w:rsidRPr="00262F32" w:rsidRDefault="00F773F6" w:rsidP="000679DE">
            <w:pPr>
              <w:jc w:val="center"/>
              <w:rPr>
                <w:rFonts w:ascii="Times New Roman" w:eastAsia="Times New Roman" w:hAnsi="Times New Roman" w:cs="Times New Roman"/>
                <w:sz w:val="24"/>
                <w:szCs w:val="24"/>
                <w:lang w:val="lv-LV"/>
              </w:rPr>
            </w:pPr>
            <w:r w:rsidRPr="00262F32">
              <w:rPr>
                <w:rFonts w:ascii="Times New Roman" w:eastAsia="Times New Roman" w:hAnsi="Times New Roman" w:cs="Times New Roman"/>
                <w:sz w:val="24"/>
                <w:szCs w:val="24"/>
                <w:lang w:val="lv-LV"/>
              </w:rPr>
              <w:t>28</w:t>
            </w:r>
          </w:p>
        </w:tc>
        <w:tc>
          <w:tcPr>
            <w:tcW w:w="1227" w:type="pct"/>
            <w:shd w:val="clear" w:color="auto" w:fill="auto"/>
            <w:vAlign w:val="center"/>
          </w:tcPr>
          <w:p w:rsidR="00F773F6" w:rsidRPr="00262F32" w:rsidRDefault="00FF3741" w:rsidP="000679DE">
            <w:pPr>
              <w:pStyle w:val="Rightalign"/>
              <w:jc w:val="center"/>
              <w:rPr>
                <w:rFonts w:ascii="Times New Roman" w:hAnsi="Times New Roman" w:cs="Times New Roman"/>
                <w:sz w:val="24"/>
                <w:szCs w:val="24"/>
                <w:lang w:val="lv-LV"/>
              </w:rPr>
            </w:pPr>
            <w:r w:rsidRPr="00262F32">
              <w:rPr>
                <w:rFonts w:ascii="Times New Roman" w:hAnsi="Times New Roman" w:cs="Times New Roman"/>
                <w:sz w:val="24"/>
                <w:szCs w:val="24"/>
                <w:lang w:val="lv-LV"/>
              </w:rPr>
              <w:t>0</w:t>
            </w:r>
          </w:p>
        </w:tc>
      </w:tr>
      <w:tr w:rsidR="00F773F6" w:rsidRPr="006023D0" w:rsidTr="000679DE">
        <w:tc>
          <w:tcPr>
            <w:tcW w:w="1886" w:type="pct"/>
            <w:tcBorders>
              <w:left w:val="nil"/>
            </w:tcBorders>
            <w:shd w:val="clear" w:color="auto" w:fill="auto"/>
            <w:vAlign w:val="center"/>
          </w:tcPr>
          <w:p w:rsidR="00F773F6" w:rsidRPr="00262F32" w:rsidRDefault="00F773F6" w:rsidP="000679DE">
            <w:pPr>
              <w:jc w:val="center"/>
              <w:rPr>
                <w:rFonts w:ascii="Times New Roman" w:eastAsia="Times New Roman" w:hAnsi="Times New Roman" w:cs="Times New Roman"/>
                <w:sz w:val="24"/>
                <w:szCs w:val="24"/>
                <w:lang w:val="lv-LV"/>
              </w:rPr>
            </w:pPr>
          </w:p>
        </w:tc>
        <w:tc>
          <w:tcPr>
            <w:tcW w:w="1887" w:type="pct"/>
            <w:shd w:val="clear" w:color="auto" w:fill="auto"/>
            <w:vAlign w:val="center"/>
          </w:tcPr>
          <w:p w:rsidR="00F773F6" w:rsidRPr="00262F32" w:rsidRDefault="00F773F6" w:rsidP="000679DE">
            <w:pPr>
              <w:jc w:val="center"/>
              <w:rPr>
                <w:rFonts w:ascii="Times New Roman" w:eastAsia="Times New Roman" w:hAnsi="Times New Roman" w:cs="Times New Roman"/>
                <w:sz w:val="24"/>
                <w:szCs w:val="24"/>
                <w:lang w:val="lv-LV"/>
              </w:rPr>
            </w:pPr>
          </w:p>
        </w:tc>
        <w:tc>
          <w:tcPr>
            <w:tcW w:w="1227" w:type="pct"/>
            <w:shd w:val="clear" w:color="auto" w:fill="auto"/>
            <w:vAlign w:val="center"/>
          </w:tcPr>
          <w:p w:rsidR="00F773F6" w:rsidRPr="00262F32" w:rsidRDefault="00F773F6" w:rsidP="000679DE">
            <w:pPr>
              <w:pStyle w:val="Rightalign"/>
              <w:jc w:val="center"/>
              <w:rPr>
                <w:rFonts w:ascii="Times New Roman" w:hAnsi="Times New Roman" w:cs="Times New Roman"/>
                <w:sz w:val="24"/>
                <w:szCs w:val="24"/>
                <w:lang w:val="lv-LV"/>
              </w:rPr>
            </w:pPr>
          </w:p>
        </w:tc>
      </w:tr>
      <w:tr w:rsidR="00F773F6" w:rsidRPr="006023D0" w:rsidTr="00CB50D3">
        <w:trPr>
          <w:trHeight w:val="163"/>
        </w:trPr>
        <w:tc>
          <w:tcPr>
            <w:tcW w:w="1886" w:type="pct"/>
            <w:tcBorders>
              <w:top w:val="single" w:sz="12" w:space="0" w:color="F4B083"/>
              <w:left w:val="nil"/>
              <w:bottom w:val="nil"/>
            </w:tcBorders>
            <w:shd w:val="clear" w:color="auto" w:fill="auto"/>
            <w:vAlign w:val="center"/>
          </w:tcPr>
          <w:p w:rsidR="00F773F6" w:rsidRPr="00262F32" w:rsidRDefault="00F773F6" w:rsidP="000679DE">
            <w:pPr>
              <w:jc w:val="center"/>
              <w:rPr>
                <w:rFonts w:ascii="Times New Roman" w:eastAsia="Times New Roman" w:hAnsi="Times New Roman" w:cs="Times New Roman"/>
                <w:b/>
                <w:sz w:val="24"/>
                <w:szCs w:val="24"/>
                <w:lang w:val="lv-LV"/>
              </w:rPr>
            </w:pPr>
            <w:r w:rsidRPr="00262F32">
              <w:rPr>
                <w:rFonts w:ascii="Times New Roman" w:eastAsia="Times New Roman" w:hAnsi="Times New Roman" w:cs="Times New Roman"/>
                <w:b/>
                <w:sz w:val="24"/>
                <w:szCs w:val="24"/>
                <w:lang w:val="lv-LV"/>
              </w:rPr>
              <w:t>Kopā</w:t>
            </w:r>
          </w:p>
        </w:tc>
        <w:tc>
          <w:tcPr>
            <w:tcW w:w="1887" w:type="pct"/>
            <w:tcBorders>
              <w:top w:val="single" w:sz="12" w:space="0" w:color="F4B083"/>
              <w:bottom w:val="nil"/>
            </w:tcBorders>
            <w:shd w:val="clear" w:color="auto" w:fill="auto"/>
            <w:vAlign w:val="center"/>
          </w:tcPr>
          <w:p w:rsidR="00F773F6" w:rsidRPr="00262F32" w:rsidRDefault="0086750A" w:rsidP="000679DE">
            <w:pPr>
              <w:jc w:val="center"/>
              <w:rPr>
                <w:rFonts w:ascii="Times New Roman" w:eastAsia="Times New Roman" w:hAnsi="Times New Roman" w:cs="Times New Roman"/>
                <w:b/>
                <w:sz w:val="24"/>
                <w:szCs w:val="24"/>
                <w:lang w:val="lv-LV"/>
              </w:rPr>
            </w:pPr>
            <w:r w:rsidRPr="00262F32">
              <w:rPr>
                <w:rFonts w:ascii="Times New Roman" w:eastAsia="Times New Roman" w:hAnsi="Times New Roman" w:cs="Times New Roman"/>
                <w:b/>
                <w:sz w:val="24"/>
                <w:szCs w:val="24"/>
                <w:lang w:val="lv-LV"/>
              </w:rPr>
              <w:t>130</w:t>
            </w:r>
          </w:p>
        </w:tc>
        <w:tc>
          <w:tcPr>
            <w:tcW w:w="1227" w:type="pct"/>
            <w:tcBorders>
              <w:top w:val="single" w:sz="12" w:space="0" w:color="F4B083"/>
              <w:bottom w:val="nil"/>
            </w:tcBorders>
            <w:shd w:val="clear" w:color="auto" w:fill="auto"/>
            <w:vAlign w:val="center"/>
          </w:tcPr>
          <w:p w:rsidR="00F773F6" w:rsidRPr="00262F32" w:rsidRDefault="00F773F6" w:rsidP="000679DE">
            <w:pPr>
              <w:jc w:val="center"/>
              <w:rPr>
                <w:rFonts w:ascii="Times New Roman" w:eastAsia="Times New Roman" w:hAnsi="Times New Roman" w:cs="Times New Roman"/>
                <w:b/>
                <w:sz w:val="24"/>
                <w:szCs w:val="24"/>
                <w:lang w:val="lv-LV"/>
              </w:rPr>
            </w:pPr>
            <w:r w:rsidRPr="00262F32">
              <w:rPr>
                <w:rFonts w:ascii="Times New Roman" w:eastAsia="Times New Roman" w:hAnsi="Times New Roman" w:cs="Times New Roman"/>
                <w:b/>
                <w:sz w:val="24"/>
                <w:szCs w:val="24"/>
                <w:lang w:val="lv-LV"/>
              </w:rPr>
              <w:t>5</w:t>
            </w:r>
          </w:p>
        </w:tc>
      </w:tr>
    </w:tbl>
    <w:p w:rsidR="00F773F6" w:rsidRPr="003F2E00" w:rsidRDefault="00F44219" w:rsidP="00F773F6">
      <w:pPr>
        <w:pStyle w:val="Tekstastils"/>
        <w:rPr>
          <w:sz w:val="28"/>
          <w:szCs w:val="28"/>
        </w:rPr>
      </w:pPr>
      <w:r w:rsidRPr="003F2E00">
        <w:rPr>
          <w:sz w:val="28"/>
          <w:szCs w:val="28"/>
        </w:rPr>
        <w:t>2018. gadā</w:t>
      </w:r>
      <w:r w:rsidR="00A027B5" w:rsidRPr="003F2E00">
        <w:rPr>
          <w:sz w:val="28"/>
          <w:szCs w:val="28"/>
        </w:rPr>
        <w:t xml:space="preserve"> un </w:t>
      </w:r>
      <w:r w:rsidR="0024383E" w:rsidRPr="003F2E00">
        <w:rPr>
          <w:sz w:val="28"/>
          <w:szCs w:val="28"/>
        </w:rPr>
        <w:t xml:space="preserve">iepriekšējos </w:t>
      </w:r>
      <w:r w:rsidR="00A027B5" w:rsidRPr="003F2E00">
        <w:rPr>
          <w:sz w:val="28"/>
          <w:szCs w:val="28"/>
        </w:rPr>
        <w:t>gados</w:t>
      </w:r>
      <w:r w:rsidRPr="003F2E00">
        <w:rPr>
          <w:sz w:val="28"/>
          <w:szCs w:val="28"/>
        </w:rPr>
        <w:t xml:space="preserve"> </w:t>
      </w:r>
      <w:r w:rsidR="00582207" w:rsidRPr="003F2E00">
        <w:rPr>
          <w:sz w:val="28"/>
          <w:szCs w:val="28"/>
        </w:rPr>
        <w:t xml:space="preserve">meža ugunsnedrošajā laikposmā </w:t>
      </w:r>
      <w:r w:rsidRPr="003F2E00">
        <w:rPr>
          <w:sz w:val="28"/>
          <w:szCs w:val="28"/>
        </w:rPr>
        <w:t>netika</w:t>
      </w:r>
      <w:r w:rsidR="00F773F6" w:rsidRPr="003F2E00">
        <w:rPr>
          <w:sz w:val="28"/>
          <w:szCs w:val="28"/>
        </w:rPr>
        <w:t xml:space="preserve"> regulār</w:t>
      </w:r>
      <w:r w:rsidR="00582207" w:rsidRPr="003F2E00">
        <w:rPr>
          <w:sz w:val="28"/>
          <w:szCs w:val="28"/>
        </w:rPr>
        <w:t>i izmantoti</w:t>
      </w:r>
      <w:r w:rsidR="00F773F6" w:rsidRPr="003F2E00">
        <w:rPr>
          <w:sz w:val="28"/>
          <w:szCs w:val="28"/>
        </w:rPr>
        <w:t xml:space="preserve"> vis</w:t>
      </w:r>
      <w:r w:rsidR="00582207" w:rsidRPr="003F2E00">
        <w:rPr>
          <w:sz w:val="28"/>
          <w:szCs w:val="28"/>
        </w:rPr>
        <w:t>i UNT</w:t>
      </w:r>
      <w:r w:rsidR="00F773F6" w:rsidRPr="003F2E00">
        <w:rPr>
          <w:sz w:val="28"/>
          <w:szCs w:val="28"/>
        </w:rPr>
        <w:t xml:space="preserve">. Uguns </w:t>
      </w:r>
      <w:r w:rsidR="00BA2A52" w:rsidRPr="003F2E00">
        <w:rPr>
          <w:sz w:val="28"/>
          <w:szCs w:val="28"/>
        </w:rPr>
        <w:t>uzraudzībā VMD izmanto vidēji 52</w:t>
      </w:r>
      <w:r w:rsidR="00411118" w:rsidRPr="003F2E00">
        <w:rPr>
          <w:sz w:val="28"/>
          <w:szCs w:val="28"/>
        </w:rPr>
        <w:t xml:space="preserve"> </w:t>
      </w:r>
      <w:r w:rsidR="00F773F6" w:rsidRPr="003F2E00">
        <w:rPr>
          <w:sz w:val="28"/>
          <w:szCs w:val="28"/>
        </w:rPr>
        <w:t xml:space="preserve">% kopējā torņu skaita. Pamatā uz katru torni darbā tiek pieņemts viens cilvēks, nenodrošinot tā nomaiņu. Iemesli </w:t>
      </w:r>
      <w:r w:rsidR="00582207" w:rsidRPr="003F2E00">
        <w:rPr>
          <w:sz w:val="28"/>
          <w:szCs w:val="28"/>
        </w:rPr>
        <w:t>ir</w:t>
      </w:r>
      <w:r w:rsidR="00F773F6" w:rsidRPr="003F2E00">
        <w:rPr>
          <w:sz w:val="28"/>
          <w:szCs w:val="28"/>
        </w:rPr>
        <w:t xml:space="preserve"> finanšu trūkums </w:t>
      </w:r>
      <w:r w:rsidR="00A027B5" w:rsidRPr="003F2E00">
        <w:rPr>
          <w:sz w:val="28"/>
          <w:szCs w:val="28"/>
        </w:rPr>
        <w:t xml:space="preserve">meža </w:t>
      </w:r>
      <w:r w:rsidR="00582207" w:rsidRPr="003F2E00">
        <w:rPr>
          <w:sz w:val="28"/>
          <w:szCs w:val="28"/>
        </w:rPr>
        <w:t>UNT</w:t>
      </w:r>
      <w:r w:rsidR="00A027B5" w:rsidRPr="003F2E00">
        <w:rPr>
          <w:sz w:val="28"/>
          <w:szCs w:val="28"/>
        </w:rPr>
        <w:t xml:space="preserve"> </w:t>
      </w:r>
      <w:r w:rsidR="00F773F6" w:rsidRPr="003F2E00">
        <w:rPr>
          <w:sz w:val="28"/>
          <w:szCs w:val="28"/>
        </w:rPr>
        <w:t>dežurantu algošanai</w:t>
      </w:r>
      <w:r w:rsidR="0024383E" w:rsidRPr="003F2E00">
        <w:rPr>
          <w:sz w:val="28"/>
          <w:szCs w:val="28"/>
        </w:rPr>
        <w:t>. Visefektīvāk torņ</w:t>
      </w:r>
      <w:r w:rsidR="00582207" w:rsidRPr="003F2E00">
        <w:rPr>
          <w:sz w:val="28"/>
          <w:szCs w:val="28"/>
        </w:rPr>
        <w:t>i tiek</w:t>
      </w:r>
      <w:r w:rsidR="0024383E" w:rsidRPr="003F2E00">
        <w:rPr>
          <w:sz w:val="28"/>
          <w:szCs w:val="28"/>
        </w:rPr>
        <w:t xml:space="preserve"> izmanto</w:t>
      </w:r>
      <w:r w:rsidR="00582207" w:rsidRPr="003F2E00">
        <w:rPr>
          <w:sz w:val="28"/>
          <w:szCs w:val="28"/>
        </w:rPr>
        <w:t>ti tad</w:t>
      </w:r>
      <w:r w:rsidR="0024383E" w:rsidRPr="003F2E00">
        <w:rPr>
          <w:sz w:val="28"/>
          <w:szCs w:val="28"/>
        </w:rPr>
        <w:t xml:space="preserve">, kad no diviem </w:t>
      </w:r>
      <w:r w:rsidR="00FB7AFB" w:rsidRPr="003F2E00">
        <w:rPr>
          <w:sz w:val="28"/>
          <w:szCs w:val="28"/>
        </w:rPr>
        <w:t xml:space="preserve">vai vairākiem </w:t>
      </w:r>
      <w:r w:rsidR="0024383E" w:rsidRPr="003F2E00">
        <w:rPr>
          <w:sz w:val="28"/>
          <w:szCs w:val="28"/>
        </w:rPr>
        <w:t xml:space="preserve">blakus esošiem torņiem </w:t>
      </w:r>
      <w:r w:rsidR="00582207" w:rsidRPr="003F2E00">
        <w:rPr>
          <w:sz w:val="28"/>
          <w:szCs w:val="28"/>
        </w:rPr>
        <w:t xml:space="preserve">vienlaikus tiek </w:t>
      </w:r>
      <w:r w:rsidR="0024383E" w:rsidRPr="003F2E00">
        <w:rPr>
          <w:sz w:val="28"/>
          <w:szCs w:val="28"/>
        </w:rPr>
        <w:t>saņemt</w:t>
      </w:r>
      <w:r w:rsidR="00FB7AFB" w:rsidRPr="003F2E00">
        <w:rPr>
          <w:sz w:val="28"/>
          <w:szCs w:val="28"/>
        </w:rPr>
        <w:t>a informācija par dūmiem</w:t>
      </w:r>
      <w:r w:rsidR="00582207" w:rsidRPr="003F2E00">
        <w:rPr>
          <w:sz w:val="28"/>
          <w:szCs w:val="28"/>
        </w:rPr>
        <w:t> – tā</w:t>
      </w:r>
      <w:r w:rsidR="00FB7AFB" w:rsidRPr="003F2E00">
        <w:rPr>
          <w:sz w:val="28"/>
          <w:szCs w:val="28"/>
        </w:rPr>
        <w:t xml:space="preserve"> ļauj precīzi noteikt ugunsgrēka vietu mežā un operatīvi izbraukt uz </w:t>
      </w:r>
      <w:r w:rsidR="00661B02" w:rsidRPr="003F2E00">
        <w:rPr>
          <w:sz w:val="28"/>
          <w:szCs w:val="28"/>
        </w:rPr>
        <w:t>to</w:t>
      </w:r>
      <w:r w:rsidR="00FB7AFB" w:rsidRPr="003F2E00">
        <w:rPr>
          <w:sz w:val="28"/>
          <w:szCs w:val="28"/>
        </w:rPr>
        <w:t>. Šobrīd</w:t>
      </w:r>
      <w:r w:rsidR="00582207" w:rsidRPr="003F2E00">
        <w:rPr>
          <w:sz w:val="28"/>
          <w:szCs w:val="28"/>
        </w:rPr>
        <w:t>,</w:t>
      </w:r>
      <w:r w:rsidR="00FB7AFB" w:rsidRPr="003F2E00">
        <w:rPr>
          <w:sz w:val="28"/>
          <w:szCs w:val="28"/>
        </w:rPr>
        <w:t xml:space="preserve"> nenodrošinot uzraudzību no visiem stratēģiski (</w:t>
      </w:r>
      <w:r w:rsidR="00582207" w:rsidRPr="003F2E00">
        <w:rPr>
          <w:sz w:val="28"/>
          <w:szCs w:val="28"/>
        </w:rPr>
        <w:t xml:space="preserve">pēc </w:t>
      </w:r>
      <w:r w:rsidR="00FB7AFB" w:rsidRPr="003F2E00">
        <w:rPr>
          <w:sz w:val="28"/>
          <w:szCs w:val="28"/>
        </w:rPr>
        <w:t>ģeogrāfisk</w:t>
      </w:r>
      <w:r w:rsidR="00582207" w:rsidRPr="003F2E00">
        <w:rPr>
          <w:sz w:val="28"/>
          <w:szCs w:val="28"/>
        </w:rPr>
        <w:t>ā</w:t>
      </w:r>
      <w:r w:rsidR="00FB7AFB" w:rsidRPr="003F2E00">
        <w:rPr>
          <w:sz w:val="28"/>
          <w:szCs w:val="28"/>
        </w:rPr>
        <w:t xml:space="preserve"> izvietojum</w:t>
      </w:r>
      <w:r w:rsidR="00582207" w:rsidRPr="003F2E00">
        <w:rPr>
          <w:sz w:val="28"/>
          <w:szCs w:val="28"/>
        </w:rPr>
        <w:t>a</w:t>
      </w:r>
      <w:r w:rsidR="00FB7AFB" w:rsidRPr="003F2E00">
        <w:rPr>
          <w:sz w:val="28"/>
          <w:szCs w:val="28"/>
        </w:rPr>
        <w:t xml:space="preserve"> apvidū)</w:t>
      </w:r>
      <w:r w:rsidR="0024383E" w:rsidRPr="003F2E00">
        <w:rPr>
          <w:sz w:val="28"/>
          <w:szCs w:val="28"/>
        </w:rPr>
        <w:t xml:space="preserve"> </w:t>
      </w:r>
      <w:r w:rsidR="00FB7AFB" w:rsidRPr="003F2E00">
        <w:rPr>
          <w:sz w:val="28"/>
          <w:szCs w:val="28"/>
        </w:rPr>
        <w:t xml:space="preserve">nozīmīgiem torņiem, pastāv </w:t>
      </w:r>
      <w:r w:rsidR="00582207" w:rsidRPr="003F2E00">
        <w:rPr>
          <w:sz w:val="28"/>
          <w:szCs w:val="28"/>
        </w:rPr>
        <w:t>liels</w:t>
      </w:r>
      <w:r w:rsidR="00FB7AFB" w:rsidRPr="003F2E00">
        <w:rPr>
          <w:sz w:val="28"/>
          <w:szCs w:val="28"/>
        </w:rPr>
        <w:t xml:space="preserve"> risks</w:t>
      </w:r>
      <w:r w:rsidR="00582207" w:rsidRPr="003F2E00">
        <w:rPr>
          <w:sz w:val="28"/>
          <w:szCs w:val="28"/>
        </w:rPr>
        <w:t>, ka</w:t>
      </w:r>
      <w:r w:rsidR="00FB7AFB" w:rsidRPr="003F2E00">
        <w:rPr>
          <w:sz w:val="28"/>
          <w:szCs w:val="28"/>
        </w:rPr>
        <w:t xml:space="preserve"> </w:t>
      </w:r>
      <w:r w:rsidR="00582207" w:rsidRPr="003F2E00">
        <w:rPr>
          <w:sz w:val="28"/>
          <w:szCs w:val="28"/>
        </w:rPr>
        <w:t xml:space="preserve">ugunsgrēks tiks atklāts </w:t>
      </w:r>
      <w:r w:rsidR="00FB7AFB" w:rsidRPr="003F2E00">
        <w:rPr>
          <w:sz w:val="28"/>
          <w:szCs w:val="28"/>
        </w:rPr>
        <w:t>novēloti</w:t>
      </w:r>
      <w:r w:rsidR="00661B02" w:rsidRPr="003F2E00">
        <w:rPr>
          <w:sz w:val="28"/>
          <w:szCs w:val="28"/>
        </w:rPr>
        <w:t>, tā p</w:t>
      </w:r>
      <w:r w:rsidR="001763EB" w:rsidRPr="003F2E00">
        <w:rPr>
          <w:sz w:val="28"/>
          <w:szCs w:val="28"/>
        </w:rPr>
        <w:t>alielinot</w:t>
      </w:r>
      <w:r w:rsidR="00582207" w:rsidRPr="003F2E00">
        <w:rPr>
          <w:sz w:val="28"/>
          <w:szCs w:val="28"/>
        </w:rPr>
        <w:t>ies</w:t>
      </w:r>
      <w:r w:rsidR="001763EB" w:rsidRPr="003F2E00">
        <w:rPr>
          <w:sz w:val="28"/>
          <w:szCs w:val="28"/>
        </w:rPr>
        <w:t xml:space="preserve"> iespēj</w:t>
      </w:r>
      <w:r w:rsidR="00582207" w:rsidRPr="003F2E00">
        <w:rPr>
          <w:sz w:val="28"/>
          <w:szCs w:val="28"/>
        </w:rPr>
        <w:t>ai, ka izdegs lielāka</w:t>
      </w:r>
      <w:r w:rsidR="001763EB" w:rsidRPr="003F2E00">
        <w:rPr>
          <w:sz w:val="28"/>
          <w:szCs w:val="28"/>
        </w:rPr>
        <w:t xml:space="preserve"> </w:t>
      </w:r>
      <w:r w:rsidR="00661B02" w:rsidRPr="003F2E00">
        <w:rPr>
          <w:sz w:val="28"/>
          <w:szCs w:val="28"/>
        </w:rPr>
        <w:t>meža zemes platība.</w:t>
      </w:r>
    </w:p>
    <w:p w:rsidR="00F773F6" w:rsidRPr="003F2E00" w:rsidRDefault="00F773F6" w:rsidP="00F773F6">
      <w:pPr>
        <w:pStyle w:val="Mansatt"/>
        <w:jc w:val="right"/>
        <w:rPr>
          <w:rFonts w:ascii="Times New Roman" w:hAnsi="Times New Roman" w:cs="Times New Roman"/>
          <w:sz w:val="28"/>
          <w:szCs w:val="28"/>
        </w:rPr>
      </w:pP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STYLEREF 2 \s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0</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Pr="003F2E00">
        <w:rPr>
          <w:rFonts w:ascii="Times New Roman" w:hAnsi="Times New Roman" w:cs="Times New Roman"/>
          <w:sz w:val="28"/>
          <w:szCs w:val="28"/>
        </w:rPr>
        <w:fldChar w:fldCharType="begin"/>
      </w:r>
      <w:r w:rsidRPr="003F2E00">
        <w:rPr>
          <w:rFonts w:ascii="Times New Roman" w:hAnsi="Times New Roman" w:cs="Times New Roman"/>
          <w:sz w:val="28"/>
          <w:szCs w:val="28"/>
        </w:rPr>
        <w:instrText xml:space="preserve"> SEQ .tabula \* ARABIC \s 2 </w:instrText>
      </w:r>
      <w:r w:rsidRPr="003F2E00">
        <w:rPr>
          <w:rFonts w:ascii="Times New Roman" w:hAnsi="Times New Roman" w:cs="Times New Roman"/>
          <w:sz w:val="28"/>
          <w:szCs w:val="28"/>
        </w:rPr>
        <w:fldChar w:fldCharType="separate"/>
      </w:r>
      <w:r w:rsidR="00C748ED">
        <w:rPr>
          <w:rFonts w:ascii="Times New Roman" w:hAnsi="Times New Roman" w:cs="Times New Roman"/>
          <w:sz w:val="28"/>
          <w:szCs w:val="28"/>
        </w:rPr>
        <w:t>3</w:t>
      </w:r>
      <w:r w:rsidRPr="003F2E00">
        <w:rPr>
          <w:rFonts w:ascii="Times New Roman" w:hAnsi="Times New Roman" w:cs="Times New Roman"/>
          <w:sz w:val="28"/>
          <w:szCs w:val="28"/>
        </w:rPr>
        <w:fldChar w:fldCharType="end"/>
      </w:r>
      <w:r w:rsidRPr="003F2E00">
        <w:rPr>
          <w:rFonts w:ascii="Times New Roman" w:hAnsi="Times New Roman" w:cs="Times New Roman"/>
          <w:sz w:val="28"/>
          <w:szCs w:val="28"/>
        </w:rPr>
        <w:t>.</w:t>
      </w:r>
      <w:r w:rsidR="00582207" w:rsidRPr="003F2E00">
        <w:rPr>
          <w:rFonts w:ascii="Times New Roman" w:hAnsi="Times New Roman" w:cs="Times New Roman"/>
          <w:sz w:val="28"/>
          <w:szCs w:val="28"/>
        </w:rPr>
        <w:t> </w:t>
      </w:r>
      <w:r w:rsidRPr="003F2E00">
        <w:rPr>
          <w:rFonts w:ascii="Times New Roman" w:hAnsi="Times New Roman" w:cs="Times New Roman"/>
          <w:sz w:val="28"/>
          <w:szCs w:val="28"/>
        </w:rPr>
        <w:t>tabula</w:t>
      </w:r>
    </w:p>
    <w:p w:rsidR="00F773F6" w:rsidRPr="003F2E00" w:rsidRDefault="00F773F6" w:rsidP="00F773F6">
      <w:pPr>
        <w:pStyle w:val="Mansatt"/>
        <w:rPr>
          <w:rFonts w:ascii="Times New Roman" w:hAnsi="Times New Roman" w:cs="Times New Roman"/>
          <w:sz w:val="28"/>
          <w:szCs w:val="28"/>
        </w:rPr>
      </w:pPr>
      <w:r w:rsidRPr="003F2E00">
        <w:rPr>
          <w:rFonts w:ascii="Times New Roman" w:hAnsi="Times New Roman" w:cs="Times New Roman"/>
          <w:sz w:val="28"/>
          <w:szCs w:val="28"/>
        </w:rPr>
        <w:t>Informācija par UNT izmantošanu</w:t>
      </w:r>
    </w:p>
    <w:tbl>
      <w:tblPr>
        <w:tblW w:w="5000" w:type="pct"/>
        <w:tblBorders>
          <w:top w:val="single" w:sz="4" w:space="0" w:color="F1CBB5"/>
          <w:left w:val="single" w:sz="4" w:space="0" w:color="F1CBB5"/>
          <w:bottom w:val="single" w:sz="4" w:space="0" w:color="F1CBB5"/>
          <w:right w:val="single" w:sz="4" w:space="0" w:color="F1CBB5"/>
          <w:insideH w:val="single" w:sz="4" w:space="0" w:color="F1CBB5"/>
          <w:insideV w:val="single" w:sz="4" w:space="0" w:color="F1CBB5"/>
        </w:tblBorders>
        <w:tblCellMar>
          <w:left w:w="0" w:type="dxa"/>
          <w:right w:w="0" w:type="dxa"/>
        </w:tblCellMar>
        <w:tblLook w:val="0420" w:firstRow="1" w:lastRow="0" w:firstColumn="0" w:lastColumn="0" w:noHBand="0" w:noVBand="1"/>
      </w:tblPr>
      <w:tblGrid>
        <w:gridCol w:w="2302"/>
        <w:gridCol w:w="1211"/>
        <w:gridCol w:w="1211"/>
        <w:gridCol w:w="1209"/>
        <w:gridCol w:w="1211"/>
        <w:gridCol w:w="1211"/>
        <w:gridCol w:w="1045"/>
      </w:tblGrid>
      <w:tr w:rsidR="00546145" w:rsidRPr="00546145" w:rsidTr="000679DE">
        <w:trPr>
          <w:tblHeader/>
        </w:trPr>
        <w:tc>
          <w:tcPr>
            <w:tcW w:w="1225" w:type="pct"/>
            <w:tcBorders>
              <w:top w:val="nil"/>
              <w:left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UNT izmantošana</w:t>
            </w:r>
          </w:p>
        </w:tc>
        <w:tc>
          <w:tcPr>
            <w:tcW w:w="644" w:type="pct"/>
            <w:tcBorders>
              <w:top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2013. gads</w:t>
            </w:r>
          </w:p>
        </w:tc>
        <w:tc>
          <w:tcPr>
            <w:tcW w:w="644" w:type="pct"/>
            <w:tcBorders>
              <w:top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2014. gads</w:t>
            </w:r>
          </w:p>
        </w:tc>
        <w:tc>
          <w:tcPr>
            <w:tcW w:w="643" w:type="pct"/>
            <w:tcBorders>
              <w:top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2015. gads</w:t>
            </w:r>
          </w:p>
        </w:tc>
        <w:tc>
          <w:tcPr>
            <w:tcW w:w="644" w:type="pct"/>
            <w:tcBorders>
              <w:top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2016. gads</w:t>
            </w:r>
          </w:p>
        </w:tc>
        <w:tc>
          <w:tcPr>
            <w:tcW w:w="644" w:type="pct"/>
            <w:tcBorders>
              <w:top w:val="nil"/>
              <w:bottom w:val="single" w:sz="12" w:space="0" w:color="EAB290"/>
            </w:tcBorders>
            <w:shd w:val="clear" w:color="auto" w:fill="auto"/>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2017. gads</w:t>
            </w:r>
          </w:p>
        </w:tc>
        <w:tc>
          <w:tcPr>
            <w:tcW w:w="558" w:type="pct"/>
            <w:tcBorders>
              <w:top w:val="nil"/>
              <w:bottom w:val="single" w:sz="12" w:space="0" w:color="EAB290"/>
            </w:tcBorders>
            <w:vAlign w:val="center"/>
          </w:tcPr>
          <w:p w:rsidR="00F773F6" w:rsidRPr="00546145" w:rsidRDefault="00F773F6" w:rsidP="000679DE">
            <w:pPr>
              <w:jc w:val="center"/>
              <w:rPr>
                <w:rFonts w:ascii="Times New Roman" w:eastAsia="Times New Roman" w:hAnsi="Times New Roman"/>
                <w:b/>
                <w:bCs/>
                <w:sz w:val="24"/>
                <w:szCs w:val="24"/>
                <w:lang w:val="lv-LV"/>
              </w:rPr>
            </w:pPr>
            <w:r w:rsidRPr="00546145">
              <w:rPr>
                <w:rFonts w:ascii="Times New Roman" w:eastAsia="Times New Roman" w:hAnsi="Times New Roman"/>
                <w:b/>
                <w:bCs/>
                <w:sz w:val="24"/>
                <w:szCs w:val="24"/>
                <w:lang w:val="lv-LV"/>
              </w:rPr>
              <w:t>2018. gads</w:t>
            </w:r>
          </w:p>
        </w:tc>
      </w:tr>
      <w:tr w:rsidR="00546145" w:rsidRPr="00546145" w:rsidTr="000679DE">
        <w:tc>
          <w:tcPr>
            <w:tcW w:w="1225" w:type="pct"/>
            <w:tcBorders>
              <w:left w:val="nil"/>
            </w:tcBorders>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Izmantots</w:t>
            </w:r>
          </w:p>
        </w:tc>
        <w:tc>
          <w:tcPr>
            <w:tcW w:w="644" w:type="pct"/>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103</w:t>
            </w:r>
          </w:p>
        </w:tc>
        <w:tc>
          <w:tcPr>
            <w:tcW w:w="644" w:type="pct"/>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94</w:t>
            </w:r>
          </w:p>
        </w:tc>
        <w:tc>
          <w:tcPr>
            <w:tcW w:w="643" w:type="pct"/>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103</w:t>
            </w:r>
          </w:p>
        </w:tc>
        <w:tc>
          <w:tcPr>
            <w:tcW w:w="644" w:type="pct"/>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93</w:t>
            </w:r>
          </w:p>
        </w:tc>
        <w:tc>
          <w:tcPr>
            <w:tcW w:w="644" w:type="pct"/>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86</w:t>
            </w:r>
          </w:p>
        </w:tc>
        <w:tc>
          <w:tcPr>
            <w:tcW w:w="558" w:type="pct"/>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83</w:t>
            </w:r>
          </w:p>
        </w:tc>
      </w:tr>
      <w:tr w:rsidR="00546145" w:rsidRPr="00546145" w:rsidTr="000679DE">
        <w:tc>
          <w:tcPr>
            <w:tcW w:w="1225" w:type="pct"/>
            <w:tcBorders>
              <w:left w:val="nil"/>
            </w:tcBorders>
            <w:shd w:val="clear" w:color="auto" w:fill="auto"/>
            <w:vAlign w:val="center"/>
          </w:tcPr>
          <w:p w:rsidR="00F773F6" w:rsidRPr="00546145" w:rsidRDefault="00F773F6" w:rsidP="000679DE">
            <w:pPr>
              <w:jc w:val="center"/>
              <w:rPr>
                <w:rFonts w:ascii="Times New Roman" w:eastAsia="Times New Roman" w:hAnsi="Times New Roman"/>
                <w:sz w:val="24"/>
                <w:szCs w:val="24"/>
                <w:lang w:val="lv-LV"/>
              </w:rPr>
            </w:pPr>
            <w:r w:rsidRPr="00546145">
              <w:rPr>
                <w:rFonts w:ascii="Times New Roman" w:eastAsia="Times New Roman" w:hAnsi="Times New Roman"/>
                <w:sz w:val="24"/>
                <w:szCs w:val="24"/>
                <w:lang w:val="lv-LV"/>
              </w:rPr>
              <w:t>Izmantots pēc vajadzības*</w:t>
            </w:r>
          </w:p>
        </w:tc>
        <w:tc>
          <w:tcPr>
            <w:tcW w:w="644" w:type="pct"/>
            <w:shd w:val="clear" w:color="auto" w:fill="auto"/>
            <w:vAlign w:val="center"/>
          </w:tcPr>
          <w:p w:rsidR="00F773F6" w:rsidRPr="00371BC1" w:rsidRDefault="001B0E50"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7</w:t>
            </w:r>
            <w:r w:rsidR="00F3541B" w:rsidRPr="00371BC1">
              <w:rPr>
                <w:rFonts w:ascii="Times New Roman" w:eastAsia="Times New Roman" w:hAnsi="Times New Roman"/>
                <w:sz w:val="24"/>
                <w:szCs w:val="24"/>
                <w:lang w:val="lv-LV"/>
              </w:rPr>
              <w:t>8</w:t>
            </w:r>
          </w:p>
        </w:tc>
        <w:tc>
          <w:tcPr>
            <w:tcW w:w="644" w:type="pct"/>
            <w:shd w:val="clear" w:color="auto" w:fill="auto"/>
            <w:vAlign w:val="center"/>
          </w:tcPr>
          <w:p w:rsidR="00F773F6" w:rsidRPr="00371BC1" w:rsidRDefault="00F3541B"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87</w:t>
            </w:r>
          </w:p>
        </w:tc>
        <w:tc>
          <w:tcPr>
            <w:tcW w:w="643" w:type="pct"/>
            <w:shd w:val="clear" w:color="auto" w:fill="auto"/>
            <w:vAlign w:val="center"/>
          </w:tcPr>
          <w:p w:rsidR="00F773F6" w:rsidRPr="00371BC1" w:rsidRDefault="00F3541B"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78</w:t>
            </w:r>
          </w:p>
        </w:tc>
        <w:tc>
          <w:tcPr>
            <w:tcW w:w="644" w:type="pct"/>
            <w:shd w:val="clear" w:color="auto" w:fill="auto"/>
            <w:vAlign w:val="center"/>
          </w:tcPr>
          <w:p w:rsidR="00F773F6" w:rsidRPr="00371BC1" w:rsidRDefault="00F3541B"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88</w:t>
            </w:r>
          </w:p>
        </w:tc>
        <w:tc>
          <w:tcPr>
            <w:tcW w:w="644" w:type="pct"/>
            <w:shd w:val="clear" w:color="auto" w:fill="auto"/>
            <w:vAlign w:val="center"/>
          </w:tcPr>
          <w:p w:rsidR="00F773F6" w:rsidRPr="00371BC1" w:rsidRDefault="00F3541B"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95</w:t>
            </w:r>
          </w:p>
        </w:tc>
        <w:tc>
          <w:tcPr>
            <w:tcW w:w="558" w:type="pct"/>
            <w:vAlign w:val="center"/>
          </w:tcPr>
          <w:p w:rsidR="00F773F6" w:rsidRPr="00371BC1" w:rsidRDefault="00F3541B" w:rsidP="000679DE">
            <w:pPr>
              <w:jc w:val="center"/>
              <w:rPr>
                <w:rFonts w:ascii="Times New Roman" w:eastAsia="Times New Roman" w:hAnsi="Times New Roman"/>
                <w:sz w:val="24"/>
                <w:szCs w:val="24"/>
                <w:lang w:val="lv-LV"/>
              </w:rPr>
            </w:pPr>
            <w:r w:rsidRPr="00371BC1">
              <w:rPr>
                <w:rFonts w:ascii="Times New Roman" w:eastAsia="Times New Roman" w:hAnsi="Times New Roman"/>
                <w:sz w:val="24"/>
                <w:szCs w:val="24"/>
                <w:lang w:val="lv-LV"/>
              </w:rPr>
              <w:t>98</w:t>
            </w:r>
          </w:p>
        </w:tc>
      </w:tr>
    </w:tbl>
    <w:p w:rsidR="00F773F6" w:rsidRPr="0042593A" w:rsidRDefault="00F773F6" w:rsidP="00F773F6">
      <w:pPr>
        <w:jc w:val="both"/>
        <w:rPr>
          <w:rFonts w:ascii="Times New Roman" w:hAnsi="Times New Roman"/>
          <w:i/>
          <w:sz w:val="20"/>
          <w:szCs w:val="20"/>
          <w:lang w:val="lv-LV"/>
        </w:rPr>
      </w:pPr>
      <w:r w:rsidRPr="0042593A">
        <w:rPr>
          <w:rFonts w:ascii="Times New Roman" w:hAnsi="Times New Roman"/>
          <w:sz w:val="20"/>
          <w:szCs w:val="20"/>
          <w:lang w:val="lv-LV"/>
        </w:rPr>
        <w:t>*</w:t>
      </w:r>
      <w:r w:rsidR="00582207">
        <w:rPr>
          <w:rFonts w:ascii="Times New Roman" w:hAnsi="Times New Roman"/>
          <w:sz w:val="20"/>
          <w:szCs w:val="20"/>
          <w:lang w:val="lv-LV"/>
        </w:rPr>
        <w:t> </w:t>
      </w:r>
      <w:r w:rsidRPr="0042593A">
        <w:rPr>
          <w:rFonts w:ascii="Times New Roman" w:hAnsi="Times New Roman"/>
          <w:sz w:val="20"/>
          <w:szCs w:val="20"/>
          <w:lang w:val="lv-LV"/>
        </w:rPr>
        <w:t>Izmantots pēc vajadzības</w:t>
      </w:r>
      <w:r w:rsidR="00582207">
        <w:rPr>
          <w:rFonts w:ascii="Times New Roman" w:hAnsi="Times New Roman"/>
          <w:sz w:val="20"/>
          <w:szCs w:val="20"/>
          <w:lang w:val="lv-LV"/>
        </w:rPr>
        <w:t>:</w:t>
      </w:r>
      <w:r w:rsidRPr="0042593A">
        <w:rPr>
          <w:rFonts w:ascii="Times New Roman" w:hAnsi="Times New Roman"/>
          <w:sz w:val="20"/>
          <w:szCs w:val="20"/>
          <w:lang w:val="lv-LV"/>
        </w:rPr>
        <w:t xml:space="preserve"> </w:t>
      </w:r>
      <w:r w:rsidRPr="0042593A">
        <w:rPr>
          <w:rFonts w:ascii="Times New Roman" w:hAnsi="Times New Roman"/>
          <w:i/>
          <w:sz w:val="20"/>
          <w:szCs w:val="20"/>
          <w:lang w:val="lv-LV"/>
        </w:rPr>
        <w:t>UNT izmanto VMD darbinieki precīzākai ugunsgrēka vietas identificēšanai, taču tajā netiek nodrošinātas regulāras dežūras vai notiek rekonstrukcijas darbi.</w:t>
      </w:r>
    </w:p>
    <w:p w:rsidR="00F773F6" w:rsidRPr="003F2E00" w:rsidRDefault="00F773F6" w:rsidP="001410AC">
      <w:pPr>
        <w:pStyle w:val="Tekstastils"/>
        <w:rPr>
          <w:sz w:val="28"/>
          <w:szCs w:val="28"/>
        </w:rPr>
      </w:pPr>
      <w:r w:rsidRPr="003F2E00">
        <w:rPr>
          <w:sz w:val="28"/>
          <w:szCs w:val="28"/>
        </w:rPr>
        <w:t xml:space="preserve">Papildus </w:t>
      </w:r>
      <w:r w:rsidR="00582207" w:rsidRPr="003F2E00">
        <w:rPr>
          <w:sz w:val="28"/>
          <w:szCs w:val="28"/>
        </w:rPr>
        <w:t>jā</w:t>
      </w:r>
      <w:r w:rsidRPr="003F2E00">
        <w:rPr>
          <w:sz w:val="28"/>
          <w:szCs w:val="28"/>
        </w:rPr>
        <w:t>norād</w:t>
      </w:r>
      <w:r w:rsidR="00582207" w:rsidRPr="003F2E00">
        <w:rPr>
          <w:sz w:val="28"/>
          <w:szCs w:val="28"/>
        </w:rPr>
        <w:t>a</w:t>
      </w:r>
      <w:r w:rsidRPr="003F2E00">
        <w:rPr>
          <w:sz w:val="28"/>
          <w:szCs w:val="28"/>
        </w:rPr>
        <w:t>, ka</w:t>
      </w:r>
      <w:r w:rsidR="00582207" w:rsidRPr="003F2E00">
        <w:rPr>
          <w:sz w:val="28"/>
          <w:szCs w:val="28"/>
        </w:rPr>
        <w:t>, lai</w:t>
      </w:r>
      <w:r w:rsidRPr="003F2E00">
        <w:rPr>
          <w:sz w:val="28"/>
          <w:szCs w:val="28"/>
        </w:rPr>
        <w:t xml:space="preserve"> nodrošināt</w:t>
      </w:r>
      <w:r w:rsidR="00582207" w:rsidRPr="003F2E00">
        <w:rPr>
          <w:sz w:val="28"/>
          <w:szCs w:val="28"/>
        </w:rPr>
        <w:t>u</w:t>
      </w:r>
      <w:r w:rsidRPr="003F2E00">
        <w:rPr>
          <w:sz w:val="28"/>
          <w:szCs w:val="28"/>
        </w:rPr>
        <w:t xml:space="preserve"> operatīvu meža ugunsgrēku atklāšanu jebkuros laikapstākļos </w:t>
      </w:r>
      <w:r w:rsidR="00582207" w:rsidRPr="003F2E00">
        <w:rPr>
          <w:sz w:val="28"/>
          <w:szCs w:val="28"/>
        </w:rPr>
        <w:t>jebkurā</w:t>
      </w:r>
      <w:r w:rsidRPr="003F2E00">
        <w:rPr>
          <w:sz w:val="28"/>
          <w:szCs w:val="28"/>
        </w:rPr>
        <w:t xml:space="preserve"> diennakts laikā un savlaicīgu meža ugunsgrēku likvidāciju, VMD </w:t>
      </w:r>
      <w:r w:rsidR="00582207" w:rsidRPr="003F2E00">
        <w:rPr>
          <w:sz w:val="28"/>
          <w:szCs w:val="28"/>
        </w:rPr>
        <w:t xml:space="preserve">ir </w:t>
      </w:r>
      <w:r w:rsidR="007B37C6" w:rsidRPr="003F2E00">
        <w:rPr>
          <w:sz w:val="28"/>
          <w:szCs w:val="28"/>
        </w:rPr>
        <w:t>iesniedzis projekt</w:t>
      </w:r>
      <w:r w:rsidR="00582207" w:rsidRPr="003F2E00">
        <w:rPr>
          <w:sz w:val="28"/>
          <w:szCs w:val="28"/>
        </w:rPr>
        <w:t>a pieteikumu</w:t>
      </w:r>
      <w:r w:rsidR="007B37C6" w:rsidRPr="003F2E00">
        <w:rPr>
          <w:sz w:val="28"/>
          <w:szCs w:val="28"/>
        </w:rPr>
        <w:t xml:space="preserve"> finansējuma saņemšanai no Eiropas Lauksaimniecības fonda lauku attīstībai (turpmāk </w:t>
      </w:r>
      <w:r w:rsidR="00664FBB" w:rsidRPr="003F2E00">
        <w:rPr>
          <w:sz w:val="28"/>
          <w:szCs w:val="28"/>
        </w:rPr>
        <w:t>–</w:t>
      </w:r>
      <w:r w:rsidR="007B37C6" w:rsidRPr="003F2E00">
        <w:rPr>
          <w:sz w:val="28"/>
          <w:szCs w:val="28"/>
        </w:rPr>
        <w:t xml:space="preserve"> ELFLA), lai uzsāktu m</w:t>
      </w:r>
      <w:r w:rsidRPr="003F2E00">
        <w:rPr>
          <w:sz w:val="28"/>
          <w:szCs w:val="28"/>
        </w:rPr>
        <w:t xml:space="preserve">ūsdienu tehnoloģisko iespēju </w:t>
      </w:r>
      <w:r w:rsidR="00582207" w:rsidRPr="003F2E00">
        <w:rPr>
          <w:sz w:val="28"/>
          <w:szCs w:val="28"/>
        </w:rPr>
        <w:t>–</w:t>
      </w:r>
      <w:r w:rsidRPr="003F2E00">
        <w:rPr>
          <w:sz w:val="28"/>
          <w:szCs w:val="28"/>
        </w:rPr>
        <w:t xml:space="preserve"> attālinātās novērošanas sistēmas </w:t>
      </w:r>
      <w:r w:rsidR="00582207" w:rsidRPr="003F2E00">
        <w:rPr>
          <w:sz w:val="28"/>
          <w:szCs w:val="28"/>
        </w:rPr>
        <w:t xml:space="preserve">– </w:t>
      </w:r>
      <w:r w:rsidR="007B37C6" w:rsidRPr="003F2E00">
        <w:rPr>
          <w:sz w:val="28"/>
          <w:szCs w:val="28"/>
        </w:rPr>
        <w:t>izmantošanu</w:t>
      </w:r>
      <w:r w:rsidRPr="003F2E00">
        <w:rPr>
          <w:sz w:val="28"/>
          <w:szCs w:val="28"/>
        </w:rPr>
        <w:t xml:space="preserve">. </w:t>
      </w:r>
      <w:r w:rsidR="00F73300" w:rsidRPr="003F2E00">
        <w:rPr>
          <w:sz w:val="28"/>
          <w:szCs w:val="28"/>
        </w:rPr>
        <w:t xml:space="preserve">Par </w:t>
      </w:r>
      <w:r w:rsidR="0092521D" w:rsidRPr="003F2E00">
        <w:rPr>
          <w:sz w:val="28"/>
          <w:szCs w:val="28"/>
        </w:rPr>
        <w:t>ELFLA</w:t>
      </w:r>
      <w:r w:rsidR="00EB0307" w:rsidRPr="003F2E00">
        <w:rPr>
          <w:sz w:val="28"/>
          <w:szCs w:val="28"/>
        </w:rPr>
        <w:t xml:space="preserve"> Latvijas Lauku attīstības programmas 2014.</w:t>
      </w:r>
      <w:r w:rsidR="00582207" w:rsidRPr="003F2E00">
        <w:rPr>
          <w:sz w:val="28"/>
          <w:szCs w:val="28"/>
        </w:rPr>
        <w:t>–</w:t>
      </w:r>
      <w:r w:rsidR="00EB0307" w:rsidRPr="003F2E00">
        <w:rPr>
          <w:sz w:val="28"/>
          <w:szCs w:val="28"/>
        </w:rPr>
        <w:t xml:space="preserve">2020.gadam pasākuma </w:t>
      </w:r>
      <w:r w:rsidR="00EB0307" w:rsidRPr="003F2E00">
        <w:rPr>
          <w:sz w:val="28"/>
          <w:szCs w:val="28"/>
        </w:rPr>
        <w:lastRenderedPageBreak/>
        <w:t>“Ieguldījumi mežu attīstībā un mežu dzīvotspējas pilnveidošanā” apakšpasākuma “Atbalsts meža bojājumu profilaksei un atjaunošanai, ko nodarījuši ugunsgrēki, dabas katastrofas, katastrofāli notikumi” aktivitāt</w:t>
      </w:r>
      <w:r w:rsidR="00582207" w:rsidRPr="003F2E00">
        <w:rPr>
          <w:sz w:val="28"/>
          <w:szCs w:val="28"/>
        </w:rPr>
        <w:t>es</w:t>
      </w:r>
      <w:r w:rsidR="00EB0307" w:rsidRPr="003F2E00">
        <w:rPr>
          <w:sz w:val="28"/>
          <w:szCs w:val="28"/>
        </w:rPr>
        <w:t xml:space="preserve"> “Meža ugunsgrēku, kaitēkļu un slimību monitoringa iekārtu un sakaru aprīkojuma ierīkošana un uzlabošana” projekta Nr.</w:t>
      </w:r>
      <w:r w:rsidR="00582207" w:rsidRPr="003F2E00">
        <w:rPr>
          <w:sz w:val="28"/>
          <w:szCs w:val="28"/>
        </w:rPr>
        <w:t xml:space="preserve"> </w:t>
      </w:r>
      <w:r w:rsidR="00EB0307" w:rsidRPr="003F2E00">
        <w:rPr>
          <w:sz w:val="28"/>
          <w:szCs w:val="28"/>
        </w:rPr>
        <w:t xml:space="preserve">18-00-A00803-000003 “Meža ugunsdrošības sakaru aprīkojuma un novērošanas iekārtu tīkla izveidošana un pilnveidošana” </w:t>
      </w:r>
      <w:r w:rsidR="00F73300" w:rsidRPr="003F2E00">
        <w:rPr>
          <w:sz w:val="28"/>
          <w:szCs w:val="28"/>
        </w:rPr>
        <w:t xml:space="preserve">līdzekļiem </w:t>
      </w:r>
      <w:r w:rsidR="00B73209" w:rsidRPr="003F2E00">
        <w:rPr>
          <w:sz w:val="28"/>
          <w:szCs w:val="28"/>
        </w:rPr>
        <w:t>2019.</w:t>
      </w:r>
      <w:r w:rsidR="00582207" w:rsidRPr="003F2E00">
        <w:rPr>
          <w:sz w:val="28"/>
          <w:szCs w:val="28"/>
        </w:rPr>
        <w:t xml:space="preserve"> </w:t>
      </w:r>
      <w:r w:rsidR="00B73209" w:rsidRPr="003F2E00">
        <w:rPr>
          <w:sz w:val="28"/>
          <w:szCs w:val="28"/>
        </w:rPr>
        <w:t xml:space="preserve">gadā </w:t>
      </w:r>
      <w:r w:rsidR="00B73209" w:rsidRPr="003F2E00">
        <w:rPr>
          <w:rFonts w:eastAsiaTheme="minorHAnsi"/>
          <w:color w:val="000000"/>
          <w:sz w:val="28"/>
          <w:szCs w:val="28"/>
        </w:rPr>
        <w:t>tiks uzsākts un 2020. gadā</w:t>
      </w:r>
      <w:r w:rsidR="00EB0307" w:rsidRPr="003F2E00">
        <w:rPr>
          <w:rFonts w:eastAsiaTheme="minorHAnsi"/>
          <w:color w:val="000000"/>
          <w:sz w:val="28"/>
          <w:szCs w:val="28"/>
        </w:rPr>
        <w:t xml:space="preserve"> </w:t>
      </w:r>
      <w:r w:rsidR="00582207" w:rsidRPr="003F2E00">
        <w:rPr>
          <w:rFonts w:eastAsiaTheme="minorHAnsi"/>
          <w:color w:val="000000"/>
          <w:sz w:val="28"/>
          <w:szCs w:val="28"/>
        </w:rPr>
        <w:t>īsteno</w:t>
      </w:r>
      <w:r w:rsidR="0092521D" w:rsidRPr="003F2E00">
        <w:rPr>
          <w:rFonts w:eastAsiaTheme="minorHAnsi"/>
          <w:color w:val="000000"/>
          <w:sz w:val="28"/>
          <w:szCs w:val="28"/>
        </w:rPr>
        <w:t xml:space="preserve">ts </w:t>
      </w:r>
      <w:r w:rsidR="00EB0307" w:rsidRPr="003F2E00">
        <w:rPr>
          <w:rFonts w:eastAsiaTheme="minorHAnsi"/>
          <w:color w:val="000000"/>
          <w:sz w:val="28"/>
          <w:szCs w:val="28"/>
        </w:rPr>
        <w:t>p</w:t>
      </w:r>
      <w:r w:rsidR="00EB0307" w:rsidRPr="003F2E00">
        <w:rPr>
          <w:sz w:val="28"/>
          <w:szCs w:val="28"/>
        </w:rPr>
        <w:t>rojekts</w:t>
      </w:r>
      <w:r w:rsidR="00B73209" w:rsidRPr="003F2E00">
        <w:rPr>
          <w:sz w:val="28"/>
          <w:szCs w:val="28"/>
        </w:rPr>
        <w:t xml:space="preserve"> </w:t>
      </w:r>
      <w:r w:rsidR="00EB0307" w:rsidRPr="003F2E00">
        <w:rPr>
          <w:sz w:val="28"/>
          <w:szCs w:val="28"/>
        </w:rPr>
        <w:t xml:space="preserve">par attālinātas ugunsgrēku atklāšanas un novērošanas sistēmas izveidi uz 12 meža uguns novērošanas torņiem </w:t>
      </w:r>
      <w:r w:rsidR="00F73300" w:rsidRPr="003F2E00">
        <w:rPr>
          <w:sz w:val="28"/>
          <w:szCs w:val="28"/>
        </w:rPr>
        <w:t xml:space="preserve">Rīgas un Pierīgas reģionā. </w:t>
      </w:r>
      <w:r w:rsidR="005F7AC8" w:rsidRPr="003F2E00">
        <w:rPr>
          <w:sz w:val="28"/>
          <w:szCs w:val="28"/>
        </w:rPr>
        <w:t>Attālinātās meža ugunsgrēku novērošanas sistēma ietvertu esošo uguns novērošanas torņu aprīkošanu ar kamerām un operatīvās vadības punktu izveidi. Latvijas teritorijā būtu izvietojami līdz 10 operatīvās vadības punkt</w:t>
      </w:r>
      <w:r w:rsidR="00582207" w:rsidRPr="003F2E00">
        <w:rPr>
          <w:sz w:val="28"/>
          <w:szCs w:val="28"/>
        </w:rPr>
        <w:t>u</w:t>
      </w:r>
      <w:r w:rsidR="005F7AC8" w:rsidRPr="003F2E00">
        <w:rPr>
          <w:sz w:val="28"/>
          <w:szCs w:val="28"/>
        </w:rPr>
        <w:t>, kur</w:t>
      </w:r>
      <w:r w:rsidR="00582207" w:rsidRPr="003F2E00">
        <w:rPr>
          <w:sz w:val="28"/>
          <w:szCs w:val="28"/>
        </w:rPr>
        <w:t>os</w:t>
      </w:r>
      <w:r w:rsidR="005F7AC8" w:rsidRPr="003F2E00">
        <w:rPr>
          <w:sz w:val="28"/>
          <w:szCs w:val="28"/>
        </w:rPr>
        <w:t xml:space="preserve"> tiktu saņemti, apstrādāti un analizēti dati. Pamatojoties uz operatīvās vadības punktā pieņemtajiem lēmumiem, būtu veicama tālākā meža ugunsgrēka vietas meklēšana un atklāšana mežā. Tād</w:t>
      </w:r>
      <w:r w:rsidR="00582207" w:rsidRPr="003F2E00">
        <w:rPr>
          <w:sz w:val="28"/>
          <w:szCs w:val="28"/>
        </w:rPr>
        <w:t>ē</w:t>
      </w:r>
      <w:r w:rsidR="005F7AC8" w:rsidRPr="003F2E00">
        <w:rPr>
          <w:sz w:val="28"/>
          <w:szCs w:val="28"/>
        </w:rPr>
        <w:t>jād</w:t>
      </w:r>
      <w:r w:rsidR="002C23CB" w:rsidRPr="003F2E00">
        <w:rPr>
          <w:sz w:val="28"/>
          <w:szCs w:val="28"/>
        </w:rPr>
        <w:t>i</w:t>
      </w:r>
      <w:r w:rsidR="005F7AC8" w:rsidRPr="003F2E00">
        <w:rPr>
          <w:sz w:val="28"/>
          <w:szCs w:val="28"/>
        </w:rPr>
        <w:t xml:space="preserve"> VMD būtu iespēja samazināt nepieciešamos cilvēkresursus uguns novērošanas torņos</w:t>
      </w:r>
      <w:r w:rsidR="002C23CB" w:rsidRPr="003F2E00">
        <w:rPr>
          <w:sz w:val="28"/>
          <w:szCs w:val="28"/>
        </w:rPr>
        <w:t>,</w:t>
      </w:r>
      <w:r w:rsidR="005F7AC8" w:rsidRPr="003F2E00">
        <w:rPr>
          <w:sz w:val="28"/>
          <w:szCs w:val="28"/>
        </w:rPr>
        <w:t xml:space="preserve"> </w:t>
      </w:r>
      <w:r w:rsidR="002C23CB" w:rsidRPr="003F2E00">
        <w:rPr>
          <w:sz w:val="28"/>
          <w:szCs w:val="28"/>
        </w:rPr>
        <w:t>t</w:t>
      </w:r>
      <w:r w:rsidR="00F73300" w:rsidRPr="003F2E00">
        <w:rPr>
          <w:sz w:val="28"/>
          <w:szCs w:val="28"/>
        </w:rPr>
        <w:t>a</w:t>
      </w:r>
      <w:r w:rsidR="00570757" w:rsidRPr="003F2E00">
        <w:rPr>
          <w:sz w:val="28"/>
          <w:szCs w:val="28"/>
        </w:rPr>
        <w:t>ču tas</w:t>
      </w:r>
      <w:r w:rsidR="00F73300" w:rsidRPr="003F2E00">
        <w:rPr>
          <w:sz w:val="28"/>
          <w:szCs w:val="28"/>
        </w:rPr>
        <w:t xml:space="preserve"> neatrisin</w:t>
      </w:r>
      <w:r w:rsidR="00570757" w:rsidRPr="003F2E00">
        <w:rPr>
          <w:sz w:val="28"/>
          <w:szCs w:val="28"/>
        </w:rPr>
        <w:t>ās</w:t>
      </w:r>
      <w:r w:rsidR="00F73300" w:rsidRPr="003F2E00">
        <w:rPr>
          <w:sz w:val="28"/>
          <w:szCs w:val="28"/>
        </w:rPr>
        <w:t xml:space="preserve"> problēmu </w:t>
      </w:r>
      <w:r w:rsidR="002C23CB" w:rsidRPr="003F2E00">
        <w:rPr>
          <w:sz w:val="28"/>
          <w:szCs w:val="28"/>
        </w:rPr>
        <w:t>p</w:t>
      </w:r>
      <w:r w:rsidR="00F73300" w:rsidRPr="003F2E00">
        <w:rPr>
          <w:sz w:val="28"/>
          <w:szCs w:val="28"/>
        </w:rPr>
        <w:t>ar praktiskajā ugunsdzēsībā iesaistīto cilvēku un finanšu resursu nodrošināšanu</w:t>
      </w:r>
      <w:r w:rsidR="006C6BD2" w:rsidRPr="003F2E00">
        <w:rPr>
          <w:sz w:val="28"/>
          <w:szCs w:val="28"/>
        </w:rPr>
        <w:t xml:space="preserve"> turpmākajos gados.</w:t>
      </w:r>
      <w:r w:rsidR="00F73300" w:rsidRPr="003F2E00">
        <w:rPr>
          <w:sz w:val="28"/>
          <w:szCs w:val="28"/>
        </w:rPr>
        <w:t xml:space="preserve"> </w:t>
      </w:r>
    </w:p>
    <w:p w:rsidR="00D7023C" w:rsidRPr="00262F32" w:rsidRDefault="00F773F6" w:rsidP="00262F32">
      <w:pPr>
        <w:pStyle w:val="Heading20"/>
      </w:pPr>
      <w:bookmarkStart w:id="21" w:name="_Toc524596700"/>
      <w:bookmarkStart w:id="22" w:name="_Toc524598907"/>
      <w:bookmarkStart w:id="23" w:name="_Toc5911202"/>
      <w:r w:rsidRPr="00262F32">
        <w:t>Iespējamās sekas</w:t>
      </w:r>
      <w:bookmarkEnd w:id="21"/>
      <w:bookmarkEnd w:id="22"/>
      <w:bookmarkEnd w:id="23"/>
    </w:p>
    <w:p w:rsidR="00672DDD" w:rsidRPr="003F2E00" w:rsidRDefault="00672DDD" w:rsidP="001410AC">
      <w:pPr>
        <w:pStyle w:val="Darbateksts"/>
        <w:rPr>
          <w:sz w:val="28"/>
          <w:szCs w:val="28"/>
        </w:rPr>
      </w:pPr>
      <w:r w:rsidRPr="003F2E00">
        <w:rPr>
          <w:sz w:val="28"/>
          <w:szCs w:val="28"/>
        </w:rPr>
        <w:t xml:space="preserve">Meža ugunsgrēki ir nozīmīgs meža nozares apdraudējums ar </w:t>
      </w:r>
      <w:r w:rsidR="002C23CB" w:rsidRPr="003F2E00">
        <w:rPr>
          <w:sz w:val="28"/>
          <w:szCs w:val="28"/>
        </w:rPr>
        <w:t>lielu</w:t>
      </w:r>
      <w:r w:rsidRPr="003F2E00">
        <w:rPr>
          <w:sz w:val="28"/>
          <w:szCs w:val="28"/>
        </w:rPr>
        <w:t xml:space="preserve"> iestāšanās varbūtību, tāpēc ir nepieciešams stiprināt VMD kapacitāti ugunsdzēsības jomā, lai nesamazinātu koksnes resursu ieguvi</w:t>
      </w:r>
      <w:r w:rsidR="002C23CB" w:rsidRPr="003F2E00">
        <w:rPr>
          <w:sz w:val="28"/>
          <w:szCs w:val="28"/>
        </w:rPr>
        <w:t xml:space="preserve"> un</w:t>
      </w:r>
      <w:r w:rsidRPr="003F2E00">
        <w:rPr>
          <w:sz w:val="28"/>
          <w:szCs w:val="28"/>
        </w:rPr>
        <w:t xml:space="preserve"> meža kapitāla vērtību. Stiprinot VMD kapacitāti</w:t>
      </w:r>
      <w:r w:rsidR="002C23CB" w:rsidRPr="003F2E00">
        <w:rPr>
          <w:sz w:val="28"/>
          <w:szCs w:val="28"/>
        </w:rPr>
        <w:t>,</w:t>
      </w:r>
      <w:r w:rsidRPr="003F2E00">
        <w:rPr>
          <w:sz w:val="28"/>
          <w:szCs w:val="28"/>
        </w:rPr>
        <w:t xml:space="preserve"> vienlaikus tiks </w:t>
      </w:r>
      <w:r w:rsidR="002C23CB" w:rsidRPr="003F2E00">
        <w:rPr>
          <w:sz w:val="28"/>
          <w:szCs w:val="28"/>
        </w:rPr>
        <w:t xml:space="preserve">izpildīti </w:t>
      </w:r>
      <w:r w:rsidRPr="003F2E00">
        <w:rPr>
          <w:sz w:val="28"/>
          <w:szCs w:val="28"/>
        </w:rPr>
        <w:t>civilās aizsardzības uzdevum</w:t>
      </w:r>
      <w:r w:rsidR="002C23CB" w:rsidRPr="003F2E00">
        <w:rPr>
          <w:sz w:val="28"/>
          <w:szCs w:val="28"/>
        </w:rPr>
        <w:t>i</w:t>
      </w:r>
      <w:r w:rsidRPr="003F2E00">
        <w:rPr>
          <w:sz w:val="28"/>
          <w:szCs w:val="28"/>
        </w:rPr>
        <w:t>, kas ir nozīmīg</w:t>
      </w:r>
      <w:r w:rsidR="002C23CB" w:rsidRPr="003F2E00">
        <w:rPr>
          <w:sz w:val="28"/>
          <w:szCs w:val="28"/>
        </w:rPr>
        <w:t>i</w:t>
      </w:r>
      <w:r w:rsidRPr="003F2E00">
        <w:rPr>
          <w:sz w:val="28"/>
          <w:szCs w:val="28"/>
        </w:rPr>
        <w:t xml:space="preserve"> valsts drošībai. </w:t>
      </w:r>
    </w:p>
    <w:p w:rsidR="00914E9A" w:rsidRPr="003F2E00" w:rsidRDefault="00914E9A" w:rsidP="004C1E2F">
      <w:pPr>
        <w:pStyle w:val="Tekstastils"/>
        <w:rPr>
          <w:sz w:val="28"/>
          <w:szCs w:val="28"/>
        </w:rPr>
      </w:pPr>
      <w:r w:rsidRPr="003F2E00">
        <w:rPr>
          <w:rFonts w:eastAsia="Times New Roman"/>
          <w:color w:val="000000"/>
          <w:sz w:val="28"/>
          <w:szCs w:val="28"/>
        </w:rPr>
        <w:t xml:space="preserve">2013. gadā Valsts kontrole veica revīziju par </w:t>
      </w:r>
      <w:r w:rsidR="002C23CB" w:rsidRPr="003F2E00">
        <w:rPr>
          <w:sz w:val="28"/>
          <w:szCs w:val="28"/>
        </w:rPr>
        <w:t>v</w:t>
      </w:r>
      <w:r w:rsidRPr="003F2E00">
        <w:rPr>
          <w:sz w:val="28"/>
          <w:szCs w:val="28"/>
        </w:rPr>
        <w:t>alsts meža dienesta strukturālo izmaiņu pamatotīb</w:t>
      </w:r>
      <w:r w:rsidR="002C23CB" w:rsidRPr="003F2E00">
        <w:rPr>
          <w:sz w:val="28"/>
          <w:szCs w:val="28"/>
        </w:rPr>
        <w:t>u</w:t>
      </w:r>
      <w:r w:rsidRPr="003F2E00">
        <w:rPr>
          <w:sz w:val="28"/>
          <w:szCs w:val="28"/>
        </w:rPr>
        <w:t xml:space="preserve"> un dienesta darbības atbilstīb</w:t>
      </w:r>
      <w:r w:rsidR="002C23CB" w:rsidRPr="003F2E00">
        <w:rPr>
          <w:sz w:val="28"/>
          <w:szCs w:val="28"/>
        </w:rPr>
        <w:t>u</w:t>
      </w:r>
      <w:r w:rsidRPr="003F2E00">
        <w:rPr>
          <w:sz w:val="28"/>
          <w:szCs w:val="28"/>
        </w:rPr>
        <w:t xml:space="preserve"> normatīvo aktu prasībām un efektivitāte</w:t>
      </w:r>
      <w:r w:rsidR="002C23CB" w:rsidRPr="003F2E00">
        <w:rPr>
          <w:rFonts w:eastAsia="Times New Roman"/>
          <w:color w:val="000000"/>
          <w:sz w:val="28"/>
          <w:szCs w:val="28"/>
        </w:rPr>
        <w:t>,</w:t>
      </w:r>
      <w:r w:rsidRPr="003F2E00">
        <w:rPr>
          <w:rFonts w:eastAsia="Times New Roman"/>
          <w:color w:val="000000"/>
          <w:sz w:val="28"/>
          <w:szCs w:val="28"/>
        </w:rPr>
        <w:t xml:space="preserve"> un viens no Valsts kontroles secinājumiem ir</w:t>
      </w:r>
      <w:r w:rsidR="002C23CB" w:rsidRPr="003F2E00">
        <w:rPr>
          <w:rFonts w:eastAsia="Times New Roman"/>
          <w:color w:val="000000"/>
          <w:sz w:val="28"/>
          <w:szCs w:val="28"/>
        </w:rPr>
        <w:t xml:space="preserve"> tāds</w:t>
      </w:r>
      <w:r w:rsidRPr="003F2E00">
        <w:rPr>
          <w:rFonts w:eastAsia="Times New Roman"/>
          <w:color w:val="000000"/>
          <w:sz w:val="28"/>
          <w:szCs w:val="28"/>
        </w:rPr>
        <w:t xml:space="preserve">, ka </w:t>
      </w:r>
      <w:r w:rsidRPr="003F2E00">
        <w:rPr>
          <w:sz w:val="28"/>
          <w:szCs w:val="28"/>
        </w:rPr>
        <w:t xml:space="preserve">nepietiekama finansējuma dēļ pastāv </w:t>
      </w:r>
      <w:r w:rsidR="002C23CB" w:rsidRPr="003F2E00">
        <w:rPr>
          <w:sz w:val="28"/>
          <w:szCs w:val="28"/>
        </w:rPr>
        <w:t>liels</w:t>
      </w:r>
      <w:r w:rsidRPr="003F2E00">
        <w:rPr>
          <w:sz w:val="28"/>
          <w:szCs w:val="28"/>
        </w:rPr>
        <w:t xml:space="preserve"> risks, ka paaugstinātas degamības periodā VMD nespēs nodrošināt funkcijas īstenošanu pilnā apjomā (revīzijas ziņojuma 198.</w:t>
      </w:r>
      <w:r w:rsidR="002C23CB" w:rsidRPr="003F2E00">
        <w:rPr>
          <w:sz w:val="28"/>
          <w:szCs w:val="28"/>
        </w:rPr>
        <w:t xml:space="preserve"> </w:t>
      </w:r>
      <w:r w:rsidRPr="003F2E00">
        <w:rPr>
          <w:sz w:val="28"/>
          <w:szCs w:val="28"/>
        </w:rPr>
        <w:t>punkts).</w:t>
      </w:r>
      <w:r w:rsidRPr="003F2E00">
        <w:rPr>
          <w:rFonts w:eastAsia="Times New Roman"/>
          <w:color w:val="000000"/>
          <w:sz w:val="28"/>
          <w:szCs w:val="28"/>
        </w:rPr>
        <w:t xml:space="preserve"> </w:t>
      </w:r>
      <w:r w:rsidR="002C23CB" w:rsidRPr="003F2E00">
        <w:rPr>
          <w:rFonts w:eastAsia="Times New Roman"/>
          <w:color w:val="000000"/>
          <w:sz w:val="28"/>
          <w:szCs w:val="28"/>
        </w:rPr>
        <w:t>Ievērojot</w:t>
      </w:r>
      <w:r w:rsidRPr="003F2E00">
        <w:rPr>
          <w:rFonts w:eastAsia="Times New Roman"/>
          <w:color w:val="000000"/>
          <w:sz w:val="28"/>
          <w:szCs w:val="28"/>
        </w:rPr>
        <w:t xml:space="preserve"> Valsts kontroles ieteikumus</w:t>
      </w:r>
      <w:r w:rsidR="002C23CB" w:rsidRPr="003F2E00">
        <w:rPr>
          <w:rFonts w:eastAsia="Times New Roman"/>
          <w:color w:val="000000"/>
          <w:sz w:val="28"/>
          <w:szCs w:val="28"/>
        </w:rPr>
        <w:t>,</w:t>
      </w:r>
      <w:r w:rsidRPr="003F2E00">
        <w:rPr>
          <w:rFonts w:eastAsia="Times New Roman"/>
          <w:color w:val="000000"/>
          <w:sz w:val="28"/>
          <w:szCs w:val="28"/>
        </w:rPr>
        <w:t xml:space="preserve"> VMD ir </w:t>
      </w:r>
      <w:r w:rsidRPr="003F2E00">
        <w:rPr>
          <w:sz w:val="28"/>
          <w:szCs w:val="28"/>
        </w:rPr>
        <w:t>pilnveidojis meža ugunsdzēsības izdevumu uzskaiti</w:t>
      </w:r>
      <w:r w:rsidR="002C23CB" w:rsidRPr="003F2E00">
        <w:rPr>
          <w:sz w:val="28"/>
          <w:szCs w:val="28"/>
        </w:rPr>
        <w:t xml:space="preserve"> un</w:t>
      </w:r>
      <w:r w:rsidRPr="003F2E00">
        <w:rPr>
          <w:sz w:val="28"/>
          <w:szCs w:val="28"/>
        </w:rPr>
        <w:t xml:space="preserve"> iekšējās procedūras, izvērtējis </w:t>
      </w:r>
      <w:r w:rsidR="002C23CB" w:rsidRPr="003F2E00">
        <w:rPr>
          <w:sz w:val="28"/>
          <w:szCs w:val="28"/>
        </w:rPr>
        <w:t>UNT</w:t>
      </w:r>
      <w:r w:rsidRPr="003F2E00">
        <w:rPr>
          <w:sz w:val="28"/>
          <w:szCs w:val="28"/>
        </w:rPr>
        <w:t xml:space="preserve"> tīklu, iesniedzis priekšlikumu tiesību normu grozījumiem meža ugunsgrēka vietas uzraudzīšanā, </w:t>
      </w:r>
      <w:r w:rsidR="002C23CB" w:rsidRPr="003F2E00">
        <w:rPr>
          <w:sz w:val="28"/>
          <w:szCs w:val="28"/>
        </w:rPr>
        <w:t xml:space="preserve">kā </w:t>
      </w:r>
      <w:r w:rsidRPr="003F2E00">
        <w:rPr>
          <w:sz w:val="28"/>
          <w:szCs w:val="28"/>
        </w:rPr>
        <w:t>arī izvērtējis specializētā ugunsdzēsības transporta intensīvākas izmantošanas iespējas</w:t>
      </w:r>
      <w:r w:rsidR="00E80D89" w:rsidRPr="003F2E00">
        <w:rPr>
          <w:sz w:val="28"/>
          <w:szCs w:val="28"/>
        </w:rPr>
        <w:t>.</w:t>
      </w:r>
    </w:p>
    <w:p w:rsidR="00415C8C" w:rsidRPr="003F2E00" w:rsidRDefault="00914E9A" w:rsidP="003B555D">
      <w:pPr>
        <w:pStyle w:val="Tekstastils"/>
        <w:rPr>
          <w:sz w:val="28"/>
          <w:szCs w:val="28"/>
        </w:rPr>
      </w:pPr>
      <w:r w:rsidRPr="003F2E00">
        <w:rPr>
          <w:sz w:val="28"/>
          <w:szCs w:val="28"/>
        </w:rPr>
        <w:t xml:space="preserve">Svarīgi ir norādīt, ka </w:t>
      </w:r>
      <w:r w:rsidR="00F773F6" w:rsidRPr="003F2E00">
        <w:rPr>
          <w:sz w:val="28"/>
          <w:szCs w:val="28"/>
        </w:rPr>
        <w:t xml:space="preserve">VMD, </w:t>
      </w:r>
      <w:r w:rsidR="002C23CB" w:rsidRPr="003F2E00">
        <w:rPr>
          <w:sz w:val="28"/>
          <w:szCs w:val="28"/>
        </w:rPr>
        <w:t xml:space="preserve">ilgstoši </w:t>
      </w:r>
      <w:r w:rsidR="00F773F6" w:rsidRPr="003F2E00">
        <w:rPr>
          <w:sz w:val="28"/>
          <w:szCs w:val="28"/>
        </w:rPr>
        <w:t xml:space="preserve">strādājot </w:t>
      </w:r>
      <w:r w:rsidR="002C23CB" w:rsidRPr="003F2E00">
        <w:rPr>
          <w:sz w:val="28"/>
          <w:szCs w:val="28"/>
        </w:rPr>
        <w:t xml:space="preserve">ar </w:t>
      </w:r>
      <w:r w:rsidR="00F773F6" w:rsidRPr="003F2E00">
        <w:rPr>
          <w:sz w:val="28"/>
          <w:szCs w:val="28"/>
        </w:rPr>
        <w:t>nepietiekam</w:t>
      </w:r>
      <w:r w:rsidR="002C23CB" w:rsidRPr="003F2E00">
        <w:rPr>
          <w:sz w:val="28"/>
          <w:szCs w:val="28"/>
        </w:rPr>
        <w:t>u</w:t>
      </w:r>
      <w:r w:rsidR="00F773F6" w:rsidRPr="003F2E00">
        <w:rPr>
          <w:sz w:val="28"/>
          <w:szCs w:val="28"/>
        </w:rPr>
        <w:t xml:space="preserve"> finansējum</w:t>
      </w:r>
      <w:r w:rsidR="002C23CB" w:rsidRPr="003F2E00">
        <w:rPr>
          <w:sz w:val="28"/>
          <w:szCs w:val="28"/>
        </w:rPr>
        <w:t>u</w:t>
      </w:r>
      <w:r w:rsidR="00F773F6" w:rsidRPr="003F2E00">
        <w:rPr>
          <w:sz w:val="28"/>
          <w:szCs w:val="28"/>
        </w:rPr>
        <w:t xml:space="preserve">, zūd iespējas un motivācija kvalitatīvi pildīt meža ugunsdzēšanas funkciju, </w:t>
      </w:r>
      <w:r w:rsidR="002C23CB" w:rsidRPr="003F2E00">
        <w:rPr>
          <w:sz w:val="28"/>
          <w:szCs w:val="28"/>
        </w:rPr>
        <w:t>bet tas</w:t>
      </w:r>
      <w:r w:rsidR="00F773F6" w:rsidRPr="003F2E00">
        <w:rPr>
          <w:sz w:val="28"/>
          <w:szCs w:val="28"/>
        </w:rPr>
        <w:t xml:space="preserve"> ietekmē valsts iekšējo drošību, meža nozares ekonomisko attīstību, dabas vērtības un iedzīvotāju drošību un rekreācijas iespējas. Nerodot risinājumu meža ugunsdrošības finansēšanai, turpināsies darbinieku pārmērīga noslogošana, sezonas </w:t>
      </w:r>
      <w:r w:rsidR="00F773F6" w:rsidRPr="003F2E00">
        <w:rPr>
          <w:sz w:val="28"/>
          <w:szCs w:val="28"/>
        </w:rPr>
        <w:lastRenderedPageBreak/>
        <w:t>darbinieku mainība, materiāltehniskās bāzes noplicināšana, zudīs motivācija atbildīgi pildīt funkciju un palielināsies iespējamība meža ugunsgrēku izplatībai, tā r</w:t>
      </w:r>
      <w:r w:rsidR="002C23CB" w:rsidRPr="003F2E00">
        <w:rPr>
          <w:sz w:val="28"/>
          <w:szCs w:val="28"/>
        </w:rPr>
        <w:t>odoties</w:t>
      </w:r>
      <w:r w:rsidR="00F773F6" w:rsidRPr="003F2E00">
        <w:rPr>
          <w:sz w:val="28"/>
          <w:szCs w:val="28"/>
        </w:rPr>
        <w:t xml:space="preserve"> papildu riski</w:t>
      </w:r>
      <w:r w:rsidR="002C23CB" w:rsidRPr="003F2E00">
        <w:rPr>
          <w:sz w:val="28"/>
          <w:szCs w:val="28"/>
        </w:rPr>
        <w:t>em</w:t>
      </w:r>
      <w:r w:rsidR="00F773F6" w:rsidRPr="003F2E00">
        <w:rPr>
          <w:sz w:val="28"/>
          <w:szCs w:val="28"/>
        </w:rPr>
        <w:t xml:space="preserve"> valsts iekšējai drošībai un Civilās aizsardzības plāna izpildei. Risinot problēmas meža ugunsdzēsībā, līdzekļi tiks izlietoti darbinieku atlīdzībai, materiāltehniskās bāzes atjaunošanai un uzturēšanai. VMD </w:t>
      </w:r>
      <w:r w:rsidR="00BF371C" w:rsidRPr="003F2E00">
        <w:rPr>
          <w:sz w:val="28"/>
          <w:szCs w:val="28"/>
        </w:rPr>
        <w:t>varēs</w:t>
      </w:r>
      <w:r w:rsidR="00F773F6" w:rsidRPr="003F2E00">
        <w:rPr>
          <w:sz w:val="28"/>
          <w:szCs w:val="28"/>
        </w:rPr>
        <w:t xml:space="preserve"> piln</w:t>
      </w:r>
      <w:r w:rsidR="002C23CB" w:rsidRPr="003F2E00">
        <w:rPr>
          <w:sz w:val="28"/>
          <w:szCs w:val="28"/>
        </w:rPr>
        <w:t>ībā</w:t>
      </w:r>
      <w:r w:rsidR="00F773F6" w:rsidRPr="003F2E00">
        <w:rPr>
          <w:sz w:val="28"/>
          <w:szCs w:val="28"/>
        </w:rPr>
        <w:t xml:space="preserve"> pildīt funkciju, kas stiprinās valsts iekšējo drošību, nekavēs nozares ekonomisko attīstību, ļaus saglabāt bioloģisko daudzveidību un neapdraudēs vietējos iedzīvotājus. Meža ugunsdzēsības nodrošināšanai finansējums nepieciešams </w:t>
      </w:r>
      <w:r w:rsidR="00A027B5" w:rsidRPr="003F2E00">
        <w:rPr>
          <w:sz w:val="28"/>
          <w:szCs w:val="28"/>
        </w:rPr>
        <w:t>atlīdz</w:t>
      </w:r>
      <w:r w:rsidR="00271A2F" w:rsidRPr="003F2E00">
        <w:rPr>
          <w:sz w:val="28"/>
          <w:szCs w:val="28"/>
        </w:rPr>
        <w:t xml:space="preserve">ībai un kapitālajiem </w:t>
      </w:r>
      <w:r w:rsidR="00F773F6" w:rsidRPr="003F2E00">
        <w:rPr>
          <w:sz w:val="28"/>
          <w:szCs w:val="28"/>
        </w:rPr>
        <w:t>ieguldījumiem</w:t>
      </w:r>
      <w:r w:rsidR="005D1D26" w:rsidRPr="003F2E00">
        <w:rPr>
          <w:sz w:val="28"/>
          <w:szCs w:val="28"/>
        </w:rPr>
        <w:t xml:space="preserve"> – Meža ugunsdzēsības staciju</w:t>
      </w:r>
      <w:r w:rsidR="00BF371C" w:rsidRPr="003F2E00">
        <w:rPr>
          <w:sz w:val="28"/>
          <w:szCs w:val="28"/>
        </w:rPr>
        <w:t xml:space="preserve"> rekonstrukcijai un</w:t>
      </w:r>
      <w:r w:rsidR="005D1D26" w:rsidRPr="003F2E00">
        <w:rPr>
          <w:sz w:val="28"/>
          <w:szCs w:val="28"/>
        </w:rPr>
        <w:t xml:space="preserve"> garāžu kapitālajiem remontiem, </w:t>
      </w:r>
      <w:r w:rsidR="002C23CB" w:rsidRPr="003F2E00">
        <w:rPr>
          <w:sz w:val="28"/>
          <w:szCs w:val="28"/>
        </w:rPr>
        <w:t xml:space="preserve">turpmākai </w:t>
      </w:r>
      <w:r w:rsidR="005D1D26" w:rsidRPr="003F2E00">
        <w:rPr>
          <w:sz w:val="28"/>
          <w:szCs w:val="28"/>
        </w:rPr>
        <w:t>specializētā uguns</w:t>
      </w:r>
      <w:r w:rsidR="00E82341" w:rsidRPr="003F2E00">
        <w:rPr>
          <w:sz w:val="28"/>
          <w:szCs w:val="28"/>
        </w:rPr>
        <w:t xml:space="preserve"> </w:t>
      </w:r>
      <w:r w:rsidR="005D1D26" w:rsidRPr="003F2E00">
        <w:rPr>
          <w:sz w:val="28"/>
          <w:szCs w:val="28"/>
        </w:rPr>
        <w:t xml:space="preserve">apsardzības transporta iegādei, </w:t>
      </w:r>
      <w:r w:rsidR="002C23CB" w:rsidRPr="003F2E00">
        <w:rPr>
          <w:sz w:val="28"/>
          <w:szCs w:val="28"/>
        </w:rPr>
        <w:t xml:space="preserve">tā </w:t>
      </w:r>
      <w:r w:rsidR="005D1D26" w:rsidRPr="003F2E00">
        <w:rPr>
          <w:sz w:val="28"/>
          <w:szCs w:val="28"/>
        </w:rPr>
        <w:t xml:space="preserve">kravas </w:t>
      </w:r>
      <w:r w:rsidR="00FB54F1" w:rsidRPr="003F2E00">
        <w:rPr>
          <w:sz w:val="28"/>
          <w:szCs w:val="28"/>
        </w:rPr>
        <w:t xml:space="preserve">apvidus un cita </w:t>
      </w:r>
      <w:r w:rsidR="005D1D26" w:rsidRPr="003F2E00">
        <w:rPr>
          <w:sz w:val="28"/>
          <w:szCs w:val="28"/>
        </w:rPr>
        <w:t>autotransporta nomaiņai, kuriem beidzies lietderīgās kalpošanas laiks</w:t>
      </w:r>
      <w:r w:rsidR="002C23CB" w:rsidRPr="003F2E00">
        <w:rPr>
          <w:sz w:val="28"/>
          <w:szCs w:val="28"/>
        </w:rPr>
        <w:t>,</w:t>
      </w:r>
      <w:r w:rsidR="002A0431" w:rsidRPr="003F2E00">
        <w:rPr>
          <w:sz w:val="28"/>
          <w:szCs w:val="28"/>
        </w:rPr>
        <w:t xml:space="preserve"> un</w:t>
      </w:r>
      <w:r w:rsidR="002C44B1" w:rsidRPr="003F2E00">
        <w:rPr>
          <w:sz w:val="28"/>
          <w:szCs w:val="28"/>
        </w:rPr>
        <w:t xml:space="preserve"> </w:t>
      </w:r>
      <w:r w:rsidR="00EB0307" w:rsidRPr="003F2E00">
        <w:rPr>
          <w:sz w:val="28"/>
          <w:szCs w:val="28"/>
        </w:rPr>
        <w:t>kvadricikl</w:t>
      </w:r>
      <w:r w:rsidR="002C23CB" w:rsidRPr="003F2E00">
        <w:rPr>
          <w:sz w:val="28"/>
          <w:szCs w:val="28"/>
        </w:rPr>
        <w:t>u iegādei</w:t>
      </w:r>
      <w:r w:rsidR="002C44B1" w:rsidRPr="003F2E00">
        <w:rPr>
          <w:sz w:val="28"/>
          <w:szCs w:val="28"/>
        </w:rPr>
        <w:t xml:space="preserve">, kuri nepieciešami operatīvai </w:t>
      </w:r>
      <w:r w:rsidR="00BF371C" w:rsidRPr="003F2E00">
        <w:rPr>
          <w:sz w:val="28"/>
          <w:szCs w:val="28"/>
        </w:rPr>
        <w:t xml:space="preserve">piekļuvei </w:t>
      </w:r>
      <w:r w:rsidR="002C44B1" w:rsidRPr="003F2E00">
        <w:rPr>
          <w:sz w:val="28"/>
          <w:szCs w:val="28"/>
        </w:rPr>
        <w:t>mež</w:t>
      </w:r>
      <w:r w:rsidR="00B54680" w:rsidRPr="003F2E00">
        <w:rPr>
          <w:sz w:val="28"/>
          <w:szCs w:val="28"/>
        </w:rPr>
        <w:t>a</w:t>
      </w:r>
      <w:r w:rsidR="002C44B1" w:rsidRPr="003F2E00">
        <w:rPr>
          <w:sz w:val="28"/>
          <w:szCs w:val="28"/>
        </w:rPr>
        <w:t xml:space="preserve"> ugunsgrēka </w:t>
      </w:r>
      <w:r w:rsidRPr="003F2E00">
        <w:rPr>
          <w:sz w:val="28"/>
          <w:szCs w:val="28"/>
        </w:rPr>
        <w:t>viet</w:t>
      </w:r>
      <w:r w:rsidR="00BF371C" w:rsidRPr="003F2E00">
        <w:rPr>
          <w:sz w:val="28"/>
          <w:szCs w:val="28"/>
        </w:rPr>
        <w:t>ā</w:t>
      </w:r>
      <w:r w:rsidRPr="003F2E00">
        <w:rPr>
          <w:sz w:val="28"/>
          <w:szCs w:val="28"/>
        </w:rPr>
        <w:t xml:space="preserve"> </w:t>
      </w:r>
      <w:r w:rsidR="00E82341" w:rsidRPr="003F2E00">
        <w:rPr>
          <w:sz w:val="28"/>
          <w:szCs w:val="28"/>
        </w:rPr>
        <w:t>atbalsta sniegšanai ugunsdzēsējiem</w:t>
      </w:r>
      <w:r w:rsidRPr="003F2E00">
        <w:rPr>
          <w:sz w:val="28"/>
          <w:szCs w:val="28"/>
        </w:rPr>
        <w:t>. Attīstoties VMD informācijas sistēmai</w:t>
      </w:r>
      <w:r w:rsidR="00963A60" w:rsidRPr="003F2E00">
        <w:rPr>
          <w:sz w:val="28"/>
          <w:szCs w:val="28"/>
        </w:rPr>
        <w:t xml:space="preserve"> </w:t>
      </w:r>
      <w:r w:rsidR="002C23CB" w:rsidRPr="003F2E00">
        <w:rPr>
          <w:sz w:val="28"/>
          <w:szCs w:val="28"/>
        </w:rPr>
        <w:t>–</w:t>
      </w:r>
      <w:r w:rsidRPr="003F2E00">
        <w:rPr>
          <w:sz w:val="28"/>
          <w:szCs w:val="28"/>
        </w:rPr>
        <w:t xml:space="preserve"> Meža valsts reģistram </w:t>
      </w:r>
      <w:r w:rsidR="002C23CB" w:rsidRPr="003F2E00">
        <w:rPr>
          <w:sz w:val="28"/>
          <w:szCs w:val="28"/>
        </w:rPr>
        <w:t>–</w:t>
      </w:r>
      <w:r w:rsidRPr="003F2E00">
        <w:rPr>
          <w:sz w:val="28"/>
          <w:szCs w:val="28"/>
        </w:rPr>
        <w:t xml:space="preserve"> un tehnoloģijām, nepieciešams periodiski atjaunot VMD nodarbināto </w:t>
      </w:r>
      <w:r w:rsidR="002C23CB" w:rsidRPr="003F2E00">
        <w:rPr>
          <w:sz w:val="28"/>
          <w:szCs w:val="28"/>
        </w:rPr>
        <w:t xml:space="preserve">rīcībā </w:t>
      </w:r>
      <w:r w:rsidR="006C6BD2" w:rsidRPr="003F2E00">
        <w:rPr>
          <w:sz w:val="28"/>
          <w:szCs w:val="28"/>
        </w:rPr>
        <w:t xml:space="preserve">darba pienākumu </w:t>
      </w:r>
      <w:r w:rsidR="002C23CB" w:rsidRPr="003F2E00">
        <w:rPr>
          <w:sz w:val="28"/>
          <w:szCs w:val="28"/>
        </w:rPr>
        <w:t xml:space="preserve">izpildei </w:t>
      </w:r>
      <w:r w:rsidR="006C6BD2" w:rsidRPr="003F2E00">
        <w:rPr>
          <w:sz w:val="28"/>
          <w:szCs w:val="28"/>
        </w:rPr>
        <w:t xml:space="preserve">nodotos </w:t>
      </w:r>
      <w:r w:rsidRPr="003F2E00">
        <w:rPr>
          <w:sz w:val="28"/>
          <w:szCs w:val="28"/>
        </w:rPr>
        <w:t>tehniskos resursus, t</w:t>
      </w:r>
      <w:r w:rsidR="002C23CB" w:rsidRPr="003F2E00">
        <w:rPr>
          <w:sz w:val="28"/>
          <w:szCs w:val="28"/>
        </w:rPr>
        <w:t xml:space="preserve">ostarp </w:t>
      </w:r>
      <w:r w:rsidRPr="003F2E00">
        <w:rPr>
          <w:sz w:val="28"/>
          <w:szCs w:val="28"/>
        </w:rPr>
        <w:t>datortehniku, k</w:t>
      </w:r>
      <w:r w:rsidR="002C23CB" w:rsidRPr="003F2E00">
        <w:rPr>
          <w:sz w:val="28"/>
          <w:szCs w:val="28"/>
        </w:rPr>
        <w:t>as</w:t>
      </w:r>
      <w:r w:rsidRPr="003F2E00">
        <w:rPr>
          <w:sz w:val="28"/>
          <w:szCs w:val="28"/>
        </w:rPr>
        <w:t xml:space="preserve"> tiek izmantota meža ugunsgrēka vietas identificēšanā, operatīvas informācijas iegūšanā par ugunsdzēsībā izmantojamo meža infrastruktūru</w:t>
      </w:r>
      <w:r w:rsidR="00701C5A" w:rsidRPr="003F2E00">
        <w:rPr>
          <w:sz w:val="28"/>
          <w:szCs w:val="28"/>
        </w:rPr>
        <w:t xml:space="preserve"> (meža ceļiem, ūdens ņemšanas vietām utt</w:t>
      </w:r>
      <w:r w:rsidR="001A5BA5" w:rsidRPr="003F2E00">
        <w:rPr>
          <w:sz w:val="28"/>
          <w:szCs w:val="28"/>
        </w:rPr>
        <w:t>.</w:t>
      </w:r>
      <w:r w:rsidR="00701C5A" w:rsidRPr="003F2E00">
        <w:rPr>
          <w:sz w:val="28"/>
          <w:szCs w:val="28"/>
        </w:rPr>
        <w:t>)</w:t>
      </w:r>
      <w:r w:rsidRPr="003F2E00">
        <w:rPr>
          <w:sz w:val="28"/>
          <w:szCs w:val="28"/>
        </w:rPr>
        <w:t xml:space="preserve">, mežaudžu raksturojumu u.c. </w:t>
      </w:r>
      <w:r w:rsidR="00067BC1" w:rsidRPr="003F2E00">
        <w:rPr>
          <w:sz w:val="28"/>
          <w:szCs w:val="28"/>
        </w:rPr>
        <w:t xml:space="preserve">Papildu finansējums VMD nepieciešams, lai apstākļos, kad VMD darbinieku noslodze palielinās (pieaug meža platības, klimatisko apstākļu </w:t>
      </w:r>
      <w:r w:rsidR="002C23CB" w:rsidRPr="003F2E00">
        <w:rPr>
          <w:sz w:val="28"/>
          <w:szCs w:val="28"/>
        </w:rPr>
        <w:t>pārmaiņu dēļ</w:t>
      </w:r>
      <w:r w:rsidR="00067BC1" w:rsidRPr="003F2E00">
        <w:rPr>
          <w:sz w:val="28"/>
          <w:szCs w:val="28"/>
        </w:rPr>
        <w:t xml:space="preserve"> ugunsbīstam</w:t>
      </w:r>
      <w:r w:rsidR="002C23CB" w:rsidRPr="003F2E00">
        <w:rPr>
          <w:sz w:val="28"/>
          <w:szCs w:val="28"/>
        </w:rPr>
        <w:t>o</w:t>
      </w:r>
      <w:r w:rsidR="00067BC1" w:rsidRPr="003F2E00">
        <w:rPr>
          <w:sz w:val="28"/>
          <w:szCs w:val="28"/>
        </w:rPr>
        <w:t xml:space="preserve"> sezonu </w:t>
      </w:r>
      <w:r w:rsidR="00EF175D" w:rsidRPr="003F2E00">
        <w:rPr>
          <w:sz w:val="28"/>
          <w:szCs w:val="28"/>
        </w:rPr>
        <w:t>būtu</w:t>
      </w:r>
      <w:r w:rsidR="00067BC1" w:rsidRPr="003F2E00">
        <w:rPr>
          <w:sz w:val="28"/>
          <w:szCs w:val="28"/>
        </w:rPr>
        <w:t xml:space="preserve"> nepieciešams pagarināt</w:t>
      </w:r>
      <w:r w:rsidR="00EF175D" w:rsidRPr="003F2E00">
        <w:rPr>
          <w:sz w:val="28"/>
          <w:szCs w:val="28"/>
        </w:rPr>
        <w:t xml:space="preserve"> </w:t>
      </w:r>
      <w:r w:rsidR="00272DD8" w:rsidRPr="003F2E00">
        <w:rPr>
          <w:sz w:val="28"/>
          <w:szCs w:val="28"/>
        </w:rPr>
        <w:t>no</w:t>
      </w:r>
      <w:r w:rsidR="00BF371C" w:rsidRPr="003F2E00">
        <w:rPr>
          <w:sz w:val="28"/>
          <w:szCs w:val="28"/>
        </w:rPr>
        <w:t xml:space="preserve"> 4</w:t>
      </w:r>
      <w:r w:rsidR="002C23CB" w:rsidRPr="003F2E00">
        <w:rPr>
          <w:sz w:val="28"/>
          <w:szCs w:val="28"/>
        </w:rPr>
        <w:t>–</w:t>
      </w:r>
      <w:r w:rsidR="00272DD8" w:rsidRPr="003F2E00">
        <w:rPr>
          <w:sz w:val="28"/>
          <w:szCs w:val="28"/>
        </w:rPr>
        <w:t xml:space="preserve"> 4</w:t>
      </w:r>
      <w:r w:rsidR="00672DDD" w:rsidRPr="003F2E00">
        <w:rPr>
          <w:sz w:val="28"/>
          <w:szCs w:val="28"/>
        </w:rPr>
        <w:t>,5</w:t>
      </w:r>
      <w:r w:rsidR="00272DD8" w:rsidRPr="003F2E00">
        <w:rPr>
          <w:sz w:val="28"/>
          <w:szCs w:val="28"/>
        </w:rPr>
        <w:t xml:space="preserve"> mēnešiem</w:t>
      </w:r>
      <w:r w:rsidR="00EF175D" w:rsidRPr="003F2E00">
        <w:rPr>
          <w:sz w:val="28"/>
          <w:szCs w:val="28"/>
        </w:rPr>
        <w:t xml:space="preserve"> </w:t>
      </w:r>
      <w:r w:rsidR="002C23CB" w:rsidRPr="003F2E00">
        <w:rPr>
          <w:sz w:val="28"/>
          <w:szCs w:val="28"/>
        </w:rPr>
        <w:t>līdz</w:t>
      </w:r>
      <w:r w:rsidR="00EF175D" w:rsidRPr="003F2E00">
        <w:rPr>
          <w:sz w:val="28"/>
          <w:szCs w:val="28"/>
        </w:rPr>
        <w:t xml:space="preserve"> </w:t>
      </w:r>
      <w:r w:rsidR="00076BB2" w:rsidRPr="003F2E00">
        <w:rPr>
          <w:sz w:val="28"/>
          <w:szCs w:val="28"/>
        </w:rPr>
        <w:t>5</w:t>
      </w:r>
      <w:r w:rsidR="002C23CB" w:rsidRPr="003F2E00">
        <w:rPr>
          <w:sz w:val="28"/>
          <w:szCs w:val="28"/>
        </w:rPr>
        <w:t>–</w:t>
      </w:r>
      <w:r w:rsidR="00EF175D" w:rsidRPr="003F2E00">
        <w:rPr>
          <w:sz w:val="28"/>
          <w:szCs w:val="28"/>
        </w:rPr>
        <w:t>6 mēnešiem, ugunsgrēka vietas uzraudzīb</w:t>
      </w:r>
      <w:r w:rsidR="002C23CB" w:rsidRPr="003F2E00">
        <w:rPr>
          <w:sz w:val="28"/>
          <w:szCs w:val="28"/>
        </w:rPr>
        <w:t>a</w:t>
      </w:r>
      <w:r w:rsidR="00EF175D" w:rsidRPr="003F2E00">
        <w:rPr>
          <w:sz w:val="28"/>
          <w:szCs w:val="28"/>
        </w:rPr>
        <w:t xml:space="preserve"> privātajos mežos ir jāuzņemas VMD), atlīdzība par darbu un sociālās garantijas meža ugunsdzēsēj</w:t>
      </w:r>
      <w:r w:rsidR="00BF371C" w:rsidRPr="003F2E00">
        <w:rPr>
          <w:sz w:val="28"/>
          <w:szCs w:val="28"/>
        </w:rPr>
        <w:t>iem būtu</w:t>
      </w:r>
      <w:r w:rsidR="00EF175D" w:rsidRPr="003F2E00">
        <w:rPr>
          <w:sz w:val="28"/>
          <w:szCs w:val="28"/>
        </w:rPr>
        <w:t xml:space="preserve"> samērojamas ar līdzīga darba darītājiem </w:t>
      </w:r>
      <w:r w:rsidR="00BF371C" w:rsidRPr="003F2E00">
        <w:rPr>
          <w:sz w:val="28"/>
          <w:szCs w:val="28"/>
        </w:rPr>
        <w:t>VUGD.</w:t>
      </w:r>
      <w:r w:rsidR="00EF175D" w:rsidRPr="003F2E00">
        <w:rPr>
          <w:sz w:val="28"/>
          <w:szCs w:val="28"/>
        </w:rPr>
        <w:t xml:space="preserve"> Pietiekama skaita motivētu un kvalificētu darbinieku piesaist</w:t>
      </w:r>
      <w:r w:rsidR="002C23CB" w:rsidRPr="003F2E00">
        <w:rPr>
          <w:sz w:val="28"/>
          <w:szCs w:val="28"/>
        </w:rPr>
        <w:t>īšana</w:t>
      </w:r>
      <w:r w:rsidR="00EF175D" w:rsidRPr="003F2E00">
        <w:rPr>
          <w:sz w:val="28"/>
          <w:szCs w:val="28"/>
        </w:rPr>
        <w:t xml:space="preserve"> ievērojami atvieglo</w:t>
      </w:r>
      <w:r w:rsidR="00BF371C" w:rsidRPr="003F2E00">
        <w:rPr>
          <w:sz w:val="28"/>
          <w:szCs w:val="28"/>
        </w:rPr>
        <w:t>tu</w:t>
      </w:r>
      <w:r w:rsidR="00EF175D" w:rsidRPr="003F2E00">
        <w:rPr>
          <w:sz w:val="28"/>
          <w:szCs w:val="28"/>
        </w:rPr>
        <w:t xml:space="preserve"> ugunsdzēsībā iesaistīto VMD </w:t>
      </w:r>
      <w:r w:rsidR="002C23CB" w:rsidRPr="003F2E00">
        <w:rPr>
          <w:sz w:val="28"/>
          <w:szCs w:val="28"/>
        </w:rPr>
        <w:t xml:space="preserve">nodarbināto </w:t>
      </w:r>
      <w:r w:rsidR="00EF175D" w:rsidRPr="003F2E00">
        <w:rPr>
          <w:sz w:val="28"/>
          <w:szCs w:val="28"/>
        </w:rPr>
        <w:t>darbu.</w:t>
      </w:r>
    </w:p>
    <w:p w:rsidR="007C672E" w:rsidRPr="003F2E00" w:rsidRDefault="00D7023C" w:rsidP="00D7023C">
      <w:pPr>
        <w:pStyle w:val="Tekstastils"/>
        <w:rPr>
          <w:sz w:val="28"/>
          <w:szCs w:val="28"/>
        </w:rPr>
      </w:pPr>
      <w:r w:rsidRPr="003F2E00">
        <w:rPr>
          <w:sz w:val="28"/>
          <w:szCs w:val="28"/>
        </w:rPr>
        <w:t>VMD ir iesniedzis finansējuma pieprasījumu Zemkopības ministrija</w:t>
      </w:r>
      <w:r w:rsidR="002C23CB" w:rsidRPr="003F2E00">
        <w:rPr>
          <w:sz w:val="28"/>
          <w:szCs w:val="28"/>
        </w:rPr>
        <w:t>s</w:t>
      </w:r>
      <w:r w:rsidRPr="003F2E00">
        <w:rPr>
          <w:sz w:val="28"/>
          <w:szCs w:val="28"/>
        </w:rPr>
        <w:t xml:space="preserve"> </w:t>
      </w:r>
      <w:r w:rsidR="002C23CB" w:rsidRPr="003F2E00">
        <w:rPr>
          <w:sz w:val="28"/>
          <w:szCs w:val="28"/>
        </w:rPr>
        <w:t>p</w:t>
      </w:r>
      <w:r w:rsidRPr="003F2E00">
        <w:rPr>
          <w:sz w:val="28"/>
          <w:szCs w:val="28"/>
        </w:rPr>
        <w:t>rioritār</w:t>
      </w:r>
      <w:r w:rsidR="002C23CB" w:rsidRPr="003F2E00">
        <w:rPr>
          <w:sz w:val="28"/>
          <w:szCs w:val="28"/>
        </w:rPr>
        <w:t>ajiem</w:t>
      </w:r>
      <w:r w:rsidRPr="003F2E00">
        <w:rPr>
          <w:sz w:val="28"/>
          <w:szCs w:val="28"/>
        </w:rPr>
        <w:t xml:space="preserve"> pasākum</w:t>
      </w:r>
      <w:r w:rsidR="002C23CB" w:rsidRPr="003F2E00">
        <w:rPr>
          <w:sz w:val="28"/>
          <w:szCs w:val="28"/>
        </w:rPr>
        <w:t>iem</w:t>
      </w:r>
      <w:r w:rsidRPr="003F2E00">
        <w:rPr>
          <w:sz w:val="28"/>
          <w:szCs w:val="28"/>
        </w:rPr>
        <w:t xml:space="preserve"> 2020.</w:t>
      </w:r>
      <w:r w:rsidR="002C23CB" w:rsidRPr="003F2E00">
        <w:rPr>
          <w:sz w:val="28"/>
          <w:szCs w:val="28"/>
        </w:rPr>
        <w:t>–</w:t>
      </w:r>
      <w:r w:rsidRPr="003F2E00">
        <w:rPr>
          <w:sz w:val="28"/>
          <w:szCs w:val="28"/>
        </w:rPr>
        <w:t>202</w:t>
      </w:r>
      <w:r w:rsidR="0095419D" w:rsidRPr="003F2E00">
        <w:rPr>
          <w:sz w:val="28"/>
          <w:szCs w:val="28"/>
        </w:rPr>
        <w:t>2</w:t>
      </w:r>
      <w:r w:rsidRPr="003F2E00">
        <w:rPr>
          <w:sz w:val="28"/>
          <w:szCs w:val="28"/>
        </w:rPr>
        <w:t>. gadam prioritātei ”Meža ugunsdrošības un ugunsdzēsības funkcijas nodrošināšanai”</w:t>
      </w:r>
      <w:r w:rsidR="007C672E" w:rsidRPr="003F2E00">
        <w:rPr>
          <w:sz w:val="28"/>
          <w:szCs w:val="28"/>
        </w:rPr>
        <w:t>.</w:t>
      </w:r>
    </w:p>
    <w:p w:rsidR="007C672E" w:rsidRPr="003F2E00" w:rsidRDefault="007C672E" w:rsidP="009B0F4F">
      <w:pPr>
        <w:pStyle w:val="Tekstastils"/>
        <w:jc w:val="right"/>
        <w:rPr>
          <w:sz w:val="28"/>
          <w:szCs w:val="28"/>
        </w:rPr>
      </w:pP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r>
      <w:r w:rsidRPr="003F2E00">
        <w:rPr>
          <w:sz w:val="28"/>
          <w:szCs w:val="28"/>
        </w:rPr>
        <w:tab/>
        <w:t>2.4. tabula</w:t>
      </w:r>
    </w:p>
    <w:bookmarkEnd w:id="8"/>
    <w:p w:rsidR="004C1E2F" w:rsidRPr="003F2E00" w:rsidRDefault="007C672E" w:rsidP="007C672E">
      <w:pPr>
        <w:pStyle w:val="Tekstastils"/>
        <w:rPr>
          <w:sz w:val="28"/>
          <w:szCs w:val="28"/>
        </w:rPr>
      </w:pPr>
      <w:r w:rsidRPr="003F2E00">
        <w:rPr>
          <w:sz w:val="28"/>
          <w:szCs w:val="28"/>
        </w:rPr>
        <w:t xml:space="preserve">Nepieciešamais finansējums </w:t>
      </w:r>
      <w:r w:rsidR="00A6471D" w:rsidRPr="003F2E00">
        <w:rPr>
          <w:sz w:val="28"/>
          <w:szCs w:val="28"/>
        </w:rPr>
        <w:t xml:space="preserve">vidēja termiņa budžeta ietvaram </w:t>
      </w:r>
      <w:r w:rsidRPr="003F2E00">
        <w:rPr>
          <w:sz w:val="28"/>
          <w:szCs w:val="28"/>
        </w:rPr>
        <w:t>2020</w:t>
      </w:r>
      <w:r w:rsidR="00FB7D05" w:rsidRPr="003F2E00">
        <w:rPr>
          <w:sz w:val="28"/>
          <w:szCs w:val="28"/>
        </w:rPr>
        <w:t>.</w:t>
      </w:r>
      <w:r w:rsidR="00A6471D" w:rsidRPr="003F2E00">
        <w:rPr>
          <w:sz w:val="28"/>
          <w:szCs w:val="28"/>
        </w:rPr>
        <w:t>,</w:t>
      </w:r>
      <w:r w:rsidR="002C23CB" w:rsidRPr="003F2E00">
        <w:rPr>
          <w:sz w:val="28"/>
          <w:szCs w:val="28"/>
        </w:rPr>
        <w:t xml:space="preserve"> </w:t>
      </w:r>
      <w:r w:rsidR="00A6471D" w:rsidRPr="003F2E00">
        <w:rPr>
          <w:sz w:val="28"/>
          <w:szCs w:val="28"/>
        </w:rPr>
        <w:t xml:space="preserve">2021. un </w:t>
      </w:r>
      <w:r w:rsidRPr="003F2E00">
        <w:rPr>
          <w:sz w:val="28"/>
          <w:szCs w:val="28"/>
        </w:rPr>
        <w:t>2022.</w:t>
      </w:r>
      <w:r w:rsidR="002C23CB" w:rsidRPr="003F2E00">
        <w:rPr>
          <w:sz w:val="28"/>
          <w:szCs w:val="28"/>
        </w:rPr>
        <w:t> </w:t>
      </w:r>
      <w:r w:rsidRPr="003F2E00">
        <w:rPr>
          <w:sz w:val="28"/>
          <w:szCs w:val="28"/>
        </w:rPr>
        <w:t>gad</w:t>
      </w:r>
      <w:r w:rsidR="00A6471D" w:rsidRPr="003F2E00">
        <w:rPr>
          <w:sz w:val="28"/>
          <w:szCs w:val="28"/>
        </w:rPr>
        <w:t>am</w:t>
      </w:r>
    </w:p>
    <w:tbl>
      <w:tblPr>
        <w:tblStyle w:val="TableGrid"/>
        <w:tblW w:w="10349" w:type="dxa"/>
        <w:tblInd w:w="-289" w:type="dxa"/>
        <w:tblLayout w:type="fixed"/>
        <w:tblLook w:val="04A0" w:firstRow="1" w:lastRow="0" w:firstColumn="1" w:lastColumn="0" w:noHBand="0" w:noVBand="1"/>
      </w:tblPr>
      <w:tblGrid>
        <w:gridCol w:w="568"/>
        <w:gridCol w:w="2977"/>
        <w:gridCol w:w="992"/>
        <w:gridCol w:w="1276"/>
        <w:gridCol w:w="992"/>
        <w:gridCol w:w="1276"/>
        <w:gridCol w:w="992"/>
        <w:gridCol w:w="1276"/>
      </w:tblGrid>
      <w:tr w:rsidR="00F04031" w:rsidTr="00BE6561">
        <w:trPr>
          <w:trHeight w:val="500"/>
        </w:trPr>
        <w:tc>
          <w:tcPr>
            <w:tcW w:w="568" w:type="dxa"/>
          </w:tcPr>
          <w:p w:rsidR="00F04031" w:rsidRPr="00262F32" w:rsidRDefault="00F04031" w:rsidP="007C672E">
            <w:pPr>
              <w:pStyle w:val="Tekstastils"/>
              <w:ind w:left="0" w:firstLine="0"/>
              <w:rPr>
                <w:rFonts w:cs="Times New Roman"/>
              </w:rPr>
            </w:pPr>
            <w:proofErr w:type="spellStart"/>
            <w:r w:rsidRPr="00262F32">
              <w:rPr>
                <w:rFonts w:cs="Times New Roman"/>
              </w:rPr>
              <w:t>Nr.p.k</w:t>
            </w:r>
            <w:proofErr w:type="spellEnd"/>
            <w:r w:rsidRPr="00262F32">
              <w:rPr>
                <w:rFonts w:cs="Times New Roman"/>
              </w:rPr>
              <w:t>.</w:t>
            </w:r>
          </w:p>
        </w:tc>
        <w:tc>
          <w:tcPr>
            <w:tcW w:w="2977" w:type="dxa"/>
          </w:tcPr>
          <w:p w:rsidR="00F04031" w:rsidRPr="00262F32" w:rsidRDefault="00F04031" w:rsidP="007C672E">
            <w:pPr>
              <w:pStyle w:val="Tekstastils"/>
              <w:ind w:left="0" w:firstLine="0"/>
              <w:rPr>
                <w:rFonts w:cs="Times New Roman"/>
              </w:rPr>
            </w:pPr>
            <w:r w:rsidRPr="00262F32">
              <w:rPr>
                <w:rFonts w:cs="Times New Roman"/>
              </w:rPr>
              <w:t>Nepieciešamais finansējum</w:t>
            </w:r>
            <w:r w:rsidR="00AA13D0" w:rsidRPr="00262F32">
              <w:rPr>
                <w:rFonts w:cs="Times New Roman"/>
              </w:rPr>
              <w:t>s</w:t>
            </w:r>
          </w:p>
        </w:tc>
        <w:tc>
          <w:tcPr>
            <w:tcW w:w="2268" w:type="dxa"/>
            <w:gridSpan w:val="2"/>
          </w:tcPr>
          <w:p w:rsidR="00F04031" w:rsidRPr="00262F32" w:rsidRDefault="00F04031" w:rsidP="00F04031">
            <w:pPr>
              <w:pStyle w:val="Tekstastils"/>
              <w:ind w:left="0" w:firstLine="0"/>
              <w:jc w:val="center"/>
              <w:rPr>
                <w:rFonts w:cs="Times New Roman"/>
                <w:b/>
              </w:rPr>
            </w:pPr>
            <w:r w:rsidRPr="00262F32">
              <w:rPr>
                <w:rFonts w:cs="Times New Roman"/>
                <w:b/>
              </w:rPr>
              <w:t>2020</w:t>
            </w:r>
            <w:r w:rsidR="002C23CB" w:rsidRPr="00262F32">
              <w:rPr>
                <w:rFonts w:cs="Times New Roman"/>
                <w:b/>
              </w:rPr>
              <w:t>.</w:t>
            </w:r>
          </w:p>
        </w:tc>
        <w:tc>
          <w:tcPr>
            <w:tcW w:w="2268" w:type="dxa"/>
            <w:gridSpan w:val="2"/>
          </w:tcPr>
          <w:p w:rsidR="00F04031" w:rsidRPr="00262F32" w:rsidRDefault="00F04031" w:rsidP="00F04031">
            <w:pPr>
              <w:pStyle w:val="Tekstastils"/>
              <w:ind w:left="0" w:firstLine="0"/>
              <w:jc w:val="center"/>
              <w:rPr>
                <w:rFonts w:cs="Times New Roman"/>
                <w:b/>
              </w:rPr>
            </w:pPr>
            <w:r w:rsidRPr="00262F32">
              <w:rPr>
                <w:rFonts w:cs="Times New Roman"/>
                <w:b/>
              </w:rPr>
              <w:t>2021</w:t>
            </w:r>
            <w:r w:rsidR="002C23CB" w:rsidRPr="00262F32">
              <w:rPr>
                <w:rFonts w:cs="Times New Roman"/>
                <w:b/>
              </w:rPr>
              <w:t>.</w:t>
            </w:r>
          </w:p>
        </w:tc>
        <w:tc>
          <w:tcPr>
            <w:tcW w:w="2268" w:type="dxa"/>
            <w:gridSpan w:val="2"/>
          </w:tcPr>
          <w:p w:rsidR="00F04031" w:rsidRPr="00262F32" w:rsidRDefault="00F04031" w:rsidP="00F04031">
            <w:pPr>
              <w:pStyle w:val="Tekstastils"/>
              <w:ind w:left="0" w:firstLine="0"/>
              <w:jc w:val="center"/>
              <w:rPr>
                <w:rFonts w:cs="Times New Roman"/>
                <w:b/>
              </w:rPr>
            </w:pPr>
            <w:r w:rsidRPr="00262F32">
              <w:rPr>
                <w:rFonts w:cs="Times New Roman"/>
                <w:b/>
              </w:rPr>
              <w:t>2022</w:t>
            </w:r>
            <w:r w:rsidR="002C23CB" w:rsidRPr="00262F32">
              <w:rPr>
                <w:rFonts w:cs="Times New Roman"/>
                <w:b/>
              </w:rPr>
              <w:t>.</w:t>
            </w:r>
          </w:p>
        </w:tc>
      </w:tr>
      <w:tr w:rsidR="00F04031" w:rsidTr="00BE6561">
        <w:tc>
          <w:tcPr>
            <w:tcW w:w="568" w:type="dxa"/>
          </w:tcPr>
          <w:p w:rsidR="00A6471D" w:rsidRPr="00262F32" w:rsidRDefault="00A6471D" w:rsidP="007C672E">
            <w:pPr>
              <w:pStyle w:val="Tekstastils"/>
              <w:ind w:left="0" w:firstLine="0"/>
              <w:rPr>
                <w:rFonts w:cs="Times New Roman"/>
              </w:rPr>
            </w:pPr>
          </w:p>
        </w:tc>
        <w:tc>
          <w:tcPr>
            <w:tcW w:w="2977" w:type="dxa"/>
          </w:tcPr>
          <w:p w:rsidR="00A6471D" w:rsidRPr="00262F32" w:rsidRDefault="00F04031" w:rsidP="007C672E">
            <w:pPr>
              <w:pStyle w:val="Tekstastils"/>
              <w:ind w:left="0" w:firstLine="0"/>
              <w:rPr>
                <w:rFonts w:cs="Times New Roman"/>
              </w:rPr>
            </w:pPr>
            <w:r w:rsidRPr="00262F32">
              <w:rPr>
                <w:rFonts w:cs="Times New Roman"/>
              </w:rPr>
              <w:t>Nosaukums</w:t>
            </w:r>
          </w:p>
        </w:tc>
        <w:tc>
          <w:tcPr>
            <w:tcW w:w="992" w:type="dxa"/>
          </w:tcPr>
          <w:p w:rsidR="00A6471D" w:rsidRPr="00262F32" w:rsidRDefault="00F04031" w:rsidP="007C672E">
            <w:pPr>
              <w:pStyle w:val="Tekstastils"/>
              <w:ind w:left="0" w:firstLine="0"/>
              <w:rPr>
                <w:rFonts w:cs="Times New Roman"/>
              </w:rPr>
            </w:pPr>
            <w:r w:rsidRPr="00262F32">
              <w:rPr>
                <w:rFonts w:cs="Times New Roman"/>
              </w:rPr>
              <w:t>Skaits</w:t>
            </w:r>
          </w:p>
        </w:tc>
        <w:tc>
          <w:tcPr>
            <w:tcW w:w="1276" w:type="dxa"/>
          </w:tcPr>
          <w:p w:rsidR="00A6471D" w:rsidRPr="00262F32" w:rsidRDefault="00F04031" w:rsidP="007C672E">
            <w:pPr>
              <w:pStyle w:val="Tekstastils"/>
              <w:ind w:left="0" w:firstLine="0"/>
              <w:rPr>
                <w:rFonts w:cs="Times New Roman"/>
              </w:rPr>
            </w:pPr>
            <w:r w:rsidRPr="00262F32">
              <w:rPr>
                <w:rFonts w:cs="Times New Roman"/>
              </w:rPr>
              <w:t>Kopsumma</w:t>
            </w:r>
          </w:p>
        </w:tc>
        <w:tc>
          <w:tcPr>
            <w:tcW w:w="992" w:type="dxa"/>
          </w:tcPr>
          <w:p w:rsidR="00A6471D" w:rsidRPr="00262F32" w:rsidRDefault="00F04031" w:rsidP="007C672E">
            <w:pPr>
              <w:pStyle w:val="Tekstastils"/>
              <w:ind w:left="0" w:firstLine="0"/>
              <w:rPr>
                <w:rFonts w:cs="Times New Roman"/>
              </w:rPr>
            </w:pPr>
            <w:r w:rsidRPr="00262F32">
              <w:rPr>
                <w:rFonts w:cs="Times New Roman"/>
              </w:rPr>
              <w:t>Skaits</w:t>
            </w:r>
          </w:p>
        </w:tc>
        <w:tc>
          <w:tcPr>
            <w:tcW w:w="1276" w:type="dxa"/>
          </w:tcPr>
          <w:p w:rsidR="00A6471D" w:rsidRPr="00262F32" w:rsidRDefault="00F04031" w:rsidP="007C672E">
            <w:pPr>
              <w:pStyle w:val="Tekstastils"/>
              <w:ind w:left="0" w:firstLine="0"/>
              <w:rPr>
                <w:rFonts w:cs="Times New Roman"/>
              </w:rPr>
            </w:pPr>
            <w:r w:rsidRPr="00262F32">
              <w:rPr>
                <w:rFonts w:cs="Times New Roman"/>
              </w:rPr>
              <w:t>Kopsumma</w:t>
            </w:r>
          </w:p>
        </w:tc>
        <w:tc>
          <w:tcPr>
            <w:tcW w:w="992" w:type="dxa"/>
          </w:tcPr>
          <w:p w:rsidR="00A6471D" w:rsidRPr="00262F32" w:rsidRDefault="00F04031" w:rsidP="007C672E">
            <w:pPr>
              <w:pStyle w:val="Tekstastils"/>
              <w:ind w:left="0" w:firstLine="0"/>
              <w:rPr>
                <w:rFonts w:cs="Times New Roman"/>
              </w:rPr>
            </w:pPr>
            <w:r w:rsidRPr="00262F32">
              <w:rPr>
                <w:rFonts w:cs="Times New Roman"/>
              </w:rPr>
              <w:t>Skaits</w:t>
            </w:r>
          </w:p>
        </w:tc>
        <w:tc>
          <w:tcPr>
            <w:tcW w:w="1276" w:type="dxa"/>
          </w:tcPr>
          <w:p w:rsidR="00A6471D" w:rsidRPr="00262F32" w:rsidRDefault="00F04031" w:rsidP="007C672E">
            <w:pPr>
              <w:pStyle w:val="Tekstastils"/>
              <w:ind w:left="0" w:firstLine="0"/>
              <w:rPr>
                <w:rFonts w:cs="Times New Roman"/>
              </w:rPr>
            </w:pPr>
            <w:r w:rsidRPr="00262F32">
              <w:rPr>
                <w:rFonts w:cs="Times New Roman"/>
              </w:rPr>
              <w:t>Kopsumma</w:t>
            </w:r>
          </w:p>
        </w:tc>
      </w:tr>
      <w:tr w:rsidR="00F04031" w:rsidTr="00BE6561">
        <w:tc>
          <w:tcPr>
            <w:tcW w:w="568" w:type="dxa"/>
          </w:tcPr>
          <w:p w:rsidR="00A6471D" w:rsidRPr="00262F32" w:rsidRDefault="00F04031" w:rsidP="007C672E">
            <w:pPr>
              <w:pStyle w:val="Tekstastils"/>
              <w:ind w:left="0" w:firstLine="0"/>
              <w:rPr>
                <w:rFonts w:cs="Times New Roman"/>
              </w:rPr>
            </w:pPr>
            <w:r w:rsidRPr="00262F32">
              <w:rPr>
                <w:rFonts w:cs="Times New Roman"/>
              </w:rPr>
              <w:lastRenderedPageBreak/>
              <w:t>1.</w:t>
            </w:r>
          </w:p>
        </w:tc>
        <w:tc>
          <w:tcPr>
            <w:tcW w:w="2977" w:type="dxa"/>
          </w:tcPr>
          <w:p w:rsidR="00A6471D" w:rsidRPr="00262F32" w:rsidRDefault="00AA13D0" w:rsidP="00AA13D0">
            <w:pPr>
              <w:pStyle w:val="Tekstastils"/>
              <w:ind w:left="0" w:firstLine="0"/>
              <w:rPr>
                <w:rFonts w:cs="Times New Roman"/>
              </w:rPr>
            </w:pPr>
            <w:r w:rsidRPr="00262F32">
              <w:rPr>
                <w:rFonts w:cs="Times New Roman"/>
              </w:rPr>
              <w:t>Atlīdzība sezonā nodarbinātajiem (ārštata</w:t>
            </w:r>
            <w:r w:rsidR="002C23CB" w:rsidRPr="00262F32">
              <w:rPr>
                <w:rFonts w:cs="Times New Roman"/>
              </w:rPr>
              <w:t xml:space="preserve"> vietu</w:t>
            </w:r>
            <w:r w:rsidRPr="00262F32">
              <w:rPr>
                <w:rFonts w:cs="Times New Roman"/>
              </w:rPr>
              <w:t xml:space="preserve"> skaita palielināšanai, darba algas palielināšanai </w:t>
            </w:r>
            <w:r w:rsidR="00381CF5" w:rsidRPr="00262F32">
              <w:rPr>
                <w:rFonts w:cs="Times New Roman"/>
              </w:rPr>
              <w:t>ārštata</w:t>
            </w:r>
            <w:r w:rsidR="002C23CB" w:rsidRPr="00262F32">
              <w:rPr>
                <w:rFonts w:cs="Times New Roman"/>
              </w:rPr>
              <w:t xml:space="preserve"> darbiniekiem</w:t>
            </w:r>
            <w:r w:rsidR="00381CF5" w:rsidRPr="00262F32">
              <w:rPr>
                <w:rFonts w:cs="Times New Roman"/>
              </w:rPr>
              <w:t xml:space="preserve"> </w:t>
            </w:r>
            <w:r w:rsidRPr="00262F32">
              <w:rPr>
                <w:rFonts w:cs="Times New Roman"/>
              </w:rPr>
              <w:t>un sezonas pagarināšanai)</w:t>
            </w:r>
          </w:p>
        </w:tc>
        <w:tc>
          <w:tcPr>
            <w:tcW w:w="992" w:type="dxa"/>
          </w:tcPr>
          <w:p w:rsidR="00A6471D" w:rsidRPr="00262F32" w:rsidRDefault="004F5D2B" w:rsidP="007C672E">
            <w:pPr>
              <w:pStyle w:val="Tekstastils"/>
              <w:ind w:left="0" w:firstLine="0"/>
              <w:rPr>
                <w:rFonts w:cs="Times New Roman"/>
              </w:rPr>
            </w:pPr>
            <w:r w:rsidRPr="00262F32">
              <w:rPr>
                <w:rFonts w:cs="Times New Roman"/>
              </w:rPr>
              <w:t>648</w:t>
            </w:r>
          </w:p>
        </w:tc>
        <w:tc>
          <w:tcPr>
            <w:tcW w:w="1276" w:type="dxa"/>
          </w:tcPr>
          <w:p w:rsidR="00A6471D" w:rsidRPr="00262F32" w:rsidRDefault="00AA13D0" w:rsidP="007C672E">
            <w:pPr>
              <w:pStyle w:val="Tekstastils"/>
              <w:ind w:left="0" w:firstLine="0"/>
              <w:rPr>
                <w:rFonts w:cs="Times New Roman"/>
              </w:rPr>
            </w:pPr>
            <w:r w:rsidRPr="00262F32">
              <w:rPr>
                <w:rFonts w:cs="Times New Roman"/>
              </w:rPr>
              <w:t>2 212 165</w:t>
            </w:r>
          </w:p>
        </w:tc>
        <w:tc>
          <w:tcPr>
            <w:tcW w:w="992" w:type="dxa"/>
          </w:tcPr>
          <w:p w:rsidR="00A6471D" w:rsidRPr="00262F32" w:rsidRDefault="004F5D2B" w:rsidP="007C672E">
            <w:pPr>
              <w:pStyle w:val="Tekstastils"/>
              <w:ind w:left="0" w:firstLine="0"/>
              <w:rPr>
                <w:rFonts w:cs="Times New Roman"/>
              </w:rPr>
            </w:pPr>
            <w:r w:rsidRPr="00262F32">
              <w:rPr>
                <w:rFonts w:cs="Times New Roman"/>
              </w:rPr>
              <w:t>648</w:t>
            </w:r>
          </w:p>
        </w:tc>
        <w:tc>
          <w:tcPr>
            <w:tcW w:w="1276" w:type="dxa"/>
          </w:tcPr>
          <w:p w:rsidR="00A6471D" w:rsidRPr="00262F32" w:rsidRDefault="00AA13D0" w:rsidP="007C672E">
            <w:pPr>
              <w:pStyle w:val="Tekstastils"/>
              <w:ind w:left="0" w:firstLine="0"/>
              <w:rPr>
                <w:rFonts w:cs="Times New Roman"/>
              </w:rPr>
            </w:pPr>
            <w:r w:rsidRPr="00262F32">
              <w:rPr>
                <w:rFonts w:cs="Times New Roman"/>
              </w:rPr>
              <w:t>2 212 165</w:t>
            </w:r>
          </w:p>
        </w:tc>
        <w:tc>
          <w:tcPr>
            <w:tcW w:w="992" w:type="dxa"/>
          </w:tcPr>
          <w:p w:rsidR="00A6471D" w:rsidRPr="00262F32" w:rsidRDefault="004F5D2B" w:rsidP="007C672E">
            <w:pPr>
              <w:pStyle w:val="Tekstastils"/>
              <w:ind w:left="0" w:firstLine="0"/>
              <w:rPr>
                <w:rFonts w:cs="Times New Roman"/>
              </w:rPr>
            </w:pPr>
            <w:r w:rsidRPr="00262F32">
              <w:rPr>
                <w:rFonts w:cs="Times New Roman"/>
              </w:rPr>
              <w:t>648</w:t>
            </w:r>
          </w:p>
        </w:tc>
        <w:tc>
          <w:tcPr>
            <w:tcW w:w="1276" w:type="dxa"/>
          </w:tcPr>
          <w:p w:rsidR="00A6471D" w:rsidRPr="00262F32" w:rsidRDefault="00AA13D0" w:rsidP="007C672E">
            <w:pPr>
              <w:pStyle w:val="Tekstastils"/>
              <w:ind w:left="0" w:firstLine="0"/>
              <w:rPr>
                <w:rFonts w:cs="Times New Roman"/>
              </w:rPr>
            </w:pPr>
            <w:r w:rsidRPr="00262F32">
              <w:rPr>
                <w:rFonts w:cs="Times New Roman"/>
              </w:rPr>
              <w:t>2 212 165</w:t>
            </w:r>
          </w:p>
        </w:tc>
      </w:tr>
      <w:tr w:rsidR="00F04031" w:rsidTr="00BE6561">
        <w:tc>
          <w:tcPr>
            <w:tcW w:w="568" w:type="dxa"/>
          </w:tcPr>
          <w:p w:rsidR="00A6471D" w:rsidRPr="00262F32" w:rsidRDefault="00AA13D0" w:rsidP="00AA13D0">
            <w:pPr>
              <w:pStyle w:val="Tekstastils"/>
              <w:rPr>
                <w:rFonts w:cs="Times New Roman"/>
              </w:rPr>
            </w:pPr>
            <w:r w:rsidRPr="00262F32">
              <w:rPr>
                <w:rFonts w:cs="Times New Roman"/>
              </w:rPr>
              <w:t>22.</w:t>
            </w:r>
          </w:p>
        </w:tc>
        <w:tc>
          <w:tcPr>
            <w:tcW w:w="2977" w:type="dxa"/>
          </w:tcPr>
          <w:p w:rsidR="00A6471D" w:rsidRPr="00262F32" w:rsidRDefault="0076403F" w:rsidP="0076403F">
            <w:pPr>
              <w:pStyle w:val="Tekstastils"/>
              <w:ind w:left="0" w:firstLine="0"/>
              <w:rPr>
                <w:rFonts w:cs="Times New Roman"/>
              </w:rPr>
            </w:pPr>
            <w:r w:rsidRPr="00262F32">
              <w:rPr>
                <w:rFonts w:cs="Times New Roman"/>
              </w:rPr>
              <w:t>Kvadraciklu un piekabju, kvadraciklu pārvietošanai</w:t>
            </w:r>
            <w:r w:rsidR="00B307DF" w:rsidRPr="00262F32">
              <w:rPr>
                <w:rFonts w:cs="Times New Roman"/>
              </w:rPr>
              <w:t>,</w:t>
            </w:r>
            <w:r w:rsidRPr="00262F32">
              <w:rPr>
                <w:rFonts w:cs="Times New Roman"/>
              </w:rPr>
              <w:t xml:space="preserve"> iegāde</w:t>
            </w:r>
          </w:p>
        </w:tc>
        <w:tc>
          <w:tcPr>
            <w:tcW w:w="992" w:type="dxa"/>
          </w:tcPr>
          <w:p w:rsidR="00A6471D" w:rsidRPr="00262F32" w:rsidRDefault="0076403F" w:rsidP="007C672E">
            <w:pPr>
              <w:pStyle w:val="Tekstastils"/>
              <w:ind w:left="0" w:firstLine="0"/>
              <w:rPr>
                <w:rFonts w:cs="Times New Roman"/>
              </w:rPr>
            </w:pPr>
            <w:r w:rsidRPr="00262F32">
              <w:rPr>
                <w:rFonts w:cs="Times New Roman"/>
              </w:rPr>
              <w:t>3</w:t>
            </w:r>
          </w:p>
        </w:tc>
        <w:tc>
          <w:tcPr>
            <w:tcW w:w="1276" w:type="dxa"/>
          </w:tcPr>
          <w:p w:rsidR="00A6471D" w:rsidRPr="00262F32" w:rsidRDefault="0076403F" w:rsidP="007C672E">
            <w:pPr>
              <w:pStyle w:val="Tekstastils"/>
              <w:ind w:left="0" w:firstLine="0"/>
              <w:rPr>
                <w:rFonts w:cs="Times New Roman"/>
              </w:rPr>
            </w:pPr>
            <w:r w:rsidRPr="00262F32">
              <w:rPr>
                <w:rFonts w:cs="Times New Roman"/>
              </w:rPr>
              <w:t>50 700</w:t>
            </w:r>
          </w:p>
        </w:tc>
        <w:tc>
          <w:tcPr>
            <w:tcW w:w="992" w:type="dxa"/>
          </w:tcPr>
          <w:p w:rsidR="00A6471D" w:rsidRPr="00262F32" w:rsidRDefault="0076403F" w:rsidP="007C672E">
            <w:pPr>
              <w:pStyle w:val="Tekstastils"/>
              <w:ind w:left="0" w:firstLine="0"/>
              <w:rPr>
                <w:rFonts w:cs="Times New Roman"/>
              </w:rPr>
            </w:pPr>
            <w:r w:rsidRPr="00262F32">
              <w:rPr>
                <w:rFonts w:cs="Times New Roman"/>
              </w:rPr>
              <w:t>3</w:t>
            </w:r>
          </w:p>
        </w:tc>
        <w:tc>
          <w:tcPr>
            <w:tcW w:w="1276" w:type="dxa"/>
          </w:tcPr>
          <w:p w:rsidR="00A6471D" w:rsidRPr="00262F32" w:rsidRDefault="0076403F" w:rsidP="007C672E">
            <w:pPr>
              <w:pStyle w:val="Tekstastils"/>
              <w:ind w:left="0" w:firstLine="0"/>
              <w:rPr>
                <w:rFonts w:cs="Times New Roman"/>
              </w:rPr>
            </w:pPr>
            <w:r w:rsidRPr="00262F32">
              <w:rPr>
                <w:rFonts w:cs="Times New Roman"/>
              </w:rPr>
              <w:t>50 700</w:t>
            </w:r>
          </w:p>
        </w:tc>
        <w:tc>
          <w:tcPr>
            <w:tcW w:w="992" w:type="dxa"/>
          </w:tcPr>
          <w:p w:rsidR="00A6471D" w:rsidRPr="00262F32" w:rsidRDefault="0076403F" w:rsidP="007C672E">
            <w:pPr>
              <w:pStyle w:val="Tekstastils"/>
              <w:ind w:left="0" w:firstLine="0"/>
              <w:rPr>
                <w:rFonts w:cs="Times New Roman"/>
              </w:rPr>
            </w:pPr>
            <w:r w:rsidRPr="00262F32">
              <w:rPr>
                <w:rFonts w:cs="Times New Roman"/>
              </w:rPr>
              <w:t>4</w:t>
            </w:r>
          </w:p>
        </w:tc>
        <w:tc>
          <w:tcPr>
            <w:tcW w:w="1276" w:type="dxa"/>
          </w:tcPr>
          <w:p w:rsidR="00A6471D" w:rsidRPr="00262F32" w:rsidRDefault="0076403F" w:rsidP="007C672E">
            <w:pPr>
              <w:pStyle w:val="Tekstastils"/>
              <w:ind w:left="0" w:firstLine="0"/>
              <w:rPr>
                <w:rFonts w:cs="Times New Roman"/>
              </w:rPr>
            </w:pPr>
            <w:r w:rsidRPr="00262F32">
              <w:rPr>
                <w:rFonts w:cs="Times New Roman"/>
              </w:rPr>
              <w:t>67 600</w:t>
            </w:r>
          </w:p>
        </w:tc>
      </w:tr>
      <w:tr w:rsidR="00F04031" w:rsidTr="00BE6561">
        <w:tc>
          <w:tcPr>
            <w:tcW w:w="568" w:type="dxa"/>
          </w:tcPr>
          <w:p w:rsidR="00A6471D" w:rsidRPr="00262F32" w:rsidRDefault="0076403F" w:rsidP="007C672E">
            <w:pPr>
              <w:pStyle w:val="Tekstastils"/>
              <w:ind w:left="0" w:firstLine="0"/>
              <w:rPr>
                <w:rFonts w:cs="Times New Roman"/>
              </w:rPr>
            </w:pPr>
            <w:r w:rsidRPr="00262F32">
              <w:rPr>
                <w:rFonts w:cs="Times New Roman"/>
              </w:rPr>
              <w:t>3.</w:t>
            </w:r>
          </w:p>
        </w:tc>
        <w:tc>
          <w:tcPr>
            <w:tcW w:w="2977" w:type="dxa"/>
          </w:tcPr>
          <w:p w:rsidR="00A6471D" w:rsidRPr="00262F32" w:rsidRDefault="00A83EF2" w:rsidP="00A83EF2">
            <w:pPr>
              <w:pStyle w:val="Tekstastils"/>
              <w:ind w:left="0" w:firstLine="0"/>
              <w:rPr>
                <w:rFonts w:cs="Times New Roman"/>
              </w:rPr>
            </w:pPr>
            <w:r w:rsidRPr="00262F32">
              <w:rPr>
                <w:rFonts w:cs="Times New Roman"/>
              </w:rPr>
              <w:t xml:space="preserve">Autoparka atjaunošana </w:t>
            </w:r>
          </w:p>
        </w:tc>
        <w:tc>
          <w:tcPr>
            <w:tcW w:w="992" w:type="dxa"/>
          </w:tcPr>
          <w:p w:rsidR="00A6471D" w:rsidRPr="00262F32" w:rsidRDefault="0076403F" w:rsidP="007C672E">
            <w:pPr>
              <w:pStyle w:val="Tekstastils"/>
              <w:ind w:left="0" w:firstLine="0"/>
              <w:rPr>
                <w:rFonts w:cs="Times New Roman"/>
              </w:rPr>
            </w:pPr>
            <w:r w:rsidRPr="00262F32">
              <w:rPr>
                <w:rFonts w:cs="Times New Roman"/>
              </w:rPr>
              <w:t>x</w:t>
            </w:r>
          </w:p>
        </w:tc>
        <w:tc>
          <w:tcPr>
            <w:tcW w:w="1276" w:type="dxa"/>
          </w:tcPr>
          <w:p w:rsidR="00A6471D" w:rsidRPr="00262F32" w:rsidRDefault="0076403F" w:rsidP="007C672E">
            <w:pPr>
              <w:pStyle w:val="Tekstastils"/>
              <w:ind w:left="0" w:firstLine="0"/>
              <w:rPr>
                <w:rFonts w:cs="Times New Roman"/>
              </w:rPr>
            </w:pPr>
            <w:r w:rsidRPr="00262F32">
              <w:rPr>
                <w:rFonts w:cs="Times New Roman"/>
              </w:rPr>
              <w:t>x</w:t>
            </w:r>
          </w:p>
        </w:tc>
        <w:tc>
          <w:tcPr>
            <w:tcW w:w="992" w:type="dxa"/>
          </w:tcPr>
          <w:p w:rsidR="00A6471D" w:rsidRPr="00262F32" w:rsidRDefault="0076403F" w:rsidP="007C672E">
            <w:pPr>
              <w:pStyle w:val="Tekstastils"/>
              <w:ind w:left="0" w:firstLine="0"/>
              <w:rPr>
                <w:rFonts w:cs="Times New Roman"/>
              </w:rPr>
            </w:pPr>
            <w:r w:rsidRPr="00262F32">
              <w:rPr>
                <w:rFonts w:cs="Times New Roman"/>
              </w:rPr>
              <w:t>22</w:t>
            </w:r>
          </w:p>
        </w:tc>
        <w:tc>
          <w:tcPr>
            <w:tcW w:w="1276" w:type="dxa"/>
          </w:tcPr>
          <w:p w:rsidR="00A6471D" w:rsidRPr="00262F32" w:rsidRDefault="0076403F" w:rsidP="007C672E">
            <w:pPr>
              <w:pStyle w:val="Tekstastils"/>
              <w:ind w:left="0" w:firstLine="0"/>
              <w:rPr>
                <w:rFonts w:cs="Times New Roman"/>
              </w:rPr>
            </w:pPr>
            <w:r w:rsidRPr="00262F32">
              <w:rPr>
                <w:rFonts w:cs="Times New Roman"/>
              </w:rPr>
              <w:t>660 000</w:t>
            </w:r>
          </w:p>
        </w:tc>
        <w:tc>
          <w:tcPr>
            <w:tcW w:w="992" w:type="dxa"/>
          </w:tcPr>
          <w:p w:rsidR="00A6471D" w:rsidRPr="00262F32" w:rsidRDefault="0076403F" w:rsidP="007C672E">
            <w:pPr>
              <w:pStyle w:val="Tekstastils"/>
              <w:ind w:left="0" w:firstLine="0"/>
              <w:rPr>
                <w:rFonts w:cs="Times New Roman"/>
              </w:rPr>
            </w:pPr>
            <w:r w:rsidRPr="00262F32">
              <w:rPr>
                <w:rFonts w:cs="Times New Roman"/>
              </w:rPr>
              <w:t>60</w:t>
            </w:r>
          </w:p>
        </w:tc>
        <w:tc>
          <w:tcPr>
            <w:tcW w:w="1276" w:type="dxa"/>
          </w:tcPr>
          <w:p w:rsidR="00A6471D" w:rsidRPr="00262F32" w:rsidRDefault="0076403F" w:rsidP="007C672E">
            <w:pPr>
              <w:pStyle w:val="Tekstastils"/>
              <w:ind w:left="0" w:firstLine="0"/>
              <w:rPr>
                <w:rFonts w:cs="Times New Roman"/>
              </w:rPr>
            </w:pPr>
            <w:r w:rsidRPr="00262F32">
              <w:rPr>
                <w:rFonts w:cs="Times New Roman"/>
              </w:rPr>
              <w:t>1 500 000</w:t>
            </w:r>
          </w:p>
        </w:tc>
      </w:tr>
      <w:tr w:rsidR="00F04031" w:rsidTr="00BE6561">
        <w:tc>
          <w:tcPr>
            <w:tcW w:w="568" w:type="dxa"/>
          </w:tcPr>
          <w:p w:rsidR="00A6471D" w:rsidRPr="00262F32" w:rsidRDefault="0076403F" w:rsidP="007C672E">
            <w:pPr>
              <w:pStyle w:val="Tekstastils"/>
              <w:ind w:left="0" w:firstLine="0"/>
              <w:rPr>
                <w:rFonts w:cs="Times New Roman"/>
              </w:rPr>
            </w:pPr>
            <w:r w:rsidRPr="00262F32">
              <w:rPr>
                <w:rFonts w:cs="Times New Roman"/>
              </w:rPr>
              <w:t>4.</w:t>
            </w:r>
          </w:p>
        </w:tc>
        <w:tc>
          <w:tcPr>
            <w:tcW w:w="2977" w:type="dxa"/>
          </w:tcPr>
          <w:p w:rsidR="00A6471D" w:rsidRPr="00262F32" w:rsidRDefault="00F73968" w:rsidP="00F73968">
            <w:pPr>
              <w:pStyle w:val="Tekstastils"/>
              <w:ind w:left="0" w:firstLine="0"/>
              <w:rPr>
                <w:rFonts w:cs="Times New Roman"/>
              </w:rPr>
            </w:pPr>
            <w:r w:rsidRPr="00262F32">
              <w:rPr>
                <w:rFonts w:cs="Times New Roman"/>
              </w:rPr>
              <w:t>Babītes m</w:t>
            </w:r>
            <w:r w:rsidR="0076403F" w:rsidRPr="00262F32">
              <w:rPr>
                <w:rFonts w:cs="Times New Roman"/>
              </w:rPr>
              <w:t>eža ugunsdzēsības stacijas celtniecība</w:t>
            </w:r>
            <w:r w:rsidRPr="00262F32">
              <w:rPr>
                <w:rFonts w:cs="Times New Roman"/>
              </w:rPr>
              <w:t xml:space="preserve">, Kuldīgas  meža ugunsdzēsības stacijas </w:t>
            </w:r>
            <w:r w:rsidR="0076403F" w:rsidRPr="00262F32">
              <w:rPr>
                <w:rFonts w:cs="Times New Roman"/>
              </w:rPr>
              <w:t xml:space="preserve">kapitālais remonts, </w:t>
            </w:r>
            <w:r w:rsidRPr="00262F32">
              <w:rPr>
                <w:rFonts w:cs="Times New Roman"/>
              </w:rPr>
              <w:t xml:space="preserve">Ludzas </w:t>
            </w:r>
            <w:r w:rsidR="0076403F" w:rsidRPr="00262F32">
              <w:rPr>
                <w:rFonts w:cs="Times New Roman"/>
              </w:rPr>
              <w:t xml:space="preserve">meža </w:t>
            </w:r>
            <w:proofErr w:type="spellStart"/>
            <w:r w:rsidR="0076403F" w:rsidRPr="00262F32">
              <w:rPr>
                <w:rFonts w:cs="Times New Roman"/>
              </w:rPr>
              <w:t>ugunsapsardzības</w:t>
            </w:r>
            <w:proofErr w:type="spellEnd"/>
            <w:r w:rsidR="0076403F" w:rsidRPr="00262F32">
              <w:rPr>
                <w:rFonts w:cs="Times New Roman"/>
              </w:rPr>
              <w:t xml:space="preserve"> autotransporta</w:t>
            </w:r>
            <w:r w:rsidRPr="00262F32">
              <w:rPr>
                <w:rFonts w:cs="Times New Roman"/>
              </w:rPr>
              <w:t xml:space="preserve"> garāžas</w:t>
            </w:r>
            <w:r w:rsidR="0076403F" w:rsidRPr="00262F32">
              <w:rPr>
                <w:rFonts w:cs="Times New Roman"/>
              </w:rPr>
              <w:t xml:space="preserve"> kapitālais remonts</w:t>
            </w:r>
          </w:p>
        </w:tc>
        <w:tc>
          <w:tcPr>
            <w:tcW w:w="992" w:type="dxa"/>
          </w:tcPr>
          <w:p w:rsidR="00A6471D" w:rsidRPr="00262F32" w:rsidRDefault="0076403F" w:rsidP="007C672E">
            <w:pPr>
              <w:pStyle w:val="Tekstastils"/>
              <w:ind w:left="0" w:firstLine="0"/>
              <w:rPr>
                <w:rFonts w:cs="Times New Roman"/>
              </w:rPr>
            </w:pPr>
            <w:r w:rsidRPr="00262F32">
              <w:rPr>
                <w:rFonts w:cs="Times New Roman"/>
              </w:rPr>
              <w:t>1</w:t>
            </w:r>
          </w:p>
        </w:tc>
        <w:tc>
          <w:tcPr>
            <w:tcW w:w="1276" w:type="dxa"/>
          </w:tcPr>
          <w:p w:rsidR="00A6471D" w:rsidRPr="00262F32" w:rsidRDefault="0076403F" w:rsidP="007C672E">
            <w:pPr>
              <w:pStyle w:val="Tekstastils"/>
              <w:ind w:left="0" w:firstLine="0"/>
              <w:rPr>
                <w:rFonts w:cs="Times New Roman"/>
              </w:rPr>
            </w:pPr>
            <w:r w:rsidRPr="00262F32">
              <w:rPr>
                <w:rFonts w:cs="Times New Roman"/>
              </w:rPr>
              <w:t>250 000</w:t>
            </w:r>
          </w:p>
        </w:tc>
        <w:tc>
          <w:tcPr>
            <w:tcW w:w="992" w:type="dxa"/>
          </w:tcPr>
          <w:p w:rsidR="00A6471D" w:rsidRPr="00262F32" w:rsidRDefault="0076403F" w:rsidP="007C672E">
            <w:pPr>
              <w:pStyle w:val="Tekstastils"/>
              <w:ind w:left="0" w:firstLine="0"/>
              <w:rPr>
                <w:rFonts w:cs="Times New Roman"/>
              </w:rPr>
            </w:pPr>
            <w:r w:rsidRPr="00262F32">
              <w:rPr>
                <w:rFonts w:cs="Times New Roman"/>
              </w:rPr>
              <w:t>1</w:t>
            </w:r>
          </w:p>
        </w:tc>
        <w:tc>
          <w:tcPr>
            <w:tcW w:w="1276" w:type="dxa"/>
          </w:tcPr>
          <w:p w:rsidR="00A6471D" w:rsidRPr="00262F32" w:rsidRDefault="0076403F" w:rsidP="007C672E">
            <w:pPr>
              <w:pStyle w:val="Tekstastils"/>
              <w:ind w:left="0" w:firstLine="0"/>
              <w:rPr>
                <w:rFonts w:cs="Times New Roman"/>
              </w:rPr>
            </w:pPr>
            <w:r w:rsidRPr="00262F32">
              <w:rPr>
                <w:rFonts w:cs="Times New Roman"/>
              </w:rPr>
              <w:t>100 000</w:t>
            </w:r>
          </w:p>
        </w:tc>
        <w:tc>
          <w:tcPr>
            <w:tcW w:w="992" w:type="dxa"/>
          </w:tcPr>
          <w:p w:rsidR="00A6471D" w:rsidRPr="00262F32" w:rsidRDefault="0076403F" w:rsidP="007C672E">
            <w:pPr>
              <w:pStyle w:val="Tekstastils"/>
              <w:ind w:left="0" w:firstLine="0"/>
              <w:rPr>
                <w:rFonts w:cs="Times New Roman"/>
              </w:rPr>
            </w:pPr>
            <w:r w:rsidRPr="00262F32">
              <w:rPr>
                <w:rFonts w:cs="Times New Roman"/>
              </w:rPr>
              <w:t>1</w:t>
            </w:r>
          </w:p>
        </w:tc>
        <w:tc>
          <w:tcPr>
            <w:tcW w:w="1276" w:type="dxa"/>
          </w:tcPr>
          <w:p w:rsidR="00A6471D" w:rsidRPr="00262F32" w:rsidRDefault="0076403F" w:rsidP="007C672E">
            <w:pPr>
              <w:pStyle w:val="Tekstastils"/>
              <w:ind w:left="0" w:firstLine="0"/>
              <w:rPr>
                <w:rFonts w:cs="Times New Roman"/>
              </w:rPr>
            </w:pPr>
            <w:r w:rsidRPr="00262F32">
              <w:rPr>
                <w:rFonts w:cs="Times New Roman"/>
              </w:rPr>
              <w:t>100 000</w:t>
            </w:r>
          </w:p>
        </w:tc>
      </w:tr>
      <w:tr w:rsidR="00F04031" w:rsidTr="00BE6561">
        <w:tc>
          <w:tcPr>
            <w:tcW w:w="568" w:type="dxa"/>
          </w:tcPr>
          <w:p w:rsidR="00A6471D" w:rsidRPr="00262F32" w:rsidRDefault="00C10683" w:rsidP="007C672E">
            <w:pPr>
              <w:pStyle w:val="Tekstastils"/>
              <w:ind w:left="0" w:firstLine="0"/>
              <w:rPr>
                <w:rFonts w:cs="Times New Roman"/>
              </w:rPr>
            </w:pPr>
            <w:r w:rsidRPr="00262F32">
              <w:rPr>
                <w:rFonts w:cs="Times New Roman"/>
              </w:rPr>
              <w:t>5.</w:t>
            </w:r>
          </w:p>
        </w:tc>
        <w:tc>
          <w:tcPr>
            <w:tcW w:w="2977" w:type="dxa"/>
          </w:tcPr>
          <w:p w:rsidR="00A6471D" w:rsidRPr="00262F32" w:rsidRDefault="00C10683" w:rsidP="00C10683">
            <w:pPr>
              <w:pStyle w:val="Tekstastils"/>
              <w:ind w:left="0" w:firstLine="0"/>
              <w:rPr>
                <w:rFonts w:cs="Times New Roman"/>
              </w:rPr>
            </w:pPr>
            <w:r w:rsidRPr="00262F32">
              <w:rPr>
                <w:rFonts w:cs="Times New Roman"/>
              </w:rPr>
              <w:t>Portatīvo datoru atjaunošana mežziņu darba nodrošināšanai</w:t>
            </w:r>
          </w:p>
        </w:tc>
        <w:tc>
          <w:tcPr>
            <w:tcW w:w="992" w:type="dxa"/>
          </w:tcPr>
          <w:p w:rsidR="00A6471D" w:rsidRPr="00262F32" w:rsidRDefault="00C10683" w:rsidP="007C672E">
            <w:pPr>
              <w:pStyle w:val="Tekstastils"/>
              <w:ind w:left="0" w:firstLine="0"/>
              <w:rPr>
                <w:rFonts w:cs="Times New Roman"/>
              </w:rPr>
            </w:pPr>
            <w:r w:rsidRPr="00262F32">
              <w:rPr>
                <w:rFonts w:cs="Times New Roman"/>
              </w:rPr>
              <w:t>348</w:t>
            </w:r>
          </w:p>
        </w:tc>
        <w:tc>
          <w:tcPr>
            <w:tcW w:w="1276" w:type="dxa"/>
          </w:tcPr>
          <w:p w:rsidR="00A6471D" w:rsidRPr="00262F32" w:rsidRDefault="00C10683" w:rsidP="007C672E">
            <w:pPr>
              <w:pStyle w:val="Tekstastils"/>
              <w:ind w:left="0" w:firstLine="0"/>
              <w:rPr>
                <w:rFonts w:cs="Times New Roman"/>
              </w:rPr>
            </w:pPr>
            <w:r w:rsidRPr="00262F32">
              <w:rPr>
                <w:rFonts w:cs="Times New Roman"/>
              </w:rPr>
              <w:t>341 040</w:t>
            </w:r>
          </w:p>
        </w:tc>
        <w:tc>
          <w:tcPr>
            <w:tcW w:w="992" w:type="dxa"/>
          </w:tcPr>
          <w:p w:rsidR="00A6471D" w:rsidRPr="00262F32" w:rsidRDefault="00C10683" w:rsidP="007C672E">
            <w:pPr>
              <w:pStyle w:val="Tekstastils"/>
              <w:ind w:left="0" w:firstLine="0"/>
              <w:rPr>
                <w:rFonts w:cs="Times New Roman"/>
              </w:rPr>
            </w:pPr>
            <w:r w:rsidRPr="00262F32">
              <w:rPr>
                <w:rFonts w:cs="Times New Roman"/>
              </w:rPr>
              <w:t>x</w:t>
            </w:r>
          </w:p>
        </w:tc>
        <w:tc>
          <w:tcPr>
            <w:tcW w:w="1276" w:type="dxa"/>
          </w:tcPr>
          <w:p w:rsidR="00A6471D" w:rsidRPr="00262F32" w:rsidRDefault="00C10683" w:rsidP="007C672E">
            <w:pPr>
              <w:pStyle w:val="Tekstastils"/>
              <w:ind w:left="0" w:firstLine="0"/>
              <w:rPr>
                <w:rFonts w:cs="Times New Roman"/>
              </w:rPr>
            </w:pPr>
            <w:r w:rsidRPr="00262F32">
              <w:rPr>
                <w:rFonts w:cs="Times New Roman"/>
              </w:rPr>
              <w:t>x</w:t>
            </w:r>
          </w:p>
        </w:tc>
        <w:tc>
          <w:tcPr>
            <w:tcW w:w="992" w:type="dxa"/>
          </w:tcPr>
          <w:p w:rsidR="00A6471D" w:rsidRPr="00262F32" w:rsidRDefault="00C10683" w:rsidP="007C672E">
            <w:pPr>
              <w:pStyle w:val="Tekstastils"/>
              <w:ind w:left="0" w:firstLine="0"/>
              <w:rPr>
                <w:rFonts w:cs="Times New Roman"/>
              </w:rPr>
            </w:pPr>
            <w:r w:rsidRPr="00262F32">
              <w:rPr>
                <w:rFonts w:cs="Times New Roman"/>
              </w:rPr>
              <w:t>x</w:t>
            </w:r>
          </w:p>
        </w:tc>
        <w:tc>
          <w:tcPr>
            <w:tcW w:w="1276" w:type="dxa"/>
          </w:tcPr>
          <w:p w:rsidR="00A6471D" w:rsidRPr="00262F32" w:rsidRDefault="00C10683" w:rsidP="007C672E">
            <w:pPr>
              <w:pStyle w:val="Tekstastils"/>
              <w:ind w:left="0" w:firstLine="0"/>
              <w:rPr>
                <w:rFonts w:cs="Times New Roman"/>
              </w:rPr>
            </w:pPr>
            <w:r w:rsidRPr="00262F32">
              <w:rPr>
                <w:rFonts w:cs="Times New Roman"/>
              </w:rPr>
              <w:t>x</w:t>
            </w:r>
          </w:p>
        </w:tc>
      </w:tr>
      <w:tr w:rsidR="00F04031" w:rsidTr="00BE6561">
        <w:tc>
          <w:tcPr>
            <w:tcW w:w="568" w:type="dxa"/>
          </w:tcPr>
          <w:p w:rsidR="00A6471D" w:rsidRPr="00262F32" w:rsidRDefault="00A6471D" w:rsidP="007C672E">
            <w:pPr>
              <w:pStyle w:val="Tekstastils"/>
              <w:ind w:left="0" w:firstLine="0"/>
              <w:rPr>
                <w:rFonts w:cs="Times New Roman"/>
              </w:rPr>
            </w:pPr>
          </w:p>
        </w:tc>
        <w:tc>
          <w:tcPr>
            <w:tcW w:w="2977" w:type="dxa"/>
          </w:tcPr>
          <w:p w:rsidR="00A6471D" w:rsidRPr="00262F32" w:rsidRDefault="00C10683" w:rsidP="007C672E">
            <w:pPr>
              <w:pStyle w:val="Tekstastils"/>
              <w:ind w:left="0" w:firstLine="0"/>
              <w:rPr>
                <w:rFonts w:cs="Times New Roman"/>
              </w:rPr>
            </w:pPr>
            <w:r w:rsidRPr="00262F32">
              <w:rPr>
                <w:rFonts w:cs="Times New Roman"/>
              </w:rPr>
              <w:t>KOPĀ</w:t>
            </w:r>
          </w:p>
        </w:tc>
        <w:tc>
          <w:tcPr>
            <w:tcW w:w="992" w:type="dxa"/>
          </w:tcPr>
          <w:p w:rsidR="00A6471D" w:rsidRPr="00262F32" w:rsidRDefault="00C10683" w:rsidP="007C672E">
            <w:pPr>
              <w:pStyle w:val="Tekstastils"/>
              <w:ind w:left="0" w:firstLine="0"/>
              <w:rPr>
                <w:rFonts w:cs="Times New Roman"/>
              </w:rPr>
            </w:pPr>
            <w:r w:rsidRPr="00262F32">
              <w:rPr>
                <w:rFonts w:cs="Times New Roman"/>
              </w:rPr>
              <w:t>x</w:t>
            </w:r>
          </w:p>
        </w:tc>
        <w:tc>
          <w:tcPr>
            <w:tcW w:w="1276" w:type="dxa"/>
          </w:tcPr>
          <w:p w:rsidR="00A6471D" w:rsidRPr="00262F32" w:rsidRDefault="00C10683" w:rsidP="007C672E">
            <w:pPr>
              <w:pStyle w:val="Tekstastils"/>
              <w:ind w:left="0" w:firstLine="0"/>
              <w:rPr>
                <w:rFonts w:cs="Times New Roman"/>
              </w:rPr>
            </w:pPr>
            <w:r w:rsidRPr="00262F32">
              <w:rPr>
                <w:rFonts w:cs="Times New Roman"/>
              </w:rPr>
              <w:t>2 853 905</w:t>
            </w:r>
          </w:p>
        </w:tc>
        <w:tc>
          <w:tcPr>
            <w:tcW w:w="992" w:type="dxa"/>
          </w:tcPr>
          <w:p w:rsidR="00A6471D" w:rsidRPr="00262F32" w:rsidRDefault="00C10683" w:rsidP="007C672E">
            <w:pPr>
              <w:pStyle w:val="Tekstastils"/>
              <w:ind w:left="0" w:firstLine="0"/>
              <w:rPr>
                <w:rFonts w:cs="Times New Roman"/>
              </w:rPr>
            </w:pPr>
            <w:r w:rsidRPr="00262F32">
              <w:rPr>
                <w:rFonts w:cs="Times New Roman"/>
              </w:rPr>
              <w:t>x</w:t>
            </w:r>
          </w:p>
        </w:tc>
        <w:tc>
          <w:tcPr>
            <w:tcW w:w="1276" w:type="dxa"/>
          </w:tcPr>
          <w:p w:rsidR="00A6471D" w:rsidRPr="00262F32" w:rsidRDefault="00902FA4" w:rsidP="007C672E">
            <w:pPr>
              <w:pStyle w:val="Tekstastils"/>
              <w:ind w:left="0" w:firstLine="0"/>
              <w:rPr>
                <w:rFonts w:cs="Times New Roman"/>
              </w:rPr>
            </w:pPr>
            <w:r w:rsidRPr="00262F32">
              <w:rPr>
                <w:rFonts w:cs="Times New Roman"/>
              </w:rPr>
              <w:t>3 022 865</w:t>
            </w:r>
          </w:p>
        </w:tc>
        <w:tc>
          <w:tcPr>
            <w:tcW w:w="992" w:type="dxa"/>
          </w:tcPr>
          <w:p w:rsidR="00A6471D" w:rsidRPr="00262F32" w:rsidRDefault="00C10683" w:rsidP="007C672E">
            <w:pPr>
              <w:pStyle w:val="Tekstastils"/>
              <w:ind w:left="0" w:firstLine="0"/>
              <w:rPr>
                <w:rFonts w:cs="Times New Roman"/>
              </w:rPr>
            </w:pPr>
            <w:r w:rsidRPr="00262F32">
              <w:rPr>
                <w:rFonts w:cs="Times New Roman"/>
              </w:rPr>
              <w:t>x</w:t>
            </w:r>
          </w:p>
        </w:tc>
        <w:tc>
          <w:tcPr>
            <w:tcW w:w="1276" w:type="dxa"/>
          </w:tcPr>
          <w:p w:rsidR="00A6471D" w:rsidRPr="00262F32" w:rsidRDefault="00902FA4" w:rsidP="007C672E">
            <w:pPr>
              <w:pStyle w:val="Tekstastils"/>
              <w:ind w:left="0" w:firstLine="0"/>
              <w:rPr>
                <w:rFonts w:cs="Times New Roman"/>
              </w:rPr>
            </w:pPr>
            <w:r w:rsidRPr="00262F32">
              <w:rPr>
                <w:rFonts w:cs="Times New Roman"/>
              </w:rPr>
              <w:t>3 879 765</w:t>
            </w:r>
          </w:p>
        </w:tc>
      </w:tr>
    </w:tbl>
    <w:p w:rsidR="00A6471D" w:rsidRDefault="00A6471D" w:rsidP="007C672E">
      <w:pPr>
        <w:pStyle w:val="Tekstastils"/>
      </w:pPr>
    </w:p>
    <w:p w:rsidR="00FB7D05" w:rsidRDefault="00FB7D05" w:rsidP="007C672E">
      <w:pPr>
        <w:pStyle w:val="Tekstastils"/>
      </w:pPr>
    </w:p>
    <w:p w:rsidR="00954247" w:rsidRDefault="00954247" w:rsidP="007C672E">
      <w:pPr>
        <w:pStyle w:val="Tekstastils"/>
      </w:pPr>
    </w:p>
    <w:p w:rsidR="000C0ADC" w:rsidRPr="003F2E00" w:rsidRDefault="009143F4" w:rsidP="003F2E00">
      <w:pPr>
        <w:pStyle w:val="Darbateksts"/>
        <w:ind w:left="0"/>
        <w:rPr>
          <w:sz w:val="28"/>
          <w:szCs w:val="28"/>
        </w:rPr>
      </w:pPr>
      <w:r w:rsidRPr="003F2E00">
        <w:rPr>
          <w:rFonts w:eastAsia="Times New Roman" w:cs="Times New Roman"/>
          <w:sz w:val="28"/>
          <w:szCs w:val="28"/>
          <w:lang w:eastAsia="lv-LV"/>
        </w:rPr>
        <w:t>Zemkopības ministrs</w:t>
      </w:r>
      <w:r w:rsidRPr="003F2E00">
        <w:rPr>
          <w:rFonts w:eastAsia="Times New Roman" w:cs="Times New Roman"/>
          <w:sz w:val="28"/>
          <w:szCs w:val="28"/>
          <w:lang w:eastAsia="lv-LV"/>
        </w:rPr>
        <w:tab/>
      </w:r>
      <w:r w:rsidRPr="003F2E00">
        <w:rPr>
          <w:rFonts w:eastAsia="Times New Roman" w:cs="Times New Roman"/>
          <w:sz w:val="28"/>
          <w:szCs w:val="28"/>
          <w:lang w:eastAsia="lv-LV"/>
        </w:rPr>
        <w:tab/>
      </w:r>
      <w:r w:rsidRPr="003F2E00">
        <w:rPr>
          <w:rFonts w:eastAsia="Times New Roman" w:cs="Times New Roman"/>
          <w:sz w:val="28"/>
          <w:szCs w:val="28"/>
          <w:lang w:eastAsia="lv-LV"/>
        </w:rPr>
        <w:tab/>
      </w:r>
      <w:r w:rsidRPr="003F2E00">
        <w:rPr>
          <w:rFonts w:eastAsia="Times New Roman" w:cs="Times New Roman"/>
          <w:sz w:val="28"/>
          <w:szCs w:val="28"/>
          <w:lang w:eastAsia="lv-LV"/>
        </w:rPr>
        <w:tab/>
      </w:r>
      <w:r w:rsidRPr="003F2E00">
        <w:rPr>
          <w:rFonts w:eastAsia="Times New Roman" w:cs="Times New Roman"/>
          <w:sz w:val="28"/>
          <w:szCs w:val="28"/>
          <w:lang w:eastAsia="lv-LV"/>
        </w:rPr>
        <w:tab/>
      </w:r>
      <w:r w:rsidRPr="003F2E00">
        <w:rPr>
          <w:rFonts w:eastAsia="Times New Roman" w:cs="Times New Roman"/>
          <w:sz w:val="28"/>
          <w:szCs w:val="28"/>
          <w:lang w:eastAsia="lv-LV"/>
        </w:rPr>
        <w:tab/>
      </w:r>
      <w:r w:rsidR="003F2E00">
        <w:rPr>
          <w:rFonts w:eastAsia="Times New Roman" w:cs="Times New Roman"/>
          <w:sz w:val="28"/>
          <w:szCs w:val="28"/>
          <w:lang w:eastAsia="lv-LV"/>
        </w:rPr>
        <w:tab/>
      </w:r>
      <w:r w:rsidRPr="003F2E00">
        <w:rPr>
          <w:rFonts w:eastAsia="Times New Roman" w:cs="Times New Roman"/>
          <w:sz w:val="28"/>
          <w:szCs w:val="28"/>
          <w:lang w:eastAsia="lv-LV"/>
        </w:rPr>
        <w:t>K. Gerhards</w:t>
      </w:r>
    </w:p>
    <w:sectPr w:rsidR="000C0ADC" w:rsidRPr="003F2E00" w:rsidSect="003F2E00">
      <w:headerReference w:type="default" r:id="rId13"/>
      <w:footerReference w:type="default" r:id="rId14"/>
      <w:headerReference w:type="first" r:id="rId15"/>
      <w:footerReference w:type="first" r:id="rId16"/>
      <w:pgSz w:w="12240" w:h="15840"/>
      <w:pgMar w:top="1418"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90" w:rsidRDefault="00CC3590">
      <w:pPr>
        <w:spacing w:before="0"/>
      </w:pPr>
      <w:r>
        <w:separator/>
      </w:r>
    </w:p>
  </w:endnote>
  <w:endnote w:type="continuationSeparator" w:id="0">
    <w:p w:rsidR="00CC3590" w:rsidRDefault="00CC35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D9" w:rsidRPr="003F2E00" w:rsidRDefault="003F2E00" w:rsidP="003F2E00">
    <w:pPr>
      <w:pStyle w:val="Footer"/>
      <w:ind w:left="0"/>
      <w:rPr>
        <w:rFonts w:ascii="Times New Roman" w:hAnsi="Times New Roman" w:cs="Times New Roman"/>
        <w:sz w:val="20"/>
        <w:szCs w:val="20"/>
      </w:rPr>
    </w:pPr>
    <w:r w:rsidRPr="003F2E00">
      <w:rPr>
        <w:rFonts w:ascii="Times New Roman" w:hAnsi="Times New Roman" w:cs="Times New Roman"/>
        <w:sz w:val="20"/>
        <w:szCs w:val="20"/>
      </w:rPr>
      <w:t>ZMZino_050719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E00" w:rsidRPr="003F2E00" w:rsidRDefault="003F2E00" w:rsidP="003F2E00">
    <w:pPr>
      <w:pStyle w:val="Footer"/>
      <w:ind w:left="0"/>
      <w:rPr>
        <w:rFonts w:ascii="Times New Roman" w:hAnsi="Times New Roman" w:cs="Times New Roman"/>
        <w:sz w:val="20"/>
        <w:szCs w:val="20"/>
      </w:rPr>
    </w:pPr>
    <w:r w:rsidRPr="003F2E00">
      <w:rPr>
        <w:rFonts w:ascii="Times New Roman" w:hAnsi="Times New Roman" w:cs="Times New Roman"/>
        <w:sz w:val="20"/>
        <w:szCs w:val="20"/>
      </w:rPr>
      <w:t>ZMZino_050719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90" w:rsidRDefault="00CC3590">
      <w:pPr>
        <w:spacing w:before="0"/>
      </w:pPr>
      <w:r>
        <w:separator/>
      </w:r>
    </w:p>
  </w:footnote>
  <w:footnote w:type="continuationSeparator" w:id="0">
    <w:p w:rsidR="00CC3590" w:rsidRDefault="00CC359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152988"/>
      <w:docPartObj>
        <w:docPartGallery w:val="Page Numbers (Top of Page)"/>
        <w:docPartUnique/>
      </w:docPartObj>
    </w:sdtPr>
    <w:sdtEndPr>
      <w:rPr>
        <w:rFonts w:ascii="Times New Roman" w:hAnsi="Times New Roman" w:cs="Times New Roman"/>
        <w:sz w:val="24"/>
        <w:szCs w:val="24"/>
      </w:rPr>
    </w:sdtEndPr>
    <w:sdtContent>
      <w:p w:rsidR="003F2E00" w:rsidRPr="003F2E00" w:rsidRDefault="003F2E00">
        <w:pPr>
          <w:pStyle w:val="Header"/>
          <w:jc w:val="center"/>
          <w:rPr>
            <w:rFonts w:ascii="Times New Roman" w:hAnsi="Times New Roman" w:cs="Times New Roman"/>
            <w:sz w:val="24"/>
            <w:szCs w:val="24"/>
          </w:rPr>
        </w:pPr>
        <w:r w:rsidRPr="003F2E00">
          <w:rPr>
            <w:rFonts w:ascii="Times New Roman" w:hAnsi="Times New Roman" w:cs="Times New Roman"/>
            <w:sz w:val="24"/>
            <w:szCs w:val="24"/>
          </w:rPr>
          <w:fldChar w:fldCharType="begin"/>
        </w:r>
        <w:r w:rsidRPr="003F2E00">
          <w:rPr>
            <w:rFonts w:ascii="Times New Roman" w:hAnsi="Times New Roman" w:cs="Times New Roman"/>
            <w:sz w:val="24"/>
            <w:szCs w:val="24"/>
          </w:rPr>
          <w:instrText>PAGE   \* MERGEFORMAT</w:instrText>
        </w:r>
        <w:r w:rsidRPr="003F2E00">
          <w:rPr>
            <w:rFonts w:ascii="Times New Roman" w:hAnsi="Times New Roman" w:cs="Times New Roman"/>
            <w:sz w:val="24"/>
            <w:szCs w:val="24"/>
          </w:rPr>
          <w:fldChar w:fldCharType="separate"/>
        </w:r>
        <w:r w:rsidR="001C55F5" w:rsidRPr="001C55F5">
          <w:rPr>
            <w:rFonts w:ascii="Times New Roman" w:hAnsi="Times New Roman" w:cs="Times New Roman"/>
            <w:noProof/>
            <w:sz w:val="24"/>
            <w:szCs w:val="24"/>
            <w:lang w:val="lv-LV"/>
          </w:rPr>
          <w:t>2</w:t>
        </w:r>
        <w:r w:rsidRPr="003F2E00">
          <w:rPr>
            <w:rFonts w:ascii="Times New Roman" w:hAnsi="Times New Roman" w:cs="Times New Roman"/>
            <w:sz w:val="24"/>
            <w:szCs w:val="24"/>
          </w:rPr>
          <w:fldChar w:fldCharType="end"/>
        </w:r>
      </w:p>
    </w:sdtContent>
  </w:sdt>
  <w:p w:rsidR="003F2E00" w:rsidRDefault="003F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36184"/>
      <w:docPartObj>
        <w:docPartGallery w:val="Page Numbers (Top of Page)"/>
        <w:docPartUnique/>
      </w:docPartObj>
    </w:sdtPr>
    <w:sdtEndPr/>
    <w:sdtContent>
      <w:p w:rsidR="003F2E00" w:rsidRDefault="00CC3590" w:rsidP="003F2E00">
        <w:pPr>
          <w:pStyle w:val="Header"/>
          <w:ind w:left="0"/>
          <w:jc w:val="left"/>
        </w:pPr>
      </w:p>
    </w:sdtContent>
  </w:sdt>
  <w:p w:rsidR="00A243D9" w:rsidRDefault="00A2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F78"/>
    <w:multiLevelType w:val="multilevel"/>
    <w:tmpl w:val="7396A48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813A95"/>
    <w:multiLevelType w:val="hybridMultilevel"/>
    <w:tmpl w:val="49CC8EBC"/>
    <w:lvl w:ilvl="0" w:tplc="75A6E18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1D561C"/>
    <w:multiLevelType w:val="hybridMultilevel"/>
    <w:tmpl w:val="9BE8973A"/>
    <w:lvl w:ilvl="0" w:tplc="4DAA084C">
      <w:start w:val="1"/>
      <w:numFmt w:val="decimal"/>
      <w:lvlText w:val="%1.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 w15:restartNumberingAfterBreak="0">
    <w:nsid w:val="5A60684F"/>
    <w:multiLevelType w:val="multilevel"/>
    <w:tmpl w:val="E1D40D9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EF07AA"/>
    <w:multiLevelType w:val="hybridMultilevel"/>
    <w:tmpl w:val="74A43078"/>
    <w:lvl w:ilvl="0" w:tplc="D398EDAE">
      <w:start w:val="1"/>
      <w:numFmt w:val="decimal"/>
      <w:lvlText w:val="%1."/>
      <w:lvlJc w:val="left"/>
      <w:pPr>
        <w:ind w:left="792" w:hanging="360"/>
      </w:pPr>
    </w:lvl>
    <w:lvl w:ilvl="1" w:tplc="04260019">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5" w15:restartNumberingAfterBreak="0">
    <w:nsid w:val="6AF621E2"/>
    <w:multiLevelType w:val="hybridMultilevel"/>
    <w:tmpl w:val="9766D220"/>
    <w:lvl w:ilvl="0" w:tplc="6BB225AC">
      <w:start w:val="1"/>
      <w:numFmt w:val="decimal"/>
      <w:lvlText w:val="%1)"/>
      <w:lvlJc w:val="left"/>
      <w:pPr>
        <w:ind w:left="1154" w:hanging="360"/>
      </w:pPr>
    </w:lvl>
    <w:lvl w:ilvl="1" w:tplc="04260019">
      <w:start w:val="1"/>
      <w:numFmt w:val="lowerLetter"/>
      <w:lvlText w:val="%2."/>
      <w:lvlJc w:val="left"/>
      <w:pPr>
        <w:ind w:left="1874" w:hanging="360"/>
      </w:pPr>
    </w:lvl>
    <w:lvl w:ilvl="2" w:tplc="0426001B">
      <w:start w:val="1"/>
      <w:numFmt w:val="lowerRoman"/>
      <w:lvlText w:val="%3."/>
      <w:lvlJc w:val="right"/>
      <w:pPr>
        <w:ind w:left="2594" w:hanging="180"/>
      </w:pPr>
    </w:lvl>
    <w:lvl w:ilvl="3" w:tplc="0426000F">
      <w:start w:val="1"/>
      <w:numFmt w:val="decimal"/>
      <w:lvlText w:val="%4."/>
      <w:lvlJc w:val="left"/>
      <w:pPr>
        <w:ind w:left="3314" w:hanging="360"/>
      </w:pPr>
    </w:lvl>
    <w:lvl w:ilvl="4" w:tplc="04260019">
      <w:start w:val="1"/>
      <w:numFmt w:val="lowerLetter"/>
      <w:lvlText w:val="%5."/>
      <w:lvlJc w:val="left"/>
      <w:pPr>
        <w:ind w:left="4034" w:hanging="360"/>
      </w:pPr>
    </w:lvl>
    <w:lvl w:ilvl="5" w:tplc="0426001B">
      <w:start w:val="1"/>
      <w:numFmt w:val="lowerRoman"/>
      <w:lvlText w:val="%6."/>
      <w:lvlJc w:val="right"/>
      <w:pPr>
        <w:ind w:left="4754" w:hanging="180"/>
      </w:pPr>
    </w:lvl>
    <w:lvl w:ilvl="6" w:tplc="0426000F">
      <w:start w:val="1"/>
      <w:numFmt w:val="decimal"/>
      <w:lvlText w:val="%7."/>
      <w:lvlJc w:val="left"/>
      <w:pPr>
        <w:ind w:left="5474" w:hanging="360"/>
      </w:pPr>
    </w:lvl>
    <w:lvl w:ilvl="7" w:tplc="04260019">
      <w:start w:val="1"/>
      <w:numFmt w:val="lowerLetter"/>
      <w:lvlText w:val="%8."/>
      <w:lvlJc w:val="left"/>
      <w:pPr>
        <w:ind w:left="6194" w:hanging="360"/>
      </w:pPr>
    </w:lvl>
    <w:lvl w:ilvl="8" w:tplc="0426001B">
      <w:start w:val="1"/>
      <w:numFmt w:val="lowerRoman"/>
      <w:lvlText w:val="%9."/>
      <w:lvlJc w:val="right"/>
      <w:pPr>
        <w:ind w:left="6914" w:hanging="180"/>
      </w:pPr>
    </w:lvl>
  </w:abstractNum>
  <w:abstractNum w:abstractNumId="6" w15:restartNumberingAfterBreak="0">
    <w:nsid w:val="77A12A23"/>
    <w:multiLevelType w:val="multilevel"/>
    <w:tmpl w:val="119A7DBA"/>
    <w:lvl w:ilvl="0">
      <w:start w:val="3"/>
      <w:numFmt w:val="decimal"/>
      <w:lvlText w:val="%1."/>
      <w:lvlJc w:val="left"/>
      <w:pPr>
        <w:ind w:left="360" w:hanging="360"/>
      </w:pPr>
      <w:rPr>
        <w:b w:val="0"/>
      </w:r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4"/>
  </w:num>
  <w:num w:numId="2">
    <w:abstractNumId w:val="2"/>
  </w:num>
  <w:num w:numId="3">
    <w:abstractNumId w:val="1"/>
  </w:num>
  <w:num w:numId="4">
    <w:abstractNumId w:val="0"/>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F6"/>
    <w:rsid w:val="000204EB"/>
    <w:rsid w:val="00051281"/>
    <w:rsid w:val="000679DE"/>
    <w:rsid w:val="00067BC1"/>
    <w:rsid w:val="00070F7F"/>
    <w:rsid w:val="00075269"/>
    <w:rsid w:val="00076BB2"/>
    <w:rsid w:val="000A5496"/>
    <w:rsid w:val="000B071A"/>
    <w:rsid w:val="000C0ADC"/>
    <w:rsid w:val="000D69B4"/>
    <w:rsid w:val="000D7882"/>
    <w:rsid w:val="00116ECA"/>
    <w:rsid w:val="00122157"/>
    <w:rsid w:val="001410AC"/>
    <w:rsid w:val="00156A24"/>
    <w:rsid w:val="001570CF"/>
    <w:rsid w:val="00171A0E"/>
    <w:rsid w:val="001763EB"/>
    <w:rsid w:val="00176FDA"/>
    <w:rsid w:val="001A5BA5"/>
    <w:rsid w:val="001B0E50"/>
    <w:rsid w:val="001C55F5"/>
    <w:rsid w:val="001C641E"/>
    <w:rsid w:val="001F5D2A"/>
    <w:rsid w:val="00213380"/>
    <w:rsid w:val="0022306D"/>
    <w:rsid w:val="00223173"/>
    <w:rsid w:val="0023423A"/>
    <w:rsid w:val="0024383E"/>
    <w:rsid w:val="00247718"/>
    <w:rsid w:val="00262F32"/>
    <w:rsid w:val="00271A2F"/>
    <w:rsid w:val="00272DD8"/>
    <w:rsid w:val="002A0431"/>
    <w:rsid w:val="002C23CB"/>
    <w:rsid w:val="002C44B1"/>
    <w:rsid w:val="00330F9A"/>
    <w:rsid w:val="003537F1"/>
    <w:rsid w:val="0035793A"/>
    <w:rsid w:val="00361097"/>
    <w:rsid w:val="003662BF"/>
    <w:rsid w:val="00371BC1"/>
    <w:rsid w:val="00381CF5"/>
    <w:rsid w:val="003B555D"/>
    <w:rsid w:val="003F2E00"/>
    <w:rsid w:val="00405D2E"/>
    <w:rsid w:val="004075E0"/>
    <w:rsid w:val="00411118"/>
    <w:rsid w:val="00415C8C"/>
    <w:rsid w:val="0042593A"/>
    <w:rsid w:val="00472443"/>
    <w:rsid w:val="00472BF8"/>
    <w:rsid w:val="00476A22"/>
    <w:rsid w:val="0049607D"/>
    <w:rsid w:val="004A3D1D"/>
    <w:rsid w:val="004B60A8"/>
    <w:rsid w:val="004C1E2F"/>
    <w:rsid w:val="004E2140"/>
    <w:rsid w:val="004F14B0"/>
    <w:rsid w:val="004F41AB"/>
    <w:rsid w:val="004F4F88"/>
    <w:rsid w:val="004F5D2B"/>
    <w:rsid w:val="005322E4"/>
    <w:rsid w:val="00546145"/>
    <w:rsid w:val="00551AFC"/>
    <w:rsid w:val="005560EB"/>
    <w:rsid w:val="00570757"/>
    <w:rsid w:val="00572358"/>
    <w:rsid w:val="00582207"/>
    <w:rsid w:val="00592FB1"/>
    <w:rsid w:val="005C1DEE"/>
    <w:rsid w:val="005D04CB"/>
    <w:rsid w:val="005D1D26"/>
    <w:rsid w:val="005F6C33"/>
    <w:rsid w:val="005F7AC8"/>
    <w:rsid w:val="00612C26"/>
    <w:rsid w:val="00616018"/>
    <w:rsid w:val="0062748D"/>
    <w:rsid w:val="00632286"/>
    <w:rsid w:val="00661B02"/>
    <w:rsid w:val="00664D0C"/>
    <w:rsid w:val="00664FBB"/>
    <w:rsid w:val="0067024A"/>
    <w:rsid w:val="00672DDD"/>
    <w:rsid w:val="00673868"/>
    <w:rsid w:val="00697EDE"/>
    <w:rsid w:val="006C6BD2"/>
    <w:rsid w:val="006D0A79"/>
    <w:rsid w:val="00701C5A"/>
    <w:rsid w:val="00703A58"/>
    <w:rsid w:val="007050FF"/>
    <w:rsid w:val="00747004"/>
    <w:rsid w:val="0076403F"/>
    <w:rsid w:val="007A2AAF"/>
    <w:rsid w:val="007B1907"/>
    <w:rsid w:val="007B37C6"/>
    <w:rsid w:val="007C672E"/>
    <w:rsid w:val="007D0800"/>
    <w:rsid w:val="007E45A4"/>
    <w:rsid w:val="00854CF6"/>
    <w:rsid w:val="008620C5"/>
    <w:rsid w:val="00862DE5"/>
    <w:rsid w:val="0086647A"/>
    <w:rsid w:val="00866A83"/>
    <w:rsid w:val="0086750A"/>
    <w:rsid w:val="0087098B"/>
    <w:rsid w:val="00870DF7"/>
    <w:rsid w:val="00875BC5"/>
    <w:rsid w:val="008B1282"/>
    <w:rsid w:val="008C3EF6"/>
    <w:rsid w:val="00902FA4"/>
    <w:rsid w:val="00906B5D"/>
    <w:rsid w:val="009131BE"/>
    <w:rsid w:val="009143F4"/>
    <w:rsid w:val="00914E9A"/>
    <w:rsid w:val="0092521D"/>
    <w:rsid w:val="00944AA9"/>
    <w:rsid w:val="00947224"/>
    <w:rsid w:val="0095419D"/>
    <w:rsid w:val="00954247"/>
    <w:rsid w:val="00963A60"/>
    <w:rsid w:val="00970B0E"/>
    <w:rsid w:val="00986A6B"/>
    <w:rsid w:val="009A5805"/>
    <w:rsid w:val="009B0F4F"/>
    <w:rsid w:val="009C2892"/>
    <w:rsid w:val="009C751F"/>
    <w:rsid w:val="009E33E6"/>
    <w:rsid w:val="00A027B5"/>
    <w:rsid w:val="00A046A5"/>
    <w:rsid w:val="00A14434"/>
    <w:rsid w:val="00A2135A"/>
    <w:rsid w:val="00A243D9"/>
    <w:rsid w:val="00A2789E"/>
    <w:rsid w:val="00A508F2"/>
    <w:rsid w:val="00A52B90"/>
    <w:rsid w:val="00A6471D"/>
    <w:rsid w:val="00A707CE"/>
    <w:rsid w:val="00A74A8E"/>
    <w:rsid w:val="00A83EF2"/>
    <w:rsid w:val="00A95B0A"/>
    <w:rsid w:val="00AA13D0"/>
    <w:rsid w:val="00AC79EA"/>
    <w:rsid w:val="00B00751"/>
    <w:rsid w:val="00B015A5"/>
    <w:rsid w:val="00B307DF"/>
    <w:rsid w:val="00B43267"/>
    <w:rsid w:val="00B54680"/>
    <w:rsid w:val="00B55AF2"/>
    <w:rsid w:val="00B656EF"/>
    <w:rsid w:val="00B73209"/>
    <w:rsid w:val="00BA02C3"/>
    <w:rsid w:val="00BA2A52"/>
    <w:rsid w:val="00BB3658"/>
    <w:rsid w:val="00BB7046"/>
    <w:rsid w:val="00BD2AC5"/>
    <w:rsid w:val="00BE6561"/>
    <w:rsid w:val="00BF20D6"/>
    <w:rsid w:val="00BF371C"/>
    <w:rsid w:val="00C017AC"/>
    <w:rsid w:val="00C04DEF"/>
    <w:rsid w:val="00C10683"/>
    <w:rsid w:val="00C14A98"/>
    <w:rsid w:val="00C15AC3"/>
    <w:rsid w:val="00C17502"/>
    <w:rsid w:val="00C748ED"/>
    <w:rsid w:val="00C86A92"/>
    <w:rsid w:val="00CA5992"/>
    <w:rsid w:val="00CB50D3"/>
    <w:rsid w:val="00CC3590"/>
    <w:rsid w:val="00CC7171"/>
    <w:rsid w:val="00CD3F28"/>
    <w:rsid w:val="00CE6368"/>
    <w:rsid w:val="00CE7307"/>
    <w:rsid w:val="00CF0DFA"/>
    <w:rsid w:val="00CF1465"/>
    <w:rsid w:val="00CF17D3"/>
    <w:rsid w:val="00D01018"/>
    <w:rsid w:val="00D06CCA"/>
    <w:rsid w:val="00D52854"/>
    <w:rsid w:val="00D57B4D"/>
    <w:rsid w:val="00D7023C"/>
    <w:rsid w:val="00D732F0"/>
    <w:rsid w:val="00D86F96"/>
    <w:rsid w:val="00D907A4"/>
    <w:rsid w:val="00DA4319"/>
    <w:rsid w:val="00DA6B3A"/>
    <w:rsid w:val="00DB789A"/>
    <w:rsid w:val="00DE053A"/>
    <w:rsid w:val="00DE4064"/>
    <w:rsid w:val="00E27F15"/>
    <w:rsid w:val="00E5513D"/>
    <w:rsid w:val="00E80D89"/>
    <w:rsid w:val="00E82341"/>
    <w:rsid w:val="00E854D1"/>
    <w:rsid w:val="00E95727"/>
    <w:rsid w:val="00EA72C4"/>
    <w:rsid w:val="00EB0307"/>
    <w:rsid w:val="00EB1C53"/>
    <w:rsid w:val="00EF175D"/>
    <w:rsid w:val="00EF3C6C"/>
    <w:rsid w:val="00F04031"/>
    <w:rsid w:val="00F12608"/>
    <w:rsid w:val="00F1762F"/>
    <w:rsid w:val="00F203F6"/>
    <w:rsid w:val="00F321D1"/>
    <w:rsid w:val="00F3541B"/>
    <w:rsid w:val="00F41499"/>
    <w:rsid w:val="00F44219"/>
    <w:rsid w:val="00F73300"/>
    <w:rsid w:val="00F73968"/>
    <w:rsid w:val="00F75F55"/>
    <w:rsid w:val="00F773F6"/>
    <w:rsid w:val="00FA58C2"/>
    <w:rsid w:val="00FB2CF0"/>
    <w:rsid w:val="00FB54F1"/>
    <w:rsid w:val="00FB65A8"/>
    <w:rsid w:val="00FB7AFB"/>
    <w:rsid w:val="00FB7D05"/>
    <w:rsid w:val="00FD5344"/>
    <w:rsid w:val="00FE520B"/>
    <w:rsid w:val="00FF017B"/>
    <w:rsid w:val="00FF3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96A6A-5213-4F25-B911-7A462EE3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F6"/>
    <w:pPr>
      <w:spacing w:before="120" w:after="0" w:line="240" w:lineRule="auto"/>
      <w:ind w:left="72" w:right="72"/>
    </w:pPr>
    <w:rPr>
      <w:rFonts w:eastAsiaTheme="minorEastAsia"/>
      <w:kern w:val="22"/>
      <w:lang w:val="en-US" w:eastAsia="ja-JP"/>
      <w14:ligatures w14:val="standard"/>
    </w:rPr>
  </w:style>
  <w:style w:type="paragraph" w:styleId="Heading1">
    <w:name w:val="heading 1"/>
    <w:basedOn w:val="Normal"/>
    <w:next w:val="Normal"/>
    <w:link w:val="Heading1Char"/>
    <w:uiPriority w:val="9"/>
    <w:qFormat/>
    <w:rsid w:val="00F773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autoRedefine/>
    <w:uiPriority w:val="1"/>
    <w:qFormat/>
    <w:rsid w:val="00262F32"/>
    <w:pPr>
      <w:keepNext/>
      <w:keepLines/>
      <w:pBdr>
        <w:top w:val="single" w:sz="4" w:space="1" w:color="C45911" w:themeColor="accent2" w:themeShade="BF"/>
      </w:pBdr>
      <w:spacing w:before="360" w:after="240"/>
      <w:ind w:left="0" w:right="74"/>
      <w:jc w:val="both"/>
      <w:outlineLvl w:val="1"/>
    </w:pPr>
    <w:rPr>
      <w:rFonts w:ascii="Times New Roman" w:eastAsia="Times New Roman" w:hAnsi="Times New Roman" w:cs="Times New Roman"/>
      <w:b/>
      <w:bCs/>
      <w:caps/>
      <w:color w:val="C45911" w:themeColor="accent2" w:themeShade="BF"/>
      <w:spacing w:val="20"/>
      <w:sz w:val="28"/>
      <w:szCs w:val="28"/>
      <w:lang w:val="lv-LV"/>
    </w:rPr>
  </w:style>
  <w:style w:type="paragraph" w:styleId="Heading3">
    <w:name w:val="heading 3"/>
    <w:basedOn w:val="Normal"/>
    <w:next w:val="Normal"/>
    <w:link w:val="Heading3Char"/>
    <w:uiPriority w:val="9"/>
    <w:semiHidden/>
    <w:unhideWhenUsed/>
    <w:qFormat/>
    <w:rsid w:val="00FB65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0"/>
    <w:uiPriority w:val="1"/>
    <w:rsid w:val="00262F32"/>
    <w:rPr>
      <w:rFonts w:ascii="Times New Roman" w:eastAsia="Times New Roman" w:hAnsi="Times New Roman" w:cs="Times New Roman"/>
      <w:b/>
      <w:bCs/>
      <w:caps/>
      <w:color w:val="C45911" w:themeColor="accent2" w:themeShade="BF"/>
      <w:spacing w:val="20"/>
      <w:kern w:val="22"/>
      <w:sz w:val="28"/>
      <w:szCs w:val="28"/>
      <w:lang w:eastAsia="ja-JP"/>
      <w14:ligatures w14:val="standard"/>
    </w:rPr>
  </w:style>
  <w:style w:type="paragraph" w:styleId="Title">
    <w:name w:val="Title"/>
    <w:basedOn w:val="Normal"/>
    <w:link w:val="TitleChar"/>
    <w:uiPriority w:val="1"/>
    <w:qFormat/>
    <w:rsid w:val="00D52854"/>
    <w:pPr>
      <w:jc w:val="right"/>
    </w:pPr>
    <w:rPr>
      <w:rFonts w:asciiTheme="majorHAnsi" w:eastAsiaTheme="majorEastAsia" w:hAnsiTheme="majorHAnsi" w:cstheme="majorBidi"/>
      <w:b/>
      <w:caps/>
      <w:color w:val="FF0000"/>
      <w:sz w:val="52"/>
      <w:szCs w:val="52"/>
    </w:rPr>
  </w:style>
  <w:style w:type="character" w:customStyle="1" w:styleId="TitleChar">
    <w:name w:val="Title Char"/>
    <w:basedOn w:val="DefaultParagraphFont"/>
    <w:link w:val="Title"/>
    <w:uiPriority w:val="1"/>
    <w:rsid w:val="00D52854"/>
    <w:rPr>
      <w:rFonts w:asciiTheme="majorHAnsi" w:eastAsiaTheme="majorEastAsia" w:hAnsiTheme="majorHAnsi" w:cstheme="majorBidi"/>
      <w:b/>
      <w:caps/>
      <w:color w:val="FF0000"/>
      <w:kern w:val="22"/>
      <w:sz w:val="52"/>
      <w:szCs w:val="52"/>
      <w:lang w:val="en-US" w:eastAsia="ja-JP"/>
      <w14:ligatures w14:val="standard"/>
    </w:rPr>
  </w:style>
  <w:style w:type="paragraph" w:styleId="Subtitle">
    <w:name w:val="Subtitle"/>
    <w:basedOn w:val="Normal"/>
    <w:next w:val="Normal"/>
    <w:link w:val="SubtitleChar"/>
    <w:uiPriority w:val="1"/>
    <w:qFormat/>
    <w:rsid w:val="00F773F6"/>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F773F6"/>
    <w:rPr>
      <w:rFonts w:asciiTheme="majorHAnsi" w:eastAsiaTheme="majorEastAsia" w:hAnsiTheme="majorHAnsi" w:cstheme="majorBidi"/>
      <w:caps/>
      <w:kern w:val="22"/>
      <w:sz w:val="28"/>
      <w:szCs w:val="28"/>
      <w:lang w:val="en-US" w:eastAsia="ja-JP"/>
      <w14:ligatures w14:val="standard"/>
    </w:rPr>
  </w:style>
  <w:style w:type="character" w:customStyle="1" w:styleId="Heading1Char">
    <w:name w:val="Heading 1 Char"/>
    <w:basedOn w:val="DefaultParagraphFont"/>
    <w:link w:val="Heading1"/>
    <w:uiPriority w:val="9"/>
    <w:rsid w:val="00F773F6"/>
    <w:rPr>
      <w:rFonts w:asciiTheme="majorHAnsi" w:eastAsiaTheme="majorEastAsia" w:hAnsiTheme="majorHAnsi" w:cstheme="majorBidi"/>
      <w:color w:val="2E74B5" w:themeColor="accent1" w:themeShade="BF"/>
      <w:kern w:val="22"/>
      <w:sz w:val="32"/>
      <w:szCs w:val="32"/>
      <w:lang w:val="en-US" w:eastAsia="ja-JP"/>
      <w14:ligatures w14:val="standard"/>
    </w:rPr>
  </w:style>
  <w:style w:type="paragraph" w:styleId="TOCHeading">
    <w:name w:val="TOC Heading"/>
    <w:basedOn w:val="Heading1"/>
    <w:next w:val="Normal"/>
    <w:uiPriority w:val="39"/>
    <w:unhideWhenUsed/>
    <w:qFormat/>
    <w:rsid w:val="00F773F6"/>
    <w:pPr>
      <w:pageBreakBefore/>
      <w:spacing w:before="120" w:after="40"/>
      <w:outlineLvl w:val="9"/>
    </w:pPr>
    <w:rPr>
      <w:caps/>
      <w:color w:val="1F4E79" w:themeColor="accent1" w:themeShade="80"/>
      <w:sz w:val="28"/>
      <w:szCs w:val="28"/>
    </w:rPr>
  </w:style>
  <w:style w:type="paragraph" w:styleId="Footer">
    <w:name w:val="footer"/>
    <w:basedOn w:val="Normal"/>
    <w:link w:val="FooterChar"/>
    <w:uiPriority w:val="2"/>
    <w:rsid w:val="00F773F6"/>
    <w:pPr>
      <w:spacing w:before="0"/>
    </w:pPr>
  </w:style>
  <w:style w:type="character" w:customStyle="1" w:styleId="FooterChar">
    <w:name w:val="Footer Char"/>
    <w:basedOn w:val="DefaultParagraphFont"/>
    <w:link w:val="Footer"/>
    <w:uiPriority w:val="2"/>
    <w:rsid w:val="00F773F6"/>
    <w:rPr>
      <w:rFonts w:eastAsiaTheme="minorEastAsia"/>
      <w:kern w:val="22"/>
      <w:lang w:val="en-US" w:eastAsia="ja-JP"/>
      <w14:ligatures w14:val="standard"/>
    </w:rPr>
  </w:style>
  <w:style w:type="paragraph" w:customStyle="1" w:styleId="Logo">
    <w:name w:val="Logo"/>
    <w:basedOn w:val="Normal"/>
    <w:next w:val="Normal"/>
    <w:uiPriority w:val="1"/>
    <w:qFormat/>
    <w:rsid w:val="00F773F6"/>
    <w:pPr>
      <w:spacing w:before="4700" w:after="1440"/>
      <w:jc w:val="right"/>
    </w:pPr>
    <w:rPr>
      <w:color w:val="323E4F" w:themeColor="text2" w:themeShade="BF"/>
      <w:sz w:val="52"/>
      <w:szCs w:val="52"/>
    </w:rPr>
  </w:style>
  <w:style w:type="paragraph" w:styleId="Header">
    <w:name w:val="header"/>
    <w:basedOn w:val="Normal"/>
    <w:link w:val="HeaderChar"/>
    <w:uiPriority w:val="99"/>
    <w:unhideWhenUsed/>
    <w:rsid w:val="00F773F6"/>
    <w:pPr>
      <w:tabs>
        <w:tab w:val="center" w:pos="4680"/>
        <w:tab w:val="right" w:pos="9360"/>
      </w:tabs>
      <w:spacing w:before="0"/>
      <w:jc w:val="right"/>
    </w:pPr>
  </w:style>
  <w:style w:type="character" w:customStyle="1" w:styleId="HeaderChar">
    <w:name w:val="Header Char"/>
    <w:basedOn w:val="DefaultParagraphFont"/>
    <w:link w:val="Header"/>
    <w:uiPriority w:val="99"/>
    <w:rsid w:val="00F773F6"/>
    <w:rPr>
      <w:rFonts w:eastAsiaTheme="minorEastAsia"/>
      <w:kern w:val="22"/>
      <w:lang w:val="en-US" w:eastAsia="ja-JP"/>
      <w14:ligatures w14:val="standard"/>
    </w:rPr>
  </w:style>
  <w:style w:type="paragraph" w:customStyle="1" w:styleId="Rightalign">
    <w:name w:val="Right align"/>
    <w:basedOn w:val="Normal"/>
    <w:uiPriority w:val="1"/>
    <w:qFormat/>
    <w:rsid w:val="00F773F6"/>
    <w:pPr>
      <w:jc w:val="right"/>
    </w:pPr>
  </w:style>
  <w:style w:type="character" w:styleId="Hyperlink">
    <w:name w:val="Hyperlink"/>
    <w:basedOn w:val="DefaultParagraphFont"/>
    <w:uiPriority w:val="99"/>
    <w:unhideWhenUsed/>
    <w:rsid w:val="00F773F6"/>
    <w:rPr>
      <w:color w:val="806000" w:themeColor="accent4" w:themeShade="80"/>
      <w:u w:val="single"/>
    </w:rPr>
  </w:style>
  <w:style w:type="paragraph" w:styleId="TOC2">
    <w:name w:val="toc 2"/>
    <w:basedOn w:val="Normal"/>
    <w:next w:val="Normal"/>
    <w:autoRedefine/>
    <w:uiPriority w:val="39"/>
    <w:unhideWhenUsed/>
    <w:rsid w:val="00F773F6"/>
    <w:pPr>
      <w:spacing w:before="0" w:after="100" w:line="259" w:lineRule="auto"/>
      <w:ind w:left="220" w:right="0"/>
    </w:pPr>
    <w:rPr>
      <w:rFonts w:cs="Times New Roman"/>
      <w:kern w:val="0"/>
      <w:lang w:eastAsia="en-US"/>
      <w14:ligatures w14:val="none"/>
    </w:rPr>
  </w:style>
  <w:style w:type="character" w:styleId="CommentReference">
    <w:name w:val="annotation reference"/>
    <w:uiPriority w:val="99"/>
    <w:semiHidden/>
    <w:rsid w:val="00F773F6"/>
    <w:rPr>
      <w:sz w:val="16"/>
      <w:szCs w:val="16"/>
    </w:rPr>
  </w:style>
  <w:style w:type="paragraph" w:customStyle="1" w:styleId="Mansatt">
    <w:name w:val="Mansatt"/>
    <w:basedOn w:val="Normal"/>
    <w:link w:val="MansattChar"/>
    <w:qFormat/>
    <w:rsid w:val="00F773F6"/>
    <w:pPr>
      <w:spacing w:before="0" w:after="120"/>
      <w:ind w:left="0" w:right="0"/>
      <w:jc w:val="center"/>
    </w:pPr>
    <w:rPr>
      <w:rFonts w:ascii="Calibri" w:eastAsiaTheme="minorHAnsi" w:hAnsi="Calibri"/>
      <w:noProof/>
      <w:kern w:val="0"/>
      <w:lang w:val="lv-LV" w:eastAsia="lv-LV"/>
      <w14:ligatures w14:val="none"/>
    </w:rPr>
  </w:style>
  <w:style w:type="paragraph" w:customStyle="1" w:styleId="Attels">
    <w:name w:val="Attels"/>
    <w:basedOn w:val="Normal"/>
    <w:qFormat/>
    <w:rsid w:val="00F773F6"/>
    <w:pPr>
      <w:spacing w:before="240" w:after="240"/>
      <w:ind w:left="74" w:right="74"/>
      <w:contextualSpacing/>
      <w:jc w:val="center"/>
    </w:pPr>
    <w:rPr>
      <w:noProof/>
      <w:sz w:val="20"/>
      <w:lang w:val="lv-LV"/>
    </w:rPr>
  </w:style>
  <w:style w:type="paragraph" w:customStyle="1" w:styleId="Tekstastils">
    <w:name w:val="Teksta stils"/>
    <w:basedOn w:val="Normal"/>
    <w:link w:val="TekstastilsChar"/>
    <w:qFormat/>
    <w:rsid w:val="00F773F6"/>
    <w:pPr>
      <w:spacing w:after="120"/>
      <w:ind w:left="74" w:right="74" w:firstLine="720"/>
      <w:jc w:val="both"/>
    </w:pPr>
    <w:rPr>
      <w:rFonts w:ascii="Times New Roman" w:hAnsi="Times New Roman"/>
      <w:sz w:val="24"/>
      <w:szCs w:val="24"/>
      <w:lang w:val="lv-LV"/>
    </w:rPr>
  </w:style>
  <w:style w:type="paragraph" w:customStyle="1" w:styleId="Darbateksts">
    <w:name w:val="Darba teksts"/>
    <w:basedOn w:val="Tekstastils"/>
    <w:link w:val="DarbatekstsChar"/>
    <w:qFormat/>
    <w:rsid w:val="00F773F6"/>
  </w:style>
  <w:style w:type="character" w:customStyle="1" w:styleId="TekstastilsChar">
    <w:name w:val="Teksta stils Char"/>
    <w:basedOn w:val="DefaultParagraphFont"/>
    <w:link w:val="Tekstastils"/>
    <w:rsid w:val="00F773F6"/>
    <w:rPr>
      <w:rFonts w:ascii="Times New Roman" w:eastAsiaTheme="minorEastAsia" w:hAnsi="Times New Roman"/>
      <w:kern w:val="22"/>
      <w:sz w:val="24"/>
      <w:szCs w:val="24"/>
      <w:lang w:eastAsia="ja-JP"/>
      <w14:ligatures w14:val="standard"/>
    </w:rPr>
  </w:style>
  <w:style w:type="character" w:customStyle="1" w:styleId="DarbatekstsChar">
    <w:name w:val="Darba teksts Char"/>
    <w:basedOn w:val="TekstastilsChar"/>
    <w:link w:val="Darbateksts"/>
    <w:rsid w:val="00F773F6"/>
    <w:rPr>
      <w:rFonts w:ascii="Times New Roman" w:eastAsiaTheme="minorEastAsia" w:hAnsi="Times New Roman"/>
      <w:kern w:val="22"/>
      <w:sz w:val="24"/>
      <w:szCs w:val="24"/>
      <w:lang w:eastAsia="ja-JP"/>
      <w14:ligatures w14:val="standard"/>
    </w:rPr>
  </w:style>
  <w:style w:type="character" w:customStyle="1" w:styleId="MansattChar">
    <w:name w:val="Mansatt Char"/>
    <w:basedOn w:val="DefaultParagraphFont"/>
    <w:link w:val="Mansatt"/>
    <w:rsid w:val="00F773F6"/>
    <w:rPr>
      <w:rFonts w:ascii="Calibri" w:hAnsi="Calibri"/>
      <w:noProof/>
      <w:lang w:eastAsia="lv-LV"/>
    </w:rPr>
  </w:style>
  <w:style w:type="paragraph" w:customStyle="1" w:styleId="heading2">
    <w:name w:val="heading2"/>
    <w:basedOn w:val="Heading3"/>
    <w:next w:val="Heading3"/>
    <w:link w:val="heading2Char0"/>
    <w:qFormat/>
    <w:rsid w:val="00EA72C4"/>
    <w:pPr>
      <w:numPr>
        <w:ilvl w:val="1"/>
        <w:numId w:val="4"/>
      </w:numPr>
      <w:pBdr>
        <w:top w:val="single" w:sz="4" w:space="1" w:color="auto"/>
      </w:pBdr>
      <w:spacing w:before="240"/>
      <w:ind w:right="74"/>
    </w:pPr>
    <w:rPr>
      <w:b/>
      <w:color w:val="000000" w:themeColor="text1"/>
      <w:sz w:val="28"/>
      <w:szCs w:val="26"/>
      <w:lang w:val="lv-LV"/>
    </w:rPr>
  </w:style>
  <w:style w:type="paragraph" w:styleId="TOC1">
    <w:name w:val="toc 1"/>
    <w:basedOn w:val="Normal"/>
    <w:next w:val="Normal"/>
    <w:autoRedefine/>
    <w:uiPriority w:val="39"/>
    <w:unhideWhenUsed/>
    <w:rsid w:val="00BD2AC5"/>
    <w:pPr>
      <w:spacing w:before="0" w:after="100" w:line="259" w:lineRule="auto"/>
      <w:ind w:left="0" w:right="0"/>
    </w:pPr>
    <w:rPr>
      <w:rFonts w:cs="Times New Roman"/>
      <w:kern w:val="0"/>
      <w:lang w:eastAsia="en-US"/>
      <w14:ligatures w14:val="none"/>
    </w:rPr>
  </w:style>
  <w:style w:type="character" w:customStyle="1" w:styleId="heading2Char0">
    <w:name w:val="heading2 Char"/>
    <w:basedOn w:val="Heading2Char"/>
    <w:link w:val="heading2"/>
    <w:rsid w:val="00EA72C4"/>
    <w:rPr>
      <w:rFonts w:asciiTheme="majorHAnsi" w:eastAsiaTheme="majorEastAsia" w:hAnsiTheme="majorHAnsi" w:cstheme="majorBidi"/>
      <w:b/>
      <w:bCs w:val="0"/>
      <w:caps w:val="0"/>
      <w:color w:val="000000" w:themeColor="text1"/>
      <w:spacing w:val="20"/>
      <w:kern w:val="22"/>
      <w:sz w:val="28"/>
      <w:szCs w:val="26"/>
      <w:lang w:eastAsia="ja-JP"/>
      <w14:ligatures w14:val="standard"/>
    </w:rPr>
  </w:style>
  <w:style w:type="character" w:customStyle="1" w:styleId="Heading3Char">
    <w:name w:val="Heading 3 Char"/>
    <w:basedOn w:val="DefaultParagraphFont"/>
    <w:link w:val="Heading3"/>
    <w:uiPriority w:val="9"/>
    <w:semiHidden/>
    <w:rsid w:val="00FB65A8"/>
    <w:rPr>
      <w:rFonts w:asciiTheme="majorHAnsi" w:eastAsiaTheme="majorEastAsia" w:hAnsiTheme="majorHAnsi" w:cstheme="majorBidi"/>
      <w:color w:val="1F4D78" w:themeColor="accent1" w:themeShade="7F"/>
      <w:kern w:val="22"/>
      <w:sz w:val="24"/>
      <w:szCs w:val="24"/>
      <w:lang w:val="en-US" w:eastAsia="ja-JP"/>
      <w14:ligatures w14:val="standard"/>
    </w:rPr>
  </w:style>
  <w:style w:type="paragraph" w:styleId="TOC3">
    <w:name w:val="toc 3"/>
    <w:basedOn w:val="Normal"/>
    <w:next w:val="Normal"/>
    <w:autoRedefine/>
    <w:uiPriority w:val="39"/>
    <w:unhideWhenUsed/>
    <w:rsid w:val="00BD2AC5"/>
    <w:pPr>
      <w:spacing w:before="0" w:after="100" w:line="259" w:lineRule="auto"/>
      <w:ind w:left="440" w:right="0"/>
    </w:pPr>
    <w:rPr>
      <w:rFonts w:cs="Times New Roman"/>
      <w:kern w:val="0"/>
      <w:lang w:eastAsia="en-US"/>
      <w14:ligatures w14:val="none"/>
    </w:rPr>
  </w:style>
  <w:style w:type="paragraph" w:styleId="BalloonText">
    <w:name w:val="Balloon Text"/>
    <w:basedOn w:val="Normal"/>
    <w:link w:val="BalloonTextChar"/>
    <w:uiPriority w:val="99"/>
    <w:semiHidden/>
    <w:unhideWhenUsed/>
    <w:rsid w:val="00B656E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EF"/>
    <w:rPr>
      <w:rFonts w:ascii="Segoe UI" w:eastAsiaTheme="minorEastAsia" w:hAnsi="Segoe UI" w:cs="Segoe UI"/>
      <w:kern w:val="22"/>
      <w:sz w:val="18"/>
      <w:szCs w:val="18"/>
      <w:lang w:val="en-US" w:eastAsia="ja-JP"/>
      <w14:ligatures w14:val="standard"/>
    </w:rPr>
  </w:style>
  <w:style w:type="paragraph" w:styleId="CommentText">
    <w:name w:val="annotation text"/>
    <w:basedOn w:val="Normal"/>
    <w:link w:val="CommentTextChar"/>
    <w:uiPriority w:val="99"/>
    <w:semiHidden/>
    <w:unhideWhenUsed/>
    <w:rsid w:val="00CE6368"/>
    <w:rPr>
      <w:sz w:val="20"/>
      <w:szCs w:val="20"/>
    </w:rPr>
  </w:style>
  <w:style w:type="character" w:customStyle="1" w:styleId="CommentTextChar">
    <w:name w:val="Comment Text Char"/>
    <w:basedOn w:val="DefaultParagraphFont"/>
    <w:link w:val="CommentText"/>
    <w:uiPriority w:val="99"/>
    <w:semiHidden/>
    <w:rsid w:val="00CE6368"/>
    <w:rPr>
      <w:rFonts w:eastAsiaTheme="minorEastAsia"/>
      <w:kern w:val="22"/>
      <w:sz w:val="20"/>
      <w:szCs w:val="20"/>
      <w:lang w:val="en-US" w:eastAsia="ja-JP"/>
      <w14:ligatures w14:val="standard"/>
    </w:rPr>
  </w:style>
  <w:style w:type="paragraph" w:styleId="CommentSubject">
    <w:name w:val="annotation subject"/>
    <w:basedOn w:val="CommentText"/>
    <w:next w:val="CommentText"/>
    <w:link w:val="CommentSubjectChar"/>
    <w:uiPriority w:val="99"/>
    <w:semiHidden/>
    <w:unhideWhenUsed/>
    <w:rsid w:val="00CE6368"/>
    <w:rPr>
      <w:b/>
      <w:bCs/>
    </w:rPr>
  </w:style>
  <w:style w:type="character" w:customStyle="1" w:styleId="CommentSubjectChar">
    <w:name w:val="Comment Subject Char"/>
    <w:basedOn w:val="CommentTextChar"/>
    <w:link w:val="CommentSubject"/>
    <w:uiPriority w:val="99"/>
    <w:semiHidden/>
    <w:rsid w:val="00CE6368"/>
    <w:rPr>
      <w:rFonts w:eastAsiaTheme="minorEastAsia"/>
      <w:b/>
      <w:bCs/>
      <w:kern w:val="22"/>
      <w:sz w:val="20"/>
      <w:szCs w:val="20"/>
      <w:lang w:val="en-US" w:eastAsia="ja-JP"/>
      <w14:ligatures w14:val="standard"/>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Strip Char"/>
    <w:link w:val="ListParagraph"/>
    <w:uiPriority w:val="34"/>
    <w:qFormat/>
    <w:locked/>
    <w:rsid w:val="00B73209"/>
    <w:rPr>
      <w:rFonts w:ascii="Times New Roman" w:eastAsia="Times New Roman" w:hAnsi="Times New Roman" w:cs="Times New Roman"/>
      <w:noProof/>
      <w:kern w:val="2"/>
      <w:sz w:val="24"/>
      <w:szCs w:val="24"/>
      <w:lang w:val="en-US" w:bidi="hi-IN"/>
    </w:rPr>
  </w:style>
  <w:style w:type="paragraph" w:styleId="ListParagraph">
    <w:name w:val="List Paragraph"/>
    <w:aliases w:val="H&amp;P List Paragraph,2,Saistīto dokumentu saraksts,Syle 1,List Paragraph1,Numurets,Normal bullet 2,Bullet list,PPS_Bullet,Virsraksti,Strip"/>
    <w:basedOn w:val="Normal"/>
    <w:link w:val="ListParagraphChar"/>
    <w:uiPriority w:val="34"/>
    <w:qFormat/>
    <w:rsid w:val="00B73209"/>
    <w:pPr>
      <w:suppressAutoHyphens/>
      <w:spacing w:before="0" w:line="100" w:lineRule="atLeast"/>
      <w:ind w:left="720" w:right="0"/>
    </w:pPr>
    <w:rPr>
      <w:rFonts w:ascii="Times New Roman" w:eastAsia="Times New Roman" w:hAnsi="Times New Roman" w:cs="Times New Roman"/>
      <w:noProof/>
      <w:kern w:val="2"/>
      <w:sz w:val="24"/>
      <w:szCs w:val="24"/>
      <w:lang w:eastAsia="en-US" w:bidi="hi-IN"/>
      <w14:ligatures w14:val="none"/>
    </w:rPr>
  </w:style>
  <w:style w:type="table" w:styleId="TableGrid">
    <w:name w:val="Table Grid"/>
    <w:basedOn w:val="TableNormal"/>
    <w:uiPriority w:val="39"/>
    <w:rsid w:val="00A6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973">
      <w:bodyDiv w:val="1"/>
      <w:marLeft w:val="0"/>
      <w:marRight w:val="0"/>
      <w:marTop w:val="0"/>
      <w:marBottom w:val="0"/>
      <w:divBdr>
        <w:top w:val="none" w:sz="0" w:space="0" w:color="auto"/>
        <w:left w:val="none" w:sz="0" w:space="0" w:color="auto"/>
        <w:bottom w:val="none" w:sz="0" w:space="0" w:color="auto"/>
        <w:right w:val="none" w:sz="0" w:space="0" w:color="auto"/>
      </w:divBdr>
    </w:div>
    <w:div w:id="60032499">
      <w:bodyDiv w:val="1"/>
      <w:marLeft w:val="0"/>
      <w:marRight w:val="0"/>
      <w:marTop w:val="0"/>
      <w:marBottom w:val="0"/>
      <w:divBdr>
        <w:top w:val="none" w:sz="0" w:space="0" w:color="auto"/>
        <w:left w:val="none" w:sz="0" w:space="0" w:color="auto"/>
        <w:bottom w:val="none" w:sz="0" w:space="0" w:color="auto"/>
        <w:right w:val="none" w:sz="0" w:space="0" w:color="auto"/>
      </w:divBdr>
    </w:div>
    <w:div w:id="197008496">
      <w:bodyDiv w:val="1"/>
      <w:marLeft w:val="0"/>
      <w:marRight w:val="0"/>
      <w:marTop w:val="0"/>
      <w:marBottom w:val="0"/>
      <w:divBdr>
        <w:top w:val="none" w:sz="0" w:space="0" w:color="auto"/>
        <w:left w:val="none" w:sz="0" w:space="0" w:color="auto"/>
        <w:bottom w:val="none" w:sz="0" w:space="0" w:color="auto"/>
        <w:right w:val="none" w:sz="0" w:space="0" w:color="auto"/>
      </w:divBdr>
    </w:div>
    <w:div w:id="222834684">
      <w:bodyDiv w:val="1"/>
      <w:marLeft w:val="0"/>
      <w:marRight w:val="0"/>
      <w:marTop w:val="0"/>
      <w:marBottom w:val="0"/>
      <w:divBdr>
        <w:top w:val="none" w:sz="0" w:space="0" w:color="auto"/>
        <w:left w:val="none" w:sz="0" w:space="0" w:color="auto"/>
        <w:bottom w:val="none" w:sz="0" w:space="0" w:color="auto"/>
        <w:right w:val="none" w:sz="0" w:space="0" w:color="auto"/>
      </w:divBdr>
    </w:div>
    <w:div w:id="705252758">
      <w:bodyDiv w:val="1"/>
      <w:marLeft w:val="0"/>
      <w:marRight w:val="0"/>
      <w:marTop w:val="0"/>
      <w:marBottom w:val="0"/>
      <w:divBdr>
        <w:top w:val="none" w:sz="0" w:space="0" w:color="auto"/>
        <w:left w:val="none" w:sz="0" w:space="0" w:color="auto"/>
        <w:bottom w:val="none" w:sz="0" w:space="0" w:color="auto"/>
        <w:right w:val="none" w:sz="0" w:space="0" w:color="auto"/>
      </w:divBdr>
    </w:div>
    <w:div w:id="708917372">
      <w:bodyDiv w:val="1"/>
      <w:marLeft w:val="0"/>
      <w:marRight w:val="0"/>
      <w:marTop w:val="0"/>
      <w:marBottom w:val="0"/>
      <w:divBdr>
        <w:top w:val="none" w:sz="0" w:space="0" w:color="auto"/>
        <w:left w:val="none" w:sz="0" w:space="0" w:color="auto"/>
        <w:bottom w:val="none" w:sz="0" w:space="0" w:color="auto"/>
        <w:right w:val="none" w:sz="0" w:space="0" w:color="auto"/>
      </w:divBdr>
    </w:div>
    <w:div w:id="1020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223448-grozijumi-ugunsdrosibas-un-ugunsdzesibas-liku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zm.gov.lv/public/files/CMS_Static_Page_Doc/00/00/01/46/93/Mezaugunsgrekustatistika1990.-2018.gads.JP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832C047A8460B9D599B9FEF0B0FD8"/>
        <w:category>
          <w:name w:val="General"/>
          <w:gallery w:val="placeholder"/>
        </w:category>
        <w:types>
          <w:type w:val="bbPlcHdr"/>
        </w:types>
        <w:behaviors>
          <w:behavior w:val="content"/>
        </w:behaviors>
        <w:guid w:val="{27299268-A6DB-4D1D-9227-AC80F0F9BD52}"/>
      </w:docPartPr>
      <w:docPartBody>
        <w:p w:rsidR="00480D00" w:rsidRDefault="00FE0EBB" w:rsidP="00FE0EBB">
          <w:pPr>
            <w:pStyle w:val="C52832C047A8460B9D599B9FEF0B0FD8"/>
          </w:pPr>
          <w:r w:rsidRPr="002A0044">
            <w:t>Tactical Marketing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BB"/>
    <w:rsid w:val="000267A8"/>
    <w:rsid w:val="001649EE"/>
    <w:rsid w:val="001C693A"/>
    <w:rsid w:val="003E7AB6"/>
    <w:rsid w:val="00480D00"/>
    <w:rsid w:val="0052697A"/>
    <w:rsid w:val="006728AE"/>
    <w:rsid w:val="00723F2A"/>
    <w:rsid w:val="00760DAB"/>
    <w:rsid w:val="00915554"/>
    <w:rsid w:val="00A16234"/>
    <w:rsid w:val="00A200A3"/>
    <w:rsid w:val="00A7517D"/>
    <w:rsid w:val="00B23C0F"/>
    <w:rsid w:val="00B86795"/>
    <w:rsid w:val="00F51A08"/>
    <w:rsid w:val="00FE0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F66CCBCDED41518B47177CEB5639D5">
    <w:name w:val="8FF66CCBCDED41518B47177CEB5639D5"/>
    <w:rsid w:val="00FE0EBB"/>
  </w:style>
  <w:style w:type="paragraph" w:customStyle="1" w:styleId="C52832C047A8460B9D599B9FEF0B0FD8">
    <w:name w:val="C52832C047A8460B9D599B9FEF0B0FD8"/>
    <w:rsid w:val="00FE0EBB"/>
  </w:style>
  <w:style w:type="paragraph" w:customStyle="1" w:styleId="D1D76E811F134746B9536C9D722D5CD8">
    <w:name w:val="D1D76E811F134746B9536C9D722D5CD8"/>
    <w:rsid w:val="00480D00"/>
  </w:style>
  <w:style w:type="paragraph" w:customStyle="1" w:styleId="4D59B5FF60734C368BF096BCC8ECF4E2">
    <w:name w:val="4D59B5FF60734C368BF096BCC8ECF4E2"/>
    <w:rsid w:val="00480D00"/>
  </w:style>
  <w:style w:type="paragraph" w:customStyle="1" w:styleId="07B8780CCCB14C989ADEA3A7B606CEDA">
    <w:name w:val="07B8780CCCB14C989ADEA3A7B606CEDA"/>
    <w:rsid w:val="0048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11.06.2019.</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8F03E0-EB8A-447F-9BE9-F706000F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17354</Words>
  <Characters>9893</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SITUĀCIJU VALSTS MEŽA DIENESTĀ MEŽA UGUNSDZĒSĪBAS JOMĀ”</vt:lpstr>
      <vt:lpstr/>
    </vt:vector>
  </TitlesOfParts>
  <Company>Zemkopības Ministrija</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SITUĀCIJU VALSTS MEŽA DIENESTĀ MEŽA UGUNSDZĒSĪBAS JOMĀ”</dc:title>
  <dc:subject>Informatīvais ziņojums</dc:subject>
  <dc:creator>Jānis Bārs</dc:creator>
  <cp:keywords>INFORMATĪVAIS ZIŅOJUMS “PAR SITUĀCIJU VALSTS MEŽA DIENESTĀ MEŽA UGUNSDZĒSĪBAS JOMĀ”</cp:keywords>
  <dc:description>Bārs, 67027554_x000d_
Janis.Bars@zm.gov.lv</dc:description>
  <cp:lastModifiedBy>Jekaterina Borovika</cp:lastModifiedBy>
  <cp:revision>2</cp:revision>
  <cp:lastPrinted>2019-06-14T09:57:00Z</cp:lastPrinted>
  <dcterms:created xsi:type="dcterms:W3CDTF">2019-07-09T13:48:00Z</dcterms:created>
  <dcterms:modified xsi:type="dcterms:W3CDTF">2019-07-09T13:48:00Z</dcterms:modified>
</cp:coreProperties>
</file>