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64" w:rsidRPr="00642234" w:rsidRDefault="00226964" w:rsidP="00226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234">
        <w:rPr>
          <w:rFonts w:ascii="Times New Roman" w:eastAsia="Calibri" w:hAnsi="Times New Roman" w:cs="Times New Roman"/>
          <w:b/>
          <w:sz w:val="28"/>
          <w:szCs w:val="28"/>
        </w:rPr>
        <w:t>Ministru kabineta noteikumu projekta „Grozījumi Ministru kabineta 2010. gada 28. decembra noteikumos Nr.1229 „Noteikumi par šķirnes atšķirīguma, viendabīguma un stabilitātes pārbaudi”” sākotnējās ietekmes novērtējuma ziņojums (anotācija)</w:t>
      </w:r>
    </w:p>
    <w:p w:rsidR="00894C55" w:rsidRPr="00642234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0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5"/>
        <w:gridCol w:w="5158"/>
      </w:tblGrid>
      <w:tr w:rsidR="00642234" w:rsidRPr="00642234" w:rsidTr="00CD6E4A">
        <w:trPr>
          <w:cantSplit/>
        </w:trPr>
        <w:tc>
          <w:tcPr>
            <w:tcW w:w="9214" w:type="dxa"/>
            <w:gridSpan w:val="2"/>
            <w:shd w:val="clear" w:color="auto" w:fill="FFFFFF"/>
            <w:vAlign w:val="center"/>
            <w:hideMark/>
          </w:tcPr>
          <w:p w:rsidR="00A901C0" w:rsidRPr="00642234" w:rsidRDefault="00A901C0" w:rsidP="00CD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234">
              <w:rPr>
                <w:rFonts w:ascii="Times New Roman" w:hAnsi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642234" w:rsidRPr="00642234" w:rsidTr="00CD6E4A">
        <w:trPr>
          <w:cantSplit/>
        </w:trPr>
        <w:tc>
          <w:tcPr>
            <w:tcW w:w="4111" w:type="dxa"/>
            <w:shd w:val="clear" w:color="auto" w:fill="FFFFFF"/>
            <w:hideMark/>
          </w:tcPr>
          <w:p w:rsidR="00A901C0" w:rsidRPr="00642234" w:rsidRDefault="00A901C0" w:rsidP="00CD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103" w:type="dxa"/>
            <w:shd w:val="clear" w:color="auto" w:fill="FFFFFF"/>
          </w:tcPr>
          <w:p w:rsidR="00A901C0" w:rsidRPr="00642234" w:rsidRDefault="00A901C0" w:rsidP="00CD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 xml:space="preserve">Projekts šo jomu neskar. </w:t>
            </w:r>
          </w:p>
        </w:tc>
      </w:tr>
    </w:tbl>
    <w:p w:rsidR="00A901C0" w:rsidRPr="00642234" w:rsidRDefault="00A901C0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5"/>
        <w:gridCol w:w="2119"/>
        <w:gridCol w:w="6544"/>
      </w:tblGrid>
      <w:tr w:rsidR="00642234" w:rsidRPr="00642234" w:rsidTr="006609EB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2234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642234" w:rsidRPr="00642234" w:rsidTr="00F16ACB">
        <w:trPr>
          <w:trHeight w:val="324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226964" w:rsidP="00F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 šķirņu aizsardzības likuma 18.</w:t>
            </w:r>
            <w:r w:rsidR="007D62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piektā daļa</w:t>
            </w:r>
            <w:r w:rsidR="000E3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42234" w:rsidRPr="00642234" w:rsidTr="00F16ACB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26964" w:rsidRPr="00642234" w:rsidRDefault="00226964" w:rsidP="004F6E1F">
            <w:pPr>
              <w:pStyle w:val="Default"/>
              <w:ind w:right="141"/>
              <w:jc w:val="both"/>
              <w:rPr>
                <w:color w:val="auto"/>
              </w:rPr>
            </w:pPr>
            <w:r w:rsidRPr="00642234">
              <w:rPr>
                <w:rFonts w:ascii="Times New Roman" w:eastAsia="Calibri" w:hAnsi="Times New Roman" w:cs="Times New Roman"/>
                <w:color w:val="auto"/>
              </w:rPr>
              <w:t>Patlaban ir spēkā Ministru kabineta 2010. gada 28. decembra noteikumi Nr.1229 „Noteikumi par šķirnes atšķirīguma, viendabīguma un stabilitātes pārbaudi” (tu</w:t>
            </w:r>
            <w:r w:rsidR="009E1688" w:rsidRPr="00642234">
              <w:rPr>
                <w:rFonts w:ascii="Times New Roman" w:eastAsia="Calibri" w:hAnsi="Times New Roman" w:cs="Times New Roman"/>
                <w:color w:val="auto"/>
              </w:rPr>
              <w:t>rpmāk – noteikumi Nr.1229). 201</w:t>
            </w:r>
            <w:r w:rsidR="00DF3EB4" w:rsidRPr="00642234"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 xml:space="preserve">. gada </w:t>
            </w:r>
            <w:r w:rsidR="009E1688" w:rsidRPr="00642234">
              <w:rPr>
                <w:rFonts w:ascii="Times New Roman" w:eastAsia="Calibri" w:hAnsi="Times New Roman" w:cs="Times New Roman"/>
                <w:color w:val="auto"/>
              </w:rPr>
              <w:t>2</w:t>
            </w:r>
            <w:r w:rsidR="00DF3EB4" w:rsidRPr="00642234">
              <w:rPr>
                <w:rFonts w:ascii="Times New Roman" w:eastAsia="Calibri" w:hAnsi="Times New Roman" w:cs="Times New Roman"/>
                <w:color w:val="auto"/>
              </w:rPr>
              <w:t>4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 xml:space="preserve">. </w:t>
            </w:r>
            <w:r w:rsidR="009E1688" w:rsidRPr="00642234">
              <w:rPr>
                <w:rFonts w:ascii="Times New Roman" w:eastAsia="Calibri" w:hAnsi="Times New Roman" w:cs="Times New Roman"/>
                <w:color w:val="auto"/>
              </w:rPr>
              <w:t>janvā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rī ir pieņemta Komisijas Īstenošanas Direktīva 201</w:t>
            </w:r>
            <w:r w:rsidR="00DF3EB4" w:rsidRPr="00642234"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/1</w:t>
            </w:r>
            <w:r w:rsidR="00DF3EB4" w:rsidRPr="00642234">
              <w:rPr>
                <w:rFonts w:ascii="Times New Roman" w:eastAsia="Calibri" w:hAnsi="Times New Roman" w:cs="Times New Roman"/>
                <w:color w:val="auto"/>
              </w:rPr>
              <w:t>14</w:t>
            </w:r>
            <w:r w:rsidR="009E1688" w:rsidRPr="00642234">
              <w:rPr>
                <w:rFonts w:ascii="Times New Roman" w:eastAsia="Calibri" w:hAnsi="Times New Roman" w:cs="Times New Roman"/>
                <w:color w:val="auto"/>
              </w:rPr>
              <w:t>/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ES, ar ko groza</w:t>
            </w:r>
            <w:r w:rsidR="0049737D" w:rsidRPr="0064223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DF3EB4" w:rsidRPr="00642234">
              <w:rPr>
                <w:rFonts w:ascii="Times New Roman" w:hAnsi="Times New Roman" w:cs="Times New Roman"/>
                <w:bCs/>
                <w:color w:val="auto"/>
              </w:rPr>
              <w:t>Direktīvas 2003/90/EK un 2003/91/EK, kurās nosaka attiecīgi Padomes Direktīvas 2002/53/EK 7.</w:t>
            </w:r>
            <w:r w:rsidR="0049737D" w:rsidRPr="00642234"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="00DF3EB4" w:rsidRPr="00642234">
              <w:rPr>
                <w:rFonts w:ascii="Times New Roman" w:hAnsi="Times New Roman" w:cs="Times New Roman"/>
                <w:bCs/>
                <w:color w:val="auto"/>
              </w:rPr>
              <w:t>panta un Padomes Direktīvas 2002/55/EK 7. panta īstenošanas pasākumus attiecībā uz obligāti pārbaudāmajām pazīmēm un atsevišķu lauksaimniecības augu sugu šķirņu un dārzeņu sugu šķirņu obligātajiem pārbaudes nosacījumiem</w:t>
            </w:r>
            <w:r w:rsidR="00DF3EB4" w:rsidRPr="00642234">
              <w:rPr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(turpmāk – Komisijas Direktīva 201</w:t>
            </w:r>
            <w:r w:rsidR="0049737D" w:rsidRPr="00642234"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/1</w:t>
            </w:r>
            <w:r w:rsidR="0049737D" w:rsidRPr="00642234">
              <w:rPr>
                <w:rFonts w:ascii="Times New Roman" w:eastAsia="Calibri" w:hAnsi="Times New Roman" w:cs="Times New Roman"/>
                <w:color w:val="auto"/>
              </w:rPr>
              <w:t>14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/ES).</w:t>
            </w:r>
          </w:p>
          <w:p w:rsidR="001E7E19" w:rsidRPr="00642234" w:rsidRDefault="00226964" w:rsidP="004F6E1F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Lai pārņemtu Komisijas Direktīvas 201</w:t>
            </w:r>
            <w:r w:rsidR="0049737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49737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/ES prasības, noteikumu projekt</w:t>
            </w:r>
            <w:r w:rsidR="00DC21D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tiek </w:t>
            </w:r>
            <w:r w:rsidR="00DC21D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papildināts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jaun</w:t>
            </w:r>
            <w:r w:rsidR="007E418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laukaugu sug</w:t>
            </w:r>
            <w:r w:rsidR="007E418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827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4181" w:rsidRPr="00642234">
              <w:rPr>
                <w:rFonts w:ascii="Times New Roman" w:hAnsi="Times New Roman" w:cs="Times New Roman"/>
                <w:sz w:val="24"/>
                <w:szCs w:val="24"/>
              </w:rPr>
              <w:t>facēlij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E418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42BE7" w:rsidRPr="00642234">
              <w:rPr>
                <w:i/>
                <w:iCs/>
                <w:sz w:val="19"/>
                <w:szCs w:val="19"/>
              </w:rPr>
              <w:t xml:space="preserve"> </w:t>
            </w:r>
            <w:r w:rsidR="00D42BE7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Phacelia tanacetifolia </w:t>
            </w:r>
            <w:r w:rsidR="00D42BE7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Benth. </w:t>
            </w:r>
            <w:r w:rsidR="00767202" w:rsidRPr="00642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7202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TG 319/1)</w:t>
            </w:r>
            <w:r w:rsidR="007E4181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kurai ir izstrādātas </w:t>
            </w:r>
            <w:r w:rsidR="0076720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Starptautiskās jaunu augu šķirņu aizsardzības savienības (turpmāk 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6720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7202" w:rsidRPr="008943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UPOV</w:t>
            </w:r>
            <w:r w:rsidR="0076720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 vadlīnij</w:t>
            </w:r>
            <w:r w:rsidR="007E418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8F63D9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23B97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11" w:rsidRPr="006422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23B97" w:rsidRPr="00642234">
              <w:rPr>
                <w:rFonts w:ascii="Times New Roman" w:hAnsi="Times New Roman" w:cs="Times New Roman"/>
                <w:sz w:val="24"/>
                <w:szCs w:val="24"/>
              </w:rPr>
              <w:t>īdz ši</w:t>
            </w:r>
            <w:r w:rsidR="00436D0F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E97C53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facēlijas šķirņu pārbaudei </w:t>
            </w:r>
            <w:r w:rsidR="00436D0F" w:rsidRPr="00642234">
              <w:rPr>
                <w:rFonts w:ascii="Times New Roman" w:hAnsi="Times New Roman" w:cs="Times New Roman"/>
                <w:sz w:val="24"/>
                <w:szCs w:val="24"/>
              </w:rPr>
              <w:t>nebija</w:t>
            </w:r>
            <w:r w:rsidR="009B446A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00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izstrādāts </w:t>
            </w:r>
            <w:r w:rsidR="001E7E19" w:rsidRPr="0064223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7F137B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Kopienas Augu šķirņu biroja (turpmāk 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E19" w:rsidRPr="008943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CPVO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protokols, ne </w:t>
            </w:r>
            <w:r w:rsidR="00767202" w:rsidRPr="008943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UPOV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vadlīnijas</w:t>
            </w:r>
            <w:r w:rsidR="000553AE" w:rsidRPr="0064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20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184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Tāpat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tiek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precizēt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 </w:t>
            </w:r>
            <w:r w:rsidR="001E7E19" w:rsidRPr="008943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UPOV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vadlīnijas</w:t>
            </w:r>
            <w:r w:rsidR="008F63D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kaņep</w:t>
            </w:r>
            <w:r w:rsidR="00E01500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ēm.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62B8" w:rsidRPr="00642234" w:rsidRDefault="00A75FB7" w:rsidP="004F6E1F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Jauni protokoli un vadlīnijas izstrādāti 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arī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šādām </w:t>
            </w:r>
            <w:r w:rsidR="00226964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dārzeņu sugām</w:t>
            </w:r>
            <w:r w:rsidR="00973088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Brassica oleracea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892C3A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3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892C3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ziedkāposti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 (TP 45/2 rev. 2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 21.03.2018.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42BE7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Cichorium intybus 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D42BE7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003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D42BE7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42BE7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apu cigoriņi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BE7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TP 154/1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 21.03.2018.</w:t>
            </w:r>
            <w:r w:rsidR="00D42BE7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Cichorium intybus 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003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D42BE7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Vitlufa cigoriņi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TP 173/2, 21.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3.2018.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E3FD1" w:rsidRPr="00642234">
              <w:t xml:space="preserve"> 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Cucumis sativus 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9B446A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3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gurķi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TP 61/2 rev., 21.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3.2018.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D62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13B2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 lycopersicum</w:t>
            </w:r>
            <w:r w:rsidR="002513B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</w:t>
            </w:r>
            <w:r w:rsidR="00923EB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E7F3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tomāti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r w:rsidR="006843AE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23EB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TP 44/4 rev.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23EB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 21.03.2018.</w:t>
            </w:r>
            <w:r w:rsidR="00923EB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23EB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habrochaites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>S. Knapp &amp; D. M. Spooner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Solanum lycopersicum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L. x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habrochaites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S. Knapp &amp; D.M. Spooner;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lycopersicum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L. x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peruvianum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(L.) Mill.;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lycopersicum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L. x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cheesmaniae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(L. Ridley) Fosberg;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pimpinellifolium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L. x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habrochaites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>S. Knapp &amp; D.M. Spooner</w:t>
            </w:r>
            <w:r w:rsidR="00923EBD" w:rsidRPr="00642234">
              <w:rPr>
                <w:sz w:val="19"/>
                <w:szCs w:val="19"/>
              </w:rPr>
              <w:t xml:space="preserve"> </w:t>
            </w:r>
            <w:r w:rsidR="0035152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513B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TP 294/1 rev.</w:t>
            </w:r>
            <w:r w:rsidR="004E7F3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 21.03.2018.</w:t>
            </w:r>
            <w:r w:rsidR="0035152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C21D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0242D" w:rsidRPr="00642234" w:rsidRDefault="0064691C" w:rsidP="004F6E1F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No n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oteikum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iem 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Nr.1229 tiek svītrotas </w:t>
            </w:r>
            <w:r w:rsidR="0080242D" w:rsidRPr="008943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UPOV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vadlīnijas miega magonēm (</w:t>
            </w:r>
            <w:r w:rsidR="0080242D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Papaver somniferum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jo atbilstoši likuma “Par narkotisko un psihotropo vielu un zāļu likumīgās aprites kārtību” 6. panta nosacījumiem</w:t>
            </w:r>
            <w:r w:rsidR="00A424E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Latvijā ir aizliegts audzēt mi</w:t>
            </w:r>
            <w:r w:rsidR="00DC5E0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ega magones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0242D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Papaver somniferum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. Miega magones ir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1706" w:rsidRPr="00642234">
              <w:rPr>
                <w:rFonts w:ascii="Times New Roman" w:hAnsi="Times New Roman"/>
                <w:sz w:val="24"/>
                <w:szCs w:val="24"/>
              </w:rPr>
              <w:t>svītrotas ar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>ī</w:t>
            </w:r>
            <w:r w:rsidR="00DC5E0C" w:rsidRPr="0064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80242D" w:rsidRPr="00642234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 w:rsidR="007003A6" w:rsidRPr="00642234">
              <w:rPr>
                <w:rFonts w:ascii="Times New Roman" w:hAnsi="Times New Roman"/>
                <w:sz w:val="24"/>
                <w:szCs w:val="24"/>
              </w:rPr>
              <w:t>2010.</w:t>
            </w:r>
            <w:r w:rsidR="007003A6">
              <w:rPr>
                <w:rFonts w:ascii="Times New Roman" w:hAnsi="Times New Roman"/>
                <w:sz w:val="24"/>
                <w:szCs w:val="24"/>
              </w:rPr>
              <w:t xml:space="preserve"> gada </w:t>
            </w:r>
            <w:r w:rsidR="0080242D" w:rsidRPr="00642234">
              <w:rPr>
                <w:rFonts w:ascii="Times New Roman" w:hAnsi="Times New Roman"/>
                <w:sz w:val="24"/>
                <w:szCs w:val="24"/>
              </w:rPr>
              <w:t>13.</w:t>
            </w:r>
            <w:r w:rsidR="007003A6">
              <w:rPr>
                <w:rFonts w:ascii="Times New Roman" w:hAnsi="Times New Roman"/>
                <w:sz w:val="24"/>
                <w:szCs w:val="24"/>
              </w:rPr>
              <w:t> aprīļa</w:t>
            </w:r>
            <w:r w:rsidR="0080242D" w:rsidRPr="00642234">
              <w:rPr>
                <w:rFonts w:ascii="Times New Roman" w:hAnsi="Times New Roman"/>
                <w:sz w:val="24"/>
                <w:szCs w:val="24"/>
              </w:rPr>
              <w:t xml:space="preserve"> noteikumiem Nr. 352 </w:t>
            </w:r>
            <w:r w:rsidR="0080242D" w:rsidRPr="00642234">
              <w:rPr>
                <w:rFonts w:ascii="Times New Roman" w:hAnsi="Times New Roman"/>
                <w:sz w:val="24"/>
                <w:szCs w:val="24"/>
              </w:rPr>
              <w:lastRenderedPageBreak/>
              <w:t>“Eļļas augu un šķiedraugu sēklaudzēšanas un sēklu tirdzniecības noteikumi”.</w:t>
            </w:r>
          </w:p>
          <w:p w:rsidR="0080242D" w:rsidRPr="00642234" w:rsidRDefault="00E62C64" w:rsidP="004F6E1F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</w:t>
            </w:r>
            <w:r w:rsidR="00E606D7" w:rsidRPr="00642234">
              <w:rPr>
                <w:rFonts w:ascii="Times New Roman" w:hAnsi="Times New Roman"/>
                <w:sz w:val="24"/>
                <w:szCs w:val="24"/>
              </w:rPr>
              <w:t xml:space="preserve">oteikumu projektā ir 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>iekļaut</w:t>
            </w:r>
            <w:r w:rsidR="00E606D7" w:rsidRPr="00642234">
              <w:rPr>
                <w:rFonts w:ascii="Times New Roman" w:hAnsi="Times New Roman"/>
                <w:sz w:val="24"/>
                <w:szCs w:val="24"/>
              </w:rPr>
              <w:t>as arī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sugas, kas nav</w:t>
            </w:r>
            <w:r w:rsidRPr="006422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03A6">
              <w:rPr>
                <w:rFonts w:ascii="Times New Roman" w:hAnsi="Times New Roman"/>
                <w:bCs/>
                <w:sz w:val="24"/>
                <w:szCs w:val="24"/>
              </w:rPr>
              <w:t xml:space="preserve">minētas </w:t>
            </w:r>
            <w:r w:rsidR="00500C95" w:rsidRPr="00642234">
              <w:rPr>
                <w:rFonts w:ascii="Times New Roman" w:hAnsi="Times New Roman"/>
                <w:bCs/>
                <w:sz w:val="24"/>
                <w:szCs w:val="24"/>
              </w:rPr>
              <w:t xml:space="preserve">Komisijas </w:t>
            </w:r>
            <w:r w:rsidRPr="00642234">
              <w:rPr>
                <w:rFonts w:ascii="Times New Roman" w:hAnsi="Times New Roman"/>
                <w:bCs/>
                <w:sz w:val="24"/>
                <w:szCs w:val="24"/>
              </w:rPr>
              <w:t>Direktīvā 201</w:t>
            </w:r>
            <w:r w:rsidR="00A61631" w:rsidRPr="0064223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606D7" w:rsidRPr="00642234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="00A61631" w:rsidRPr="0064223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E606D7" w:rsidRPr="00642234">
              <w:rPr>
                <w:rFonts w:ascii="Times New Roman" w:hAnsi="Times New Roman"/>
                <w:bCs/>
                <w:sz w:val="24"/>
                <w:szCs w:val="24"/>
              </w:rPr>
              <w:t>, bet</w:t>
            </w:r>
            <w:r w:rsidRPr="00642234">
              <w:rPr>
                <w:rFonts w:ascii="Times New Roman" w:hAnsi="Times New Roman"/>
                <w:bCs/>
                <w:sz w:val="24"/>
                <w:szCs w:val="24"/>
              </w:rPr>
              <w:t xml:space="preserve"> ir </w:t>
            </w:r>
            <w:r w:rsidR="007003A6">
              <w:rPr>
                <w:rFonts w:ascii="Times New Roman" w:hAnsi="Times New Roman"/>
                <w:bCs/>
                <w:sz w:val="24"/>
                <w:szCs w:val="24"/>
              </w:rPr>
              <w:t xml:space="preserve">ietvertas </w:t>
            </w:r>
            <w:r w:rsidRPr="00642234">
              <w:rPr>
                <w:rFonts w:ascii="Times New Roman" w:hAnsi="Times New Roman"/>
                <w:bCs/>
                <w:sz w:val="24"/>
                <w:szCs w:val="24"/>
              </w:rPr>
              <w:t>sēklaudzēšanas direktīvās</w:t>
            </w:r>
            <w:r w:rsidR="00E606D7" w:rsidRPr="00642234">
              <w:rPr>
                <w:rFonts w:ascii="Times New Roman" w:hAnsi="Times New Roman"/>
                <w:bCs/>
                <w:sz w:val="24"/>
                <w:szCs w:val="24"/>
              </w:rPr>
              <w:t xml:space="preserve"> un Latvijas normatīvajos aktos</w:t>
            </w:r>
            <w:r w:rsidR="007003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01500" w:rsidRPr="006422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>lai selekcionārs, k</w:t>
            </w:r>
            <w:r w:rsidR="007003A6">
              <w:rPr>
                <w:rFonts w:ascii="Times New Roman" w:hAnsi="Times New Roman"/>
                <w:sz w:val="24"/>
                <w:szCs w:val="24"/>
              </w:rPr>
              <w:t>as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vēlas iekļaut šķirni Latvijas augu šķirņu katalogā</w:t>
            </w:r>
            <w:r w:rsidR="004D3DAB" w:rsidRPr="00642234">
              <w:rPr>
                <w:rFonts w:ascii="Times New Roman" w:hAnsi="Times New Roman"/>
                <w:sz w:val="24"/>
                <w:szCs w:val="24"/>
              </w:rPr>
              <w:t>,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zinātu</w:t>
            </w:r>
            <w:r w:rsidR="0013459A" w:rsidRPr="00642234">
              <w:rPr>
                <w:rFonts w:ascii="Times New Roman" w:hAnsi="Times New Roman"/>
                <w:sz w:val="24"/>
                <w:szCs w:val="24"/>
              </w:rPr>
              <w:t>,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3A6">
              <w:rPr>
                <w:rFonts w:ascii="Times New Roman" w:hAnsi="Times New Roman"/>
                <w:sz w:val="24"/>
                <w:szCs w:val="24"/>
              </w:rPr>
              <w:t xml:space="preserve">kuri </w:t>
            </w:r>
            <w:r w:rsidR="004D3DAB" w:rsidRPr="008943FD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CPVO</w:t>
            </w:r>
            <w:r w:rsidRPr="006422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protokoli vai </w:t>
            </w:r>
            <w:r w:rsidR="004D3DAB" w:rsidRPr="008943FD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UPOV</w:t>
            </w:r>
            <w:r w:rsidRPr="006422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vadlīnij</w:t>
            </w:r>
            <w:r w:rsidR="007003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ir jā</w:t>
            </w:r>
            <w:r w:rsidR="007003A6">
              <w:rPr>
                <w:rFonts w:ascii="Times New Roman" w:hAnsi="Times New Roman"/>
                <w:sz w:val="24"/>
                <w:szCs w:val="24"/>
              </w:rPr>
              <w:t xml:space="preserve">ievēro, 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>veic</w:t>
            </w:r>
            <w:r w:rsidR="007003A6">
              <w:rPr>
                <w:rFonts w:ascii="Times New Roman" w:hAnsi="Times New Roman"/>
                <w:sz w:val="24"/>
                <w:szCs w:val="24"/>
              </w:rPr>
              <w:t>ot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šķirnes atšķirīguma, vienda</w:t>
            </w:r>
            <w:r w:rsidR="00C603AF" w:rsidRPr="00642234">
              <w:rPr>
                <w:rFonts w:ascii="Times New Roman" w:hAnsi="Times New Roman"/>
                <w:sz w:val="24"/>
                <w:szCs w:val="24"/>
              </w:rPr>
              <w:t>bīguma un stabilitātes pārbaud</w:t>
            </w:r>
            <w:r w:rsidR="007003A6">
              <w:rPr>
                <w:rFonts w:ascii="Times New Roman" w:hAnsi="Times New Roman"/>
                <w:sz w:val="24"/>
                <w:szCs w:val="24"/>
              </w:rPr>
              <w:t>i</w:t>
            </w:r>
            <w:r w:rsidR="008A1878" w:rsidRPr="00642234">
              <w:rPr>
                <w:rFonts w:ascii="Times New Roman" w:hAnsi="Times New Roman"/>
                <w:sz w:val="24"/>
                <w:szCs w:val="24"/>
              </w:rPr>
              <w:t>.</w:t>
            </w:r>
            <w:r w:rsidR="006732FE" w:rsidRPr="0064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083" w:rsidRDefault="005A1706" w:rsidP="004F6E1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Ir nepieciešams </w:t>
            </w:r>
            <w:r w:rsidR="0080242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precizēt </w:t>
            </w:r>
            <w:r w:rsidR="0064691C" w:rsidRPr="00642234">
              <w:rPr>
                <w:rFonts w:ascii="Times New Roman" w:hAnsi="Times New Roman" w:cs="Times New Roman"/>
                <w:sz w:val="24"/>
                <w:szCs w:val="24"/>
              </w:rPr>
              <w:t>kārtību, kādā tiek pieteikta šķirnes atšķirīguma, viendabīguma un stabilitātes pārbaude</w:t>
            </w:r>
            <w:r w:rsidR="00BE34F5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(turpmāk – AVS pārbaude). 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>oteikumu</w:t>
            </w:r>
            <w:r w:rsidR="00BE34F5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>Nr.1229</w:t>
            </w:r>
            <w:r w:rsidR="005C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29.punkt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ā pašlaik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teikts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šķirni </w:t>
            </w:r>
            <w:r w:rsidR="00BE34F5" w:rsidRPr="00642234">
              <w:rPr>
                <w:rFonts w:ascii="Times New Roman" w:hAnsi="Times New Roman" w:cs="Times New Roman"/>
                <w:sz w:val="24"/>
                <w:szCs w:val="24"/>
              </w:rPr>
              <w:t>AVS pārbaud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ei piesaka pats </w:t>
            </w:r>
            <w:r w:rsidR="004F480E" w:rsidRPr="00642234">
              <w:rPr>
                <w:rFonts w:ascii="Times New Roman" w:hAnsi="Times New Roman" w:cs="Times New Roman"/>
                <w:sz w:val="24"/>
                <w:szCs w:val="24"/>
              </w:rPr>
              <w:t>iesniedzējs</w:t>
            </w:r>
            <w:r w:rsidR="00A158A8">
              <w:rPr>
                <w:rFonts w:ascii="Times New Roman" w:hAnsi="Times New Roman" w:cs="Times New Roman"/>
                <w:sz w:val="24"/>
                <w:szCs w:val="24"/>
              </w:rPr>
              <w:t xml:space="preserve">, iesniedzot iesniegumu </w:t>
            </w:r>
            <w:r w:rsidR="00BC63DD" w:rsidRPr="00BC63DD">
              <w:rPr>
                <w:rFonts w:ascii="Times New Roman" w:hAnsi="Times New Roman" w:cs="Times New Roman"/>
                <w:sz w:val="24"/>
                <w:szCs w:val="24"/>
              </w:rPr>
              <w:t>šķirnes pārbaudes veicēja</w:t>
            </w:r>
            <w:r w:rsidR="00BC63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34B4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A158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8A8">
              <w:rPr>
                <w:rFonts w:ascii="Times New Roman" w:hAnsi="Times New Roman" w:cs="Times New Roman"/>
                <w:sz w:val="24"/>
                <w:szCs w:val="24"/>
              </w:rPr>
              <w:t>ielikum</w:t>
            </w:r>
            <w:r w:rsidR="006634B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1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80E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39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6634B4">
              <w:rPr>
                <w:rFonts w:ascii="Times New Roman" w:hAnsi="Times New Roman" w:cs="Times New Roman"/>
                <w:sz w:val="24"/>
                <w:szCs w:val="24"/>
              </w:rPr>
              <w:t>obrīd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šķirņu AVS pārbaudes</w:t>
            </w:r>
            <w:r w:rsidR="00A5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52A">
              <w:rPr>
                <w:rFonts w:ascii="Times New Roman" w:hAnsi="Times New Roman" w:cs="Times New Roman"/>
                <w:sz w:val="24"/>
                <w:szCs w:val="24"/>
              </w:rPr>
              <w:t xml:space="preserve">Latvijā </w:t>
            </w:r>
            <w:r w:rsidR="004F480E" w:rsidRPr="0064223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, bet,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>ai šķirn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>es AVS pārbaudi veiktu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cit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0E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Eiropas 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Savienības </w:t>
            </w:r>
            <w:r w:rsidR="004B3CDD" w:rsidRPr="00642234">
              <w:rPr>
                <w:rFonts w:ascii="Times New Roman" w:hAnsi="Times New Roman" w:cs="Times New Roman"/>
                <w:sz w:val="24"/>
                <w:szCs w:val="24"/>
              </w:rPr>
              <w:t>dalībvalst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B3CD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B3C98">
              <w:rPr>
                <w:rFonts w:ascii="Times New Roman" w:hAnsi="Times New Roman" w:cs="Times New Roman"/>
                <w:sz w:val="24"/>
                <w:szCs w:val="24"/>
              </w:rPr>
              <w:t>nstitūcijā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92A49" w:rsidRPr="00642234">
              <w:rPr>
                <w:rFonts w:ascii="Times New Roman" w:hAnsi="Times New Roman"/>
                <w:sz w:val="24"/>
                <w:szCs w:val="24"/>
              </w:rPr>
              <w:t xml:space="preserve"> atbilstoši </w:t>
            </w:r>
            <w:r w:rsidR="00B92A49" w:rsidRPr="008943FD">
              <w:rPr>
                <w:rFonts w:ascii="Times New Roman" w:hAnsi="Times New Roman"/>
                <w:i/>
                <w:sz w:val="24"/>
                <w:szCs w:val="24"/>
              </w:rPr>
              <w:t>UPOV</w:t>
            </w:r>
            <w:r w:rsidR="00B92A49" w:rsidRPr="007610D2">
              <w:rPr>
                <w:rFonts w:ascii="Times New Roman" w:hAnsi="Times New Roman"/>
                <w:sz w:val="24"/>
                <w:szCs w:val="24"/>
              </w:rPr>
              <w:t xml:space="preserve"> starpinstitūciju sadarbības modelim</w:t>
            </w:r>
            <w:r w:rsidR="006324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2A49" w:rsidRPr="007610D2">
              <w:rPr>
                <w:rFonts w:ascii="Times New Roman" w:hAnsi="Times New Roman"/>
                <w:sz w:val="24"/>
                <w:szCs w:val="24"/>
              </w:rPr>
              <w:t>pieteikumu AVS pārbaud</w:t>
            </w:r>
            <w:r w:rsidR="00B92A49" w:rsidRPr="00642234">
              <w:rPr>
                <w:rFonts w:ascii="Times New Roman" w:hAnsi="Times New Roman"/>
                <w:sz w:val="24"/>
                <w:szCs w:val="24"/>
              </w:rPr>
              <w:t>ei var iesniegt tikai oficiāl</w:t>
            </w:r>
            <w:r w:rsidR="007003A6">
              <w:rPr>
                <w:rFonts w:ascii="Times New Roman" w:hAnsi="Times New Roman"/>
                <w:sz w:val="24"/>
                <w:szCs w:val="24"/>
              </w:rPr>
              <w:t>a</w:t>
            </w:r>
            <w:r w:rsidR="00B92A49" w:rsidRPr="00642234">
              <w:rPr>
                <w:rFonts w:ascii="Times New Roman" w:hAnsi="Times New Roman"/>
                <w:sz w:val="24"/>
                <w:szCs w:val="24"/>
              </w:rPr>
              <w:t xml:space="preserve"> valsts institūcija. Ņemot vērā iepriekš minēto, noteikumi tiek precizēt</w:t>
            </w:r>
            <w:r w:rsidR="00642234" w:rsidRPr="00642234">
              <w:rPr>
                <w:rFonts w:ascii="Times New Roman" w:hAnsi="Times New Roman"/>
                <w:sz w:val="24"/>
                <w:szCs w:val="24"/>
              </w:rPr>
              <w:t>i</w:t>
            </w:r>
            <w:r w:rsidR="00B92A49" w:rsidRPr="00642234">
              <w:rPr>
                <w:rFonts w:ascii="Times New Roman" w:hAnsi="Times New Roman"/>
                <w:sz w:val="24"/>
                <w:szCs w:val="24"/>
              </w:rPr>
              <w:t>, paredzot, ka pieteikumu AVS pārbaudei turpmāk i</w:t>
            </w:r>
            <w:r w:rsidR="00A424E1" w:rsidRPr="00642234">
              <w:rPr>
                <w:rFonts w:ascii="Times New Roman" w:hAnsi="Times New Roman"/>
                <w:sz w:val="24"/>
                <w:szCs w:val="24"/>
              </w:rPr>
              <w:t>e</w:t>
            </w:r>
            <w:r w:rsidR="00B92A49" w:rsidRPr="00642234">
              <w:rPr>
                <w:rFonts w:ascii="Times New Roman" w:hAnsi="Times New Roman"/>
                <w:sz w:val="24"/>
                <w:szCs w:val="24"/>
              </w:rPr>
              <w:t xml:space="preserve">sniegs </w:t>
            </w:r>
            <w:r w:rsidR="004B3CDD" w:rsidRPr="00642234">
              <w:rPr>
                <w:rFonts w:ascii="Times New Roman" w:hAnsi="Times New Roman" w:cs="Times New Roman"/>
                <w:sz w:val="24"/>
                <w:szCs w:val="24"/>
              </w:rPr>
              <w:t>Valsts augu aizsardzības dienest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5C7E">
              <w:rPr>
                <w:rFonts w:ascii="Times New Roman" w:hAnsi="Times New Roman" w:cs="Times New Roman"/>
                <w:sz w:val="24"/>
                <w:szCs w:val="24"/>
              </w:rPr>
              <w:t xml:space="preserve"> (turpmāk – dienests)</w:t>
            </w:r>
            <w:r w:rsidR="006324E1">
              <w:rPr>
                <w:rFonts w:ascii="Times New Roman" w:hAnsi="Times New Roman" w:cs="Times New Roman"/>
                <w:sz w:val="24"/>
                <w:szCs w:val="24"/>
              </w:rPr>
              <w:t xml:space="preserve">, nevis iesniedzējs. </w:t>
            </w:r>
            <w:r w:rsidR="00C132EF">
              <w:rPr>
                <w:rFonts w:ascii="Times New Roman" w:hAnsi="Times New Roman" w:cs="Times New Roman"/>
                <w:sz w:val="24"/>
                <w:szCs w:val="24"/>
              </w:rPr>
              <w:t>Dienests pieteiks</w:t>
            </w:r>
            <w:r w:rsidR="006614CE">
              <w:rPr>
                <w:rFonts w:ascii="Times New Roman" w:hAnsi="Times New Roman" w:cs="Times New Roman"/>
                <w:sz w:val="24"/>
                <w:szCs w:val="24"/>
              </w:rPr>
              <w:t xml:space="preserve"> šķirn</w:t>
            </w:r>
            <w:r w:rsidR="00C132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4CE">
              <w:rPr>
                <w:rFonts w:ascii="Times New Roman" w:hAnsi="Times New Roman" w:cs="Times New Roman"/>
                <w:sz w:val="24"/>
                <w:szCs w:val="24"/>
              </w:rPr>
              <w:t xml:space="preserve">AVS </w:t>
            </w:r>
            <w:r w:rsidR="006324E1">
              <w:rPr>
                <w:rFonts w:ascii="Times New Roman" w:hAnsi="Times New Roman" w:cs="Times New Roman"/>
                <w:sz w:val="24"/>
                <w:szCs w:val="24"/>
              </w:rPr>
              <w:t>pārbaud</w:t>
            </w:r>
            <w:r w:rsidR="00C132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324E1">
              <w:rPr>
                <w:rFonts w:ascii="Times New Roman" w:hAnsi="Times New Roman" w:cs="Times New Roman"/>
                <w:sz w:val="24"/>
                <w:szCs w:val="24"/>
              </w:rPr>
              <w:t>i tiešsaistes</w:t>
            </w:r>
            <w:r w:rsidR="00DE3535">
              <w:rPr>
                <w:rFonts w:ascii="Times New Roman" w:hAnsi="Times New Roman" w:cs="Times New Roman"/>
                <w:sz w:val="24"/>
                <w:szCs w:val="24"/>
              </w:rPr>
              <w:t xml:space="preserve"> režīm</w:t>
            </w:r>
            <w:r w:rsidR="0096639B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="00DE3535">
              <w:rPr>
                <w:rFonts w:ascii="Times New Roman" w:hAnsi="Times New Roman" w:cs="Times New Roman"/>
                <w:sz w:val="24"/>
                <w:szCs w:val="24"/>
              </w:rPr>
              <w:t xml:space="preserve">speciālā </w:t>
            </w:r>
            <w:r w:rsidR="00DE3535" w:rsidRPr="00616979">
              <w:rPr>
                <w:rFonts w:ascii="Times New Roman" w:hAnsi="Times New Roman" w:cs="Times New Roman"/>
                <w:i/>
                <w:sz w:val="24"/>
                <w:szCs w:val="24"/>
              </w:rPr>
              <w:t>UPOV</w:t>
            </w:r>
            <w:r w:rsidR="00DE3535">
              <w:rPr>
                <w:rFonts w:ascii="Times New Roman" w:hAnsi="Times New Roman" w:cs="Times New Roman"/>
                <w:sz w:val="24"/>
                <w:szCs w:val="24"/>
              </w:rPr>
              <w:t xml:space="preserve"> noteiktā pieteikuma formā</w:t>
            </w:r>
            <w:r w:rsidR="006614CE">
              <w:rPr>
                <w:rFonts w:ascii="Times New Roman" w:hAnsi="Times New Roman" w:cs="Times New Roman"/>
                <w:sz w:val="24"/>
                <w:szCs w:val="24"/>
              </w:rPr>
              <w:t>, tiklīdz būs saņemta informācija no iesniedzēja par izvēlēto pārbaudes veicēju</w:t>
            </w:r>
            <w:r w:rsidR="00EF24F0">
              <w:rPr>
                <w:rFonts w:ascii="Times New Roman" w:hAnsi="Times New Roman" w:cs="Times New Roman"/>
                <w:sz w:val="24"/>
                <w:szCs w:val="24"/>
              </w:rPr>
              <w:t>, tāpēc</w:t>
            </w:r>
            <w:r w:rsidR="0063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39B">
              <w:rPr>
                <w:rFonts w:ascii="Times New Roman" w:hAnsi="Times New Roman" w:cs="Times New Roman"/>
                <w:sz w:val="24"/>
                <w:szCs w:val="24"/>
              </w:rPr>
              <w:t>3.pielikums vairs nav nepieciešams.</w:t>
            </w:r>
            <w:r w:rsidR="008C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757" w:rsidRPr="00657EEC" w:rsidRDefault="006868D1" w:rsidP="004F6E1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Noteikumos n</w:t>
            </w:r>
            <w:r w:rsidR="00EF24F0">
              <w:rPr>
                <w:rFonts w:ascii="Times New Roman" w:hAnsi="Times New Roman" w:cs="Times New Roman"/>
                <w:sz w:val="24"/>
                <w:szCs w:val="24"/>
              </w:rPr>
              <w:t>av iespējams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73">
              <w:rPr>
                <w:rFonts w:ascii="Times New Roman" w:hAnsi="Times New Roman" w:cs="Times New Roman"/>
                <w:sz w:val="24"/>
                <w:szCs w:val="24"/>
              </w:rPr>
              <w:t>noteikt</w:t>
            </w:r>
            <w:r w:rsidRPr="0068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12B">
              <w:rPr>
                <w:rFonts w:ascii="Times New Roman" w:hAnsi="Times New Roman" w:cs="Times New Roman"/>
                <w:sz w:val="24"/>
                <w:szCs w:val="24"/>
              </w:rPr>
              <w:t xml:space="preserve">konkrētu </w:t>
            </w:r>
            <w:r w:rsidRPr="006868D1">
              <w:rPr>
                <w:rFonts w:ascii="Times New Roman" w:hAnsi="Times New Roman" w:cs="Times New Roman"/>
                <w:sz w:val="24"/>
                <w:szCs w:val="24"/>
              </w:rPr>
              <w:t>termiņ</w:t>
            </w:r>
            <w:r w:rsidR="0052312B">
              <w:rPr>
                <w:rFonts w:ascii="Times New Roman" w:hAnsi="Times New Roman" w:cs="Times New Roman"/>
                <w:sz w:val="24"/>
                <w:szCs w:val="24"/>
              </w:rPr>
              <w:t>u, kādā dienests piesaka šķirnes pārbaudi</w:t>
            </w:r>
            <w:r w:rsidR="0084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7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6308D">
              <w:rPr>
                <w:rFonts w:ascii="Times New Roman" w:hAnsi="Times New Roman" w:cs="Times New Roman"/>
                <w:sz w:val="24"/>
                <w:szCs w:val="24"/>
              </w:rPr>
              <w:t>ienests</w:t>
            </w:r>
            <w:r w:rsidR="00211AF5">
              <w:rPr>
                <w:rFonts w:ascii="Times New Roman" w:hAnsi="Times New Roman" w:cs="Times New Roman"/>
                <w:sz w:val="24"/>
                <w:szCs w:val="24"/>
              </w:rPr>
              <w:t xml:space="preserve"> vispirms sazinās ar pārbaudes veicēju, sagaida atbildi, noskaidro</w:t>
            </w:r>
            <w:r w:rsidR="00063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AF5">
              <w:rPr>
                <w:rFonts w:ascii="Times New Roman" w:hAnsi="Times New Roman" w:cs="Times New Roman"/>
                <w:sz w:val="24"/>
                <w:szCs w:val="24"/>
              </w:rPr>
              <w:t xml:space="preserve"> vai ir iespēja konkrētai šķirnei veikt AVS pārbaudi</w:t>
            </w:r>
            <w:r w:rsidR="00EF2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AF5" w:rsidRPr="00D14D3F">
              <w:rPr>
                <w:rFonts w:ascii="Times New Roman" w:hAnsi="Times New Roman" w:cs="Times New Roman"/>
                <w:sz w:val="24"/>
                <w:szCs w:val="24"/>
              </w:rPr>
              <w:t xml:space="preserve">un tikai tad piesaka </w:t>
            </w:r>
            <w:r w:rsidR="00B4106F">
              <w:rPr>
                <w:rFonts w:ascii="Times New Roman" w:hAnsi="Times New Roman" w:cs="Times New Roman"/>
                <w:sz w:val="24"/>
                <w:szCs w:val="24"/>
              </w:rPr>
              <w:t>šķirnes pārbaudi</w:t>
            </w:r>
            <w:r w:rsidR="0021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AF5" w:rsidRPr="00D14D3F">
              <w:rPr>
                <w:rFonts w:ascii="Times New Roman" w:hAnsi="Times New Roman" w:cs="Times New Roman"/>
                <w:sz w:val="24"/>
                <w:szCs w:val="24"/>
              </w:rPr>
              <w:t>oficiāli</w:t>
            </w:r>
            <w:r w:rsidR="00211A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0A86">
              <w:rPr>
                <w:rFonts w:ascii="Times New Roman" w:hAnsi="Times New Roman" w:cs="Times New Roman"/>
                <w:sz w:val="24"/>
                <w:szCs w:val="24"/>
              </w:rPr>
              <w:t>Turklāt</w:t>
            </w:r>
            <w:r w:rsidR="00211AF5">
              <w:rPr>
                <w:rFonts w:ascii="Times New Roman" w:hAnsi="Times New Roman" w:cs="Times New Roman"/>
                <w:sz w:val="24"/>
                <w:szCs w:val="24"/>
              </w:rPr>
              <w:t xml:space="preserve"> termiņš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 būt atšķirīgs</w:t>
            </w:r>
            <w:r w:rsidR="008415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68D1">
              <w:rPr>
                <w:rFonts w:ascii="Times New Roman" w:hAnsi="Times New Roman" w:cs="Times New Roman"/>
                <w:sz w:val="24"/>
                <w:szCs w:val="24"/>
              </w:rPr>
              <w:t xml:space="preserve"> ņemot vērā</w:t>
            </w:r>
            <w:r w:rsidR="00EF24F0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6868D1">
              <w:rPr>
                <w:rFonts w:ascii="Times New Roman" w:hAnsi="Times New Roman" w:cs="Times New Roman"/>
                <w:sz w:val="24"/>
                <w:szCs w:val="24"/>
              </w:rPr>
              <w:t xml:space="preserve">, ka šķirņu AVS </w:t>
            </w:r>
            <w:r w:rsidR="00EF24F0">
              <w:rPr>
                <w:rFonts w:ascii="Times New Roman" w:hAnsi="Times New Roman" w:cs="Times New Roman"/>
                <w:sz w:val="24"/>
                <w:szCs w:val="24"/>
              </w:rPr>
              <w:t>pārbaude</w:t>
            </w:r>
            <w:r w:rsidRPr="006868D1">
              <w:rPr>
                <w:rFonts w:ascii="Times New Roman" w:hAnsi="Times New Roman" w:cs="Times New Roman"/>
                <w:sz w:val="24"/>
                <w:szCs w:val="24"/>
              </w:rPr>
              <w:t xml:space="preserve"> notiek citu valstu akreditētajās i</w:t>
            </w:r>
            <w:r w:rsidR="00EF24F0">
              <w:rPr>
                <w:rFonts w:ascii="Times New Roman" w:hAnsi="Times New Roman" w:cs="Times New Roman"/>
                <w:sz w:val="24"/>
                <w:szCs w:val="24"/>
              </w:rPr>
              <w:t>estād</w:t>
            </w:r>
            <w:r w:rsidR="00C7753B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EF24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868D1">
              <w:rPr>
                <w:rFonts w:ascii="Times New Roman" w:hAnsi="Times New Roman" w:cs="Times New Roman"/>
                <w:sz w:val="24"/>
                <w:szCs w:val="24"/>
              </w:rPr>
              <w:t>, kas pašas nosaka kat</w:t>
            </w:r>
            <w:r w:rsidR="00211AF5">
              <w:rPr>
                <w:rFonts w:ascii="Times New Roman" w:hAnsi="Times New Roman" w:cs="Times New Roman"/>
                <w:sz w:val="24"/>
                <w:szCs w:val="24"/>
              </w:rPr>
              <w:t>rai sugai atšķirīgus pieteikšanā</w:t>
            </w:r>
            <w:r w:rsidRPr="006868D1">
              <w:rPr>
                <w:rFonts w:ascii="Times New Roman" w:hAnsi="Times New Roman" w:cs="Times New Roman"/>
                <w:sz w:val="24"/>
                <w:szCs w:val="24"/>
              </w:rPr>
              <w:t xml:space="preserve">s termiņus. </w:t>
            </w:r>
            <w:r w:rsidR="00EF24F0">
              <w:rPr>
                <w:rFonts w:ascii="Times New Roman" w:hAnsi="Times New Roman" w:cs="Times New Roman"/>
                <w:sz w:val="24"/>
                <w:szCs w:val="24"/>
              </w:rPr>
              <w:t>Tādējādi</w:t>
            </w:r>
            <w:r w:rsidRPr="0068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dienests rīkoja</w:t>
            </w:r>
            <w:r w:rsidRPr="006868D1">
              <w:rPr>
                <w:rFonts w:ascii="Times New Roman" w:hAnsi="Times New Roman" w:cs="Times New Roman"/>
                <w:sz w:val="24"/>
                <w:szCs w:val="24"/>
              </w:rPr>
              <w:t>s atbilstoši situācijai un piesaka attiecīgo šķirni pārbaudei, ņemot vērā citu</w:t>
            </w:r>
            <w:r w:rsidR="0052312B">
              <w:rPr>
                <w:rFonts w:ascii="Times New Roman" w:hAnsi="Times New Roman" w:cs="Times New Roman"/>
                <w:sz w:val="24"/>
                <w:szCs w:val="24"/>
              </w:rPr>
              <w:t xml:space="preserve"> valstu</w:t>
            </w:r>
            <w:r w:rsidRPr="006868D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F24F0">
              <w:rPr>
                <w:rFonts w:ascii="Times New Roman" w:hAnsi="Times New Roman" w:cs="Times New Roman"/>
                <w:sz w:val="24"/>
                <w:szCs w:val="24"/>
              </w:rPr>
              <w:t>estāžu</w:t>
            </w:r>
            <w:r w:rsidRPr="006868D1">
              <w:rPr>
                <w:rFonts w:ascii="Times New Roman" w:hAnsi="Times New Roman" w:cs="Times New Roman"/>
                <w:sz w:val="24"/>
                <w:szCs w:val="24"/>
              </w:rPr>
              <w:t xml:space="preserve"> noteiktos termiņus.</w:t>
            </w:r>
          </w:p>
          <w:p w:rsidR="00894C55" w:rsidRPr="00642234" w:rsidRDefault="000562B8" w:rsidP="004F6E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Līdz ar noteikumu projekta pieņemšanu pilnībā tiks pārņemta Komisijas Direktīva 201</w:t>
            </w:r>
            <w:r w:rsidR="006732FE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6732FE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/ES. Tā kā direktīvas normas jāievieš ne</w:t>
            </w:r>
            <w:r w:rsidR="00616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vēlāk</w:t>
            </w:r>
            <w:r w:rsidR="00853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kā līdz 201</w:t>
            </w:r>
            <w:r w:rsidR="006732FE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. gada 3</w:t>
            </w:r>
            <w:r w:rsidR="00C408B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="008537D8">
              <w:rPr>
                <w:rFonts w:ascii="Times New Roman" w:eastAsia="Calibri" w:hAnsi="Times New Roman" w:cs="Times New Roman"/>
                <w:sz w:val="24"/>
                <w:szCs w:val="24"/>
              </w:rPr>
              <w:t>jūlij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am,</w:t>
            </w:r>
            <w:r w:rsidR="0085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ir paredzēts ka</w:t>
            </w:r>
            <w:r w:rsidR="00853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noteikumi stāsies spēkā 201</w:t>
            </w:r>
            <w:r w:rsidR="006732FE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. gada 1.</w:t>
            </w:r>
            <w:r w:rsidR="00C408B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37D8">
              <w:rPr>
                <w:rFonts w:ascii="Times New Roman" w:eastAsia="Calibri" w:hAnsi="Times New Roman" w:cs="Times New Roman"/>
                <w:sz w:val="24"/>
                <w:szCs w:val="24"/>
              </w:rPr>
              <w:t>augustā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2234" w:rsidRPr="00642234" w:rsidTr="00F16ACB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E762F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 un Valsts augu aizsardzības dienests</w:t>
            </w:r>
            <w:r w:rsidR="004F6E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42234" w:rsidRPr="00642234" w:rsidTr="00F16ACB"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F24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894C55" w:rsidRPr="00642234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4"/>
        <w:gridCol w:w="2827"/>
        <w:gridCol w:w="5837"/>
      </w:tblGrid>
      <w:tr w:rsidR="00642234" w:rsidRPr="00642234" w:rsidTr="0020699D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2234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642234" w:rsidRPr="00642234" w:rsidTr="0020699D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mērķgrupas, kuras tiesiskais regulējums 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ietekmē vai varētu ietekmēt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94C55" w:rsidRPr="00642234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Noteikumu projekts attiecas uz selekcionāriem.</w:t>
            </w:r>
          </w:p>
        </w:tc>
      </w:tr>
      <w:tr w:rsidR="00642234" w:rsidRPr="00642234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10503C" w:rsidP="001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tiesiskais regulējums nemaina līdzšinējo administratīvo procedūru. Noteikumu projekts neuzliek papildu administratīvo slogu selekcionāriem, jo neparedz papildu informācijas sniegšanas vai uzglabāšanas pienākumus.</w:t>
            </w:r>
          </w:p>
        </w:tc>
      </w:tr>
      <w:tr w:rsidR="00642234" w:rsidRPr="00642234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42234" w:rsidRPr="00642234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44823" w:rsidRPr="00642234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44823" w:rsidRPr="00642234" w:rsidRDefault="00C4482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44823" w:rsidRPr="00642234" w:rsidRDefault="00C44823" w:rsidP="0089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42234" w:rsidRPr="00642234" w:rsidTr="0020699D">
        <w:trPr>
          <w:trHeight w:val="276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94C55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F24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10503C" w:rsidRPr="00642234" w:rsidRDefault="0010503C" w:rsidP="001050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tbl>
      <w:tblPr>
        <w:tblStyle w:val="Reatabula1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42234" w:rsidRPr="00642234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7" w:rsidRPr="00642234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234">
              <w:rPr>
                <w:rFonts w:ascii="Times New Roman" w:hAnsi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642234" w:rsidRPr="00642234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7" w:rsidRPr="00642234" w:rsidRDefault="00673277" w:rsidP="006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080BD6" w:rsidRPr="00642234" w:rsidRDefault="00080BD6" w:rsidP="0058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2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42234" w:rsidRPr="00642234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7" w:rsidRPr="00642234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234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642234" w:rsidRPr="00642234" w:rsidTr="00CD6E4A">
        <w:trPr>
          <w:trHeight w:val="2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7" w:rsidRPr="00642234" w:rsidRDefault="00673277" w:rsidP="006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10503C" w:rsidRPr="00642234" w:rsidRDefault="0010503C" w:rsidP="0064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3"/>
        <w:gridCol w:w="2646"/>
        <w:gridCol w:w="6019"/>
      </w:tblGrid>
      <w:tr w:rsidR="00642234" w:rsidRPr="00642234" w:rsidTr="0020699D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2234" w:rsidRDefault="00894C55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="003E079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642234" w:rsidRPr="00642234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D850DA" w:rsidP="0026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Komisijas Īstenošanas Direktīva 201</w:t>
            </w:r>
            <w:r w:rsidR="000A4C2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0A4C2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/ES, ar ko groza Direktīv</w:t>
            </w:r>
            <w:r w:rsidR="000A4C2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2003/90/EK un 2003/91/EK, kurās nosaka attiecīgi Padomes Direktīvas 2002/53/EK 7.</w:t>
            </w:r>
            <w:r w:rsidR="00580DB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panta un Padomes Direktīvas 2002/55/EK 7.</w:t>
            </w:r>
            <w:r w:rsidR="00580DB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panta īstenošanas pasākumus attiecībā uz obligāti pārbaudāmajām pazīmēm un 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atsevišķu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lauksaimniecības augu sugu šķirņu un dārzeņu sugu šķirņu obligātajiem pārbaudes nosacījumiem. </w:t>
            </w:r>
            <w:r w:rsidR="00A51596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Direktīvas normas ir jāievieš un normatīvais akts jāizdod un jāpublicē ne vēlāk kā līdz</w:t>
            </w:r>
            <w:r w:rsidR="007E55E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1596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201</w:t>
            </w:r>
            <w:r w:rsidR="000A4C25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</w:t>
            </w:r>
            <w:r w:rsidR="00A51596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gada 31. </w:t>
            </w:r>
            <w:r w:rsidR="007E55E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jūlij</w:t>
            </w:r>
            <w:r w:rsidR="00A51596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am.</w:t>
            </w:r>
          </w:p>
        </w:tc>
      </w:tr>
      <w:tr w:rsidR="00642234" w:rsidRPr="00642234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10503C" w:rsidP="00F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42234" w:rsidRPr="00642234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7003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894C55" w:rsidRPr="00642234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4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72"/>
        <w:gridCol w:w="2006"/>
        <w:gridCol w:w="2552"/>
        <w:gridCol w:w="2378"/>
      </w:tblGrid>
      <w:tr w:rsidR="00642234" w:rsidRPr="00642234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  <w:r w:rsidR="003E079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Direktīva 201</w:t>
            </w:r>
            <w:r w:rsidR="00DC21D2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/1</w:t>
            </w:r>
            <w:r w:rsidR="00DC21D2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//ES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:rsidR="00894C55" w:rsidRPr="00642234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 xml:space="preserve">Ja attiecīgā ES tiesību akta vienība tiek pārņemta vai ieviesta daļēji, sniedz </w:t>
            </w: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attiecīgu skaidrojumu, kā arī precīzi norāda, kad un kādā veidā ES tiesību akta vienība tiks pārņemta vai ieviesta pilnībā.</w:t>
            </w:r>
          </w:p>
          <w:p w:rsidR="00894C55" w:rsidRPr="00642234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Informācija par to, vai šīs tabulas B ailē minētās projekta vienības paredz stingrākas prasības nekā šīs tabulas A ailē minētās ES tiesību akta vienības.</w:t>
            </w:r>
          </w:p>
          <w:p w:rsidR="00894C55" w:rsidRPr="00642234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 xml:space="preserve">Ja projekts satur stingrākas prasības nekā attiecīgais ES tiesību akts, </w:t>
            </w: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norāda pamatojumu un samērīgumu.</w:t>
            </w:r>
          </w:p>
          <w:p w:rsidR="00252484" w:rsidRPr="00642234" w:rsidRDefault="00894C55" w:rsidP="004F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642234" w:rsidRPr="00642234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lastRenderedPageBreak/>
              <w:t xml:space="preserve">Komisijas Direktīva </w:t>
            </w:r>
            <w:r w:rsidRPr="0064223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C21D2" w:rsidRPr="006422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42234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DC21D2" w:rsidRPr="006422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4223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/ES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294F3D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94F3D">
              <w:rPr>
                <w:rFonts w:ascii="Times New Roman" w:hAnsi="Times New Roman"/>
                <w:sz w:val="24"/>
                <w:szCs w:val="24"/>
              </w:rPr>
              <w:t>1. 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D624D" w:rsidRPr="00294F3D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94F3D">
              <w:rPr>
                <w:rFonts w:ascii="Times New Roman" w:hAnsi="Times New Roman"/>
                <w:sz w:val="24"/>
                <w:szCs w:val="24"/>
              </w:rPr>
              <w:t>1.</w:t>
            </w:r>
            <w:r w:rsidR="000277FE">
              <w:rPr>
                <w:rFonts w:ascii="Times New Roman" w:hAnsi="Times New Roman"/>
                <w:sz w:val="24"/>
                <w:szCs w:val="24"/>
              </w:rPr>
              <w:t>6</w:t>
            </w:r>
            <w:r w:rsidRPr="00294F3D">
              <w:rPr>
                <w:rFonts w:ascii="Times New Roman" w:hAnsi="Times New Roman"/>
                <w:sz w:val="24"/>
                <w:szCs w:val="24"/>
              </w:rPr>
              <w:t>.</w:t>
            </w:r>
            <w:r w:rsidR="00AD5757" w:rsidRPr="00294F3D">
              <w:rPr>
                <w:rFonts w:ascii="Times New Roman" w:hAnsi="Times New Roman"/>
                <w:sz w:val="24"/>
                <w:szCs w:val="24"/>
              </w:rPr>
              <w:t> </w:t>
            </w:r>
            <w:r w:rsidRPr="00294F3D">
              <w:rPr>
                <w:rFonts w:ascii="Times New Roman" w:hAnsi="Times New Roman"/>
                <w:sz w:val="24"/>
                <w:szCs w:val="24"/>
              </w:rPr>
              <w:t>apakšpunkts</w:t>
            </w:r>
          </w:p>
          <w:p w:rsidR="00402C1C" w:rsidRPr="008C28E0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C28E0">
              <w:rPr>
                <w:rFonts w:ascii="Times New Roman" w:hAnsi="Times New Roman"/>
                <w:sz w:val="24"/>
                <w:szCs w:val="24"/>
              </w:rPr>
              <w:t xml:space="preserve">(1.pielikuma </w:t>
            </w:r>
          </w:p>
          <w:p w:rsidR="00402C1C" w:rsidRPr="008C28E0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C28E0">
              <w:rPr>
                <w:rFonts w:ascii="Times New Roman" w:hAnsi="Times New Roman"/>
                <w:sz w:val="24"/>
                <w:szCs w:val="24"/>
              </w:rPr>
              <w:t>I nodaļa)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294F3D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94F3D">
              <w:rPr>
                <w:rFonts w:ascii="Times New Roman" w:hAnsi="Times New Roman"/>
                <w:sz w:val="24"/>
                <w:szCs w:val="24"/>
              </w:rPr>
              <w:t>2.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8C28E0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94F3D">
              <w:rPr>
                <w:rFonts w:ascii="Times New Roman" w:hAnsi="Times New Roman"/>
                <w:sz w:val="24"/>
                <w:szCs w:val="24"/>
              </w:rPr>
              <w:t>1.</w:t>
            </w:r>
            <w:r w:rsidR="000277FE">
              <w:rPr>
                <w:rFonts w:ascii="Times New Roman" w:hAnsi="Times New Roman"/>
                <w:sz w:val="24"/>
                <w:szCs w:val="24"/>
              </w:rPr>
              <w:t>6</w:t>
            </w:r>
            <w:r w:rsidRPr="00294F3D">
              <w:rPr>
                <w:rFonts w:ascii="Times New Roman" w:hAnsi="Times New Roman"/>
                <w:sz w:val="24"/>
                <w:szCs w:val="24"/>
              </w:rPr>
              <w:t>.</w:t>
            </w:r>
            <w:r w:rsidR="00AD5757" w:rsidRPr="00294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3D">
              <w:rPr>
                <w:rFonts w:ascii="Times New Roman" w:hAnsi="Times New Roman"/>
                <w:sz w:val="24"/>
                <w:szCs w:val="24"/>
              </w:rPr>
              <w:t xml:space="preserve">apakšpunkts (1.pielikuma </w:t>
            </w:r>
          </w:p>
          <w:p w:rsidR="00402C1C" w:rsidRPr="008C28E0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C28E0">
              <w:rPr>
                <w:rFonts w:ascii="Times New Roman" w:hAnsi="Times New Roman"/>
                <w:sz w:val="24"/>
                <w:szCs w:val="24"/>
              </w:rPr>
              <w:t>II nodaļa)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3.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 xml:space="preserve">Minētā norma </w:t>
            </w:r>
            <w:r w:rsidRPr="00642234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 xml:space="preserve">paredz dalībvalstīm izvēles iespēju attiecībā par tās pārņemšanu. 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4. panta pirmā daļa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jāpārņem</w:t>
            </w:r>
            <w:r w:rsidR="00EF24F0">
              <w:rPr>
                <w:rFonts w:ascii="Times New Roman" w:hAnsi="Times New Roman"/>
                <w:sz w:val="24"/>
                <w:szCs w:val="24"/>
              </w:rPr>
              <w:t>;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noteikts termiņš normatīvo aktu pieņemšanai un publicēšanai.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4. panta otrā daļa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2. 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4. panta trešā daļa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D493D">
              <w:rPr>
                <w:rFonts w:ascii="Times New Roman" w:hAnsi="Times New Roman"/>
                <w:sz w:val="24"/>
                <w:szCs w:val="24"/>
              </w:rPr>
              <w:t>1.</w:t>
            </w:r>
            <w:r w:rsidR="000277FE">
              <w:rPr>
                <w:rFonts w:ascii="Times New Roman" w:hAnsi="Times New Roman"/>
                <w:sz w:val="24"/>
                <w:szCs w:val="24"/>
              </w:rPr>
              <w:t>5</w:t>
            </w:r>
            <w:r w:rsidRPr="008D493D">
              <w:rPr>
                <w:rFonts w:ascii="Times New Roman" w:hAnsi="Times New Roman"/>
                <w:sz w:val="24"/>
                <w:szCs w:val="24"/>
              </w:rPr>
              <w:t>.</w:t>
            </w:r>
            <w:r w:rsidRPr="00294F3D">
              <w:rPr>
                <w:rFonts w:ascii="Times New Roman" w:hAnsi="Times New Roman"/>
                <w:sz w:val="24"/>
                <w:szCs w:val="24"/>
              </w:rPr>
              <w:t> apakšpunkts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  <w:r w:rsidRPr="00642234" w:rsidDel="004E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5.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jāpārņem</w:t>
            </w:r>
            <w:r w:rsidR="00EF24F0">
              <w:rPr>
                <w:rFonts w:ascii="Times New Roman" w:hAnsi="Times New Roman"/>
                <w:sz w:val="24"/>
                <w:szCs w:val="24"/>
              </w:rPr>
              <w:t>;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noteikta spēkā stāšanās kārtība.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6.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jāpārņem</w:t>
            </w:r>
            <w:r w:rsidR="00EF24F0">
              <w:rPr>
                <w:rFonts w:ascii="Times New Roman" w:hAnsi="Times New Roman"/>
                <w:sz w:val="24"/>
                <w:szCs w:val="24"/>
              </w:rPr>
              <w:t>;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minēti direktīvas adresāti.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E20BBB" w:rsidP="00402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Komisijas Direktīvas 201</w:t>
            </w:r>
            <w:r w:rsidR="001863E7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/1</w:t>
            </w:r>
            <w:r w:rsidR="001863E7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14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/ES 3.</w:t>
            </w:r>
            <w:r w:rsidR="00ED130A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pantā ir paredzēta izvēles iespēja dalībvalstīm noteikt prasības attiecībā uz pārbaudēm, kas sāktas pirms 201</w:t>
            </w:r>
            <w:r w:rsidR="00D911C8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8271B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gada 1.</w:t>
            </w:r>
            <w:r w:rsidR="008271B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septembra. Dalībvalstis var piemērot Direktīvu 2003/90/EK un Direktīvu 2003/91 EK tajā redakcijā, kāda bija pirms grozījumu izdarīšanas ar Komisijas Direktīvu 201</w:t>
            </w:r>
            <w:r w:rsidR="001863E7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/1</w:t>
            </w:r>
            <w:r w:rsidR="001863E7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14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/ES. Šī panta izvēle Latvijai nav jāpārņem, jo Latvijā laukaugu un dārzeņu sugām netiek veiktas atšķirīguma, viendabīguma un stabilitātes pārbaudes.</w:t>
            </w:r>
          </w:p>
          <w:p w:rsidR="000A4C25" w:rsidRPr="00642234" w:rsidRDefault="000A4C25" w:rsidP="0040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7A3E" w:rsidRPr="00642234" w:rsidRDefault="00CE7A3E" w:rsidP="00CE7A3E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Noteikumu projekts nesatur valsts normatīvajos aktos noteiktās tehniskās prasības un nav paziņojams Eiropas Komisijai kā tehnisko noteikumu projekts atbilstoši Ministru kabineta 2010.</w:t>
            </w:r>
            <w:r w:rsidR="0006521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gada 23.</w:t>
            </w:r>
            <w:r w:rsidR="0006521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februāra Ministru kabineta instrukcijai Nr.1 „Kārtība, kādā valsts pārvaldes iestādes sniedz informāciju par tehnisko noteikumu projektu”.</w:t>
            </w:r>
          </w:p>
          <w:p w:rsidR="004C115A" w:rsidRPr="00642234" w:rsidRDefault="00CE7A3E">
            <w:pPr>
              <w:spacing w:after="0" w:line="240" w:lineRule="auto"/>
              <w:ind w:right="111" w:firstLine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 Direktīvas 201</w:t>
            </w:r>
            <w:r w:rsidR="001863E7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/1</w:t>
            </w:r>
            <w:r w:rsidR="001863E7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14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/E</w:t>
            </w:r>
            <w:r w:rsidR="005825D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pielikuma A daļas netiks pārņemtas dažu sugu pārbaudes vadlīnijas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ievērojot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201</w:t>
            </w:r>
            <w:r w:rsidR="00680AA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680AA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 </w:t>
            </w:r>
            <w:r w:rsidR="00680AA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mart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 Komisijas Lēmumu 201</w:t>
            </w:r>
            <w:r w:rsidR="00680AA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  <w:r w:rsidR="00680AA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478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/ES, ar ko Bulgāriju, Čehiju, Dāniju, Vāciju, Igauniju, Īriju, Spāniju, Franciju, Kipru, Latviju, Lietuvu, Maltu, Nīderlandi, Poliju, Slovēniju, Slovākiju, Somiju, Zviedriju un Apvienoto Karalisti atbrīvo no pienākuma konkrētām sugām piemērot Padomes Direktīvas 66/401/EEK, 66/402/EEK, 68/193/EEK, 1999/105/EK, 2002/54/EK, 2002/55/EK un 2002/57/EK attiecīgi par lopbarības augu sēklu, graudaugu sēklu, vīnogulāju veģetatīvās pavairošanas materiāla, meža reproduktīvā materiāla, biešu sēklu, dārzeņu sēklu un eļļas augu un šķiedraugu sēklu tirdzniecību</w:t>
            </w:r>
            <w:r w:rsidR="006E7F83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Latvija ir atbrīvota no tādu sugu pārņemšanas savos normatīvajos aktos</w:t>
            </w:r>
            <w:r w:rsidR="004050A3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nav piemērotas Latvijas klimatiskajiem apstākļiem un</w:t>
            </w:r>
            <w:r w:rsidR="003A7A59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valstī 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="00C1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</w:t>
            </w:r>
            <w:r w:rsidR="00C1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1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tāpēc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arī nav pamata </w:t>
            </w:r>
            <w:r w:rsidR="0006521D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521D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Komisijas Direktīvā </w:t>
            </w:r>
            <w:r w:rsidR="005825DA" w:rsidRPr="00642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D911C8" w:rsidRPr="00642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3A7A59" w:rsidRPr="00642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  <w:r w:rsidR="00D911C8" w:rsidRPr="00642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esošo sugu šķirņu obligāti pārbaudāmās prasības tām sugām, kuras </w:t>
            </w:r>
            <w:r w:rsidR="00C163FE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Latvijā 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neaudzē</w:t>
            </w:r>
            <w:r w:rsidR="006E7F83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A7A5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Atbrīvojums ir šādām sugām: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Agrostis canina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  <w:r w:rsidRPr="00642234">
              <w:rPr>
                <w:rFonts w:ascii="Calibri" w:eastAsia="Calibri" w:hAnsi="Calibri" w:cs="Times New Roman"/>
              </w:rPr>
              <w:t>.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– suņu smilga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(TG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30/6, 12.10.1990.),</w:t>
            </w:r>
            <w:r w:rsidRPr="00642234">
              <w:rPr>
                <w:rFonts w:ascii="Calibri" w:eastAsia="Calibri" w:hAnsi="Calibri" w:cs="Times New Roman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Bromus catharticus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Vahl – akotu lāčauza,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Bromus sitchensis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Trin. – Sitkas lāčauza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Calibri" w:eastAsia="Calibri" w:hAnsi="Calibri" w:cs="Times New Roman"/>
              </w:rPr>
              <w:t>(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TG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180/3, 04.04.2001.),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doliata</w:t>
            </w:r>
            <w:r w:rsidR="007A49C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Carmign</w:t>
            </w:r>
            <w:r w:rsidR="00580DBC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7A49C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7A49C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taisndzeloņu lucerna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="007A49C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TG</w:t>
            </w:r>
            <w:r w:rsidR="007D624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italica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(Mill.) Fiori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Itālijas lucerna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littoralis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Rohde ex Loisel.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–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piekrastes lucerna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lupulina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apiņu lucerna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murex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Willd.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dzeloņain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ajai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lucerna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polymorpha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zobain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ajai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lucerna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rugosa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Desr.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krokain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ajai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lucerna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scutellata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(L.) Mill.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vairoga lucerna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truncatula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Gaertn.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nošķelt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ajai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lucerna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Arachis hypogea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zemesrieksti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em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(TG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93/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09.04.2014.),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Carthamus tinctorius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saflor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am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(TP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134/3, 12.10.1990.),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Gossypium spp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 – kokvilna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(TP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88/1, 19.04.2016.),</w:t>
            </w:r>
            <w:r w:rsidR="00CB7E4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Oryza sativa</w:t>
            </w:r>
            <w:r w:rsidR="00CB7E41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rīsi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em</w:t>
            </w:r>
            <w:r w:rsidR="00CB7E41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(TP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B7E41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16/3, 01.10.2015.),</w:t>
            </w:r>
            <w:r w:rsidR="00802A8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Sorghum bicolor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(L.) Moench – sorgo (TG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122/4, 25.03.2015.),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sudanense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(Piper) Stapf.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397266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Sudānas zāle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(TG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122/4, 25.</w:t>
            </w:r>
            <w:r w:rsidR="00656B50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3.2015.),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Sorghum bicolor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(L.) Moench x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sudanense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(Piper) Stapf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hibrīdi</w:t>
            </w:r>
            <w:r w:rsidR="00EF24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em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kas radušies, krustojot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bicolor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sudanense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(TG</w:t>
            </w:r>
            <w:r w:rsidR="00397266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122/4, 25.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3.2015.)</w:t>
            </w:r>
            <w:r w:rsidR="00D911C8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642234" w:rsidRPr="00642234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CE7A3E" w:rsidP="00CE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1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42234" w:rsidRPr="00642234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  <w:r w:rsidR="00816C1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642234" w:rsidRPr="00642234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46898" w:rsidRPr="00642234" w:rsidRDefault="00CE7A3E" w:rsidP="00CE7A3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646898" w:rsidRPr="00642234" w:rsidRDefault="00646898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8"/>
        <w:gridCol w:w="2943"/>
        <w:gridCol w:w="5927"/>
      </w:tblGrid>
      <w:tr w:rsidR="00642234" w:rsidRPr="00642234" w:rsidTr="002F73FF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2234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VI.</w:t>
            </w:r>
            <w:r w:rsidR="00816C1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642234" w:rsidRPr="00642234" w:rsidTr="00742158">
        <w:trPr>
          <w:trHeight w:val="43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98337B" w:rsidP="00C2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noteikumu projektu tik</w:t>
            </w:r>
            <w:r w:rsidR="00232B2F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ievietota Zemkopības ministrijas tīmekļa vietnes www.zm.gov.lv sadaļā „Sabiedriskā apspriešana”</w:t>
            </w:r>
            <w:r w:rsidR="000E3DEC">
              <w:t xml:space="preserve"> </w:t>
            </w:r>
            <w:r w:rsidR="000E3DEC" w:rsidRPr="000E3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28.02.2019 līdz 08.03.2019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42234" w:rsidRPr="00642234" w:rsidTr="00742158">
        <w:trPr>
          <w:trHeight w:val="264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252484" w:rsidP="00A4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Noteikumu projekts elektroniski </w:t>
            </w:r>
            <w:r w:rsidR="00BC6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tika </w:t>
            </w:r>
            <w:r w:rsidRPr="00252484">
              <w:rPr>
                <w:rFonts w:ascii="Times New Roman" w:eastAsia="Calibri" w:hAnsi="Times New Roman" w:cs="Times New Roman"/>
                <w:sz w:val="24"/>
                <w:szCs w:val="24"/>
              </w:rPr>
              <w:t>nosūtīts saskaņošanai Lauksaimnieku organizāciju sadarbības padomei un Zemnieku saeimai.</w:t>
            </w:r>
          </w:p>
        </w:tc>
      </w:tr>
      <w:tr w:rsidR="00642234" w:rsidRPr="00642234" w:rsidTr="00742158">
        <w:trPr>
          <w:trHeight w:val="37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BC66BA" w:rsidP="00C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66BA">
              <w:rPr>
                <w:rFonts w:ascii="Times New Roman" w:eastAsia="Calibri" w:hAnsi="Times New Roman" w:cs="Times New Roman"/>
                <w:sz w:val="24"/>
                <w:szCs w:val="24"/>
              </w:rPr>
              <w:t>Iesaistītās puses atbalsta noteikumu projekta virzību esošā redakcijā</w:t>
            </w:r>
            <w:r w:rsidR="00252484" w:rsidRPr="002524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2234" w:rsidRPr="00642234" w:rsidTr="00742158">
        <w:trPr>
          <w:trHeight w:val="37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C3267B" w:rsidP="00C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C163FE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7D624D" w:rsidRPr="00642234" w:rsidRDefault="007D624D" w:rsidP="0061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4"/>
        <w:gridCol w:w="2770"/>
        <w:gridCol w:w="5894"/>
      </w:tblGrid>
      <w:tr w:rsidR="00642234" w:rsidRPr="00642234" w:rsidTr="0080539D">
        <w:trPr>
          <w:trHeight w:val="30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2234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642234" w:rsidRPr="00642234" w:rsidTr="00500C95">
        <w:trPr>
          <w:trHeight w:val="336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642234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642234" w:rsidRDefault="00A91DC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642234" w:rsidRDefault="00A91DC6" w:rsidP="005A1269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Izpildi nodrošinās Zemkopības ministrijas padotībā esošais Valsts augu aizsardzības dienests.</w:t>
            </w:r>
          </w:p>
        </w:tc>
      </w:tr>
      <w:tr w:rsidR="00642234" w:rsidRPr="00642234" w:rsidTr="00500C95">
        <w:trPr>
          <w:trHeight w:val="360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642234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642234" w:rsidRDefault="00A91DC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A91DC6" w:rsidRPr="00642234" w:rsidRDefault="00A91DC6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642234" w:rsidRDefault="00A91DC6" w:rsidP="005A1269">
            <w:pPr>
              <w:pStyle w:val="Bezatstarpm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:rsidR="00A91DC6" w:rsidRPr="00642234" w:rsidRDefault="00A91DC6" w:rsidP="005A1269">
            <w:pPr>
              <w:pStyle w:val="Bezatstarpm"/>
              <w:ind w:left="110"/>
              <w:jc w:val="both"/>
              <w:rPr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Nav paredzēta jaunu institūciju izveide, esošu institūciju likvidācija vai reorganizācija, ne arī to ietekme uz institūcijas cilvēkresursiem.</w:t>
            </w:r>
          </w:p>
        </w:tc>
      </w:tr>
      <w:tr w:rsidR="00642234" w:rsidRPr="00642234" w:rsidTr="00500C95">
        <w:trPr>
          <w:trHeight w:val="31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2234" w:rsidRDefault="00A91DC6" w:rsidP="00A9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A5" w:rsidRDefault="002506A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356" w:rsidRPr="00642234" w:rsidRDefault="003C5356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61" w:rsidRPr="00642234" w:rsidRDefault="003C5356" w:rsidP="003C535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18"/>
        </w:rPr>
      </w:pPr>
      <w:r w:rsidRPr="003C5356">
        <w:rPr>
          <w:rFonts w:ascii="Times New Roman" w:eastAsia="Times New Roman" w:hAnsi="Times New Roman" w:cs="Times New Roman"/>
          <w:sz w:val="28"/>
          <w:szCs w:val="28"/>
        </w:rPr>
        <w:t>Zem</w:t>
      </w:r>
      <w:r>
        <w:rPr>
          <w:rFonts w:ascii="Times New Roman" w:eastAsia="Times New Roman" w:hAnsi="Times New Roman" w:cs="Times New Roman"/>
          <w:sz w:val="28"/>
          <w:szCs w:val="28"/>
        </w:rPr>
        <w:t>kopības ministra p.i.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w:r w:rsidRPr="003C5356">
        <w:rPr>
          <w:rFonts w:ascii="Times New Roman" w:eastAsia="Times New Roman" w:hAnsi="Times New Roman" w:cs="Times New Roman"/>
          <w:sz w:val="28"/>
          <w:szCs w:val="28"/>
        </w:rPr>
        <w:t>Viņķele</w:t>
      </w:r>
    </w:p>
    <w:p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  <w:bookmarkStart w:id="0" w:name="_GoBack"/>
      <w:bookmarkEnd w:id="0"/>
    </w:p>
    <w:p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577A61" w:rsidRPr="003C5356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DC6" w:rsidRPr="003C5356" w:rsidRDefault="00A91DC6" w:rsidP="00A91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356">
        <w:rPr>
          <w:rFonts w:ascii="Times New Roman" w:eastAsia="Calibri" w:hAnsi="Times New Roman" w:cs="Times New Roman"/>
          <w:sz w:val="24"/>
          <w:szCs w:val="24"/>
        </w:rPr>
        <w:t xml:space="preserve">Magone 67027258 </w:t>
      </w:r>
    </w:p>
    <w:p w:rsidR="00894C55" w:rsidRPr="003C5356" w:rsidRDefault="003C5356" w:rsidP="00F1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1DC6" w:rsidRPr="003C5356">
          <w:rPr>
            <w:rFonts w:ascii="Times New Roman" w:eastAsia="Calibri" w:hAnsi="Times New Roman" w:cs="Times New Roman"/>
            <w:sz w:val="24"/>
            <w:szCs w:val="24"/>
            <w:u w:val="single"/>
          </w:rPr>
          <w:t>Ilze.Magone@zm.gov.lv</w:t>
        </w:r>
      </w:hyperlink>
    </w:p>
    <w:sectPr w:rsidR="00894C55" w:rsidRPr="003C5356" w:rsidSect="003C5356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E3" w:rsidRDefault="001063E3" w:rsidP="00894C55">
      <w:pPr>
        <w:spacing w:after="0" w:line="240" w:lineRule="auto"/>
      </w:pPr>
      <w:r>
        <w:separator/>
      </w:r>
    </w:p>
  </w:endnote>
  <w:endnote w:type="continuationSeparator" w:id="0">
    <w:p w:rsidR="001063E3" w:rsidRDefault="001063E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3C5356" w:rsidRDefault="003C5356" w:rsidP="003C5356">
    <w:pPr>
      <w:pStyle w:val="Kjene"/>
    </w:pPr>
    <w:r w:rsidRPr="003C5356">
      <w:rPr>
        <w:rFonts w:ascii="Times New Roman" w:hAnsi="Times New Roman" w:cs="Times New Roman"/>
        <w:sz w:val="20"/>
        <w:szCs w:val="20"/>
      </w:rPr>
      <w:t>ZManot_190619_AVSparb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4" w:rsidRPr="003C5356" w:rsidRDefault="003C5356" w:rsidP="003C5356">
    <w:pPr>
      <w:pStyle w:val="Kjene"/>
    </w:pPr>
    <w:r w:rsidRPr="003C5356">
      <w:rPr>
        <w:rFonts w:ascii="Times New Roman" w:hAnsi="Times New Roman" w:cs="Times New Roman"/>
        <w:sz w:val="20"/>
        <w:szCs w:val="20"/>
      </w:rPr>
      <w:t>ZManot_190619_AVSparb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E3" w:rsidRDefault="001063E3" w:rsidP="00894C55">
      <w:pPr>
        <w:spacing w:after="0" w:line="240" w:lineRule="auto"/>
      </w:pPr>
      <w:r>
        <w:separator/>
      </w:r>
    </w:p>
  </w:footnote>
  <w:footnote w:type="continuationSeparator" w:id="0">
    <w:p w:rsidR="001063E3" w:rsidRDefault="001063E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C5356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052F"/>
    <w:multiLevelType w:val="multilevel"/>
    <w:tmpl w:val="008A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7094F"/>
    <w:multiLevelType w:val="hybridMultilevel"/>
    <w:tmpl w:val="ECC6E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450B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516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2F84"/>
    <w:rsid w:val="000277FE"/>
    <w:rsid w:val="00046D6E"/>
    <w:rsid w:val="00053957"/>
    <w:rsid w:val="000553AE"/>
    <w:rsid w:val="000562B8"/>
    <w:rsid w:val="0006308D"/>
    <w:rsid w:val="0006521D"/>
    <w:rsid w:val="00070925"/>
    <w:rsid w:val="00072D0A"/>
    <w:rsid w:val="00076676"/>
    <w:rsid w:val="0007738E"/>
    <w:rsid w:val="00080BD6"/>
    <w:rsid w:val="0008577A"/>
    <w:rsid w:val="00091FB0"/>
    <w:rsid w:val="000A2EE3"/>
    <w:rsid w:val="000A3A25"/>
    <w:rsid w:val="000A4C25"/>
    <w:rsid w:val="000B7C9D"/>
    <w:rsid w:val="000C26AD"/>
    <w:rsid w:val="000C7F7B"/>
    <w:rsid w:val="000D0D9E"/>
    <w:rsid w:val="000E0362"/>
    <w:rsid w:val="000E3DEC"/>
    <w:rsid w:val="000F1E9D"/>
    <w:rsid w:val="000F6880"/>
    <w:rsid w:val="0010503C"/>
    <w:rsid w:val="00105AA7"/>
    <w:rsid w:val="001063E3"/>
    <w:rsid w:val="00116E7C"/>
    <w:rsid w:val="00123A64"/>
    <w:rsid w:val="00125C7E"/>
    <w:rsid w:val="0013459A"/>
    <w:rsid w:val="001407D9"/>
    <w:rsid w:val="00160B0C"/>
    <w:rsid w:val="00161508"/>
    <w:rsid w:val="001863E7"/>
    <w:rsid w:val="00192975"/>
    <w:rsid w:val="001B3C98"/>
    <w:rsid w:val="001C1906"/>
    <w:rsid w:val="001C6449"/>
    <w:rsid w:val="001D1DE3"/>
    <w:rsid w:val="001E7E19"/>
    <w:rsid w:val="001E7EC3"/>
    <w:rsid w:val="001F1F07"/>
    <w:rsid w:val="002003F7"/>
    <w:rsid w:val="0020699D"/>
    <w:rsid w:val="00211AF5"/>
    <w:rsid w:val="0022511C"/>
    <w:rsid w:val="00226964"/>
    <w:rsid w:val="00232B2F"/>
    <w:rsid w:val="00234AFF"/>
    <w:rsid w:val="00243426"/>
    <w:rsid w:val="002506A5"/>
    <w:rsid w:val="002513B2"/>
    <w:rsid w:val="00252484"/>
    <w:rsid w:val="00261B4C"/>
    <w:rsid w:val="00274DD9"/>
    <w:rsid w:val="002802A1"/>
    <w:rsid w:val="002923DC"/>
    <w:rsid w:val="00294F3D"/>
    <w:rsid w:val="002A1618"/>
    <w:rsid w:val="002A7085"/>
    <w:rsid w:val="002C4887"/>
    <w:rsid w:val="002C65B9"/>
    <w:rsid w:val="002D373D"/>
    <w:rsid w:val="002D4DEC"/>
    <w:rsid w:val="002E1C05"/>
    <w:rsid w:val="002F1B12"/>
    <w:rsid w:val="002F73FF"/>
    <w:rsid w:val="003000B8"/>
    <w:rsid w:val="00303641"/>
    <w:rsid w:val="00313387"/>
    <w:rsid w:val="0033311E"/>
    <w:rsid w:val="003445AB"/>
    <w:rsid w:val="00345F9B"/>
    <w:rsid w:val="00351525"/>
    <w:rsid w:val="00352FAF"/>
    <w:rsid w:val="0035319B"/>
    <w:rsid w:val="0036502D"/>
    <w:rsid w:val="0037334D"/>
    <w:rsid w:val="00387EC7"/>
    <w:rsid w:val="00397266"/>
    <w:rsid w:val="003A6DAE"/>
    <w:rsid w:val="003A7A59"/>
    <w:rsid w:val="003B0BF9"/>
    <w:rsid w:val="003B6462"/>
    <w:rsid w:val="003B75EB"/>
    <w:rsid w:val="003C018D"/>
    <w:rsid w:val="003C5356"/>
    <w:rsid w:val="003C6ED0"/>
    <w:rsid w:val="003D0524"/>
    <w:rsid w:val="003D1773"/>
    <w:rsid w:val="003E0791"/>
    <w:rsid w:val="003E2E12"/>
    <w:rsid w:val="003E2F86"/>
    <w:rsid w:val="003F28AC"/>
    <w:rsid w:val="003F669C"/>
    <w:rsid w:val="00402C1C"/>
    <w:rsid w:val="004050A3"/>
    <w:rsid w:val="00413895"/>
    <w:rsid w:val="00416BCE"/>
    <w:rsid w:val="004269D2"/>
    <w:rsid w:val="00435E45"/>
    <w:rsid w:val="00436029"/>
    <w:rsid w:val="00436D0F"/>
    <w:rsid w:val="00440ABC"/>
    <w:rsid w:val="004454FE"/>
    <w:rsid w:val="004542DD"/>
    <w:rsid w:val="00454D03"/>
    <w:rsid w:val="00455AEF"/>
    <w:rsid w:val="004568E2"/>
    <w:rsid w:val="00456DB3"/>
    <w:rsid w:val="004712B8"/>
    <w:rsid w:val="00471F27"/>
    <w:rsid w:val="00495A22"/>
    <w:rsid w:val="0049737D"/>
    <w:rsid w:val="00497BBC"/>
    <w:rsid w:val="004A0BDF"/>
    <w:rsid w:val="004A560E"/>
    <w:rsid w:val="004A5E56"/>
    <w:rsid w:val="004B3CDD"/>
    <w:rsid w:val="004B5130"/>
    <w:rsid w:val="004B7E29"/>
    <w:rsid w:val="004C115A"/>
    <w:rsid w:val="004D0785"/>
    <w:rsid w:val="004D0CE5"/>
    <w:rsid w:val="004D3DAB"/>
    <w:rsid w:val="004E2DFC"/>
    <w:rsid w:val="004E7F3C"/>
    <w:rsid w:val="004F4049"/>
    <w:rsid w:val="004F480E"/>
    <w:rsid w:val="004F6E1F"/>
    <w:rsid w:val="00500C95"/>
    <w:rsid w:val="0050178F"/>
    <w:rsid w:val="00502C8E"/>
    <w:rsid w:val="0052312B"/>
    <w:rsid w:val="005412F5"/>
    <w:rsid w:val="0054774F"/>
    <w:rsid w:val="00547B88"/>
    <w:rsid w:val="00554FB7"/>
    <w:rsid w:val="00570152"/>
    <w:rsid w:val="00577A61"/>
    <w:rsid w:val="00580DBC"/>
    <w:rsid w:val="005825DA"/>
    <w:rsid w:val="00596000"/>
    <w:rsid w:val="00596451"/>
    <w:rsid w:val="005A1706"/>
    <w:rsid w:val="005A1842"/>
    <w:rsid w:val="005C1A82"/>
    <w:rsid w:val="005C7BA3"/>
    <w:rsid w:val="005D15D8"/>
    <w:rsid w:val="005D61E2"/>
    <w:rsid w:val="005F0C86"/>
    <w:rsid w:val="005F3958"/>
    <w:rsid w:val="00611A6A"/>
    <w:rsid w:val="00616979"/>
    <w:rsid w:val="00625A87"/>
    <w:rsid w:val="006324E1"/>
    <w:rsid w:val="00642234"/>
    <w:rsid w:val="00646898"/>
    <w:rsid w:val="0064691C"/>
    <w:rsid w:val="00656B50"/>
    <w:rsid w:val="00657EEC"/>
    <w:rsid w:val="006609EB"/>
    <w:rsid w:val="006614CE"/>
    <w:rsid w:val="00662074"/>
    <w:rsid w:val="006634B4"/>
    <w:rsid w:val="00665083"/>
    <w:rsid w:val="00672495"/>
    <w:rsid w:val="00673277"/>
    <w:rsid w:val="006732FE"/>
    <w:rsid w:val="00680122"/>
    <w:rsid w:val="00680AAD"/>
    <w:rsid w:val="006817FE"/>
    <w:rsid w:val="006843AE"/>
    <w:rsid w:val="006868D1"/>
    <w:rsid w:val="00692CA0"/>
    <w:rsid w:val="00693399"/>
    <w:rsid w:val="006C50C1"/>
    <w:rsid w:val="006E1081"/>
    <w:rsid w:val="006E7F83"/>
    <w:rsid w:val="007003A6"/>
    <w:rsid w:val="007043B7"/>
    <w:rsid w:val="00720585"/>
    <w:rsid w:val="007230EB"/>
    <w:rsid w:val="00732312"/>
    <w:rsid w:val="00742158"/>
    <w:rsid w:val="007541ED"/>
    <w:rsid w:val="00754AAD"/>
    <w:rsid w:val="007555DA"/>
    <w:rsid w:val="00756715"/>
    <w:rsid w:val="00757758"/>
    <w:rsid w:val="00757EE6"/>
    <w:rsid w:val="007610D2"/>
    <w:rsid w:val="007648B7"/>
    <w:rsid w:val="00767202"/>
    <w:rsid w:val="00773AF6"/>
    <w:rsid w:val="00773B54"/>
    <w:rsid w:val="00785F9F"/>
    <w:rsid w:val="00787D05"/>
    <w:rsid w:val="00791249"/>
    <w:rsid w:val="00795F71"/>
    <w:rsid w:val="007A49C9"/>
    <w:rsid w:val="007B4041"/>
    <w:rsid w:val="007D32ED"/>
    <w:rsid w:val="007D5D1C"/>
    <w:rsid w:val="007D624D"/>
    <w:rsid w:val="007E0781"/>
    <w:rsid w:val="007E4181"/>
    <w:rsid w:val="007E55E1"/>
    <w:rsid w:val="007E73AB"/>
    <w:rsid w:val="007F137B"/>
    <w:rsid w:val="0080242D"/>
    <w:rsid w:val="00802A8A"/>
    <w:rsid w:val="0080539D"/>
    <w:rsid w:val="008053A4"/>
    <w:rsid w:val="00807194"/>
    <w:rsid w:val="008074B4"/>
    <w:rsid w:val="00816C11"/>
    <w:rsid w:val="0082246A"/>
    <w:rsid w:val="008264A5"/>
    <w:rsid w:val="008271BB"/>
    <w:rsid w:val="008355D8"/>
    <w:rsid w:val="00841573"/>
    <w:rsid w:val="00841CA5"/>
    <w:rsid w:val="0084769C"/>
    <w:rsid w:val="00847A6D"/>
    <w:rsid w:val="008537D8"/>
    <w:rsid w:val="0088397C"/>
    <w:rsid w:val="008855D3"/>
    <w:rsid w:val="00892C3A"/>
    <w:rsid w:val="008943FD"/>
    <w:rsid w:val="00894C55"/>
    <w:rsid w:val="008A128D"/>
    <w:rsid w:val="008A1878"/>
    <w:rsid w:val="008B0F6C"/>
    <w:rsid w:val="008C27AF"/>
    <w:rsid w:val="008C28E0"/>
    <w:rsid w:val="008D353F"/>
    <w:rsid w:val="008D493D"/>
    <w:rsid w:val="008F17F6"/>
    <w:rsid w:val="008F63D9"/>
    <w:rsid w:val="008F7F79"/>
    <w:rsid w:val="00912FDB"/>
    <w:rsid w:val="00923B97"/>
    <w:rsid w:val="00923EBD"/>
    <w:rsid w:val="0093278D"/>
    <w:rsid w:val="00940A86"/>
    <w:rsid w:val="009462A6"/>
    <w:rsid w:val="009515E8"/>
    <w:rsid w:val="00962F7C"/>
    <w:rsid w:val="00966022"/>
    <w:rsid w:val="0096639B"/>
    <w:rsid w:val="00970C77"/>
    <w:rsid w:val="00973088"/>
    <w:rsid w:val="0098337B"/>
    <w:rsid w:val="0098752A"/>
    <w:rsid w:val="009878D2"/>
    <w:rsid w:val="00987D8E"/>
    <w:rsid w:val="00993DD2"/>
    <w:rsid w:val="00995F6D"/>
    <w:rsid w:val="009A1916"/>
    <w:rsid w:val="009A2654"/>
    <w:rsid w:val="009A5705"/>
    <w:rsid w:val="009B446A"/>
    <w:rsid w:val="009B7ADF"/>
    <w:rsid w:val="009D17FC"/>
    <w:rsid w:val="009E1688"/>
    <w:rsid w:val="009E2AFB"/>
    <w:rsid w:val="009E3FD1"/>
    <w:rsid w:val="00A158A8"/>
    <w:rsid w:val="00A20697"/>
    <w:rsid w:val="00A4173C"/>
    <w:rsid w:val="00A424E1"/>
    <w:rsid w:val="00A51596"/>
    <w:rsid w:val="00A53639"/>
    <w:rsid w:val="00A6073E"/>
    <w:rsid w:val="00A61631"/>
    <w:rsid w:val="00A62BF1"/>
    <w:rsid w:val="00A73B54"/>
    <w:rsid w:val="00A75FB7"/>
    <w:rsid w:val="00A813A6"/>
    <w:rsid w:val="00A901C0"/>
    <w:rsid w:val="00A91DC6"/>
    <w:rsid w:val="00A92689"/>
    <w:rsid w:val="00A95156"/>
    <w:rsid w:val="00A97B10"/>
    <w:rsid w:val="00AB4B94"/>
    <w:rsid w:val="00AB6D0E"/>
    <w:rsid w:val="00AD3D13"/>
    <w:rsid w:val="00AD5757"/>
    <w:rsid w:val="00AE5567"/>
    <w:rsid w:val="00AE5C89"/>
    <w:rsid w:val="00AE6E64"/>
    <w:rsid w:val="00AF711C"/>
    <w:rsid w:val="00B052A7"/>
    <w:rsid w:val="00B0727A"/>
    <w:rsid w:val="00B12911"/>
    <w:rsid w:val="00B16480"/>
    <w:rsid w:val="00B17636"/>
    <w:rsid w:val="00B21461"/>
    <w:rsid w:val="00B2165C"/>
    <w:rsid w:val="00B23215"/>
    <w:rsid w:val="00B4106F"/>
    <w:rsid w:val="00B505DA"/>
    <w:rsid w:val="00B63167"/>
    <w:rsid w:val="00B672C4"/>
    <w:rsid w:val="00B82D5D"/>
    <w:rsid w:val="00B9123F"/>
    <w:rsid w:val="00B92A49"/>
    <w:rsid w:val="00BA04B0"/>
    <w:rsid w:val="00BA20AA"/>
    <w:rsid w:val="00BB0BB3"/>
    <w:rsid w:val="00BB346A"/>
    <w:rsid w:val="00BB5B38"/>
    <w:rsid w:val="00BC44A3"/>
    <w:rsid w:val="00BC63DD"/>
    <w:rsid w:val="00BC66BA"/>
    <w:rsid w:val="00BD4425"/>
    <w:rsid w:val="00BE34F5"/>
    <w:rsid w:val="00BE3987"/>
    <w:rsid w:val="00BE6C0F"/>
    <w:rsid w:val="00BF0A95"/>
    <w:rsid w:val="00BF64A9"/>
    <w:rsid w:val="00C03DC7"/>
    <w:rsid w:val="00C132EF"/>
    <w:rsid w:val="00C13311"/>
    <w:rsid w:val="00C163FE"/>
    <w:rsid w:val="00C25B49"/>
    <w:rsid w:val="00C2775D"/>
    <w:rsid w:val="00C3267B"/>
    <w:rsid w:val="00C32878"/>
    <w:rsid w:val="00C408B5"/>
    <w:rsid w:val="00C44823"/>
    <w:rsid w:val="00C45B05"/>
    <w:rsid w:val="00C503D0"/>
    <w:rsid w:val="00C52655"/>
    <w:rsid w:val="00C537AE"/>
    <w:rsid w:val="00C5687A"/>
    <w:rsid w:val="00C603AF"/>
    <w:rsid w:val="00C668E3"/>
    <w:rsid w:val="00C7753B"/>
    <w:rsid w:val="00C834D1"/>
    <w:rsid w:val="00CA3710"/>
    <w:rsid w:val="00CA494E"/>
    <w:rsid w:val="00CB7E41"/>
    <w:rsid w:val="00CC3D2A"/>
    <w:rsid w:val="00CC6F19"/>
    <w:rsid w:val="00CD2D09"/>
    <w:rsid w:val="00CE5657"/>
    <w:rsid w:val="00CE7A3E"/>
    <w:rsid w:val="00CF0427"/>
    <w:rsid w:val="00D0567E"/>
    <w:rsid w:val="00D133F8"/>
    <w:rsid w:val="00D14A3E"/>
    <w:rsid w:val="00D14D3F"/>
    <w:rsid w:val="00D207F5"/>
    <w:rsid w:val="00D42BE7"/>
    <w:rsid w:val="00D4595F"/>
    <w:rsid w:val="00D47380"/>
    <w:rsid w:val="00D544BD"/>
    <w:rsid w:val="00D54CDF"/>
    <w:rsid w:val="00D54E34"/>
    <w:rsid w:val="00D736D8"/>
    <w:rsid w:val="00D850DA"/>
    <w:rsid w:val="00D911C8"/>
    <w:rsid w:val="00D95266"/>
    <w:rsid w:val="00DA4273"/>
    <w:rsid w:val="00DB0C45"/>
    <w:rsid w:val="00DB0D04"/>
    <w:rsid w:val="00DB6C6F"/>
    <w:rsid w:val="00DC21D2"/>
    <w:rsid w:val="00DC5E0C"/>
    <w:rsid w:val="00DC7FF4"/>
    <w:rsid w:val="00DD4005"/>
    <w:rsid w:val="00DE3535"/>
    <w:rsid w:val="00DE45B8"/>
    <w:rsid w:val="00DE60C3"/>
    <w:rsid w:val="00DF364A"/>
    <w:rsid w:val="00DF3EB4"/>
    <w:rsid w:val="00E01500"/>
    <w:rsid w:val="00E048E8"/>
    <w:rsid w:val="00E04994"/>
    <w:rsid w:val="00E12E13"/>
    <w:rsid w:val="00E20BBB"/>
    <w:rsid w:val="00E2559D"/>
    <w:rsid w:val="00E3306D"/>
    <w:rsid w:val="00E3716B"/>
    <w:rsid w:val="00E3727E"/>
    <w:rsid w:val="00E45E82"/>
    <w:rsid w:val="00E606D7"/>
    <w:rsid w:val="00E62C64"/>
    <w:rsid w:val="00E67A09"/>
    <w:rsid w:val="00E762F3"/>
    <w:rsid w:val="00E8138B"/>
    <w:rsid w:val="00E821AD"/>
    <w:rsid w:val="00E85187"/>
    <w:rsid w:val="00E8749E"/>
    <w:rsid w:val="00E90C01"/>
    <w:rsid w:val="00E97C53"/>
    <w:rsid w:val="00EA486E"/>
    <w:rsid w:val="00EA55BC"/>
    <w:rsid w:val="00EC2ABB"/>
    <w:rsid w:val="00ED130A"/>
    <w:rsid w:val="00ED346E"/>
    <w:rsid w:val="00EE0B2F"/>
    <w:rsid w:val="00EF24F0"/>
    <w:rsid w:val="00F03325"/>
    <w:rsid w:val="00F05F3E"/>
    <w:rsid w:val="00F143D0"/>
    <w:rsid w:val="00F16ACB"/>
    <w:rsid w:val="00F33225"/>
    <w:rsid w:val="00F418B0"/>
    <w:rsid w:val="00F5468B"/>
    <w:rsid w:val="00F54BA8"/>
    <w:rsid w:val="00F57B0C"/>
    <w:rsid w:val="00F73145"/>
    <w:rsid w:val="00F74181"/>
    <w:rsid w:val="00F75E28"/>
    <w:rsid w:val="00F96D03"/>
    <w:rsid w:val="00FA3859"/>
    <w:rsid w:val="00FC347A"/>
    <w:rsid w:val="00FC623E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B3E61"/>
  <w15:docId w15:val="{1255FA11-A6BA-44DE-AA6D-8C926C7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Bezatstarpm">
    <w:name w:val="No Spacing"/>
    <w:uiPriority w:val="99"/>
    <w:qFormat/>
    <w:rsid w:val="00402C1C"/>
    <w:pPr>
      <w:spacing w:after="0" w:line="240" w:lineRule="auto"/>
    </w:pPr>
    <w:rPr>
      <w:rFonts w:ascii="Calibri" w:eastAsia="Calibri" w:hAnsi="Calibri" w:cs="Times New Roman"/>
    </w:rPr>
  </w:style>
  <w:style w:type="character" w:styleId="Izteiksmgs">
    <w:name w:val="Strong"/>
    <w:qFormat/>
    <w:rsid w:val="00402C1C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8224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24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24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24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246A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9E2AFB"/>
    <w:pPr>
      <w:ind w:left="720"/>
      <w:contextualSpacing/>
    </w:pPr>
  </w:style>
  <w:style w:type="paragraph" w:styleId="Prskatjums">
    <w:name w:val="Revision"/>
    <w:hidden/>
    <w:uiPriority w:val="99"/>
    <w:semiHidden/>
    <w:rsid w:val="00D54CDF"/>
    <w:pPr>
      <w:spacing w:after="0" w:line="240" w:lineRule="auto"/>
    </w:pPr>
  </w:style>
  <w:style w:type="table" w:customStyle="1" w:styleId="Reatabula1">
    <w:name w:val="Režģa tabula1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67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EB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2132">
    <w:name w:val="tv2132"/>
    <w:basedOn w:val="Parasts"/>
    <w:rsid w:val="005F395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84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Magone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9129</Words>
  <Characters>5204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2010.gada 28.decembra noteikumos Nr.1229 „Noteikumi par šķirnes atšķirīguma, viendabīguma un stabilitātes pārbaudi”” sākotnējās ietekmes novērtējuma ziņojums (anotācija)</vt:lpstr>
      <vt:lpstr>Ministru kabineta noteikumu projekta „Grozījumi Ministru kabineta 2010.gada 28.decembra noteikumos Nr.1229 „Noteikumi par šķirnes atšķirīguma, viendabīguma un stabilitātes pārbaudi”” sākotnējās ietekmes novērtējuma ziņojums (anotācija)</vt:lpstr>
    </vt:vector>
  </TitlesOfParts>
  <Company>Zemkopības ministrija</Company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28.decembra noteikumos Nr.1229 „Noteikumi par šķirnes atšķirīguma, viendabīguma un stabilitātes pārbaudi”” sākotnējās ietekmes novērtējuma ziņojums (anotācija)</dc:title>
  <dc:subject>Anotācija</dc:subject>
  <dc:creator>Ilze Magone</dc:creator>
  <dc:description>Magone 67027258_x000d_
Ilze.Magone@zm.gov.lv</dc:description>
  <cp:lastModifiedBy>Ilva Elksne</cp:lastModifiedBy>
  <cp:revision>5</cp:revision>
  <cp:lastPrinted>2019-06-06T10:44:00Z</cp:lastPrinted>
  <dcterms:created xsi:type="dcterms:W3CDTF">2019-06-17T10:45:00Z</dcterms:created>
  <dcterms:modified xsi:type="dcterms:W3CDTF">2019-06-17T13:01:00Z</dcterms:modified>
</cp:coreProperties>
</file>