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18ABA" w14:textId="34C42383" w:rsidR="00A64BAF" w:rsidRPr="00083A37" w:rsidRDefault="00A64BAF" w:rsidP="00A64BAF">
      <w:pPr>
        <w:spacing w:after="0" w:line="240" w:lineRule="auto"/>
        <w:jc w:val="both"/>
        <w:rPr>
          <w:rFonts w:ascii="Times New Roman" w:eastAsia="Times New Roman" w:hAnsi="Times New Roman" w:cs="Times New Roman"/>
          <w:sz w:val="28"/>
          <w:szCs w:val="28"/>
          <w:lang w:eastAsia="lv-LV"/>
        </w:rPr>
      </w:pPr>
      <w:r w:rsidRPr="00083A37">
        <w:rPr>
          <w:rFonts w:ascii="Times New Roman" w:eastAsia="Times New Roman" w:hAnsi="Times New Roman" w:cs="Times New Roman"/>
          <w:sz w:val="28"/>
          <w:szCs w:val="28"/>
          <w:lang w:eastAsia="lv-LV"/>
        </w:rPr>
        <w:t>2019. gada   . jūlijs</w:t>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00820993">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t>Noteikumi Nr.</w:t>
      </w:r>
    </w:p>
    <w:p w14:paraId="60F3B365" w14:textId="0EB437A0" w:rsidR="00A64BAF" w:rsidRPr="00083A37" w:rsidRDefault="00A64BAF" w:rsidP="00A64BAF">
      <w:pPr>
        <w:spacing w:after="0" w:line="240" w:lineRule="auto"/>
        <w:jc w:val="both"/>
        <w:rPr>
          <w:rFonts w:ascii="Times New Roman" w:eastAsia="Times New Roman" w:hAnsi="Times New Roman" w:cs="Times New Roman"/>
          <w:sz w:val="28"/>
          <w:szCs w:val="28"/>
          <w:lang w:eastAsia="lv-LV"/>
        </w:rPr>
      </w:pPr>
      <w:r w:rsidRPr="00083A37">
        <w:rPr>
          <w:rFonts w:ascii="Times New Roman" w:eastAsia="Times New Roman" w:hAnsi="Times New Roman" w:cs="Times New Roman"/>
          <w:sz w:val="28"/>
          <w:szCs w:val="28"/>
          <w:lang w:eastAsia="lv-LV"/>
        </w:rPr>
        <w:t>Rīgā</w:t>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00820993">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t>(prot. Nr.</w:t>
      </w:r>
      <w:r w:rsidRPr="00083A37">
        <w:rPr>
          <w:rFonts w:ascii="Times New Roman" w:eastAsia="Times New Roman" w:hAnsi="Times New Roman" w:cs="Times New Roman"/>
          <w:sz w:val="28"/>
          <w:szCs w:val="28"/>
          <w:lang w:eastAsia="lv-LV"/>
        </w:rPr>
        <w:tab/>
        <w:t>.§)</w:t>
      </w:r>
    </w:p>
    <w:p w14:paraId="003621E1" w14:textId="4A741505" w:rsidR="00A64BAF" w:rsidRPr="00083A37" w:rsidRDefault="00820993" w:rsidP="00A64BAF">
      <w:pPr>
        <w:spacing w:before="100" w:beforeAutospacing="1" w:after="100" w:afterAutospacing="1" w:line="240" w:lineRule="auto"/>
        <w:jc w:val="both"/>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ab/>
      </w:r>
    </w:p>
    <w:p w14:paraId="37BE75B4" w14:textId="77777777" w:rsidR="00A64BAF" w:rsidRPr="00083A37" w:rsidRDefault="00A64BAF" w:rsidP="00A64BAF">
      <w:pPr>
        <w:spacing w:before="100" w:beforeAutospacing="1" w:after="100" w:afterAutospacing="1" w:line="240" w:lineRule="auto"/>
        <w:jc w:val="center"/>
        <w:rPr>
          <w:rFonts w:ascii="Times New Roman" w:eastAsia="Times New Roman" w:hAnsi="Times New Roman" w:cs="Times New Roman"/>
          <w:b/>
          <w:bCs/>
          <w:noProof/>
          <w:sz w:val="28"/>
          <w:szCs w:val="28"/>
        </w:rPr>
      </w:pPr>
      <w:r w:rsidRPr="00083A37">
        <w:rPr>
          <w:rFonts w:ascii="Times New Roman" w:eastAsia="Times New Roman" w:hAnsi="Times New Roman" w:cs="Times New Roman"/>
          <w:b/>
          <w:bCs/>
          <w:noProof/>
          <w:sz w:val="28"/>
          <w:szCs w:val="28"/>
        </w:rPr>
        <w:t>Grozījumi Ministru kabineta 2009. gada 15. septembra noteikumos Nr. 1056 "Lauksaimniecības produktu integrētās audzēšanas, uzglabāšanas un marķēšanas prasības un kontroles kārtība"</w:t>
      </w:r>
    </w:p>
    <w:p w14:paraId="20B64061" w14:textId="77777777" w:rsidR="00A64BAF" w:rsidRPr="00083A37" w:rsidRDefault="00A64BAF" w:rsidP="00A64BAF">
      <w:pPr>
        <w:spacing w:before="100" w:beforeAutospacing="1" w:after="100" w:afterAutospacing="1" w:line="240" w:lineRule="auto"/>
        <w:jc w:val="center"/>
        <w:rPr>
          <w:rFonts w:ascii="Times New Roman" w:eastAsia="Times New Roman" w:hAnsi="Times New Roman" w:cs="Times New Roman"/>
          <w:bCs/>
          <w:noProof/>
          <w:sz w:val="28"/>
          <w:szCs w:val="28"/>
        </w:rPr>
      </w:pPr>
    </w:p>
    <w:p w14:paraId="0AD07DC4" w14:textId="77777777" w:rsidR="00A64BAF" w:rsidRPr="00083A37" w:rsidRDefault="00A64BAF" w:rsidP="00A64BAF">
      <w:pPr>
        <w:spacing w:after="0" w:line="240" w:lineRule="auto"/>
        <w:ind w:firstLine="720"/>
        <w:jc w:val="right"/>
        <w:rPr>
          <w:rFonts w:ascii="Times New Roman" w:eastAsia="Times New Roman" w:hAnsi="Times New Roman" w:cs="Times New Roman"/>
          <w:noProof/>
          <w:sz w:val="28"/>
          <w:szCs w:val="28"/>
        </w:rPr>
      </w:pPr>
      <w:r w:rsidRPr="00083A37">
        <w:rPr>
          <w:rFonts w:ascii="Times New Roman" w:eastAsia="Times New Roman" w:hAnsi="Times New Roman" w:cs="Times New Roman"/>
          <w:noProof/>
          <w:sz w:val="28"/>
          <w:szCs w:val="28"/>
        </w:rPr>
        <w:t>Izdoti saskaņā ar</w:t>
      </w:r>
    </w:p>
    <w:p w14:paraId="7B758857" w14:textId="77777777" w:rsidR="00A64BAF" w:rsidRPr="00083A37" w:rsidRDefault="00A64BAF" w:rsidP="00A64BAF">
      <w:pPr>
        <w:spacing w:after="0" w:line="240" w:lineRule="auto"/>
        <w:ind w:firstLine="720"/>
        <w:jc w:val="right"/>
        <w:rPr>
          <w:rFonts w:ascii="Times New Roman" w:eastAsia="Times New Roman" w:hAnsi="Times New Roman" w:cs="Times New Roman"/>
          <w:noProof/>
          <w:sz w:val="28"/>
          <w:szCs w:val="28"/>
        </w:rPr>
      </w:pPr>
      <w:r w:rsidRPr="00083A37">
        <w:rPr>
          <w:rFonts w:ascii="Times New Roman" w:eastAsia="Times New Roman" w:hAnsi="Times New Roman" w:cs="Times New Roman"/>
          <w:noProof/>
          <w:sz w:val="28"/>
          <w:szCs w:val="28"/>
        </w:rPr>
        <w:t>Lauksaimniecības un lauku attīstības likuma</w:t>
      </w:r>
    </w:p>
    <w:p w14:paraId="66FC5E06" w14:textId="77777777" w:rsidR="00A64BAF" w:rsidRPr="00083A37" w:rsidRDefault="00A64BAF" w:rsidP="00A64BAF">
      <w:pPr>
        <w:spacing w:after="0" w:line="240" w:lineRule="auto"/>
        <w:ind w:firstLine="720"/>
        <w:jc w:val="right"/>
        <w:rPr>
          <w:rFonts w:ascii="Times New Roman" w:eastAsia="Times New Roman" w:hAnsi="Times New Roman" w:cs="Times New Roman"/>
          <w:noProof/>
          <w:sz w:val="28"/>
          <w:szCs w:val="28"/>
        </w:rPr>
      </w:pPr>
      <w:r w:rsidRPr="00083A37">
        <w:rPr>
          <w:rFonts w:ascii="Times New Roman" w:eastAsia="Times New Roman" w:hAnsi="Times New Roman" w:cs="Times New Roman"/>
          <w:noProof/>
          <w:sz w:val="28"/>
          <w:szCs w:val="28"/>
        </w:rPr>
        <w:t xml:space="preserve"> 11. panta trešās daļas 3. punktu un</w:t>
      </w:r>
    </w:p>
    <w:p w14:paraId="7AB00616" w14:textId="77777777" w:rsidR="00A64BAF" w:rsidRPr="00083A37" w:rsidRDefault="00A64BAF" w:rsidP="00A64BAF">
      <w:pPr>
        <w:spacing w:after="0" w:line="240" w:lineRule="auto"/>
        <w:ind w:firstLine="720"/>
        <w:jc w:val="right"/>
        <w:rPr>
          <w:rFonts w:ascii="Times New Roman" w:eastAsia="Times New Roman" w:hAnsi="Times New Roman" w:cs="Times New Roman"/>
          <w:noProof/>
          <w:sz w:val="28"/>
          <w:szCs w:val="28"/>
        </w:rPr>
      </w:pPr>
      <w:r w:rsidRPr="00083A37">
        <w:rPr>
          <w:rFonts w:ascii="Times New Roman" w:eastAsia="Times New Roman" w:hAnsi="Times New Roman" w:cs="Times New Roman"/>
          <w:noProof/>
          <w:sz w:val="28"/>
          <w:szCs w:val="28"/>
        </w:rPr>
        <w:t>Augu aizsardzības likuma</w:t>
      </w:r>
    </w:p>
    <w:p w14:paraId="4DE66823" w14:textId="77777777" w:rsidR="00A64BAF" w:rsidRPr="00083A37" w:rsidRDefault="00A64BAF" w:rsidP="00A64BAF">
      <w:pPr>
        <w:spacing w:after="0" w:line="240" w:lineRule="auto"/>
        <w:ind w:firstLine="720"/>
        <w:jc w:val="right"/>
        <w:rPr>
          <w:rFonts w:ascii="Times New Roman" w:eastAsia="Times New Roman" w:hAnsi="Times New Roman" w:cs="Times New Roman"/>
          <w:noProof/>
          <w:sz w:val="28"/>
          <w:szCs w:val="28"/>
        </w:rPr>
      </w:pPr>
      <w:r w:rsidRPr="00083A37">
        <w:rPr>
          <w:rFonts w:ascii="Times New Roman" w:eastAsia="Times New Roman" w:hAnsi="Times New Roman" w:cs="Times New Roman"/>
          <w:noProof/>
          <w:sz w:val="28"/>
          <w:szCs w:val="28"/>
        </w:rPr>
        <w:t xml:space="preserve">5. panta 5. punktu </w:t>
      </w:r>
    </w:p>
    <w:p w14:paraId="1B35E128" w14:textId="77777777" w:rsidR="00A64BAF" w:rsidRPr="00083A37" w:rsidRDefault="00A64BAF" w:rsidP="00A64BAF">
      <w:pPr>
        <w:spacing w:after="0" w:line="240" w:lineRule="auto"/>
        <w:jc w:val="both"/>
        <w:rPr>
          <w:rFonts w:ascii="Times New Roman" w:eastAsia="Times New Roman" w:hAnsi="Times New Roman" w:cs="Times New Roman"/>
          <w:noProof/>
          <w:sz w:val="28"/>
          <w:szCs w:val="28"/>
        </w:rPr>
      </w:pPr>
    </w:p>
    <w:p w14:paraId="7D0B7838" w14:textId="77777777" w:rsidR="00A64BAF" w:rsidRPr="00083A37" w:rsidRDefault="00A64BAF" w:rsidP="00A64BAF">
      <w:pPr>
        <w:spacing w:after="0" w:line="240" w:lineRule="auto"/>
        <w:ind w:firstLine="720"/>
        <w:jc w:val="both"/>
        <w:rPr>
          <w:rFonts w:ascii="Times New Roman" w:eastAsia="Times New Roman" w:hAnsi="Times New Roman" w:cs="Times New Roman"/>
          <w:noProof/>
          <w:sz w:val="28"/>
          <w:szCs w:val="28"/>
        </w:rPr>
      </w:pPr>
      <w:r w:rsidRPr="00083A37">
        <w:rPr>
          <w:rFonts w:ascii="Times New Roman" w:eastAsia="Times New Roman" w:hAnsi="Times New Roman" w:cs="Times New Roman"/>
          <w:noProof/>
          <w:sz w:val="28"/>
          <w:szCs w:val="28"/>
        </w:rPr>
        <w:t xml:space="preserve">1. Izdarīt Ministru kabineta 2009. gada 15.septembra noteikumos Nr. 1056 </w:t>
      </w:r>
      <w:r w:rsidRPr="00083A37">
        <w:rPr>
          <w:rFonts w:ascii="Times New Roman" w:eastAsia="Times New Roman" w:hAnsi="Times New Roman" w:cs="Times New Roman"/>
          <w:bCs/>
          <w:noProof/>
          <w:sz w:val="28"/>
          <w:szCs w:val="28"/>
        </w:rPr>
        <w:t>"Lauksaimniecības produktu integrētās audzēšanas, uzglabāšanas un marķēšanas prasības un kontroles kārtība"</w:t>
      </w:r>
      <w:r w:rsidRPr="00083A37">
        <w:rPr>
          <w:rFonts w:ascii="Times New Roman" w:eastAsia="Times New Roman" w:hAnsi="Times New Roman" w:cs="Times New Roman"/>
          <w:noProof/>
          <w:sz w:val="28"/>
          <w:szCs w:val="28"/>
        </w:rPr>
        <w:t xml:space="preserve"> (Latvijas Vēstnesis, 2009, 149. nr.; 2010, 93. nr.; 2012, 99. nr.; 2013, 129. nr.; 2014, 110. nr.;  2016, 117. nr.; 2018, 147. nr.) šādus grozījumus:</w:t>
      </w:r>
    </w:p>
    <w:p w14:paraId="3C10017E" w14:textId="77777777" w:rsidR="00A64BAF" w:rsidRPr="00083A37" w:rsidRDefault="00A64BAF" w:rsidP="00A64BAF">
      <w:pPr>
        <w:spacing w:after="200" w:line="276" w:lineRule="auto"/>
        <w:jc w:val="both"/>
        <w:rPr>
          <w:rFonts w:ascii="Times New Roman" w:eastAsia="Calibri" w:hAnsi="Times New Roman" w:cs="Times New Roman"/>
          <w:sz w:val="28"/>
          <w:szCs w:val="28"/>
        </w:rPr>
      </w:pPr>
    </w:p>
    <w:p w14:paraId="4D161012" w14:textId="3FCFD64D" w:rsidR="00A64BAF" w:rsidRPr="00083A37" w:rsidRDefault="00A64BAF" w:rsidP="00A64BAF">
      <w:pPr>
        <w:spacing w:after="200" w:line="276" w:lineRule="auto"/>
        <w:jc w:val="both"/>
        <w:rPr>
          <w:rFonts w:ascii="Times New Roman" w:eastAsia="Calibri" w:hAnsi="Times New Roman" w:cs="Times New Roman"/>
          <w:sz w:val="28"/>
          <w:szCs w:val="28"/>
        </w:rPr>
      </w:pPr>
      <w:r w:rsidRPr="00083A37">
        <w:rPr>
          <w:rFonts w:ascii="Times New Roman" w:eastAsia="Calibri" w:hAnsi="Times New Roman" w:cs="Times New Roman"/>
          <w:sz w:val="28"/>
          <w:szCs w:val="28"/>
        </w:rPr>
        <w:t>1.1. papildināt noteikumus ar 33.</w:t>
      </w:r>
      <w:r w:rsidRPr="00083A37">
        <w:rPr>
          <w:rFonts w:ascii="Times New Roman" w:eastAsia="Calibri" w:hAnsi="Times New Roman" w:cs="Times New Roman"/>
          <w:sz w:val="28"/>
          <w:szCs w:val="28"/>
          <w:vertAlign w:val="superscript"/>
        </w:rPr>
        <w:t>1</w:t>
      </w:r>
      <w:r w:rsidRPr="00083A37">
        <w:rPr>
          <w:rFonts w:ascii="Times New Roman" w:eastAsia="Calibri" w:hAnsi="Times New Roman" w:cs="Times New Roman"/>
          <w:sz w:val="28"/>
          <w:szCs w:val="28"/>
        </w:rPr>
        <w:t xml:space="preserve"> </w:t>
      </w:r>
      <w:r w:rsidR="00EB230C" w:rsidRPr="00083A37">
        <w:rPr>
          <w:rFonts w:ascii="Times New Roman" w:eastAsia="Calibri" w:hAnsi="Times New Roman" w:cs="Times New Roman"/>
          <w:sz w:val="28"/>
          <w:szCs w:val="28"/>
        </w:rPr>
        <w:t>un 33.</w:t>
      </w:r>
      <w:r w:rsidR="00EB230C" w:rsidRPr="00083A37">
        <w:rPr>
          <w:rFonts w:ascii="Times New Roman" w:eastAsia="Calibri" w:hAnsi="Times New Roman" w:cs="Times New Roman"/>
          <w:sz w:val="28"/>
          <w:szCs w:val="28"/>
          <w:vertAlign w:val="superscript"/>
        </w:rPr>
        <w:t xml:space="preserve">2 </w:t>
      </w:r>
      <w:r w:rsidRPr="00083A37">
        <w:rPr>
          <w:rFonts w:ascii="Times New Roman" w:eastAsia="Calibri" w:hAnsi="Times New Roman" w:cs="Times New Roman"/>
          <w:sz w:val="28"/>
          <w:szCs w:val="28"/>
        </w:rPr>
        <w:t>punktu šādā redakcijā:</w:t>
      </w:r>
    </w:p>
    <w:p w14:paraId="62735F73" w14:textId="79553A3F" w:rsidR="00A64BAF" w:rsidRPr="00083A37" w:rsidRDefault="00903669" w:rsidP="00A64BAF">
      <w:pPr>
        <w:spacing w:after="0" w:line="240" w:lineRule="auto"/>
        <w:ind w:left="142" w:firstLine="284"/>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w:t>
      </w:r>
      <w:r w:rsidR="00A64BAF" w:rsidRPr="00083A37">
        <w:rPr>
          <w:rFonts w:ascii="Times New Roman" w:eastAsia="Arial Unicode MS" w:hAnsi="Times New Roman" w:cs="Times New Roman"/>
          <w:sz w:val="28"/>
          <w:szCs w:val="28"/>
        </w:rPr>
        <w:t>3</w:t>
      </w:r>
      <w:r w:rsidR="002D0AC6" w:rsidRPr="00083A37">
        <w:rPr>
          <w:rFonts w:ascii="Times New Roman" w:eastAsia="Arial Unicode MS" w:hAnsi="Times New Roman" w:cs="Times New Roman"/>
          <w:sz w:val="28"/>
          <w:szCs w:val="28"/>
        </w:rPr>
        <w:t>3</w:t>
      </w:r>
      <w:r w:rsidR="00A64BAF" w:rsidRPr="00083A37">
        <w:rPr>
          <w:rFonts w:ascii="Times New Roman" w:eastAsia="Arial Unicode MS" w:hAnsi="Times New Roman" w:cs="Times New Roman"/>
          <w:sz w:val="28"/>
          <w:szCs w:val="28"/>
        </w:rPr>
        <w:t>.</w:t>
      </w:r>
      <w:r w:rsidR="00A64BAF" w:rsidRPr="00083A37">
        <w:rPr>
          <w:rFonts w:ascii="Times New Roman" w:eastAsia="Arial Unicode MS" w:hAnsi="Times New Roman" w:cs="Times New Roman"/>
          <w:sz w:val="28"/>
          <w:szCs w:val="28"/>
          <w:vertAlign w:val="superscript"/>
        </w:rPr>
        <w:t>1</w:t>
      </w:r>
      <w:r w:rsidR="00A64BAF" w:rsidRPr="00083A37">
        <w:rPr>
          <w:rFonts w:ascii="Calibri" w:eastAsia="Calibri" w:hAnsi="Calibri" w:cs="Times New Roman"/>
          <w:sz w:val="28"/>
          <w:szCs w:val="28"/>
        </w:rPr>
        <w:t xml:space="preserve"> </w:t>
      </w:r>
      <w:r w:rsidR="00A64BAF" w:rsidRPr="00083A37">
        <w:rPr>
          <w:rFonts w:ascii="Times New Roman" w:eastAsia="Calibri" w:hAnsi="Times New Roman" w:cs="Times New Roman"/>
          <w:sz w:val="28"/>
          <w:szCs w:val="28"/>
        </w:rPr>
        <w:t>Dienests aprēķina</w:t>
      </w:r>
      <w:r w:rsidR="00A64BAF" w:rsidRPr="00083A37">
        <w:rPr>
          <w:rFonts w:ascii="Calibri" w:eastAsia="Calibri" w:hAnsi="Calibri" w:cs="Times New Roman"/>
          <w:sz w:val="28"/>
          <w:szCs w:val="28"/>
        </w:rPr>
        <w:t xml:space="preserve"> </w:t>
      </w:r>
      <w:r w:rsidR="00A64BAF" w:rsidRPr="00083A37">
        <w:rPr>
          <w:rFonts w:ascii="Times New Roman" w:eastAsia="Arial Unicode MS" w:hAnsi="Times New Roman" w:cs="Times New Roman"/>
          <w:sz w:val="28"/>
          <w:szCs w:val="28"/>
        </w:rPr>
        <w:t>saskaņoto riska indikatoru Nr. 1 saskaņā ar šo noteikumu 2.</w:t>
      </w:r>
      <w:r w:rsidR="00A64BAF" w:rsidRPr="00083A37">
        <w:rPr>
          <w:rFonts w:ascii="Times New Roman" w:eastAsia="Arial Unicode MS" w:hAnsi="Times New Roman" w:cs="Times New Roman"/>
          <w:sz w:val="28"/>
          <w:szCs w:val="28"/>
          <w:vertAlign w:val="superscript"/>
        </w:rPr>
        <w:t>1</w:t>
      </w:r>
      <w:r w:rsidR="00A64BAF" w:rsidRPr="00083A37">
        <w:rPr>
          <w:rFonts w:ascii="Times New Roman" w:eastAsia="Arial Unicode MS" w:hAnsi="Times New Roman" w:cs="Times New Roman"/>
          <w:sz w:val="28"/>
          <w:szCs w:val="28"/>
        </w:rPr>
        <w:t xml:space="preserve"> pielikuma 2. iedaļu un saskaņoto riska indikatoru Nr. 2 - saskaņā ar šo noteikumu 2.</w:t>
      </w:r>
      <w:r w:rsidR="00A64BAF" w:rsidRPr="00083A37">
        <w:rPr>
          <w:rFonts w:ascii="Times New Roman" w:eastAsia="Arial Unicode MS" w:hAnsi="Times New Roman" w:cs="Times New Roman"/>
          <w:sz w:val="28"/>
          <w:szCs w:val="28"/>
          <w:vertAlign w:val="superscript"/>
        </w:rPr>
        <w:t>1</w:t>
      </w:r>
      <w:r w:rsidR="00A64BAF" w:rsidRPr="00083A37">
        <w:rPr>
          <w:rFonts w:ascii="Times New Roman" w:eastAsia="Arial Unicode MS" w:hAnsi="Times New Roman" w:cs="Times New Roman"/>
          <w:sz w:val="28"/>
          <w:szCs w:val="28"/>
        </w:rPr>
        <w:t xml:space="preserve"> pielikuma 3. iedaļu.</w:t>
      </w:r>
    </w:p>
    <w:p w14:paraId="7F21A19B" w14:textId="77777777" w:rsidR="00A64BAF" w:rsidRPr="00083A37" w:rsidRDefault="00A64BAF" w:rsidP="00A64BAF">
      <w:pPr>
        <w:spacing w:after="0" w:line="240" w:lineRule="auto"/>
        <w:ind w:left="142" w:firstLine="284"/>
        <w:jc w:val="both"/>
        <w:rPr>
          <w:rFonts w:ascii="Times New Roman" w:eastAsia="Arial Unicode MS" w:hAnsi="Times New Roman" w:cs="Times New Roman"/>
          <w:sz w:val="28"/>
          <w:szCs w:val="28"/>
        </w:rPr>
      </w:pPr>
    </w:p>
    <w:p w14:paraId="4841A78D" w14:textId="0F840AF6" w:rsidR="00A64BAF" w:rsidRPr="00083A37" w:rsidRDefault="00A64BAF" w:rsidP="00A64BAF">
      <w:pPr>
        <w:spacing w:after="0" w:line="240" w:lineRule="auto"/>
        <w:ind w:left="142" w:firstLine="284"/>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3</w:t>
      </w:r>
      <w:r w:rsidR="002D0AC6" w:rsidRPr="00083A37">
        <w:rPr>
          <w:rFonts w:ascii="Times New Roman" w:eastAsia="Arial Unicode MS" w:hAnsi="Times New Roman" w:cs="Times New Roman"/>
          <w:sz w:val="28"/>
          <w:szCs w:val="28"/>
        </w:rPr>
        <w:t>3</w:t>
      </w:r>
      <w:r w:rsidRPr="00083A37">
        <w:rPr>
          <w:rFonts w:ascii="Times New Roman" w:eastAsia="Arial Unicode MS" w:hAnsi="Times New Roman" w:cs="Times New Roman"/>
          <w:sz w:val="28"/>
          <w:szCs w:val="28"/>
        </w:rPr>
        <w:t>.</w:t>
      </w:r>
      <w:r w:rsidR="002D0AC6" w:rsidRPr="00083A37">
        <w:rPr>
          <w:rFonts w:ascii="Times New Roman" w:eastAsia="Arial Unicode MS" w:hAnsi="Times New Roman" w:cs="Times New Roman"/>
          <w:sz w:val="28"/>
          <w:szCs w:val="28"/>
          <w:vertAlign w:val="superscript"/>
        </w:rPr>
        <w:t>2</w:t>
      </w:r>
      <w:r w:rsidRPr="00083A37">
        <w:rPr>
          <w:rFonts w:ascii="Times New Roman" w:eastAsia="Arial Unicode MS" w:hAnsi="Times New Roman" w:cs="Times New Roman"/>
          <w:sz w:val="28"/>
          <w:szCs w:val="28"/>
        </w:rPr>
        <w:t xml:space="preserve"> Saskaņotos riska indikatorus dienests aprēķina vienu reizi gadā, balstoties uz statistiku, kas iegūta saskaņā ar Eiropas Parlamenta un Padomes 2009. gada 25. novembra Regulu (EK) Nr. 1185/2009 attiecībā uz statistiku par pesticīdiem,</w:t>
      </w:r>
      <w:r w:rsidR="00EB230C" w:rsidRPr="00083A37">
        <w:rPr>
          <w:rFonts w:ascii="Times New Roman" w:eastAsia="Arial Unicode MS" w:hAnsi="Times New Roman" w:cs="Times New Roman"/>
          <w:sz w:val="28"/>
          <w:szCs w:val="28"/>
        </w:rPr>
        <w:t xml:space="preserve"> kā arī balstoties uz informāciju</w:t>
      </w:r>
      <w:r w:rsidRPr="00083A37">
        <w:rPr>
          <w:rFonts w:ascii="Times New Roman" w:eastAsia="Arial Unicode MS" w:hAnsi="Times New Roman" w:cs="Times New Roman"/>
          <w:sz w:val="28"/>
          <w:szCs w:val="28"/>
        </w:rPr>
        <w:t xml:space="preserve"> par darbīgajām vielām</w:t>
      </w:r>
      <w:r w:rsidR="00EB230C" w:rsidRPr="00083A37">
        <w:rPr>
          <w:rFonts w:ascii="Times New Roman" w:eastAsia="Arial Unicode MS" w:hAnsi="Times New Roman" w:cs="Times New Roman"/>
          <w:sz w:val="28"/>
          <w:szCs w:val="28"/>
        </w:rPr>
        <w:t>, kas iegūta</w:t>
      </w:r>
      <w:r w:rsidRPr="00083A37">
        <w:rPr>
          <w:rFonts w:ascii="Times New Roman" w:eastAsia="Arial Unicode MS" w:hAnsi="Times New Roman" w:cs="Times New Roman"/>
          <w:sz w:val="28"/>
          <w:szCs w:val="28"/>
        </w:rPr>
        <w:t xml:space="preserve"> saskaņā </w:t>
      </w:r>
      <w:r w:rsidR="00EB230C" w:rsidRPr="00083A37">
        <w:rPr>
          <w:rFonts w:ascii="Times New Roman" w:eastAsia="Arial Unicode MS" w:hAnsi="Times New Roman" w:cs="Times New Roman"/>
          <w:sz w:val="28"/>
          <w:szCs w:val="28"/>
        </w:rPr>
        <w:t>ar Eiropas Parlamenta un Padomes 2009.</w:t>
      </w:r>
      <w:r w:rsidR="00903669" w:rsidRPr="00083A37">
        <w:rPr>
          <w:rFonts w:ascii="Times New Roman" w:eastAsia="Arial Unicode MS" w:hAnsi="Times New Roman" w:cs="Times New Roman"/>
          <w:sz w:val="28"/>
          <w:szCs w:val="28"/>
        </w:rPr>
        <w:t xml:space="preserve"> </w:t>
      </w:r>
      <w:r w:rsidR="00EB230C" w:rsidRPr="00083A37">
        <w:rPr>
          <w:rFonts w:ascii="Times New Roman" w:eastAsia="Arial Unicode MS" w:hAnsi="Times New Roman" w:cs="Times New Roman"/>
          <w:sz w:val="28"/>
          <w:szCs w:val="28"/>
        </w:rPr>
        <w:t>gada 21.</w:t>
      </w:r>
      <w:r w:rsidR="00903669" w:rsidRPr="00083A37">
        <w:rPr>
          <w:rFonts w:ascii="Times New Roman" w:eastAsia="Arial Unicode MS" w:hAnsi="Times New Roman" w:cs="Times New Roman"/>
          <w:sz w:val="28"/>
          <w:szCs w:val="28"/>
        </w:rPr>
        <w:t xml:space="preserve"> </w:t>
      </w:r>
      <w:r w:rsidR="00EB230C" w:rsidRPr="00083A37">
        <w:rPr>
          <w:rFonts w:ascii="Times New Roman" w:eastAsia="Arial Unicode MS" w:hAnsi="Times New Roman" w:cs="Times New Roman"/>
          <w:sz w:val="28"/>
          <w:szCs w:val="28"/>
        </w:rPr>
        <w:t>oktobra R</w:t>
      </w:r>
      <w:r w:rsidRPr="00083A37">
        <w:rPr>
          <w:rFonts w:ascii="Times New Roman" w:eastAsia="Arial Unicode MS" w:hAnsi="Times New Roman" w:cs="Times New Roman"/>
          <w:sz w:val="28"/>
          <w:szCs w:val="28"/>
        </w:rPr>
        <w:t>egul</w:t>
      </w:r>
      <w:r w:rsidR="00EB230C" w:rsidRPr="00083A37">
        <w:rPr>
          <w:rFonts w:ascii="Times New Roman" w:eastAsia="Arial Unicode MS" w:hAnsi="Times New Roman" w:cs="Times New Roman"/>
          <w:sz w:val="28"/>
          <w:szCs w:val="28"/>
        </w:rPr>
        <w:t>u</w:t>
      </w:r>
      <w:r w:rsidR="0027478F" w:rsidRPr="00083A37">
        <w:rPr>
          <w:rFonts w:ascii="Times New Roman" w:eastAsia="Arial Unicode MS" w:hAnsi="Times New Roman" w:cs="Times New Roman"/>
          <w:sz w:val="28"/>
          <w:szCs w:val="28"/>
        </w:rPr>
        <w:t xml:space="preserve"> (EK)</w:t>
      </w:r>
      <w:r w:rsidRPr="00083A37">
        <w:rPr>
          <w:rFonts w:ascii="Times New Roman" w:eastAsia="Arial Unicode MS" w:hAnsi="Times New Roman" w:cs="Times New Roman"/>
          <w:sz w:val="28"/>
          <w:szCs w:val="28"/>
        </w:rPr>
        <w:t xml:space="preserve"> Nr. 1107/2009</w:t>
      </w:r>
      <w:r w:rsidR="00903669" w:rsidRPr="00083A37">
        <w:rPr>
          <w:rFonts w:ascii="Times New Roman" w:eastAsia="Arial Unicode MS" w:hAnsi="Times New Roman" w:cs="Times New Roman"/>
          <w:sz w:val="28"/>
          <w:szCs w:val="28"/>
        </w:rPr>
        <w:t xml:space="preserve"> par augu aizsardzības līdzekļu laišanu tirgū, ar ko atceļ Padomes Direktīvas 79/117/EEK un 91/414/EEK</w:t>
      </w:r>
      <w:r w:rsidR="00EB230C" w:rsidRPr="00083A37">
        <w:rPr>
          <w:rFonts w:ascii="Times New Roman" w:eastAsia="Arial Unicode MS" w:hAnsi="Times New Roman" w:cs="Times New Roman"/>
          <w:sz w:val="28"/>
          <w:szCs w:val="28"/>
        </w:rPr>
        <w:t>. Dienests</w:t>
      </w:r>
      <w:r w:rsidRPr="00083A37">
        <w:rPr>
          <w:rFonts w:ascii="Times New Roman" w:eastAsia="Arial Unicode MS" w:hAnsi="Times New Roman" w:cs="Times New Roman"/>
          <w:sz w:val="28"/>
          <w:szCs w:val="28"/>
        </w:rPr>
        <w:t xml:space="preserve"> publicē </w:t>
      </w:r>
      <w:r w:rsidR="00EB230C" w:rsidRPr="00083A37">
        <w:rPr>
          <w:rFonts w:ascii="Times New Roman" w:eastAsia="Arial Unicode MS" w:hAnsi="Times New Roman" w:cs="Times New Roman"/>
          <w:sz w:val="28"/>
          <w:szCs w:val="28"/>
        </w:rPr>
        <w:t xml:space="preserve">saskaņotos riska indikatorus </w:t>
      </w:r>
      <w:r w:rsidRPr="00083A37">
        <w:rPr>
          <w:rFonts w:ascii="Times New Roman" w:eastAsia="Arial Unicode MS" w:hAnsi="Times New Roman" w:cs="Times New Roman"/>
          <w:sz w:val="28"/>
          <w:szCs w:val="28"/>
        </w:rPr>
        <w:t>ne vēlāk kā 20 mēnešus pēc attiecīgā atsauces gada beigām.”</w:t>
      </w:r>
    </w:p>
    <w:p w14:paraId="2ECB963C" w14:textId="77777777" w:rsidR="002D0AC6" w:rsidRPr="00083A37" w:rsidRDefault="002D0AC6" w:rsidP="00A64BAF">
      <w:pPr>
        <w:spacing w:after="0" w:line="240" w:lineRule="auto"/>
        <w:ind w:left="142" w:firstLine="284"/>
        <w:jc w:val="both"/>
        <w:rPr>
          <w:rFonts w:ascii="Times New Roman" w:eastAsia="Arial Unicode MS" w:hAnsi="Times New Roman" w:cs="Times New Roman"/>
          <w:sz w:val="28"/>
          <w:szCs w:val="28"/>
        </w:rPr>
      </w:pPr>
    </w:p>
    <w:p w14:paraId="19C5A9F6" w14:textId="77777777" w:rsidR="00A64BAF" w:rsidRPr="00083A37" w:rsidRDefault="00A64BAF" w:rsidP="00A64BAF">
      <w:pPr>
        <w:spacing w:before="100" w:beforeAutospacing="1"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1.2. izteikt informatīvo atsauci uz Eiropas Savienības direktīvām šādā redakcijā:</w:t>
      </w:r>
    </w:p>
    <w:p w14:paraId="1076CEE2" w14:textId="07D18D9F" w:rsidR="00EA627E" w:rsidRPr="00083A37" w:rsidRDefault="00A64BAF" w:rsidP="00783286">
      <w:pPr>
        <w:spacing w:before="100" w:beforeAutospacing="1" w:after="100" w:afterAutospacing="1" w:line="240" w:lineRule="auto"/>
        <w:jc w:val="center"/>
        <w:rPr>
          <w:rFonts w:ascii="Times New Roman" w:eastAsia="Times New Roman" w:hAnsi="Times New Roman" w:cs="Times New Roman"/>
          <w:b/>
          <w:sz w:val="28"/>
          <w:szCs w:val="28"/>
        </w:rPr>
      </w:pPr>
      <w:r w:rsidRPr="00083A37">
        <w:rPr>
          <w:rFonts w:ascii="Times New Roman" w:eastAsia="Times New Roman" w:hAnsi="Times New Roman" w:cs="Times New Roman"/>
          <w:sz w:val="28"/>
          <w:szCs w:val="28"/>
        </w:rPr>
        <w:lastRenderedPageBreak/>
        <w:t>“</w:t>
      </w:r>
      <w:r w:rsidR="00EA627E" w:rsidRPr="00083A37">
        <w:rPr>
          <w:rFonts w:ascii="Times New Roman" w:eastAsia="Times New Roman" w:hAnsi="Times New Roman" w:cs="Times New Roman"/>
          <w:b/>
          <w:sz w:val="28"/>
          <w:szCs w:val="28"/>
        </w:rPr>
        <w:t>Informatīva atsauce uz Eiropas Savienības direktīvām</w:t>
      </w:r>
    </w:p>
    <w:p w14:paraId="4F15FEC2" w14:textId="4C1B57EC" w:rsidR="00A64BAF" w:rsidRPr="00083A37" w:rsidRDefault="00A64BAF" w:rsidP="00A64BAF">
      <w:pPr>
        <w:spacing w:before="100" w:beforeAutospacing="1" w:after="100" w:afterAutospacing="1" w:line="240" w:lineRule="auto"/>
        <w:jc w:val="both"/>
        <w:rPr>
          <w:rFonts w:ascii="Times New Roman" w:eastAsia="Calibri" w:hAnsi="Times New Roman" w:cs="Times New Roman"/>
          <w:color w:val="414142"/>
          <w:sz w:val="28"/>
          <w:szCs w:val="28"/>
        </w:rPr>
      </w:pPr>
      <w:r w:rsidRPr="00083A37">
        <w:rPr>
          <w:rFonts w:ascii="Times New Roman" w:eastAsia="Times New Roman" w:hAnsi="Times New Roman" w:cs="Times New Roman"/>
          <w:sz w:val="28"/>
          <w:szCs w:val="28"/>
        </w:rPr>
        <w:t>Notei</w:t>
      </w:r>
      <w:r w:rsidRPr="00083A37">
        <w:rPr>
          <w:rFonts w:ascii="Times New Roman" w:eastAsia="Calibri" w:hAnsi="Times New Roman" w:cs="Times New Roman"/>
          <w:color w:val="414142"/>
          <w:sz w:val="28"/>
          <w:szCs w:val="28"/>
        </w:rPr>
        <w:t>kumos iekļautas tiesību normas, kas izriet no:</w:t>
      </w:r>
    </w:p>
    <w:p w14:paraId="19DB41C1" w14:textId="77777777" w:rsidR="00A64BAF" w:rsidRPr="00083A37" w:rsidRDefault="00A64BAF" w:rsidP="00A64BAF">
      <w:pPr>
        <w:spacing w:before="100" w:beforeAutospacing="1" w:after="100" w:afterAutospacing="1" w:line="240" w:lineRule="auto"/>
        <w:jc w:val="both"/>
        <w:rPr>
          <w:rFonts w:ascii="Times New Roman" w:eastAsia="Calibri" w:hAnsi="Times New Roman" w:cs="Times New Roman"/>
          <w:color w:val="414142"/>
          <w:sz w:val="28"/>
          <w:szCs w:val="28"/>
        </w:rPr>
      </w:pPr>
      <w:r w:rsidRPr="00083A37">
        <w:rPr>
          <w:rFonts w:ascii="Times New Roman" w:eastAsia="Calibri" w:hAnsi="Times New Roman" w:cs="Times New Roman"/>
          <w:color w:val="414142"/>
          <w:sz w:val="28"/>
          <w:szCs w:val="28"/>
        </w:rPr>
        <w:t>1) Eiropas Parlamenta un Padomes 2009. gada 21. oktobra Direktīvas 2009/128/EK, ar kuru nosaka Kopienas sistēmu pesticīdu ilgtspējīgas lietošanas nodrošināšanai;</w:t>
      </w:r>
    </w:p>
    <w:p w14:paraId="0B764476" w14:textId="7E9FB644" w:rsidR="00A64BAF" w:rsidRPr="00083A37" w:rsidRDefault="00A64BAF" w:rsidP="00A64BAF">
      <w:pPr>
        <w:spacing w:after="0" w:line="240" w:lineRule="auto"/>
        <w:jc w:val="both"/>
        <w:rPr>
          <w:rFonts w:ascii="Times New Roman" w:eastAsia="Calibri" w:hAnsi="Times New Roman" w:cs="Times New Roman"/>
          <w:color w:val="414142"/>
          <w:sz w:val="28"/>
          <w:szCs w:val="28"/>
        </w:rPr>
      </w:pPr>
      <w:r w:rsidRPr="00083A37">
        <w:rPr>
          <w:rFonts w:ascii="Times New Roman" w:eastAsia="Calibri" w:hAnsi="Times New Roman" w:cs="Times New Roman"/>
          <w:color w:val="414142"/>
          <w:sz w:val="28"/>
          <w:szCs w:val="28"/>
        </w:rPr>
        <w:t xml:space="preserve">2) Komisijas 2019. gada 15. maija Direktīvas </w:t>
      </w:r>
      <w:r w:rsidR="00AB1BE2" w:rsidRPr="00083A37">
        <w:rPr>
          <w:rFonts w:ascii="Times New Roman" w:eastAsia="Calibri" w:hAnsi="Times New Roman" w:cs="Times New Roman"/>
          <w:color w:val="414142"/>
          <w:sz w:val="28"/>
          <w:szCs w:val="28"/>
        </w:rPr>
        <w:t xml:space="preserve">(ES) </w:t>
      </w:r>
      <w:r w:rsidRPr="00083A37">
        <w:rPr>
          <w:rFonts w:ascii="Times New Roman" w:eastAsia="Calibri" w:hAnsi="Times New Roman" w:cs="Times New Roman"/>
          <w:color w:val="414142"/>
          <w:sz w:val="28"/>
          <w:szCs w:val="28"/>
        </w:rPr>
        <w:t>2019/782, ar ko attiecībā uz saskaņotu riska indikatoru izveidi groza Eiropas Parlamenta un Padomes Direktīvu 2009/128/EK.</w:t>
      </w:r>
      <w:r w:rsidR="00EA627E" w:rsidRPr="00083A37">
        <w:rPr>
          <w:rFonts w:ascii="Times New Roman" w:eastAsia="Calibri" w:hAnsi="Times New Roman" w:cs="Times New Roman"/>
          <w:color w:val="414142"/>
          <w:sz w:val="28"/>
          <w:szCs w:val="28"/>
        </w:rPr>
        <w:t>”</w:t>
      </w:r>
    </w:p>
    <w:p w14:paraId="532D10F2" w14:textId="77777777" w:rsidR="00A64BAF" w:rsidRPr="00083A37" w:rsidRDefault="00A64BAF" w:rsidP="00A64BAF">
      <w:pPr>
        <w:spacing w:after="0" w:line="240" w:lineRule="auto"/>
        <w:jc w:val="both"/>
        <w:rPr>
          <w:rFonts w:ascii="Times New Roman" w:eastAsia="Calibri" w:hAnsi="Times New Roman" w:cs="Times New Roman"/>
          <w:color w:val="414142"/>
          <w:sz w:val="28"/>
          <w:szCs w:val="28"/>
        </w:rPr>
      </w:pPr>
    </w:p>
    <w:p w14:paraId="4D9447D7" w14:textId="77777777" w:rsidR="00A64BAF" w:rsidRPr="00083A37" w:rsidRDefault="00A64BAF" w:rsidP="00A64BAF">
      <w:pPr>
        <w:spacing w:after="0" w:line="240" w:lineRule="auto"/>
        <w:jc w:val="both"/>
        <w:rPr>
          <w:rFonts w:ascii="Times New Roman" w:eastAsia="Arial Unicode MS" w:hAnsi="Times New Roman" w:cs="Times New Roman"/>
          <w:sz w:val="28"/>
          <w:szCs w:val="28"/>
        </w:rPr>
      </w:pPr>
    </w:p>
    <w:p w14:paraId="4C94DCB9" w14:textId="77777777" w:rsidR="00A64BAF" w:rsidRPr="00083A37" w:rsidRDefault="00A64BAF" w:rsidP="00A64BAF">
      <w:pPr>
        <w:spacing w:after="0" w:line="240" w:lineRule="auto"/>
        <w:ind w:firstLine="720"/>
        <w:jc w:val="both"/>
        <w:rPr>
          <w:rFonts w:ascii="Times New Roman" w:eastAsia="Arial Unicode MS" w:hAnsi="Times New Roman" w:cs="Times New Roman"/>
          <w:sz w:val="28"/>
          <w:szCs w:val="28"/>
        </w:rPr>
      </w:pPr>
    </w:p>
    <w:p w14:paraId="05E478FB" w14:textId="77777777" w:rsidR="00A64BAF" w:rsidRPr="00083A37" w:rsidRDefault="00A64BAF" w:rsidP="00A64BAF">
      <w:pPr>
        <w:spacing w:after="200" w:line="276" w:lineRule="auto"/>
        <w:ind w:firstLine="567"/>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1.3. papildināt noteikumus ar 2.</w:t>
      </w:r>
      <w:r w:rsidRPr="00083A37">
        <w:rPr>
          <w:rFonts w:ascii="Times New Roman" w:eastAsia="Arial Unicode MS" w:hAnsi="Times New Roman" w:cs="Times New Roman"/>
          <w:sz w:val="28"/>
          <w:szCs w:val="28"/>
          <w:vertAlign w:val="superscript"/>
        </w:rPr>
        <w:t>1</w:t>
      </w:r>
      <w:r w:rsidRPr="00083A37">
        <w:rPr>
          <w:rFonts w:ascii="Times New Roman" w:eastAsia="Arial Unicode MS" w:hAnsi="Times New Roman" w:cs="Times New Roman"/>
          <w:sz w:val="28"/>
          <w:szCs w:val="28"/>
        </w:rPr>
        <w:t xml:space="preserve"> pielikumu šādā redakcijā:</w:t>
      </w:r>
    </w:p>
    <w:p w14:paraId="2901EB82" w14:textId="77777777" w:rsidR="00A64BAF" w:rsidRPr="00083A37" w:rsidRDefault="00A64BAF" w:rsidP="00A64BAF">
      <w:pPr>
        <w:spacing w:after="200" w:line="276" w:lineRule="auto"/>
        <w:ind w:firstLine="567"/>
        <w:rPr>
          <w:rFonts w:ascii="Calibri" w:eastAsia="Calibri" w:hAnsi="Calibri" w:cs="Times New Roman"/>
          <w:sz w:val="28"/>
          <w:szCs w:val="28"/>
        </w:rPr>
        <w:sectPr w:rsidR="00A64BAF" w:rsidRPr="00083A37" w:rsidSect="00C74D7D">
          <w:headerReference w:type="default" r:id="rId7"/>
          <w:footerReference w:type="default" r:id="rId8"/>
          <w:footerReference w:type="first" r:id="rId9"/>
          <w:pgSz w:w="12240" w:h="15840"/>
          <w:pgMar w:top="1418" w:right="1134" w:bottom="1134" w:left="1701" w:header="720" w:footer="720" w:gutter="0"/>
          <w:cols w:space="720"/>
          <w:titlePg/>
          <w:docGrid w:linePitch="360"/>
        </w:sectPr>
      </w:pPr>
    </w:p>
    <w:p w14:paraId="49B4A827" w14:textId="77777777" w:rsidR="00A64BAF" w:rsidRPr="00083A37" w:rsidRDefault="00A64BAF" w:rsidP="00A64BAF">
      <w:pPr>
        <w:spacing w:after="0" w:line="240" w:lineRule="auto"/>
        <w:jc w:val="right"/>
        <w:rPr>
          <w:rFonts w:ascii="Times New Roman" w:eastAsia="Times New Roman" w:hAnsi="Times New Roman" w:cs="Times New Roman"/>
          <w:sz w:val="28"/>
          <w:szCs w:val="28"/>
          <w:lang w:eastAsia="lv-LV"/>
        </w:rPr>
      </w:pPr>
      <w:r w:rsidRPr="00083A37">
        <w:rPr>
          <w:rFonts w:ascii="Times New Roman" w:eastAsia="Times New Roman" w:hAnsi="Times New Roman" w:cs="Times New Roman"/>
          <w:sz w:val="28"/>
          <w:szCs w:val="28"/>
          <w:lang w:eastAsia="lv-LV"/>
        </w:rPr>
        <w:lastRenderedPageBreak/>
        <w:t>“2.</w:t>
      </w:r>
      <w:r w:rsidRPr="00083A37">
        <w:rPr>
          <w:rFonts w:ascii="Times New Roman" w:eastAsia="Times New Roman" w:hAnsi="Times New Roman" w:cs="Times New Roman"/>
          <w:sz w:val="28"/>
          <w:szCs w:val="28"/>
          <w:vertAlign w:val="superscript"/>
          <w:lang w:eastAsia="lv-LV"/>
        </w:rPr>
        <w:t xml:space="preserve">1 </w:t>
      </w:r>
      <w:r w:rsidRPr="00083A37">
        <w:rPr>
          <w:rFonts w:ascii="Times New Roman" w:eastAsia="Times New Roman" w:hAnsi="Times New Roman" w:cs="Times New Roman"/>
          <w:sz w:val="28"/>
          <w:szCs w:val="28"/>
          <w:lang w:eastAsia="lv-LV"/>
        </w:rPr>
        <w:t xml:space="preserve">pielikums </w:t>
      </w:r>
      <w:r w:rsidRPr="00083A37">
        <w:rPr>
          <w:rFonts w:ascii="Times New Roman" w:eastAsia="Times New Roman" w:hAnsi="Times New Roman" w:cs="Times New Roman"/>
          <w:sz w:val="28"/>
          <w:szCs w:val="28"/>
          <w:lang w:eastAsia="lv-LV"/>
        </w:rPr>
        <w:br/>
        <w:t xml:space="preserve">Ministru kabineta </w:t>
      </w:r>
      <w:r w:rsidRPr="00083A37">
        <w:rPr>
          <w:rFonts w:ascii="Times New Roman" w:eastAsia="Times New Roman" w:hAnsi="Times New Roman" w:cs="Times New Roman"/>
          <w:sz w:val="28"/>
          <w:szCs w:val="28"/>
          <w:lang w:eastAsia="lv-LV"/>
        </w:rPr>
        <w:br/>
        <w:t>2009. gada 15. septembra</w:t>
      </w:r>
    </w:p>
    <w:p w14:paraId="32A3B669" w14:textId="77777777" w:rsidR="00A64BAF" w:rsidRPr="00083A37" w:rsidRDefault="00A64BAF" w:rsidP="00A64BAF">
      <w:pPr>
        <w:spacing w:after="0" w:line="240" w:lineRule="auto"/>
        <w:jc w:val="right"/>
        <w:rPr>
          <w:rFonts w:ascii="Times New Roman" w:eastAsia="Times New Roman" w:hAnsi="Times New Roman" w:cs="Times New Roman"/>
          <w:sz w:val="28"/>
          <w:szCs w:val="28"/>
          <w:lang w:eastAsia="lv-LV"/>
        </w:rPr>
      </w:pPr>
      <w:r w:rsidRPr="00083A37">
        <w:rPr>
          <w:rFonts w:ascii="Times New Roman" w:eastAsia="Times New Roman" w:hAnsi="Times New Roman" w:cs="Times New Roman"/>
          <w:sz w:val="28"/>
          <w:szCs w:val="28"/>
          <w:lang w:eastAsia="lv-LV"/>
        </w:rPr>
        <w:t xml:space="preserve"> noteikumiem Nr.1056</w:t>
      </w:r>
    </w:p>
    <w:p w14:paraId="4D99B69B" w14:textId="77777777" w:rsidR="00A64BAF" w:rsidRPr="00083A37" w:rsidRDefault="00A64BAF" w:rsidP="00A64BAF">
      <w:pPr>
        <w:spacing w:after="0" w:line="240" w:lineRule="auto"/>
        <w:ind w:left="360"/>
        <w:jc w:val="center"/>
        <w:rPr>
          <w:rFonts w:ascii="Times New Roman" w:eastAsia="Times New Roman" w:hAnsi="Times New Roman" w:cs="Times New Roman"/>
          <w:sz w:val="28"/>
          <w:szCs w:val="28"/>
          <w:lang w:eastAsia="lv-LV"/>
        </w:rPr>
      </w:pPr>
      <w:bookmarkStart w:id="0" w:name="594297"/>
      <w:bookmarkEnd w:id="0"/>
      <w:r w:rsidRPr="00083A37">
        <w:rPr>
          <w:rFonts w:ascii="Times New Roman" w:eastAsia="Arial Unicode MS" w:hAnsi="Times New Roman" w:cs="Times New Roman"/>
          <w:b/>
          <w:sz w:val="28"/>
          <w:szCs w:val="28"/>
        </w:rPr>
        <w:t>Saskaņotie riska indikatori</w:t>
      </w:r>
    </w:p>
    <w:p w14:paraId="1CFF37B2" w14:textId="77777777" w:rsidR="00A64BAF" w:rsidRPr="00083A37" w:rsidRDefault="00A64BAF" w:rsidP="00A64BAF">
      <w:pPr>
        <w:spacing w:after="0" w:line="240" w:lineRule="auto"/>
        <w:ind w:left="720"/>
        <w:contextualSpacing/>
        <w:jc w:val="center"/>
        <w:rPr>
          <w:rFonts w:ascii="Times New Roman" w:eastAsia="Arial Unicode MS" w:hAnsi="Times New Roman" w:cs="Times New Roman"/>
          <w:b/>
          <w:sz w:val="28"/>
          <w:szCs w:val="28"/>
        </w:rPr>
      </w:pPr>
    </w:p>
    <w:p w14:paraId="060863E9" w14:textId="77777777" w:rsidR="00A64BAF" w:rsidRPr="00083A37" w:rsidRDefault="00A64BAF" w:rsidP="00A64BAF">
      <w:pPr>
        <w:numPr>
          <w:ilvl w:val="0"/>
          <w:numId w:val="1"/>
        </w:numPr>
        <w:spacing w:after="0" w:line="240" w:lineRule="auto"/>
        <w:contextualSpacing/>
        <w:jc w:val="center"/>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IEDAĻA</w:t>
      </w:r>
    </w:p>
    <w:p w14:paraId="0AED969F" w14:textId="77777777" w:rsidR="00A64BAF" w:rsidRPr="00083A37" w:rsidRDefault="00A64BAF" w:rsidP="00A64BAF">
      <w:pPr>
        <w:spacing w:after="0" w:line="240" w:lineRule="auto"/>
        <w:ind w:left="720"/>
        <w:contextualSpacing/>
        <w:rPr>
          <w:rFonts w:ascii="Times New Roman" w:eastAsia="Arial Unicode MS" w:hAnsi="Times New Roman" w:cs="Times New Roman"/>
          <w:sz w:val="28"/>
          <w:szCs w:val="28"/>
        </w:rPr>
      </w:pPr>
    </w:p>
    <w:p w14:paraId="57B81559" w14:textId="77777777" w:rsidR="00A64BAF" w:rsidRPr="00083A37" w:rsidRDefault="00A64BAF" w:rsidP="00A64BAF">
      <w:pPr>
        <w:spacing w:after="0" w:line="240" w:lineRule="auto"/>
        <w:ind w:left="720"/>
        <w:contextualSpacing/>
        <w:jc w:val="center"/>
        <w:rPr>
          <w:rFonts w:ascii="Times New Roman" w:eastAsia="Arial Unicode MS" w:hAnsi="Times New Roman" w:cs="Times New Roman"/>
          <w:sz w:val="28"/>
          <w:szCs w:val="28"/>
        </w:rPr>
      </w:pPr>
    </w:p>
    <w:p w14:paraId="4C17CB07" w14:textId="77777777" w:rsidR="00A64BAF" w:rsidRPr="00083A37" w:rsidRDefault="00A64BAF" w:rsidP="00A64BAF">
      <w:pPr>
        <w:spacing w:after="0" w:line="240" w:lineRule="auto"/>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 xml:space="preserve">Saskaņotie riska indikatori ir norādīti šā pielikuma 2. un 3. iedaļā. </w:t>
      </w:r>
    </w:p>
    <w:p w14:paraId="47D4A143" w14:textId="77777777" w:rsidR="00A64BAF" w:rsidRPr="00083A37" w:rsidRDefault="00A64BAF" w:rsidP="00A64BAF">
      <w:pPr>
        <w:spacing w:after="0" w:line="240" w:lineRule="auto"/>
        <w:rPr>
          <w:rFonts w:ascii="Times New Roman" w:eastAsia="Arial Unicode MS" w:hAnsi="Times New Roman" w:cs="Times New Roman"/>
          <w:sz w:val="28"/>
          <w:szCs w:val="28"/>
        </w:rPr>
      </w:pPr>
    </w:p>
    <w:p w14:paraId="433B5963" w14:textId="77777777" w:rsidR="00A64BAF" w:rsidRPr="00083A37" w:rsidRDefault="00A64BAF" w:rsidP="00A64BAF">
      <w:pPr>
        <w:numPr>
          <w:ilvl w:val="0"/>
          <w:numId w:val="1"/>
        </w:numPr>
        <w:spacing w:after="0" w:line="240" w:lineRule="auto"/>
        <w:contextualSpacing/>
        <w:jc w:val="center"/>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IEDAĻA</w:t>
      </w:r>
    </w:p>
    <w:p w14:paraId="56E100D5" w14:textId="77777777" w:rsidR="00A64BAF" w:rsidRPr="00083A37" w:rsidRDefault="00A64BAF" w:rsidP="00A64BAF">
      <w:pPr>
        <w:spacing w:after="0" w:line="240" w:lineRule="auto"/>
        <w:ind w:left="720"/>
        <w:contextualSpacing/>
        <w:rPr>
          <w:rFonts w:ascii="Times New Roman" w:eastAsia="Arial Unicode MS" w:hAnsi="Times New Roman" w:cs="Times New Roman"/>
          <w:sz w:val="28"/>
          <w:szCs w:val="28"/>
        </w:rPr>
      </w:pPr>
    </w:p>
    <w:p w14:paraId="10E9CB5E" w14:textId="77777777" w:rsidR="00A64BAF" w:rsidRPr="00083A37" w:rsidRDefault="00A64BAF" w:rsidP="00A64BAF">
      <w:pPr>
        <w:spacing w:after="0" w:line="240" w:lineRule="auto"/>
        <w:ind w:left="720"/>
        <w:contextualSpacing/>
        <w:jc w:val="center"/>
        <w:rPr>
          <w:rFonts w:ascii="Times New Roman" w:eastAsia="Arial Unicode MS" w:hAnsi="Times New Roman" w:cs="Times New Roman"/>
          <w:b/>
          <w:sz w:val="28"/>
          <w:szCs w:val="28"/>
        </w:rPr>
      </w:pPr>
      <w:r w:rsidRPr="00083A37">
        <w:rPr>
          <w:rFonts w:ascii="Times New Roman" w:eastAsia="Arial Unicode MS" w:hAnsi="Times New Roman" w:cs="Times New Roman"/>
          <w:b/>
          <w:sz w:val="28"/>
          <w:szCs w:val="28"/>
        </w:rPr>
        <w:t>Saskaņotais riska  indikators Nr. 1: uz bīstamību balstīts saskaņots riska  indikators, kura pamatā ir augu aizsardzības līdzekļos uz Regulas (EK) Nr. 1107/2009 pamata tirgū laisto darbīgo vielu daudzumi</w:t>
      </w:r>
    </w:p>
    <w:p w14:paraId="742B7C68" w14:textId="77777777" w:rsidR="00A64BAF" w:rsidRPr="00083A37" w:rsidRDefault="00A64BAF" w:rsidP="00A64BAF">
      <w:pPr>
        <w:spacing w:after="0" w:line="240" w:lineRule="auto"/>
        <w:ind w:left="720"/>
        <w:contextualSpacing/>
        <w:jc w:val="center"/>
        <w:rPr>
          <w:rFonts w:ascii="Times New Roman" w:eastAsia="Arial Unicode MS" w:hAnsi="Times New Roman" w:cs="Times New Roman"/>
          <w:b/>
          <w:sz w:val="28"/>
          <w:szCs w:val="28"/>
        </w:rPr>
      </w:pPr>
    </w:p>
    <w:p w14:paraId="4350A8E1" w14:textId="77777777" w:rsidR="00A64BAF" w:rsidRPr="00083A37" w:rsidRDefault="00A64BAF" w:rsidP="00A64BAF">
      <w:pPr>
        <w:numPr>
          <w:ilvl w:val="0"/>
          <w:numId w:val="2"/>
        </w:numPr>
        <w:spacing w:after="0" w:line="240" w:lineRule="auto"/>
        <w:ind w:left="284" w:hanging="284"/>
        <w:contextualSpacing/>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Šā indikatora pamatā ir statistika par tādu darbīgo vielu daudzumiem, kas laistas tirgū augu aizsardzības līdzekļos uz Regulas (EK) Nr. 1107/2009 pamata, un šo statistiku Komisijai (Eurostat) iesniedz uz Regulas (EK) Nr. 1185/2009 I pielikuma (“Statistika par  pesticīdu laišanu tirgū”) pamata. Dati tiek  sagrupēti četrās grupās, kas savukārt tiek iedalītas septiņās kategorijās.</w:t>
      </w:r>
    </w:p>
    <w:p w14:paraId="086B8666" w14:textId="77777777" w:rsidR="00A64BAF" w:rsidRPr="00083A37" w:rsidRDefault="00A64BAF" w:rsidP="00A64BAF">
      <w:pPr>
        <w:spacing w:after="0" w:line="240" w:lineRule="auto"/>
        <w:ind w:left="284"/>
        <w:contextualSpacing/>
        <w:jc w:val="both"/>
        <w:rPr>
          <w:rFonts w:ascii="Times New Roman" w:eastAsia="Arial Unicode MS" w:hAnsi="Times New Roman" w:cs="Times New Roman"/>
          <w:sz w:val="28"/>
          <w:szCs w:val="28"/>
        </w:rPr>
      </w:pPr>
    </w:p>
    <w:p w14:paraId="200FB58C" w14:textId="77777777" w:rsidR="00A64BAF" w:rsidRPr="00083A37" w:rsidRDefault="00A64BAF" w:rsidP="00A64BAF">
      <w:pPr>
        <w:numPr>
          <w:ilvl w:val="0"/>
          <w:numId w:val="2"/>
        </w:numPr>
        <w:spacing w:after="0" w:line="240" w:lineRule="auto"/>
        <w:ind w:left="284" w:hanging="284"/>
        <w:contextualSpacing/>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Saskaņotā riska indikatora Nr. 1 aprēķināšanai izmanto šādus vispārīgus noteikumus:</w:t>
      </w:r>
    </w:p>
    <w:p w14:paraId="15B48212" w14:textId="77777777" w:rsidR="00A64BAF" w:rsidRPr="00083A37" w:rsidRDefault="00A64BAF" w:rsidP="00A64BAF">
      <w:pPr>
        <w:spacing w:after="0" w:line="240" w:lineRule="auto"/>
        <w:jc w:val="both"/>
        <w:rPr>
          <w:rFonts w:ascii="Times New Roman" w:eastAsia="Arial Unicode MS" w:hAnsi="Times New Roman" w:cs="Times New Roman"/>
          <w:sz w:val="28"/>
          <w:szCs w:val="28"/>
        </w:rPr>
      </w:pPr>
    </w:p>
    <w:p w14:paraId="48EEA795" w14:textId="500B0D22" w:rsidR="00A64BAF" w:rsidRPr="00083A37" w:rsidRDefault="00A64BAF" w:rsidP="009E7506">
      <w:pPr>
        <w:numPr>
          <w:ilvl w:val="0"/>
          <w:numId w:val="3"/>
        </w:numPr>
        <w:spacing w:after="0" w:line="240" w:lineRule="auto"/>
        <w:contextualSpacing/>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saskaņoto riska indikatoru Nr. 1 aprēķina, pamatojoties uz darbīgo vielu iedalījumu četrās grupās un septiņās kategorijās, kas norādītas 1. tabulā;</w:t>
      </w:r>
    </w:p>
    <w:p w14:paraId="069FDE11" w14:textId="77777777" w:rsidR="00A64BAF" w:rsidRPr="00083A37" w:rsidRDefault="00A64BAF" w:rsidP="00A64BAF">
      <w:pPr>
        <w:numPr>
          <w:ilvl w:val="0"/>
          <w:numId w:val="3"/>
        </w:numPr>
        <w:spacing w:after="0" w:line="240" w:lineRule="auto"/>
        <w:contextualSpacing/>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lastRenderedPageBreak/>
        <w:t>1. grupas darbīgās vielas (A un B kategorija) ir tās, kuras norādītas Komisijas Īstenošanas regulas (ES) Nr. 540/2011</w:t>
      </w:r>
      <w:r w:rsidRPr="00083A37">
        <w:rPr>
          <w:rFonts w:ascii="Times New Roman" w:eastAsia="Arial Unicode MS" w:hAnsi="Times New Roman" w:cs="Times New Roman"/>
          <w:sz w:val="28"/>
          <w:szCs w:val="28"/>
          <w:vertAlign w:val="superscript"/>
        </w:rPr>
        <w:footnoteReference w:id="1"/>
      </w:r>
      <w:r w:rsidRPr="00083A37">
        <w:rPr>
          <w:rFonts w:ascii="Times New Roman" w:eastAsia="Arial Unicode MS" w:hAnsi="Times New Roman" w:cs="Times New Roman"/>
          <w:sz w:val="28"/>
          <w:szCs w:val="28"/>
        </w:rPr>
        <w:t xml:space="preserve"> pielikuma D daļas sarakstā;</w:t>
      </w:r>
    </w:p>
    <w:p w14:paraId="3E16EAF9" w14:textId="77777777" w:rsidR="00A64BAF" w:rsidRPr="00083A37" w:rsidRDefault="00A64BAF" w:rsidP="00A64BAF">
      <w:pPr>
        <w:spacing w:after="0" w:line="240" w:lineRule="auto"/>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 xml:space="preserve"> </w:t>
      </w:r>
    </w:p>
    <w:p w14:paraId="10412029" w14:textId="77777777" w:rsidR="00A64BAF" w:rsidRPr="00083A37" w:rsidRDefault="00A64BAF" w:rsidP="00A64BAF">
      <w:pPr>
        <w:numPr>
          <w:ilvl w:val="0"/>
          <w:numId w:val="3"/>
        </w:numPr>
        <w:spacing w:after="0" w:line="240" w:lineRule="auto"/>
        <w:contextualSpacing/>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2. grupas darbīgās vielas (C un D kategorija) ir tās, kuras norādītas Īstenošanas regulas (ES) Nr. 540/2011 pielikuma A un B daļas sarakstā;</w:t>
      </w:r>
    </w:p>
    <w:p w14:paraId="2D7B863C" w14:textId="77777777" w:rsidR="00A64BAF" w:rsidRPr="00083A37" w:rsidRDefault="00A64BAF" w:rsidP="00A64BAF">
      <w:pPr>
        <w:numPr>
          <w:ilvl w:val="0"/>
          <w:numId w:val="3"/>
        </w:numPr>
        <w:spacing w:after="0" w:line="240" w:lineRule="auto"/>
        <w:contextualSpacing/>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3. grupas darbīgās vielas (E un F kategorija) ir tās, kuras norādītas Īstenošanas regulas (ES) Nr. 540/2011 pielikuma E daļas sarakstā;</w:t>
      </w:r>
    </w:p>
    <w:p w14:paraId="76D96E41" w14:textId="77777777" w:rsidR="00A64BAF" w:rsidRPr="00083A37" w:rsidRDefault="00A64BAF" w:rsidP="00A64BAF">
      <w:pPr>
        <w:numPr>
          <w:ilvl w:val="0"/>
          <w:numId w:val="3"/>
        </w:numPr>
        <w:spacing w:after="0" w:line="240" w:lineRule="auto"/>
        <w:contextualSpacing/>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 xml:space="preserve">4.  grupas  darbīgās vielas  (G  kategorija) ir  tās,  kuras  nav  apstiprinātas uz  Regulas (EK)  Nr.  1107/2009 pamata un  tāpēc  nav  norādītas Īstenošanas regulas (ES)  Nr.  540/2011 pielikuma sarakstā; </w:t>
      </w:r>
    </w:p>
    <w:p w14:paraId="0E67B83D" w14:textId="77777777" w:rsidR="00A64BAF" w:rsidRPr="00083A37" w:rsidRDefault="00A64BAF" w:rsidP="00A64BAF">
      <w:pPr>
        <w:numPr>
          <w:ilvl w:val="0"/>
          <w:numId w:val="3"/>
        </w:numPr>
        <w:spacing w:after="0" w:line="240" w:lineRule="auto"/>
        <w:contextualSpacing/>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piemēro 1. tabulas vi) rindas svērumus.</w:t>
      </w:r>
    </w:p>
    <w:p w14:paraId="3C13C31E" w14:textId="77777777" w:rsidR="00A64BAF" w:rsidRPr="00083A37" w:rsidRDefault="00A64BAF" w:rsidP="00A64BAF">
      <w:pPr>
        <w:spacing w:after="0" w:line="240" w:lineRule="auto"/>
        <w:ind w:left="284" w:hanging="284"/>
        <w:contextualSpacing/>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3.   Saskaņoto riska indikatoru Nr. 1 aprēķina, tirgū laisto darbīgo vielu ikgadējos daudzumus 1. tabulas katrā grupā reizinot ar attiecīgo bīstamības svērumu, kas norādīts vi) rindā, un pēc tam summējot šo aprēķinu rezultātus.</w:t>
      </w:r>
    </w:p>
    <w:p w14:paraId="5D313043" w14:textId="77777777" w:rsidR="00A64BAF" w:rsidRPr="00083A37" w:rsidRDefault="00A64BAF" w:rsidP="00A64BAF">
      <w:pPr>
        <w:spacing w:after="0" w:line="240" w:lineRule="auto"/>
        <w:ind w:left="284" w:hanging="284"/>
        <w:contextualSpacing/>
        <w:jc w:val="both"/>
        <w:rPr>
          <w:rFonts w:ascii="Times New Roman" w:eastAsia="Arial Unicode MS" w:hAnsi="Times New Roman" w:cs="Times New Roman"/>
          <w:sz w:val="28"/>
          <w:szCs w:val="28"/>
        </w:rPr>
      </w:pPr>
    </w:p>
    <w:p w14:paraId="4315566D" w14:textId="77777777" w:rsidR="00A64BAF" w:rsidRPr="00083A37" w:rsidRDefault="00A64BAF" w:rsidP="00A64BAF">
      <w:pPr>
        <w:spacing w:after="0" w:line="240" w:lineRule="auto"/>
        <w:ind w:left="284" w:hanging="284"/>
        <w:contextualSpacing/>
        <w:jc w:val="both"/>
        <w:rPr>
          <w:rFonts w:ascii="Times New Roman" w:eastAsia="Arial Unicode MS" w:hAnsi="Times New Roman" w:cs="Times New Roman"/>
          <w:sz w:val="28"/>
          <w:szCs w:val="28"/>
        </w:rPr>
      </w:pPr>
      <w:r w:rsidRPr="00083A37">
        <w:rPr>
          <w:rFonts w:ascii="Times New Roman" w:eastAsia="Arial Unicode MS" w:hAnsi="Times New Roman" w:cs="Times New Roman"/>
          <w:sz w:val="28"/>
          <w:szCs w:val="28"/>
        </w:rPr>
        <w:t>4.   Iespējams aprēķināt tirgū laisto darbīgo vielu daudzumus katrā 1. tabulas grupā un kategorijā.</w:t>
      </w:r>
    </w:p>
    <w:p w14:paraId="24A17681" w14:textId="77777777" w:rsidR="00A64BAF" w:rsidRPr="00083A37" w:rsidRDefault="00A64BAF" w:rsidP="00A64BAF">
      <w:pPr>
        <w:spacing w:before="100" w:beforeAutospacing="1" w:after="100" w:afterAutospacing="1" w:line="240" w:lineRule="auto"/>
        <w:jc w:val="center"/>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1. tabula</w:t>
      </w:r>
    </w:p>
    <w:p w14:paraId="614C03B6" w14:textId="77777777" w:rsidR="00A64BAF" w:rsidRPr="00083A37" w:rsidRDefault="00A64BAF" w:rsidP="00A64BAF">
      <w:pPr>
        <w:spacing w:before="100" w:beforeAutospacing="1" w:after="100" w:afterAutospacing="1" w:line="240" w:lineRule="auto"/>
        <w:jc w:val="center"/>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Darbīgo vielu un bīstamības svērumu iedalījums saskaņotā riska indikatora Nr. 1 aprēķināšanai</w:t>
      </w:r>
    </w:p>
    <w:tbl>
      <w:tblPr>
        <w:tblStyle w:val="Reatabula"/>
        <w:tblW w:w="0" w:type="auto"/>
        <w:tblLook w:val="04A0" w:firstRow="1" w:lastRow="0" w:firstColumn="1" w:lastColumn="0" w:noHBand="0" w:noVBand="1"/>
      </w:tblPr>
      <w:tblGrid>
        <w:gridCol w:w="1076"/>
        <w:gridCol w:w="2036"/>
        <w:gridCol w:w="1227"/>
        <w:gridCol w:w="2036"/>
        <w:gridCol w:w="1227"/>
        <w:gridCol w:w="1927"/>
        <w:gridCol w:w="1927"/>
        <w:gridCol w:w="1720"/>
      </w:tblGrid>
      <w:tr w:rsidR="00A64BAF" w:rsidRPr="00083A37" w14:paraId="032C82CA" w14:textId="77777777" w:rsidTr="00C47D01">
        <w:tc>
          <w:tcPr>
            <w:tcW w:w="1637" w:type="dxa"/>
            <w:vMerge w:val="restart"/>
          </w:tcPr>
          <w:p w14:paraId="3C373695"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Rinda</w:t>
            </w:r>
          </w:p>
        </w:tc>
        <w:tc>
          <w:tcPr>
            <w:tcW w:w="11313" w:type="dxa"/>
            <w:gridSpan w:val="7"/>
          </w:tcPr>
          <w:p w14:paraId="2D35C753"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Grupas</w:t>
            </w:r>
          </w:p>
        </w:tc>
      </w:tr>
      <w:tr w:rsidR="00A64BAF" w:rsidRPr="00083A37" w14:paraId="2403BDC5" w14:textId="77777777" w:rsidTr="00C47D01">
        <w:tc>
          <w:tcPr>
            <w:tcW w:w="1637" w:type="dxa"/>
            <w:vMerge/>
          </w:tcPr>
          <w:p w14:paraId="5DA2255F"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p>
        </w:tc>
        <w:tc>
          <w:tcPr>
            <w:tcW w:w="3003" w:type="dxa"/>
            <w:gridSpan w:val="2"/>
          </w:tcPr>
          <w:p w14:paraId="30808AE0"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1</w:t>
            </w:r>
          </w:p>
        </w:tc>
        <w:tc>
          <w:tcPr>
            <w:tcW w:w="2968" w:type="dxa"/>
            <w:gridSpan w:val="2"/>
          </w:tcPr>
          <w:p w14:paraId="4E5C8A4B"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2</w:t>
            </w:r>
          </w:p>
        </w:tc>
        <w:tc>
          <w:tcPr>
            <w:tcW w:w="3366" w:type="dxa"/>
            <w:gridSpan w:val="2"/>
          </w:tcPr>
          <w:p w14:paraId="4F322DB2"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3</w:t>
            </w:r>
          </w:p>
        </w:tc>
        <w:tc>
          <w:tcPr>
            <w:tcW w:w="1976" w:type="dxa"/>
          </w:tcPr>
          <w:p w14:paraId="530FE652"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4</w:t>
            </w:r>
          </w:p>
        </w:tc>
      </w:tr>
      <w:tr w:rsidR="00A64BAF" w:rsidRPr="00083A37" w14:paraId="284BA9DD" w14:textId="77777777" w:rsidTr="00C47D01">
        <w:tc>
          <w:tcPr>
            <w:tcW w:w="1637" w:type="dxa"/>
          </w:tcPr>
          <w:p w14:paraId="3E93EA36"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i)</w:t>
            </w:r>
          </w:p>
        </w:tc>
        <w:tc>
          <w:tcPr>
            <w:tcW w:w="3003" w:type="dxa"/>
            <w:gridSpan w:val="2"/>
          </w:tcPr>
          <w:p w14:paraId="4B8CE392"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 xml:space="preserve">Zema riska darbīgās vielas [darbīgās vielas ar zemu kaitīguma pakāpi], kuras ir apstiprinātas vai uzskata par apstiprinātām uz Regulas (EK) Nr. </w:t>
            </w:r>
            <w:r w:rsidRPr="00083A37">
              <w:rPr>
                <w:rFonts w:ascii="Times New Roman" w:eastAsia="Times New Roman" w:hAnsi="Times New Roman" w:cs="Times New Roman"/>
                <w:sz w:val="28"/>
                <w:szCs w:val="28"/>
                <w:lang w:val="lv-LV"/>
              </w:rPr>
              <w:lastRenderedPageBreak/>
              <w:t>1107/2009 22. panta pamata, un kuras ir norādītas Īstenošanas regulas (ES) Nr. 540/2011 pielikuma D daļas sarakstā</w:t>
            </w:r>
          </w:p>
        </w:tc>
        <w:tc>
          <w:tcPr>
            <w:tcW w:w="2968" w:type="dxa"/>
            <w:gridSpan w:val="2"/>
          </w:tcPr>
          <w:p w14:paraId="77033C97"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lastRenderedPageBreak/>
              <w:t xml:space="preserve">Darbīgās vielas, kuras ir apstiprinātas vai uzskata par apstiprinātām uz Regulas (EK) Nr. 1107/2009 pamata, nav iekļautas citās kategorijās </w:t>
            </w:r>
            <w:r w:rsidRPr="00083A37">
              <w:rPr>
                <w:rFonts w:ascii="Times New Roman" w:eastAsia="Times New Roman" w:hAnsi="Times New Roman" w:cs="Times New Roman"/>
                <w:sz w:val="28"/>
                <w:szCs w:val="28"/>
                <w:lang w:val="lv-LV"/>
              </w:rPr>
              <w:lastRenderedPageBreak/>
              <w:t>un ir norādītas Īstenošanas regulas (ES) Nr. 540/2011 pielikuma A un B daļas sarakstā</w:t>
            </w:r>
          </w:p>
        </w:tc>
        <w:tc>
          <w:tcPr>
            <w:tcW w:w="3366" w:type="dxa"/>
            <w:gridSpan w:val="2"/>
          </w:tcPr>
          <w:p w14:paraId="523863EA"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lastRenderedPageBreak/>
              <w:t xml:space="preserve">Darbīgās vielas, kuras ir apstiprinātas vai uzskata par apstiprinātām uz Regulas (EK) Nr. 1107/2009 24. panta pamata, ir aizstājamās vielas un ir norādītas Īstenošanas regulas </w:t>
            </w:r>
            <w:r w:rsidRPr="00083A37">
              <w:rPr>
                <w:rFonts w:ascii="Times New Roman" w:eastAsia="Times New Roman" w:hAnsi="Times New Roman" w:cs="Times New Roman"/>
                <w:sz w:val="28"/>
                <w:szCs w:val="28"/>
                <w:lang w:val="lv-LV"/>
              </w:rPr>
              <w:lastRenderedPageBreak/>
              <w:t>(ES) Nr. 540/2011 pielikuma E daļas sarakstā</w:t>
            </w:r>
          </w:p>
        </w:tc>
        <w:tc>
          <w:tcPr>
            <w:tcW w:w="1976" w:type="dxa"/>
          </w:tcPr>
          <w:p w14:paraId="585DF9F9"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lastRenderedPageBreak/>
              <w:t xml:space="preserve">Darbīgās vielas, kuras nav apstiprinātas uz Regulas (EK) Nr. </w:t>
            </w:r>
            <w:r w:rsidRPr="00083A37">
              <w:rPr>
                <w:rFonts w:ascii="Times New Roman" w:eastAsia="Times New Roman" w:hAnsi="Times New Roman" w:cs="Times New Roman"/>
                <w:sz w:val="28"/>
                <w:szCs w:val="28"/>
                <w:lang w:val="lv-LV"/>
              </w:rPr>
              <w:lastRenderedPageBreak/>
              <w:t>1107/2009 pamata un tāpēc nav norādītas Īstenošanas regulas (ES) Nr. 540/2011 pielikuma sarakstā</w:t>
            </w:r>
          </w:p>
        </w:tc>
      </w:tr>
      <w:tr w:rsidR="00A64BAF" w:rsidRPr="00083A37" w14:paraId="60C6E4D3" w14:textId="77777777" w:rsidTr="00C47D01">
        <w:tc>
          <w:tcPr>
            <w:tcW w:w="1637" w:type="dxa"/>
          </w:tcPr>
          <w:p w14:paraId="79C0460B"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lastRenderedPageBreak/>
              <w:t>ii)</w:t>
            </w:r>
          </w:p>
        </w:tc>
        <w:tc>
          <w:tcPr>
            <w:tcW w:w="11313" w:type="dxa"/>
            <w:gridSpan w:val="7"/>
          </w:tcPr>
          <w:p w14:paraId="604C0E21"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Kategorijas</w:t>
            </w:r>
          </w:p>
        </w:tc>
      </w:tr>
      <w:tr w:rsidR="00A64BAF" w:rsidRPr="00083A37" w14:paraId="59A6B27D" w14:textId="77777777" w:rsidTr="00C47D01">
        <w:tc>
          <w:tcPr>
            <w:tcW w:w="1637" w:type="dxa"/>
          </w:tcPr>
          <w:p w14:paraId="49454E84"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iii)</w:t>
            </w:r>
          </w:p>
        </w:tc>
        <w:tc>
          <w:tcPr>
            <w:tcW w:w="1776" w:type="dxa"/>
          </w:tcPr>
          <w:p w14:paraId="02E1EBF5"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A</w:t>
            </w:r>
          </w:p>
        </w:tc>
        <w:tc>
          <w:tcPr>
            <w:tcW w:w="1227" w:type="dxa"/>
          </w:tcPr>
          <w:p w14:paraId="3025CCDA"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B</w:t>
            </w:r>
          </w:p>
        </w:tc>
        <w:tc>
          <w:tcPr>
            <w:tcW w:w="1776" w:type="dxa"/>
          </w:tcPr>
          <w:p w14:paraId="35309F8A"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C</w:t>
            </w:r>
          </w:p>
        </w:tc>
        <w:tc>
          <w:tcPr>
            <w:tcW w:w="1192" w:type="dxa"/>
          </w:tcPr>
          <w:p w14:paraId="25654188"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D</w:t>
            </w:r>
          </w:p>
        </w:tc>
        <w:tc>
          <w:tcPr>
            <w:tcW w:w="1683" w:type="dxa"/>
          </w:tcPr>
          <w:p w14:paraId="388FD46D"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E</w:t>
            </w:r>
          </w:p>
        </w:tc>
        <w:tc>
          <w:tcPr>
            <w:tcW w:w="1683" w:type="dxa"/>
          </w:tcPr>
          <w:p w14:paraId="00D52129"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F</w:t>
            </w:r>
          </w:p>
        </w:tc>
        <w:tc>
          <w:tcPr>
            <w:tcW w:w="1976" w:type="dxa"/>
          </w:tcPr>
          <w:p w14:paraId="0B65C0EB"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G</w:t>
            </w:r>
          </w:p>
        </w:tc>
      </w:tr>
      <w:tr w:rsidR="00A64BAF" w:rsidRPr="00083A37" w14:paraId="6F39FBC9" w14:textId="77777777" w:rsidTr="00C47D01">
        <w:tc>
          <w:tcPr>
            <w:tcW w:w="1637" w:type="dxa"/>
          </w:tcPr>
          <w:p w14:paraId="6B1A56D0"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iv)</w:t>
            </w:r>
          </w:p>
        </w:tc>
        <w:tc>
          <w:tcPr>
            <w:tcW w:w="1776" w:type="dxa"/>
          </w:tcPr>
          <w:p w14:paraId="6C815336"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Mikroorganismi</w:t>
            </w:r>
          </w:p>
        </w:tc>
        <w:tc>
          <w:tcPr>
            <w:tcW w:w="1227" w:type="dxa"/>
          </w:tcPr>
          <w:p w14:paraId="38621CF4"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Darbīgās ķīmiskās vielas</w:t>
            </w:r>
          </w:p>
        </w:tc>
        <w:tc>
          <w:tcPr>
            <w:tcW w:w="1776" w:type="dxa"/>
          </w:tcPr>
          <w:p w14:paraId="26FD8A7E"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Mikroorganismi</w:t>
            </w:r>
          </w:p>
        </w:tc>
        <w:tc>
          <w:tcPr>
            <w:tcW w:w="1192" w:type="dxa"/>
          </w:tcPr>
          <w:p w14:paraId="67B6D30C"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Darbīgās ķīmiskās vielas</w:t>
            </w:r>
          </w:p>
        </w:tc>
        <w:tc>
          <w:tcPr>
            <w:tcW w:w="1683" w:type="dxa"/>
          </w:tcPr>
          <w:p w14:paraId="6BCB53F1"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Vielas, kas nav klasificētas šādi:</w:t>
            </w:r>
          </w:p>
          <w:p w14:paraId="7260238F"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kancerogēnas (1.A vai 1.B kategorija)</w:t>
            </w:r>
          </w:p>
          <w:p w14:paraId="6D410B13"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un/vai</w:t>
            </w:r>
          </w:p>
          <w:p w14:paraId="7352C7EB"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reproduktīvajai sistēmai toksiskas (1.A vai 1.B kategorija)</w:t>
            </w:r>
          </w:p>
          <w:p w14:paraId="49CC717D"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un/vai</w:t>
            </w:r>
          </w:p>
          <w:p w14:paraId="432AB0A3"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endokrīnie disruptori</w:t>
            </w:r>
          </w:p>
        </w:tc>
        <w:tc>
          <w:tcPr>
            <w:tcW w:w="1683" w:type="dxa"/>
          </w:tcPr>
          <w:p w14:paraId="57C72A17"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Vielas, kas klasificētas šādi:</w:t>
            </w:r>
          </w:p>
          <w:p w14:paraId="0EA69C22"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kancerogēnas (1.A vai 1.B kategorija)</w:t>
            </w:r>
          </w:p>
          <w:p w14:paraId="28C08DC8"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un/vai</w:t>
            </w:r>
          </w:p>
          <w:p w14:paraId="7E0C0BCB"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reproduktīvajai sistēmai toksiskas (1.A vai 1.B kategorija)</w:t>
            </w:r>
          </w:p>
          <w:p w14:paraId="2F2D584B"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un/vai</w:t>
            </w:r>
          </w:p>
          <w:p w14:paraId="79A0FE4C"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 xml:space="preserve">endokrīnie disruptori, kuriem cilvēka eksponētība ir </w:t>
            </w:r>
            <w:r w:rsidRPr="00083A37">
              <w:rPr>
                <w:rFonts w:ascii="Times New Roman" w:eastAsia="Times New Roman" w:hAnsi="Times New Roman" w:cs="Times New Roman"/>
                <w:sz w:val="28"/>
                <w:szCs w:val="28"/>
                <w:lang w:val="lv-LV"/>
              </w:rPr>
              <w:lastRenderedPageBreak/>
              <w:t>niecīga</w:t>
            </w:r>
          </w:p>
        </w:tc>
        <w:tc>
          <w:tcPr>
            <w:tcW w:w="1976" w:type="dxa"/>
          </w:tcPr>
          <w:p w14:paraId="3048ADA2"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p>
        </w:tc>
      </w:tr>
      <w:tr w:rsidR="00A64BAF" w:rsidRPr="00083A37" w14:paraId="42A2E97A" w14:textId="77777777" w:rsidTr="00C47D01">
        <w:tc>
          <w:tcPr>
            <w:tcW w:w="1637" w:type="dxa"/>
          </w:tcPr>
          <w:p w14:paraId="1E7D495B"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v)</w:t>
            </w:r>
          </w:p>
        </w:tc>
        <w:tc>
          <w:tcPr>
            <w:tcW w:w="11313" w:type="dxa"/>
            <w:gridSpan w:val="7"/>
          </w:tcPr>
          <w:p w14:paraId="4773DAEF"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Bīstamības svērumi, kurus piemēro tādu darbīgo vielu daudzumiem, kas laistas tirgū uz Regulas (EK) Nr. 1107/2009 pamata atļautos augu aizsardzības līdzekļos</w:t>
            </w:r>
          </w:p>
        </w:tc>
      </w:tr>
      <w:tr w:rsidR="00A64BAF" w:rsidRPr="00083A37" w14:paraId="57A8676D" w14:textId="77777777" w:rsidTr="00C47D01">
        <w:tc>
          <w:tcPr>
            <w:tcW w:w="1637" w:type="dxa"/>
          </w:tcPr>
          <w:p w14:paraId="7EE3C150"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vi)</w:t>
            </w:r>
          </w:p>
        </w:tc>
        <w:tc>
          <w:tcPr>
            <w:tcW w:w="3003" w:type="dxa"/>
            <w:gridSpan w:val="2"/>
          </w:tcPr>
          <w:p w14:paraId="027C0BA8"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1</w:t>
            </w:r>
          </w:p>
        </w:tc>
        <w:tc>
          <w:tcPr>
            <w:tcW w:w="2968" w:type="dxa"/>
            <w:gridSpan w:val="2"/>
          </w:tcPr>
          <w:p w14:paraId="6BD7ED97"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8</w:t>
            </w:r>
          </w:p>
        </w:tc>
        <w:tc>
          <w:tcPr>
            <w:tcW w:w="3366" w:type="dxa"/>
            <w:gridSpan w:val="2"/>
          </w:tcPr>
          <w:p w14:paraId="55C2B796"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16</w:t>
            </w:r>
          </w:p>
        </w:tc>
        <w:tc>
          <w:tcPr>
            <w:tcW w:w="1976" w:type="dxa"/>
          </w:tcPr>
          <w:p w14:paraId="2A09DE78"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64</w:t>
            </w:r>
          </w:p>
        </w:tc>
      </w:tr>
    </w:tbl>
    <w:p w14:paraId="7294A586"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5.   Saskaņotā riska indikatora Nr. 1 bāzlīnija ir 100, un tā ir vienāda ar vidējo rezultātu, kas iegūts iepriekš minētajā aprēķinā par laikposmu no 2011. līdz 2013. gadam.</w:t>
      </w:r>
    </w:p>
    <w:p w14:paraId="4B9EF938"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6.   Saskaņotā riska indikatora Nr. 1 rezultātu izsaka, ņemot vērā bāzlīniju.</w:t>
      </w:r>
    </w:p>
    <w:p w14:paraId="2CCBB6C8"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7.   Dalībvalstis un Komisija saskaņoto riska indikatoru Nr. 1 aprēķina un publisko saskaņā ar Direktīvas 2009/128/EK 15. panta 2. punktu un 15. panta 4. punktu par katru kalendāro gadu un vēlākais 20 mēnešus pēc tā gada beigām, kurā saskaņotais riska indikators Nr. 1 tiek aprēķināts.</w:t>
      </w:r>
    </w:p>
    <w:p w14:paraId="1E2FDD8A" w14:textId="77777777" w:rsidR="00A64BAF" w:rsidRPr="00083A37" w:rsidRDefault="00A64BAF" w:rsidP="00A64BAF">
      <w:pPr>
        <w:spacing w:before="100" w:beforeAutospacing="1" w:after="100" w:afterAutospacing="1" w:line="240" w:lineRule="auto"/>
        <w:jc w:val="center"/>
        <w:rPr>
          <w:rFonts w:ascii="Times New Roman" w:eastAsia="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22"/>
        <w:gridCol w:w="2255"/>
        <w:gridCol w:w="1337"/>
        <w:gridCol w:w="596"/>
        <w:gridCol w:w="596"/>
        <w:gridCol w:w="596"/>
        <w:gridCol w:w="596"/>
        <w:gridCol w:w="6962"/>
      </w:tblGrid>
      <w:tr w:rsidR="00A64BAF" w:rsidRPr="00083A37" w14:paraId="4B41E2C8" w14:textId="77777777" w:rsidTr="00C47D01">
        <w:trPr>
          <w:tblCellSpacing w:w="0" w:type="dxa"/>
        </w:trPr>
        <w:tc>
          <w:tcPr>
            <w:tcW w:w="8" w:type="pct"/>
            <w:vMerge w:val="restart"/>
            <w:hideMark/>
          </w:tcPr>
          <w:p w14:paraId="2D52CA88"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4992" w:type="pct"/>
            <w:gridSpan w:val="7"/>
            <w:hideMark/>
          </w:tcPr>
          <w:p w14:paraId="5C307D40"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 xml:space="preserve"> </w:t>
            </w:r>
          </w:p>
        </w:tc>
      </w:tr>
      <w:tr w:rsidR="00A64BAF" w:rsidRPr="00083A37" w14:paraId="6DCE1668" w14:textId="77777777" w:rsidTr="00C47D01">
        <w:trPr>
          <w:tblCellSpacing w:w="0" w:type="dxa"/>
        </w:trPr>
        <w:tc>
          <w:tcPr>
            <w:tcW w:w="8" w:type="pct"/>
            <w:vMerge/>
            <w:vAlign w:val="center"/>
            <w:hideMark/>
          </w:tcPr>
          <w:p w14:paraId="39A5E707" w14:textId="77777777" w:rsidR="00A64BAF" w:rsidRPr="00083A37" w:rsidRDefault="00A64BAF" w:rsidP="00A64BAF">
            <w:pPr>
              <w:spacing w:after="0" w:line="240" w:lineRule="auto"/>
              <w:rPr>
                <w:rFonts w:ascii="Times New Roman" w:eastAsia="Times New Roman" w:hAnsi="Times New Roman" w:cs="Times New Roman"/>
                <w:sz w:val="28"/>
                <w:szCs w:val="28"/>
              </w:rPr>
            </w:pPr>
          </w:p>
        </w:tc>
        <w:tc>
          <w:tcPr>
            <w:tcW w:w="1386" w:type="pct"/>
            <w:gridSpan w:val="2"/>
            <w:hideMark/>
          </w:tcPr>
          <w:p w14:paraId="2C9CBF40"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gridSpan w:val="2"/>
            <w:hideMark/>
          </w:tcPr>
          <w:p w14:paraId="1461CD93"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gridSpan w:val="2"/>
            <w:hideMark/>
          </w:tcPr>
          <w:p w14:paraId="07183348"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hideMark/>
          </w:tcPr>
          <w:p w14:paraId="46741172"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r>
      <w:tr w:rsidR="00A64BAF" w:rsidRPr="00083A37" w14:paraId="31E7E27A" w14:textId="77777777" w:rsidTr="00C47D01">
        <w:trPr>
          <w:tblCellSpacing w:w="0" w:type="dxa"/>
        </w:trPr>
        <w:tc>
          <w:tcPr>
            <w:tcW w:w="8" w:type="pct"/>
            <w:hideMark/>
          </w:tcPr>
          <w:p w14:paraId="163E8560"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1386" w:type="pct"/>
            <w:gridSpan w:val="2"/>
            <w:hideMark/>
          </w:tcPr>
          <w:p w14:paraId="778F756F"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gridSpan w:val="2"/>
            <w:hideMark/>
          </w:tcPr>
          <w:p w14:paraId="5599210E"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gridSpan w:val="2"/>
            <w:hideMark/>
          </w:tcPr>
          <w:p w14:paraId="6E95E821"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hideMark/>
          </w:tcPr>
          <w:p w14:paraId="07F73639"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r>
      <w:tr w:rsidR="00A64BAF" w:rsidRPr="00083A37" w14:paraId="3780918D" w14:textId="77777777" w:rsidTr="00C47D01">
        <w:trPr>
          <w:tblCellSpacing w:w="0" w:type="dxa"/>
        </w:trPr>
        <w:tc>
          <w:tcPr>
            <w:tcW w:w="8" w:type="pct"/>
            <w:hideMark/>
          </w:tcPr>
          <w:p w14:paraId="27E83DE2"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4992" w:type="pct"/>
            <w:gridSpan w:val="7"/>
            <w:hideMark/>
          </w:tcPr>
          <w:p w14:paraId="139ADF98"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r>
      <w:tr w:rsidR="00A64BAF" w:rsidRPr="00083A37" w14:paraId="7F2A0E92" w14:textId="77777777" w:rsidTr="00C47D01">
        <w:trPr>
          <w:tblCellSpacing w:w="0" w:type="dxa"/>
        </w:trPr>
        <w:tc>
          <w:tcPr>
            <w:tcW w:w="8" w:type="pct"/>
          </w:tcPr>
          <w:p w14:paraId="5A5CA510"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870" w:type="pct"/>
          </w:tcPr>
          <w:p w14:paraId="2F3544A9"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516" w:type="pct"/>
          </w:tcPr>
          <w:p w14:paraId="2997C5D0"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tcPr>
          <w:p w14:paraId="3E8C7BCD"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tcPr>
          <w:p w14:paraId="2E764D00"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tcPr>
          <w:p w14:paraId="0B74D790"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tcPr>
          <w:p w14:paraId="1C7E6BA2"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tcPr>
          <w:p w14:paraId="38F3E1CC"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r>
      <w:tr w:rsidR="00A64BAF" w:rsidRPr="00083A37" w14:paraId="3A6853A5" w14:textId="77777777" w:rsidTr="00C47D01">
        <w:trPr>
          <w:tblCellSpacing w:w="0" w:type="dxa"/>
        </w:trPr>
        <w:tc>
          <w:tcPr>
            <w:tcW w:w="8" w:type="pct"/>
          </w:tcPr>
          <w:p w14:paraId="0B7DF17A"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870" w:type="pct"/>
          </w:tcPr>
          <w:p w14:paraId="79A5814D"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516" w:type="pct"/>
          </w:tcPr>
          <w:p w14:paraId="5D5E58B6"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hideMark/>
          </w:tcPr>
          <w:p w14:paraId="077E3422"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hideMark/>
          </w:tcPr>
          <w:p w14:paraId="0FA2B30D"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 xml:space="preserve"> </w:t>
            </w:r>
          </w:p>
        </w:tc>
        <w:tc>
          <w:tcPr>
            <w:tcW w:w="0" w:type="auto"/>
            <w:hideMark/>
          </w:tcPr>
          <w:p w14:paraId="6FBBC420"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hideMark/>
          </w:tcPr>
          <w:p w14:paraId="115FE7A1"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hideMark/>
          </w:tcPr>
          <w:p w14:paraId="2745C376"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 </w:t>
            </w:r>
          </w:p>
        </w:tc>
      </w:tr>
      <w:tr w:rsidR="00A64BAF" w:rsidRPr="00083A37" w14:paraId="5B7CA3D2" w14:textId="77777777" w:rsidTr="00C47D01">
        <w:trPr>
          <w:tblCellSpacing w:w="0" w:type="dxa"/>
        </w:trPr>
        <w:tc>
          <w:tcPr>
            <w:tcW w:w="8" w:type="pct"/>
          </w:tcPr>
          <w:p w14:paraId="4F5DA93F"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4992" w:type="pct"/>
            <w:gridSpan w:val="7"/>
          </w:tcPr>
          <w:p w14:paraId="5732BA97" w14:textId="77777777" w:rsidR="00A64BAF" w:rsidRPr="00083A37" w:rsidRDefault="00A64BAF" w:rsidP="00A64BAF">
            <w:pPr>
              <w:spacing w:before="100" w:beforeAutospacing="1" w:after="100" w:afterAutospacing="1" w:line="240" w:lineRule="auto"/>
              <w:jc w:val="center"/>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3. IEDAĻA</w:t>
            </w:r>
          </w:p>
          <w:p w14:paraId="502D117D" w14:textId="77777777" w:rsidR="00A64BAF" w:rsidRPr="00083A37" w:rsidRDefault="00A64BAF" w:rsidP="00A64BAF">
            <w:pPr>
              <w:spacing w:before="100" w:beforeAutospacing="1" w:after="100" w:afterAutospacing="1" w:line="240" w:lineRule="auto"/>
              <w:jc w:val="center"/>
              <w:rPr>
                <w:rFonts w:ascii="Times New Roman" w:eastAsia="Times New Roman" w:hAnsi="Times New Roman" w:cs="Times New Roman"/>
                <w:b/>
                <w:sz w:val="28"/>
                <w:szCs w:val="28"/>
              </w:rPr>
            </w:pPr>
            <w:r w:rsidRPr="00083A37">
              <w:rPr>
                <w:rFonts w:ascii="Times New Roman" w:eastAsia="Times New Roman" w:hAnsi="Times New Roman" w:cs="Times New Roman"/>
                <w:b/>
                <w:sz w:val="28"/>
                <w:szCs w:val="28"/>
              </w:rPr>
              <w:t>Saskaņotais riska indikators Nr. 2: saskaņots riska indikators, kura pamatā ir uz Regulas (EK) Nr. 1107/2009 53. panta pamata piešķirto atļauju skaits</w:t>
            </w:r>
          </w:p>
          <w:p w14:paraId="6C04D20F" w14:textId="77777777" w:rsidR="00A64BAF" w:rsidRPr="00083A37" w:rsidRDefault="00A64BAF" w:rsidP="00A64BAF">
            <w:pPr>
              <w:spacing w:before="100" w:beforeAutospacing="1"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1.   Šā indikatora pamatā ir uz Regulas (EK) Nr. 1107/2009 53. panta pamata piešķirto augu aizsardzības līdzekļu atļauju skaits, kas Komisijai paziņots saskaņā ar minētās regulas 53. panta 1. punktu. Dati tiek sagrupēti četrās grupās, kas savukārt tiek iedalītas septiņās kategorijās.</w:t>
            </w:r>
          </w:p>
          <w:p w14:paraId="0FFB67A3" w14:textId="77777777" w:rsidR="00A64BAF" w:rsidRPr="00083A37" w:rsidRDefault="00A64BAF" w:rsidP="00A64BAF">
            <w:pPr>
              <w:spacing w:before="100" w:beforeAutospacing="1"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2.   Saskaņotā riska indikatora Nr. 2 aprēķināšanai izmanto šādus vispārīgus noteikumus:</w:t>
            </w:r>
          </w:p>
          <w:tbl>
            <w:tblPr>
              <w:tblW w:w="5000" w:type="pct"/>
              <w:tblCellSpacing w:w="0" w:type="dxa"/>
              <w:tblCellMar>
                <w:left w:w="0" w:type="dxa"/>
                <w:right w:w="0" w:type="dxa"/>
              </w:tblCellMar>
              <w:tblLook w:val="04A0" w:firstRow="1" w:lastRow="0" w:firstColumn="1" w:lastColumn="0" w:noHBand="0" w:noVBand="1"/>
            </w:tblPr>
            <w:tblGrid>
              <w:gridCol w:w="218"/>
              <w:gridCol w:w="12720"/>
            </w:tblGrid>
            <w:tr w:rsidR="00A64BAF" w:rsidRPr="00083A37" w14:paraId="073691B3" w14:textId="77777777" w:rsidTr="00C47D01">
              <w:trPr>
                <w:tblCellSpacing w:w="0" w:type="dxa"/>
              </w:trPr>
              <w:tc>
                <w:tcPr>
                  <w:tcW w:w="0" w:type="auto"/>
                  <w:hideMark/>
                </w:tcPr>
                <w:p w14:paraId="3AC39821" w14:textId="77777777" w:rsidR="00A64BAF" w:rsidRPr="00083A37" w:rsidRDefault="00A64BAF" w:rsidP="00A64BAF">
                  <w:pPr>
                    <w:spacing w:before="240"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lastRenderedPageBreak/>
                    <w:t>a)</w:t>
                  </w:r>
                </w:p>
              </w:tc>
              <w:tc>
                <w:tcPr>
                  <w:tcW w:w="0" w:type="auto"/>
                  <w:hideMark/>
                </w:tcPr>
                <w:p w14:paraId="7CB00180" w14:textId="77777777" w:rsidR="00A64BAF" w:rsidRPr="00083A37" w:rsidRDefault="00A64BAF" w:rsidP="00A64BAF">
                  <w:pPr>
                    <w:spacing w:before="240"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 xml:space="preserve"> saskaņotā riska indikatora Nr. 2 pamatā ir uz Regulas (EK) Nr. 1107/2009 53. panta pamata piešķirto atļauju skaits. Saskaņoto riska indikatoru Nr. 2 aprēķina, pamatojoties uz darbīgo vielu iedalījumu četrās grupās un septiņās kategorijās, kas norādītas šīs iedaļas 2. tabulā;</w:t>
                  </w:r>
                </w:p>
              </w:tc>
            </w:tr>
          </w:tbl>
          <w:p w14:paraId="53803FCA" w14:textId="77777777" w:rsidR="00A64BAF" w:rsidRPr="00083A37" w:rsidRDefault="00A64BAF" w:rsidP="00A64BAF">
            <w:pPr>
              <w:spacing w:before="240" w:after="0" w:line="240" w:lineRule="auto"/>
              <w:jc w:val="both"/>
              <w:rPr>
                <w:rFonts w:ascii="Times New Roman" w:eastAsia="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234"/>
              <w:gridCol w:w="12704"/>
            </w:tblGrid>
            <w:tr w:rsidR="00A64BAF" w:rsidRPr="00083A37" w14:paraId="3C216673" w14:textId="77777777" w:rsidTr="00C47D01">
              <w:trPr>
                <w:tblCellSpacing w:w="0" w:type="dxa"/>
              </w:trPr>
              <w:tc>
                <w:tcPr>
                  <w:tcW w:w="0" w:type="auto"/>
                  <w:hideMark/>
                </w:tcPr>
                <w:p w14:paraId="7A1C1853" w14:textId="77777777" w:rsidR="00A64BAF" w:rsidRPr="00083A37" w:rsidRDefault="00A64BAF" w:rsidP="00A64BAF">
                  <w:pPr>
                    <w:spacing w:before="240"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b)</w:t>
                  </w:r>
                </w:p>
              </w:tc>
              <w:tc>
                <w:tcPr>
                  <w:tcW w:w="0" w:type="auto"/>
                  <w:hideMark/>
                </w:tcPr>
                <w:p w14:paraId="22DE103B" w14:textId="77777777" w:rsidR="00A64BAF" w:rsidRPr="00083A37" w:rsidRDefault="00A64BAF" w:rsidP="00A64BAF">
                  <w:pPr>
                    <w:spacing w:before="240"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 xml:space="preserve"> 1. grupas darbīgās vielas (A un B kategorija) ir tās, kuras norādītas Īstenošanas regulas (ES) Nr. 540/2011 pielikuma D daļas sarakstā;</w:t>
                  </w:r>
                </w:p>
              </w:tc>
            </w:tr>
          </w:tbl>
          <w:p w14:paraId="68641A66" w14:textId="77777777" w:rsidR="00A64BAF" w:rsidRPr="00083A37" w:rsidRDefault="00A64BAF" w:rsidP="00A64BAF">
            <w:pPr>
              <w:spacing w:before="240" w:after="0" w:line="240" w:lineRule="auto"/>
              <w:jc w:val="both"/>
              <w:rPr>
                <w:rFonts w:ascii="Times New Roman" w:eastAsia="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218"/>
              <w:gridCol w:w="12720"/>
            </w:tblGrid>
            <w:tr w:rsidR="00A64BAF" w:rsidRPr="00083A37" w14:paraId="4984D4BF" w14:textId="77777777" w:rsidTr="00C47D01">
              <w:trPr>
                <w:tblCellSpacing w:w="0" w:type="dxa"/>
              </w:trPr>
              <w:tc>
                <w:tcPr>
                  <w:tcW w:w="0" w:type="auto"/>
                  <w:hideMark/>
                </w:tcPr>
                <w:p w14:paraId="6355A5FA" w14:textId="77777777" w:rsidR="00A64BAF" w:rsidRPr="00083A37" w:rsidRDefault="00A64BAF" w:rsidP="00A64BAF">
                  <w:pPr>
                    <w:spacing w:before="240"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c)</w:t>
                  </w:r>
                </w:p>
              </w:tc>
              <w:tc>
                <w:tcPr>
                  <w:tcW w:w="0" w:type="auto"/>
                  <w:hideMark/>
                </w:tcPr>
                <w:p w14:paraId="67CD4960" w14:textId="77777777" w:rsidR="00A64BAF" w:rsidRPr="00083A37" w:rsidRDefault="00A64BAF" w:rsidP="00A64BAF">
                  <w:pPr>
                    <w:spacing w:before="240"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 xml:space="preserve"> 2. grupas darbīgās vielas (C un D kategorija) ir tās, kuras norādītas Īstenošanas regulas (ES) Nr. 540/2011 pielikuma A un B daļas sarakstā;</w:t>
                  </w:r>
                </w:p>
              </w:tc>
            </w:tr>
          </w:tbl>
          <w:p w14:paraId="07E27A4F" w14:textId="77777777" w:rsidR="00A64BAF" w:rsidRPr="00083A37" w:rsidRDefault="00A64BAF" w:rsidP="00A64BAF">
            <w:pPr>
              <w:spacing w:before="240" w:after="0" w:line="240" w:lineRule="auto"/>
              <w:jc w:val="both"/>
              <w:rPr>
                <w:rFonts w:ascii="Times New Roman" w:eastAsia="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234"/>
              <w:gridCol w:w="12704"/>
            </w:tblGrid>
            <w:tr w:rsidR="00A64BAF" w:rsidRPr="00083A37" w14:paraId="5D9CC5D3" w14:textId="77777777" w:rsidTr="00C47D01">
              <w:trPr>
                <w:tblCellSpacing w:w="0" w:type="dxa"/>
              </w:trPr>
              <w:tc>
                <w:tcPr>
                  <w:tcW w:w="0" w:type="auto"/>
                  <w:hideMark/>
                </w:tcPr>
                <w:p w14:paraId="167AD0CA" w14:textId="77777777" w:rsidR="00A64BAF" w:rsidRPr="00083A37" w:rsidRDefault="00A64BAF" w:rsidP="00A64BAF">
                  <w:pPr>
                    <w:spacing w:before="240"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d)</w:t>
                  </w:r>
                </w:p>
              </w:tc>
              <w:tc>
                <w:tcPr>
                  <w:tcW w:w="0" w:type="auto"/>
                  <w:hideMark/>
                </w:tcPr>
                <w:p w14:paraId="00A88FAE" w14:textId="77777777" w:rsidR="00A64BAF" w:rsidRPr="00083A37" w:rsidRDefault="00A64BAF" w:rsidP="00A64BAF">
                  <w:pPr>
                    <w:spacing w:before="240"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 xml:space="preserve"> 3. grupas darbīgās vielas (E un F kategorija) ir tās, kuras norādītas Īstenošanas regulas (ES) Nr. 540/2011 pielikuma E daļas sarakstā;</w:t>
                  </w:r>
                </w:p>
              </w:tc>
            </w:tr>
          </w:tbl>
          <w:p w14:paraId="625E11A8" w14:textId="77777777" w:rsidR="00A64BAF" w:rsidRPr="00083A37" w:rsidRDefault="00A64BAF" w:rsidP="00A64BAF">
            <w:pPr>
              <w:spacing w:before="240" w:after="0" w:line="240" w:lineRule="auto"/>
              <w:jc w:val="both"/>
              <w:rPr>
                <w:rFonts w:ascii="Times New Roman" w:eastAsia="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218"/>
              <w:gridCol w:w="12720"/>
            </w:tblGrid>
            <w:tr w:rsidR="00A64BAF" w:rsidRPr="00083A37" w14:paraId="43DB4A6F" w14:textId="77777777" w:rsidTr="00C47D01">
              <w:trPr>
                <w:tblCellSpacing w:w="0" w:type="dxa"/>
              </w:trPr>
              <w:tc>
                <w:tcPr>
                  <w:tcW w:w="0" w:type="auto"/>
                  <w:hideMark/>
                </w:tcPr>
                <w:p w14:paraId="4DD855D0" w14:textId="77777777" w:rsidR="00A64BAF" w:rsidRPr="00083A37" w:rsidRDefault="00A64BAF" w:rsidP="00A64BAF">
                  <w:pPr>
                    <w:spacing w:before="240"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e)</w:t>
                  </w:r>
                </w:p>
              </w:tc>
              <w:tc>
                <w:tcPr>
                  <w:tcW w:w="0" w:type="auto"/>
                  <w:hideMark/>
                </w:tcPr>
                <w:p w14:paraId="7F60E918" w14:textId="77777777" w:rsidR="00A64BAF" w:rsidRPr="00083A37" w:rsidRDefault="00A64BAF" w:rsidP="00A64BAF">
                  <w:pPr>
                    <w:spacing w:before="240"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 xml:space="preserve"> 4. grupas darbīgās vielas (G kategorija) ir tās, kuras nav apstiprinātas uz Regulas (EK) Nr. 1107/2009 pamata un tāpēc nav norādītas Īstenošanas regulas (ES) Nr. 540/2011 pielikuma sarakstā;</w:t>
                  </w:r>
                </w:p>
              </w:tc>
            </w:tr>
          </w:tbl>
          <w:p w14:paraId="4EC362F5" w14:textId="77777777" w:rsidR="00A64BAF" w:rsidRPr="00083A37" w:rsidRDefault="00A64BAF" w:rsidP="00A64BAF">
            <w:pPr>
              <w:spacing w:before="240" w:after="0" w:line="240" w:lineRule="auto"/>
              <w:jc w:val="both"/>
              <w:rPr>
                <w:rFonts w:ascii="Times New Roman" w:eastAsia="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416"/>
              <w:gridCol w:w="12522"/>
            </w:tblGrid>
            <w:tr w:rsidR="00A64BAF" w:rsidRPr="00083A37" w14:paraId="6940EF65" w14:textId="77777777" w:rsidTr="00C47D01">
              <w:trPr>
                <w:tblCellSpacing w:w="0" w:type="dxa"/>
              </w:trPr>
              <w:tc>
                <w:tcPr>
                  <w:tcW w:w="0" w:type="auto"/>
                  <w:hideMark/>
                </w:tcPr>
                <w:p w14:paraId="38B83AA7" w14:textId="77777777" w:rsidR="00A64BAF" w:rsidRPr="00083A37" w:rsidRDefault="00A64BAF" w:rsidP="00A64BAF">
                  <w:pPr>
                    <w:spacing w:before="240"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f)</w:t>
                  </w:r>
                </w:p>
              </w:tc>
              <w:tc>
                <w:tcPr>
                  <w:tcW w:w="0" w:type="auto"/>
                  <w:hideMark/>
                </w:tcPr>
                <w:p w14:paraId="0EAEF6DB" w14:textId="77777777" w:rsidR="00A64BAF" w:rsidRPr="00083A37" w:rsidRDefault="00A64BAF" w:rsidP="00A64BAF">
                  <w:pPr>
                    <w:spacing w:before="240"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piemēro šīs iedaļas 2. tabulas vi) rindas svērumus.</w:t>
                  </w:r>
                </w:p>
              </w:tc>
            </w:tr>
          </w:tbl>
          <w:p w14:paraId="7B2CEC99" w14:textId="77777777" w:rsidR="00A64BAF" w:rsidRPr="00083A37" w:rsidRDefault="00A64BAF" w:rsidP="00A64BAF">
            <w:pPr>
              <w:numPr>
                <w:ilvl w:val="0"/>
                <w:numId w:val="2"/>
              </w:numPr>
              <w:spacing w:before="100" w:beforeAutospacing="1" w:after="100" w:afterAutospacing="1" w:line="240" w:lineRule="auto"/>
              <w:ind w:left="411" w:hanging="411"/>
              <w:contextualSpacing/>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Saskaņoto riska indikatoru Nr. 2 aprēķina, augu aizsardzības līdzekļiem uz Regulas (EK) Nr. 1107/2009 53. panta pamata piešķirto atļauju skaitu 2. tabulas katrā grupā reizinot ar attiecīgo bīstamības svērumu, kas norādīts vi) rindā, un pēc tam summējot šo aprēķinu rezultātus.</w:t>
            </w:r>
          </w:p>
          <w:p w14:paraId="057DB3E7" w14:textId="77777777" w:rsidR="00A64BAF" w:rsidRPr="00083A37" w:rsidRDefault="00A64BAF" w:rsidP="00A64BAF">
            <w:pPr>
              <w:spacing w:before="100" w:beforeAutospacing="1" w:after="100" w:afterAutospacing="1" w:line="240" w:lineRule="auto"/>
              <w:ind w:left="502"/>
              <w:contextualSpacing/>
              <w:jc w:val="both"/>
              <w:rPr>
                <w:rFonts w:ascii="Times New Roman" w:eastAsia="Times New Roman" w:hAnsi="Times New Roman" w:cs="Times New Roman"/>
                <w:sz w:val="28"/>
                <w:szCs w:val="28"/>
              </w:rPr>
            </w:pPr>
          </w:p>
          <w:p w14:paraId="426B6462"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p w14:paraId="2CF6D7AC" w14:textId="77777777" w:rsidR="00A64BAF" w:rsidRPr="00083A37" w:rsidRDefault="00A64BAF" w:rsidP="00A64BAF">
            <w:pPr>
              <w:spacing w:before="100" w:beforeAutospacing="1" w:after="100" w:afterAutospacing="1" w:line="240" w:lineRule="auto"/>
              <w:jc w:val="center"/>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2. tabula</w:t>
            </w:r>
          </w:p>
          <w:p w14:paraId="14BCB3AF" w14:textId="77777777" w:rsidR="00A64BAF" w:rsidRPr="00083A37" w:rsidRDefault="00A64BAF" w:rsidP="00A64BAF">
            <w:pPr>
              <w:spacing w:before="100" w:beforeAutospacing="1" w:after="100" w:afterAutospacing="1" w:line="240" w:lineRule="auto"/>
              <w:jc w:val="center"/>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Darbīgo vielu un bīstamības svērumu iedalījums saskaņotā riska indikatora Nr. 2 aprēķināšanai</w:t>
            </w:r>
          </w:p>
          <w:tbl>
            <w:tblPr>
              <w:tblStyle w:val="Reatabula"/>
              <w:tblW w:w="0" w:type="auto"/>
              <w:tblLook w:val="04A0" w:firstRow="1" w:lastRow="0" w:firstColumn="1" w:lastColumn="0" w:noHBand="0" w:noVBand="1"/>
            </w:tblPr>
            <w:tblGrid>
              <w:gridCol w:w="906"/>
              <w:gridCol w:w="2036"/>
              <w:gridCol w:w="1227"/>
              <w:gridCol w:w="2036"/>
              <w:gridCol w:w="1227"/>
              <w:gridCol w:w="1927"/>
              <w:gridCol w:w="1927"/>
              <w:gridCol w:w="1642"/>
            </w:tblGrid>
            <w:tr w:rsidR="00A64BAF" w:rsidRPr="00083A37" w14:paraId="2936C78A" w14:textId="77777777" w:rsidTr="00C47D01">
              <w:tc>
                <w:tcPr>
                  <w:tcW w:w="1637" w:type="dxa"/>
                  <w:vMerge w:val="restart"/>
                </w:tcPr>
                <w:p w14:paraId="2645FE04"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lastRenderedPageBreak/>
                    <w:t>Rinda</w:t>
                  </w:r>
                </w:p>
              </w:tc>
              <w:tc>
                <w:tcPr>
                  <w:tcW w:w="11313" w:type="dxa"/>
                  <w:gridSpan w:val="7"/>
                </w:tcPr>
                <w:p w14:paraId="662EB731"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Grupas</w:t>
                  </w:r>
                </w:p>
              </w:tc>
            </w:tr>
            <w:tr w:rsidR="00A64BAF" w:rsidRPr="00083A37" w14:paraId="19C25B75" w14:textId="77777777" w:rsidTr="00C47D01">
              <w:tc>
                <w:tcPr>
                  <w:tcW w:w="1637" w:type="dxa"/>
                  <w:vMerge/>
                </w:tcPr>
                <w:p w14:paraId="3591D2D3"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p>
              </w:tc>
              <w:tc>
                <w:tcPr>
                  <w:tcW w:w="3003" w:type="dxa"/>
                  <w:gridSpan w:val="2"/>
                </w:tcPr>
                <w:p w14:paraId="3651AC63"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1</w:t>
                  </w:r>
                </w:p>
              </w:tc>
              <w:tc>
                <w:tcPr>
                  <w:tcW w:w="2968" w:type="dxa"/>
                  <w:gridSpan w:val="2"/>
                </w:tcPr>
                <w:p w14:paraId="764F3398"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2</w:t>
                  </w:r>
                </w:p>
              </w:tc>
              <w:tc>
                <w:tcPr>
                  <w:tcW w:w="3366" w:type="dxa"/>
                  <w:gridSpan w:val="2"/>
                </w:tcPr>
                <w:p w14:paraId="577B420F"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3</w:t>
                  </w:r>
                </w:p>
              </w:tc>
              <w:tc>
                <w:tcPr>
                  <w:tcW w:w="1976" w:type="dxa"/>
                </w:tcPr>
                <w:p w14:paraId="2EA20C65"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4</w:t>
                  </w:r>
                </w:p>
              </w:tc>
            </w:tr>
            <w:tr w:rsidR="00A64BAF" w:rsidRPr="00083A37" w14:paraId="368D73A0" w14:textId="77777777" w:rsidTr="00C47D01">
              <w:tc>
                <w:tcPr>
                  <w:tcW w:w="1637" w:type="dxa"/>
                </w:tcPr>
                <w:p w14:paraId="503B4609"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i)</w:t>
                  </w:r>
                </w:p>
              </w:tc>
              <w:tc>
                <w:tcPr>
                  <w:tcW w:w="3003" w:type="dxa"/>
                  <w:gridSpan w:val="2"/>
                </w:tcPr>
                <w:p w14:paraId="0CFA9965"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Zema riska darbīgās vielas [darbīgās vielas ar zemu kaitīguma pakāpi], kuras ir apstiprinātas vai uzskata par apstiprinātām uz Regulas (EK) Nr. 1107/2009 22. panta pamata, un kuras ir norādītas Īstenošanas regulas (ES) Nr. 540/2011 pielikuma D daļas sarakstā</w:t>
                  </w:r>
                </w:p>
              </w:tc>
              <w:tc>
                <w:tcPr>
                  <w:tcW w:w="2968" w:type="dxa"/>
                  <w:gridSpan w:val="2"/>
                </w:tcPr>
                <w:p w14:paraId="04DB6E2B"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Darbīgās vielas, kuras ir apstiprinātas vai uzskata par apstiprinātām uz Regulas (EK) Nr. 1107/2009 pamata, nav iekļautas citās kategorijās un ir norādītas Īstenošanas regulas (ES) Nr. 540/2011 pielikuma A un B daļas sarakstā</w:t>
                  </w:r>
                </w:p>
              </w:tc>
              <w:tc>
                <w:tcPr>
                  <w:tcW w:w="3366" w:type="dxa"/>
                  <w:gridSpan w:val="2"/>
                </w:tcPr>
                <w:p w14:paraId="711E1D1E"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Darbīgās vielas, kuras ir apstiprinātas vai uzskata par apstiprinātām uz Regulas (EK) Nr. 1107/2009 24. panta pamata, ir aizstājamās vielas un ir norādītas Īstenošanas regulas (ES) Nr. 540/2011 pielikuma E daļas sarakstā</w:t>
                  </w:r>
                </w:p>
              </w:tc>
              <w:tc>
                <w:tcPr>
                  <w:tcW w:w="1976" w:type="dxa"/>
                </w:tcPr>
                <w:p w14:paraId="2B4FFC43"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Darbīgās vielas, kuras nav apstiprinātas uz Regulas (EK) Nr. 1107/2009 pamata un tāpēc nav norādītas Īstenošanas regulas (ES) Nr. 540/2011 pielikuma sarakstā</w:t>
                  </w:r>
                </w:p>
              </w:tc>
            </w:tr>
            <w:tr w:rsidR="00A64BAF" w:rsidRPr="00083A37" w14:paraId="1C34C5E7" w14:textId="77777777" w:rsidTr="00C47D01">
              <w:tc>
                <w:tcPr>
                  <w:tcW w:w="1637" w:type="dxa"/>
                </w:tcPr>
                <w:p w14:paraId="6B99A06E"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ii)</w:t>
                  </w:r>
                </w:p>
              </w:tc>
              <w:tc>
                <w:tcPr>
                  <w:tcW w:w="11313" w:type="dxa"/>
                  <w:gridSpan w:val="7"/>
                </w:tcPr>
                <w:p w14:paraId="7FAC9DF5"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Kategorijas</w:t>
                  </w:r>
                </w:p>
              </w:tc>
            </w:tr>
            <w:tr w:rsidR="00A64BAF" w:rsidRPr="00083A37" w14:paraId="3DF090B0" w14:textId="77777777" w:rsidTr="00C47D01">
              <w:tc>
                <w:tcPr>
                  <w:tcW w:w="1637" w:type="dxa"/>
                </w:tcPr>
                <w:p w14:paraId="2F98F92C"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iii)</w:t>
                  </w:r>
                </w:p>
              </w:tc>
              <w:tc>
                <w:tcPr>
                  <w:tcW w:w="1776" w:type="dxa"/>
                </w:tcPr>
                <w:p w14:paraId="1A9BE70D"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A</w:t>
                  </w:r>
                </w:p>
              </w:tc>
              <w:tc>
                <w:tcPr>
                  <w:tcW w:w="1227" w:type="dxa"/>
                </w:tcPr>
                <w:p w14:paraId="69FB9DEF"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B</w:t>
                  </w:r>
                </w:p>
              </w:tc>
              <w:tc>
                <w:tcPr>
                  <w:tcW w:w="1776" w:type="dxa"/>
                </w:tcPr>
                <w:p w14:paraId="74E6CD36"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C</w:t>
                  </w:r>
                </w:p>
              </w:tc>
              <w:tc>
                <w:tcPr>
                  <w:tcW w:w="1192" w:type="dxa"/>
                </w:tcPr>
                <w:p w14:paraId="555B8654"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D</w:t>
                  </w:r>
                </w:p>
              </w:tc>
              <w:tc>
                <w:tcPr>
                  <w:tcW w:w="1683" w:type="dxa"/>
                </w:tcPr>
                <w:p w14:paraId="333D2C24"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E</w:t>
                  </w:r>
                </w:p>
              </w:tc>
              <w:tc>
                <w:tcPr>
                  <w:tcW w:w="1683" w:type="dxa"/>
                </w:tcPr>
                <w:p w14:paraId="4CD342EF"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F</w:t>
                  </w:r>
                </w:p>
              </w:tc>
              <w:tc>
                <w:tcPr>
                  <w:tcW w:w="1976" w:type="dxa"/>
                </w:tcPr>
                <w:p w14:paraId="5FBBAD34"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G</w:t>
                  </w:r>
                </w:p>
              </w:tc>
            </w:tr>
            <w:tr w:rsidR="00A64BAF" w:rsidRPr="00083A37" w14:paraId="1121FFCA" w14:textId="77777777" w:rsidTr="00C47D01">
              <w:tc>
                <w:tcPr>
                  <w:tcW w:w="1637" w:type="dxa"/>
                </w:tcPr>
                <w:p w14:paraId="50EB7FE3"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iv)</w:t>
                  </w:r>
                </w:p>
              </w:tc>
              <w:tc>
                <w:tcPr>
                  <w:tcW w:w="1776" w:type="dxa"/>
                </w:tcPr>
                <w:p w14:paraId="7595FA08"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Mikroorganismi</w:t>
                  </w:r>
                </w:p>
              </w:tc>
              <w:tc>
                <w:tcPr>
                  <w:tcW w:w="1227" w:type="dxa"/>
                </w:tcPr>
                <w:p w14:paraId="15A60B8E"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Darbīgās ķīmiskās vielas</w:t>
                  </w:r>
                </w:p>
              </w:tc>
              <w:tc>
                <w:tcPr>
                  <w:tcW w:w="1776" w:type="dxa"/>
                </w:tcPr>
                <w:p w14:paraId="1E1609CD"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Mikroorganismi</w:t>
                  </w:r>
                </w:p>
              </w:tc>
              <w:tc>
                <w:tcPr>
                  <w:tcW w:w="1192" w:type="dxa"/>
                </w:tcPr>
                <w:p w14:paraId="4E82AE53"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Darbīgās ķīmiskās vielas</w:t>
                  </w:r>
                </w:p>
              </w:tc>
              <w:tc>
                <w:tcPr>
                  <w:tcW w:w="1683" w:type="dxa"/>
                </w:tcPr>
                <w:p w14:paraId="0666907B"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Vielas, kas nav klasificētas šādi:</w:t>
                  </w:r>
                </w:p>
                <w:p w14:paraId="27C1687F"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kancerogēnas (1.A vai 1.B kategorija)</w:t>
                  </w:r>
                </w:p>
                <w:p w14:paraId="41D29140"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un/vai</w:t>
                  </w:r>
                </w:p>
                <w:p w14:paraId="461B182B"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 xml:space="preserve">reproduktīvajai </w:t>
                  </w:r>
                  <w:r w:rsidRPr="00083A37">
                    <w:rPr>
                      <w:rFonts w:ascii="Times New Roman" w:eastAsia="Times New Roman" w:hAnsi="Times New Roman" w:cs="Times New Roman"/>
                      <w:sz w:val="28"/>
                      <w:szCs w:val="28"/>
                      <w:lang w:val="lv-LV"/>
                    </w:rPr>
                    <w:lastRenderedPageBreak/>
                    <w:t>sistēmai toksiskas (1.A vai 1.B kategorija)</w:t>
                  </w:r>
                </w:p>
                <w:p w14:paraId="187B143F"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un/vai</w:t>
                  </w:r>
                </w:p>
                <w:p w14:paraId="44C47A92"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endokrīnie disruptori</w:t>
                  </w:r>
                </w:p>
              </w:tc>
              <w:tc>
                <w:tcPr>
                  <w:tcW w:w="1683" w:type="dxa"/>
                </w:tcPr>
                <w:p w14:paraId="409F0A08"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lastRenderedPageBreak/>
                    <w:t>Vielas, kas klasificētas šādi:</w:t>
                  </w:r>
                </w:p>
                <w:p w14:paraId="3050AA53"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kancerogēnas (1.A vai 1.B kategorija)</w:t>
                  </w:r>
                </w:p>
                <w:p w14:paraId="21A30EB1"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un/vai</w:t>
                  </w:r>
                </w:p>
                <w:p w14:paraId="07775C4B"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 xml:space="preserve">reproduktīvajai </w:t>
                  </w:r>
                  <w:r w:rsidRPr="00083A37">
                    <w:rPr>
                      <w:rFonts w:ascii="Times New Roman" w:eastAsia="Times New Roman" w:hAnsi="Times New Roman" w:cs="Times New Roman"/>
                      <w:sz w:val="28"/>
                      <w:szCs w:val="28"/>
                      <w:lang w:val="lv-LV"/>
                    </w:rPr>
                    <w:lastRenderedPageBreak/>
                    <w:t>sistēmai toksiskas (1.A vai 1.B kategorija)</w:t>
                  </w:r>
                </w:p>
                <w:p w14:paraId="091C615F"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un/vai</w:t>
                  </w:r>
                </w:p>
                <w:p w14:paraId="20D02EDD" w14:textId="77777777" w:rsidR="00A64BAF" w:rsidRPr="00083A37" w:rsidRDefault="00A64BAF" w:rsidP="00A64BAF">
                  <w:pPr>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endokrīnie disruptori, kuriem cilvēka eksponētība ir niecīga</w:t>
                  </w:r>
                </w:p>
              </w:tc>
              <w:tc>
                <w:tcPr>
                  <w:tcW w:w="1976" w:type="dxa"/>
                </w:tcPr>
                <w:p w14:paraId="6DA29459"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p>
              </w:tc>
            </w:tr>
            <w:tr w:rsidR="00A64BAF" w:rsidRPr="00083A37" w14:paraId="5E9EC3AB" w14:textId="77777777" w:rsidTr="00C47D01">
              <w:tc>
                <w:tcPr>
                  <w:tcW w:w="1637" w:type="dxa"/>
                </w:tcPr>
                <w:p w14:paraId="605E99C2"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v)</w:t>
                  </w:r>
                </w:p>
              </w:tc>
              <w:tc>
                <w:tcPr>
                  <w:tcW w:w="11313" w:type="dxa"/>
                  <w:gridSpan w:val="7"/>
                </w:tcPr>
                <w:p w14:paraId="283D9C37"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Bīstamības svērumi, kurus piemēro uz Regulas (EK) Nr. 1107/2009 53. panta pamata piešķirto atļauju skaitam</w:t>
                  </w:r>
                </w:p>
              </w:tc>
            </w:tr>
            <w:tr w:rsidR="00A64BAF" w:rsidRPr="00083A37" w14:paraId="06622752" w14:textId="77777777" w:rsidTr="00C47D01">
              <w:tc>
                <w:tcPr>
                  <w:tcW w:w="1637" w:type="dxa"/>
                </w:tcPr>
                <w:p w14:paraId="0BC56139"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vi)</w:t>
                  </w:r>
                </w:p>
              </w:tc>
              <w:tc>
                <w:tcPr>
                  <w:tcW w:w="3003" w:type="dxa"/>
                  <w:gridSpan w:val="2"/>
                </w:tcPr>
                <w:p w14:paraId="2E2F82FA"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1</w:t>
                  </w:r>
                </w:p>
              </w:tc>
              <w:tc>
                <w:tcPr>
                  <w:tcW w:w="2968" w:type="dxa"/>
                  <w:gridSpan w:val="2"/>
                </w:tcPr>
                <w:p w14:paraId="6FC07E4B"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8</w:t>
                  </w:r>
                </w:p>
              </w:tc>
              <w:tc>
                <w:tcPr>
                  <w:tcW w:w="3366" w:type="dxa"/>
                  <w:gridSpan w:val="2"/>
                </w:tcPr>
                <w:p w14:paraId="46B9FC68"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16</w:t>
                  </w:r>
                </w:p>
              </w:tc>
              <w:tc>
                <w:tcPr>
                  <w:tcW w:w="1976" w:type="dxa"/>
                </w:tcPr>
                <w:p w14:paraId="6814F0AE" w14:textId="77777777" w:rsidR="00A64BAF" w:rsidRPr="00083A37" w:rsidRDefault="00A64BAF" w:rsidP="00A64BAF">
                  <w:pPr>
                    <w:spacing w:before="100" w:beforeAutospacing="1" w:after="100" w:afterAutospacing="1"/>
                    <w:jc w:val="center"/>
                    <w:rPr>
                      <w:rFonts w:ascii="Times New Roman" w:eastAsia="Times New Roman" w:hAnsi="Times New Roman" w:cs="Times New Roman"/>
                      <w:sz w:val="28"/>
                      <w:szCs w:val="28"/>
                      <w:lang w:val="lv-LV"/>
                    </w:rPr>
                  </w:pPr>
                  <w:r w:rsidRPr="00083A37">
                    <w:rPr>
                      <w:rFonts w:ascii="Times New Roman" w:eastAsia="Times New Roman" w:hAnsi="Times New Roman" w:cs="Times New Roman"/>
                      <w:sz w:val="28"/>
                      <w:szCs w:val="28"/>
                      <w:lang w:val="lv-LV"/>
                    </w:rPr>
                    <w:t>64</w:t>
                  </w:r>
                </w:p>
              </w:tc>
            </w:tr>
          </w:tbl>
          <w:p w14:paraId="7E8B1BAC" w14:textId="77777777" w:rsidR="00A64BAF" w:rsidRPr="00083A37" w:rsidRDefault="00A64BAF" w:rsidP="00A64BAF">
            <w:pPr>
              <w:spacing w:before="100" w:beforeAutospacing="1"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4.   Saskaņotā riska indikatora Nr. 2 bāzlīnija ir 100, un tā ir vienāda ar vidējo rezultātu, kas iegūts iepriekš minētajā aprēķinā par laikposmu no 2011. līdz 2013. gadam.</w:t>
            </w:r>
          </w:p>
          <w:p w14:paraId="39B1A01A" w14:textId="77777777" w:rsidR="00A64BAF" w:rsidRPr="00083A37" w:rsidRDefault="00A64BAF" w:rsidP="00A64BAF">
            <w:pPr>
              <w:spacing w:before="100" w:beforeAutospacing="1"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5.   Saskaņotā riska indikatora Nr. 2 rezultātu izsaka, ņemot vērā bāzlīniju.</w:t>
            </w:r>
          </w:p>
          <w:p w14:paraId="6E57E0C8" w14:textId="77777777" w:rsidR="00A64BAF" w:rsidRPr="00083A37" w:rsidRDefault="00A64BAF" w:rsidP="00A64BAF">
            <w:pPr>
              <w:spacing w:before="100" w:beforeAutospacing="1" w:after="100" w:afterAutospacing="1" w:line="240" w:lineRule="auto"/>
              <w:jc w:val="both"/>
              <w:rPr>
                <w:rFonts w:ascii="Times New Roman" w:eastAsia="Times New Roman" w:hAnsi="Times New Roman" w:cs="Times New Roman"/>
                <w:sz w:val="28"/>
                <w:szCs w:val="28"/>
              </w:rPr>
            </w:pPr>
            <w:r w:rsidRPr="00083A37">
              <w:rPr>
                <w:rFonts w:ascii="Times New Roman" w:eastAsia="Times New Roman" w:hAnsi="Times New Roman" w:cs="Times New Roman"/>
                <w:sz w:val="28"/>
                <w:szCs w:val="28"/>
              </w:rPr>
              <w:t>6.   Dalībvalstis un Komisija saskaņoto riska indikatoru Nr. 2 aprēķina un publisko saskaņā ar Direktīvas 2009/128/EK 15. panta 2. punktu un 15. panta 4. punktu par katru kalendāro gadu un vēlākais 20 mēnešus pēc tā gada beigām, kurā saskaņotais riska indikators Nr. 2 tiek aprēķināts.”</w:t>
            </w:r>
          </w:p>
          <w:p w14:paraId="7AA30826" w14:textId="486F3BA4" w:rsidR="00A64BAF" w:rsidRPr="00083A37" w:rsidRDefault="00A64BAF" w:rsidP="0008050A">
            <w:pPr>
              <w:spacing w:after="0" w:line="240" w:lineRule="auto"/>
              <w:jc w:val="both"/>
              <w:rPr>
                <w:rFonts w:ascii="Times New Roman" w:eastAsia="Times New Roman" w:hAnsi="Times New Roman" w:cs="Times New Roman"/>
                <w:sz w:val="28"/>
                <w:szCs w:val="28"/>
              </w:rPr>
            </w:pPr>
            <w:r w:rsidRPr="00083A37">
              <w:rPr>
                <w:rFonts w:ascii="Times New Roman" w:eastAsia="Arial Unicode MS" w:hAnsi="Times New Roman" w:cs="Times New Roman"/>
                <w:sz w:val="28"/>
                <w:szCs w:val="28"/>
              </w:rPr>
              <w:t>2. Noteikumi stājas spēkā 2019. gada 5. septembrī.</w:t>
            </w:r>
          </w:p>
        </w:tc>
      </w:tr>
      <w:tr w:rsidR="00A64BAF" w:rsidRPr="00083A37" w14:paraId="7F948C7C" w14:textId="77777777" w:rsidTr="00C47D01">
        <w:trPr>
          <w:tblCellSpacing w:w="0" w:type="dxa"/>
        </w:trPr>
        <w:tc>
          <w:tcPr>
            <w:tcW w:w="8" w:type="pct"/>
          </w:tcPr>
          <w:p w14:paraId="57A59F9B"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1386" w:type="pct"/>
            <w:gridSpan w:val="2"/>
          </w:tcPr>
          <w:p w14:paraId="07E8E1DE"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gridSpan w:val="2"/>
            <w:hideMark/>
          </w:tcPr>
          <w:p w14:paraId="0C2DABFD"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gridSpan w:val="2"/>
            <w:hideMark/>
          </w:tcPr>
          <w:p w14:paraId="4F2BAE13"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c>
          <w:tcPr>
            <w:tcW w:w="0" w:type="auto"/>
            <w:hideMark/>
          </w:tcPr>
          <w:p w14:paraId="59C1EC56" w14:textId="77777777" w:rsidR="00A64BAF" w:rsidRPr="00083A37" w:rsidRDefault="00A64BAF" w:rsidP="00A64BAF">
            <w:pPr>
              <w:spacing w:before="100" w:beforeAutospacing="1" w:after="100" w:afterAutospacing="1" w:line="240" w:lineRule="auto"/>
              <w:rPr>
                <w:rFonts w:ascii="Times New Roman" w:eastAsia="Times New Roman" w:hAnsi="Times New Roman" w:cs="Times New Roman"/>
                <w:sz w:val="28"/>
                <w:szCs w:val="28"/>
              </w:rPr>
            </w:pPr>
          </w:p>
        </w:tc>
      </w:tr>
    </w:tbl>
    <w:p w14:paraId="00DE6ACF" w14:textId="3E51BB29" w:rsidR="00A64BAF" w:rsidRPr="00083A37" w:rsidRDefault="00A64BAF" w:rsidP="00A64BAF">
      <w:pPr>
        <w:tabs>
          <w:tab w:val="left" w:pos="5812"/>
        </w:tabs>
        <w:spacing w:after="200" w:line="276" w:lineRule="auto"/>
        <w:ind w:firstLine="720"/>
        <w:rPr>
          <w:rFonts w:ascii="Times New Roman" w:eastAsia="Calibri" w:hAnsi="Times New Roman" w:cs="Times New Roman"/>
          <w:sz w:val="28"/>
          <w:szCs w:val="28"/>
        </w:rPr>
      </w:pPr>
      <w:r w:rsidRPr="00083A37">
        <w:rPr>
          <w:rFonts w:ascii="Times New Roman" w:eastAsia="Calibri" w:hAnsi="Times New Roman" w:cs="Times New Roman"/>
          <w:sz w:val="28"/>
          <w:szCs w:val="28"/>
        </w:rPr>
        <w:t xml:space="preserve">Ministru prezidents </w:t>
      </w:r>
      <w:r w:rsidRPr="00083A37">
        <w:rPr>
          <w:rFonts w:ascii="Times New Roman" w:eastAsia="Calibri" w:hAnsi="Times New Roman" w:cs="Times New Roman"/>
          <w:sz w:val="28"/>
          <w:szCs w:val="28"/>
        </w:rPr>
        <w:tab/>
      </w:r>
      <w:r w:rsidR="00820993">
        <w:rPr>
          <w:rFonts w:ascii="Times New Roman" w:eastAsia="Calibri" w:hAnsi="Times New Roman" w:cs="Times New Roman"/>
          <w:sz w:val="28"/>
          <w:szCs w:val="28"/>
        </w:rPr>
        <w:tab/>
      </w:r>
      <w:r w:rsidR="00820993">
        <w:rPr>
          <w:rFonts w:ascii="Times New Roman" w:eastAsia="Calibri" w:hAnsi="Times New Roman" w:cs="Times New Roman"/>
          <w:sz w:val="28"/>
          <w:szCs w:val="28"/>
        </w:rPr>
        <w:tab/>
      </w:r>
      <w:r w:rsidR="00820993">
        <w:rPr>
          <w:rFonts w:ascii="Times New Roman" w:eastAsia="Calibri" w:hAnsi="Times New Roman" w:cs="Times New Roman"/>
          <w:sz w:val="28"/>
          <w:szCs w:val="28"/>
        </w:rPr>
        <w:tab/>
      </w:r>
      <w:r w:rsidR="00820993">
        <w:rPr>
          <w:rFonts w:ascii="Times New Roman" w:eastAsia="Calibri" w:hAnsi="Times New Roman" w:cs="Times New Roman"/>
          <w:sz w:val="28"/>
          <w:szCs w:val="28"/>
        </w:rPr>
        <w:tab/>
      </w:r>
      <w:r w:rsidR="00820993">
        <w:rPr>
          <w:rFonts w:ascii="Times New Roman" w:eastAsia="Calibri" w:hAnsi="Times New Roman" w:cs="Times New Roman"/>
          <w:sz w:val="28"/>
          <w:szCs w:val="28"/>
        </w:rPr>
        <w:tab/>
      </w:r>
      <w:r w:rsidR="00820993">
        <w:rPr>
          <w:rFonts w:ascii="Times New Roman" w:eastAsia="Calibri" w:hAnsi="Times New Roman" w:cs="Times New Roman"/>
          <w:sz w:val="28"/>
          <w:szCs w:val="28"/>
        </w:rPr>
        <w:tab/>
      </w:r>
      <w:r w:rsidRPr="00083A37">
        <w:rPr>
          <w:rFonts w:ascii="Times New Roman" w:eastAsia="Calibri" w:hAnsi="Times New Roman" w:cs="Times New Roman"/>
          <w:sz w:val="28"/>
          <w:szCs w:val="28"/>
        </w:rPr>
        <w:t>A. K. Kariņš</w:t>
      </w:r>
    </w:p>
    <w:p w14:paraId="4D62F5D7" w14:textId="0F96F40A" w:rsidR="00257311" w:rsidRPr="00083A37" w:rsidRDefault="00A64BAF" w:rsidP="00486963">
      <w:pPr>
        <w:spacing w:before="84" w:after="200" w:line="240" w:lineRule="auto"/>
        <w:ind w:firstLine="709"/>
        <w:jc w:val="both"/>
      </w:pPr>
      <w:r w:rsidRPr="00083A37">
        <w:rPr>
          <w:rFonts w:ascii="Times New Roman" w:eastAsia="Times New Roman" w:hAnsi="Times New Roman" w:cs="Times New Roman"/>
          <w:sz w:val="28"/>
          <w:szCs w:val="28"/>
          <w:lang w:eastAsia="lv-LV"/>
        </w:rPr>
        <w:t>Zemkopība</w:t>
      </w:r>
      <w:bookmarkStart w:id="1" w:name="_GoBack"/>
      <w:bookmarkEnd w:id="1"/>
      <w:r w:rsidRPr="00083A37">
        <w:rPr>
          <w:rFonts w:ascii="Times New Roman" w:eastAsia="Times New Roman" w:hAnsi="Times New Roman" w:cs="Times New Roman"/>
          <w:sz w:val="28"/>
          <w:szCs w:val="28"/>
          <w:lang w:eastAsia="lv-LV"/>
        </w:rPr>
        <w:t>s ministrs</w:t>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ab/>
      </w:r>
      <w:r w:rsidR="00820993">
        <w:rPr>
          <w:rFonts w:ascii="Times New Roman" w:eastAsia="Times New Roman" w:hAnsi="Times New Roman" w:cs="Times New Roman"/>
          <w:sz w:val="28"/>
          <w:szCs w:val="28"/>
          <w:lang w:eastAsia="lv-LV"/>
        </w:rPr>
        <w:tab/>
      </w:r>
      <w:r w:rsidR="00820993">
        <w:rPr>
          <w:rFonts w:ascii="Times New Roman" w:eastAsia="Times New Roman" w:hAnsi="Times New Roman" w:cs="Times New Roman"/>
          <w:sz w:val="28"/>
          <w:szCs w:val="28"/>
          <w:lang w:eastAsia="lv-LV"/>
        </w:rPr>
        <w:tab/>
      </w:r>
      <w:r w:rsidR="00820993">
        <w:rPr>
          <w:rFonts w:ascii="Times New Roman" w:eastAsia="Times New Roman" w:hAnsi="Times New Roman" w:cs="Times New Roman"/>
          <w:sz w:val="28"/>
          <w:szCs w:val="28"/>
          <w:lang w:eastAsia="lv-LV"/>
        </w:rPr>
        <w:tab/>
      </w:r>
      <w:r w:rsidR="00820993">
        <w:rPr>
          <w:rFonts w:ascii="Times New Roman" w:eastAsia="Times New Roman" w:hAnsi="Times New Roman" w:cs="Times New Roman"/>
          <w:sz w:val="28"/>
          <w:szCs w:val="28"/>
          <w:lang w:eastAsia="lv-LV"/>
        </w:rPr>
        <w:tab/>
      </w:r>
      <w:r w:rsidR="00820993">
        <w:rPr>
          <w:rFonts w:ascii="Times New Roman" w:eastAsia="Times New Roman" w:hAnsi="Times New Roman" w:cs="Times New Roman"/>
          <w:sz w:val="28"/>
          <w:szCs w:val="28"/>
          <w:lang w:eastAsia="lv-LV"/>
        </w:rPr>
        <w:tab/>
      </w:r>
      <w:r w:rsidR="00820993">
        <w:rPr>
          <w:rFonts w:ascii="Times New Roman" w:eastAsia="Times New Roman" w:hAnsi="Times New Roman" w:cs="Times New Roman"/>
          <w:sz w:val="28"/>
          <w:szCs w:val="28"/>
          <w:lang w:eastAsia="lv-LV"/>
        </w:rPr>
        <w:tab/>
      </w:r>
      <w:r w:rsidRPr="00083A37">
        <w:rPr>
          <w:rFonts w:ascii="Times New Roman" w:eastAsia="Times New Roman" w:hAnsi="Times New Roman" w:cs="Times New Roman"/>
          <w:sz w:val="28"/>
          <w:szCs w:val="28"/>
          <w:lang w:eastAsia="lv-LV"/>
        </w:rPr>
        <w:t>K. Gerhards</w:t>
      </w:r>
    </w:p>
    <w:sectPr w:rsidR="00257311" w:rsidRPr="00083A37" w:rsidSect="00C74D7D">
      <w:pgSz w:w="15840" w:h="12240" w:orient="landscape"/>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8E63E" w14:textId="77777777" w:rsidR="00725BB2" w:rsidRDefault="00725BB2" w:rsidP="00A64BAF">
      <w:pPr>
        <w:spacing w:after="0" w:line="240" w:lineRule="auto"/>
      </w:pPr>
      <w:r>
        <w:separator/>
      </w:r>
    </w:p>
  </w:endnote>
  <w:endnote w:type="continuationSeparator" w:id="0">
    <w:p w14:paraId="6B5A5291" w14:textId="77777777" w:rsidR="00725BB2" w:rsidRDefault="00725BB2" w:rsidP="00A6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4F93" w14:textId="16C453A6" w:rsidR="00A64BAF" w:rsidRDefault="00A64BAF">
    <w:pPr>
      <w:pStyle w:val="Kjene"/>
    </w:pPr>
    <w:r>
      <w:rPr>
        <w:rFonts w:ascii="Times New Roman" w:hAnsi="Times New Roman" w:cs="Times New Roman"/>
        <w:sz w:val="20"/>
        <w:szCs w:val="20"/>
      </w:rPr>
      <w:t>ZMn</w:t>
    </w:r>
    <w:r w:rsidRPr="006D41ED">
      <w:rPr>
        <w:rFonts w:ascii="Times New Roman" w:hAnsi="Times New Roman" w:cs="Times New Roman"/>
        <w:sz w:val="20"/>
        <w:szCs w:val="20"/>
      </w:rPr>
      <w:t>ot_</w:t>
    </w:r>
    <w:r w:rsidR="00F3748E">
      <w:rPr>
        <w:rFonts w:ascii="Times New Roman" w:hAnsi="Times New Roman" w:cs="Times New Roman"/>
        <w:sz w:val="20"/>
        <w:szCs w:val="20"/>
      </w:rPr>
      <w:t>15</w:t>
    </w:r>
    <w:r w:rsidR="0008050A">
      <w:rPr>
        <w:rFonts w:ascii="Times New Roman" w:hAnsi="Times New Roman" w:cs="Times New Roman"/>
        <w:sz w:val="20"/>
        <w:szCs w:val="20"/>
      </w:rPr>
      <w:t>0719</w:t>
    </w:r>
    <w:r w:rsidRPr="006D41ED">
      <w:rPr>
        <w:rFonts w:ascii="Times New Roman" w:hAnsi="Times New Roman" w:cs="Times New Roman"/>
        <w:sz w:val="20"/>
        <w:szCs w:val="20"/>
      </w:rPr>
      <w:t>_integraudz</w:t>
    </w:r>
  </w:p>
  <w:p w14:paraId="4FAE93A4" w14:textId="77777777" w:rsidR="00A64BAF" w:rsidRDefault="00A64BA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3D40" w14:textId="28EAC696" w:rsidR="0008050A" w:rsidRDefault="0008050A">
    <w:pPr>
      <w:pStyle w:val="Kjene"/>
    </w:pPr>
    <w:r>
      <w:rPr>
        <w:rFonts w:ascii="Times New Roman" w:hAnsi="Times New Roman" w:cs="Times New Roman"/>
        <w:sz w:val="20"/>
        <w:szCs w:val="20"/>
      </w:rPr>
      <w:t>ZMn</w:t>
    </w:r>
    <w:r w:rsidRPr="006D41ED">
      <w:rPr>
        <w:rFonts w:ascii="Times New Roman" w:hAnsi="Times New Roman" w:cs="Times New Roman"/>
        <w:sz w:val="20"/>
        <w:szCs w:val="20"/>
      </w:rPr>
      <w:t>ot_</w:t>
    </w:r>
    <w:r>
      <w:rPr>
        <w:rFonts w:ascii="Times New Roman" w:hAnsi="Times New Roman" w:cs="Times New Roman"/>
        <w:sz w:val="20"/>
        <w:szCs w:val="20"/>
      </w:rPr>
      <w:t>1</w:t>
    </w:r>
    <w:r w:rsidR="00F3748E">
      <w:rPr>
        <w:rFonts w:ascii="Times New Roman" w:hAnsi="Times New Roman" w:cs="Times New Roman"/>
        <w:sz w:val="20"/>
        <w:szCs w:val="20"/>
      </w:rPr>
      <w:t>5</w:t>
    </w:r>
    <w:r>
      <w:rPr>
        <w:rFonts w:ascii="Times New Roman" w:hAnsi="Times New Roman" w:cs="Times New Roman"/>
        <w:sz w:val="20"/>
        <w:szCs w:val="20"/>
      </w:rPr>
      <w:t>0719</w:t>
    </w:r>
    <w:r w:rsidRPr="006D41ED">
      <w:rPr>
        <w:rFonts w:ascii="Times New Roman" w:hAnsi="Times New Roman" w:cs="Times New Roman"/>
        <w:sz w:val="20"/>
        <w:szCs w:val="20"/>
      </w:rPr>
      <w:t>_integraudz</w:t>
    </w:r>
  </w:p>
  <w:p w14:paraId="759625E2" w14:textId="77777777" w:rsidR="0008050A" w:rsidRDefault="0008050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F259" w14:textId="77777777" w:rsidR="00725BB2" w:rsidRDefault="00725BB2" w:rsidP="00A64BAF">
      <w:pPr>
        <w:spacing w:after="0" w:line="240" w:lineRule="auto"/>
      </w:pPr>
      <w:r>
        <w:separator/>
      </w:r>
    </w:p>
  </w:footnote>
  <w:footnote w:type="continuationSeparator" w:id="0">
    <w:p w14:paraId="2040279E" w14:textId="77777777" w:rsidR="00725BB2" w:rsidRDefault="00725BB2" w:rsidP="00A64BAF">
      <w:pPr>
        <w:spacing w:after="0" w:line="240" w:lineRule="auto"/>
      </w:pPr>
      <w:r>
        <w:continuationSeparator/>
      </w:r>
    </w:p>
  </w:footnote>
  <w:footnote w:id="1">
    <w:p w14:paraId="451E0F44" w14:textId="77777777" w:rsidR="00A64BAF" w:rsidRDefault="00A64BAF" w:rsidP="00A64BAF">
      <w:pPr>
        <w:pStyle w:val="Vresteksts"/>
      </w:pPr>
      <w:r>
        <w:rPr>
          <w:rStyle w:val="Vresatsauce"/>
        </w:rPr>
        <w:footnoteRef/>
      </w:r>
      <w:r w:rsidRPr="00C16BF9">
        <w:rPr>
          <w:rFonts w:ascii="Times New Roman" w:hAnsi="Times New Roman" w:cs="Times New Roman"/>
        </w:rPr>
        <w:t>Komisijas 2011. gada 25. maija Īstenošanas regula (ES) Nr. 540/2011, ar ko īsteno Eiropas Parlamenta un Padomes Regulu (EK) Nr. 1107/2009 attiecībā uz darbīgo vielu sarakstu (OV L 153, 11.6.2011., 1. lpp.).</w:t>
      </w:r>
      <w:r w:rsidRPr="00C16BF9">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94954"/>
      <w:docPartObj>
        <w:docPartGallery w:val="Page Numbers (Top of Page)"/>
        <w:docPartUnique/>
      </w:docPartObj>
    </w:sdtPr>
    <w:sdtEndPr>
      <w:rPr>
        <w:rFonts w:ascii="Times New Roman" w:hAnsi="Times New Roman" w:cs="Times New Roman"/>
        <w:sz w:val="24"/>
        <w:szCs w:val="24"/>
      </w:rPr>
    </w:sdtEndPr>
    <w:sdtContent>
      <w:p w14:paraId="033C1CCB" w14:textId="5F914DAE" w:rsidR="00A64BAF" w:rsidRPr="00C74D7D" w:rsidRDefault="00A64BAF">
        <w:pPr>
          <w:pStyle w:val="Galvene"/>
          <w:jc w:val="center"/>
          <w:rPr>
            <w:rFonts w:ascii="Times New Roman" w:hAnsi="Times New Roman" w:cs="Times New Roman"/>
            <w:sz w:val="24"/>
            <w:szCs w:val="24"/>
          </w:rPr>
        </w:pPr>
        <w:r w:rsidRPr="00C74D7D">
          <w:rPr>
            <w:rFonts w:ascii="Times New Roman" w:hAnsi="Times New Roman" w:cs="Times New Roman"/>
            <w:sz w:val="24"/>
            <w:szCs w:val="24"/>
          </w:rPr>
          <w:fldChar w:fldCharType="begin"/>
        </w:r>
        <w:r w:rsidRPr="00C74D7D">
          <w:rPr>
            <w:rFonts w:ascii="Times New Roman" w:hAnsi="Times New Roman" w:cs="Times New Roman"/>
            <w:sz w:val="24"/>
            <w:szCs w:val="24"/>
          </w:rPr>
          <w:instrText>PAGE   \* MERGEFORMAT</w:instrText>
        </w:r>
        <w:r w:rsidRPr="00C74D7D">
          <w:rPr>
            <w:rFonts w:ascii="Times New Roman" w:hAnsi="Times New Roman" w:cs="Times New Roman"/>
            <w:sz w:val="24"/>
            <w:szCs w:val="24"/>
          </w:rPr>
          <w:fldChar w:fldCharType="separate"/>
        </w:r>
        <w:r w:rsidR="00C74D7D">
          <w:rPr>
            <w:rFonts w:ascii="Times New Roman" w:hAnsi="Times New Roman" w:cs="Times New Roman"/>
            <w:noProof/>
            <w:sz w:val="24"/>
            <w:szCs w:val="24"/>
          </w:rPr>
          <w:t>3</w:t>
        </w:r>
        <w:r w:rsidRPr="00C74D7D">
          <w:rPr>
            <w:rFonts w:ascii="Times New Roman" w:hAnsi="Times New Roman" w:cs="Times New Roman"/>
            <w:sz w:val="24"/>
            <w:szCs w:val="24"/>
          </w:rPr>
          <w:fldChar w:fldCharType="end"/>
        </w:r>
      </w:p>
    </w:sdtContent>
  </w:sdt>
  <w:p w14:paraId="342956E9" w14:textId="77777777" w:rsidR="00A64BAF" w:rsidRDefault="00A64BA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E7AFA"/>
    <w:multiLevelType w:val="hybridMultilevel"/>
    <w:tmpl w:val="D66CB040"/>
    <w:lvl w:ilvl="0" w:tplc="93CC5F98">
      <w:start w:val="1"/>
      <w:numFmt w:val="lowerLetter"/>
      <w:lvlText w:val="%1)"/>
      <w:lvlJc w:val="left"/>
      <w:pPr>
        <w:ind w:left="734" w:hanging="45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3317CB4"/>
    <w:multiLevelType w:val="hybridMultilevel"/>
    <w:tmpl w:val="0BB0C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7526A"/>
    <w:multiLevelType w:val="hybridMultilevel"/>
    <w:tmpl w:val="1E760F6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AF"/>
    <w:rsid w:val="0007073A"/>
    <w:rsid w:val="0008050A"/>
    <w:rsid w:val="00083A37"/>
    <w:rsid w:val="001519B8"/>
    <w:rsid w:val="0015381E"/>
    <w:rsid w:val="0019255F"/>
    <w:rsid w:val="001A2FF7"/>
    <w:rsid w:val="001E0BD2"/>
    <w:rsid w:val="001E5D9D"/>
    <w:rsid w:val="00257311"/>
    <w:rsid w:val="0027478F"/>
    <w:rsid w:val="0029381E"/>
    <w:rsid w:val="002D0AC6"/>
    <w:rsid w:val="003A3FA7"/>
    <w:rsid w:val="00417D33"/>
    <w:rsid w:val="00486963"/>
    <w:rsid w:val="00531D83"/>
    <w:rsid w:val="005856B5"/>
    <w:rsid w:val="005A509D"/>
    <w:rsid w:val="005C59D5"/>
    <w:rsid w:val="005F38DF"/>
    <w:rsid w:val="006176C5"/>
    <w:rsid w:val="006B1541"/>
    <w:rsid w:val="006B3E36"/>
    <w:rsid w:val="00725BB2"/>
    <w:rsid w:val="00783286"/>
    <w:rsid w:val="00813171"/>
    <w:rsid w:val="00820993"/>
    <w:rsid w:val="008743E4"/>
    <w:rsid w:val="00880219"/>
    <w:rsid w:val="0089727B"/>
    <w:rsid w:val="008A1378"/>
    <w:rsid w:val="008A7E9A"/>
    <w:rsid w:val="008D192C"/>
    <w:rsid w:val="008E1892"/>
    <w:rsid w:val="00903669"/>
    <w:rsid w:val="009D450B"/>
    <w:rsid w:val="009E153C"/>
    <w:rsid w:val="00A4068A"/>
    <w:rsid w:val="00A64BAF"/>
    <w:rsid w:val="00A64FD3"/>
    <w:rsid w:val="00A70C19"/>
    <w:rsid w:val="00AB1BE2"/>
    <w:rsid w:val="00B25743"/>
    <w:rsid w:val="00C5444A"/>
    <w:rsid w:val="00C74D7D"/>
    <w:rsid w:val="00CF3654"/>
    <w:rsid w:val="00D071B1"/>
    <w:rsid w:val="00D62E64"/>
    <w:rsid w:val="00D756D1"/>
    <w:rsid w:val="00D86D62"/>
    <w:rsid w:val="00DD0AD4"/>
    <w:rsid w:val="00DD50FC"/>
    <w:rsid w:val="00E75A6A"/>
    <w:rsid w:val="00EA627E"/>
    <w:rsid w:val="00EB230C"/>
    <w:rsid w:val="00EF71E0"/>
    <w:rsid w:val="00F37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C5AD5"/>
  <w15:docId w15:val="{6530FA69-9C70-4E2B-9394-1C551F3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64BA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4BAF"/>
  </w:style>
  <w:style w:type="paragraph" w:styleId="Kjene">
    <w:name w:val="footer"/>
    <w:basedOn w:val="Parasts"/>
    <w:link w:val="KjeneRakstz"/>
    <w:uiPriority w:val="99"/>
    <w:unhideWhenUsed/>
    <w:rsid w:val="00A64BA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4BAF"/>
  </w:style>
  <w:style w:type="paragraph" w:styleId="Vresteksts">
    <w:name w:val="footnote text"/>
    <w:basedOn w:val="Parasts"/>
    <w:link w:val="VrestekstsRakstz"/>
    <w:uiPriority w:val="99"/>
    <w:semiHidden/>
    <w:unhideWhenUsed/>
    <w:rsid w:val="00A64BA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64BAF"/>
    <w:rPr>
      <w:sz w:val="20"/>
      <w:szCs w:val="20"/>
    </w:rPr>
  </w:style>
  <w:style w:type="character" w:styleId="Vresatsauce">
    <w:name w:val="footnote reference"/>
    <w:basedOn w:val="Noklusjumarindkopasfonts"/>
    <w:uiPriority w:val="99"/>
    <w:semiHidden/>
    <w:unhideWhenUsed/>
    <w:rsid w:val="00A64BAF"/>
    <w:rPr>
      <w:vertAlign w:val="superscript"/>
    </w:rPr>
  </w:style>
  <w:style w:type="table" w:styleId="Reatabula">
    <w:name w:val="Table Grid"/>
    <w:basedOn w:val="Parastatabula"/>
    <w:uiPriority w:val="39"/>
    <w:rsid w:val="00A64B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64BAF"/>
    <w:rPr>
      <w:sz w:val="16"/>
      <w:szCs w:val="16"/>
    </w:rPr>
  </w:style>
  <w:style w:type="paragraph" w:styleId="Komentrateksts">
    <w:name w:val="annotation text"/>
    <w:basedOn w:val="Parasts"/>
    <w:link w:val="KomentratekstsRakstz"/>
    <w:uiPriority w:val="99"/>
    <w:semiHidden/>
    <w:unhideWhenUsed/>
    <w:rsid w:val="00A64BAF"/>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A64BAF"/>
    <w:rPr>
      <w:sz w:val="20"/>
      <w:szCs w:val="20"/>
    </w:rPr>
  </w:style>
  <w:style w:type="paragraph" w:styleId="Balonteksts">
    <w:name w:val="Balloon Text"/>
    <w:basedOn w:val="Parasts"/>
    <w:link w:val="BalontekstsRakstz"/>
    <w:uiPriority w:val="99"/>
    <w:semiHidden/>
    <w:unhideWhenUsed/>
    <w:rsid w:val="00A64B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64BAF"/>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9E153C"/>
    <w:pPr>
      <w:spacing w:after="160"/>
    </w:pPr>
    <w:rPr>
      <w:b/>
      <w:bCs/>
    </w:rPr>
  </w:style>
  <w:style w:type="character" w:customStyle="1" w:styleId="KomentratmaRakstz">
    <w:name w:val="Komentāra tēma Rakstz."/>
    <w:basedOn w:val="KomentratekstsRakstz"/>
    <w:link w:val="Komentratma"/>
    <w:uiPriority w:val="99"/>
    <w:semiHidden/>
    <w:rsid w:val="009E1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6706</Words>
  <Characters>3823</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15. septembra noteikumos Nr. 1056 "Lauksaimniecības produktu integrētās audzēšanas, uzglabāšanas un marķēšanas prasības un kontroles kārtība" sākotnējās ietekmes novērtējuma ziņojums</dc:title>
  <dc:subject>Noteikumu projekts</dc:subject>
  <dc:creator>Dace Guste</dc:creator>
  <dc:description>Guste 67027217_x000d_
dace.guste@zm.gov.lv</dc:description>
  <cp:lastModifiedBy>Kristiāna Sebre</cp:lastModifiedBy>
  <cp:revision>6</cp:revision>
  <cp:lastPrinted>2019-07-11T04:43:00Z</cp:lastPrinted>
  <dcterms:created xsi:type="dcterms:W3CDTF">2019-07-12T09:42:00Z</dcterms:created>
  <dcterms:modified xsi:type="dcterms:W3CDTF">2019-07-15T06:39:00Z</dcterms:modified>
</cp:coreProperties>
</file>