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25C2" w14:textId="6F3354D2" w:rsidR="001832FA" w:rsidRPr="0010322E" w:rsidRDefault="00F21887" w:rsidP="00151DF3">
      <w:pPr>
        <w:ind w:left="720"/>
        <w:jc w:val="center"/>
        <w:rPr>
          <w:b/>
          <w:sz w:val="26"/>
          <w:szCs w:val="26"/>
        </w:rPr>
      </w:pPr>
      <w:r w:rsidRPr="0010322E">
        <w:rPr>
          <w:b/>
          <w:sz w:val="26"/>
          <w:szCs w:val="26"/>
        </w:rPr>
        <w:t>Likumprojekta</w:t>
      </w:r>
    </w:p>
    <w:p w14:paraId="18281DB7" w14:textId="144FD54F" w:rsidR="001832FA" w:rsidRPr="0010322E" w:rsidRDefault="00D16901" w:rsidP="00151DF3">
      <w:pPr>
        <w:spacing w:after="60"/>
        <w:ind w:left="720"/>
        <w:jc w:val="center"/>
        <w:rPr>
          <w:b/>
          <w:sz w:val="26"/>
          <w:szCs w:val="26"/>
        </w:rPr>
      </w:pPr>
      <w:r w:rsidRPr="0010322E">
        <w:rPr>
          <w:b/>
          <w:sz w:val="26"/>
          <w:szCs w:val="26"/>
        </w:rPr>
        <w:t>“</w:t>
      </w:r>
      <w:r w:rsidR="003812A6">
        <w:rPr>
          <w:b/>
          <w:sz w:val="26"/>
          <w:szCs w:val="26"/>
        </w:rPr>
        <w:t>Grozījumi Standartizācijas likumā</w:t>
      </w:r>
      <w:r w:rsidRPr="0010322E">
        <w:rPr>
          <w:b/>
          <w:sz w:val="26"/>
          <w:szCs w:val="26"/>
        </w:rPr>
        <w:t>” sākotnējās ietekmes novērtējuma ziņojums (anotācija)</w:t>
      </w:r>
    </w:p>
    <w:p w14:paraId="75334F37" w14:textId="4C72DB9B" w:rsidR="0010322E" w:rsidRPr="0010322E" w:rsidRDefault="0010322E" w:rsidP="00151DF3">
      <w:pPr>
        <w:spacing w:after="60"/>
        <w:ind w:left="720"/>
        <w:jc w:val="center"/>
        <w:rPr>
          <w:b/>
          <w:sz w:val="26"/>
          <w:szCs w:val="26"/>
        </w:rPr>
      </w:pPr>
    </w:p>
    <w:tbl>
      <w:tblPr>
        <w:tblStyle w:val="TableGrid"/>
        <w:tblW w:w="0" w:type="auto"/>
        <w:tblLook w:val="04A0" w:firstRow="1" w:lastRow="0" w:firstColumn="1" w:lastColumn="0" w:noHBand="0" w:noVBand="1"/>
      </w:tblPr>
      <w:tblGrid>
        <w:gridCol w:w="3114"/>
        <w:gridCol w:w="5947"/>
      </w:tblGrid>
      <w:tr w:rsidR="00C16931" w:rsidRPr="0010322E" w14:paraId="52E97E43" w14:textId="77777777" w:rsidTr="00C31834">
        <w:tc>
          <w:tcPr>
            <w:tcW w:w="9061" w:type="dxa"/>
            <w:gridSpan w:val="2"/>
          </w:tcPr>
          <w:p w14:paraId="520CDF90" w14:textId="77777777" w:rsidR="00C16931" w:rsidRPr="0010322E" w:rsidRDefault="00C16931" w:rsidP="00C31834">
            <w:pPr>
              <w:jc w:val="center"/>
              <w:rPr>
                <w:b/>
                <w:sz w:val="26"/>
                <w:szCs w:val="26"/>
              </w:rPr>
            </w:pPr>
            <w:r w:rsidRPr="0010322E">
              <w:rPr>
                <w:b/>
                <w:sz w:val="26"/>
                <w:szCs w:val="26"/>
              </w:rPr>
              <w:t>Tiesību akta projekta anotācijas kopsavilkums</w:t>
            </w:r>
          </w:p>
        </w:tc>
      </w:tr>
      <w:tr w:rsidR="00C16931" w:rsidRPr="0010322E" w14:paraId="2D72BCD9" w14:textId="77777777" w:rsidTr="00C31834">
        <w:tc>
          <w:tcPr>
            <w:tcW w:w="3114" w:type="dxa"/>
          </w:tcPr>
          <w:p w14:paraId="629DC035" w14:textId="77777777" w:rsidR="00C16931" w:rsidRPr="0010322E" w:rsidRDefault="00C16931" w:rsidP="00C31834">
            <w:pPr>
              <w:jc w:val="both"/>
              <w:rPr>
                <w:b/>
                <w:sz w:val="26"/>
                <w:szCs w:val="26"/>
              </w:rPr>
            </w:pPr>
            <w:r w:rsidRPr="0010322E">
              <w:rPr>
                <w:b/>
                <w:sz w:val="26"/>
                <w:szCs w:val="26"/>
              </w:rPr>
              <w:t>Mērķis, risinājums un projekta spēkā stāšanās laiks (500 zīmes bez atstarpēm)</w:t>
            </w:r>
          </w:p>
        </w:tc>
        <w:tc>
          <w:tcPr>
            <w:tcW w:w="5947" w:type="dxa"/>
          </w:tcPr>
          <w:p w14:paraId="58E3925C" w14:textId="40CFD2BC" w:rsidR="00C16931" w:rsidRPr="0010322E" w:rsidRDefault="00C16931" w:rsidP="00C31834">
            <w:pPr>
              <w:jc w:val="both"/>
              <w:rPr>
                <w:sz w:val="26"/>
                <w:szCs w:val="26"/>
              </w:rPr>
            </w:pPr>
            <w:r w:rsidRPr="0010322E">
              <w:rPr>
                <w:sz w:val="26"/>
                <w:szCs w:val="26"/>
              </w:rPr>
              <w:t xml:space="preserve">Tiesību akta projekts paredz </w:t>
            </w:r>
            <w:r w:rsidR="007C7EB1">
              <w:rPr>
                <w:sz w:val="26"/>
                <w:szCs w:val="26"/>
              </w:rPr>
              <w:t xml:space="preserve">nacionālajā </w:t>
            </w:r>
            <w:r w:rsidR="003C17C0">
              <w:rPr>
                <w:sz w:val="26"/>
                <w:szCs w:val="26"/>
              </w:rPr>
              <w:t>s</w:t>
            </w:r>
            <w:r w:rsidR="003C17C0" w:rsidRPr="003C17C0">
              <w:rPr>
                <w:sz w:val="26"/>
                <w:szCs w:val="26"/>
              </w:rPr>
              <w:t xml:space="preserve">tandartizācijas sistēmā ieviest </w:t>
            </w:r>
            <w:r w:rsidR="007C7EB1">
              <w:rPr>
                <w:sz w:val="26"/>
                <w:szCs w:val="26"/>
              </w:rPr>
              <w:t xml:space="preserve">izmaiņas, lai novērstu identificētas standartizācijas sistēmas problēmas – </w:t>
            </w:r>
            <w:r w:rsidR="00FA3681">
              <w:rPr>
                <w:sz w:val="26"/>
                <w:szCs w:val="26"/>
              </w:rPr>
              <w:t xml:space="preserve">tiks </w:t>
            </w:r>
            <w:r w:rsidR="00FA3681" w:rsidRPr="00C863C6">
              <w:rPr>
                <w:sz w:val="26"/>
                <w:szCs w:val="26"/>
              </w:rPr>
              <w:t>pilnveido</w:t>
            </w:r>
            <w:r w:rsidR="00FA3681">
              <w:rPr>
                <w:sz w:val="26"/>
                <w:szCs w:val="26"/>
              </w:rPr>
              <w:t>ta</w:t>
            </w:r>
            <w:r w:rsidR="00FA3681" w:rsidRPr="00C863C6">
              <w:rPr>
                <w:sz w:val="26"/>
                <w:szCs w:val="26"/>
              </w:rPr>
              <w:t xml:space="preserve"> nacionālās standartizācijas institūcijas darbīb</w:t>
            </w:r>
            <w:r w:rsidR="00FA3681">
              <w:rPr>
                <w:sz w:val="26"/>
                <w:szCs w:val="26"/>
              </w:rPr>
              <w:t xml:space="preserve">a un </w:t>
            </w:r>
            <w:r w:rsidR="007C7EB1">
              <w:rPr>
                <w:sz w:val="26"/>
                <w:szCs w:val="26"/>
              </w:rPr>
              <w:t>ieviest</w:t>
            </w:r>
            <w:r w:rsidR="00C863C6">
              <w:rPr>
                <w:sz w:val="26"/>
                <w:szCs w:val="26"/>
              </w:rPr>
              <w:t>a</w:t>
            </w:r>
            <w:r w:rsidR="007C7EB1">
              <w:rPr>
                <w:sz w:val="26"/>
                <w:szCs w:val="26"/>
              </w:rPr>
              <w:t xml:space="preserve"> </w:t>
            </w:r>
            <w:r w:rsidR="00C55C6C">
              <w:rPr>
                <w:sz w:val="26"/>
                <w:szCs w:val="26"/>
              </w:rPr>
              <w:t>standartizācijas pieprasījumu</w:t>
            </w:r>
            <w:r w:rsidR="003C17C0" w:rsidRPr="003C17C0">
              <w:rPr>
                <w:sz w:val="26"/>
                <w:szCs w:val="26"/>
              </w:rPr>
              <w:t xml:space="preserve"> sistēm</w:t>
            </w:r>
            <w:r w:rsidR="00C863C6">
              <w:rPr>
                <w:sz w:val="26"/>
                <w:szCs w:val="26"/>
              </w:rPr>
              <w:t>a</w:t>
            </w:r>
            <w:r w:rsidR="003C17C0" w:rsidRPr="003C17C0">
              <w:rPr>
                <w:sz w:val="26"/>
                <w:szCs w:val="26"/>
              </w:rPr>
              <w:t>, kas noteiks centralizētu modeli standartu izstrādei un tulkošanai nacionālajā līmenī</w:t>
            </w:r>
            <w:r w:rsidR="003C17C0">
              <w:rPr>
                <w:sz w:val="26"/>
                <w:szCs w:val="26"/>
              </w:rPr>
              <w:t>,</w:t>
            </w:r>
            <w:r w:rsidR="00FA3681">
              <w:rPr>
                <w:sz w:val="26"/>
                <w:szCs w:val="26"/>
              </w:rPr>
              <w:t xml:space="preserve"> </w:t>
            </w:r>
            <w:r w:rsidR="003C17C0">
              <w:rPr>
                <w:sz w:val="26"/>
                <w:szCs w:val="26"/>
              </w:rPr>
              <w:t xml:space="preserve">kā arī </w:t>
            </w:r>
            <w:r w:rsidR="00E50317">
              <w:rPr>
                <w:sz w:val="26"/>
                <w:szCs w:val="26"/>
              </w:rPr>
              <w:t xml:space="preserve">tiks </w:t>
            </w:r>
            <w:r w:rsidR="003C17C0">
              <w:rPr>
                <w:sz w:val="26"/>
                <w:szCs w:val="26"/>
              </w:rPr>
              <w:t>precizēt</w:t>
            </w:r>
            <w:r w:rsidR="00C863C6">
              <w:rPr>
                <w:sz w:val="26"/>
                <w:szCs w:val="26"/>
              </w:rPr>
              <w:t>i esošā Standartizācijas likumā lietotie termini</w:t>
            </w:r>
          </w:p>
        </w:tc>
      </w:tr>
    </w:tbl>
    <w:p w14:paraId="2D16782B" w14:textId="77777777" w:rsidR="00C16931" w:rsidRPr="0010322E" w:rsidRDefault="00C16931" w:rsidP="00C16931">
      <w:pPr>
        <w:spacing w:after="60"/>
        <w:rPr>
          <w:b/>
          <w:sz w:val="26"/>
          <w:szCs w:val="26"/>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703"/>
      </w:tblGrid>
      <w:tr w:rsidR="001832FA" w:rsidRPr="0010322E" w14:paraId="29937F25" w14:textId="77777777" w:rsidTr="0010322E">
        <w:tc>
          <w:tcPr>
            <w:tcW w:w="9067" w:type="dxa"/>
            <w:gridSpan w:val="3"/>
            <w:tcBorders>
              <w:top w:val="single" w:sz="4" w:space="0" w:color="000000"/>
              <w:left w:val="single" w:sz="4" w:space="0" w:color="000000"/>
              <w:bottom w:val="single" w:sz="4" w:space="0" w:color="000000"/>
              <w:right w:val="single" w:sz="4" w:space="0" w:color="000000"/>
            </w:tcBorders>
            <w:shd w:val="clear" w:color="000000" w:fill="auto"/>
          </w:tcPr>
          <w:p w14:paraId="5608C5A7" w14:textId="77777777" w:rsidR="001832FA" w:rsidRPr="0010322E" w:rsidRDefault="00D16901">
            <w:pPr>
              <w:pStyle w:val="ListParagraph"/>
              <w:tabs>
                <w:tab w:val="left" w:pos="2268"/>
                <w:tab w:val="left" w:pos="2410"/>
              </w:tabs>
              <w:ind w:left="1080"/>
              <w:contextualSpacing/>
              <w:jc w:val="center"/>
              <w:rPr>
                <w:rFonts w:ascii="Times New Roman" w:hAnsi="Times New Roman"/>
                <w:b/>
                <w:sz w:val="26"/>
                <w:szCs w:val="26"/>
              </w:rPr>
            </w:pPr>
            <w:r w:rsidRPr="0010322E">
              <w:rPr>
                <w:rFonts w:ascii="Times New Roman" w:hAnsi="Times New Roman"/>
                <w:b/>
                <w:sz w:val="26"/>
                <w:szCs w:val="26"/>
              </w:rPr>
              <w:t>I. Tiesību akta projekta izstrādes nepieciešamība</w:t>
            </w:r>
          </w:p>
        </w:tc>
      </w:tr>
      <w:tr w:rsidR="001832FA" w:rsidRPr="0010322E" w14:paraId="3BF86523"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81825D" w14:textId="77777777" w:rsidR="001832FA" w:rsidRPr="0010322E" w:rsidRDefault="00D16901">
            <w:pPr>
              <w:jc w:val="center"/>
              <w:rPr>
                <w:sz w:val="26"/>
                <w:szCs w:val="26"/>
              </w:rPr>
            </w:pPr>
            <w:r w:rsidRPr="0010322E">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72EE0B" w14:textId="77777777" w:rsidR="001832FA" w:rsidRPr="0010322E" w:rsidRDefault="00D16901">
            <w:pPr>
              <w:tabs>
                <w:tab w:val="left" w:pos="1904"/>
              </w:tabs>
              <w:rPr>
                <w:sz w:val="26"/>
                <w:szCs w:val="26"/>
              </w:rPr>
            </w:pPr>
            <w:r w:rsidRPr="0010322E">
              <w:rPr>
                <w:sz w:val="26"/>
                <w:szCs w:val="26"/>
              </w:rPr>
              <w:t>Pamatojums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23080B" w14:textId="0F4A8C07" w:rsidR="001832FA" w:rsidRPr="0010322E" w:rsidRDefault="00E57BBE" w:rsidP="003812A6">
            <w:pPr>
              <w:spacing w:after="60"/>
              <w:jc w:val="both"/>
              <w:rPr>
                <w:b/>
                <w:sz w:val="26"/>
                <w:szCs w:val="26"/>
              </w:rPr>
            </w:pPr>
            <w:r>
              <w:rPr>
                <w:sz w:val="26"/>
                <w:szCs w:val="26"/>
              </w:rPr>
              <w:t xml:space="preserve">Likumprojekts “Grozījumi Standartizācijas likumā” (turpmāk – likumprojekts) ir izstrādāts pamatojoties uz </w:t>
            </w:r>
            <w:r w:rsidR="003812A6" w:rsidRPr="003812A6">
              <w:rPr>
                <w:sz w:val="26"/>
                <w:szCs w:val="26"/>
              </w:rPr>
              <w:t>Ministru kabineta</w:t>
            </w:r>
            <w:r w:rsidR="003812A6">
              <w:rPr>
                <w:sz w:val="26"/>
                <w:szCs w:val="26"/>
              </w:rPr>
              <w:t xml:space="preserve"> </w:t>
            </w:r>
            <w:r w:rsidR="003812A6" w:rsidRPr="003812A6">
              <w:rPr>
                <w:sz w:val="26"/>
                <w:szCs w:val="26"/>
              </w:rPr>
              <w:t>2016.gada 21.septembr</w:t>
            </w:r>
            <w:r w:rsidR="003812A6">
              <w:rPr>
                <w:sz w:val="26"/>
                <w:szCs w:val="26"/>
              </w:rPr>
              <w:t>a</w:t>
            </w:r>
            <w:r w:rsidR="003812A6" w:rsidRPr="003812A6">
              <w:rPr>
                <w:sz w:val="26"/>
                <w:szCs w:val="26"/>
              </w:rPr>
              <w:t xml:space="preserve">  rīkojum</w:t>
            </w:r>
            <w:r w:rsidR="003812A6">
              <w:rPr>
                <w:sz w:val="26"/>
                <w:szCs w:val="26"/>
              </w:rPr>
              <w:t>a</w:t>
            </w:r>
            <w:r w:rsidR="003812A6" w:rsidRPr="003812A6">
              <w:rPr>
                <w:sz w:val="26"/>
                <w:szCs w:val="26"/>
              </w:rPr>
              <w:t xml:space="preserve"> Nr.534</w:t>
            </w:r>
            <w:r w:rsidR="003812A6">
              <w:rPr>
                <w:sz w:val="26"/>
                <w:szCs w:val="26"/>
              </w:rPr>
              <w:t xml:space="preserve"> “</w:t>
            </w:r>
            <w:r w:rsidR="003812A6" w:rsidRPr="003812A6">
              <w:rPr>
                <w:sz w:val="26"/>
                <w:szCs w:val="26"/>
              </w:rPr>
              <w:t xml:space="preserve">Par konceptuālo ziņojumu </w:t>
            </w:r>
            <w:r w:rsidR="003812A6">
              <w:rPr>
                <w:sz w:val="26"/>
                <w:szCs w:val="26"/>
              </w:rPr>
              <w:t>“</w:t>
            </w:r>
            <w:r w:rsidR="003812A6" w:rsidRPr="003812A6">
              <w:rPr>
                <w:sz w:val="26"/>
                <w:szCs w:val="26"/>
              </w:rPr>
              <w:t>Par Latvijas nacionālās standartizācijas sistēmas pilnveidošanu</w:t>
            </w:r>
            <w:r w:rsidR="003812A6">
              <w:rPr>
                <w:sz w:val="26"/>
                <w:szCs w:val="26"/>
              </w:rPr>
              <w:t>”” 2.punktu</w:t>
            </w:r>
            <w:r>
              <w:rPr>
                <w:sz w:val="26"/>
                <w:szCs w:val="26"/>
              </w:rPr>
              <w:t xml:space="preserve"> - </w:t>
            </w:r>
            <w:r w:rsidR="003812A6">
              <w:rPr>
                <w:sz w:val="26"/>
                <w:szCs w:val="26"/>
              </w:rPr>
              <w:t xml:space="preserve"> E</w:t>
            </w:r>
            <w:r w:rsidR="003812A6" w:rsidRPr="003812A6">
              <w:rPr>
                <w:sz w:val="26"/>
                <w:szCs w:val="26"/>
              </w:rPr>
              <w:t>konomikas ministrijai izstrādāt un ekonomikas ministram līdz 2019.gada 1.septembrim iesniegt noteiktā kārtībā Ministru kabinetā priekšlikumus par nepieciešamajiem grozījumiem normatīvajos aktos, lai īstenotu konceptuālajā ziņojumā ietverto risinājumu</w:t>
            </w:r>
          </w:p>
        </w:tc>
      </w:tr>
      <w:tr w:rsidR="001832FA" w:rsidRPr="0010322E" w14:paraId="3C38E746"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34CD312" w14:textId="77777777" w:rsidR="001832FA" w:rsidRPr="0010322E" w:rsidRDefault="00D16901">
            <w:pPr>
              <w:jc w:val="center"/>
              <w:rPr>
                <w:sz w:val="26"/>
                <w:szCs w:val="26"/>
              </w:rPr>
            </w:pPr>
            <w:r w:rsidRPr="0010322E">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4A2DD5" w14:textId="77777777" w:rsidR="001832FA" w:rsidRPr="00ED738D" w:rsidRDefault="00D16901">
            <w:pPr>
              <w:jc w:val="both"/>
              <w:rPr>
                <w:sz w:val="26"/>
                <w:szCs w:val="26"/>
              </w:rPr>
            </w:pPr>
            <w:r w:rsidRPr="00ED738D">
              <w:rPr>
                <w:sz w:val="26"/>
                <w:szCs w:val="26"/>
              </w:rPr>
              <w:t>Pašreizējā situācija un problēmas, kuru risināšanai tiesību akta projekts izstrādāts, tiesiskā regulējuma mērķis un būtība</w:t>
            </w:r>
          </w:p>
          <w:p w14:paraId="39CD2B7B" w14:textId="77777777" w:rsidR="001832FA" w:rsidRPr="00ED738D" w:rsidRDefault="001832FA">
            <w:pPr>
              <w:rPr>
                <w:sz w:val="26"/>
                <w:szCs w:val="26"/>
              </w:rPr>
            </w:pPr>
          </w:p>
          <w:p w14:paraId="0F09E521" w14:textId="77777777" w:rsidR="001832FA" w:rsidRPr="00ED738D" w:rsidRDefault="001832FA">
            <w:pPr>
              <w:jc w:val="right"/>
              <w:rPr>
                <w:sz w:val="26"/>
                <w:szCs w:val="26"/>
              </w:rPr>
            </w:pPr>
          </w:p>
          <w:p w14:paraId="09A7D57E" w14:textId="77777777" w:rsidR="001832FA" w:rsidRPr="00ED738D" w:rsidRDefault="001832FA">
            <w:pPr>
              <w:rPr>
                <w:sz w:val="26"/>
                <w:szCs w:val="26"/>
              </w:rPr>
            </w:pPr>
          </w:p>
          <w:p w14:paraId="06B60696" w14:textId="77777777" w:rsidR="001832FA" w:rsidRPr="00ED738D" w:rsidRDefault="001832FA">
            <w:pPr>
              <w:rPr>
                <w:sz w:val="26"/>
                <w:szCs w:val="26"/>
              </w:rPr>
            </w:pPr>
          </w:p>
          <w:p w14:paraId="10276ABB" w14:textId="77777777" w:rsidR="001832FA" w:rsidRPr="00ED738D" w:rsidRDefault="001832FA">
            <w:pPr>
              <w:rPr>
                <w:sz w:val="26"/>
                <w:szCs w:val="26"/>
              </w:rPr>
            </w:pPr>
          </w:p>
          <w:p w14:paraId="5336514A" w14:textId="77777777" w:rsidR="001832FA" w:rsidRPr="00ED738D" w:rsidRDefault="001832FA">
            <w:pPr>
              <w:rPr>
                <w:sz w:val="26"/>
                <w:szCs w:val="26"/>
              </w:rPr>
            </w:pPr>
          </w:p>
          <w:p w14:paraId="65D9570D" w14:textId="77777777" w:rsidR="001832FA" w:rsidRPr="00ED738D" w:rsidRDefault="001832FA">
            <w:pPr>
              <w:rPr>
                <w:sz w:val="26"/>
                <w:szCs w:val="26"/>
              </w:rPr>
            </w:pPr>
          </w:p>
          <w:p w14:paraId="5DED7F63" w14:textId="77777777" w:rsidR="001832FA" w:rsidRPr="00ED738D" w:rsidRDefault="001832FA">
            <w:pPr>
              <w:rPr>
                <w:sz w:val="26"/>
                <w:szCs w:val="26"/>
              </w:rPr>
            </w:pPr>
          </w:p>
          <w:p w14:paraId="7B3CE7DB" w14:textId="77777777" w:rsidR="001832FA" w:rsidRPr="00ED738D" w:rsidRDefault="001832FA">
            <w:pPr>
              <w:rPr>
                <w:sz w:val="26"/>
                <w:szCs w:val="26"/>
              </w:rPr>
            </w:pPr>
          </w:p>
          <w:p w14:paraId="6A97B62A" w14:textId="77777777" w:rsidR="001832FA" w:rsidRPr="00ED738D" w:rsidRDefault="001832FA">
            <w:pPr>
              <w:rPr>
                <w:sz w:val="26"/>
                <w:szCs w:val="26"/>
              </w:rPr>
            </w:pPr>
          </w:p>
          <w:p w14:paraId="593461F7" w14:textId="77777777" w:rsidR="001832FA" w:rsidRPr="00ED738D" w:rsidRDefault="001832FA">
            <w:pPr>
              <w:rPr>
                <w:sz w:val="26"/>
                <w:szCs w:val="26"/>
              </w:rPr>
            </w:pPr>
          </w:p>
          <w:p w14:paraId="499F3279" w14:textId="77777777" w:rsidR="001832FA" w:rsidRPr="00ED738D" w:rsidRDefault="001832FA">
            <w:pPr>
              <w:rPr>
                <w:sz w:val="26"/>
                <w:szCs w:val="26"/>
              </w:rPr>
            </w:pPr>
          </w:p>
          <w:p w14:paraId="7B601B74" w14:textId="77777777" w:rsidR="001832FA" w:rsidRPr="00ED738D" w:rsidRDefault="001832FA">
            <w:pPr>
              <w:rPr>
                <w:sz w:val="26"/>
                <w:szCs w:val="26"/>
              </w:rPr>
            </w:pPr>
          </w:p>
          <w:p w14:paraId="310A26A1" w14:textId="77777777" w:rsidR="001832FA" w:rsidRPr="00ED738D" w:rsidRDefault="001832FA">
            <w:pPr>
              <w:rPr>
                <w:sz w:val="26"/>
                <w:szCs w:val="26"/>
              </w:rPr>
            </w:pPr>
          </w:p>
          <w:p w14:paraId="6D78C122" w14:textId="77777777" w:rsidR="001832FA" w:rsidRPr="00ED738D" w:rsidRDefault="001832FA">
            <w:pPr>
              <w:rPr>
                <w:sz w:val="26"/>
                <w:szCs w:val="26"/>
              </w:rPr>
            </w:pPr>
          </w:p>
          <w:p w14:paraId="4C961C9A" w14:textId="77777777" w:rsidR="001832FA" w:rsidRPr="00ED738D" w:rsidRDefault="001832FA">
            <w:pPr>
              <w:rPr>
                <w:sz w:val="26"/>
                <w:szCs w:val="26"/>
              </w:rPr>
            </w:pPr>
          </w:p>
          <w:p w14:paraId="35D42579" w14:textId="77777777" w:rsidR="001832FA" w:rsidRPr="00ED738D" w:rsidRDefault="001832FA">
            <w:pPr>
              <w:rPr>
                <w:sz w:val="26"/>
                <w:szCs w:val="26"/>
              </w:rPr>
            </w:pPr>
          </w:p>
          <w:p w14:paraId="26AE7185" w14:textId="77777777" w:rsidR="001832FA" w:rsidRPr="00ED738D" w:rsidRDefault="001832FA">
            <w:pPr>
              <w:rPr>
                <w:sz w:val="26"/>
                <w:szCs w:val="26"/>
              </w:rPr>
            </w:pPr>
          </w:p>
          <w:p w14:paraId="0D45B7A3" w14:textId="77777777" w:rsidR="001832FA" w:rsidRPr="00ED738D" w:rsidRDefault="001832FA">
            <w:pPr>
              <w:rPr>
                <w:sz w:val="26"/>
                <w:szCs w:val="26"/>
              </w:rPr>
            </w:pPr>
          </w:p>
          <w:p w14:paraId="46A2A428" w14:textId="77777777" w:rsidR="001832FA" w:rsidRPr="00ED738D" w:rsidRDefault="001832FA">
            <w:pPr>
              <w:rPr>
                <w:sz w:val="26"/>
                <w:szCs w:val="26"/>
              </w:rPr>
            </w:pPr>
          </w:p>
          <w:p w14:paraId="6880785B" w14:textId="77777777" w:rsidR="001832FA" w:rsidRPr="00ED738D" w:rsidRDefault="001832FA">
            <w:pPr>
              <w:rPr>
                <w:sz w:val="26"/>
                <w:szCs w:val="26"/>
              </w:rPr>
            </w:pPr>
          </w:p>
          <w:p w14:paraId="2396357E" w14:textId="77777777" w:rsidR="001832FA" w:rsidRPr="00ED738D" w:rsidRDefault="001832FA">
            <w:pPr>
              <w:rPr>
                <w:sz w:val="26"/>
                <w:szCs w:val="26"/>
              </w:rPr>
            </w:pPr>
          </w:p>
          <w:p w14:paraId="548EF4F8" w14:textId="77777777" w:rsidR="001832FA" w:rsidRPr="00ED738D" w:rsidRDefault="001832FA">
            <w:pPr>
              <w:ind w:firstLine="720"/>
              <w:rPr>
                <w:sz w:val="26"/>
                <w:szCs w:val="26"/>
              </w:rPr>
            </w:pPr>
          </w:p>
          <w:p w14:paraId="0B58B1E7" w14:textId="77777777" w:rsidR="001832FA" w:rsidRPr="00ED738D" w:rsidRDefault="001832FA">
            <w:pPr>
              <w:rPr>
                <w:sz w:val="26"/>
                <w:szCs w:val="26"/>
              </w:rPr>
            </w:pPr>
          </w:p>
          <w:p w14:paraId="64AD9C4B" w14:textId="77777777" w:rsidR="001832FA" w:rsidRPr="00ED738D" w:rsidRDefault="001832FA">
            <w:pPr>
              <w:rPr>
                <w:sz w:val="26"/>
                <w:szCs w:val="26"/>
              </w:rPr>
            </w:pPr>
          </w:p>
          <w:p w14:paraId="7351DDFB" w14:textId="77777777" w:rsidR="001832FA" w:rsidRPr="00ED738D" w:rsidRDefault="001832FA">
            <w:pPr>
              <w:rPr>
                <w:sz w:val="26"/>
                <w:szCs w:val="26"/>
              </w:rPr>
            </w:pPr>
          </w:p>
          <w:p w14:paraId="26BDE63D" w14:textId="77777777" w:rsidR="001832FA" w:rsidRPr="00ED738D" w:rsidRDefault="001832FA">
            <w:pPr>
              <w:rPr>
                <w:sz w:val="26"/>
                <w:szCs w:val="26"/>
              </w:rPr>
            </w:pPr>
          </w:p>
          <w:p w14:paraId="5E3675F8" w14:textId="77777777" w:rsidR="001832FA" w:rsidRPr="00ED738D" w:rsidRDefault="001832FA">
            <w:pPr>
              <w:rPr>
                <w:sz w:val="26"/>
                <w:szCs w:val="26"/>
              </w:rPr>
            </w:pPr>
          </w:p>
          <w:p w14:paraId="6A5893B1" w14:textId="77777777" w:rsidR="001832FA" w:rsidRPr="00ED738D" w:rsidRDefault="001832FA">
            <w:pPr>
              <w:jc w:val="center"/>
              <w:rPr>
                <w:sz w:val="26"/>
                <w:szCs w:val="26"/>
              </w:rPr>
            </w:pPr>
          </w:p>
        </w:tc>
        <w:tc>
          <w:tcPr>
            <w:tcW w:w="6703" w:type="dxa"/>
            <w:tcBorders>
              <w:top w:val="single" w:sz="4" w:space="0" w:color="000000"/>
              <w:left w:val="single" w:sz="4" w:space="0" w:color="000000"/>
              <w:bottom w:val="single" w:sz="4" w:space="0" w:color="000000"/>
              <w:right w:val="single" w:sz="4" w:space="0" w:color="000000"/>
            </w:tcBorders>
            <w:shd w:val="clear" w:color="000000" w:fill="FFFFFF"/>
          </w:tcPr>
          <w:p w14:paraId="6059EE04" w14:textId="3BE2A611" w:rsidR="00EB5524" w:rsidRPr="00ED738D" w:rsidRDefault="00EB5524" w:rsidP="00EB5524">
            <w:pPr>
              <w:widowControl w:val="0"/>
              <w:tabs>
                <w:tab w:val="left" w:pos="0"/>
              </w:tabs>
              <w:jc w:val="both"/>
              <w:rPr>
                <w:rFonts w:eastAsia="Calibri"/>
                <w:sz w:val="26"/>
                <w:szCs w:val="26"/>
              </w:rPr>
            </w:pPr>
            <w:r w:rsidRPr="00ED738D">
              <w:rPr>
                <w:rFonts w:eastAsia="Calibri"/>
                <w:sz w:val="26"/>
                <w:szCs w:val="26"/>
              </w:rPr>
              <w:lastRenderedPageBreak/>
              <w:t xml:space="preserve">Izvērtējot esošās Latvijas nacionālās standartizācijas sistēmas darbību, Ekonomikas ministrija </w:t>
            </w:r>
            <w:r w:rsidR="00C55C6C">
              <w:rPr>
                <w:rFonts w:eastAsia="Calibri"/>
                <w:sz w:val="26"/>
                <w:szCs w:val="26"/>
              </w:rPr>
              <w:t xml:space="preserve">ir </w:t>
            </w:r>
            <w:r w:rsidRPr="00ED738D">
              <w:rPr>
                <w:rFonts w:eastAsia="Calibri"/>
                <w:sz w:val="26"/>
                <w:szCs w:val="26"/>
              </w:rPr>
              <w:t>rosināj</w:t>
            </w:r>
            <w:r w:rsidR="00C55C6C">
              <w:rPr>
                <w:rFonts w:eastAsia="Calibri"/>
                <w:sz w:val="26"/>
                <w:szCs w:val="26"/>
              </w:rPr>
              <w:t>usi</w:t>
            </w:r>
            <w:r w:rsidRPr="00ED738D">
              <w:rPr>
                <w:rFonts w:eastAsia="Calibri"/>
                <w:sz w:val="26"/>
                <w:szCs w:val="26"/>
              </w:rPr>
              <w:t xml:space="preserve"> veikt vairākas izmaiņas standartizācijas sistēmā, veidojot sabiedrībā vienotu izpratni par standartu izmantošanas veidiem konkrētu valsts politiku ieviešanā un īstenošan</w:t>
            </w:r>
            <w:r w:rsidR="003C17C0" w:rsidRPr="00ED738D">
              <w:rPr>
                <w:rFonts w:eastAsia="Calibri"/>
                <w:sz w:val="26"/>
                <w:szCs w:val="26"/>
              </w:rPr>
              <w:t>ā.</w:t>
            </w:r>
            <w:r w:rsidR="00C55C6C">
              <w:rPr>
                <w:rFonts w:eastAsia="Calibri"/>
                <w:sz w:val="26"/>
                <w:szCs w:val="26"/>
              </w:rPr>
              <w:t xml:space="preserve"> </w:t>
            </w:r>
            <w:r w:rsidR="003C17C0" w:rsidRPr="00ED738D">
              <w:rPr>
                <w:sz w:val="26"/>
                <w:szCs w:val="26"/>
              </w:rPr>
              <w:t>Ekonomikas ministrija 2016.gadā</w:t>
            </w:r>
            <w:r w:rsidR="00C55C6C">
              <w:rPr>
                <w:sz w:val="26"/>
                <w:szCs w:val="26"/>
              </w:rPr>
              <w:t xml:space="preserve"> ir </w:t>
            </w:r>
            <w:r w:rsidR="003C17C0" w:rsidRPr="00ED738D">
              <w:rPr>
                <w:sz w:val="26"/>
                <w:szCs w:val="26"/>
              </w:rPr>
              <w:t>izstrādāj</w:t>
            </w:r>
            <w:r w:rsidR="00C55C6C">
              <w:rPr>
                <w:sz w:val="26"/>
                <w:szCs w:val="26"/>
              </w:rPr>
              <w:t>usi</w:t>
            </w:r>
            <w:r w:rsidR="003C17C0" w:rsidRPr="00ED738D">
              <w:rPr>
                <w:sz w:val="26"/>
                <w:szCs w:val="26"/>
              </w:rPr>
              <w:t xml:space="preserve"> konceptuālo ziņojumu “Par Latvijas nacionālās standartizācijas sistēmas pilnveidošanu” (turpmāk – Konceptuālais ziņojums), kas tika apstiprināts ar Ministru kabineta 2016.gada 21.septembra rīkojumu Nr.534 “Par konceptuālo ziņojumu “Par Latvijas nacionālās standartizācijas sistēmas pilnveidošanu””,</w:t>
            </w:r>
            <w:r w:rsidR="003C17C0" w:rsidRPr="00ED738D">
              <w:rPr>
                <w:rFonts w:eastAsia="Calibri"/>
                <w:sz w:val="26"/>
                <w:szCs w:val="26"/>
              </w:rPr>
              <w:t xml:space="preserve"> </w:t>
            </w:r>
            <w:r w:rsidRPr="00ED738D">
              <w:rPr>
                <w:rFonts w:eastAsia="Calibri"/>
                <w:sz w:val="26"/>
                <w:szCs w:val="26"/>
              </w:rPr>
              <w:t>kurā identificētas esošās nacionālās standartizācijas sistēmas problēmas, apskatīta citu valstu pieredze un piedāvāts Latvijas situācijai atbilstošākais risinājums.</w:t>
            </w:r>
          </w:p>
          <w:p w14:paraId="331D0240" w14:textId="4AAD264A" w:rsidR="00F06F8F" w:rsidRPr="00ED738D" w:rsidRDefault="0021505A" w:rsidP="00EB5524">
            <w:pPr>
              <w:widowControl w:val="0"/>
              <w:tabs>
                <w:tab w:val="left" w:pos="0"/>
              </w:tabs>
              <w:jc w:val="both"/>
              <w:rPr>
                <w:rFonts w:eastAsia="Calibri"/>
                <w:sz w:val="26"/>
                <w:szCs w:val="26"/>
              </w:rPr>
            </w:pPr>
            <w:r w:rsidRPr="00ED738D">
              <w:rPr>
                <w:rFonts w:eastAsia="Calibri"/>
                <w:sz w:val="26"/>
                <w:szCs w:val="26"/>
              </w:rPr>
              <w:t>Konceptuālais ziņojum</w:t>
            </w:r>
            <w:r w:rsidR="00F06F8F" w:rsidRPr="00ED738D">
              <w:rPr>
                <w:rFonts w:eastAsia="Calibri"/>
                <w:sz w:val="26"/>
                <w:szCs w:val="26"/>
              </w:rPr>
              <w:t xml:space="preserve">ā secināts, ka Latvijas nacionālās standartizācijas sistēmas pilnveidošanas nolūkā ir nepieciešams </w:t>
            </w:r>
            <w:r w:rsidR="00B448E6">
              <w:rPr>
                <w:rFonts w:eastAsia="Calibri"/>
                <w:sz w:val="26"/>
                <w:szCs w:val="26"/>
              </w:rPr>
              <w:t>atrisināt</w:t>
            </w:r>
            <w:r w:rsidR="00F06F8F" w:rsidRPr="00ED738D">
              <w:rPr>
                <w:rFonts w:eastAsia="Calibri"/>
                <w:sz w:val="26"/>
                <w:szCs w:val="26"/>
              </w:rPr>
              <w:t xml:space="preserve"> šādus</w:t>
            </w:r>
            <w:r w:rsidR="00B448E6">
              <w:rPr>
                <w:rFonts w:eastAsia="Calibri"/>
                <w:sz w:val="26"/>
                <w:szCs w:val="26"/>
              </w:rPr>
              <w:t xml:space="preserve"> būtiskus jautājumus</w:t>
            </w:r>
            <w:r w:rsidR="00D65DD0" w:rsidRPr="00ED738D">
              <w:rPr>
                <w:rFonts w:eastAsia="Calibri"/>
                <w:sz w:val="26"/>
                <w:szCs w:val="26"/>
              </w:rPr>
              <w:t>:</w:t>
            </w:r>
          </w:p>
          <w:p w14:paraId="0DA639AB" w14:textId="3E003660" w:rsidR="007C7EB1" w:rsidRPr="00ED738D" w:rsidRDefault="00F06F8F" w:rsidP="009D74DB">
            <w:pPr>
              <w:pStyle w:val="ListParagraph"/>
              <w:widowControl w:val="0"/>
              <w:numPr>
                <w:ilvl w:val="0"/>
                <w:numId w:val="18"/>
              </w:numPr>
              <w:tabs>
                <w:tab w:val="left" w:pos="0"/>
              </w:tabs>
              <w:spacing w:before="60"/>
              <w:ind w:left="357" w:hanging="357"/>
              <w:jc w:val="both"/>
              <w:rPr>
                <w:rFonts w:ascii="Times New Roman" w:eastAsia="Calibri" w:hAnsi="Times New Roman"/>
                <w:sz w:val="26"/>
                <w:szCs w:val="26"/>
              </w:rPr>
            </w:pPr>
            <w:r w:rsidRPr="00ED738D">
              <w:rPr>
                <w:rFonts w:ascii="Times New Roman" w:eastAsia="Calibri" w:hAnsi="Times New Roman"/>
                <w:sz w:val="26"/>
                <w:szCs w:val="26"/>
              </w:rPr>
              <w:t>Standartu būtība, vieta un loma tiesību sistēmā</w:t>
            </w:r>
            <w:r w:rsidR="009D74DB">
              <w:rPr>
                <w:rFonts w:ascii="Times New Roman" w:eastAsia="Calibri" w:hAnsi="Times New Roman"/>
                <w:sz w:val="26"/>
                <w:szCs w:val="26"/>
              </w:rPr>
              <w:t>;</w:t>
            </w:r>
          </w:p>
          <w:p w14:paraId="6C08105A" w14:textId="2932CE6D" w:rsidR="00F06F8F" w:rsidRPr="00ED738D" w:rsidRDefault="00F06F8F" w:rsidP="00EF08D9">
            <w:pPr>
              <w:pStyle w:val="ListParagraph"/>
              <w:widowControl w:val="0"/>
              <w:numPr>
                <w:ilvl w:val="0"/>
                <w:numId w:val="18"/>
              </w:numPr>
              <w:tabs>
                <w:tab w:val="left" w:pos="0"/>
              </w:tabs>
              <w:jc w:val="both"/>
              <w:rPr>
                <w:rFonts w:ascii="Times New Roman" w:eastAsia="Calibri" w:hAnsi="Times New Roman"/>
                <w:sz w:val="26"/>
                <w:szCs w:val="26"/>
              </w:rPr>
            </w:pPr>
            <w:r w:rsidRPr="00ED738D">
              <w:rPr>
                <w:rFonts w:ascii="Times New Roman" w:eastAsia="Calibri" w:hAnsi="Times New Roman"/>
                <w:sz w:val="26"/>
                <w:szCs w:val="26"/>
              </w:rPr>
              <w:t>Jaunās pieejas ieviešana nacionālajā līmenī</w:t>
            </w:r>
            <w:r w:rsidR="009D74DB">
              <w:rPr>
                <w:rFonts w:ascii="Times New Roman" w:eastAsia="Calibri" w:hAnsi="Times New Roman"/>
                <w:sz w:val="26"/>
                <w:szCs w:val="26"/>
              </w:rPr>
              <w:t>;</w:t>
            </w:r>
          </w:p>
          <w:p w14:paraId="0E06B5D0" w14:textId="4555D89C" w:rsidR="00F06F8F" w:rsidRPr="00ED738D" w:rsidRDefault="00E14339" w:rsidP="00EF08D9">
            <w:pPr>
              <w:pStyle w:val="ListParagraph"/>
              <w:widowControl w:val="0"/>
              <w:numPr>
                <w:ilvl w:val="0"/>
                <w:numId w:val="18"/>
              </w:numPr>
              <w:tabs>
                <w:tab w:val="left" w:pos="0"/>
              </w:tabs>
              <w:jc w:val="both"/>
              <w:rPr>
                <w:rFonts w:ascii="Times New Roman" w:eastAsia="Calibri" w:hAnsi="Times New Roman"/>
                <w:sz w:val="26"/>
                <w:szCs w:val="26"/>
              </w:rPr>
            </w:pPr>
            <w:r>
              <w:rPr>
                <w:rFonts w:ascii="Times New Roman" w:eastAsia="Calibri" w:hAnsi="Times New Roman"/>
                <w:sz w:val="26"/>
                <w:szCs w:val="26"/>
              </w:rPr>
              <w:t>Standartizācijas pieprasījumu (m</w:t>
            </w:r>
            <w:r w:rsidR="00F06F8F" w:rsidRPr="00ED738D">
              <w:rPr>
                <w:rFonts w:ascii="Times New Roman" w:eastAsia="Calibri" w:hAnsi="Times New Roman"/>
                <w:sz w:val="26"/>
                <w:szCs w:val="26"/>
              </w:rPr>
              <w:t>andātu</w:t>
            </w:r>
            <w:r>
              <w:rPr>
                <w:rFonts w:ascii="Times New Roman" w:eastAsia="Calibri" w:hAnsi="Times New Roman"/>
                <w:sz w:val="26"/>
                <w:szCs w:val="26"/>
              </w:rPr>
              <w:t xml:space="preserve">) </w:t>
            </w:r>
            <w:r w:rsidR="00F06F8F" w:rsidRPr="00ED738D">
              <w:rPr>
                <w:rFonts w:ascii="Times New Roman" w:eastAsia="Calibri" w:hAnsi="Times New Roman"/>
                <w:sz w:val="26"/>
                <w:szCs w:val="26"/>
              </w:rPr>
              <w:t>sistēmas ieviešana</w:t>
            </w:r>
            <w:r w:rsidR="009D74DB">
              <w:rPr>
                <w:rFonts w:ascii="Times New Roman" w:eastAsia="Calibri" w:hAnsi="Times New Roman"/>
                <w:sz w:val="26"/>
                <w:szCs w:val="26"/>
              </w:rPr>
              <w:t>;</w:t>
            </w:r>
          </w:p>
          <w:p w14:paraId="0690A08F" w14:textId="6CC6E5AB" w:rsidR="00F06F8F" w:rsidRPr="00ED738D" w:rsidRDefault="00F06F8F" w:rsidP="00EF08D9">
            <w:pPr>
              <w:pStyle w:val="ListParagraph"/>
              <w:widowControl w:val="0"/>
              <w:numPr>
                <w:ilvl w:val="0"/>
                <w:numId w:val="18"/>
              </w:numPr>
              <w:tabs>
                <w:tab w:val="left" w:pos="0"/>
              </w:tabs>
              <w:jc w:val="both"/>
              <w:rPr>
                <w:rFonts w:ascii="Times New Roman" w:eastAsia="Calibri" w:hAnsi="Times New Roman"/>
                <w:sz w:val="26"/>
                <w:szCs w:val="26"/>
              </w:rPr>
            </w:pPr>
            <w:r w:rsidRPr="00ED738D">
              <w:rPr>
                <w:rFonts w:ascii="Times New Roman" w:eastAsia="Calibri" w:hAnsi="Times New Roman"/>
                <w:sz w:val="26"/>
                <w:szCs w:val="26"/>
              </w:rPr>
              <w:t xml:space="preserve">Nacionālās standartizācijas institūcijas darbības </w:t>
            </w:r>
            <w:r w:rsidRPr="00ED738D">
              <w:rPr>
                <w:rFonts w:ascii="Times New Roman" w:eastAsia="Calibri" w:hAnsi="Times New Roman"/>
                <w:sz w:val="26"/>
                <w:szCs w:val="26"/>
              </w:rPr>
              <w:lastRenderedPageBreak/>
              <w:t>reorganizācija</w:t>
            </w:r>
            <w:r w:rsidR="00AF2B2F">
              <w:rPr>
                <w:rFonts w:ascii="Times New Roman" w:eastAsia="Calibri" w:hAnsi="Times New Roman"/>
                <w:sz w:val="26"/>
                <w:szCs w:val="26"/>
              </w:rPr>
              <w:t>.</w:t>
            </w:r>
          </w:p>
          <w:p w14:paraId="6B83D30A" w14:textId="3F213EE9" w:rsidR="00D65DD0" w:rsidRPr="00ED738D" w:rsidRDefault="00D65DD0" w:rsidP="00D65DD0">
            <w:pPr>
              <w:widowControl w:val="0"/>
              <w:tabs>
                <w:tab w:val="left" w:pos="0"/>
              </w:tabs>
              <w:jc w:val="both"/>
              <w:rPr>
                <w:rFonts w:eastAsia="Calibri"/>
                <w:sz w:val="26"/>
                <w:szCs w:val="26"/>
              </w:rPr>
            </w:pPr>
            <w:r w:rsidRPr="00ED738D">
              <w:rPr>
                <w:rFonts w:eastAsia="Calibri"/>
                <w:sz w:val="26"/>
                <w:szCs w:val="26"/>
              </w:rPr>
              <w:t>Lai īstenotu</w:t>
            </w:r>
            <w:r w:rsidR="00AF2B2F">
              <w:rPr>
                <w:rFonts w:eastAsia="Calibri"/>
                <w:sz w:val="26"/>
                <w:szCs w:val="26"/>
              </w:rPr>
              <w:t xml:space="preserve"> iezīmētos</w:t>
            </w:r>
            <w:r w:rsidR="00F06F8F" w:rsidRPr="00ED738D">
              <w:rPr>
                <w:rFonts w:eastAsia="Calibri"/>
                <w:sz w:val="26"/>
                <w:szCs w:val="26"/>
              </w:rPr>
              <w:t xml:space="preserve"> </w:t>
            </w:r>
            <w:r w:rsidR="00AF2B2F">
              <w:rPr>
                <w:rFonts w:eastAsia="Calibri"/>
                <w:sz w:val="26"/>
                <w:szCs w:val="26"/>
              </w:rPr>
              <w:t>jautājumus</w:t>
            </w:r>
            <w:r w:rsidRPr="00ED738D">
              <w:rPr>
                <w:rFonts w:eastAsia="Calibri"/>
                <w:sz w:val="26"/>
                <w:szCs w:val="26"/>
              </w:rPr>
              <w:t>,</w:t>
            </w:r>
            <w:r w:rsidR="00AF2B2F">
              <w:rPr>
                <w:rFonts w:eastAsia="Calibri"/>
                <w:sz w:val="26"/>
                <w:szCs w:val="26"/>
              </w:rPr>
              <w:t xml:space="preserve"> būtu</w:t>
            </w:r>
            <w:r w:rsidR="00F06F8F" w:rsidRPr="00ED738D">
              <w:rPr>
                <w:rFonts w:eastAsia="Calibri"/>
                <w:sz w:val="26"/>
                <w:szCs w:val="26"/>
              </w:rPr>
              <w:t xml:space="preserve"> </w:t>
            </w:r>
            <w:r w:rsidRPr="00ED738D">
              <w:rPr>
                <w:rFonts w:eastAsia="Calibri"/>
                <w:sz w:val="26"/>
                <w:szCs w:val="26"/>
              </w:rPr>
              <w:t xml:space="preserve">nepieciešams veikt </w:t>
            </w:r>
            <w:r w:rsidR="00ED738D" w:rsidRPr="00ED738D">
              <w:rPr>
                <w:rFonts w:eastAsia="Calibri"/>
                <w:sz w:val="26"/>
                <w:szCs w:val="26"/>
              </w:rPr>
              <w:t xml:space="preserve">šādus </w:t>
            </w:r>
            <w:r w:rsidRPr="00ED738D">
              <w:rPr>
                <w:rFonts w:eastAsia="Calibri"/>
                <w:sz w:val="26"/>
                <w:szCs w:val="26"/>
              </w:rPr>
              <w:t>grozījumus Standartizācijas likumā:</w:t>
            </w:r>
          </w:p>
          <w:p w14:paraId="3D84D4AB" w14:textId="2BDC925D" w:rsidR="00D65DD0" w:rsidRPr="00ED738D" w:rsidRDefault="00D65DD0" w:rsidP="00AF2B2F">
            <w:pPr>
              <w:pStyle w:val="ListParagraph"/>
              <w:widowControl w:val="0"/>
              <w:numPr>
                <w:ilvl w:val="0"/>
                <w:numId w:val="16"/>
              </w:numPr>
              <w:tabs>
                <w:tab w:val="left" w:pos="0"/>
              </w:tabs>
              <w:spacing w:before="60"/>
              <w:ind w:left="357" w:hanging="357"/>
              <w:jc w:val="both"/>
              <w:rPr>
                <w:rFonts w:ascii="Times New Roman" w:eastAsia="Calibri" w:hAnsi="Times New Roman"/>
                <w:sz w:val="26"/>
                <w:szCs w:val="26"/>
              </w:rPr>
            </w:pPr>
            <w:r w:rsidRPr="00ED738D">
              <w:rPr>
                <w:rFonts w:ascii="Times New Roman" w:eastAsia="Calibri" w:hAnsi="Times New Roman"/>
                <w:sz w:val="26"/>
                <w:szCs w:val="26"/>
              </w:rPr>
              <w:t>Definīciju precizēšana;</w:t>
            </w:r>
          </w:p>
          <w:p w14:paraId="346C6085" w14:textId="4810F605"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Jaunās pieejas ieviešana;</w:t>
            </w:r>
          </w:p>
          <w:p w14:paraId="1D66D1F1" w14:textId="2BB6DD61"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Standartu izmantošanas normatīvajos aktos veidu precizēšana;</w:t>
            </w:r>
          </w:p>
          <w:p w14:paraId="29F06C08" w14:textId="5D62A016" w:rsidR="00D65DD0" w:rsidRPr="00ED738D" w:rsidRDefault="00C55C6C" w:rsidP="00ED738D">
            <w:pPr>
              <w:pStyle w:val="ListParagraph"/>
              <w:widowControl w:val="0"/>
              <w:numPr>
                <w:ilvl w:val="0"/>
                <w:numId w:val="16"/>
              </w:numPr>
              <w:tabs>
                <w:tab w:val="left" w:pos="0"/>
              </w:tabs>
              <w:ind w:left="360"/>
              <w:jc w:val="both"/>
              <w:rPr>
                <w:rFonts w:ascii="Times New Roman" w:eastAsia="Calibri" w:hAnsi="Times New Roman"/>
                <w:sz w:val="26"/>
                <w:szCs w:val="26"/>
              </w:rPr>
            </w:pPr>
            <w:r>
              <w:rPr>
                <w:rFonts w:ascii="Times New Roman" w:eastAsia="Calibri" w:hAnsi="Times New Roman"/>
                <w:sz w:val="26"/>
                <w:szCs w:val="26"/>
              </w:rPr>
              <w:t>Standartizācijas pieprasījumu (m</w:t>
            </w:r>
            <w:r w:rsidR="00D65DD0" w:rsidRPr="00ED738D">
              <w:rPr>
                <w:rFonts w:ascii="Times New Roman" w:eastAsia="Calibri" w:hAnsi="Times New Roman"/>
                <w:sz w:val="26"/>
                <w:szCs w:val="26"/>
              </w:rPr>
              <w:t>andātu</w:t>
            </w:r>
            <w:r>
              <w:rPr>
                <w:rFonts w:ascii="Times New Roman" w:eastAsia="Calibri" w:hAnsi="Times New Roman"/>
                <w:sz w:val="26"/>
                <w:szCs w:val="26"/>
              </w:rPr>
              <w:t>)</w:t>
            </w:r>
            <w:r w:rsidR="00D65DD0" w:rsidRPr="00ED738D">
              <w:rPr>
                <w:rFonts w:ascii="Times New Roman" w:eastAsia="Calibri" w:hAnsi="Times New Roman"/>
                <w:sz w:val="26"/>
                <w:szCs w:val="26"/>
              </w:rPr>
              <w:t xml:space="preserve"> sistēmas ieviešana un centralizētas standartu tulkošanas nodrošināšana;</w:t>
            </w:r>
          </w:p>
          <w:p w14:paraId="05F9FFA8" w14:textId="0FF84C72"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Paredzēt risinājumu attiecībā uz nacionālās standartizācijas institūcijas noteikšanu;</w:t>
            </w:r>
          </w:p>
          <w:p w14:paraId="49BA413E" w14:textId="4A666402"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Paredzēt līdzfinansējuma piešķiršanu nacionālās standartizācijas institūcijas darbības nodrošināšanai un deleģēt līdzfinansējuma piešķiršanas kārtības izstrādi Ministru kabinetam.</w:t>
            </w:r>
          </w:p>
          <w:p w14:paraId="6BC497BA" w14:textId="4B1DCFF0" w:rsidR="007C7EB1" w:rsidRDefault="00BF67C2" w:rsidP="00BF67C2">
            <w:pPr>
              <w:widowControl w:val="0"/>
              <w:tabs>
                <w:tab w:val="left" w:pos="0"/>
              </w:tabs>
              <w:spacing w:before="240"/>
              <w:jc w:val="both"/>
              <w:rPr>
                <w:rFonts w:eastAsia="Calibri"/>
                <w:b/>
                <w:bCs/>
                <w:sz w:val="26"/>
                <w:szCs w:val="26"/>
              </w:rPr>
            </w:pPr>
            <w:r w:rsidRPr="00BF67C2">
              <w:rPr>
                <w:rFonts w:eastAsia="Calibri"/>
                <w:b/>
                <w:bCs/>
                <w:sz w:val="26"/>
                <w:szCs w:val="26"/>
              </w:rPr>
              <w:t>Nacionālās standartizācijas institūcijas darbības reorganizācija</w:t>
            </w:r>
          </w:p>
          <w:p w14:paraId="32EF667C" w14:textId="1026A7F2" w:rsidR="00BF67C2" w:rsidRDefault="00BF67C2" w:rsidP="00BF67C2">
            <w:pPr>
              <w:widowControl w:val="0"/>
              <w:tabs>
                <w:tab w:val="left" w:pos="0"/>
              </w:tabs>
              <w:jc w:val="both"/>
              <w:rPr>
                <w:rFonts w:eastAsia="Calibri"/>
                <w:sz w:val="26"/>
                <w:szCs w:val="26"/>
              </w:rPr>
            </w:pPr>
            <w:r w:rsidRPr="00BF67C2">
              <w:rPr>
                <w:rFonts w:eastAsia="Calibri"/>
                <w:sz w:val="26"/>
                <w:szCs w:val="26"/>
              </w:rPr>
              <w:t>Standartizācijas institūcijas pēc būtības ir organizācijas, kuru mērķis nav peļņas gūšanas, bet gan ieinteresēto pušu interešu nodrošināšana. To primārā darbība ir saistīta ar standartu izstrādi – standartizāciju, kas nav uzskatāma par valsts pārvaldes uzdevumu.</w:t>
            </w:r>
            <w:r>
              <w:rPr>
                <w:rFonts w:eastAsia="Calibri"/>
                <w:sz w:val="26"/>
                <w:szCs w:val="26"/>
              </w:rPr>
              <w:t xml:space="preserve"> S</w:t>
            </w:r>
            <w:r w:rsidRPr="00ED738D">
              <w:rPr>
                <w:rFonts w:eastAsia="Calibri"/>
                <w:sz w:val="26"/>
                <w:szCs w:val="26"/>
              </w:rPr>
              <w:t>tandartizācijas darbības pēc definīcijas nav uzskatāmas par komercdarbību</w:t>
            </w:r>
            <w:r w:rsidR="00CD6B1A">
              <w:rPr>
                <w:rFonts w:eastAsia="Calibri"/>
                <w:sz w:val="26"/>
                <w:szCs w:val="26"/>
              </w:rPr>
              <w:t xml:space="preserve"> peļņas gūšanas nolūkā</w:t>
            </w:r>
            <w:r w:rsidRPr="00ED738D">
              <w:rPr>
                <w:rFonts w:eastAsia="Calibri"/>
                <w:sz w:val="26"/>
                <w:szCs w:val="26"/>
              </w:rPr>
              <w:t xml:space="preserve">, bet gan </w:t>
            </w:r>
            <w:r w:rsidR="00CD6B1A">
              <w:rPr>
                <w:rFonts w:eastAsia="Calibri"/>
                <w:sz w:val="26"/>
                <w:szCs w:val="26"/>
              </w:rPr>
              <w:t>ir</w:t>
            </w:r>
            <w:r w:rsidRPr="00ED738D">
              <w:rPr>
                <w:rFonts w:eastAsia="Calibri"/>
                <w:sz w:val="26"/>
                <w:szCs w:val="26"/>
              </w:rPr>
              <w:t xml:space="preserve"> darbība sabiedrības kopējo interešu sasniegšanai nozares pašregulācijas ceļā, kurai primārais mērķis ir sabiedrības interešu ievērošana, lai konsekventi sakārtotu attiecīgo jomu.</w:t>
            </w:r>
            <w:r w:rsidRPr="00BF67C2">
              <w:rPr>
                <w:rFonts w:eastAsia="Calibri"/>
                <w:sz w:val="26"/>
                <w:szCs w:val="26"/>
              </w:rPr>
              <w:t xml:space="preserve"> </w:t>
            </w:r>
            <w:r w:rsidR="00C63948">
              <w:rPr>
                <w:rFonts w:eastAsia="Calibri"/>
                <w:sz w:val="26"/>
                <w:szCs w:val="26"/>
              </w:rPr>
              <w:t xml:space="preserve">Tomēr no dalības Eiropas savienībā izriet pienākums valstij nodrošināt, ka pastāv nacionālā infrastruktūra standartu izstrādei un starptautisko un reģionālo standartu iegādei, kas notiek caur nacionālajām standartizācijas institūcijām. </w:t>
            </w:r>
            <w:r w:rsidRPr="00BF67C2">
              <w:rPr>
                <w:rFonts w:eastAsia="Calibri"/>
                <w:sz w:val="26"/>
                <w:szCs w:val="26"/>
              </w:rPr>
              <w:t>Tādējādi no valsts puses ir veicināma standartizācijas</w:t>
            </w:r>
            <w:r w:rsidR="00C63948">
              <w:rPr>
                <w:rFonts w:eastAsia="Calibri"/>
                <w:sz w:val="26"/>
                <w:szCs w:val="26"/>
              </w:rPr>
              <w:t xml:space="preserve"> attīstība sadarbībā</w:t>
            </w:r>
            <w:r w:rsidRPr="00BF67C2">
              <w:rPr>
                <w:rFonts w:eastAsia="Calibri"/>
                <w:sz w:val="26"/>
                <w:szCs w:val="26"/>
              </w:rPr>
              <w:t xml:space="preserve"> a</w:t>
            </w:r>
            <w:r w:rsidR="00C63948">
              <w:rPr>
                <w:rFonts w:eastAsia="Calibri"/>
                <w:sz w:val="26"/>
                <w:szCs w:val="26"/>
              </w:rPr>
              <w:t>r</w:t>
            </w:r>
            <w:r w:rsidRPr="00BF67C2">
              <w:rPr>
                <w:rFonts w:eastAsia="Calibri"/>
                <w:sz w:val="26"/>
                <w:szCs w:val="26"/>
              </w:rPr>
              <w:t xml:space="preserve"> </w:t>
            </w:r>
            <w:r w:rsidR="00C63948">
              <w:rPr>
                <w:rFonts w:eastAsia="Calibri"/>
                <w:sz w:val="26"/>
                <w:szCs w:val="26"/>
              </w:rPr>
              <w:t>dažādām ieinteresētajām pusēm</w:t>
            </w:r>
            <w:r w:rsidRPr="00BF67C2">
              <w:rPr>
                <w:rFonts w:eastAsia="Calibri"/>
                <w:sz w:val="26"/>
                <w:szCs w:val="26"/>
              </w:rPr>
              <w:t>. Ievērojot dominējošo praksi attiecībā uz nacionālo standartizācijas institūciju, kuras ir Eiropas standartizācijas institūciju biedri, juridisko statusu, secināms, ka 70% gadījumos nacionālās institūcijas tiek veidotas kā nevalstiskās organizācijas. Tādējādi radot iespēju jebkurai ieinteresētajai pusei iesaistīties nacionālās standartizācijas institūcijas darbā un lēmumu pieņemšanā</w:t>
            </w:r>
            <w:r>
              <w:rPr>
                <w:rFonts w:eastAsia="Calibri"/>
                <w:sz w:val="26"/>
                <w:szCs w:val="26"/>
              </w:rPr>
              <w:t>.</w:t>
            </w:r>
          </w:p>
          <w:p w14:paraId="2632E76D" w14:textId="699366B8" w:rsidR="00BF67C2" w:rsidRPr="00ED738D" w:rsidRDefault="00BF67C2" w:rsidP="00BF67C2">
            <w:pPr>
              <w:widowControl w:val="0"/>
              <w:tabs>
                <w:tab w:val="left" w:pos="0"/>
              </w:tabs>
              <w:jc w:val="both"/>
              <w:rPr>
                <w:rFonts w:eastAsia="Calibri"/>
                <w:sz w:val="26"/>
                <w:szCs w:val="26"/>
              </w:rPr>
            </w:pPr>
            <w:r w:rsidRPr="00ED738D">
              <w:rPr>
                <w:rFonts w:eastAsia="Calibri"/>
                <w:sz w:val="26"/>
                <w:szCs w:val="26"/>
              </w:rPr>
              <w:t>Turklāt būtiski ir uzsvērt, ka valstij, lai izpildītu starptautiskās un reģionālās saistības, ir jānodrošina platforma jeb standartizācijas sistēmas uzturēšana, kas ļauj ieinteresētajām pusēm veikt nepieciešamās standartizācijas aktivitātes, taču tās uzdevums nav pašu standartizācijas darbību veikšana. Valsts nepieciešamības gadījumā, var iesaistīties standartizācijas darbā kā viena no ieinteresētajām pusēm, bet uz vienlīdzīgiem un līdzvērtīgiem nosacījumiem, kā citas ieinteresētās puses.</w:t>
            </w:r>
          </w:p>
          <w:p w14:paraId="2ED08AC6" w14:textId="1482E2DF" w:rsidR="002C1F24" w:rsidRDefault="002C1F24" w:rsidP="002C1F24">
            <w:pPr>
              <w:widowControl w:val="0"/>
              <w:tabs>
                <w:tab w:val="left" w:pos="0"/>
              </w:tabs>
              <w:spacing w:before="120"/>
              <w:jc w:val="both"/>
              <w:rPr>
                <w:rFonts w:eastAsia="Calibri"/>
                <w:sz w:val="26"/>
                <w:szCs w:val="26"/>
              </w:rPr>
            </w:pPr>
            <w:r w:rsidRPr="002C1F24">
              <w:rPr>
                <w:rFonts w:eastAsia="Calibri"/>
                <w:sz w:val="26"/>
                <w:szCs w:val="26"/>
              </w:rPr>
              <w:lastRenderedPageBreak/>
              <w:t xml:space="preserve">Ekonomikas ministrijas un Standartizācijas biroja </w:t>
            </w:r>
            <w:r w:rsidR="00D6495B" w:rsidRPr="002C1F24">
              <w:rPr>
                <w:rFonts w:eastAsia="Calibri"/>
                <w:sz w:val="26"/>
                <w:szCs w:val="26"/>
              </w:rPr>
              <w:t xml:space="preserve">2016.gada 14.oktobrī </w:t>
            </w:r>
            <w:r w:rsidRPr="002C1F24">
              <w:rPr>
                <w:rFonts w:eastAsia="Calibri"/>
                <w:sz w:val="26"/>
                <w:szCs w:val="26"/>
              </w:rPr>
              <w:t>rīkot</w:t>
            </w:r>
            <w:r w:rsidR="00D6495B">
              <w:rPr>
                <w:rFonts w:eastAsia="Calibri"/>
                <w:sz w:val="26"/>
                <w:szCs w:val="26"/>
              </w:rPr>
              <w:t>ās</w:t>
            </w:r>
            <w:r w:rsidRPr="002C1F24">
              <w:rPr>
                <w:rFonts w:eastAsia="Calibri"/>
                <w:sz w:val="26"/>
                <w:szCs w:val="26"/>
              </w:rPr>
              <w:t xml:space="preserve"> konferences “Standartizācijas attīstība Latvijā: izaicinājumi un iespējas” </w:t>
            </w:r>
            <w:r w:rsidR="00D6495B">
              <w:rPr>
                <w:rFonts w:eastAsia="Calibri"/>
                <w:sz w:val="26"/>
                <w:szCs w:val="26"/>
              </w:rPr>
              <w:t xml:space="preserve">laikā </w:t>
            </w:r>
            <w:r w:rsidRPr="002C1F24">
              <w:rPr>
                <w:rFonts w:eastAsia="Calibri"/>
                <w:sz w:val="26"/>
                <w:szCs w:val="26"/>
              </w:rPr>
              <w:t>tika parakstīts Saprašanās memorands “Par Latvijas nacionālās standartizācijas sistēmas attīstību tautsaimniecības konkurētspējas un inovāciju veicināšanai”</w:t>
            </w:r>
            <w:r w:rsidR="00B63D8B">
              <w:rPr>
                <w:rFonts w:eastAsia="Calibri"/>
                <w:sz w:val="26"/>
                <w:szCs w:val="26"/>
              </w:rPr>
              <w:t xml:space="preserve"> (turpmāk – saprašanās memorand</w:t>
            </w:r>
            <w:r w:rsidR="00CD6B1A">
              <w:rPr>
                <w:rFonts w:eastAsia="Calibri"/>
                <w:sz w:val="26"/>
                <w:szCs w:val="26"/>
              </w:rPr>
              <w:t>s</w:t>
            </w:r>
            <w:r w:rsidR="00B63D8B">
              <w:rPr>
                <w:rFonts w:eastAsia="Calibri"/>
                <w:sz w:val="26"/>
                <w:szCs w:val="26"/>
              </w:rPr>
              <w:t>)</w:t>
            </w:r>
            <w:r w:rsidRPr="002C1F24">
              <w:rPr>
                <w:rFonts w:eastAsia="Calibri"/>
                <w:sz w:val="26"/>
                <w:szCs w:val="26"/>
              </w:rPr>
              <w:t>.</w:t>
            </w:r>
            <w:r w:rsidR="00B63D8B">
              <w:rPr>
                <w:rFonts w:eastAsia="Calibri"/>
                <w:sz w:val="26"/>
                <w:szCs w:val="26"/>
              </w:rPr>
              <w:t xml:space="preserve"> Saprašanās m</w:t>
            </w:r>
            <w:r w:rsidRPr="002C1F24">
              <w:rPr>
                <w:rFonts w:eastAsia="Calibri"/>
                <w:sz w:val="26"/>
                <w:szCs w:val="26"/>
              </w:rPr>
              <w:t>emorandu no valsts puses parakstīja</w:t>
            </w:r>
            <w:r w:rsidR="00B63D8B">
              <w:rPr>
                <w:rFonts w:eastAsia="Calibri"/>
                <w:sz w:val="26"/>
                <w:szCs w:val="26"/>
              </w:rPr>
              <w:t xml:space="preserve"> </w:t>
            </w:r>
            <w:r w:rsidR="00C63948">
              <w:rPr>
                <w:rFonts w:eastAsia="Calibri"/>
                <w:sz w:val="26"/>
                <w:szCs w:val="26"/>
              </w:rPr>
              <w:t>e</w:t>
            </w:r>
            <w:r w:rsidRPr="002C1F24">
              <w:rPr>
                <w:rFonts w:eastAsia="Calibri"/>
                <w:sz w:val="26"/>
                <w:szCs w:val="26"/>
              </w:rPr>
              <w:t>konomikas ministrs</w:t>
            </w:r>
            <w:r w:rsidR="00B63D8B">
              <w:rPr>
                <w:rFonts w:eastAsia="Calibri"/>
                <w:sz w:val="26"/>
                <w:szCs w:val="26"/>
              </w:rPr>
              <w:t xml:space="preserve">, </w:t>
            </w:r>
            <w:r w:rsidRPr="002C1F24">
              <w:rPr>
                <w:rFonts w:eastAsia="Calibri"/>
                <w:sz w:val="26"/>
                <w:szCs w:val="26"/>
              </w:rPr>
              <w:t xml:space="preserve">savukārt no privātā sektora puses to parakstīja </w:t>
            </w:r>
            <w:r w:rsidR="00CD6B1A">
              <w:rPr>
                <w:rFonts w:eastAsia="Calibri"/>
                <w:sz w:val="26"/>
                <w:szCs w:val="26"/>
              </w:rPr>
              <w:t>vairākas</w:t>
            </w:r>
            <w:r w:rsidRPr="002C1F24">
              <w:rPr>
                <w:rFonts w:eastAsia="Calibri"/>
                <w:sz w:val="26"/>
                <w:szCs w:val="26"/>
              </w:rPr>
              <w:t xml:space="preserve"> nevalstiskās organizācijas</w:t>
            </w:r>
            <w:r w:rsidR="00B63D8B">
              <w:rPr>
                <w:rFonts w:eastAsia="Calibri"/>
                <w:sz w:val="26"/>
                <w:szCs w:val="26"/>
              </w:rPr>
              <w:t>. Saprašanās m</w:t>
            </w:r>
            <w:r w:rsidRPr="002C1F24">
              <w:rPr>
                <w:rFonts w:eastAsia="Calibri"/>
                <w:sz w:val="26"/>
                <w:szCs w:val="26"/>
              </w:rPr>
              <w:t xml:space="preserve">emoranda mērķis ir dot lielāku ietekmi Latvijas nevalstiskajām </w:t>
            </w:r>
            <w:r w:rsidR="00CD6B1A">
              <w:rPr>
                <w:rFonts w:eastAsia="Calibri"/>
                <w:sz w:val="26"/>
                <w:szCs w:val="26"/>
              </w:rPr>
              <w:t>organizācijām</w:t>
            </w:r>
            <w:r w:rsidRPr="002C1F24">
              <w:rPr>
                <w:rFonts w:eastAsia="Calibri"/>
                <w:sz w:val="26"/>
                <w:szCs w:val="26"/>
              </w:rPr>
              <w:t xml:space="preserve"> un to biedriem standartu izstrādes procesā, vienoties par kopīgu stratēģiju un prioritātēm standartizācijā, kopīgi strādāt pie Nacionālās standartizācijas institūcijas organizatoriskā modeļa – biedrības izveides, veicināt izpratni par standartizācijas jautājumiem un ieguvumiem, veicināt standartu plašāku izmantošanu valsts politiku atbalstam.</w:t>
            </w:r>
          </w:p>
          <w:p w14:paraId="2DDA9272" w14:textId="7C4648F8" w:rsidR="007C7EB1" w:rsidRDefault="002C1F24" w:rsidP="00C503F3">
            <w:pPr>
              <w:widowControl w:val="0"/>
              <w:tabs>
                <w:tab w:val="left" w:pos="0"/>
              </w:tabs>
              <w:spacing w:before="120"/>
              <w:jc w:val="both"/>
              <w:rPr>
                <w:rFonts w:eastAsia="Calibri"/>
                <w:sz w:val="26"/>
                <w:szCs w:val="26"/>
              </w:rPr>
            </w:pPr>
            <w:r>
              <w:rPr>
                <w:rFonts w:eastAsia="Calibri"/>
                <w:sz w:val="26"/>
                <w:szCs w:val="26"/>
              </w:rPr>
              <w:t xml:space="preserve">Vienlaikus </w:t>
            </w:r>
            <w:r w:rsidR="00DA3140">
              <w:rPr>
                <w:rFonts w:eastAsia="Calibri"/>
                <w:sz w:val="26"/>
                <w:szCs w:val="26"/>
              </w:rPr>
              <w:t>n</w:t>
            </w:r>
            <w:r w:rsidR="00DA3140" w:rsidRPr="00DA3140">
              <w:rPr>
                <w:rFonts w:eastAsia="Calibri"/>
                <w:sz w:val="26"/>
                <w:szCs w:val="26"/>
              </w:rPr>
              <w:t>acionālās standartizācijas institūcijas darbības reorganizācija</w:t>
            </w:r>
            <w:r w:rsidR="00DA3140">
              <w:rPr>
                <w:rFonts w:eastAsia="Calibri"/>
                <w:sz w:val="26"/>
                <w:szCs w:val="26"/>
              </w:rPr>
              <w:t xml:space="preserve">s procesa </w:t>
            </w:r>
            <w:r w:rsidR="007C7EB1" w:rsidRPr="00ED738D">
              <w:rPr>
                <w:rFonts w:eastAsia="Calibri"/>
                <w:sz w:val="26"/>
                <w:szCs w:val="26"/>
              </w:rPr>
              <w:t xml:space="preserve">īstenošanai ar </w:t>
            </w:r>
            <w:r w:rsidR="00C86476">
              <w:rPr>
                <w:rFonts w:eastAsia="Calibri"/>
                <w:sz w:val="26"/>
                <w:szCs w:val="26"/>
              </w:rPr>
              <w:t>M</w:t>
            </w:r>
            <w:r w:rsidR="007C7EB1" w:rsidRPr="00ED738D">
              <w:rPr>
                <w:rFonts w:eastAsia="Calibri"/>
                <w:sz w:val="26"/>
                <w:szCs w:val="26"/>
              </w:rPr>
              <w:t xml:space="preserve">inistru kabineta 2017.gada 4.aprīļa lēmumu (prot. Nr.18 42.§) tika pieņemts informatīvais ziņojums “Par priekšlikumu sniegšanu par turpmāko rīcību saistībā ar </w:t>
            </w:r>
            <w:r w:rsidR="00C71FE5" w:rsidRPr="00ED738D">
              <w:rPr>
                <w:rFonts w:eastAsia="Calibri"/>
                <w:sz w:val="26"/>
                <w:szCs w:val="26"/>
              </w:rPr>
              <w:t xml:space="preserve"> sabiedrības ar ierobežoto atbildību </w:t>
            </w:r>
            <w:r w:rsidR="00C71FE5">
              <w:rPr>
                <w:rFonts w:eastAsia="Calibri"/>
                <w:sz w:val="26"/>
                <w:szCs w:val="26"/>
              </w:rPr>
              <w:t xml:space="preserve">(turpmāk – </w:t>
            </w:r>
            <w:r w:rsidR="007C7EB1" w:rsidRPr="00ED738D">
              <w:rPr>
                <w:rFonts w:eastAsia="Calibri"/>
                <w:sz w:val="26"/>
                <w:szCs w:val="26"/>
              </w:rPr>
              <w:t>SIA</w:t>
            </w:r>
            <w:r w:rsidR="00C71FE5">
              <w:rPr>
                <w:rFonts w:eastAsia="Calibri"/>
                <w:sz w:val="26"/>
                <w:szCs w:val="26"/>
              </w:rPr>
              <w:t>)</w:t>
            </w:r>
            <w:r w:rsidR="007C7EB1" w:rsidRPr="00ED738D">
              <w:rPr>
                <w:rFonts w:eastAsia="Calibri"/>
                <w:sz w:val="26"/>
                <w:szCs w:val="26"/>
              </w:rPr>
              <w:t xml:space="preserve"> “Standartizācijas, akreditācijas un metroloģijas centrs” reorganizēšanu” un atbalstīta </w:t>
            </w:r>
            <w:r w:rsidR="00C71FE5">
              <w:rPr>
                <w:rFonts w:eastAsia="Calibri"/>
                <w:sz w:val="26"/>
                <w:szCs w:val="26"/>
              </w:rPr>
              <w:t xml:space="preserve">SIA </w:t>
            </w:r>
            <w:r w:rsidR="007C7EB1" w:rsidRPr="00ED738D">
              <w:rPr>
                <w:rFonts w:eastAsia="Calibri"/>
                <w:sz w:val="26"/>
                <w:szCs w:val="26"/>
              </w:rPr>
              <w:t xml:space="preserve">“Standartizācijas, akreditācijas un metroloģijas centrs” reorganizācijas uzsākšana sadalīšanas ceļā, kā arī atbalstīta valsts līdzdalības iegūšana jaundibināmā SIA “Latvijas standarts” </w:t>
            </w:r>
            <w:r w:rsidR="007C7EB1" w:rsidRPr="0043748D">
              <w:rPr>
                <w:rFonts w:eastAsia="Calibri"/>
                <w:sz w:val="26"/>
                <w:szCs w:val="26"/>
                <w:u w:val="single"/>
              </w:rPr>
              <w:t xml:space="preserve">līdz atbilstošas biedru organizācijas, kas tiktu atzīta no </w:t>
            </w:r>
            <w:r w:rsidR="00C71FE5" w:rsidRPr="0043748D">
              <w:rPr>
                <w:rFonts w:eastAsia="Calibri"/>
                <w:sz w:val="26"/>
                <w:szCs w:val="26"/>
                <w:u w:val="single"/>
              </w:rPr>
              <w:t>Eiropas</w:t>
            </w:r>
            <w:r w:rsidR="007C7EB1" w:rsidRPr="0043748D">
              <w:rPr>
                <w:rFonts w:eastAsia="Calibri"/>
                <w:sz w:val="26"/>
                <w:szCs w:val="26"/>
                <w:u w:val="single"/>
              </w:rPr>
              <w:t xml:space="preserve"> un starptautisko standartizācijas organizāciju puses, izveidei un tās atzīšanai par nacionālo standartizācijas institūciju</w:t>
            </w:r>
            <w:r w:rsidR="007C7EB1" w:rsidRPr="00ED738D">
              <w:rPr>
                <w:rFonts w:eastAsia="Calibri"/>
                <w:sz w:val="26"/>
                <w:szCs w:val="26"/>
              </w:rPr>
              <w:t>. Līdz ar to, no 2017.gada 1.septembra līdz brīdim, kad būs iespējama turpmāka institūcijas pārveide par biedru organizāciju, SIA “Latvijas standarts” pilda nacionālās standartizācijas institūcijas funkcijas un pienākumus, nodrošinot sabiedrību ar pieejamiem un uzticamiem standartizācijas pakalpojumiem, tādējādi nodrošinot sabiedrības interešu ievērošanu un īstenošanu standartizācijas jomā.</w:t>
            </w:r>
          </w:p>
          <w:p w14:paraId="6325714A" w14:textId="688F814C" w:rsidR="00102B25" w:rsidRPr="0043748D" w:rsidRDefault="00102B25" w:rsidP="00102B25">
            <w:pPr>
              <w:widowControl w:val="0"/>
              <w:tabs>
                <w:tab w:val="left" w:pos="0"/>
              </w:tabs>
              <w:spacing w:before="120"/>
              <w:jc w:val="both"/>
              <w:rPr>
                <w:rFonts w:eastAsia="Calibri"/>
                <w:sz w:val="26"/>
                <w:szCs w:val="26"/>
              </w:rPr>
            </w:pPr>
            <w:r w:rsidRPr="0043748D">
              <w:rPr>
                <w:rFonts w:eastAsia="Calibri"/>
                <w:sz w:val="26"/>
                <w:szCs w:val="26"/>
              </w:rPr>
              <w:t>Ekonomikas ministrija</w:t>
            </w:r>
            <w:r w:rsidR="0043748D" w:rsidRPr="0043748D">
              <w:rPr>
                <w:rFonts w:eastAsia="Calibri"/>
                <w:sz w:val="26"/>
                <w:szCs w:val="26"/>
              </w:rPr>
              <w:t xml:space="preserve"> ir izveidojusi </w:t>
            </w:r>
            <w:r w:rsidRPr="0043748D">
              <w:rPr>
                <w:rFonts w:eastAsia="Calibri"/>
                <w:sz w:val="26"/>
                <w:szCs w:val="26"/>
              </w:rPr>
              <w:t xml:space="preserve">darba grupu no nevalstiskajām organizācijām, kas parakstīja Saprašanās memorandu, lai vienoties par standartizācijas biedrības dibināšanas jautājumiem – biedrības dibinātāji un līdzdibinātāji, biedrības statūti, biedru kandidāti, valsts finansējums. Minētas darba grupas ietvaros iezīmējās divi būtiski problēmjautājumi – nevalstisko organizāciju dalība standartizācijas biedrības dibināšanā bez valsts tiešas līdzdalības standartizācijas biedrībā un standartizācijas </w:t>
            </w:r>
            <w:r w:rsidRPr="0043748D">
              <w:rPr>
                <w:rFonts w:eastAsia="Calibri"/>
                <w:sz w:val="26"/>
                <w:szCs w:val="26"/>
              </w:rPr>
              <w:lastRenderedPageBreak/>
              <w:t>darbībām nepieciešamā valsts finansējuma nodrošināšana un saglabāšana.</w:t>
            </w:r>
          </w:p>
          <w:p w14:paraId="1A999FE3" w14:textId="16A5E304" w:rsidR="001A6E67" w:rsidRPr="0043748D" w:rsidRDefault="00D4707E" w:rsidP="001A6E67">
            <w:pPr>
              <w:widowControl w:val="0"/>
              <w:tabs>
                <w:tab w:val="left" w:pos="0"/>
              </w:tabs>
              <w:spacing w:before="120"/>
              <w:jc w:val="both"/>
              <w:rPr>
                <w:b/>
                <w:bCs/>
                <w:sz w:val="26"/>
                <w:szCs w:val="26"/>
              </w:rPr>
            </w:pPr>
            <w:r w:rsidRPr="0043748D">
              <w:rPr>
                <w:sz w:val="26"/>
                <w:szCs w:val="26"/>
              </w:rPr>
              <w:t>P</w:t>
            </w:r>
            <w:r w:rsidR="00524E86" w:rsidRPr="0043748D">
              <w:rPr>
                <w:sz w:val="26"/>
                <w:szCs w:val="26"/>
              </w:rPr>
              <w:t>ēc konsultācijām ar Tieslietu ministriju un Pārresoru koordinācijas centru</w:t>
            </w:r>
            <w:r w:rsidRPr="0043748D">
              <w:rPr>
                <w:sz w:val="26"/>
                <w:szCs w:val="26"/>
              </w:rPr>
              <w:t xml:space="preserve"> par vienu no aktuālajiem standartizācijas biedrības, kuru izveido ieinteresētās puses problēmjautājumiem</w:t>
            </w:r>
            <w:r w:rsidR="00524E86" w:rsidRPr="0043748D">
              <w:rPr>
                <w:sz w:val="26"/>
                <w:szCs w:val="26"/>
              </w:rPr>
              <w:t xml:space="preserve"> tika secināts, ka </w:t>
            </w:r>
            <w:r w:rsidR="001A6E67" w:rsidRPr="0043748D">
              <w:rPr>
                <w:sz w:val="26"/>
                <w:szCs w:val="26"/>
              </w:rPr>
              <w:t>Ekonomikas ministrija tiešā veidā nevar būt dalībnieks biedrībā kā viens no biedrības biedriem, jo saskaņā ar Valsts pārvaldes iekārtas likumu valsts tieša līdzdalība privāto tiesību jomā nav iespējama.</w:t>
            </w:r>
          </w:p>
          <w:p w14:paraId="674897EA" w14:textId="173107B0" w:rsidR="009E6780" w:rsidRPr="00A87073" w:rsidRDefault="00524E86" w:rsidP="001244CD">
            <w:pPr>
              <w:widowControl w:val="0"/>
              <w:tabs>
                <w:tab w:val="left" w:pos="0"/>
              </w:tabs>
              <w:jc w:val="both"/>
              <w:rPr>
                <w:szCs w:val="26"/>
              </w:rPr>
            </w:pPr>
            <w:r w:rsidRPr="0043748D">
              <w:rPr>
                <w:rFonts w:eastAsia="Calibri"/>
                <w:sz w:val="26"/>
                <w:szCs w:val="26"/>
              </w:rPr>
              <w:t xml:space="preserve">Līdz ar to, </w:t>
            </w:r>
            <w:r w:rsidR="00A675C9" w:rsidRPr="0043748D">
              <w:rPr>
                <w:rFonts w:eastAsia="Calibri"/>
                <w:sz w:val="26"/>
                <w:szCs w:val="26"/>
              </w:rPr>
              <w:t xml:space="preserve">Ekonomikas ministrija virzās tālāk ar </w:t>
            </w:r>
            <w:r w:rsidR="00974013">
              <w:rPr>
                <w:rFonts w:eastAsia="Calibri"/>
                <w:sz w:val="26"/>
                <w:szCs w:val="26"/>
              </w:rPr>
              <w:t>grozījumiem Standartizācijas likumā, bet</w:t>
            </w:r>
            <w:r w:rsidR="00A675C9" w:rsidRPr="0043748D">
              <w:rPr>
                <w:rFonts w:eastAsia="Calibri"/>
                <w:sz w:val="26"/>
                <w:szCs w:val="26"/>
              </w:rPr>
              <w:t xml:space="preserve"> standartizācijas biedrības izveides </w:t>
            </w:r>
            <w:r w:rsidR="00974013">
              <w:rPr>
                <w:rFonts w:eastAsia="Calibri"/>
                <w:sz w:val="26"/>
                <w:szCs w:val="26"/>
              </w:rPr>
              <w:t>risinājumu ieviešot</w:t>
            </w:r>
            <w:r w:rsidR="00A675C9" w:rsidRPr="0043748D">
              <w:rPr>
                <w:rFonts w:eastAsia="Calibri"/>
                <w:sz w:val="26"/>
                <w:szCs w:val="26"/>
              </w:rPr>
              <w:t xml:space="preserve">, kad būs </w:t>
            </w:r>
            <w:r w:rsidR="0043748D" w:rsidRPr="0043748D">
              <w:rPr>
                <w:rFonts w:eastAsia="Calibri"/>
                <w:sz w:val="26"/>
                <w:szCs w:val="26"/>
              </w:rPr>
              <w:t xml:space="preserve">iespējama vienošanās </w:t>
            </w:r>
            <w:r w:rsidR="00A675C9" w:rsidRPr="0043748D">
              <w:rPr>
                <w:rFonts w:eastAsia="Calibri"/>
                <w:sz w:val="26"/>
                <w:szCs w:val="26"/>
              </w:rPr>
              <w:t>p</w:t>
            </w:r>
            <w:r w:rsidR="0043748D" w:rsidRPr="0043748D">
              <w:rPr>
                <w:rFonts w:eastAsia="Calibri"/>
                <w:sz w:val="26"/>
                <w:szCs w:val="26"/>
              </w:rPr>
              <w:t>ar</w:t>
            </w:r>
            <w:r w:rsidR="00A675C9" w:rsidRPr="0043748D">
              <w:rPr>
                <w:rFonts w:eastAsia="Calibri"/>
                <w:sz w:val="26"/>
                <w:szCs w:val="26"/>
              </w:rPr>
              <w:t xml:space="preserve"> ieinteresēto pušu līdzdalību biedrības izveidē. Šobrīd likumprojektā saistībā ar Nacionālās standartizācijas institūciju tiks piemērots risinājums, ka institūciju, kas veic nacionālās standartizācijas institūcijas funkcijas nosaka Ministru kabinets.</w:t>
            </w:r>
            <w:r w:rsidR="009E6780" w:rsidRPr="0043748D">
              <w:rPr>
                <w:rFonts w:eastAsia="Calibri"/>
                <w:sz w:val="26"/>
                <w:szCs w:val="26"/>
              </w:rPr>
              <w:t xml:space="preserve"> Turklāt šāds risinājums</w:t>
            </w:r>
            <w:r w:rsidR="005B602E" w:rsidRPr="0043748D">
              <w:rPr>
                <w:rFonts w:eastAsia="Calibri"/>
                <w:sz w:val="26"/>
                <w:szCs w:val="26"/>
              </w:rPr>
              <w:t xml:space="preserve"> Standartizācijas likumā neatsaukties uz institūcijas juridisko nosaukumu </w:t>
            </w:r>
            <w:r w:rsidR="009E6780" w:rsidRPr="0043748D">
              <w:rPr>
                <w:sz w:val="26"/>
                <w:szCs w:val="26"/>
              </w:rPr>
              <w:t>nodrošinās, ka pie turpmākām nacionālās standartizācijas institūcijas reorganizācij</w:t>
            </w:r>
            <w:r w:rsidR="00873E12" w:rsidRPr="0043748D">
              <w:rPr>
                <w:sz w:val="26"/>
                <w:szCs w:val="26"/>
              </w:rPr>
              <w:t>a</w:t>
            </w:r>
            <w:r w:rsidR="00FF12B0" w:rsidRPr="0043748D">
              <w:rPr>
                <w:sz w:val="26"/>
                <w:szCs w:val="26"/>
              </w:rPr>
              <w:t>s</w:t>
            </w:r>
            <w:r w:rsidR="009E6780" w:rsidRPr="0043748D">
              <w:rPr>
                <w:sz w:val="26"/>
                <w:szCs w:val="26"/>
              </w:rPr>
              <w:t xml:space="preserve"> nebūs jāprecizē Standartizācijas likums un citi pakārtotie normatīvie akti dēļ institūcijas nosaukuma maiņas, bet gan tikai vieni Ministru kabineta izdoti noteikumi.</w:t>
            </w:r>
          </w:p>
          <w:p w14:paraId="314F8FAC" w14:textId="4F9F033F" w:rsidR="0020510D" w:rsidRPr="0020510D" w:rsidRDefault="0020510D" w:rsidP="00EF179B">
            <w:pPr>
              <w:widowControl w:val="0"/>
              <w:tabs>
                <w:tab w:val="left" w:pos="0"/>
              </w:tabs>
              <w:spacing w:before="120"/>
              <w:jc w:val="both"/>
              <w:rPr>
                <w:rFonts w:eastAsia="Calibri"/>
                <w:b/>
                <w:bCs/>
                <w:sz w:val="26"/>
                <w:szCs w:val="26"/>
              </w:rPr>
            </w:pPr>
            <w:r>
              <w:rPr>
                <w:rFonts w:eastAsia="Calibri"/>
                <w:b/>
                <w:bCs/>
                <w:sz w:val="26"/>
                <w:szCs w:val="26"/>
              </w:rPr>
              <w:t xml:space="preserve">Pārējie </w:t>
            </w:r>
            <w:r w:rsidRPr="0020510D">
              <w:rPr>
                <w:rFonts w:eastAsia="Calibri"/>
                <w:b/>
                <w:bCs/>
                <w:sz w:val="26"/>
                <w:szCs w:val="26"/>
              </w:rPr>
              <w:t>būtiskie jautājumi standartizācijas sistēmas pilnveidošana</w:t>
            </w:r>
            <w:r>
              <w:rPr>
                <w:rFonts w:eastAsia="Calibri"/>
                <w:b/>
                <w:bCs/>
                <w:sz w:val="26"/>
                <w:szCs w:val="26"/>
              </w:rPr>
              <w:t>i</w:t>
            </w:r>
          </w:p>
          <w:p w14:paraId="3CF509C7" w14:textId="1372CD81" w:rsidR="0007279A" w:rsidRPr="00ED738D" w:rsidRDefault="00615D99" w:rsidP="0020510D">
            <w:pPr>
              <w:widowControl w:val="0"/>
              <w:tabs>
                <w:tab w:val="left" w:pos="0"/>
              </w:tabs>
              <w:jc w:val="both"/>
              <w:rPr>
                <w:rFonts w:eastAsia="Calibri"/>
                <w:sz w:val="26"/>
                <w:szCs w:val="26"/>
              </w:rPr>
            </w:pPr>
            <w:r w:rsidRPr="00F25F68">
              <w:rPr>
                <w:rFonts w:eastAsia="Calibri"/>
                <w:sz w:val="26"/>
                <w:szCs w:val="26"/>
              </w:rPr>
              <w:t xml:space="preserve">Vienlaikus ar likumprojektu </w:t>
            </w:r>
            <w:r w:rsidR="00EF179B">
              <w:rPr>
                <w:rFonts w:eastAsia="Calibri"/>
                <w:sz w:val="26"/>
                <w:szCs w:val="26"/>
              </w:rPr>
              <w:t xml:space="preserve">atbilstoši Konceptuālajam ziņojumam </w:t>
            </w:r>
            <w:r w:rsidRPr="00F25F68">
              <w:rPr>
                <w:rFonts w:eastAsia="Calibri"/>
                <w:sz w:val="26"/>
                <w:szCs w:val="26"/>
              </w:rPr>
              <w:t xml:space="preserve">ir paredzēts ievest </w:t>
            </w:r>
            <w:r w:rsidR="00B3760C">
              <w:rPr>
                <w:rFonts w:eastAsia="Calibri"/>
                <w:sz w:val="26"/>
                <w:szCs w:val="26"/>
              </w:rPr>
              <w:t>standartizācijas pieprasījumu (</w:t>
            </w:r>
            <w:r w:rsidRPr="00F25F68">
              <w:rPr>
                <w:rFonts w:eastAsia="Calibri"/>
                <w:sz w:val="26"/>
                <w:szCs w:val="26"/>
              </w:rPr>
              <w:t>mandātu</w:t>
            </w:r>
            <w:r w:rsidR="00B3760C">
              <w:rPr>
                <w:rFonts w:eastAsia="Calibri"/>
                <w:sz w:val="26"/>
                <w:szCs w:val="26"/>
              </w:rPr>
              <w:t>)</w:t>
            </w:r>
            <w:r w:rsidRPr="00F25F68">
              <w:rPr>
                <w:rFonts w:eastAsia="Calibri"/>
                <w:sz w:val="26"/>
                <w:szCs w:val="26"/>
              </w:rPr>
              <w:t xml:space="preserve"> sistēmu, kas noteiks centralizētu modeli standartu izstrādei</w:t>
            </w:r>
            <w:r w:rsidR="0020510D">
              <w:rPr>
                <w:rFonts w:eastAsia="Calibri"/>
                <w:sz w:val="26"/>
                <w:szCs w:val="26"/>
              </w:rPr>
              <w:t xml:space="preserve"> un tulkošanai</w:t>
            </w:r>
            <w:r w:rsidR="00D71710" w:rsidRPr="00F25F68">
              <w:rPr>
                <w:rFonts w:eastAsia="Calibri"/>
                <w:sz w:val="26"/>
                <w:szCs w:val="26"/>
              </w:rPr>
              <w:t>,</w:t>
            </w:r>
            <w:r w:rsidR="00EF179B">
              <w:rPr>
                <w:rFonts w:eastAsia="Calibri"/>
                <w:sz w:val="26"/>
                <w:szCs w:val="26"/>
              </w:rPr>
              <w:t xml:space="preserve"> </w:t>
            </w:r>
            <w:r w:rsidR="00D71710" w:rsidRPr="00F25F68">
              <w:rPr>
                <w:sz w:val="26"/>
                <w:szCs w:val="26"/>
              </w:rPr>
              <w:t>precizēt s</w:t>
            </w:r>
            <w:r w:rsidR="00D71710" w:rsidRPr="00F25F68">
              <w:rPr>
                <w:rFonts w:eastAsia="Calibri"/>
                <w:sz w:val="26"/>
                <w:szCs w:val="26"/>
              </w:rPr>
              <w:t>tandartu būtību</w:t>
            </w:r>
            <w:r w:rsidR="00D71710" w:rsidRPr="00D71710">
              <w:rPr>
                <w:rFonts w:eastAsia="Calibri"/>
                <w:sz w:val="26"/>
                <w:szCs w:val="26"/>
              </w:rPr>
              <w:t>, viet</w:t>
            </w:r>
            <w:r w:rsidR="00D71710">
              <w:rPr>
                <w:rFonts w:eastAsia="Calibri"/>
                <w:sz w:val="26"/>
                <w:szCs w:val="26"/>
              </w:rPr>
              <w:t>u</w:t>
            </w:r>
            <w:r w:rsidR="00D71710" w:rsidRPr="00D71710">
              <w:rPr>
                <w:rFonts w:eastAsia="Calibri"/>
                <w:sz w:val="26"/>
                <w:szCs w:val="26"/>
              </w:rPr>
              <w:t xml:space="preserve"> un lom</w:t>
            </w:r>
            <w:r w:rsidR="00D71710">
              <w:rPr>
                <w:rFonts w:eastAsia="Calibri"/>
                <w:sz w:val="26"/>
                <w:szCs w:val="26"/>
              </w:rPr>
              <w:t>u</w:t>
            </w:r>
            <w:r w:rsidR="00D71710" w:rsidRPr="00D71710">
              <w:rPr>
                <w:rFonts w:eastAsia="Calibri"/>
                <w:sz w:val="26"/>
                <w:szCs w:val="26"/>
              </w:rPr>
              <w:t xml:space="preserve"> tiesību sistēmā</w:t>
            </w:r>
            <w:r w:rsidR="00D71710">
              <w:rPr>
                <w:rFonts w:eastAsia="Calibri"/>
                <w:sz w:val="26"/>
                <w:szCs w:val="26"/>
              </w:rPr>
              <w:t xml:space="preserve"> un v</w:t>
            </w:r>
            <w:r w:rsidR="00240381">
              <w:rPr>
                <w:rFonts w:eastAsia="Calibri"/>
                <w:sz w:val="26"/>
                <w:szCs w:val="26"/>
              </w:rPr>
              <w:t>eicinā</w:t>
            </w:r>
            <w:r w:rsidR="00D71710">
              <w:rPr>
                <w:rFonts w:eastAsia="Calibri"/>
                <w:sz w:val="26"/>
                <w:szCs w:val="26"/>
              </w:rPr>
              <w:t xml:space="preserve">t </w:t>
            </w:r>
            <w:r w:rsidR="00240381">
              <w:rPr>
                <w:rFonts w:eastAsia="Calibri"/>
                <w:sz w:val="26"/>
                <w:szCs w:val="26"/>
              </w:rPr>
              <w:t>“</w:t>
            </w:r>
            <w:r w:rsidR="00D71710" w:rsidRPr="00D71710">
              <w:rPr>
                <w:rFonts w:eastAsia="Calibri"/>
                <w:sz w:val="26"/>
                <w:szCs w:val="26"/>
              </w:rPr>
              <w:t>Jaunās pieejas</w:t>
            </w:r>
            <w:r w:rsidR="00240381">
              <w:rPr>
                <w:rFonts w:eastAsia="Calibri"/>
                <w:sz w:val="26"/>
                <w:szCs w:val="26"/>
              </w:rPr>
              <w:t>”</w:t>
            </w:r>
            <w:r w:rsidR="00D71710" w:rsidRPr="00D71710">
              <w:rPr>
                <w:rFonts w:eastAsia="Calibri"/>
                <w:sz w:val="26"/>
                <w:szCs w:val="26"/>
              </w:rPr>
              <w:t xml:space="preserve"> </w:t>
            </w:r>
            <w:r w:rsidR="00D71710">
              <w:rPr>
                <w:rFonts w:eastAsia="Calibri"/>
                <w:sz w:val="26"/>
                <w:szCs w:val="26"/>
              </w:rPr>
              <w:t>piemērošanu</w:t>
            </w:r>
            <w:r w:rsidR="00D71710" w:rsidRPr="00D71710">
              <w:rPr>
                <w:rFonts w:eastAsia="Calibri"/>
                <w:sz w:val="26"/>
                <w:szCs w:val="26"/>
              </w:rPr>
              <w:t xml:space="preserve"> nacionālajā līmenī</w:t>
            </w:r>
            <w:r w:rsidR="00D71710">
              <w:rPr>
                <w:rFonts w:eastAsia="Calibri"/>
                <w:sz w:val="26"/>
                <w:szCs w:val="26"/>
              </w:rPr>
              <w:t>.</w:t>
            </w:r>
            <w:r w:rsidR="00EF179B">
              <w:rPr>
                <w:rFonts w:eastAsia="Calibri"/>
                <w:sz w:val="26"/>
                <w:szCs w:val="26"/>
              </w:rPr>
              <w:t xml:space="preserve"> </w:t>
            </w:r>
            <w:r w:rsidR="00D71710">
              <w:rPr>
                <w:rFonts w:eastAsia="Calibri"/>
                <w:sz w:val="26"/>
                <w:szCs w:val="26"/>
              </w:rPr>
              <w:t>Turklāt ņ</w:t>
            </w:r>
            <w:r w:rsidR="0007279A" w:rsidRPr="00ED738D">
              <w:rPr>
                <w:rFonts w:eastAsia="Calibri"/>
                <w:sz w:val="26"/>
                <w:szCs w:val="26"/>
              </w:rPr>
              <w:t xml:space="preserve">emot vērā, ka Standartizācijas likumā izmaiņas pēdējo reizi notikušas 2010.gadā ir nepieciešams ar likumprojektu precizēt </w:t>
            </w:r>
            <w:r w:rsidR="003D3107" w:rsidRPr="00ED738D">
              <w:rPr>
                <w:rFonts w:eastAsia="Calibri"/>
                <w:sz w:val="26"/>
                <w:szCs w:val="26"/>
              </w:rPr>
              <w:t xml:space="preserve">esošos </w:t>
            </w:r>
            <w:r w:rsidR="0007279A" w:rsidRPr="00ED738D">
              <w:rPr>
                <w:rFonts w:eastAsia="Calibri"/>
                <w:sz w:val="26"/>
                <w:szCs w:val="26"/>
              </w:rPr>
              <w:t>terminus un citus likumā lietot</w:t>
            </w:r>
            <w:r w:rsidR="003D3107" w:rsidRPr="00ED738D">
              <w:rPr>
                <w:rFonts w:eastAsia="Calibri"/>
                <w:sz w:val="26"/>
                <w:szCs w:val="26"/>
              </w:rPr>
              <w:t>o</w:t>
            </w:r>
            <w:r w:rsidR="0007279A" w:rsidRPr="00ED738D">
              <w:rPr>
                <w:rFonts w:eastAsia="Calibri"/>
                <w:sz w:val="26"/>
                <w:szCs w:val="26"/>
              </w:rPr>
              <w:t>s vārdus</w:t>
            </w:r>
            <w:r w:rsidR="008D3FA5">
              <w:rPr>
                <w:rFonts w:eastAsia="Calibri"/>
                <w:sz w:val="26"/>
                <w:szCs w:val="26"/>
              </w:rPr>
              <w:t>, kā arī izslēgt neaktuālas un novecojušas normas.</w:t>
            </w:r>
          </w:p>
          <w:p w14:paraId="3FCD08D0" w14:textId="70B0910B" w:rsidR="00FA4FEE" w:rsidRPr="00FA4FEE" w:rsidRDefault="00FA4FEE" w:rsidP="00EF179B">
            <w:pPr>
              <w:widowControl w:val="0"/>
              <w:tabs>
                <w:tab w:val="left" w:pos="0"/>
              </w:tabs>
              <w:spacing w:before="60"/>
              <w:jc w:val="both"/>
              <w:rPr>
                <w:rFonts w:eastAsia="Calibri"/>
                <w:sz w:val="26"/>
                <w:szCs w:val="26"/>
              </w:rPr>
            </w:pPr>
            <w:r w:rsidRPr="006C74B6">
              <w:rPr>
                <w:color w:val="000000"/>
                <w:sz w:val="26"/>
                <w:szCs w:val="26"/>
                <w:shd w:val="clear" w:color="auto" w:fill="FFFFFF"/>
              </w:rPr>
              <w:t>Likumprojekta 6.pantā</w:t>
            </w:r>
            <w:r w:rsidRPr="00FA4FEE">
              <w:rPr>
                <w:color w:val="000000"/>
                <w:sz w:val="26"/>
                <w:szCs w:val="26"/>
                <w:shd w:val="clear" w:color="auto" w:fill="FFFFFF"/>
              </w:rPr>
              <w:t xml:space="preserve"> pamatojoties uz </w:t>
            </w:r>
            <w:r>
              <w:rPr>
                <w:color w:val="000000"/>
                <w:sz w:val="26"/>
                <w:szCs w:val="26"/>
                <w:shd w:val="clear" w:color="auto" w:fill="FFFFFF"/>
              </w:rPr>
              <w:t xml:space="preserve">pastāvošo praksi konsultatīvo padomju darba kārtības organizēšanā atbilstoši </w:t>
            </w:r>
            <w:r w:rsidRPr="00FA4FEE">
              <w:rPr>
                <w:color w:val="000000"/>
                <w:sz w:val="26"/>
                <w:szCs w:val="26"/>
                <w:shd w:val="clear" w:color="auto" w:fill="FFFFFF"/>
              </w:rPr>
              <w:t xml:space="preserve">2012.gada 5.aprīļa Valsts sekretāru sanāksmes protokola Nr.14 24.§ </w:t>
            </w:r>
            <w:r>
              <w:rPr>
                <w:color w:val="000000"/>
                <w:sz w:val="26"/>
                <w:szCs w:val="26"/>
                <w:shd w:val="clear" w:color="auto" w:fill="FFFFFF"/>
              </w:rPr>
              <w:t>“</w:t>
            </w:r>
            <w:r w:rsidRPr="00FA4FEE">
              <w:rPr>
                <w:color w:val="000000"/>
                <w:sz w:val="26"/>
                <w:szCs w:val="26"/>
                <w:shd w:val="clear" w:color="auto" w:fill="FFFFFF"/>
              </w:rPr>
              <w:t>Par konsultatīvo padomju personālsastāva apstiprināšanu ar Ministru kabineta rīkojumu</w:t>
            </w:r>
            <w:r>
              <w:rPr>
                <w:color w:val="000000"/>
                <w:sz w:val="26"/>
                <w:szCs w:val="26"/>
                <w:shd w:val="clear" w:color="auto" w:fill="FFFFFF"/>
              </w:rPr>
              <w:t>”</w:t>
            </w:r>
            <w:r w:rsidRPr="00FA4FEE">
              <w:rPr>
                <w:color w:val="000000"/>
                <w:sz w:val="26"/>
                <w:szCs w:val="26"/>
                <w:shd w:val="clear" w:color="auto" w:fill="FFFFFF"/>
              </w:rPr>
              <w:t xml:space="preserve"> </w:t>
            </w:r>
            <w:r w:rsidR="00377602">
              <w:rPr>
                <w:color w:val="000000"/>
                <w:sz w:val="26"/>
                <w:szCs w:val="26"/>
                <w:shd w:val="clear" w:color="auto" w:fill="FFFFFF"/>
              </w:rPr>
              <w:t xml:space="preserve">ar </w:t>
            </w:r>
            <w:r w:rsidRPr="00FA4FEE">
              <w:rPr>
                <w:color w:val="000000"/>
                <w:sz w:val="26"/>
                <w:szCs w:val="26"/>
                <w:shd w:val="clear" w:color="auto" w:fill="FFFFFF"/>
              </w:rPr>
              <w:t>likum</w:t>
            </w:r>
            <w:r w:rsidR="00377602">
              <w:rPr>
                <w:color w:val="000000"/>
                <w:sz w:val="26"/>
                <w:szCs w:val="26"/>
                <w:shd w:val="clear" w:color="auto" w:fill="FFFFFF"/>
              </w:rPr>
              <w:t>projektu</w:t>
            </w:r>
            <w:r w:rsidRPr="00FA4FEE">
              <w:rPr>
                <w:color w:val="000000"/>
                <w:sz w:val="26"/>
                <w:szCs w:val="26"/>
                <w:shd w:val="clear" w:color="auto" w:fill="FFFFFF"/>
              </w:rPr>
              <w:t xml:space="preserve"> tiek noteikts, ka Nacionālā </w:t>
            </w:r>
            <w:r>
              <w:rPr>
                <w:color w:val="000000"/>
                <w:sz w:val="26"/>
                <w:szCs w:val="26"/>
                <w:shd w:val="clear" w:color="auto" w:fill="FFFFFF"/>
              </w:rPr>
              <w:t>standartizācijas</w:t>
            </w:r>
            <w:r w:rsidRPr="00FA4FEE">
              <w:rPr>
                <w:color w:val="000000"/>
                <w:sz w:val="26"/>
                <w:szCs w:val="26"/>
                <w:shd w:val="clear" w:color="auto" w:fill="FFFFFF"/>
              </w:rPr>
              <w:t xml:space="preserve"> padomes personālsastāvu apstiprin</w:t>
            </w:r>
            <w:r w:rsidR="00377602">
              <w:rPr>
                <w:color w:val="000000"/>
                <w:sz w:val="26"/>
                <w:szCs w:val="26"/>
                <w:shd w:val="clear" w:color="auto" w:fill="FFFFFF"/>
              </w:rPr>
              <w:t>ās</w:t>
            </w:r>
            <w:r w:rsidRPr="00FA4FEE">
              <w:rPr>
                <w:color w:val="000000"/>
                <w:sz w:val="26"/>
                <w:szCs w:val="26"/>
                <w:shd w:val="clear" w:color="auto" w:fill="FFFFFF"/>
              </w:rPr>
              <w:t xml:space="preserve"> ekonomikas ministrs.</w:t>
            </w:r>
          </w:p>
          <w:p w14:paraId="2D199BE9" w14:textId="0A163962" w:rsidR="00FC5BBB" w:rsidRDefault="006C74B6" w:rsidP="006C74B6">
            <w:pPr>
              <w:widowControl w:val="0"/>
              <w:tabs>
                <w:tab w:val="left" w:pos="0"/>
              </w:tabs>
              <w:spacing w:before="60"/>
              <w:jc w:val="both"/>
              <w:rPr>
                <w:rFonts w:eastAsia="Calibri"/>
                <w:sz w:val="26"/>
                <w:szCs w:val="26"/>
              </w:rPr>
            </w:pPr>
            <w:r>
              <w:rPr>
                <w:rFonts w:eastAsia="Calibri"/>
                <w:sz w:val="26"/>
                <w:szCs w:val="26"/>
              </w:rPr>
              <w:t xml:space="preserve">Ievērojot, ka ar likumprojektu tiek ieviesta standartizācijas </w:t>
            </w:r>
            <w:r w:rsidR="008D3FA5">
              <w:rPr>
                <w:rFonts w:eastAsia="Calibri"/>
                <w:sz w:val="26"/>
                <w:szCs w:val="26"/>
              </w:rPr>
              <w:t>pieprasījumu (</w:t>
            </w:r>
            <w:r>
              <w:rPr>
                <w:rFonts w:eastAsia="Calibri"/>
                <w:sz w:val="26"/>
                <w:szCs w:val="26"/>
              </w:rPr>
              <w:t>mandātu</w:t>
            </w:r>
            <w:r w:rsidR="008D3FA5">
              <w:rPr>
                <w:rFonts w:eastAsia="Calibri"/>
                <w:sz w:val="26"/>
                <w:szCs w:val="26"/>
              </w:rPr>
              <w:t>)</w:t>
            </w:r>
            <w:r>
              <w:rPr>
                <w:rFonts w:eastAsia="Calibri"/>
                <w:sz w:val="26"/>
                <w:szCs w:val="26"/>
              </w:rPr>
              <w:t xml:space="preserve"> sistēma, tad nepieciešams ir p</w:t>
            </w:r>
            <w:r w:rsidR="008C434C">
              <w:rPr>
                <w:rFonts w:eastAsia="Calibri"/>
                <w:sz w:val="26"/>
                <w:szCs w:val="26"/>
              </w:rPr>
              <w:t xml:space="preserve">recizēt </w:t>
            </w:r>
            <w:r>
              <w:rPr>
                <w:rFonts w:eastAsia="Calibri"/>
                <w:sz w:val="26"/>
                <w:szCs w:val="26"/>
              </w:rPr>
              <w:t xml:space="preserve">Nacionālās standartizācijas padomes uzdevumus ar pienākumu </w:t>
            </w:r>
            <w:r w:rsidR="008C2B37">
              <w:t xml:space="preserve"> </w:t>
            </w:r>
            <w:r w:rsidR="008C2B37" w:rsidRPr="008C2B37">
              <w:rPr>
                <w:rFonts w:eastAsia="Calibri"/>
                <w:sz w:val="26"/>
                <w:szCs w:val="26"/>
              </w:rPr>
              <w:t>izskatīt un apstiprināt nozaru ministriju standartizācijas pieprasījumus  iekļaušanai standartu tulkošanas un izstrādes plānā</w:t>
            </w:r>
            <w:r w:rsidR="008C434C">
              <w:rPr>
                <w:rFonts w:eastAsia="Calibri"/>
                <w:sz w:val="26"/>
                <w:szCs w:val="26"/>
              </w:rPr>
              <w:t xml:space="preserve">, kā arī izslēgt neaktuālas normas par valsts </w:t>
            </w:r>
            <w:r w:rsidR="008C434C">
              <w:rPr>
                <w:rFonts w:eastAsia="Calibri"/>
                <w:sz w:val="26"/>
                <w:szCs w:val="26"/>
              </w:rPr>
              <w:lastRenderedPageBreak/>
              <w:t>standartizācijas programmu izskatīšanu.</w:t>
            </w:r>
            <w:r w:rsidR="008C2B37">
              <w:rPr>
                <w:rFonts w:eastAsia="Calibri"/>
                <w:sz w:val="26"/>
                <w:szCs w:val="26"/>
              </w:rPr>
              <w:t xml:space="preserve"> </w:t>
            </w:r>
          </w:p>
          <w:p w14:paraId="202FD7AA" w14:textId="39F26E12" w:rsidR="006C74B6" w:rsidRDefault="00C97F30" w:rsidP="006C74B6">
            <w:pPr>
              <w:widowControl w:val="0"/>
              <w:tabs>
                <w:tab w:val="left" w:pos="0"/>
              </w:tabs>
              <w:spacing w:before="60"/>
              <w:jc w:val="both"/>
              <w:rPr>
                <w:rFonts w:eastAsia="Calibri"/>
                <w:sz w:val="26"/>
                <w:szCs w:val="26"/>
              </w:rPr>
            </w:pPr>
            <w:r>
              <w:rPr>
                <w:rFonts w:eastAsia="Calibri"/>
                <w:sz w:val="26"/>
                <w:szCs w:val="26"/>
              </w:rPr>
              <w:t>Ņemot vērā, ka Latvijas standartizācijas sistēmā nepastāv nozaru standartizācijas institūcijas</w:t>
            </w:r>
            <w:r w:rsidR="00257BDD">
              <w:rPr>
                <w:rFonts w:eastAsia="Calibri"/>
                <w:sz w:val="26"/>
                <w:szCs w:val="26"/>
              </w:rPr>
              <w:t xml:space="preserve"> un līdz šim tādas nav bijušas, tad </w:t>
            </w:r>
            <w:r>
              <w:rPr>
                <w:rFonts w:eastAsia="Calibri"/>
                <w:sz w:val="26"/>
                <w:szCs w:val="26"/>
              </w:rPr>
              <w:t>ir nepieciešams precizēt Standartizācijas likumu</w:t>
            </w:r>
            <w:r w:rsidR="00257BDD">
              <w:rPr>
                <w:rFonts w:eastAsia="Calibri"/>
                <w:sz w:val="26"/>
                <w:szCs w:val="26"/>
              </w:rPr>
              <w:t xml:space="preserve"> atbilstoši faktiskajai situācijai</w:t>
            </w:r>
            <w:r w:rsidR="00BE3098">
              <w:rPr>
                <w:rFonts w:eastAsia="Calibri"/>
                <w:sz w:val="26"/>
                <w:szCs w:val="26"/>
              </w:rPr>
              <w:t xml:space="preserve"> (izmaiņas 8. un 10.pantā)</w:t>
            </w:r>
            <w:r w:rsidR="00257BDD">
              <w:rPr>
                <w:rFonts w:eastAsia="Calibri"/>
                <w:sz w:val="26"/>
                <w:szCs w:val="26"/>
              </w:rPr>
              <w:t>.</w:t>
            </w:r>
          </w:p>
          <w:p w14:paraId="7EEF9884" w14:textId="0E523C5D" w:rsidR="00CB7376" w:rsidRDefault="00CB7376" w:rsidP="00CB7376">
            <w:pPr>
              <w:widowControl w:val="0"/>
              <w:tabs>
                <w:tab w:val="left" w:pos="0"/>
              </w:tabs>
              <w:spacing w:before="60"/>
              <w:jc w:val="both"/>
              <w:rPr>
                <w:rFonts w:eastAsia="Calibri"/>
                <w:sz w:val="26"/>
                <w:szCs w:val="26"/>
              </w:rPr>
            </w:pPr>
            <w:r>
              <w:rPr>
                <w:rFonts w:eastAsia="Calibri"/>
                <w:sz w:val="26"/>
                <w:szCs w:val="26"/>
              </w:rPr>
              <w:t>Saskaņā ar pastāvošo kārtību Latvijas nacionālajai standartizācijas institūcijai tāpat kā citu Eiropas Savienības dalībvalstu standartizācijas institūcijām ir pienākums reģistrēt visus Eiropas standartizācijas organizācijas publicētos standartus</w:t>
            </w:r>
            <w:r w:rsidR="00CE7170">
              <w:rPr>
                <w:rFonts w:eastAsia="Calibri"/>
                <w:sz w:val="26"/>
                <w:szCs w:val="26"/>
              </w:rPr>
              <w:t>, savukārt s</w:t>
            </w:r>
            <w:r>
              <w:rPr>
                <w:rFonts w:eastAsia="Calibri"/>
                <w:sz w:val="26"/>
                <w:szCs w:val="26"/>
              </w:rPr>
              <w:t xml:space="preserve">tarptautisko standartu reģistrēšana Latvijas </w:t>
            </w:r>
            <w:r w:rsidR="00F6600C">
              <w:rPr>
                <w:rFonts w:eastAsia="Calibri"/>
                <w:sz w:val="26"/>
                <w:szCs w:val="26"/>
              </w:rPr>
              <w:t xml:space="preserve">nacionālā </w:t>
            </w:r>
            <w:r>
              <w:rPr>
                <w:rFonts w:eastAsia="Calibri"/>
                <w:sz w:val="26"/>
                <w:szCs w:val="26"/>
              </w:rPr>
              <w:t>standarta statusā notiek tikai pēc ieinteresēto pušu pieprasījuma</w:t>
            </w:r>
            <w:r w:rsidR="00CE7170">
              <w:rPr>
                <w:rFonts w:eastAsia="Calibri"/>
                <w:sz w:val="26"/>
                <w:szCs w:val="26"/>
              </w:rPr>
              <w:t xml:space="preserve">. </w:t>
            </w:r>
            <w:r w:rsidR="00D91D69">
              <w:rPr>
                <w:rFonts w:eastAsia="Calibri"/>
                <w:sz w:val="26"/>
                <w:szCs w:val="26"/>
              </w:rPr>
              <w:t>Ņemot vērā, ka esošajā Standartizācijas likumā noteiktā kārtība par konkrētajām nacionāl</w:t>
            </w:r>
            <w:r w:rsidR="008301E4">
              <w:rPr>
                <w:rFonts w:eastAsia="Calibri"/>
                <w:sz w:val="26"/>
                <w:szCs w:val="26"/>
              </w:rPr>
              <w:t xml:space="preserve">ās </w:t>
            </w:r>
            <w:r w:rsidR="00D91D69">
              <w:rPr>
                <w:rFonts w:eastAsia="Calibri"/>
                <w:sz w:val="26"/>
                <w:szCs w:val="26"/>
              </w:rPr>
              <w:t xml:space="preserve">standartizācijas institūcijas funkcijām ir pretrunā ar praksē pastāvošo kārtību, </w:t>
            </w:r>
            <w:r w:rsidR="008301E4">
              <w:rPr>
                <w:rFonts w:eastAsia="Calibri"/>
                <w:sz w:val="26"/>
                <w:szCs w:val="26"/>
              </w:rPr>
              <w:t xml:space="preserve">ar </w:t>
            </w:r>
            <w:r w:rsidR="00CE7170">
              <w:rPr>
                <w:rFonts w:eastAsia="Calibri"/>
                <w:sz w:val="26"/>
                <w:szCs w:val="26"/>
              </w:rPr>
              <w:t>likumprojekt</w:t>
            </w:r>
            <w:r w:rsidR="008301E4">
              <w:rPr>
                <w:rFonts w:eastAsia="Calibri"/>
                <w:sz w:val="26"/>
                <w:szCs w:val="26"/>
              </w:rPr>
              <w:t>u</w:t>
            </w:r>
            <w:r w:rsidR="00CE7170">
              <w:rPr>
                <w:rFonts w:eastAsia="Calibri"/>
                <w:sz w:val="26"/>
                <w:szCs w:val="26"/>
              </w:rPr>
              <w:t xml:space="preserve"> </w:t>
            </w:r>
            <w:r w:rsidR="008301E4">
              <w:rPr>
                <w:rFonts w:eastAsia="Calibri"/>
                <w:sz w:val="26"/>
                <w:szCs w:val="26"/>
              </w:rPr>
              <w:t xml:space="preserve">ir nepieciešams </w:t>
            </w:r>
            <w:r w:rsidR="00CE7170">
              <w:rPr>
                <w:rFonts w:eastAsia="Calibri"/>
                <w:sz w:val="26"/>
                <w:szCs w:val="26"/>
              </w:rPr>
              <w:t>precizēt nacionālās standartizācijas institūcijas funkcijas (1. un 2.punkts) par Latvijas nacionālo standartu izstrādāšanu, pārskatīšanu un atcelšanu</w:t>
            </w:r>
            <w:r w:rsidR="000973CB">
              <w:rPr>
                <w:rFonts w:eastAsia="Calibri"/>
                <w:sz w:val="26"/>
                <w:szCs w:val="26"/>
              </w:rPr>
              <w:t xml:space="preserve">, kā arī </w:t>
            </w:r>
            <w:r w:rsidR="008301E4">
              <w:rPr>
                <w:rFonts w:eastAsia="Calibri"/>
                <w:sz w:val="26"/>
                <w:szCs w:val="26"/>
              </w:rPr>
              <w:t xml:space="preserve">par </w:t>
            </w:r>
            <w:r w:rsidR="00D91D69">
              <w:rPr>
                <w:rFonts w:eastAsia="Calibri"/>
                <w:sz w:val="26"/>
                <w:szCs w:val="26"/>
              </w:rPr>
              <w:t>Eiropas standartizācijas organizācijas publicēto standartu reģistrēšanu</w:t>
            </w:r>
            <w:r w:rsidR="008301E4">
              <w:rPr>
                <w:rFonts w:eastAsia="Calibri"/>
                <w:sz w:val="26"/>
                <w:szCs w:val="26"/>
              </w:rPr>
              <w:t xml:space="preserve"> Latvijas</w:t>
            </w:r>
            <w:r w:rsidR="00F6600C">
              <w:rPr>
                <w:rFonts w:eastAsia="Calibri"/>
                <w:sz w:val="26"/>
                <w:szCs w:val="26"/>
              </w:rPr>
              <w:t xml:space="preserve"> nacionālā </w:t>
            </w:r>
            <w:r w:rsidR="008301E4">
              <w:rPr>
                <w:rFonts w:eastAsia="Calibri"/>
                <w:sz w:val="26"/>
                <w:szCs w:val="26"/>
              </w:rPr>
              <w:t>standarta statusā</w:t>
            </w:r>
            <w:r w:rsidR="000973CB">
              <w:rPr>
                <w:rFonts w:eastAsia="Calibri"/>
                <w:sz w:val="26"/>
                <w:szCs w:val="26"/>
              </w:rPr>
              <w:t xml:space="preserve"> un starptautisko standartu reģistrēšanu tikai pēc ieinteresēto pušu pieprasījuma</w:t>
            </w:r>
            <w:r w:rsidR="008301E4">
              <w:rPr>
                <w:rFonts w:eastAsia="Calibri"/>
                <w:sz w:val="26"/>
                <w:szCs w:val="26"/>
              </w:rPr>
              <w:t>.</w:t>
            </w:r>
          </w:p>
          <w:p w14:paraId="059F1D27" w14:textId="7E700AF2" w:rsidR="00CB7376" w:rsidRDefault="001915F3" w:rsidP="006C74B6">
            <w:pPr>
              <w:widowControl w:val="0"/>
              <w:tabs>
                <w:tab w:val="left" w:pos="0"/>
              </w:tabs>
              <w:spacing w:before="60"/>
              <w:jc w:val="both"/>
              <w:rPr>
                <w:rFonts w:eastAsia="Calibri"/>
                <w:sz w:val="26"/>
                <w:szCs w:val="26"/>
              </w:rPr>
            </w:pPr>
            <w:r>
              <w:rPr>
                <w:rFonts w:eastAsia="Calibri"/>
                <w:sz w:val="26"/>
                <w:szCs w:val="26"/>
              </w:rPr>
              <w:t>S</w:t>
            </w:r>
            <w:r w:rsidR="001F390B">
              <w:rPr>
                <w:rFonts w:eastAsia="Calibri"/>
                <w:sz w:val="26"/>
                <w:szCs w:val="26"/>
              </w:rPr>
              <w:t xml:space="preserve">tandartu tulkošanas procesu ir iespējams atvieglot izmantojot mūsdienu informācijas tehnoloģiju risinājumus, kas spējīgi uzskaitīt un uzkrāt standartos lietojamos terminus, līdz ar to nākamajās standartu tulkošanas reizēs standartos lietotie termini būtu pieejami tulkošanas procesā un nebūtu atkārtoti jāveic viena un tā paša termina atkārtota tulkošana. Līdz ar to, likumprojekts paredz papildināt nacionālās standartizācijas institūcijas funkcijas ar jaunu funkciju par </w:t>
            </w:r>
            <w:r w:rsidR="001F390B">
              <w:t xml:space="preserve"> </w:t>
            </w:r>
            <w:r w:rsidR="00C85F76" w:rsidRPr="00C85F76">
              <w:rPr>
                <w:rFonts w:eastAsia="Calibri"/>
                <w:sz w:val="26"/>
                <w:szCs w:val="26"/>
              </w:rPr>
              <w:t>standartos lietojamo terminu bezmaksas un brīvpieejas datu bāzes izveidošanu un uzturēšanu</w:t>
            </w:r>
            <w:r w:rsidR="001F390B">
              <w:rPr>
                <w:rFonts w:eastAsia="Calibri"/>
                <w:sz w:val="26"/>
                <w:szCs w:val="26"/>
              </w:rPr>
              <w:t>.</w:t>
            </w:r>
            <w:r w:rsidR="002412C3">
              <w:rPr>
                <w:rFonts w:eastAsia="Calibri"/>
                <w:sz w:val="26"/>
                <w:szCs w:val="26"/>
              </w:rPr>
              <w:t xml:space="preserve"> </w:t>
            </w:r>
            <w:r w:rsidR="00C85F76">
              <w:rPr>
                <w:rFonts w:eastAsia="Calibri"/>
                <w:sz w:val="26"/>
                <w:szCs w:val="26"/>
              </w:rPr>
              <w:t xml:space="preserve">Vienlaikus plānots, ka standartos lietojamo terminu </w:t>
            </w:r>
            <w:r w:rsidR="00C85F76" w:rsidRPr="00C85F76">
              <w:rPr>
                <w:rFonts w:eastAsia="Calibri"/>
                <w:sz w:val="26"/>
                <w:szCs w:val="26"/>
              </w:rPr>
              <w:t>datubāzē būs pieejami standartu termini un definīcijas gan angļu, gan latviešu valodā, un datubāzei tiks izveidota programmsaskarne (API) terminu un definīciju automatizētai izgūšanai, lai to varētu integrēt ar citām informācijas un komunikāciju tehnoloģiju sistēmām</w:t>
            </w:r>
            <w:r w:rsidR="002412C3">
              <w:rPr>
                <w:rFonts w:eastAsia="Calibri"/>
                <w:sz w:val="26"/>
                <w:szCs w:val="26"/>
              </w:rPr>
              <w:t xml:space="preserve"> (</w:t>
            </w:r>
            <w:r w:rsidR="00C85F76" w:rsidRPr="00C85F76">
              <w:rPr>
                <w:rFonts w:eastAsia="Calibri"/>
                <w:sz w:val="26"/>
                <w:szCs w:val="26"/>
              </w:rPr>
              <w:t>piemēram, hugo.lv un termini.gov.lv</w:t>
            </w:r>
            <w:r w:rsidR="002412C3">
              <w:rPr>
                <w:rFonts w:eastAsia="Calibri"/>
                <w:sz w:val="26"/>
                <w:szCs w:val="26"/>
              </w:rPr>
              <w:t>).</w:t>
            </w:r>
          </w:p>
          <w:p w14:paraId="33702178" w14:textId="32EF2F62" w:rsidR="0088152E" w:rsidRDefault="0088152E" w:rsidP="00A43991">
            <w:pPr>
              <w:widowControl w:val="0"/>
              <w:tabs>
                <w:tab w:val="left" w:pos="0"/>
              </w:tabs>
              <w:spacing w:before="60"/>
              <w:jc w:val="both"/>
              <w:rPr>
                <w:rFonts w:eastAsia="Calibri"/>
                <w:sz w:val="26"/>
                <w:szCs w:val="26"/>
              </w:rPr>
            </w:pPr>
            <w:r>
              <w:rPr>
                <w:sz w:val="26"/>
                <w:szCs w:val="26"/>
              </w:rPr>
              <w:t xml:space="preserve">Lai </w:t>
            </w:r>
            <w:r w:rsidR="00C458AD" w:rsidRPr="00C458AD">
              <w:rPr>
                <w:sz w:val="26"/>
                <w:szCs w:val="26"/>
              </w:rPr>
              <w:t>ar likumprojektu precizēt</w:t>
            </w:r>
            <w:r w:rsidR="00C458AD">
              <w:rPr>
                <w:sz w:val="26"/>
                <w:szCs w:val="26"/>
              </w:rPr>
              <w:t>u</w:t>
            </w:r>
            <w:r w:rsidR="00C458AD" w:rsidRPr="00C458AD">
              <w:rPr>
                <w:sz w:val="26"/>
                <w:szCs w:val="26"/>
              </w:rPr>
              <w:t xml:space="preserve"> esošos terminus un citus likumā lietotos vārdus</w:t>
            </w:r>
            <w:r w:rsidR="00C458AD">
              <w:rPr>
                <w:sz w:val="26"/>
                <w:szCs w:val="26"/>
              </w:rPr>
              <w:t>, kas ir zaudējuši savu aktualitāti</w:t>
            </w:r>
            <w:r w:rsidR="00C458AD" w:rsidRPr="00C458AD">
              <w:rPr>
                <w:sz w:val="26"/>
                <w:szCs w:val="26"/>
              </w:rPr>
              <w:t xml:space="preserve"> </w:t>
            </w:r>
            <w:r>
              <w:rPr>
                <w:sz w:val="26"/>
                <w:szCs w:val="26"/>
              </w:rPr>
              <w:t xml:space="preserve">un </w:t>
            </w:r>
            <w:r w:rsidRPr="00F25F68">
              <w:rPr>
                <w:sz w:val="26"/>
                <w:szCs w:val="26"/>
              </w:rPr>
              <w:t>precizēt</w:t>
            </w:r>
            <w:r w:rsidR="00C458AD">
              <w:rPr>
                <w:sz w:val="26"/>
                <w:szCs w:val="26"/>
              </w:rPr>
              <w:t>u</w:t>
            </w:r>
            <w:r w:rsidRPr="00F25F68">
              <w:rPr>
                <w:sz w:val="26"/>
                <w:szCs w:val="26"/>
              </w:rPr>
              <w:t xml:space="preserve"> s</w:t>
            </w:r>
            <w:r w:rsidRPr="00F25F68">
              <w:rPr>
                <w:rFonts w:eastAsia="Calibri"/>
                <w:sz w:val="26"/>
                <w:szCs w:val="26"/>
              </w:rPr>
              <w:t>tandartu būtību</w:t>
            </w:r>
            <w:r w:rsidRPr="00D71710">
              <w:rPr>
                <w:rFonts w:eastAsia="Calibri"/>
                <w:sz w:val="26"/>
                <w:szCs w:val="26"/>
              </w:rPr>
              <w:t>, viet</w:t>
            </w:r>
            <w:r>
              <w:rPr>
                <w:rFonts w:eastAsia="Calibri"/>
                <w:sz w:val="26"/>
                <w:szCs w:val="26"/>
              </w:rPr>
              <w:t>u</w:t>
            </w:r>
            <w:r w:rsidRPr="00D71710">
              <w:rPr>
                <w:rFonts w:eastAsia="Calibri"/>
                <w:sz w:val="26"/>
                <w:szCs w:val="26"/>
              </w:rPr>
              <w:t xml:space="preserve"> un lom</w:t>
            </w:r>
            <w:r>
              <w:rPr>
                <w:rFonts w:eastAsia="Calibri"/>
                <w:sz w:val="26"/>
                <w:szCs w:val="26"/>
              </w:rPr>
              <w:t>u</w:t>
            </w:r>
            <w:r w:rsidRPr="00D71710">
              <w:rPr>
                <w:rFonts w:eastAsia="Calibri"/>
                <w:sz w:val="26"/>
                <w:szCs w:val="26"/>
              </w:rPr>
              <w:t xml:space="preserve"> tiesību sistēmā</w:t>
            </w:r>
            <w:r>
              <w:rPr>
                <w:rFonts w:eastAsia="Calibri"/>
                <w:sz w:val="26"/>
                <w:szCs w:val="26"/>
              </w:rPr>
              <w:t xml:space="preserve"> un vairot</w:t>
            </w:r>
            <w:r w:rsidR="00C458AD">
              <w:rPr>
                <w:rFonts w:eastAsia="Calibri"/>
                <w:sz w:val="26"/>
                <w:szCs w:val="26"/>
              </w:rPr>
              <w:t>u</w:t>
            </w:r>
            <w:r>
              <w:rPr>
                <w:rFonts w:eastAsia="Calibri"/>
                <w:sz w:val="26"/>
                <w:szCs w:val="26"/>
              </w:rPr>
              <w:t xml:space="preserve"> </w:t>
            </w:r>
            <w:r w:rsidRPr="00D71710">
              <w:rPr>
                <w:rFonts w:eastAsia="Calibri"/>
                <w:sz w:val="26"/>
                <w:szCs w:val="26"/>
              </w:rPr>
              <w:t xml:space="preserve">Jaunās pieejas </w:t>
            </w:r>
            <w:r>
              <w:rPr>
                <w:rFonts w:eastAsia="Calibri"/>
                <w:sz w:val="26"/>
                <w:szCs w:val="26"/>
              </w:rPr>
              <w:t>piemērošanu</w:t>
            </w:r>
            <w:r w:rsidRPr="00D71710">
              <w:rPr>
                <w:rFonts w:eastAsia="Calibri"/>
                <w:sz w:val="26"/>
                <w:szCs w:val="26"/>
              </w:rPr>
              <w:t xml:space="preserve"> nacionālajā līmenī</w:t>
            </w:r>
            <w:r>
              <w:rPr>
                <w:rFonts w:eastAsia="Calibri"/>
                <w:sz w:val="26"/>
                <w:szCs w:val="26"/>
              </w:rPr>
              <w:t xml:space="preserve"> ar likumprojekt</w:t>
            </w:r>
            <w:r w:rsidR="00C458AD">
              <w:rPr>
                <w:rFonts w:eastAsia="Calibri"/>
                <w:sz w:val="26"/>
                <w:szCs w:val="26"/>
              </w:rPr>
              <w:t>u 11. un 12.pantā</w:t>
            </w:r>
            <w:r>
              <w:rPr>
                <w:rFonts w:eastAsia="Calibri"/>
                <w:sz w:val="26"/>
                <w:szCs w:val="26"/>
              </w:rPr>
              <w:t xml:space="preserve"> ir paredzēts precizēt</w:t>
            </w:r>
            <w:r w:rsidR="00C458AD">
              <w:rPr>
                <w:rFonts w:eastAsia="Calibri"/>
                <w:sz w:val="26"/>
                <w:szCs w:val="26"/>
              </w:rPr>
              <w:t xml:space="preserve"> p</w:t>
            </w:r>
            <w:r w:rsidR="00BD4422">
              <w:rPr>
                <w:rFonts w:eastAsia="Calibri"/>
                <w:sz w:val="26"/>
                <w:szCs w:val="26"/>
              </w:rPr>
              <w:t>iemērojamo standartu publicēšanas kārtību</w:t>
            </w:r>
            <w:r w:rsidR="00C458AD">
              <w:rPr>
                <w:rFonts w:eastAsia="Calibri"/>
                <w:sz w:val="26"/>
                <w:szCs w:val="26"/>
              </w:rPr>
              <w:t xml:space="preserve"> un to, kas ir uzskatāmi par Latvijas</w:t>
            </w:r>
            <w:r w:rsidR="00FF5FD3">
              <w:rPr>
                <w:rFonts w:eastAsia="Calibri"/>
                <w:sz w:val="26"/>
                <w:szCs w:val="26"/>
              </w:rPr>
              <w:t xml:space="preserve"> nacionāliem</w:t>
            </w:r>
            <w:r w:rsidR="00C458AD">
              <w:rPr>
                <w:rFonts w:eastAsia="Calibri"/>
                <w:sz w:val="26"/>
                <w:szCs w:val="26"/>
              </w:rPr>
              <w:t xml:space="preserve"> standartiem.</w:t>
            </w:r>
          </w:p>
          <w:p w14:paraId="70D7C44B" w14:textId="7495E0D0" w:rsidR="006C74B6" w:rsidRDefault="00B420DD" w:rsidP="00B420DD">
            <w:pPr>
              <w:widowControl w:val="0"/>
              <w:tabs>
                <w:tab w:val="left" w:pos="0"/>
              </w:tabs>
              <w:spacing w:before="60"/>
              <w:jc w:val="both"/>
              <w:rPr>
                <w:sz w:val="26"/>
                <w:szCs w:val="26"/>
                <w:shd w:val="clear" w:color="auto" w:fill="FFFFFF"/>
              </w:rPr>
            </w:pPr>
            <w:r>
              <w:rPr>
                <w:rFonts w:eastAsia="Calibri"/>
                <w:sz w:val="26"/>
                <w:szCs w:val="26"/>
              </w:rPr>
              <w:t xml:space="preserve">Viens no kritērijiem, kas definē </w:t>
            </w:r>
            <w:r w:rsidRPr="00B420DD">
              <w:rPr>
                <w:rFonts w:eastAsia="Calibri"/>
                <w:sz w:val="26"/>
                <w:szCs w:val="26"/>
              </w:rPr>
              <w:t>standartu būtību, vietu un lomu tiesību sistēm</w:t>
            </w:r>
            <w:r>
              <w:rPr>
                <w:rFonts w:eastAsia="Calibri"/>
                <w:sz w:val="26"/>
                <w:szCs w:val="26"/>
              </w:rPr>
              <w:t xml:space="preserve">ā ir standarta autortiesības. </w:t>
            </w:r>
            <w:r w:rsidRPr="00B420DD">
              <w:rPr>
                <w:rFonts w:eastAsia="Calibri"/>
                <w:sz w:val="26"/>
                <w:szCs w:val="26"/>
              </w:rPr>
              <w:t>S</w:t>
            </w:r>
            <w:r w:rsidRPr="00B420DD">
              <w:rPr>
                <w:sz w:val="26"/>
                <w:szCs w:val="26"/>
                <w:shd w:val="clear" w:color="auto" w:fill="FFFFFF"/>
              </w:rPr>
              <w:t>tandar</w:t>
            </w:r>
            <w:r w:rsidR="002F5A9D">
              <w:rPr>
                <w:sz w:val="26"/>
                <w:szCs w:val="26"/>
                <w:shd w:val="clear" w:color="auto" w:fill="FFFFFF"/>
              </w:rPr>
              <w:t>ts</w:t>
            </w:r>
            <w:r w:rsidRPr="00B420DD">
              <w:rPr>
                <w:sz w:val="26"/>
                <w:szCs w:val="26"/>
                <w:shd w:val="clear" w:color="auto" w:fill="FFFFFF"/>
              </w:rPr>
              <w:t xml:space="preserve"> ir autortiesību objekts un to autoram šajā gadījumā attiecīgajām </w:t>
            </w:r>
            <w:r w:rsidRPr="00B420DD">
              <w:rPr>
                <w:sz w:val="26"/>
                <w:szCs w:val="26"/>
                <w:shd w:val="clear" w:color="auto" w:fill="FFFFFF"/>
              </w:rPr>
              <w:lastRenderedPageBreak/>
              <w:t>standartizācijas institūcijām ir ekskluzīvas tiesības noteikt cenu par sava darba reproducēšanu, izplatīšanu, kā arī veikt attiecīgā darba tulkošanu. Valstij nebūtu jāiejaucas standart</w:t>
            </w:r>
            <w:r w:rsidR="002F5A9D">
              <w:rPr>
                <w:sz w:val="26"/>
                <w:szCs w:val="26"/>
                <w:shd w:val="clear" w:color="auto" w:fill="FFFFFF"/>
              </w:rPr>
              <w:t>u</w:t>
            </w:r>
            <w:r w:rsidRPr="00B420DD">
              <w:rPr>
                <w:sz w:val="26"/>
                <w:szCs w:val="26"/>
                <w:shd w:val="clear" w:color="auto" w:fill="FFFFFF"/>
              </w:rPr>
              <w:t xml:space="preserve"> cenu noteikšanas politikā.</w:t>
            </w:r>
            <w:r>
              <w:rPr>
                <w:sz w:val="26"/>
                <w:szCs w:val="26"/>
                <w:shd w:val="clear" w:color="auto" w:fill="FFFFFF"/>
              </w:rPr>
              <w:t xml:space="preserve"> Attiecīgi, ar likumprojektu 12.pantā paredzēts skaidri noteikt, ka standarts ir autortiesību objekts.</w:t>
            </w:r>
          </w:p>
          <w:p w14:paraId="369B8A2F" w14:textId="0CEB055C" w:rsidR="00594871" w:rsidRDefault="00FC72F7" w:rsidP="00594871">
            <w:pPr>
              <w:widowControl w:val="0"/>
              <w:tabs>
                <w:tab w:val="left" w:pos="0"/>
              </w:tabs>
              <w:spacing w:before="60"/>
              <w:jc w:val="both"/>
              <w:rPr>
                <w:rFonts w:eastAsia="Calibri"/>
                <w:sz w:val="26"/>
                <w:szCs w:val="26"/>
              </w:rPr>
            </w:pPr>
            <w:r>
              <w:rPr>
                <w:rFonts w:eastAsia="Calibri"/>
                <w:sz w:val="26"/>
                <w:szCs w:val="26"/>
              </w:rPr>
              <w:t>Redakcionāli nepieciešams precizēt likuma 17.pant</w:t>
            </w:r>
            <w:r w:rsidR="00026BD9">
              <w:rPr>
                <w:rFonts w:eastAsia="Calibri"/>
                <w:sz w:val="26"/>
                <w:szCs w:val="26"/>
              </w:rPr>
              <w:t>a pirmo daļu</w:t>
            </w:r>
            <w:r>
              <w:rPr>
                <w:rFonts w:eastAsia="Calibri"/>
                <w:sz w:val="26"/>
                <w:szCs w:val="26"/>
              </w:rPr>
              <w:t xml:space="preserve">, ka no valsts budžeta finansē Eiropas standartu reģistrēšanu Latvijas </w:t>
            </w:r>
            <w:r w:rsidR="007502AE">
              <w:rPr>
                <w:rFonts w:eastAsia="Calibri"/>
                <w:sz w:val="26"/>
                <w:szCs w:val="26"/>
              </w:rPr>
              <w:t xml:space="preserve">nacionālā </w:t>
            </w:r>
            <w:r>
              <w:rPr>
                <w:rFonts w:eastAsia="Calibri"/>
                <w:sz w:val="26"/>
                <w:szCs w:val="26"/>
              </w:rPr>
              <w:t>standarta statusā un to, ka nacionālās standartizācijas institūcijas dalībmaksa paredzēta gan starptautiskajās, gan Eiropas  standartizācijas organizācijās.</w:t>
            </w:r>
            <w:r w:rsidR="00A44917">
              <w:rPr>
                <w:rFonts w:eastAsia="Calibri"/>
                <w:sz w:val="26"/>
                <w:szCs w:val="26"/>
              </w:rPr>
              <w:t xml:space="preserve"> Papildus  valsts budžeta finansējumu šie precizējumi neparedz.</w:t>
            </w:r>
          </w:p>
          <w:p w14:paraId="23412AA4" w14:textId="1925351D" w:rsidR="002C5BC0" w:rsidRDefault="00594871" w:rsidP="00412507">
            <w:pPr>
              <w:widowControl w:val="0"/>
              <w:tabs>
                <w:tab w:val="left" w:pos="0"/>
              </w:tabs>
              <w:spacing w:before="60"/>
              <w:jc w:val="both"/>
              <w:rPr>
                <w:rFonts w:eastAsia="Calibri"/>
                <w:sz w:val="26"/>
                <w:szCs w:val="26"/>
              </w:rPr>
            </w:pPr>
            <w:r>
              <w:rPr>
                <w:rFonts w:eastAsia="Calibri"/>
                <w:sz w:val="26"/>
                <w:szCs w:val="26"/>
              </w:rPr>
              <w:t>S</w:t>
            </w:r>
            <w:r w:rsidR="00A44917">
              <w:rPr>
                <w:rFonts w:eastAsia="Calibri"/>
                <w:sz w:val="26"/>
                <w:szCs w:val="26"/>
              </w:rPr>
              <w:t xml:space="preserve">aistībā ar standartizācijas </w:t>
            </w:r>
            <w:r w:rsidR="00412507">
              <w:rPr>
                <w:rFonts w:eastAsia="Calibri"/>
                <w:sz w:val="26"/>
                <w:szCs w:val="26"/>
              </w:rPr>
              <w:t>pieprasījumu (</w:t>
            </w:r>
            <w:r w:rsidR="00A44917">
              <w:rPr>
                <w:rFonts w:eastAsia="Calibri"/>
                <w:sz w:val="26"/>
                <w:szCs w:val="26"/>
              </w:rPr>
              <w:t>mandātu</w:t>
            </w:r>
            <w:r w:rsidR="00412507">
              <w:rPr>
                <w:rFonts w:eastAsia="Calibri"/>
                <w:sz w:val="26"/>
                <w:szCs w:val="26"/>
              </w:rPr>
              <w:t>)</w:t>
            </w:r>
            <w:r w:rsidR="00A44917">
              <w:rPr>
                <w:rFonts w:eastAsia="Calibri"/>
                <w:sz w:val="26"/>
                <w:szCs w:val="26"/>
              </w:rPr>
              <w:t xml:space="preserve"> sistēmas ieviešanu </w:t>
            </w:r>
            <w:r>
              <w:rPr>
                <w:rFonts w:eastAsia="Calibri"/>
                <w:sz w:val="26"/>
                <w:szCs w:val="26"/>
              </w:rPr>
              <w:t>attiecībā</w:t>
            </w:r>
            <w:r>
              <w:t xml:space="preserve"> </w:t>
            </w:r>
            <w:r w:rsidRPr="004F0464">
              <w:rPr>
                <w:sz w:val="26"/>
                <w:szCs w:val="26"/>
              </w:rPr>
              <w:t>uz</w:t>
            </w:r>
            <w:r>
              <w:t xml:space="preserve"> </w:t>
            </w:r>
            <w:r w:rsidRPr="00594871">
              <w:rPr>
                <w:rFonts w:eastAsia="Calibri"/>
                <w:sz w:val="26"/>
                <w:szCs w:val="26"/>
              </w:rPr>
              <w:t>Latvijas</w:t>
            </w:r>
            <w:r w:rsidR="00412507">
              <w:rPr>
                <w:rFonts w:eastAsia="Calibri"/>
                <w:sz w:val="26"/>
                <w:szCs w:val="26"/>
              </w:rPr>
              <w:t xml:space="preserve"> nacionālā</w:t>
            </w:r>
            <w:r w:rsidRPr="00594871">
              <w:rPr>
                <w:rFonts w:eastAsia="Calibri"/>
                <w:sz w:val="26"/>
                <w:szCs w:val="26"/>
              </w:rPr>
              <w:t xml:space="preserve"> standarta statusā reģistrētu Eiropas un starptautisko standartizācijas organizāciju standartu</w:t>
            </w:r>
            <w:r>
              <w:rPr>
                <w:rFonts w:eastAsia="Calibri"/>
                <w:sz w:val="26"/>
                <w:szCs w:val="26"/>
              </w:rPr>
              <w:t xml:space="preserve"> </w:t>
            </w:r>
            <w:r w:rsidRPr="00594871">
              <w:rPr>
                <w:rFonts w:eastAsia="Calibri"/>
                <w:sz w:val="26"/>
                <w:szCs w:val="26"/>
              </w:rPr>
              <w:t>tulko</w:t>
            </w:r>
            <w:r>
              <w:rPr>
                <w:rFonts w:eastAsia="Calibri"/>
                <w:sz w:val="26"/>
                <w:szCs w:val="26"/>
              </w:rPr>
              <w:t>šanu</w:t>
            </w:r>
            <w:r w:rsidRPr="00594871">
              <w:rPr>
                <w:rFonts w:eastAsia="Calibri"/>
                <w:sz w:val="26"/>
                <w:szCs w:val="26"/>
              </w:rPr>
              <w:t xml:space="preserve"> valsts valodā</w:t>
            </w:r>
            <w:r>
              <w:rPr>
                <w:rFonts w:eastAsia="Calibri"/>
                <w:sz w:val="26"/>
                <w:szCs w:val="26"/>
              </w:rPr>
              <w:t xml:space="preserve"> ir nepieciešams paredzēt</w:t>
            </w:r>
            <w:r w:rsidR="00431663">
              <w:rPr>
                <w:rFonts w:eastAsia="Calibri"/>
                <w:sz w:val="26"/>
                <w:szCs w:val="26"/>
              </w:rPr>
              <w:t xml:space="preserve"> tam</w:t>
            </w:r>
            <w:r>
              <w:rPr>
                <w:rFonts w:eastAsia="Calibri"/>
                <w:sz w:val="26"/>
                <w:szCs w:val="26"/>
              </w:rPr>
              <w:t xml:space="preserve"> finansējumu.</w:t>
            </w:r>
            <w:r w:rsidR="004B7F77">
              <w:rPr>
                <w:rFonts w:eastAsia="Calibri"/>
                <w:sz w:val="26"/>
                <w:szCs w:val="26"/>
              </w:rPr>
              <w:t xml:space="preserve"> Attiecīgās n</w:t>
            </w:r>
            <w:r w:rsidR="004B7F77" w:rsidRPr="004B7F77">
              <w:rPr>
                <w:rFonts w:eastAsia="Calibri"/>
                <w:sz w:val="26"/>
                <w:szCs w:val="26"/>
              </w:rPr>
              <w:t xml:space="preserve">ozaru ministrijas savus standartizācijas </w:t>
            </w:r>
            <w:r w:rsidR="00412507">
              <w:rPr>
                <w:rFonts w:eastAsia="Calibri"/>
                <w:sz w:val="26"/>
                <w:szCs w:val="26"/>
              </w:rPr>
              <w:t>pieprasījumus</w:t>
            </w:r>
            <w:r w:rsidR="004B7F77">
              <w:rPr>
                <w:rFonts w:eastAsia="Calibri"/>
                <w:sz w:val="26"/>
                <w:szCs w:val="26"/>
              </w:rPr>
              <w:t xml:space="preserve"> par standartu tulkošanu</w:t>
            </w:r>
            <w:r w:rsidR="00412507">
              <w:rPr>
                <w:rFonts w:eastAsia="Calibri"/>
                <w:sz w:val="26"/>
                <w:szCs w:val="26"/>
              </w:rPr>
              <w:t xml:space="preserve">, </w:t>
            </w:r>
            <w:r w:rsidR="00412507" w:rsidRPr="00412507">
              <w:rPr>
                <w:rFonts w:eastAsia="Calibri"/>
                <w:sz w:val="26"/>
                <w:szCs w:val="26"/>
              </w:rPr>
              <w:t>kurā norāda veicamo uzdevumu</w:t>
            </w:r>
            <w:r w:rsidR="00AD10E7">
              <w:rPr>
                <w:rFonts w:eastAsia="Calibri"/>
                <w:sz w:val="26"/>
                <w:szCs w:val="26"/>
              </w:rPr>
              <w:t xml:space="preserve">, </w:t>
            </w:r>
            <w:r w:rsidR="00412507" w:rsidRPr="00412507">
              <w:rPr>
                <w:rFonts w:eastAsia="Calibri"/>
                <w:sz w:val="26"/>
                <w:szCs w:val="26"/>
              </w:rPr>
              <w:t>izpildes termiņu un pieejamo finansējuma apmēru, iesnie</w:t>
            </w:r>
            <w:r w:rsidR="00412507">
              <w:rPr>
                <w:rFonts w:eastAsia="Calibri"/>
                <w:sz w:val="26"/>
                <w:szCs w:val="26"/>
              </w:rPr>
              <w:t>gtu</w:t>
            </w:r>
            <w:r w:rsidR="00412507" w:rsidRPr="00412507">
              <w:rPr>
                <w:rFonts w:eastAsia="Calibri"/>
                <w:sz w:val="26"/>
                <w:szCs w:val="26"/>
              </w:rPr>
              <w:t xml:space="preserve"> nacionālajai standartizācijas institūcijai, kas sagatavo</w:t>
            </w:r>
            <w:r w:rsidR="00412507">
              <w:rPr>
                <w:rFonts w:eastAsia="Calibri"/>
                <w:sz w:val="26"/>
                <w:szCs w:val="26"/>
              </w:rPr>
              <w:t>tu</w:t>
            </w:r>
            <w:r w:rsidR="00412507" w:rsidRPr="00412507">
              <w:rPr>
                <w:rFonts w:eastAsia="Calibri"/>
                <w:sz w:val="26"/>
                <w:szCs w:val="26"/>
              </w:rPr>
              <w:t xml:space="preserve"> standartizācijas pieprasījuma iekļaušanu Standartu tulkošanas un izstrādes plānā</w:t>
            </w:r>
            <w:r w:rsidR="00412507">
              <w:rPr>
                <w:rFonts w:eastAsia="Calibri"/>
                <w:sz w:val="26"/>
                <w:szCs w:val="26"/>
              </w:rPr>
              <w:t xml:space="preserve">. </w:t>
            </w:r>
            <w:r w:rsidR="004B7F77">
              <w:rPr>
                <w:rFonts w:eastAsia="Calibri"/>
                <w:sz w:val="26"/>
                <w:szCs w:val="26"/>
              </w:rPr>
              <w:t xml:space="preserve">Attiecīgi šāds standartizācijas </w:t>
            </w:r>
            <w:r w:rsidR="00412507">
              <w:rPr>
                <w:rFonts w:eastAsia="Calibri"/>
                <w:sz w:val="26"/>
                <w:szCs w:val="26"/>
              </w:rPr>
              <w:t>pieprasījuma</w:t>
            </w:r>
            <w:r w:rsidR="004B7F77">
              <w:rPr>
                <w:rFonts w:eastAsia="Calibri"/>
                <w:sz w:val="26"/>
                <w:szCs w:val="26"/>
              </w:rPr>
              <w:t xml:space="preserve"> projekts par standartu tulkošanu tiktu iekļauts</w:t>
            </w:r>
            <w:r w:rsidR="00412507">
              <w:rPr>
                <w:rFonts w:eastAsia="Calibri"/>
                <w:sz w:val="26"/>
                <w:szCs w:val="26"/>
              </w:rPr>
              <w:t xml:space="preserve"> </w:t>
            </w:r>
            <w:r w:rsidR="00412507" w:rsidRPr="00412507">
              <w:rPr>
                <w:rFonts w:eastAsia="Calibri"/>
                <w:sz w:val="26"/>
                <w:szCs w:val="26"/>
              </w:rPr>
              <w:t>Standartu tulkošanas un izstrādes plānā</w:t>
            </w:r>
            <w:r w:rsidR="00412507">
              <w:rPr>
                <w:rFonts w:eastAsia="Calibri"/>
                <w:sz w:val="26"/>
                <w:szCs w:val="26"/>
              </w:rPr>
              <w:t xml:space="preserve"> </w:t>
            </w:r>
            <w:r w:rsidR="004B7F77">
              <w:rPr>
                <w:rFonts w:eastAsia="Calibri"/>
                <w:sz w:val="26"/>
                <w:szCs w:val="26"/>
              </w:rPr>
              <w:t>un tikt</w:t>
            </w:r>
            <w:r w:rsidR="00431642">
              <w:rPr>
                <w:rFonts w:eastAsia="Calibri"/>
                <w:sz w:val="26"/>
                <w:szCs w:val="26"/>
              </w:rPr>
              <w:t>u</w:t>
            </w:r>
            <w:r w:rsidR="004B7F77">
              <w:rPr>
                <w:rFonts w:eastAsia="Calibri"/>
                <w:sz w:val="26"/>
                <w:szCs w:val="26"/>
              </w:rPr>
              <w:t xml:space="preserve"> izskatīts Nacionālajā standartizācijas padomē. Ja šāds standartizācijas </w:t>
            </w:r>
            <w:r w:rsidR="00412507">
              <w:rPr>
                <w:rFonts w:eastAsia="Calibri"/>
                <w:sz w:val="26"/>
                <w:szCs w:val="26"/>
              </w:rPr>
              <w:t>pieprasījuma</w:t>
            </w:r>
            <w:r w:rsidR="004B7F77">
              <w:rPr>
                <w:rFonts w:eastAsia="Calibri"/>
                <w:sz w:val="26"/>
                <w:szCs w:val="26"/>
              </w:rPr>
              <w:t xml:space="preserve"> projekts</w:t>
            </w:r>
            <w:r w:rsidR="004447FC">
              <w:rPr>
                <w:rFonts w:eastAsia="Calibri"/>
                <w:sz w:val="26"/>
                <w:szCs w:val="26"/>
              </w:rPr>
              <w:t xml:space="preserve"> par standartu tulkošanu atbilst </w:t>
            </w:r>
            <w:r w:rsidR="00431642" w:rsidRPr="00431642">
              <w:rPr>
                <w:sz w:val="26"/>
                <w:szCs w:val="26"/>
              </w:rPr>
              <w:t>s</w:t>
            </w:r>
            <w:r w:rsidR="004447FC" w:rsidRPr="004447FC">
              <w:rPr>
                <w:rFonts w:eastAsia="Calibri"/>
                <w:sz w:val="26"/>
                <w:szCs w:val="26"/>
              </w:rPr>
              <w:t xml:space="preserve">tandartizācijas </w:t>
            </w:r>
            <w:r w:rsidR="00412507">
              <w:rPr>
                <w:rFonts w:eastAsia="Calibri"/>
                <w:sz w:val="26"/>
                <w:szCs w:val="26"/>
              </w:rPr>
              <w:t>pieprasījumu</w:t>
            </w:r>
            <w:r w:rsidR="004447FC" w:rsidRPr="004447FC">
              <w:rPr>
                <w:rFonts w:eastAsia="Calibri"/>
                <w:sz w:val="26"/>
                <w:szCs w:val="26"/>
              </w:rPr>
              <w:t xml:space="preserve"> sistēmas kritēriji</w:t>
            </w:r>
            <w:r w:rsidR="004447FC">
              <w:rPr>
                <w:rFonts w:eastAsia="Calibri"/>
                <w:sz w:val="26"/>
                <w:szCs w:val="26"/>
              </w:rPr>
              <w:t>em un tiek apstiprināts Nacionālajā standartizācijas padomē, tad attiecīg</w:t>
            </w:r>
            <w:r w:rsidR="00431642">
              <w:rPr>
                <w:rFonts w:eastAsia="Calibri"/>
                <w:sz w:val="26"/>
                <w:szCs w:val="26"/>
              </w:rPr>
              <w:t>ā</w:t>
            </w:r>
            <w:r w:rsidR="004447FC">
              <w:rPr>
                <w:rFonts w:eastAsia="Calibri"/>
                <w:sz w:val="26"/>
                <w:szCs w:val="26"/>
              </w:rPr>
              <w:t xml:space="preserve"> nozaru ministrija varētu pieprasīt finansējumu no nākam</w:t>
            </w:r>
            <w:r w:rsidR="00E46D76">
              <w:rPr>
                <w:rFonts w:eastAsia="Calibri"/>
                <w:sz w:val="26"/>
                <w:szCs w:val="26"/>
              </w:rPr>
              <w:t>ā</w:t>
            </w:r>
            <w:r w:rsidR="004447FC">
              <w:rPr>
                <w:rFonts w:eastAsia="Calibri"/>
                <w:sz w:val="26"/>
                <w:szCs w:val="26"/>
              </w:rPr>
              <w:t xml:space="preserve"> </w:t>
            </w:r>
            <w:r w:rsidR="00E46D76">
              <w:rPr>
                <w:rFonts w:eastAsia="Calibri"/>
                <w:sz w:val="26"/>
                <w:szCs w:val="26"/>
              </w:rPr>
              <w:t>perioda</w:t>
            </w:r>
            <w:r w:rsidR="004447FC">
              <w:rPr>
                <w:rFonts w:eastAsia="Calibri"/>
                <w:sz w:val="26"/>
                <w:szCs w:val="26"/>
              </w:rPr>
              <w:t xml:space="preserve"> valsts budžet</w:t>
            </w:r>
            <w:r w:rsidR="00E46D76">
              <w:rPr>
                <w:rFonts w:eastAsia="Calibri"/>
                <w:sz w:val="26"/>
                <w:szCs w:val="26"/>
              </w:rPr>
              <w:t>a līdzekļiem</w:t>
            </w:r>
            <w:r w:rsidR="004447FC">
              <w:rPr>
                <w:rFonts w:eastAsia="Calibri"/>
                <w:sz w:val="26"/>
                <w:szCs w:val="26"/>
              </w:rPr>
              <w:t xml:space="preserve">. </w:t>
            </w:r>
            <w:r>
              <w:rPr>
                <w:rFonts w:eastAsia="Calibri"/>
                <w:sz w:val="26"/>
                <w:szCs w:val="26"/>
              </w:rPr>
              <w:t>Līdz ar to, i</w:t>
            </w:r>
            <w:r w:rsidR="00A44917">
              <w:rPr>
                <w:rFonts w:eastAsia="Calibri"/>
                <w:sz w:val="26"/>
                <w:szCs w:val="26"/>
              </w:rPr>
              <w:t xml:space="preserve">r nepieciešams </w:t>
            </w:r>
            <w:r w:rsidR="00412507">
              <w:rPr>
                <w:rFonts w:eastAsia="Calibri"/>
                <w:sz w:val="26"/>
                <w:szCs w:val="26"/>
              </w:rPr>
              <w:t xml:space="preserve">ar likumprojektu precizēt 15.pantu paredzot standartizācijas pieprasījumu sistēmas ieviešanu un kritērijus standartu tulkošanai valsts valodā, kā arī </w:t>
            </w:r>
            <w:r w:rsidR="008A5ED5">
              <w:rPr>
                <w:rFonts w:eastAsia="Calibri"/>
                <w:sz w:val="26"/>
                <w:szCs w:val="26"/>
              </w:rPr>
              <w:t xml:space="preserve">papildināt </w:t>
            </w:r>
            <w:r w:rsidR="004F0464">
              <w:rPr>
                <w:rFonts w:eastAsia="Calibri"/>
                <w:sz w:val="26"/>
                <w:szCs w:val="26"/>
              </w:rPr>
              <w:t xml:space="preserve">Standartizācijas likuma 17.panta pirmo daļu ar jaunu punktu, kas </w:t>
            </w:r>
            <w:r w:rsidR="00A44917">
              <w:rPr>
                <w:rFonts w:eastAsia="Calibri"/>
                <w:sz w:val="26"/>
                <w:szCs w:val="26"/>
              </w:rPr>
              <w:t>paredz</w:t>
            </w:r>
            <w:r w:rsidR="004F0464">
              <w:rPr>
                <w:rFonts w:eastAsia="Calibri"/>
                <w:sz w:val="26"/>
                <w:szCs w:val="26"/>
              </w:rPr>
              <w:t xml:space="preserve"> to</w:t>
            </w:r>
            <w:r w:rsidR="008A5ED5">
              <w:rPr>
                <w:rFonts w:eastAsia="Calibri"/>
                <w:sz w:val="26"/>
                <w:szCs w:val="26"/>
              </w:rPr>
              <w:t>, ka no valsts budžeta tiek finansēta</w:t>
            </w:r>
            <w:r w:rsidR="004F0464">
              <w:rPr>
                <w:rFonts w:eastAsia="Calibri"/>
                <w:sz w:val="26"/>
                <w:szCs w:val="26"/>
              </w:rPr>
              <w:t>s</w:t>
            </w:r>
            <w:r w:rsidR="008A5ED5">
              <w:rPr>
                <w:rFonts w:eastAsia="Calibri"/>
                <w:sz w:val="26"/>
                <w:szCs w:val="26"/>
              </w:rPr>
              <w:t xml:space="preserve"> </w:t>
            </w:r>
            <w:r w:rsidR="004F0464" w:rsidRPr="004F0464">
              <w:rPr>
                <w:rFonts w:eastAsia="Calibri"/>
                <w:sz w:val="26"/>
                <w:szCs w:val="26"/>
              </w:rPr>
              <w:t>izmaksas</w:t>
            </w:r>
            <w:r w:rsidR="004F0464">
              <w:rPr>
                <w:rFonts w:eastAsia="Calibri"/>
                <w:sz w:val="26"/>
                <w:szCs w:val="26"/>
              </w:rPr>
              <w:t xml:space="preserve">, kas </w:t>
            </w:r>
            <w:r w:rsidR="004F0464" w:rsidRPr="004F0464">
              <w:rPr>
                <w:rFonts w:eastAsia="Calibri"/>
                <w:sz w:val="26"/>
                <w:szCs w:val="26"/>
              </w:rPr>
              <w:t xml:space="preserve">saistītas ar standartizācijas </w:t>
            </w:r>
            <w:r w:rsidR="00412507">
              <w:rPr>
                <w:rFonts w:eastAsia="Calibri"/>
                <w:sz w:val="26"/>
                <w:szCs w:val="26"/>
              </w:rPr>
              <w:t>pieprasījumiem</w:t>
            </w:r>
            <w:r w:rsidR="004F0464" w:rsidRPr="004F0464">
              <w:rPr>
                <w:rFonts w:eastAsia="Calibri"/>
                <w:sz w:val="26"/>
                <w:szCs w:val="26"/>
              </w:rPr>
              <w:t xml:space="preserve"> par standartu tulkošanu valsts valodā</w:t>
            </w:r>
            <w:r w:rsidR="004F0464">
              <w:rPr>
                <w:rFonts w:eastAsia="Calibri"/>
                <w:sz w:val="26"/>
                <w:szCs w:val="26"/>
              </w:rPr>
              <w:t>.</w:t>
            </w:r>
          </w:p>
          <w:p w14:paraId="5FB19F4B" w14:textId="7D28D0F9" w:rsidR="00B419F4" w:rsidRPr="009728B1" w:rsidRDefault="00B419F4" w:rsidP="00412507">
            <w:pPr>
              <w:widowControl w:val="0"/>
              <w:tabs>
                <w:tab w:val="left" w:pos="0"/>
              </w:tabs>
              <w:spacing w:before="60"/>
              <w:jc w:val="both"/>
              <w:rPr>
                <w:rFonts w:eastAsia="Calibri"/>
                <w:sz w:val="26"/>
                <w:szCs w:val="26"/>
              </w:rPr>
            </w:pPr>
            <w:r>
              <w:rPr>
                <w:rFonts w:eastAsia="Calibri"/>
                <w:sz w:val="26"/>
                <w:szCs w:val="26"/>
              </w:rPr>
              <w:t>Likumprojekts paredz papildināt pārejos noteikumu</w:t>
            </w:r>
            <w:r w:rsidR="00632047">
              <w:rPr>
                <w:rFonts w:eastAsia="Calibri"/>
                <w:sz w:val="26"/>
                <w:szCs w:val="26"/>
              </w:rPr>
              <w:t>s</w:t>
            </w:r>
            <w:r>
              <w:rPr>
                <w:rFonts w:eastAsia="Calibri"/>
                <w:sz w:val="26"/>
                <w:szCs w:val="26"/>
              </w:rPr>
              <w:t xml:space="preserve"> ar punktu par to, ka SIA</w:t>
            </w:r>
            <w:r w:rsidRPr="00B419F4">
              <w:rPr>
                <w:rFonts w:eastAsia="Calibri"/>
                <w:sz w:val="26"/>
                <w:szCs w:val="26"/>
              </w:rPr>
              <w:t xml:space="preserve"> “Latvijas standarts” </w:t>
            </w:r>
            <w:r>
              <w:rPr>
                <w:rFonts w:eastAsia="Calibri"/>
                <w:sz w:val="26"/>
                <w:szCs w:val="26"/>
              </w:rPr>
              <w:t>turpina p</w:t>
            </w:r>
            <w:r w:rsidRPr="00B419F4">
              <w:rPr>
                <w:rFonts w:eastAsia="Calibri"/>
                <w:sz w:val="26"/>
                <w:szCs w:val="26"/>
              </w:rPr>
              <w:t>ild</w:t>
            </w:r>
            <w:r>
              <w:rPr>
                <w:rFonts w:eastAsia="Calibri"/>
                <w:sz w:val="26"/>
                <w:szCs w:val="26"/>
              </w:rPr>
              <w:t>īt</w:t>
            </w:r>
            <w:r w:rsidRPr="00B419F4">
              <w:rPr>
                <w:rFonts w:eastAsia="Calibri"/>
                <w:sz w:val="26"/>
                <w:szCs w:val="26"/>
              </w:rPr>
              <w:t xml:space="preserve"> nacionālās standartizācijas institūcijas funkcijas līdz 2021.gada 1.martam, kad Ministru kabinets no</w:t>
            </w:r>
            <w:r>
              <w:rPr>
                <w:rFonts w:eastAsia="Calibri"/>
                <w:sz w:val="26"/>
                <w:szCs w:val="26"/>
              </w:rPr>
              <w:t>teiktu</w:t>
            </w:r>
            <w:r w:rsidRPr="00B419F4">
              <w:rPr>
                <w:rFonts w:eastAsia="Calibri"/>
                <w:sz w:val="26"/>
                <w:szCs w:val="26"/>
              </w:rPr>
              <w:t xml:space="preserve"> institūciju, kas </w:t>
            </w:r>
            <w:r>
              <w:rPr>
                <w:rFonts w:eastAsia="Calibri"/>
                <w:sz w:val="26"/>
                <w:szCs w:val="26"/>
              </w:rPr>
              <w:t xml:space="preserve">turpmāk </w:t>
            </w:r>
            <w:r w:rsidRPr="00B419F4">
              <w:rPr>
                <w:rFonts w:eastAsia="Calibri"/>
                <w:sz w:val="26"/>
                <w:szCs w:val="26"/>
              </w:rPr>
              <w:t>veiks nacionālās standartizācijas institūcijas funkcijas</w:t>
            </w:r>
            <w:r>
              <w:rPr>
                <w:rFonts w:eastAsia="Calibri"/>
                <w:sz w:val="26"/>
                <w:szCs w:val="26"/>
              </w:rPr>
              <w:t>.</w:t>
            </w:r>
          </w:p>
        </w:tc>
      </w:tr>
      <w:tr w:rsidR="001832FA" w:rsidRPr="0010322E" w14:paraId="16D4257A"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E0D38E6" w14:textId="037F7B57" w:rsidR="001832FA" w:rsidRPr="0010322E" w:rsidRDefault="00D16901">
            <w:pPr>
              <w:jc w:val="center"/>
              <w:rPr>
                <w:sz w:val="26"/>
                <w:szCs w:val="26"/>
              </w:rPr>
            </w:pPr>
            <w:r w:rsidRPr="0010322E">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C4CD2E8" w14:textId="4DBF28D0" w:rsidR="001832FA" w:rsidRPr="0010322E" w:rsidRDefault="00D16901">
            <w:pPr>
              <w:rPr>
                <w:sz w:val="26"/>
                <w:szCs w:val="26"/>
              </w:rPr>
            </w:pPr>
            <w:r w:rsidRPr="0010322E">
              <w:rPr>
                <w:sz w:val="26"/>
                <w:szCs w:val="26"/>
              </w:rPr>
              <w:t>Projekta izstrādē iesaistītās institūcijas</w:t>
            </w:r>
            <w:r w:rsidR="007E387E" w:rsidRPr="0010322E">
              <w:rPr>
                <w:sz w:val="26"/>
                <w:szCs w:val="26"/>
              </w:rPr>
              <w:t xml:space="preserve"> un kapitālsabiedrības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tcPr>
          <w:p w14:paraId="7A43D1CA" w14:textId="589E56A8" w:rsidR="001832FA" w:rsidRPr="0010322E" w:rsidRDefault="007F5A33" w:rsidP="007F5A33">
            <w:pPr>
              <w:spacing w:after="120"/>
              <w:jc w:val="both"/>
              <w:rPr>
                <w:sz w:val="26"/>
                <w:szCs w:val="26"/>
              </w:rPr>
            </w:pPr>
            <w:r w:rsidRPr="0010322E">
              <w:rPr>
                <w:sz w:val="26"/>
                <w:szCs w:val="26"/>
              </w:rPr>
              <w:t>Ekonomikas ministrija</w:t>
            </w:r>
            <w:r w:rsidR="0048154D" w:rsidRPr="0010322E">
              <w:rPr>
                <w:sz w:val="26"/>
                <w:szCs w:val="26"/>
              </w:rPr>
              <w:t xml:space="preserve">, </w:t>
            </w:r>
            <w:r w:rsidR="006A3BC6">
              <w:rPr>
                <w:sz w:val="26"/>
                <w:szCs w:val="26"/>
              </w:rPr>
              <w:t>Nacionālā standartizācijas institūcija – SIA “Latvijas standarts”</w:t>
            </w:r>
          </w:p>
        </w:tc>
      </w:tr>
      <w:tr w:rsidR="001832FA" w:rsidRPr="0010322E" w14:paraId="49B8BB96" w14:textId="77777777" w:rsidTr="0010322E">
        <w:tc>
          <w:tcPr>
            <w:tcW w:w="565" w:type="dxa"/>
            <w:tcBorders>
              <w:top w:val="single" w:sz="4" w:space="0" w:color="000000"/>
              <w:left w:val="single" w:sz="4" w:space="0" w:color="000000"/>
              <w:bottom w:val="single" w:sz="4" w:space="0" w:color="auto"/>
              <w:right w:val="single" w:sz="4" w:space="0" w:color="000000"/>
            </w:tcBorders>
            <w:shd w:val="clear" w:color="000000" w:fill="auto"/>
          </w:tcPr>
          <w:p w14:paraId="63AE6CCB" w14:textId="77777777" w:rsidR="001832FA" w:rsidRPr="0010322E" w:rsidRDefault="00D16901">
            <w:pPr>
              <w:jc w:val="center"/>
              <w:rPr>
                <w:sz w:val="26"/>
                <w:szCs w:val="26"/>
              </w:rPr>
            </w:pPr>
            <w:r w:rsidRPr="0010322E">
              <w:rPr>
                <w:sz w:val="26"/>
                <w:szCs w:val="26"/>
              </w:rPr>
              <w:lastRenderedPageBreak/>
              <w:t>4.</w:t>
            </w:r>
          </w:p>
        </w:tc>
        <w:tc>
          <w:tcPr>
            <w:tcW w:w="1799" w:type="dxa"/>
            <w:tcBorders>
              <w:top w:val="single" w:sz="4" w:space="0" w:color="000000"/>
              <w:left w:val="single" w:sz="4" w:space="0" w:color="000000"/>
              <w:bottom w:val="single" w:sz="4" w:space="0" w:color="auto"/>
              <w:right w:val="single" w:sz="4" w:space="0" w:color="000000"/>
            </w:tcBorders>
            <w:shd w:val="clear" w:color="000000" w:fill="auto"/>
          </w:tcPr>
          <w:p w14:paraId="35909FC8" w14:textId="77777777" w:rsidR="001832FA" w:rsidRPr="0010322E" w:rsidRDefault="00D16901">
            <w:pPr>
              <w:rPr>
                <w:sz w:val="26"/>
                <w:szCs w:val="26"/>
              </w:rPr>
            </w:pPr>
            <w:r w:rsidRPr="0010322E">
              <w:rPr>
                <w:sz w:val="26"/>
                <w:szCs w:val="26"/>
              </w:rPr>
              <w:t>Cita informācija</w:t>
            </w:r>
          </w:p>
        </w:tc>
        <w:tc>
          <w:tcPr>
            <w:tcW w:w="6703" w:type="dxa"/>
            <w:tcBorders>
              <w:top w:val="single" w:sz="4" w:space="0" w:color="000000"/>
              <w:left w:val="single" w:sz="4" w:space="0" w:color="000000"/>
              <w:bottom w:val="single" w:sz="4" w:space="0" w:color="auto"/>
              <w:right w:val="single" w:sz="4" w:space="0" w:color="000000"/>
            </w:tcBorders>
            <w:shd w:val="clear" w:color="000000" w:fill="FFFFFF"/>
          </w:tcPr>
          <w:p w14:paraId="084E950D" w14:textId="561FDFB6" w:rsidR="001832FA" w:rsidRPr="0010322E" w:rsidRDefault="00D16901">
            <w:pPr>
              <w:rPr>
                <w:sz w:val="26"/>
                <w:szCs w:val="26"/>
              </w:rPr>
            </w:pPr>
            <w:r w:rsidRPr="0010322E">
              <w:rPr>
                <w:sz w:val="26"/>
                <w:szCs w:val="26"/>
              </w:rPr>
              <w:t>Nav</w:t>
            </w:r>
          </w:p>
        </w:tc>
      </w:tr>
      <w:tr w:rsidR="0048154D" w:rsidRPr="0010322E" w14:paraId="5AAD000D" w14:textId="77777777" w:rsidTr="0010322E">
        <w:tc>
          <w:tcPr>
            <w:tcW w:w="565" w:type="dxa"/>
            <w:tcBorders>
              <w:top w:val="single" w:sz="4" w:space="0" w:color="auto"/>
              <w:left w:val="nil"/>
              <w:bottom w:val="nil"/>
              <w:right w:val="nil"/>
            </w:tcBorders>
            <w:shd w:val="clear" w:color="000000" w:fill="auto"/>
          </w:tcPr>
          <w:p w14:paraId="7009F047" w14:textId="77777777" w:rsidR="0048154D" w:rsidRPr="0010322E" w:rsidRDefault="0048154D">
            <w:pPr>
              <w:jc w:val="center"/>
              <w:rPr>
                <w:sz w:val="26"/>
                <w:szCs w:val="26"/>
              </w:rPr>
            </w:pPr>
          </w:p>
        </w:tc>
        <w:tc>
          <w:tcPr>
            <w:tcW w:w="1799" w:type="dxa"/>
            <w:tcBorders>
              <w:top w:val="single" w:sz="4" w:space="0" w:color="auto"/>
              <w:left w:val="nil"/>
              <w:bottom w:val="nil"/>
              <w:right w:val="nil"/>
            </w:tcBorders>
            <w:shd w:val="clear" w:color="000000" w:fill="auto"/>
          </w:tcPr>
          <w:p w14:paraId="4853D33F" w14:textId="77777777" w:rsidR="0048154D" w:rsidRPr="0010322E" w:rsidRDefault="0048154D">
            <w:pPr>
              <w:rPr>
                <w:sz w:val="26"/>
                <w:szCs w:val="26"/>
              </w:rPr>
            </w:pPr>
          </w:p>
        </w:tc>
        <w:tc>
          <w:tcPr>
            <w:tcW w:w="6703" w:type="dxa"/>
            <w:tcBorders>
              <w:top w:val="single" w:sz="4" w:space="0" w:color="auto"/>
              <w:left w:val="nil"/>
              <w:bottom w:val="nil"/>
              <w:right w:val="nil"/>
            </w:tcBorders>
            <w:shd w:val="clear" w:color="000000" w:fill="FFFFFF"/>
          </w:tcPr>
          <w:p w14:paraId="2BEADDE7" w14:textId="77777777" w:rsidR="00662B23" w:rsidRPr="0010322E" w:rsidRDefault="00662B23">
            <w:pPr>
              <w:rPr>
                <w:sz w:val="26"/>
                <w:szCs w:val="26"/>
              </w:rPr>
            </w:pPr>
          </w:p>
          <w:p w14:paraId="52DBF0AD" w14:textId="7138D25B" w:rsidR="00662B23" w:rsidRPr="0010322E" w:rsidRDefault="00662B23">
            <w:pPr>
              <w:rPr>
                <w:sz w:val="26"/>
                <w:szCs w:val="26"/>
              </w:rPr>
            </w:pPr>
          </w:p>
        </w:tc>
      </w:tr>
    </w:tbl>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47"/>
        <w:gridCol w:w="6066"/>
      </w:tblGrid>
      <w:tr w:rsidR="001832FA" w:rsidRPr="0010322E" w14:paraId="51783097" w14:textId="77777777" w:rsidTr="0048154D">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6CD20E36" w14:textId="2A261251" w:rsidR="002A2D7E" w:rsidRPr="0010322E" w:rsidRDefault="00D16901" w:rsidP="00662B23">
            <w:pPr>
              <w:pStyle w:val="ListParagraph"/>
              <w:tabs>
                <w:tab w:val="left" w:pos="2268"/>
                <w:tab w:val="left" w:pos="2410"/>
              </w:tabs>
              <w:ind w:left="873"/>
              <w:contextualSpacing/>
              <w:jc w:val="center"/>
              <w:rPr>
                <w:sz w:val="26"/>
                <w:szCs w:val="26"/>
              </w:rPr>
            </w:pPr>
            <w:r w:rsidRPr="0010322E">
              <w:rPr>
                <w:rFonts w:ascii="Times New Roman" w:hAnsi="Times New Roman"/>
                <w:b/>
                <w:sz w:val="26"/>
                <w:szCs w:val="26"/>
              </w:rPr>
              <w:t>II. Tiesību akta projekta ietekme uz sabiedrību, tautsaimniecības attīstību un administratīvo slogu</w:t>
            </w:r>
          </w:p>
        </w:tc>
      </w:tr>
      <w:tr w:rsidR="001832FA" w:rsidRPr="0010322E" w14:paraId="466055CC"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0AECFE2E" w14:textId="77777777" w:rsidR="001832FA" w:rsidRPr="0010322E" w:rsidRDefault="00D16901">
            <w:pPr>
              <w:jc w:val="center"/>
              <w:rPr>
                <w:sz w:val="26"/>
                <w:szCs w:val="26"/>
              </w:rPr>
            </w:pPr>
            <w:r w:rsidRPr="0010322E">
              <w:rPr>
                <w:sz w:val="26"/>
                <w:szCs w:val="26"/>
              </w:rPr>
              <w:t>1.</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40DFDEB6" w14:textId="77777777" w:rsidR="001832FA" w:rsidRPr="0010322E" w:rsidRDefault="00D16901">
            <w:pPr>
              <w:rPr>
                <w:sz w:val="26"/>
                <w:szCs w:val="26"/>
              </w:rPr>
            </w:pPr>
            <w:r w:rsidRPr="0010322E">
              <w:rPr>
                <w:sz w:val="26"/>
                <w:szCs w:val="26"/>
              </w:rPr>
              <w:t>Sabiedrības mērķgrupas,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14:paraId="676FC834" w14:textId="0A84E9BE" w:rsidR="001832FA" w:rsidRPr="0010322E" w:rsidRDefault="00C557FC">
            <w:pPr>
              <w:pStyle w:val="ListParagraph"/>
              <w:tabs>
                <w:tab w:val="left" w:pos="317"/>
              </w:tabs>
              <w:spacing w:before="60" w:after="60"/>
              <w:ind w:left="34"/>
              <w:contextualSpacing/>
              <w:jc w:val="both"/>
              <w:rPr>
                <w:rFonts w:ascii="Times New Roman" w:hAnsi="Times New Roman"/>
                <w:sz w:val="26"/>
                <w:szCs w:val="26"/>
              </w:rPr>
            </w:pPr>
            <w:bookmarkStart w:id="0" w:name="_GoBack"/>
            <w:r w:rsidRPr="0010322E">
              <w:rPr>
                <w:rFonts w:ascii="Times New Roman" w:hAnsi="Times New Roman"/>
                <w:sz w:val="26"/>
                <w:szCs w:val="26"/>
              </w:rPr>
              <w:t>Likum</w:t>
            </w:r>
            <w:r w:rsidR="00D16901" w:rsidRPr="0010322E">
              <w:rPr>
                <w:rFonts w:ascii="Times New Roman" w:hAnsi="Times New Roman"/>
                <w:sz w:val="26"/>
                <w:szCs w:val="26"/>
              </w:rPr>
              <w:t>projekta mērķa grupa ir</w:t>
            </w:r>
            <w:r w:rsidR="005D2E68">
              <w:rPr>
                <w:rFonts w:ascii="Times New Roman" w:hAnsi="Times New Roman"/>
                <w:sz w:val="26"/>
                <w:szCs w:val="26"/>
              </w:rPr>
              <w:t xml:space="preserve"> valsts pārvaldes iestādes, un nevalstiskās organizācijas, kas ir saistītas ar standartizācijas jautājumiem</w:t>
            </w:r>
            <w:bookmarkEnd w:id="0"/>
          </w:p>
        </w:tc>
      </w:tr>
      <w:tr w:rsidR="001832FA" w:rsidRPr="0010322E" w14:paraId="72BDBBC1"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8C843F4" w14:textId="77777777" w:rsidR="001832FA" w:rsidRPr="0010322E" w:rsidRDefault="00D16901">
            <w:pPr>
              <w:jc w:val="center"/>
              <w:rPr>
                <w:sz w:val="26"/>
                <w:szCs w:val="26"/>
              </w:rPr>
            </w:pPr>
            <w:r w:rsidRPr="0010322E">
              <w:rPr>
                <w:sz w:val="26"/>
                <w:szCs w:val="26"/>
              </w:rPr>
              <w:t>2.</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35E3E778" w14:textId="77777777" w:rsidR="001832FA" w:rsidRPr="0010322E" w:rsidRDefault="00D16901">
            <w:pPr>
              <w:rPr>
                <w:sz w:val="26"/>
                <w:szCs w:val="26"/>
              </w:rPr>
            </w:pPr>
            <w:r w:rsidRPr="0010322E">
              <w:rPr>
                <w:sz w:val="26"/>
                <w:szCs w:val="26"/>
              </w:rP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33BBF1" w14:textId="7327B336" w:rsidR="001832FA" w:rsidRPr="005A2DDF" w:rsidRDefault="005D2E68" w:rsidP="005A2DDF">
            <w:pPr>
              <w:tabs>
                <w:tab w:val="left" w:pos="317"/>
              </w:tabs>
              <w:spacing w:before="60" w:after="60"/>
              <w:contextualSpacing/>
              <w:jc w:val="both"/>
              <w:rPr>
                <w:sz w:val="26"/>
                <w:szCs w:val="26"/>
              </w:rPr>
            </w:pPr>
            <w:r>
              <w:rPr>
                <w:sz w:val="26"/>
                <w:szCs w:val="26"/>
              </w:rPr>
              <w:t>Valsts pārvaldes iestādēm, nevalstiskajām organizācijām un citām sabiedrības grupām</w:t>
            </w:r>
            <w:r w:rsidRPr="005D2E68">
              <w:rPr>
                <w:sz w:val="26"/>
                <w:szCs w:val="26"/>
              </w:rPr>
              <w:t xml:space="preserve"> </w:t>
            </w:r>
            <w:r>
              <w:rPr>
                <w:sz w:val="26"/>
                <w:szCs w:val="26"/>
              </w:rPr>
              <w:t>likum</w:t>
            </w:r>
            <w:r w:rsidRPr="005D2E68">
              <w:rPr>
                <w:sz w:val="26"/>
                <w:szCs w:val="26"/>
              </w:rPr>
              <w:t>projekta tiesiskais regulējums nemaina tiesības un pienākumus, kā arī veicamās darbības</w:t>
            </w:r>
          </w:p>
        </w:tc>
      </w:tr>
      <w:tr w:rsidR="001832FA" w:rsidRPr="0010322E" w14:paraId="1684CDB0"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3D8C596" w14:textId="77777777" w:rsidR="001832FA" w:rsidRPr="0010322E" w:rsidRDefault="00D16901">
            <w:pPr>
              <w:jc w:val="center"/>
              <w:rPr>
                <w:sz w:val="26"/>
                <w:szCs w:val="26"/>
              </w:rPr>
            </w:pPr>
            <w:r w:rsidRPr="0010322E">
              <w:rPr>
                <w:sz w:val="26"/>
                <w:szCs w:val="26"/>
              </w:rPr>
              <w:t>3.</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5E21009B" w14:textId="77777777" w:rsidR="001832FA" w:rsidRPr="0010322E" w:rsidRDefault="00D16901">
            <w:pPr>
              <w:rPr>
                <w:sz w:val="26"/>
                <w:szCs w:val="26"/>
              </w:rPr>
            </w:pPr>
            <w:r w:rsidRPr="0010322E">
              <w:rPr>
                <w:sz w:val="26"/>
                <w:szCs w:val="26"/>
              </w:rP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321108D" w14:textId="5FC61057" w:rsidR="001832FA" w:rsidRPr="0010322E" w:rsidRDefault="00C557FC">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r w:rsidR="00D16901" w:rsidRPr="0010322E">
              <w:rPr>
                <w:rFonts w:ascii="Times New Roman" w:hAnsi="Times New Roman"/>
                <w:sz w:val="26"/>
                <w:szCs w:val="26"/>
              </w:rPr>
              <w:t xml:space="preserve"> </w:t>
            </w:r>
          </w:p>
        </w:tc>
      </w:tr>
      <w:tr w:rsidR="00293A27" w:rsidRPr="0010322E" w14:paraId="438C4853"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102FA64E" w14:textId="7F5C3D5E" w:rsidR="00293A27" w:rsidRPr="0010322E" w:rsidRDefault="00293A27">
            <w:pPr>
              <w:jc w:val="center"/>
              <w:rPr>
                <w:sz w:val="26"/>
                <w:szCs w:val="26"/>
              </w:rPr>
            </w:pPr>
            <w:r w:rsidRPr="0010322E">
              <w:rPr>
                <w:sz w:val="26"/>
                <w:szCs w:val="26"/>
              </w:rPr>
              <w:t>4.</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0F0BAE4B" w14:textId="0061C6BE" w:rsidR="00293A27" w:rsidRPr="0010322E" w:rsidRDefault="00293A27">
            <w:pPr>
              <w:rPr>
                <w:sz w:val="26"/>
                <w:szCs w:val="26"/>
              </w:rPr>
            </w:pPr>
            <w:r w:rsidRPr="0010322E">
              <w:rPr>
                <w:sz w:val="26"/>
                <w:szCs w:val="26"/>
              </w:rPr>
              <w:t>Atbilstības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2A3050" w14:textId="0D5F481E" w:rsidR="00293A27" w:rsidRPr="0010322E" w:rsidRDefault="00293A27">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p>
        </w:tc>
      </w:tr>
      <w:tr w:rsidR="001832FA" w:rsidRPr="0010322E" w14:paraId="426EF8C0"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FD391F4" w14:textId="285E28A3" w:rsidR="001832FA" w:rsidRPr="0010322E" w:rsidRDefault="00293A27">
            <w:pPr>
              <w:jc w:val="center"/>
              <w:rPr>
                <w:sz w:val="26"/>
                <w:szCs w:val="26"/>
              </w:rPr>
            </w:pPr>
            <w:r w:rsidRPr="0010322E">
              <w:rPr>
                <w:sz w:val="26"/>
                <w:szCs w:val="26"/>
              </w:rPr>
              <w:t>5</w:t>
            </w:r>
            <w:r w:rsidR="00D16901" w:rsidRPr="0010322E">
              <w:rPr>
                <w:sz w:val="26"/>
                <w:szCs w:val="26"/>
              </w:rPr>
              <w:t>.</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7293469B" w14:textId="77777777" w:rsidR="001832FA" w:rsidRPr="0010322E" w:rsidRDefault="00D16901">
            <w:pPr>
              <w:rPr>
                <w:sz w:val="26"/>
                <w:szCs w:val="26"/>
              </w:rPr>
            </w:pPr>
            <w:r w:rsidRPr="0010322E">
              <w:rPr>
                <w:sz w:val="26"/>
                <w:szCs w:val="26"/>
              </w:rP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08AA03" w14:textId="6D428849" w:rsidR="001832FA" w:rsidRPr="00631E80" w:rsidRDefault="00D16901" w:rsidP="00631E80">
            <w:pPr>
              <w:tabs>
                <w:tab w:val="left" w:pos="317"/>
              </w:tabs>
              <w:spacing w:before="60" w:after="60"/>
              <w:contextualSpacing/>
              <w:jc w:val="both"/>
              <w:rPr>
                <w:sz w:val="26"/>
                <w:szCs w:val="26"/>
              </w:rPr>
            </w:pPr>
            <w:r w:rsidRPr="00631E80">
              <w:rPr>
                <w:sz w:val="26"/>
                <w:szCs w:val="26"/>
              </w:rPr>
              <w:t>Nav</w:t>
            </w:r>
          </w:p>
        </w:tc>
      </w:tr>
    </w:tbl>
    <w:p w14:paraId="7B81A146" w14:textId="1BD0CABE" w:rsidR="00A23E74" w:rsidRPr="0010322E" w:rsidRDefault="00A23E74" w:rsidP="00151DF3">
      <w:pPr>
        <w:ind w:left="720"/>
        <w:jc w:val="both"/>
        <w:rPr>
          <w:sz w:val="26"/>
          <w:szCs w:val="26"/>
        </w:rPr>
      </w:pPr>
    </w:p>
    <w:tbl>
      <w:tblPr>
        <w:tblStyle w:val="TableGrid"/>
        <w:tblW w:w="9062" w:type="dxa"/>
        <w:tblInd w:w="-5" w:type="dxa"/>
        <w:tblLook w:val="04A0" w:firstRow="1" w:lastRow="0" w:firstColumn="1" w:lastColumn="0" w:noHBand="0" w:noVBand="1"/>
      </w:tblPr>
      <w:tblGrid>
        <w:gridCol w:w="9062"/>
      </w:tblGrid>
      <w:tr w:rsidR="00A23E74" w:rsidRPr="0010322E" w14:paraId="3513C5A7" w14:textId="77777777" w:rsidTr="0053585D">
        <w:tc>
          <w:tcPr>
            <w:tcW w:w="9062" w:type="dxa"/>
          </w:tcPr>
          <w:p w14:paraId="2D97D6AF" w14:textId="28A46F07" w:rsidR="00A23E74" w:rsidRPr="0010322E" w:rsidRDefault="00A23E74" w:rsidP="00C31834">
            <w:pPr>
              <w:jc w:val="center"/>
              <w:rPr>
                <w:b/>
                <w:sz w:val="26"/>
                <w:szCs w:val="26"/>
              </w:rPr>
            </w:pPr>
            <w:r w:rsidRPr="0010322E">
              <w:rPr>
                <w:b/>
                <w:sz w:val="26"/>
                <w:szCs w:val="26"/>
              </w:rPr>
              <w:t>III. Tiesību akta projekta ietekme uz valsts budžetu un pašvaldību budžetiem</w:t>
            </w:r>
          </w:p>
        </w:tc>
      </w:tr>
      <w:tr w:rsidR="00A23E74" w:rsidRPr="0010322E" w14:paraId="52E64A44" w14:textId="77777777" w:rsidTr="0053585D">
        <w:tc>
          <w:tcPr>
            <w:tcW w:w="9062" w:type="dxa"/>
          </w:tcPr>
          <w:p w14:paraId="5292557C" w14:textId="77777777" w:rsidR="00A23E74" w:rsidRPr="0010322E" w:rsidRDefault="00A23E74" w:rsidP="00C31834">
            <w:pPr>
              <w:jc w:val="center"/>
              <w:rPr>
                <w:sz w:val="26"/>
                <w:szCs w:val="26"/>
              </w:rPr>
            </w:pPr>
            <w:r w:rsidRPr="0010322E">
              <w:rPr>
                <w:sz w:val="26"/>
                <w:szCs w:val="26"/>
              </w:rPr>
              <w:t>Projekts šo jomu neskar</w:t>
            </w:r>
          </w:p>
        </w:tc>
      </w:tr>
    </w:tbl>
    <w:p w14:paraId="6FEE989F" w14:textId="48D00DAE" w:rsidR="00655EED" w:rsidRPr="0010322E" w:rsidRDefault="00655EED" w:rsidP="00151DF3">
      <w:pPr>
        <w:ind w:left="720"/>
        <w:jc w:val="both"/>
        <w:rPr>
          <w:sz w:val="26"/>
          <w:szCs w:val="26"/>
        </w:rPr>
      </w:pPr>
    </w:p>
    <w:tbl>
      <w:tblPr>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499"/>
        <w:gridCol w:w="6124"/>
      </w:tblGrid>
      <w:tr w:rsidR="006D110C" w:rsidRPr="0010322E" w14:paraId="5A3F1727" w14:textId="77777777" w:rsidTr="0053585D">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F0712" w14:textId="77777777" w:rsidR="006D110C" w:rsidRPr="0010322E" w:rsidRDefault="006D110C">
            <w:pPr>
              <w:spacing w:line="293" w:lineRule="atLeast"/>
              <w:jc w:val="center"/>
              <w:rPr>
                <w:b/>
                <w:bCs/>
                <w:sz w:val="26"/>
                <w:szCs w:val="26"/>
              </w:rPr>
            </w:pPr>
            <w:r w:rsidRPr="0010322E">
              <w:rPr>
                <w:b/>
                <w:bCs/>
                <w:sz w:val="26"/>
                <w:szCs w:val="26"/>
              </w:rPr>
              <w:t>IV. Tiesību akta projekta ietekme uz spēkā esošo tiesību normu sistēmu</w:t>
            </w:r>
          </w:p>
        </w:tc>
      </w:tr>
      <w:tr w:rsidR="006D110C" w:rsidRPr="0010322E" w14:paraId="50FBE5C8"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4168164C" w14:textId="77777777" w:rsidR="006D110C" w:rsidRPr="0010322E" w:rsidRDefault="006D110C">
            <w:pPr>
              <w:rPr>
                <w:sz w:val="26"/>
                <w:szCs w:val="26"/>
              </w:rPr>
            </w:pPr>
            <w:r w:rsidRPr="0010322E">
              <w:rPr>
                <w:sz w:val="26"/>
                <w:szCs w:val="26"/>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12C475C" w14:textId="62FB8C54" w:rsidR="006D110C" w:rsidRPr="0010322E" w:rsidRDefault="00293A27">
            <w:pPr>
              <w:rPr>
                <w:sz w:val="26"/>
                <w:szCs w:val="26"/>
              </w:rPr>
            </w:pPr>
            <w:r w:rsidRPr="0010322E">
              <w:rPr>
                <w:sz w:val="26"/>
                <w:szCs w:val="26"/>
              </w:rPr>
              <w:t>S</w:t>
            </w:r>
            <w:r w:rsidR="006D110C" w:rsidRPr="0010322E">
              <w:rPr>
                <w:sz w:val="26"/>
                <w:szCs w:val="26"/>
              </w:rPr>
              <w:t>aistītie tiesību aktu projekti</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2ABA87E3" w14:textId="57151B75" w:rsidR="006D110C" w:rsidRPr="0010322E" w:rsidRDefault="00B029D1" w:rsidP="00030769">
            <w:pPr>
              <w:jc w:val="both"/>
              <w:rPr>
                <w:sz w:val="26"/>
                <w:szCs w:val="26"/>
              </w:rPr>
            </w:pPr>
            <w:r>
              <w:rPr>
                <w:sz w:val="26"/>
                <w:szCs w:val="26"/>
              </w:rPr>
              <w:t>Jāizstrādā Ministru kabineta noteikumu projekts, kurā tiks nozīmēta institūcija, kas pildīs nacionālās standartizācijas institūcijas funkcijas.</w:t>
            </w:r>
            <w:r w:rsidR="003C2BF6">
              <w:rPr>
                <w:sz w:val="26"/>
                <w:szCs w:val="26"/>
              </w:rPr>
              <w:t xml:space="preserve"> Vienlaikus tiks aktualizēts spēkā esošais Ministru kabineta rīkojum</w:t>
            </w:r>
            <w:r w:rsidR="00F6034D">
              <w:rPr>
                <w:sz w:val="26"/>
                <w:szCs w:val="26"/>
              </w:rPr>
              <w:t>s (</w:t>
            </w:r>
            <w:r w:rsidR="00F6034D" w:rsidRPr="00F6034D">
              <w:rPr>
                <w:sz w:val="26"/>
                <w:szCs w:val="26"/>
              </w:rPr>
              <w:t>Ministru kabineta</w:t>
            </w:r>
            <w:r w:rsidR="00F6034D">
              <w:rPr>
                <w:sz w:val="26"/>
                <w:szCs w:val="26"/>
              </w:rPr>
              <w:t xml:space="preserve"> </w:t>
            </w:r>
            <w:r w:rsidR="00F6034D" w:rsidRPr="00F6034D">
              <w:rPr>
                <w:sz w:val="26"/>
                <w:szCs w:val="26"/>
              </w:rPr>
              <w:t>2014.gada 25.novembra rīkojum</w:t>
            </w:r>
            <w:r w:rsidR="00F6034D">
              <w:rPr>
                <w:sz w:val="26"/>
                <w:szCs w:val="26"/>
              </w:rPr>
              <w:t>a</w:t>
            </w:r>
            <w:r w:rsidR="00F6034D" w:rsidRPr="00F6034D">
              <w:rPr>
                <w:sz w:val="26"/>
                <w:szCs w:val="26"/>
              </w:rPr>
              <w:t xml:space="preserve"> Nr.666 “Par Nacionālo standartizācijas padomi”</w:t>
            </w:r>
            <w:r w:rsidR="00F6034D">
              <w:rPr>
                <w:sz w:val="26"/>
                <w:szCs w:val="26"/>
              </w:rPr>
              <w:t>)</w:t>
            </w:r>
            <w:r w:rsidR="003C2BF6">
              <w:rPr>
                <w:sz w:val="26"/>
                <w:szCs w:val="26"/>
              </w:rPr>
              <w:t xml:space="preserve"> par Nacionālās standartizācijas padomes nolikumu un tiku izstrādāts Ekonomikas ministrijas rīkojums par Nacionālās standartizācijas padomes sastāvu.</w:t>
            </w:r>
          </w:p>
        </w:tc>
      </w:tr>
      <w:tr w:rsidR="006D110C" w:rsidRPr="0010322E" w14:paraId="02149F0A"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AAB0D15" w14:textId="77777777" w:rsidR="006D110C" w:rsidRPr="0010322E" w:rsidRDefault="006D110C">
            <w:pPr>
              <w:rPr>
                <w:sz w:val="26"/>
                <w:szCs w:val="26"/>
              </w:rPr>
            </w:pPr>
            <w:r w:rsidRPr="0010322E">
              <w:rPr>
                <w:sz w:val="26"/>
                <w:szCs w:val="26"/>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F21E041" w14:textId="77777777" w:rsidR="006D110C" w:rsidRPr="0010322E" w:rsidRDefault="006D110C">
            <w:pPr>
              <w:rPr>
                <w:sz w:val="26"/>
                <w:szCs w:val="26"/>
              </w:rPr>
            </w:pPr>
            <w:r w:rsidRPr="0010322E">
              <w:rPr>
                <w:sz w:val="26"/>
                <w:szCs w:val="26"/>
              </w:rPr>
              <w:t>Atbildīgā institūcija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11A50099" w14:textId="7A38BAE1" w:rsidR="006D110C" w:rsidRPr="0010322E" w:rsidRDefault="00B37266">
            <w:pPr>
              <w:rPr>
                <w:sz w:val="26"/>
                <w:szCs w:val="26"/>
              </w:rPr>
            </w:pPr>
            <w:r w:rsidRPr="0010322E">
              <w:rPr>
                <w:sz w:val="26"/>
                <w:szCs w:val="26"/>
              </w:rPr>
              <w:t>Ekonomikas ministrija</w:t>
            </w:r>
          </w:p>
        </w:tc>
      </w:tr>
      <w:tr w:rsidR="006D110C" w:rsidRPr="0010322E" w14:paraId="41DC6BBE"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C25F19C" w14:textId="77777777" w:rsidR="006D110C" w:rsidRPr="0010322E" w:rsidRDefault="006D110C">
            <w:pPr>
              <w:rPr>
                <w:sz w:val="26"/>
                <w:szCs w:val="26"/>
              </w:rPr>
            </w:pPr>
            <w:r w:rsidRPr="0010322E">
              <w:rPr>
                <w:sz w:val="26"/>
                <w:szCs w:val="26"/>
              </w:rPr>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6B2E99C" w14:textId="77777777" w:rsidR="006D110C" w:rsidRPr="0010322E" w:rsidRDefault="006D110C">
            <w:pPr>
              <w:rPr>
                <w:sz w:val="26"/>
                <w:szCs w:val="26"/>
              </w:rPr>
            </w:pPr>
            <w:r w:rsidRPr="0010322E">
              <w:rPr>
                <w:sz w:val="26"/>
                <w:szCs w:val="26"/>
              </w:rPr>
              <w:t>Cita informācija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01D77627" w14:textId="02218DDA" w:rsidR="006D110C" w:rsidRPr="0010322E" w:rsidRDefault="00B37266">
            <w:pPr>
              <w:spacing w:line="293" w:lineRule="atLeast"/>
              <w:rPr>
                <w:sz w:val="26"/>
                <w:szCs w:val="26"/>
              </w:rPr>
            </w:pPr>
            <w:r w:rsidRPr="0010322E">
              <w:rPr>
                <w:sz w:val="26"/>
                <w:szCs w:val="26"/>
              </w:rPr>
              <w:t>Nav</w:t>
            </w:r>
          </w:p>
        </w:tc>
      </w:tr>
    </w:tbl>
    <w:p w14:paraId="70A9950A" w14:textId="77777777" w:rsidR="00A23E74" w:rsidRPr="0010322E" w:rsidRDefault="00A23E74" w:rsidP="00151DF3">
      <w:pPr>
        <w:ind w:left="720"/>
        <w:jc w:val="both"/>
        <w:rPr>
          <w:sz w:val="26"/>
          <w:szCs w:val="26"/>
        </w:rPr>
      </w:pPr>
    </w:p>
    <w:tbl>
      <w:tblPr>
        <w:tblStyle w:val="TableGrid"/>
        <w:tblW w:w="9062" w:type="dxa"/>
        <w:tblInd w:w="-5" w:type="dxa"/>
        <w:tblLook w:val="04A0" w:firstRow="1" w:lastRow="0" w:firstColumn="1" w:lastColumn="0" w:noHBand="0" w:noVBand="1"/>
      </w:tblPr>
      <w:tblGrid>
        <w:gridCol w:w="9062"/>
      </w:tblGrid>
      <w:tr w:rsidR="00F40EC6" w:rsidRPr="0010322E" w14:paraId="5C6102D8" w14:textId="77777777" w:rsidTr="0053585D">
        <w:tc>
          <w:tcPr>
            <w:tcW w:w="9062" w:type="dxa"/>
          </w:tcPr>
          <w:p w14:paraId="598B9F09" w14:textId="27E81B0A" w:rsidR="00F40EC6" w:rsidRPr="0010322E" w:rsidRDefault="00F40EC6" w:rsidP="00A23E74">
            <w:pPr>
              <w:jc w:val="center"/>
              <w:rPr>
                <w:b/>
                <w:sz w:val="26"/>
                <w:szCs w:val="26"/>
              </w:rPr>
            </w:pPr>
            <w:r w:rsidRPr="0010322E">
              <w:rPr>
                <w:b/>
                <w:sz w:val="26"/>
                <w:szCs w:val="26"/>
              </w:rPr>
              <w:t>V. Tiesību akta projekta atbilstība Latvijas Republikas starptautiskajām saistībām</w:t>
            </w:r>
          </w:p>
        </w:tc>
      </w:tr>
      <w:tr w:rsidR="00F40EC6" w:rsidRPr="0010322E" w14:paraId="594EC645" w14:textId="77777777" w:rsidTr="0053585D">
        <w:tc>
          <w:tcPr>
            <w:tcW w:w="9062" w:type="dxa"/>
          </w:tcPr>
          <w:p w14:paraId="10B70BDD" w14:textId="55AADCC2" w:rsidR="00F40EC6" w:rsidRPr="0010322E" w:rsidRDefault="00F40EC6" w:rsidP="00A23E74">
            <w:pPr>
              <w:jc w:val="center"/>
              <w:rPr>
                <w:sz w:val="26"/>
                <w:szCs w:val="26"/>
              </w:rPr>
            </w:pPr>
            <w:r w:rsidRPr="0010322E">
              <w:rPr>
                <w:sz w:val="26"/>
                <w:szCs w:val="26"/>
              </w:rPr>
              <w:t>Projekts šo jomu neskar</w:t>
            </w:r>
          </w:p>
        </w:tc>
      </w:tr>
    </w:tbl>
    <w:p w14:paraId="58FA24EF" w14:textId="5983BC0A" w:rsidR="00D5175B" w:rsidRDefault="00D5175B" w:rsidP="00151DF3">
      <w:pPr>
        <w:ind w:left="720"/>
        <w:rPr>
          <w:sz w:val="26"/>
          <w:szCs w:val="26"/>
        </w:rPr>
      </w:pPr>
    </w:p>
    <w:p w14:paraId="2DD1B2A9" w14:textId="60BFCDDE" w:rsidR="0043668F" w:rsidRDefault="0043668F" w:rsidP="00151DF3">
      <w:pPr>
        <w:ind w:left="720"/>
        <w:rPr>
          <w:sz w:val="26"/>
          <w:szCs w:val="26"/>
        </w:rPr>
      </w:pPr>
    </w:p>
    <w:p w14:paraId="39499AA3" w14:textId="77777777" w:rsidR="0043668F" w:rsidRPr="0010322E" w:rsidRDefault="0043668F" w:rsidP="00151DF3">
      <w:pPr>
        <w:ind w:left="720"/>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731"/>
        <w:gridCol w:w="5915"/>
      </w:tblGrid>
      <w:tr w:rsidR="001832FA" w:rsidRPr="0010322E" w14:paraId="37C01228" w14:textId="77777777" w:rsidTr="00662B23">
        <w:trPr>
          <w:trHeight w:val="421"/>
        </w:trPr>
        <w:tc>
          <w:tcPr>
            <w:tcW w:w="9072" w:type="dxa"/>
            <w:gridSpan w:val="3"/>
            <w:vAlign w:val="center"/>
          </w:tcPr>
          <w:p w14:paraId="3948C526" w14:textId="77777777" w:rsidR="001832FA" w:rsidRPr="0010322E" w:rsidRDefault="00D16901">
            <w:pPr>
              <w:pStyle w:val="naisnod"/>
              <w:ind w:left="57" w:right="57"/>
              <w:jc w:val="center"/>
              <w:rPr>
                <w:rFonts w:ascii="Times New Roman" w:hAnsi="Times New Roman"/>
                <w:sz w:val="26"/>
                <w:szCs w:val="26"/>
              </w:rPr>
            </w:pPr>
            <w:r w:rsidRPr="0010322E">
              <w:rPr>
                <w:rFonts w:ascii="Times New Roman" w:hAnsi="Times New Roman"/>
                <w:b/>
                <w:sz w:val="26"/>
                <w:szCs w:val="26"/>
              </w:rPr>
              <w:t>VI. Sabiedrības līdzdalība un komunikācijas aktivitātes</w:t>
            </w:r>
          </w:p>
        </w:tc>
      </w:tr>
      <w:tr w:rsidR="001832FA" w:rsidRPr="0010322E" w14:paraId="2EDC4CBF" w14:textId="77777777" w:rsidTr="0010322E">
        <w:trPr>
          <w:trHeight w:val="553"/>
        </w:trPr>
        <w:tc>
          <w:tcPr>
            <w:tcW w:w="426" w:type="dxa"/>
          </w:tcPr>
          <w:p w14:paraId="5E8549B8" w14:textId="77777777" w:rsidR="001832FA" w:rsidRPr="0010322E" w:rsidRDefault="00D16901">
            <w:pPr>
              <w:ind w:left="57" w:right="57"/>
              <w:jc w:val="both"/>
              <w:rPr>
                <w:sz w:val="26"/>
                <w:szCs w:val="26"/>
              </w:rPr>
            </w:pPr>
            <w:r w:rsidRPr="0010322E">
              <w:rPr>
                <w:sz w:val="26"/>
                <w:szCs w:val="26"/>
              </w:rPr>
              <w:lastRenderedPageBreak/>
              <w:t>1.</w:t>
            </w:r>
          </w:p>
        </w:tc>
        <w:tc>
          <w:tcPr>
            <w:tcW w:w="2731" w:type="dxa"/>
          </w:tcPr>
          <w:p w14:paraId="3A69F2BC" w14:textId="77777777" w:rsidR="001832FA" w:rsidRPr="0010322E" w:rsidRDefault="00D16901">
            <w:pPr>
              <w:tabs>
                <w:tab w:val="left" w:pos="170"/>
              </w:tabs>
              <w:ind w:left="57" w:right="57"/>
              <w:rPr>
                <w:sz w:val="26"/>
                <w:szCs w:val="26"/>
              </w:rPr>
            </w:pPr>
            <w:r w:rsidRPr="0010322E">
              <w:rPr>
                <w:sz w:val="26"/>
                <w:szCs w:val="26"/>
              </w:rPr>
              <w:t>Plānotās sabiedrības līdzdalības un komunikācijas aktivitātes saistībā ar projektu</w:t>
            </w:r>
          </w:p>
        </w:tc>
        <w:tc>
          <w:tcPr>
            <w:tcW w:w="5915" w:type="dxa"/>
          </w:tcPr>
          <w:p w14:paraId="0D91D670" w14:textId="1D6CD0BA" w:rsidR="001832FA" w:rsidRPr="0010322E" w:rsidRDefault="00E57BBE">
            <w:pPr>
              <w:shd w:val="clear" w:color="000000" w:fill="FFFFFF"/>
              <w:spacing w:after="120"/>
              <w:ind w:left="57" w:right="113"/>
              <w:jc w:val="both"/>
              <w:rPr>
                <w:sz w:val="26"/>
                <w:szCs w:val="26"/>
              </w:rPr>
            </w:pPr>
            <w:bookmarkStart w:id="1" w:name="p61"/>
            <w:bookmarkEnd w:id="1"/>
            <w:r w:rsidRPr="00E57BBE">
              <w:rPr>
                <w:sz w:val="26"/>
                <w:szCs w:val="26"/>
                <w:shd w:val="clear" w:color="000000" w:fill="FFFFFF"/>
              </w:rPr>
              <w:t xml:space="preserve">Sabiedrības līdzdalība nodrošināta, ievietojot likumprojektu publiskai apspriešanai </w:t>
            </w:r>
            <w:r>
              <w:rPr>
                <w:sz w:val="26"/>
                <w:szCs w:val="26"/>
                <w:shd w:val="clear" w:color="000000" w:fill="FFFFFF"/>
              </w:rPr>
              <w:t>Ekonomikas</w:t>
            </w:r>
            <w:r w:rsidRPr="00E57BBE">
              <w:rPr>
                <w:sz w:val="26"/>
                <w:szCs w:val="26"/>
                <w:shd w:val="clear" w:color="000000" w:fill="FFFFFF"/>
              </w:rPr>
              <w:t xml:space="preserve"> ministrijas tīmekļvietnē www.</w:t>
            </w:r>
            <w:r>
              <w:rPr>
                <w:sz w:val="26"/>
                <w:szCs w:val="26"/>
                <w:shd w:val="clear" w:color="000000" w:fill="FFFFFF"/>
              </w:rPr>
              <w:t>e</w:t>
            </w:r>
            <w:r w:rsidRPr="00E57BBE">
              <w:rPr>
                <w:sz w:val="26"/>
                <w:szCs w:val="26"/>
                <w:shd w:val="clear" w:color="000000" w:fill="FFFFFF"/>
              </w:rPr>
              <w:t>m.gov.lv sadaļā “Sabiedriskā apspriešana”</w:t>
            </w:r>
          </w:p>
        </w:tc>
      </w:tr>
      <w:tr w:rsidR="008C4932" w:rsidRPr="0010322E" w14:paraId="33975480" w14:textId="77777777" w:rsidTr="0010322E">
        <w:trPr>
          <w:trHeight w:val="339"/>
        </w:trPr>
        <w:tc>
          <w:tcPr>
            <w:tcW w:w="426" w:type="dxa"/>
          </w:tcPr>
          <w:p w14:paraId="54790EDB" w14:textId="77777777" w:rsidR="008C4932" w:rsidRPr="0010322E" w:rsidRDefault="008C4932" w:rsidP="008C4932">
            <w:pPr>
              <w:ind w:left="57" w:right="57"/>
              <w:jc w:val="both"/>
              <w:rPr>
                <w:sz w:val="26"/>
                <w:szCs w:val="26"/>
              </w:rPr>
            </w:pPr>
            <w:r w:rsidRPr="0010322E">
              <w:rPr>
                <w:sz w:val="26"/>
                <w:szCs w:val="26"/>
              </w:rPr>
              <w:t>2.</w:t>
            </w:r>
          </w:p>
        </w:tc>
        <w:tc>
          <w:tcPr>
            <w:tcW w:w="2731" w:type="dxa"/>
          </w:tcPr>
          <w:p w14:paraId="433BCEBC" w14:textId="77777777" w:rsidR="008C4932" w:rsidRPr="0010322E" w:rsidRDefault="008C4932" w:rsidP="008C4932">
            <w:pPr>
              <w:ind w:left="57" w:right="57"/>
              <w:rPr>
                <w:sz w:val="26"/>
                <w:szCs w:val="26"/>
              </w:rPr>
            </w:pPr>
            <w:r w:rsidRPr="0010322E">
              <w:rPr>
                <w:sz w:val="26"/>
                <w:szCs w:val="26"/>
              </w:rPr>
              <w:t>Sabiedrības līdzdalība projekta izstrādē</w:t>
            </w:r>
          </w:p>
        </w:tc>
        <w:tc>
          <w:tcPr>
            <w:tcW w:w="5915" w:type="dxa"/>
          </w:tcPr>
          <w:p w14:paraId="6876E0B4" w14:textId="55824FB4" w:rsidR="008C4932" w:rsidRPr="0010322E" w:rsidRDefault="00B83918" w:rsidP="008C4932">
            <w:pPr>
              <w:shd w:val="clear" w:color="000000" w:fill="FFFFFF"/>
              <w:spacing w:after="120"/>
              <w:ind w:left="57" w:right="113"/>
              <w:jc w:val="both"/>
              <w:rPr>
                <w:sz w:val="26"/>
                <w:szCs w:val="26"/>
                <w:shd w:val="clear" w:color="000000" w:fill="FFFFFF"/>
              </w:rPr>
            </w:pPr>
            <w:bookmarkStart w:id="2" w:name="p62"/>
            <w:bookmarkEnd w:id="2"/>
            <w:r w:rsidRPr="00E57BBE">
              <w:rPr>
                <w:sz w:val="26"/>
                <w:szCs w:val="26"/>
                <w:shd w:val="clear" w:color="000000" w:fill="FFFFFF"/>
              </w:rPr>
              <w:t xml:space="preserve">Sabiedrības līdzdalība nodrošināta, ievietojot likumprojektu publiskai apspriešanai </w:t>
            </w:r>
            <w:r>
              <w:rPr>
                <w:sz w:val="26"/>
                <w:szCs w:val="26"/>
                <w:shd w:val="clear" w:color="000000" w:fill="FFFFFF"/>
              </w:rPr>
              <w:t>Ekonomikas</w:t>
            </w:r>
            <w:r w:rsidRPr="00E57BBE">
              <w:rPr>
                <w:sz w:val="26"/>
                <w:szCs w:val="26"/>
                <w:shd w:val="clear" w:color="000000" w:fill="FFFFFF"/>
              </w:rPr>
              <w:t xml:space="preserve"> ministrijas tīmekļvietnē www.</w:t>
            </w:r>
            <w:r>
              <w:rPr>
                <w:sz w:val="26"/>
                <w:szCs w:val="26"/>
                <w:shd w:val="clear" w:color="000000" w:fill="FFFFFF"/>
              </w:rPr>
              <w:t>e</w:t>
            </w:r>
            <w:r w:rsidRPr="00E57BBE">
              <w:rPr>
                <w:sz w:val="26"/>
                <w:szCs w:val="26"/>
                <w:shd w:val="clear" w:color="000000" w:fill="FFFFFF"/>
              </w:rPr>
              <w:t>m.gov.lv sadaļā “Sabiedriskā apspriešana”</w:t>
            </w:r>
          </w:p>
        </w:tc>
      </w:tr>
      <w:tr w:rsidR="00C557FC" w:rsidRPr="0010322E" w14:paraId="203766B4" w14:textId="77777777" w:rsidTr="0010322E">
        <w:trPr>
          <w:trHeight w:val="476"/>
        </w:trPr>
        <w:tc>
          <w:tcPr>
            <w:tcW w:w="426" w:type="dxa"/>
          </w:tcPr>
          <w:p w14:paraId="4F9176AF" w14:textId="77777777" w:rsidR="00C557FC" w:rsidRPr="0010322E" w:rsidRDefault="00C557FC" w:rsidP="00C557FC">
            <w:pPr>
              <w:ind w:left="57" w:right="57"/>
              <w:jc w:val="both"/>
              <w:rPr>
                <w:sz w:val="26"/>
                <w:szCs w:val="26"/>
              </w:rPr>
            </w:pPr>
            <w:r w:rsidRPr="0010322E">
              <w:rPr>
                <w:sz w:val="26"/>
                <w:szCs w:val="26"/>
              </w:rPr>
              <w:t>3.</w:t>
            </w:r>
          </w:p>
        </w:tc>
        <w:tc>
          <w:tcPr>
            <w:tcW w:w="2731" w:type="dxa"/>
          </w:tcPr>
          <w:p w14:paraId="1A82FCA8" w14:textId="77777777" w:rsidR="00C557FC" w:rsidRPr="0010322E" w:rsidRDefault="00C557FC" w:rsidP="00C557FC">
            <w:pPr>
              <w:ind w:left="57" w:right="57"/>
              <w:rPr>
                <w:sz w:val="26"/>
                <w:szCs w:val="26"/>
              </w:rPr>
            </w:pPr>
            <w:r w:rsidRPr="0010322E">
              <w:rPr>
                <w:sz w:val="26"/>
                <w:szCs w:val="26"/>
              </w:rPr>
              <w:t>Sabiedrības līdzdalības rezultāti</w:t>
            </w:r>
          </w:p>
        </w:tc>
        <w:tc>
          <w:tcPr>
            <w:tcW w:w="5915" w:type="dxa"/>
          </w:tcPr>
          <w:p w14:paraId="2E236DC8" w14:textId="57BE22A6" w:rsidR="00C557FC" w:rsidRPr="0010322E" w:rsidRDefault="006C13EE" w:rsidP="00A81913">
            <w:pPr>
              <w:jc w:val="both"/>
              <w:rPr>
                <w:sz w:val="26"/>
                <w:szCs w:val="26"/>
                <w:shd w:val="clear" w:color="000000" w:fill="FFFFFF"/>
              </w:rPr>
            </w:pPr>
            <w:r>
              <w:rPr>
                <w:sz w:val="26"/>
                <w:szCs w:val="26"/>
                <w:shd w:val="clear" w:color="000000" w:fill="FFFFFF"/>
              </w:rPr>
              <w:t xml:space="preserve"> </w:t>
            </w:r>
            <w:r w:rsidRPr="006C13EE">
              <w:rPr>
                <w:sz w:val="26"/>
                <w:szCs w:val="26"/>
                <w:shd w:val="clear" w:color="000000" w:fill="FFFFFF"/>
              </w:rPr>
              <w:t xml:space="preserve">No sabiedrības komentāri un viedokļi </w:t>
            </w:r>
            <w:r>
              <w:rPr>
                <w:sz w:val="26"/>
                <w:szCs w:val="26"/>
                <w:shd w:val="clear" w:color="000000" w:fill="FFFFFF"/>
              </w:rPr>
              <w:t xml:space="preserve">netika </w:t>
            </w:r>
            <w:r w:rsidRPr="006C13EE">
              <w:rPr>
                <w:sz w:val="26"/>
                <w:szCs w:val="26"/>
                <w:shd w:val="clear" w:color="000000" w:fill="FFFFFF"/>
              </w:rPr>
              <w:t>saņemti</w:t>
            </w:r>
            <w:r>
              <w:rPr>
                <w:sz w:val="26"/>
                <w:szCs w:val="26"/>
                <w:shd w:val="clear" w:color="000000" w:fill="FFFFFF"/>
              </w:rPr>
              <w:t xml:space="preserve">, savukārt </w:t>
            </w:r>
            <w:r w:rsidR="00A81913">
              <w:rPr>
                <w:sz w:val="26"/>
                <w:szCs w:val="26"/>
                <w:shd w:val="clear" w:color="000000" w:fill="FFFFFF"/>
              </w:rPr>
              <w:t xml:space="preserve">sabiedrības līdzdalības ietvaros izteiktie </w:t>
            </w:r>
            <w:r>
              <w:rPr>
                <w:sz w:val="26"/>
                <w:szCs w:val="26"/>
                <w:shd w:val="clear" w:color="000000" w:fill="FFFFFF"/>
              </w:rPr>
              <w:t xml:space="preserve">valsts pārvaldes </w:t>
            </w:r>
            <w:r w:rsidR="00A81913">
              <w:rPr>
                <w:sz w:val="26"/>
                <w:szCs w:val="26"/>
                <w:shd w:val="clear" w:color="000000" w:fill="FFFFFF"/>
              </w:rPr>
              <w:t>institūciju priekšlikumi</w:t>
            </w:r>
            <w:r>
              <w:rPr>
                <w:sz w:val="26"/>
                <w:szCs w:val="26"/>
                <w:shd w:val="clear" w:color="000000" w:fill="FFFFFF"/>
              </w:rPr>
              <w:t xml:space="preserve"> tika izvērtēti un </w:t>
            </w:r>
            <w:r w:rsidR="00A81913">
              <w:rPr>
                <w:sz w:val="26"/>
                <w:szCs w:val="26"/>
                <w:shd w:val="clear" w:color="000000" w:fill="FFFFFF"/>
              </w:rPr>
              <w:t xml:space="preserve">iespēju robežās </w:t>
            </w:r>
            <w:r>
              <w:rPr>
                <w:sz w:val="26"/>
                <w:szCs w:val="26"/>
                <w:shd w:val="clear" w:color="000000" w:fill="FFFFFF"/>
              </w:rPr>
              <w:t xml:space="preserve">tika </w:t>
            </w:r>
            <w:r w:rsidR="00A81913">
              <w:rPr>
                <w:sz w:val="26"/>
                <w:szCs w:val="26"/>
                <w:shd w:val="clear" w:color="000000" w:fill="FFFFFF"/>
              </w:rPr>
              <w:t>ņemti vērā precizējot likumprojektu</w:t>
            </w:r>
            <w:r w:rsidR="0043668F">
              <w:rPr>
                <w:sz w:val="26"/>
                <w:szCs w:val="26"/>
                <w:shd w:val="clear" w:color="000000" w:fill="FFFFFF"/>
              </w:rPr>
              <w:t>.</w:t>
            </w:r>
          </w:p>
        </w:tc>
      </w:tr>
      <w:tr w:rsidR="00C557FC" w:rsidRPr="0010322E" w14:paraId="28FD52C4" w14:textId="77777777" w:rsidTr="0010322E">
        <w:trPr>
          <w:trHeight w:val="205"/>
        </w:trPr>
        <w:tc>
          <w:tcPr>
            <w:tcW w:w="426" w:type="dxa"/>
          </w:tcPr>
          <w:p w14:paraId="086BC117" w14:textId="77777777" w:rsidR="00C557FC" w:rsidRPr="0010322E" w:rsidRDefault="00C557FC" w:rsidP="00C557FC">
            <w:pPr>
              <w:ind w:left="57" w:right="57"/>
              <w:jc w:val="both"/>
              <w:rPr>
                <w:sz w:val="26"/>
                <w:szCs w:val="26"/>
              </w:rPr>
            </w:pPr>
            <w:r w:rsidRPr="0010322E">
              <w:rPr>
                <w:sz w:val="26"/>
                <w:szCs w:val="26"/>
              </w:rPr>
              <w:t>4.</w:t>
            </w:r>
          </w:p>
        </w:tc>
        <w:tc>
          <w:tcPr>
            <w:tcW w:w="2731" w:type="dxa"/>
          </w:tcPr>
          <w:p w14:paraId="28DB3D97" w14:textId="77777777" w:rsidR="00C557FC" w:rsidRPr="0010322E" w:rsidRDefault="00C557FC" w:rsidP="00C557FC">
            <w:pPr>
              <w:ind w:left="57" w:right="57"/>
              <w:rPr>
                <w:sz w:val="26"/>
                <w:szCs w:val="26"/>
              </w:rPr>
            </w:pPr>
            <w:r w:rsidRPr="0010322E">
              <w:rPr>
                <w:sz w:val="26"/>
                <w:szCs w:val="26"/>
              </w:rPr>
              <w:t>Cita informācija</w:t>
            </w:r>
          </w:p>
        </w:tc>
        <w:tc>
          <w:tcPr>
            <w:tcW w:w="5915" w:type="dxa"/>
          </w:tcPr>
          <w:p w14:paraId="7DD6801A" w14:textId="75663667" w:rsidR="00C557FC" w:rsidRPr="0010322E" w:rsidRDefault="00C557FC" w:rsidP="00C557FC">
            <w:pPr>
              <w:ind w:left="57" w:right="113"/>
              <w:jc w:val="both"/>
              <w:rPr>
                <w:sz w:val="26"/>
                <w:szCs w:val="26"/>
              </w:rPr>
            </w:pPr>
            <w:r w:rsidRPr="0010322E">
              <w:rPr>
                <w:sz w:val="26"/>
                <w:szCs w:val="26"/>
              </w:rPr>
              <w:t>Nav</w:t>
            </w:r>
          </w:p>
        </w:tc>
      </w:tr>
    </w:tbl>
    <w:p w14:paraId="195D03A5" w14:textId="42CDFE8B" w:rsidR="001832FA" w:rsidRDefault="001832FA" w:rsidP="00151DF3">
      <w:pPr>
        <w:ind w:left="720"/>
        <w:jc w:val="both"/>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5901"/>
      </w:tblGrid>
      <w:tr w:rsidR="001832FA" w:rsidRPr="0010322E" w14:paraId="1FD26470" w14:textId="77777777" w:rsidTr="00662B23">
        <w:trPr>
          <w:trHeight w:val="421"/>
        </w:trPr>
        <w:tc>
          <w:tcPr>
            <w:tcW w:w="9072" w:type="dxa"/>
            <w:gridSpan w:val="3"/>
            <w:vAlign w:val="center"/>
          </w:tcPr>
          <w:p w14:paraId="59835EA2" w14:textId="77777777" w:rsidR="001832FA" w:rsidRPr="0010322E" w:rsidRDefault="00D16901">
            <w:pPr>
              <w:pStyle w:val="naisnod"/>
              <w:ind w:left="57" w:right="57"/>
              <w:jc w:val="center"/>
              <w:rPr>
                <w:rFonts w:ascii="Times New Roman" w:hAnsi="Times New Roman"/>
                <w:sz w:val="26"/>
                <w:szCs w:val="26"/>
              </w:rPr>
            </w:pPr>
            <w:r w:rsidRPr="0010322E">
              <w:rPr>
                <w:rFonts w:ascii="Times New Roman" w:hAnsi="Times New Roman"/>
                <w:b/>
                <w:sz w:val="26"/>
                <w:szCs w:val="26"/>
              </w:rPr>
              <w:t>VII. Tiesību akta projekta izpildes nodrošināšana un tās ietekme uz institūcijām</w:t>
            </w:r>
          </w:p>
        </w:tc>
      </w:tr>
      <w:tr w:rsidR="001832FA" w:rsidRPr="0010322E" w14:paraId="437F39B1" w14:textId="77777777" w:rsidTr="00662B23">
        <w:trPr>
          <w:trHeight w:val="553"/>
        </w:trPr>
        <w:tc>
          <w:tcPr>
            <w:tcW w:w="333" w:type="dxa"/>
          </w:tcPr>
          <w:p w14:paraId="6563F2A1" w14:textId="77777777" w:rsidR="001832FA" w:rsidRPr="0010322E" w:rsidRDefault="00D16901">
            <w:pPr>
              <w:ind w:left="57" w:right="57"/>
              <w:jc w:val="both"/>
              <w:rPr>
                <w:sz w:val="26"/>
                <w:szCs w:val="26"/>
              </w:rPr>
            </w:pPr>
            <w:r w:rsidRPr="0010322E">
              <w:rPr>
                <w:sz w:val="26"/>
                <w:szCs w:val="26"/>
              </w:rPr>
              <w:t>1.</w:t>
            </w:r>
          </w:p>
        </w:tc>
        <w:tc>
          <w:tcPr>
            <w:tcW w:w="2838" w:type="dxa"/>
          </w:tcPr>
          <w:p w14:paraId="465FF171" w14:textId="77777777" w:rsidR="001832FA" w:rsidRPr="0010322E" w:rsidRDefault="00D16901">
            <w:pPr>
              <w:ind w:left="57" w:right="57"/>
              <w:rPr>
                <w:sz w:val="26"/>
                <w:szCs w:val="26"/>
              </w:rPr>
            </w:pPr>
            <w:r w:rsidRPr="0010322E">
              <w:rPr>
                <w:sz w:val="26"/>
                <w:szCs w:val="26"/>
              </w:rPr>
              <w:t>Projekta izpildē iesaistītās institūcijas</w:t>
            </w:r>
          </w:p>
        </w:tc>
        <w:tc>
          <w:tcPr>
            <w:tcW w:w="5901" w:type="dxa"/>
          </w:tcPr>
          <w:p w14:paraId="69BE458E" w14:textId="170B2B4A" w:rsidR="001832FA" w:rsidRPr="0010322E" w:rsidRDefault="00EF366B">
            <w:pPr>
              <w:shd w:val="clear" w:color="000000" w:fill="FFFFFF"/>
              <w:ind w:left="57" w:right="113"/>
              <w:jc w:val="both"/>
              <w:rPr>
                <w:sz w:val="26"/>
                <w:szCs w:val="26"/>
              </w:rPr>
            </w:pPr>
            <w:r w:rsidRPr="00EF366B">
              <w:rPr>
                <w:sz w:val="26"/>
                <w:szCs w:val="26"/>
              </w:rPr>
              <w:t>Ekonomikas ministrija, Nacionālā standartizācijas institūcija – SIA “Latvijas standarts”</w:t>
            </w:r>
          </w:p>
        </w:tc>
      </w:tr>
      <w:tr w:rsidR="001832FA" w:rsidRPr="0010322E" w14:paraId="286D8237" w14:textId="77777777" w:rsidTr="00662B23">
        <w:trPr>
          <w:trHeight w:val="339"/>
        </w:trPr>
        <w:tc>
          <w:tcPr>
            <w:tcW w:w="333" w:type="dxa"/>
          </w:tcPr>
          <w:p w14:paraId="02D524BB" w14:textId="77777777" w:rsidR="001832FA" w:rsidRPr="0010322E" w:rsidRDefault="00D16901">
            <w:pPr>
              <w:ind w:left="57" w:right="57"/>
              <w:jc w:val="both"/>
              <w:rPr>
                <w:sz w:val="26"/>
                <w:szCs w:val="26"/>
              </w:rPr>
            </w:pPr>
            <w:r w:rsidRPr="0010322E">
              <w:rPr>
                <w:sz w:val="26"/>
                <w:szCs w:val="26"/>
              </w:rPr>
              <w:t>2.</w:t>
            </w:r>
          </w:p>
        </w:tc>
        <w:tc>
          <w:tcPr>
            <w:tcW w:w="2838" w:type="dxa"/>
          </w:tcPr>
          <w:p w14:paraId="45EEBCDA" w14:textId="77777777" w:rsidR="001832FA" w:rsidRPr="0010322E" w:rsidRDefault="00D16901">
            <w:pPr>
              <w:ind w:left="57" w:right="57"/>
              <w:rPr>
                <w:sz w:val="26"/>
                <w:szCs w:val="26"/>
              </w:rPr>
            </w:pPr>
            <w:r w:rsidRPr="0010322E">
              <w:rPr>
                <w:sz w:val="26"/>
                <w:szCs w:val="26"/>
              </w:rPr>
              <w:t xml:space="preserve">Projekta izpildes ietekme uz pārvaldes funkcijām un institucionālo struktūru. </w:t>
            </w:r>
          </w:p>
          <w:p w14:paraId="72CFC366" w14:textId="77777777" w:rsidR="001832FA" w:rsidRPr="0010322E" w:rsidRDefault="00D16901">
            <w:pPr>
              <w:ind w:left="57" w:right="57"/>
              <w:rPr>
                <w:sz w:val="26"/>
                <w:szCs w:val="26"/>
              </w:rPr>
            </w:pPr>
            <w:r w:rsidRPr="0010322E">
              <w:rPr>
                <w:sz w:val="26"/>
                <w:szCs w:val="26"/>
              </w:rPr>
              <w:t>Jaunu institūciju izveide, esošu institūciju likvidācija vai reorganizācija, to ietekme uz institūcijas cilvēkresursiem</w:t>
            </w:r>
          </w:p>
        </w:tc>
        <w:tc>
          <w:tcPr>
            <w:tcW w:w="5901" w:type="dxa"/>
          </w:tcPr>
          <w:p w14:paraId="2788067C" w14:textId="3626A3D0" w:rsidR="001832FA" w:rsidRPr="0010322E" w:rsidRDefault="00D16901">
            <w:pPr>
              <w:shd w:val="clear" w:color="000000" w:fill="FFFFFF"/>
              <w:ind w:left="57" w:right="113"/>
              <w:jc w:val="both"/>
              <w:rPr>
                <w:sz w:val="26"/>
                <w:szCs w:val="26"/>
              </w:rPr>
            </w:pPr>
            <w:r w:rsidRPr="0010322E">
              <w:rPr>
                <w:sz w:val="26"/>
                <w:szCs w:val="26"/>
              </w:rPr>
              <w:t>Projekts šo jomu neskar</w:t>
            </w:r>
          </w:p>
        </w:tc>
      </w:tr>
      <w:tr w:rsidR="001832FA" w:rsidRPr="0010322E" w14:paraId="5A2539A9" w14:textId="77777777" w:rsidTr="00662B23">
        <w:trPr>
          <w:trHeight w:val="476"/>
        </w:trPr>
        <w:tc>
          <w:tcPr>
            <w:tcW w:w="333" w:type="dxa"/>
          </w:tcPr>
          <w:p w14:paraId="0C29302E" w14:textId="77777777" w:rsidR="001832FA" w:rsidRPr="0010322E" w:rsidRDefault="00D16901">
            <w:pPr>
              <w:ind w:left="57" w:right="57"/>
              <w:jc w:val="both"/>
              <w:rPr>
                <w:sz w:val="26"/>
                <w:szCs w:val="26"/>
              </w:rPr>
            </w:pPr>
            <w:r w:rsidRPr="0010322E">
              <w:rPr>
                <w:sz w:val="26"/>
                <w:szCs w:val="26"/>
              </w:rPr>
              <w:t>3.</w:t>
            </w:r>
          </w:p>
        </w:tc>
        <w:tc>
          <w:tcPr>
            <w:tcW w:w="2838" w:type="dxa"/>
          </w:tcPr>
          <w:p w14:paraId="232A1108" w14:textId="77777777" w:rsidR="001832FA" w:rsidRPr="0010322E" w:rsidRDefault="00D16901">
            <w:pPr>
              <w:ind w:left="57" w:right="57"/>
              <w:rPr>
                <w:sz w:val="26"/>
                <w:szCs w:val="26"/>
              </w:rPr>
            </w:pPr>
            <w:r w:rsidRPr="0010322E">
              <w:rPr>
                <w:sz w:val="26"/>
                <w:szCs w:val="26"/>
              </w:rPr>
              <w:t>Cita informācija</w:t>
            </w:r>
          </w:p>
        </w:tc>
        <w:tc>
          <w:tcPr>
            <w:tcW w:w="5901" w:type="dxa"/>
          </w:tcPr>
          <w:p w14:paraId="1FDC1BDA" w14:textId="16E4EFAA" w:rsidR="001832FA" w:rsidRPr="0010322E" w:rsidRDefault="00D16901">
            <w:pPr>
              <w:shd w:val="clear" w:color="000000" w:fill="FFFFFF"/>
              <w:ind w:left="57" w:right="113"/>
              <w:jc w:val="both"/>
              <w:rPr>
                <w:sz w:val="26"/>
                <w:szCs w:val="26"/>
              </w:rPr>
            </w:pPr>
            <w:r w:rsidRPr="0010322E">
              <w:rPr>
                <w:sz w:val="26"/>
                <w:szCs w:val="26"/>
              </w:rPr>
              <w:t>Nav</w:t>
            </w:r>
          </w:p>
        </w:tc>
      </w:tr>
    </w:tbl>
    <w:p w14:paraId="5E391898" w14:textId="77777777" w:rsidR="00D62927" w:rsidRPr="0010322E" w:rsidRDefault="00D62927" w:rsidP="00151DF3">
      <w:pPr>
        <w:ind w:left="720"/>
        <w:jc w:val="both"/>
        <w:rPr>
          <w:sz w:val="26"/>
          <w:szCs w:val="26"/>
        </w:rPr>
      </w:pPr>
    </w:p>
    <w:p w14:paraId="5324317F" w14:textId="47F62F50" w:rsidR="00451169" w:rsidRPr="00E57BBE" w:rsidRDefault="00451169" w:rsidP="0010322E">
      <w:pPr>
        <w:jc w:val="both"/>
        <w:rPr>
          <w:bCs/>
          <w:sz w:val="26"/>
          <w:szCs w:val="26"/>
        </w:rPr>
      </w:pPr>
      <w:r w:rsidRPr="00E57BBE">
        <w:rPr>
          <w:bCs/>
          <w:sz w:val="26"/>
          <w:szCs w:val="26"/>
        </w:rPr>
        <w:t>Iesniedzējs:</w:t>
      </w:r>
    </w:p>
    <w:p w14:paraId="03E6D3F5" w14:textId="1F427236" w:rsidR="001832FA" w:rsidRPr="00E57BBE" w:rsidRDefault="00D62927" w:rsidP="0010322E">
      <w:pPr>
        <w:jc w:val="both"/>
        <w:rPr>
          <w:bCs/>
          <w:sz w:val="26"/>
          <w:szCs w:val="26"/>
        </w:rPr>
      </w:pPr>
      <w:r w:rsidRPr="00E57BBE">
        <w:rPr>
          <w:bCs/>
          <w:sz w:val="26"/>
          <w:szCs w:val="26"/>
        </w:rPr>
        <w:t>E</w:t>
      </w:r>
      <w:r w:rsidR="00D16901" w:rsidRPr="00E57BBE">
        <w:rPr>
          <w:bCs/>
          <w:sz w:val="26"/>
          <w:szCs w:val="26"/>
        </w:rPr>
        <w:t>konomikas ministrs</w:t>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Pr="00E57BBE">
        <w:rPr>
          <w:bCs/>
          <w:sz w:val="26"/>
          <w:szCs w:val="26"/>
        </w:rPr>
        <w:t>R.Nemiro</w:t>
      </w:r>
    </w:p>
    <w:p w14:paraId="3FB69A1B" w14:textId="77777777" w:rsidR="001832FA" w:rsidRPr="00E57BBE" w:rsidRDefault="001832FA" w:rsidP="0010322E">
      <w:pPr>
        <w:jc w:val="both"/>
        <w:rPr>
          <w:bCs/>
          <w:sz w:val="26"/>
          <w:szCs w:val="26"/>
        </w:rPr>
      </w:pPr>
    </w:p>
    <w:p w14:paraId="5B42C9C9" w14:textId="77777777" w:rsidR="001832FA" w:rsidRPr="00E57BBE" w:rsidRDefault="00D16901" w:rsidP="0010322E">
      <w:pPr>
        <w:jc w:val="both"/>
        <w:rPr>
          <w:bCs/>
          <w:sz w:val="26"/>
          <w:szCs w:val="26"/>
        </w:rPr>
      </w:pPr>
      <w:r w:rsidRPr="00E57BBE">
        <w:rPr>
          <w:bCs/>
          <w:sz w:val="26"/>
          <w:szCs w:val="26"/>
        </w:rPr>
        <w:t>Vīza:</w:t>
      </w:r>
    </w:p>
    <w:p w14:paraId="1DB5E0DC" w14:textId="55A85E70" w:rsidR="00662B23" w:rsidRPr="0010322E" w:rsidRDefault="00D16901" w:rsidP="00240381">
      <w:pPr>
        <w:jc w:val="both"/>
        <w:rPr>
          <w:sz w:val="26"/>
          <w:szCs w:val="26"/>
        </w:rPr>
      </w:pPr>
      <w:r w:rsidRPr="00E57BBE">
        <w:rPr>
          <w:bCs/>
          <w:sz w:val="26"/>
          <w:szCs w:val="26"/>
        </w:rPr>
        <w:t>V</w:t>
      </w:r>
      <w:r w:rsidR="00F34326" w:rsidRPr="00E57BBE">
        <w:rPr>
          <w:bCs/>
          <w:sz w:val="26"/>
          <w:szCs w:val="26"/>
        </w:rPr>
        <w:t>alsts sekretārs</w:t>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10322E" w:rsidRPr="00E57BBE">
        <w:rPr>
          <w:bCs/>
          <w:sz w:val="26"/>
          <w:szCs w:val="26"/>
        </w:rPr>
        <w:tab/>
      </w:r>
      <w:r w:rsidR="00664216" w:rsidRPr="00E57BBE">
        <w:rPr>
          <w:bCs/>
          <w:sz w:val="26"/>
          <w:szCs w:val="26"/>
        </w:rPr>
        <w:t>Ē.Eglītis</w:t>
      </w:r>
    </w:p>
    <w:p w14:paraId="3FEC1A9C" w14:textId="243CCA1E" w:rsidR="002A2D7E" w:rsidRDefault="002A2D7E" w:rsidP="0010322E">
      <w:pPr>
        <w:rPr>
          <w:noProof/>
          <w:sz w:val="18"/>
          <w:szCs w:val="18"/>
        </w:rPr>
      </w:pPr>
    </w:p>
    <w:p w14:paraId="4B229546" w14:textId="77777777" w:rsidR="00030769" w:rsidRPr="0010322E" w:rsidRDefault="00030769" w:rsidP="0010322E">
      <w:pPr>
        <w:rPr>
          <w:noProof/>
          <w:sz w:val="18"/>
          <w:szCs w:val="18"/>
        </w:rPr>
      </w:pPr>
    </w:p>
    <w:p w14:paraId="3ACEADEA" w14:textId="70051302" w:rsidR="002A2D7E" w:rsidRPr="0010322E" w:rsidRDefault="00F960E0" w:rsidP="0010322E">
      <w:pPr>
        <w:rPr>
          <w:noProof/>
          <w:sz w:val="18"/>
          <w:szCs w:val="18"/>
        </w:rPr>
      </w:pPr>
      <w:r>
        <w:rPr>
          <w:noProof/>
          <w:sz w:val="18"/>
          <w:szCs w:val="18"/>
        </w:rPr>
        <w:t>Normunds Freibergs</w:t>
      </w:r>
      <w:r w:rsidR="002A2D7E" w:rsidRPr="0010322E">
        <w:rPr>
          <w:noProof/>
          <w:sz w:val="18"/>
          <w:szCs w:val="18"/>
        </w:rPr>
        <w:t>, 67013</w:t>
      </w:r>
      <w:r>
        <w:rPr>
          <w:noProof/>
          <w:sz w:val="18"/>
          <w:szCs w:val="18"/>
        </w:rPr>
        <w:t>268</w:t>
      </w:r>
    </w:p>
    <w:p w14:paraId="43D5DAA0" w14:textId="2553A34C" w:rsidR="0069474B" w:rsidRPr="00F960E0" w:rsidRDefault="00C31834" w:rsidP="0010322E">
      <w:pPr>
        <w:rPr>
          <w:sz w:val="18"/>
          <w:szCs w:val="18"/>
        </w:rPr>
      </w:pPr>
      <w:hyperlink r:id="rId8" w:history="1">
        <w:r w:rsidR="00F960E0" w:rsidRPr="00346A65">
          <w:rPr>
            <w:rStyle w:val="Hyperlink"/>
            <w:rFonts w:ascii="Times New Roman" w:hAnsi="Times New Roman"/>
            <w:noProof/>
            <w:sz w:val="18"/>
            <w:szCs w:val="18"/>
          </w:rPr>
          <w:t>normunds.freibergs@em.gov.lv</w:t>
        </w:r>
      </w:hyperlink>
    </w:p>
    <w:sectPr w:rsidR="0069474B" w:rsidRPr="00F960E0" w:rsidSect="00F7337F">
      <w:headerReference w:type="default" r:id="rId9"/>
      <w:footerReference w:type="even" r:id="rId10"/>
      <w:footerReference w:type="default" r:id="rId11"/>
      <w:footerReference w:type="first" r:id="rId12"/>
      <w:pgSz w:w="11906" w:h="16838"/>
      <w:pgMar w:top="1135" w:right="1133" w:bottom="1134" w:left="1701" w:header="45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B8CE" w14:textId="77777777" w:rsidR="00C31834" w:rsidRDefault="00C31834">
      <w:r>
        <w:separator/>
      </w:r>
    </w:p>
  </w:endnote>
  <w:endnote w:type="continuationSeparator" w:id="0">
    <w:p w14:paraId="0AE570FB" w14:textId="77777777" w:rsidR="00C31834" w:rsidRDefault="00C31834">
      <w:r>
        <w:continuationSeparator/>
      </w:r>
    </w:p>
  </w:endnote>
  <w:endnote w:type="continuationNotice" w:id="1">
    <w:p w14:paraId="5692A1E8" w14:textId="77777777" w:rsidR="002B764C" w:rsidRDefault="002B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9819" w14:textId="77777777" w:rsidR="00C31834" w:rsidRDefault="00C31834">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8970" w14:textId="5E6414AE" w:rsidR="00C31834" w:rsidRPr="00655EED" w:rsidRDefault="00C31834" w:rsidP="00655EED">
    <w:pPr>
      <w:pStyle w:val="Footer"/>
    </w:pPr>
    <w:fldSimple w:instr=" FILENAME   \* MERGEFORMAT ">
      <w:r>
        <w:rPr>
          <w:noProof/>
        </w:rPr>
        <w:t>EMAnot_050819_Stand.docx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EE6" w14:textId="2EBDA319" w:rsidR="00C31834" w:rsidRPr="00CB79F4" w:rsidRDefault="00C31834" w:rsidP="00CB79F4">
    <w:pPr>
      <w:pStyle w:val="Footer"/>
    </w:pPr>
    <w:fldSimple w:instr=" FILENAME   \* MERGEFORMAT ">
      <w:r>
        <w:rPr>
          <w:noProof/>
        </w:rPr>
        <w:t>EMAnot_050819_Stand.docx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FC8E" w14:textId="77777777" w:rsidR="00C31834" w:rsidRDefault="00C31834">
      <w:r>
        <w:separator/>
      </w:r>
    </w:p>
  </w:footnote>
  <w:footnote w:type="continuationSeparator" w:id="0">
    <w:p w14:paraId="43DA524E" w14:textId="77777777" w:rsidR="00C31834" w:rsidRDefault="00C31834">
      <w:r>
        <w:continuationSeparator/>
      </w:r>
    </w:p>
  </w:footnote>
  <w:footnote w:type="continuationNotice" w:id="1">
    <w:p w14:paraId="160AC7EB" w14:textId="77777777" w:rsidR="002B764C" w:rsidRDefault="002B7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88E" w14:textId="6D5B0FF5" w:rsidR="00C31834" w:rsidRDefault="00C31834">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Pr="006C6CF8">
      <w:rPr>
        <w:rStyle w:val="PageNumber"/>
        <w:rFonts w:ascii="Times New Roman" w:hAnsi="Times New Roman"/>
        <w:noProof/>
        <w:sz w:val="24"/>
        <w:szCs w:val="24"/>
      </w:rPr>
      <w:t>8</w:t>
    </w:r>
    <w:r>
      <w:fldChar w:fldCharType="end"/>
    </w:r>
  </w:p>
  <w:p w14:paraId="68C8999D" w14:textId="77777777" w:rsidR="00C31834" w:rsidRDefault="00C31834">
    <w:pPr>
      <w:pStyle w:val="Header"/>
      <w:rPr>
        <w:sz w:val="24"/>
        <w:szCs w:val="24"/>
      </w:rPr>
    </w:pPr>
  </w:p>
  <w:p w14:paraId="72BA078E" w14:textId="77777777" w:rsidR="00C31834" w:rsidRDefault="00C31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705"/>
    <w:multiLevelType w:val="hybridMultilevel"/>
    <w:tmpl w:val="FFAC0D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4462A2"/>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3B558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844486"/>
    <w:multiLevelType w:val="hybridMultilevel"/>
    <w:tmpl w:val="73982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F5DBA"/>
    <w:multiLevelType w:val="hybridMultilevel"/>
    <w:tmpl w:val="40B601F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D04276"/>
    <w:multiLevelType w:val="hybridMultilevel"/>
    <w:tmpl w:val="C02AABF0"/>
    <w:lvl w:ilvl="0" w:tplc="5A0CFC9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F0615"/>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D463C"/>
    <w:multiLevelType w:val="hybridMultilevel"/>
    <w:tmpl w:val="71263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CD2801"/>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65C0317"/>
    <w:multiLevelType w:val="hybridMultilevel"/>
    <w:tmpl w:val="74C050B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7E7200D"/>
    <w:multiLevelType w:val="hybridMultilevel"/>
    <w:tmpl w:val="039A983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7126ED"/>
    <w:multiLevelType w:val="hybridMultilevel"/>
    <w:tmpl w:val="90605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50EC5"/>
    <w:multiLevelType w:val="hybridMultilevel"/>
    <w:tmpl w:val="8E6C4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2A429F"/>
    <w:multiLevelType w:val="hybridMultilevel"/>
    <w:tmpl w:val="0B202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7CD1A27"/>
    <w:multiLevelType w:val="hybridMultilevel"/>
    <w:tmpl w:val="98EC076A"/>
    <w:lvl w:ilvl="0" w:tplc="A3EE84E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F4701B6"/>
    <w:multiLevelType w:val="hybridMultilevel"/>
    <w:tmpl w:val="B5B45422"/>
    <w:lvl w:ilvl="0" w:tplc="B44EA760">
      <w:start w:val="8"/>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3B404CC"/>
    <w:multiLevelType w:val="hybridMultilevel"/>
    <w:tmpl w:val="D7403036"/>
    <w:lvl w:ilvl="0" w:tplc="58C4E31A">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num w:numId="1">
    <w:abstractNumId w:val="11"/>
  </w:num>
  <w:num w:numId="2">
    <w:abstractNumId w:val="13"/>
  </w:num>
  <w:num w:numId="3">
    <w:abstractNumId w:val="7"/>
  </w:num>
  <w:num w:numId="4">
    <w:abstractNumId w:val="5"/>
  </w:num>
  <w:num w:numId="5">
    <w:abstractNumId w:val="3"/>
  </w:num>
  <w:num w:numId="6">
    <w:abstractNumId w:val="0"/>
  </w:num>
  <w:num w:numId="7">
    <w:abstractNumId w:val="16"/>
  </w:num>
  <w:num w:numId="8">
    <w:abstractNumId w:val="1"/>
  </w:num>
  <w:num w:numId="9">
    <w:abstractNumId w:val="8"/>
  </w:num>
  <w:num w:numId="10">
    <w:abstractNumId w:val="17"/>
  </w:num>
  <w:num w:numId="11">
    <w:abstractNumId w:val="6"/>
  </w:num>
  <w:num w:numId="12">
    <w:abstractNumId w:val="15"/>
  </w:num>
  <w:num w:numId="13">
    <w:abstractNumId w:val="2"/>
  </w:num>
  <w:num w:numId="14">
    <w:abstractNumId w:val="4"/>
  </w:num>
  <w:num w:numId="15">
    <w:abstractNumId w:val="14"/>
  </w:num>
  <w:num w:numId="16">
    <w:abstractNumId w:val="12"/>
  </w:num>
  <w:num w:numId="17">
    <w:abstractNumId w:val="10"/>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FA"/>
    <w:rsid w:val="00001441"/>
    <w:rsid w:val="00002624"/>
    <w:rsid w:val="0000328D"/>
    <w:rsid w:val="00017CAC"/>
    <w:rsid w:val="00022CC3"/>
    <w:rsid w:val="00026BD9"/>
    <w:rsid w:val="000277E6"/>
    <w:rsid w:val="00030769"/>
    <w:rsid w:val="0003337A"/>
    <w:rsid w:val="0003672A"/>
    <w:rsid w:val="000446E5"/>
    <w:rsid w:val="00044B13"/>
    <w:rsid w:val="000627B1"/>
    <w:rsid w:val="00063920"/>
    <w:rsid w:val="0007279A"/>
    <w:rsid w:val="0008272B"/>
    <w:rsid w:val="00095F52"/>
    <w:rsid w:val="000973CB"/>
    <w:rsid w:val="000A4D45"/>
    <w:rsid w:val="000A716D"/>
    <w:rsid w:val="000B23A3"/>
    <w:rsid w:val="000C3588"/>
    <w:rsid w:val="000C41B2"/>
    <w:rsid w:val="000C4B6C"/>
    <w:rsid w:val="000C5667"/>
    <w:rsid w:val="000C5EAB"/>
    <w:rsid w:val="000D26DF"/>
    <w:rsid w:val="000D3B54"/>
    <w:rsid w:val="000E65B8"/>
    <w:rsid w:val="000F6C8A"/>
    <w:rsid w:val="00102B25"/>
    <w:rsid w:val="0010322E"/>
    <w:rsid w:val="00106BF3"/>
    <w:rsid w:val="00116714"/>
    <w:rsid w:val="00120B86"/>
    <w:rsid w:val="00123B17"/>
    <w:rsid w:val="001244CD"/>
    <w:rsid w:val="00151DF3"/>
    <w:rsid w:val="00155A53"/>
    <w:rsid w:val="00156AC4"/>
    <w:rsid w:val="0016048B"/>
    <w:rsid w:val="00177DA9"/>
    <w:rsid w:val="00180435"/>
    <w:rsid w:val="0018199F"/>
    <w:rsid w:val="001832FA"/>
    <w:rsid w:val="001915F3"/>
    <w:rsid w:val="00196A8C"/>
    <w:rsid w:val="0019736A"/>
    <w:rsid w:val="001A6E67"/>
    <w:rsid w:val="001B012B"/>
    <w:rsid w:val="001B2978"/>
    <w:rsid w:val="001B602D"/>
    <w:rsid w:val="001C2C4B"/>
    <w:rsid w:val="001C66B4"/>
    <w:rsid w:val="001D30E2"/>
    <w:rsid w:val="001E7A95"/>
    <w:rsid w:val="001F2672"/>
    <w:rsid w:val="001F390B"/>
    <w:rsid w:val="001F44FD"/>
    <w:rsid w:val="00200DBE"/>
    <w:rsid w:val="0020510D"/>
    <w:rsid w:val="00205D8B"/>
    <w:rsid w:val="00206CE1"/>
    <w:rsid w:val="002127F0"/>
    <w:rsid w:val="0021505A"/>
    <w:rsid w:val="00240381"/>
    <w:rsid w:val="002412C3"/>
    <w:rsid w:val="0024513B"/>
    <w:rsid w:val="00252A59"/>
    <w:rsid w:val="00252A85"/>
    <w:rsid w:val="002545C7"/>
    <w:rsid w:val="00257BDD"/>
    <w:rsid w:val="002638D8"/>
    <w:rsid w:val="00293A27"/>
    <w:rsid w:val="002A2D7E"/>
    <w:rsid w:val="002B06D0"/>
    <w:rsid w:val="002B764C"/>
    <w:rsid w:val="002C1F24"/>
    <w:rsid w:val="002C5BC0"/>
    <w:rsid w:val="002C5FEE"/>
    <w:rsid w:val="002D169E"/>
    <w:rsid w:val="002D3FC8"/>
    <w:rsid w:val="002E0DC3"/>
    <w:rsid w:val="002E1314"/>
    <w:rsid w:val="002F5A9D"/>
    <w:rsid w:val="00302837"/>
    <w:rsid w:val="00302DDC"/>
    <w:rsid w:val="00320245"/>
    <w:rsid w:val="00356E5B"/>
    <w:rsid w:val="00370B23"/>
    <w:rsid w:val="0037145C"/>
    <w:rsid w:val="003736B9"/>
    <w:rsid w:val="00375821"/>
    <w:rsid w:val="00377602"/>
    <w:rsid w:val="00380524"/>
    <w:rsid w:val="003812A6"/>
    <w:rsid w:val="003B2FEC"/>
    <w:rsid w:val="003B3DF2"/>
    <w:rsid w:val="003C17C0"/>
    <w:rsid w:val="003C2A5E"/>
    <w:rsid w:val="003C2BF6"/>
    <w:rsid w:val="003C776D"/>
    <w:rsid w:val="003D3107"/>
    <w:rsid w:val="003D71D8"/>
    <w:rsid w:val="003E0D00"/>
    <w:rsid w:val="003E78F5"/>
    <w:rsid w:val="003F15FE"/>
    <w:rsid w:val="003F77A2"/>
    <w:rsid w:val="00412507"/>
    <w:rsid w:val="0042379D"/>
    <w:rsid w:val="00425F10"/>
    <w:rsid w:val="00431642"/>
    <w:rsid w:val="00431663"/>
    <w:rsid w:val="0043668F"/>
    <w:rsid w:val="0043748D"/>
    <w:rsid w:val="00441DD5"/>
    <w:rsid w:val="00441FB9"/>
    <w:rsid w:val="004447FC"/>
    <w:rsid w:val="004471DB"/>
    <w:rsid w:val="00451169"/>
    <w:rsid w:val="0045152D"/>
    <w:rsid w:val="0046690D"/>
    <w:rsid w:val="00470603"/>
    <w:rsid w:val="0048154D"/>
    <w:rsid w:val="00482D80"/>
    <w:rsid w:val="00487D30"/>
    <w:rsid w:val="00495567"/>
    <w:rsid w:val="004A58BD"/>
    <w:rsid w:val="004B3337"/>
    <w:rsid w:val="004B7F77"/>
    <w:rsid w:val="004C116D"/>
    <w:rsid w:val="004D42D8"/>
    <w:rsid w:val="004E28CC"/>
    <w:rsid w:val="004E4155"/>
    <w:rsid w:val="004E48E5"/>
    <w:rsid w:val="004F0464"/>
    <w:rsid w:val="004F5030"/>
    <w:rsid w:val="004F7487"/>
    <w:rsid w:val="00502935"/>
    <w:rsid w:val="00514F28"/>
    <w:rsid w:val="00524E86"/>
    <w:rsid w:val="0053126E"/>
    <w:rsid w:val="0053585D"/>
    <w:rsid w:val="00546EBD"/>
    <w:rsid w:val="0056157C"/>
    <w:rsid w:val="00564D81"/>
    <w:rsid w:val="0058726E"/>
    <w:rsid w:val="00594871"/>
    <w:rsid w:val="005A2DDF"/>
    <w:rsid w:val="005A5C65"/>
    <w:rsid w:val="005B602E"/>
    <w:rsid w:val="005D2E68"/>
    <w:rsid w:val="005E0E68"/>
    <w:rsid w:val="005E2C35"/>
    <w:rsid w:val="005E5510"/>
    <w:rsid w:val="005F320D"/>
    <w:rsid w:val="006079A0"/>
    <w:rsid w:val="00615D99"/>
    <w:rsid w:val="00623B3E"/>
    <w:rsid w:val="00631E80"/>
    <w:rsid w:val="00632047"/>
    <w:rsid w:val="0063346F"/>
    <w:rsid w:val="00634FA7"/>
    <w:rsid w:val="006354A1"/>
    <w:rsid w:val="006536B1"/>
    <w:rsid w:val="00655EED"/>
    <w:rsid w:val="0066186A"/>
    <w:rsid w:val="00662B23"/>
    <w:rsid w:val="00664216"/>
    <w:rsid w:val="006649EE"/>
    <w:rsid w:val="006658AA"/>
    <w:rsid w:val="00672072"/>
    <w:rsid w:val="00674528"/>
    <w:rsid w:val="00680EF6"/>
    <w:rsid w:val="0069474B"/>
    <w:rsid w:val="006953FC"/>
    <w:rsid w:val="006A3BC6"/>
    <w:rsid w:val="006A581B"/>
    <w:rsid w:val="006C13EE"/>
    <w:rsid w:val="006C6CF8"/>
    <w:rsid w:val="006C74B6"/>
    <w:rsid w:val="006D0A2A"/>
    <w:rsid w:val="006D110C"/>
    <w:rsid w:val="006E3922"/>
    <w:rsid w:val="006E6489"/>
    <w:rsid w:val="007272E4"/>
    <w:rsid w:val="007502AE"/>
    <w:rsid w:val="00761957"/>
    <w:rsid w:val="00766A29"/>
    <w:rsid w:val="007909DE"/>
    <w:rsid w:val="007A066F"/>
    <w:rsid w:val="007A2CE8"/>
    <w:rsid w:val="007C7EB1"/>
    <w:rsid w:val="007D082F"/>
    <w:rsid w:val="007E387A"/>
    <w:rsid w:val="007E387E"/>
    <w:rsid w:val="007F1866"/>
    <w:rsid w:val="007F307C"/>
    <w:rsid w:val="007F4C90"/>
    <w:rsid w:val="007F4EE3"/>
    <w:rsid w:val="007F5A33"/>
    <w:rsid w:val="00805CF2"/>
    <w:rsid w:val="00807735"/>
    <w:rsid w:val="00820B3E"/>
    <w:rsid w:val="00820F3E"/>
    <w:rsid w:val="008301E4"/>
    <w:rsid w:val="00836A9F"/>
    <w:rsid w:val="00844AAA"/>
    <w:rsid w:val="00851DD9"/>
    <w:rsid w:val="00852950"/>
    <w:rsid w:val="00857119"/>
    <w:rsid w:val="0086373C"/>
    <w:rsid w:val="00871674"/>
    <w:rsid w:val="00873E12"/>
    <w:rsid w:val="00880C75"/>
    <w:rsid w:val="0088152E"/>
    <w:rsid w:val="008901BE"/>
    <w:rsid w:val="0089269A"/>
    <w:rsid w:val="008968EF"/>
    <w:rsid w:val="008A06CF"/>
    <w:rsid w:val="008A2529"/>
    <w:rsid w:val="008A4480"/>
    <w:rsid w:val="008A5ED5"/>
    <w:rsid w:val="008B5DDA"/>
    <w:rsid w:val="008C0F39"/>
    <w:rsid w:val="008C2B37"/>
    <w:rsid w:val="008C434C"/>
    <w:rsid w:val="008C45F7"/>
    <w:rsid w:val="008C4932"/>
    <w:rsid w:val="008D3FA5"/>
    <w:rsid w:val="008E03F1"/>
    <w:rsid w:val="008E225E"/>
    <w:rsid w:val="008E6C00"/>
    <w:rsid w:val="0090468D"/>
    <w:rsid w:val="0090521F"/>
    <w:rsid w:val="00923E75"/>
    <w:rsid w:val="00925077"/>
    <w:rsid w:val="0093318B"/>
    <w:rsid w:val="00945D77"/>
    <w:rsid w:val="00946CD7"/>
    <w:rsid w:val="00947B35"/>
    <w:rsid w:val="00950C5E"/>
    <w:rsid w:val="00953FB9"/>
    <w:rsid w:val="0095418C"/>
    <w:rsid w:val="009607DA"/>
    <w:rsid w:val="00960DF7"/>
    <w:rsid w:val="00971EE9"/>
    <w:rsid w:val="009728B1"/>
    <w:rsid w:val="0097337D"/>
    <w:rsid w:val="00973F32"/>
    <w:rsid w:val="00974013"/>
    <w:rsid w:val="0099659B"/>
    <w:rsid w:val="009A1A08"/>
    <w:rsid w:val="009A558F"/>
    <w:rsid w:val="009A5764"/>
    <w:rsid w:val="009B278F"/>
    <w:rsid w:val="009C0CA1"/>
    <w:rsid w:val="009C7663"/>
    <w:rsid w:val="009D74DB"/>
    <w:rsid w:val="009D7CA1"/>
    <w:rsid w:val="009E6022"/>
    <w:rsid w:val="009E6780"/>
    <w:rsid w:val="009E7C13"/>
    <w:rsid w:val="009F454A"/>
    <w:rsid w:val="00A02F89"/>
    <w:rsid w:val="00A0610D"/>
    <w:rsid w:val="00A10DCE"/>
    <w:rsid w:val="00A13118"/>
    <w:rsid w:val="00A23E74"/>
    <w:rsid w:val="00A32D6C"/>
    <w:rsid w:val="00A33DB8"/>
    <w:rsid w:val="00A42BDE"/>
    <w:rsid w:val="00A43991"/>
    <w:rsid w:val="00A44103"/>
    <w:rsid w:val="00A44917"/>
    <w:rsid w:val="00A520B2"/>
    <w:rsid w:val="00A61255"/>
    <w:rsid w:val="00A675C9"/>
    <w:rsid w:val="00A73189"/>
    <w:rsid w:val="00A764D2"/>
    <w:rsid w:val="00A81014"/>
    <w:rsid w:val="00A81913"/>
    <w:rsid w:val="00A90D57"/>
    <w:rsid w:val="00AA0745"/>
    <w:rsid w:val="00AA0CE1"/>
    <w:rsid w:val="00AA5AC9"/>
    <w:rsid w:val="00AA5B2F"/>
    <w:rsid w:val="00AB056C"/>
    <w:rsid w:val="00AB5B07"/>
    <w:rsid w:val="00AC134E"/>
    <w:rsid w:val="00AD03E8"/>
    <w:rsid w:val="00AD10E7"/>
    <w:rsid w:val="00AD2360"/>
    <w:rsid w:val="00AD3831"/>
    <w:rsid w:val="00AD4AC3"/>
    <w:rsid w:val="00AE1B30"/>
    <w:rsid w:val="00AE2421"/>
    <w:rsid w:val="00AE44FB"/>
    <w:rsid w:val="00AE7D35"/>
    <w:rsid w:val="00AF1980"/>
    <w:rsid w:val="00AF2B2F"/>
    <w:rsid w:val="00AF7A42"/>
    <w:rsid w:val="00B029D1"/>
    <w:rsid w:val="00B11562"/>
    <w:rsid w:val="00B27F43"/>
    <w:rsid w:val="00B37266"/>
    <w:rsid w:val="00B3760C"/>
    <w:rsid w:val="00B419F4"/>
    <w:rsid w:val="00B420DD"/>
    <w:rsid w:val="00B448E6"/>
    <w:rsid w:val="00B536C9"/>
    <w:rsid w:val="00B63456"/>
    <w:rsid w:val="00B63D8B"/>
    <w:rsid w:val="00B824D5"/>
    <w:rsid w:val="00B83918"/>
    <w:rsid w:val="00B8500E"/>
    <w:rsid w:val="00B85B41"/>
    <w:rsid w:val="00B90041"/>
    <w:rsid w:val="00B93741"/>
    <w:rsid w:val="00B947D9"/>
    <w:rsid w:val="00BA67E6"/>
    <w:rsid w:val="00BD4422"/>
    <w:rsid w:val="00BE3098"/>
    <w:rsid w:val="00BE3B9A"/>
    <w:rsid w:val="00BF67C2"/>
    <w:rsid w:val="00C05928"/>
    <w:rsid w:val="00C14A6B"/>
    <w:rsid w:val="00C16931"/>
    <w:rsid w:val="00C17382"/>
    <w:rsid w:val="00C17826"/>
    <w:rsid w:val="00C223DC"/>
    <w:rsid w:val="00C313D5"/>
    <w:rsid w:val="00C31834"/>
    <w:rsid w:val="00C458AD"/>
    <w:rsid w:val="00C503F3"/>
    <w:rsid w:val="00C52387"/>
    <w:rsid w:val="00C557FC"/>
    <w:rsid w:val="00C55C6C"/>
    <w:rsid w:val="00C63948"/>
    <w:rsid w:val="00C70B3D"/>
    <w:rsid w:val="00C71FE5"/>
    <w:rsid w:val="00C8235E"/>
    <w:rsid w:val="00C85F76"/>
    <w:rsid w:val="00C863C6"/>
    <w:rsid w:val="00C86476"/>
    <w:rsid w:val="00C878DC"/>
    <w:rsid w:val="00C91065"/>
    <w:rsid w:val="00C97F30"/>
    <w:rsid w:val="00CB09DA"/>
    <w:rsid w:val="00CB335D"/>
    <w:rsid w:val="00CB7376"/>
    <w:rsid w:val="00CB79F4"/>
    <w:rsid w:val="00CC3B04"/>
    <w:rsid w:val="00CD0709"/>
    <w:rsid w:val="00CD23BB"/>
    <w:rsid w:val="00CD6B1A"/>
    <w:rsid w:val="00CE7170"/>
    <w:rsid w:val="00CF1DFF"/>
    <w:rsid w:val="00CF2D49"/>
    <w:rsid w:val="00D04932"/>
    <w:rsid w:val="00D16901"/>
    <w:rsid w:val="00D30AC9"/>
    <w:rsid w:val="00D3158E"/>
    <w:rsid w:val="00D34097"/>
    <w:rsid w:val="00D34429"/>
    <w:rsid w:val="00D34904"/>
    <w:rsid w:val="00D4707E"/>
    <w:rsid w:val="00D47289"/>
    <w:rsid w:val="00D5175B"/>
    <w:rsid w:val="00D62927"/>
    <w:rsid w:val="00D64514"/>
    <w:rsid w:val="00D6495B"/>
    <w:rsid w:val="00D65DD0"/>
    <w:rsid w:val="00D71710"/>
    <w:rsid w:val="00D72104"/>
    <w:rsid w:val="00D75903"/>
    <w:rsid w:val="00D76C64"/>
    <w:rsid w:val="00D86C43"/>
    <w:rsid w:val="00D87E08"/>
    <w:rsid w:val="00D91D69"/>
    <w:rsid w:val="00D95DE5"/>
    <w:rsid w:val="00DA3140"/>
    <w:rsid w:val="00DA7545"/>
    <w:rsid w:val="00DB5925"/>
    <w:rsid w:val="00DB6105"/>
    <w:rsid w:val="00DC1D05"/>
    <w:rsid w:val="00DC437D"/>
    <w:rsid w:val="00DD371E"/>
    <w:rsid w:val="00DE0549"/>
    <w:rsid w:val="00DF21F9"/>
    <w:rsid w:val="00DF5E43"/>
    <w:rsid w:val="00E031C7"/>
    <w:rsid w:val="00E03EEE"/>
    <w:rsid w:val="00E05A0E"/>
    <w:rsid w:val="00E14339"/>
    <w:rsid w:val="00E21573"/>
    <w:rsid w:val="00E22227"/>
    <w:rsid w:val="00E255B8"/>
    <w:rsid w:val="00E336B7"/>
    <w:rsid w:val="00E35602"/>
    <w:rsid w:val="00E46D76"/>
    <w:rsid w:val="00E50317"/>
    <w:rsid w:val="00E57BBE"/>
    <w:rsid w:val="00E67851"/>
    <w:rsid w:val="00E71320"/>
    <w:rsid w:val="00E725EB"/>
    <w:rsid w:val="00E802A6"/>
    <w:rsid w:val="00E81F29"/>
    <w:rsid w:val="00E829AB"/>
    <w:rsid w:val="00E83CFE"/>
    <w:rsid w:val="00E84F11"/>
    <w:rsid w:val="00EA512C"/>
    <w:rsid w:val="00EB23FE"/>
    <w:rsid w:val="00EB5524"/>
    <w:rsid w:val="00EC3D82"/>
    <w:rsid w:val="00EC7F1F"/>
    <w:rsid w:val="00ED2ED7"/>
    <w:rsid w:val="00ED738D"/>
    <w:rsid w:val="00ED7DED"/>
    <w:rsid w:val="00EE2FCA"/>
    <w:rsid w:val="00EE4F97"/>
    <w:rsid w:val="00EF08D9"/>
    <w:rsid w:val="00EF13BA"/>
    <w:rsid w:val="00EF179B"/>
    <w:rsid w:val="00EF366B"/>
    <w:rsid w:val="00F06F8F"/>
    <w:rsid w:val="00F1084E"/>
    <w:rsid w:val="00F16C13"/>
    <w:rsid w:val="00F21887"/>
    <w:rsid w:val="00F25F68"/>
    <w:rsid w:val="00F34326"/>
    <w:rsid w:val="00F40EC6"/>
    <w:rsid w:val="00F435C4"/>
    <w:rsid w:val="00F55342"/>
    <w:rsid w:val="00F6034D"/>
    <w:rsid w:val="00F6600C"/>
    <w:rsid w:val="00F70E91"/>
    <w:rsid w:val="00F7337F"/>
    <w:rsid w:val="00F7435B"/>
    <w:rsid w:val="00F81A67"/>
    <w:rsid w:val="00F843FD"/>
    <w:rsid w:val="00F87BC1"/>
    <w:rsid w:val="00F960E0"/>
    <w:rsid w:val="00FA0446"/>
    <w:rsid w:val="00FA0FA7"/>
    <w:rsid w:val="00FA32D3"/>
    <w:rsid w:val="00FA3681"/>
    <w:rsid w:val="00FA4FEE"/>
    <w:rsid w:val="00FA7475"/>
    <w:rsid w:val="00FA783E"/>
    <w:rsid w:val="00FB4C5C"/>
    <w:rsid w:val="00FC5BBB"/>
    <w:rsid w:val="00FC72F7"/>
    <w:rsid w:val="00FD5CB2"/>
    <w:rsid w:val="00FE00F1"/>
    <w:rsid w:val="00FE292F"/>
    <w:rsid w:val="00FF12B0"/>
    <w:rsid w:val="00FF5F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A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34"/>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 w:type="character" w:styleId="UnresolvedMention">
    <w:name w:val="Unresolved Mention"/>
    <w:basedOn w:val="DefaultParagraphFont"/>
    <w:uiPriority w:val="99"/>
    <w:semiHidden/>
    <w:unhideWhenUsed/>
    <w:rsid w:val="00664216"/>
    <w:rPr>
      <w:color w:val="605E5C"/>
      <w:shd w:val="clear" w:color="auto" w:fill="E1DFDD"/>
    </w:rPr>
  </w:style>
  <w:style w:type="character" w:customStyle="1" w:styleId="highlight">
    <w:name w:val="highlight"/>
    <w:basedOn w:val="DefaultParagraphFont"/>
    <w:rsid w:val="001E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182942644">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251747021">
      <w:bodyDiv w:val="1"/>
      <w:marLeft w:val="0"/>
      <w:marRight w:val="0"/>
      <w:marTop w:val="0"/>
      <w:marBottom w:val="0"/>
      <w:divBdr>
        <w:top w:val="none" w:sz="0" w:space="0" w:color="auto"/>
        <w:left w:val="none" w:sz="0" w:space="0" w:color="auto"/>
        <w:bottom w:val="none" w:sz="0" w:space="0" w:color="auto"/>
        <w:right w:val="none" w:sz="0" w:space="0" w:color="auto"/>
      </w:divBdr>
    </w:div>
    <w:div w:id="598877530">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038622084">
      <w:bodyDiv w:val="1"/>
      <w:marLeft w:val="0"/>
      <w:marRight w:val="0"/>
      <w:marTop w:val="0"/>
      <w:marBottom w:val="0"/>
      <w:divBdr>
        <w:top w:val="none" w:sz="0" w:space="0" w:color="auto"/>
        <w:left w:val="none" w:sz="0" w:space="0" w:color="auto"/>
        <w:bottom w:val="none" w:sz="0" w:space="0" w:color="auto"/>
        <w:right w:val="none" w:sz="0" w:space="0" w:color="auto"/>
      </w:divBdr>
    </w:div>
    <w:div w:id="1382628049">
      <w:bodyDiv w:val="1"/>
      <w:marLeft w:val="0"/>
      <w:marRight w:val="0"/>
      <w:marTop w:val="0"/>
      <w:marBottom w:val="0"/>
      <w:divBdr>
        <w:top w:val="none" w:sz="0" w:space="0" w:color="auto"/>
        <w:left w:val="none" w:sz="0" w:space="0" w:color="auto"/>
        <w:bottom w:val="none" w:sz="0" w:space="0" w:color="auto"/>
        <w:right w:val="none" w:sz="0" w:space="0" w:color="auto"/>
      </w:divBdr>
      <w:divsChild>
        <w:div w:id="1443766537">
          <w:marLeft w:val="0"/>
          <w:marRight w:val="0"/>
          <w:marTop w:val="480"/>
          <w:marBottom w:val="240"/>
          <w:divBdr>
            <w:top w:val="none" w:sz="0" w:space="0" w:color="auto"/>
            <w:left w:val="none" w:sz="0" w:space="0" w:color="auto"/>
            <w:bottom w:val="none" w:sz="0" w:space="0" w:color="auto"/>
            <w:right w:val="none" w:sz="0" w:space="0" w:color="auto"/>
          </w:divBdr>
        </w:div>
        <w:div w:id="1979455565">
          <w:marLeft w:val="0"/>
          <w:marRight w:val="0"/>
          <w:marTop w:val="0"/>
          <w:marBottom w:val="567"/>
          <w:divBdr>
            <w:top w:val="none" w:sz="0" w:space="0" w:color="auto"/>
            <w:left w:val="none" w:sz="0" w:space="0" w:color="auto"/>
            <w:bottom w:val="none" w:sz="0" w:space="0" w:color="auto"/>
            <w:right w:val="none" w:sz="0" w:space="0" w:color="auto"/>
          </w:divBdr>
        </w:div>
      </w:divsChild>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2024-AA63-47CE-BECE-A6A85EBD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11875</Words>
  <Characters>6769</Characters>
  <Application>Microsoft Office Word</Application>
  <DocSecurity>0</DocSecurity>
  <Lines>56</Lines>
  <Paragraphs>37</Paragraphs>
  <MMClips>0</MMClip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
  <dc:description>67013268, Normunds.Freibergs@em.gov.lv</dc:description>
  <cp:lastModifiedBy/>
  <cp:revision>1</cp:revision>
  <dcterms:created xsi:type="dcterms:W3CDTF">2019-08-06T07:22:00Z</dcterms:created>
  <dcterms:modified xsi:type="dcterms:W3CDTF">2019-08-13T05:45:00Z</dcterms:modified>
</cp:coreProperties>
</file>