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123419B9" w:rsidR="009A312E" w:rsidRDefault="009A312E" w:rsidP="00714546">
      <w:pPr>
        <w:spacing w:after="0" w:line="240" w:lineRule="auto"/>
        <w:ind w:right="-1"/>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Pr>
          <w:rFonts w:ascii="Times New Roman" w:eastAsia="Times New Roman" w:hAnsi="Times New Roman"/>
          <w:b/>
          <w:sz w:val="24"/>
          <w:szCs w:val="24"/>
          <w:lang w:eastAsia="lv-LV"/>
        </w:rPr>
        <w:t>“</w:t>
      </w:r>
      <w:bookmarkEnd w:id="0"/>
      <w:bookmarkEnd w:id="1"/>
      <w:bookmarkEnd w:id="2"/>
      <w:bookmarkEnd w:id="3"/>
      <w:r w:rsidR="004B3904" w:rsidRPr="004B3904">
        <w:rPr>
          <w:rFonts w:ascii="Times New Roman" w:eastAsia="Times New Roman" w:hAnsi="Times New Roman"/>
          <w:b/>
          <w:sz w:val="24"/>
          <w:szCs w:val="24"/>
          <w:lang w:eastAsia="lv-LV"/>
        </w:rPr>
        <w:t>Grozījum</w:t>
      </w:r>
      <w:r w:rsidR="0039044A">
        <w:rPr>
          <w:rFonts w:ascii="Times New Roman" w:eastAsia="Times New Roman" w:hAnsi="Times New Roman"/>
          <w:b/>
          <w:sz w:val="24"/>
          <w:szCs w:val="24"/>
          <w:lang w:eastAsia="lv-LV"/>
        </w:rPr>
        <w:t>s</w:t>
      </w:r>
      <w:r w:rsidR="004B3904" w:rsidRPr="004B3904">
        <w:rPr>
          <w:rFonts w:ascii="Times New Roman" w:eastAsia="Times New Roman" w:hAnsi="Times New Roman"/>
          <w:b/>
          <w:sz w:val="24"/>
          <w:szCs w:val="24"/>
          <w:lang w:eastAsia="lv-LV"/>
        </w:rPr>
        <w:t xml:space="preserve"> Ministru kabineta 2017.gada 7.marta noteikumos Nr. 135 “Darbības programmas </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Izaugsme un nodarbinātība</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 xml:space="preserve"> 4.3.1. specifiskā atbalsta mērķa </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Veicināt energoefektivitāti un vietējo AER izmantošanu centralizētajā siltumapgādē</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 xml:space="preserve"> pirmās projektu iesniegumu atlases kārtas īstenošanas noteikumi”</w:t>
      </w:r>
      <w:r w:rsidR="002F5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00455AC2">
        <w:rPr>
          <w:rFonts w:ascii="Times New Roman" w:eastAsia="Times New Roman" w:hAnsi="Times New Roman"/>
          <w:b/>
          <w:sz w:val="24"/>
          <w:szCs w:val="24"/>
          <w:lang w:eastAsia="lv-LV"/>
        </w:rPr>
        <w:t>un Ministru kabineta noteikumu projekta “Grozījum</w:t>
      </w:r>
      <w:r w:rsidR="0039044A">
        <w:rPr>
          <w:rFonts w:ascii="Times New Roman" w:eastAsia="Times New Roman" w:hAnsi="Times New Roman"/>
          <w:b/>
          <w:sz w:val="24"/>
          <w:szCs w:val="24"/>
          <w:lang w:eastAsia="lv-LV"/>
        </w:rPr>
        <w:t>s</w:t>
      </w:r>
      <w:r w:rsidR="00455AC2">
        <w:rPr>
          <w:rFonts w:ascii="Times New Roman" w:eastAsia="Times New Roman" w:hAnsi="Times New Roman"/>
          <w:b/>
          <w:sz w:val="24"/>
          <w:szCs w:val="24"/>
          <w:lang w:eastAsia="lv-LV"/>
        </w:rPr>
        <w:t xml:space="preserve"> Ministru kabineta 2017.gada 22.augusta noteikumos Nr.495 “</w:t>
      </w:r>
      <w:r w:rsidR="00455AC2" w:rsidRPr="00455AC2">
        <w:rPr>
          <w:rFonts w:ascii="Times New Roman" w:eastAsia="Times New Roman" w:hAnsi="Times New Roman"/>
          <w:b/>
          <w:sz w:val="24"/>
          <w:szCs w:val="24"/>
          <w:lang w:eastAsia="lv-LV"/>
        </w:rPr>
        <w:t xml:space="preserve">Darbības programmas </w:t>
      </w:r>
      <w:r w:rsidR="00F44AEA">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Izaugsme un nodarbinātība</w:t>
      </w:r>
      <w:r w:rsidR="00F44AEA">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 xml:space="preserve"> 4.3.1. specifiskā atbalsta mērķa </w:t>
      </w:r>
      <w:r w:rsidR="00455AC2">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Veicināt energoefektivitāti un vietējo AER izmantošanu centralizētajā siltumapgādē</w:t>
      </w:r>
      <w:r w:rsidR="00455AC2">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 xml:space="preserve"> otrās projektu iesniegumu atlases kārtas īstenošanas noteikumi””</w:t>
      </w:r>
      <w:r w:rsidR="00455AC2">
        <w:rPr>
          <w:rFonts w:ascii="Arial" w:hAnsi="Arial" w:cs="Arial"/>
          <w:b/>
          <w:bCs/>
          <w:color w:val="414142"/>
          <w:sz w:val="35"/>
          <w:szCs w:val="35"/>
          <w:shd w:val="clear" w:color="auto" w:fill="FFFFFF"/>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C770D6"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C770D6" w:rsidRDefault="00B6430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Mērķis, risinājums un projekta </w:t>
            </w:r>
            <w:r w:rsidRPr="00C770D6">
              <w:rPr>
                <w:rFonts w:ascii="Times New Roman" w:hAnsi="Times New Roman"/>
                <w:sz w:val="24"/>
                <w:szCs w:val="24"/>
              </w:rPr>
              <w:t>spēkā</w:t>
            </w:r>
            <w:r w:rsidRPr="00C770D6">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1E2641A" w14:textId="2CD0D197" w:rsidR="007C287C" w:rsidRDefault="00FC14C5" w:rsidP="007C287C">
            <w:pPr>
              <w:spacing w:after="0" w:line="240" w:lineRule="auto"/>
              <w:ind w:left="142" w:right="130"/>
              <w:jc w:val="both"/>
              <w:rPr>
                <w:rFonts w:ascii="Times New Roman" w:hAnsi="Times New Roman"/>
                <w:sz w:val="24"/>
                <w:szCs w:val="24"/>
              </w:rPr>
            </w:pPr>
            <w:r>
              <w:rPr>
                <w:rFonts w:ascii="Times New Roman" w:hAnsi="Times New Roman"/>
                <w:sz w:val="24"/>
                <w:szCs w:val="24"/>
              </w:rPr>
              <w:t xml:space="preserve">Ministru kabineta noteikumu projektu </w:t>
            </w:r>
            <w:r w:rsidR="00B6430E" w:rsidRPr="00C770D6">
              <w:rPr>
                <w:rFonts w:ascii="Times New Roman" w:hAnsi="Times New Roman"/>
                <w:sz w:val="24"/>
                <w:szCs w:val="24"/>
              </w:rPr>
              <w:t xml:space="preserve">mērķis ir </w:t>
            </w:r>
            <w:r w:rsidR="00624B3B">
              <w:rPr>
                <w:rFonts w:ascii="Times New Roman" w:hAnsi="Times New Roman"/>
                <w:sz w:val="24"/>
                <w:szCs w:val="24"/>
              </w:rPr>
              <w:t>darbības programmas “Izaugsme un nodarbinātība” 4.3.1. specifiskā atbalsta mērķa “</w:t>
            </w:r>
            <w:r w:rsidR="00624B3B" w:rsidRPr="004B3904">
              <w:rPr>
                <w:rFonts w:ascii="Times New Roman" w:hAnsi="Times New Roman"/>
                <w:sz w:val="24"/>
                <w:szCs w:val="24"/>
              </w:rPr>
              <w:t>Veicināt energoefektivitāti un vietējo AER izmantošanu centralizētajā siltumapgādē</w:t>
            </w:r>
            <w:r w:rsidR="00624B3B">
              <w:rPr>
                <w:rFonts w:ascii="Times New Roman" w:hAnsi="Times New Roman"/>
                <w:sz w:val="24"/>
                <w:szCs w:val="24"/>
              </w:rPr>
              <w:t>” (turpmāk – SAM 4.3.1)</w:t>
            </w:r>
            <w:r w:rsidR="00624B3B" w:rsidRPr="004B3904">
              <w:rPr>
                <w:rFonts w:ascii="Times New Roman" w:hAnsi="Times New Roman"/>
                <w:sz w:val="24"/>
                <w:szCs w:val="24"/>
              </w:rPr>
              <w:t xml:space="preserve"> </w:t>
            </w:r>
            <w:r w:rsidR="004B3956">
              <w:rPr>
                <w:rFonts w:ascii="Times New Roman" w:hAnsi="Times New Roman"/>
                <w:sz w:val="24"/>
                <w:szCs w:val="24"/>
              </w:rPr>
              <w:t xml:space="preserve">abu kārtu </w:t>
            </w:r>
            <w:r w:rsidR="00624B3B">
              <w:rPr>
                <w:rFonts w:ascii="Times New Roman" w:hAnsi="Times New Roman"/>
                <w:sz w:val="24"/>
                <w:szCs w:val="24"/>
              </w:rPr>
              <w:t xml:space="preserve">ietvaros pagarināt </w:t>
            </w:r>
            <w:r w:rsidR="007C287C">
              <w:rPr>
                <w:rFonts w:ascii="Times New Roman" w:hAnsi="Times New Roman"/>
                <w:sz w:val="24"/>
                <w:szCs w:val="24"/>
              </w:rPr>
              <w:t>termiņu, kādā c</w:t>
            </w:r>
            <w:r w:rsidR="007C287C" w:rsidRPr="007C287C">
              <w:rPr>
                <w:rFonts w:ascii="Times New Roman" w:hAnsi="Times New Roman"/>
                <w:sz w:val="24"/>
                <w:szCs w:val="24"/>
              </w:rPr>
              <w:t>entralizētās siltumapgādes pakalpojuma sniedzējs, kuram uzticēts sniegt pakalpojumus ar vispārēju tautsaimniecisku nozīmi</w:t>
            </w:r>
            <w:r w:rsidR="007C287C">
              <w:rPr>
                <w:rFonts w:ascii="Times New Roman" w:hAnsi="Times New Roman"/>
                <w:sz w:val="24"/>
                <w:szCs w:val="24"/>
              </w:rPr>
              <w:t>,</w:t>
            </w:r>
            <w:r w:rsidR="007C287C" w:rsidRPr="007C287C">
              <w:rPr>
                <w:rFonts w:ascii="Times New Roman" w:hAnsi="Times New Roman"/>
                <w:sz w:val="24"/>
                <w:szCs w:val="24"/>
              </w:rPr>
              <w:t xml:space="preserve"> var lūgt sadarbības iestādi pārkvalificēt atlases kārtas ietvaros sniegto valsts atbalsta shēmu</w:t>
            </w:r>
            <w:r w:rsidR="008E5E6A">
              <w:rPr>
                <w:rFonts w:ascii="Times New Roman" w:hAnsi="Times New Roman"/>
                <w:sz w:val="24"/>
                <w:szCs w:val="24"/>
              </w:rPr>
              <w:t>.</w:t>
            </w:r>
            <w:r w:rsidR="0089783D" w:rsidRPr="0089783D">
              <w:rPr>
                <w:rFonts w:ascii="Times New Roman" w:hAnsi="Times New Roman"/>
                <w:sz w:val="24"/>
                <w:szCs w:val="24"/>
              </w:rPr>
              <w:t xml:space="preserve"> </w:t>
            </w:r>
          </w:p>
          <w:p w14:paraId="5533C901" w14:textId="1388B0C8" w:rsidR="00FE3A9B" w:rsidRPr="00C770D6" w:rsidRDefault="007C287C" w:rsidP="007C287C">
            <w:pPr>
              <w:spacing w:after="0" w:line="240" w:lineRule="auto"/>
              <w:ind w:left="142" w:right="130"/>
              <w:jc w:val="both"/>
              <w:rPr>
                <w:rFonts w:ascii="Times New Roman" w:hAnsi="Times New Roman"/>
                <w:sz w:val="24"/>
                <w:szCs w:val="24"/>
              </w:rPr>
            </w:pPr>
            <w:r>
              <w:rPr>
                <w:rFonts w:ascii="Times New Roman" w:hAnsi="Times New Roman"/>
                <w:sz w:val="24"/>
                <w:szCs w:val="24"/>
              </w:rPr>
              <w:t>Tiesību akts stāsies spēkā pēc tā publicēšanas Latvijas Vēstnesī.</w:t>
            </w:r>
          </w:p>
        </w:tc>
      </w:tr>
    </w:tbl>
    <w:p w14:paraId="11E7A3E5" w14:textId="13FE0A70" w:rsidR="00B6430E" w:rsidRDefault="00B6430E" w:rsidP="00D85523">
      <w:pPr>
        <w:spacing w:after="0" w:line="240" w:lineRule="auto"/>
        <w:rPr>
          <w:rFonts w:ascii="Times New Roman" w:eastAsia="Times New Roman" w:hAnsi="Times New Roman"/>
          <w:b/>
          <w:sz w:val="18"/>
          <w:szCs w:val="18"/>
          <w:lang w:eastAsia="lv-LV"/>
        </w:rPr>
      </w:pPr>
    </w:p>
    <w:p w14:paraId="13E331AF" w14:textId="77777777" w:rsidR="00E26CFB" w:rsidRPr="00C770D6" w:rsidRDefault="00E26CFB"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C770D6"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C770D6" w:rsidRDefault="009A312E" w:rsidP="0056559A">
            <w:pPr>
              <w:spacing w:after="0" w:line="240" w:lineRule="auto"/>
              <w:jc w:val="center"/>
              <w:rPr>
                <w:rFonts w:ascii="Times New Roman" w:eastAsia="Times New Roman" w:hAnsi="Times New Roman"/>
                <w:b/>
                <w:sz w:val="24"/>
                <w:szCs w:val="24"/>
                <w:lang w:eastAsia="lv-LV"/>
              </w:rPr>
            </w:pPr>
            <w:r w:rsidRPr="00C770D6">
              <w:rPr>
                <w:rFonts w:ascii="Times New Roman" w:eastAsia="Times New Roman" w:hAnsi="Times New Roman"/>
                <w:b/>
                <w:sz w:val="24"/>
                <w:szCs w:val="24"/>
                <w:lang w:eastAsia="lv-LV"/>
              </w:rPr>
              <w:t>I.</w:t>
            </w:r>
            <w:r w:rsidR="005630E5" w:rsidRPr="00C770D6">
              <w:rPr>
                <w:rFonts w:ascii="Times New Roman" w:eastAsia="Times New Roman" w:hAnsi="Times New Roman"/>
                <w:b/>
                <w:sz w:val="24"/>
                <w:szCs w:val="24"/>
                <w:lang w:eastAsia="lv-LV"/>
              </w:rPr>
              <w:t xml:space="preserve"> </w:t>
            </w:r>
            <w:r w:rsidRPr="00C770D6">
              <w:rPr>
                <w:rFonts w:ascii="Times New Roman" w:eastAsia="Times New Roman" w:hAnsi="Times New Roman"/>
                <w:b/>
                <w:sz w:val="24"/>
                <w:szCs w:val="24"/>
                <w:lang w:eastAsia="lv-LV"/>
              </w:rPr>
              <w:t>Tiesību akta projekta izstrādes nepieciešamība</w:t>
            </w:r>
          </w:p>
        </w:tc>
      </w:tr>
      <w:tr w:rsidR="009A312E" w:rsidRPr="00C770D6"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C770D6" w:rsidRDefault="009A312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1. </w:t>
            </w:r>
            <w:r w:rsidRPr="00C770D6">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0C79DDDC" w:rsidR="009A312E" w:rsidRPr="00C770D6" w:rsidRDefault="004B3904" w:rsidP="008F01F6">
            <w:pPr>
              <w:spacing w:after="0" w:line="240" w:lineRule="auto"/>
              <w:ind w:left="142" w:right="130"/>
              <w:jc w:val="both"/>
              <w:rPr>
                <w:rFonts w:ascii="Times New Roman" w:eastAsia="Times New Roman" w:hAnsi="Times New Roman"/>
                <w:sz w:val="24"/>
                <w:szCs w:val="24"/>
                <w:lang w:eastAsia="lv-LV"/>
              </w:rPr>
            </w:pPr>
            <w:r w:rsidRPr="004B3904">
              <w:rPr>
                <w:rFonts w:ascii="Times New Roman" w:hAnsi="Times New Roman"/>
                <w:sz w:val="24"/>
                <w:szCs w:val="24"/>
              </w:rPr>
              <w:t>Izdoti</w:t>
            </w:r>
            <w:r w:rsidRPr="00A2564E">
              <w:rPr>
                <w:rFonts w:ascii="Times New Roman" w:hAnsi="Times New Roman"/>
                <w:iCs/>
                <w:sz w:val="24"/>
                <w:szCs w:val="24"/>
                <w:shd w:val="clear" w:color="auto" w:fill="FFFFFF"/>
              </w:rPr>
              <w:t xml:space="preserve"> saskaņā ar </w:t>
            </w:r>
            <w:r>
              <w:rPr>
                <w:rFonts w:ascii="Times New Roman" w:hAnsi="Times New Roman"/>
                <w:iCs/>
                <w:sz w:val="24"/>
                <w:szCs w:val="24"/>
                <w:shd w:val="clear" w:color="auto" w:fill="FFFFFF"/>
              </w:rPr>
              <w:t xml:space="preserve">Eiropas Savienības struktūrfondu un Kohēzijas </w:t>
            </w:r>
            <w:r w:rsidRPr="0089783D">
              <w:rPr>
                <w:rFonts w:ascii="Times New Roman" w:hAnsi="Times New Roman"/>
                <w:sz w:val="24"/>
                <w:szCs w:val="24"/>
              </w:rPr>
              <w:t>fonda</w:t>
            </w:r>
            <w:r>
              <w:rPr>
                <w:rFonts w:ascii="Times New Roman" w:hAnsi="Times New Roman"/>
                <w:iCs/>
                <w:sz w:val="24"/>
                <w:szCs w:val="24"/>
                <w:shd w:val="clear" w:color="auto" w:fill="FFFFFF"/>
              </w:rPr>
              <w:t xml:space="preserve"> </w:t>
            </w:r>
            <w:r w:rsidRPr="0089783D">
              <w:rPr>
                <w:rFonts w:ascii="Times New Roman" w:hAnsi="Times New Roman"/>
                <w:sz w:val="24"/>
                <w:szCs w:val="24"/>
              </w:rPr>
              <w:t>2014</w:t>
            </w:r>
            <w:r>
              <w:rPr>
                <w:rFonts w:ascii="Times New Roman" w:hAnsi="Times New Roman"/>
                <w:iCs/>
                <w:sz w:val="24"/>
                <w:szCs w:val="24"/>
                <w:shd w:val="clear" w:color="auto" w:fill="FFFFFF"/>
              </w:rPr>
              <w:t xml:space="preserve">. - </w:t>
            </w:r>
            <w:r w:rsidRPr="006E0049">
              <w:rPr>
                <w:rFonts w:ascii="Times New Roman" w:hAnsi="Times New Roman"/>
                <w:sz w:val="24"/>
                <w:szCs w:val="24"/>
              </w:rPr>
              <w:t>2020</w:t>
            </w:r>
            <w:r>
              <w:rPr>
                <w:rFonts w:ascii="Times New Roman" w:hAnsi="Times New Roman"/>
                <w:iCs/>
                <w:sz w:val="24"/>
                <w:szCs w:val="24"/>
                <w:shd w:val="clear" w:color="auto" w:fill="FFFFFF"/>
              </w:rPr>
              <w:t>. gada plānošanas perioda vadības likuma 20. panta 13. punktu</w:t>
            </w:r>
            <w:r w:rsidR="00714546">
              <w:rPr>
                <w:rFonts w:ascii="Times New Roman" w:hAnsi="Times New Roman"/>
                <w:sz w:val="24"/>
                <w:szCs w:val="24"/>
              </w:rPr>
              <w:t>.</w:t>
            </w:r>
          </w:p>
        </w:tc>
      </w:tr>
      <w:tr w:rsidR="000617F8"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C770D6" w:rsidRDefault="000617F8"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2. Pašreizējā situācija un problēmas, kuru risināšanai tiesību akta projekts </w:t>
            </w:r>
            <w:r w:rsidRPr="00C770D6">
              <w:rPr>
                <w:rFonts w:ascii="Times New Roman" w:hAnsi="Times New Roman"/>
                <w:sz w:val="24"/>
                <w:szCs w:val="24"/>
              </w:rPr>
              <w:t>izstrādāts</w:t>
            </w:r>
            <w:r w:rsidRPr="00C770D6">
              <w:rPr>
                <w:rFonts w:ascii="Times New Roman" w:eastAsia="Times New Roman" w:hAnsi="Times New Roman"/>
                <w:sz w:val="24"/>
                <w:szCs w:val="24"/>
                <w:lang w:eastAsia="lv-LV"/>
              </w:rPr>
              <w:t>, tiesiskā regulējuma mērķis un būtība</w:t>
            </w:r>
          </w:p>
          <w:p w14:paraId="297B6956" w14:textId="77777777" w:rsidR="000617F8" w:rsidRPr="00C770D6" w:rsidRDefault="000617F8" w:rsidP="000617F8">
            <w:pPr>
              <w:rPr>
                <w:rFonts w:ascii="Times New Roman" w:eastAsia="Times New Roman" w:hAnsi="Times New Roman"/>
                <w:sz w:val="24"/>
                <w:szCs w:val="24"/>
                <w:lang w:eastAsia="lv-LV"/>
              </w:rPr>
            </w:pPr>
          </w:p>
          <w:p w14:paraId="7BE84821" w14:textId="77777777" w:rsidR="00C24F26" w:rsidRPr="00C24F26" w:rsidRDefault="00C24F26" w:rsidP="00C24F26">
            <w:pPr>
              <w:rPr>
                <w:rFonts w:ascii="Times New Roman" w:eastAsia="Times New Roman" w:hAnsi="Times New Roman"/>
                <w:sz w:val="24"/>
                <w:szCs w:val="24"/>
                <w:lang w:eastAsia="lv-LV"/>
              </w:rPr>
            </w:pPr>
          </w:p>
          <w:p w14:paraId="5A426205" w14:textId="3FB73AEC" w:rsidR="00C24F26" w:rsidRPr="00C24F26" w:rsidRDefault="00C24F26" w:rsidP="00C24F26">
            <w:pPr>
              <w:rPr>
                <w:rFonts w:ascii="Times New Roman" w:eastAsia="Times New Roman" w:hAnsi="Times New Roman"/>
                <w:sz w:val="24"/>
                <w:szCs w:val="24"/>
                <w:lang w:eastAsia="lv-LV"/>
              </w:rPr>
            </w:pPr>
          </w:p>
          <w:p w14:paraId="735C5928" w14:textId="77777777" w:rsidR="00C24F26" w:rsidRPr="00C24F26" w:rsidRDefault="00C24F26" w:rsidP="00C24F26">
            <w:pPr>
              <w:rPr>
                <w:rFonts w:ascii="Times New Roman" w:eastAsia="Times New Roman" w:hAnsi="Times New Roman"/>
                <w:sz w:val="24"/>
                <w:szCs w:val="24"/>
                <w:lang w:eastAsia="lv-LV"/>
              </w:rPr>
            </w:pPr>
          </w:p>
          <w:p w14:paraId="7C337869" w14:textId="5D9F4BBB" w:rsidR="00C24F26" w:rsidRPr="00C24F26" w:rsidRDefault="00C24F26" w:rsidP="00C24F26">
            <w:pPr>
              <w:rPr>
                <w:rFonts w:ascii="Times New Roman" w:eastAsia="Times New Roman" w:hAnsi="Times New Roman"/>
                <w:sz w:val="24"/>
                <w:szCs w:val="24"/>
                <w:lang w:eastAsia="lv-LV"/>
              </w:rPr>
            </w:pPr>
          </w:p>
          <w:p w14:paraId="43291AE0" w14:textId="77777777" w:rsidR="00C24F26" w:rsidRPr="00C24F26" w:rsidRDefault="00C24F26" w:rsidP="00C24F26">
            <w:pPr>
              <w:rPr>
                <w:rFonts w:ascii="Times New Roman" w:eastAsia="Times New Roman" w:hAnsi="Times New Roman"/>
                <w:sz w:val="24"/>
                <w:szCs w:val="24"/>
                <w:lang w:eastAsia="lv-LV"/>
              </w:rPr>
            </w:pPr>
          </w:p>
          <w:p w14:paraId="11325721" w14:textId="0571FB27" w:rsidR="00C24F26" w:rsidRDefault="00C24F26" w:rsidP="00C24F26">
            <w:pPr>
              <w:rPr>
                <w:rFonts w:ascii="Times New Roman" w:eastAsia="Times New Roman" w:hAnsi="Times New Roman"/>
                <w:sz w:val="24"/>
                <w:szCs w:val="24"/>
                <w:lang w:eastAsia="lv-LV"/>
              </w:rPr>
            </w:pPr>
          </w:p>
          <w:p w14:paraId="00BCC117" w14:textId="77777777" w:rsidR="000B3216" w:rsidRPr="000B3216" w:rsidRDefault="000B3216" w:rsidP="000B3216">
            <w:pPr>
              <w:rPr>
                <w:rFonts w:ascii="Times New Roman" w:eastAsia="Times New Roman" w:hAnsi="Times New Roman"/>
                <w:sz w:val="24"/>
                <w:szCs w:val="24"/>
                <w:lang w:eastAsia="lv-LV"/>
              </w:rPr>
            </w:pPr>
          </w:p>
          <w:p w14:paraId="4CEB99A4" w14:textId="77777777" w:rsidR="000B3216" w:rsidRPr="000B3216" w:rsidRDefault="000B3216" w:rsidP="000B3216">
            <w:pPr>
              <w:rPr>
                <w:rFonts w:ascii="Times New Roman" w:eastAsia="Times New Roman" w:hAnsi="Times New Roman"/>
                <w:sz w:val="24"/>
                <w:szCs w:val="24"/>
                <w:lang w:eastAsia="lv-LV"/>
              </w:rPr>
            </w:pPr>
          </w:p>
          <w:p w14:paraId="381FC56E" w14:textId="77777777" w:rsidR="000B3216" w:rsidRPr="000B3216" w:rsidRDefault="000B3216" w:rsidP="000B3216">
            <w:pPr>
              <w:rPr>
                <w:rFonts w:ascii="Times New Roman" w:eastAsia="Times New Roman" w:hAnsi="Times New Roman"/>
                <w:sz w:val="24"/>
                <w:szCs w:val="24"/>
                <w:lang w:eastAsia="lv-LV"/>
              </w:rPr>
            </w:pPr>
          </w:p>
          <w:p w14:paraId="05AB2B16" w14:textId="77777777" w:rsidR="000B3216" w:rsidRPr="000B3216" w:rsidRDefault="000B3216" w:rsidP="000B3216">
            <w:pPr>
              <w:rPr>
                <w:rFonts w:ascii="Times New Roman" w:eastAsia="Times New Roman" w:hAnsi="Times New Roman"/>
                <w:sz w:val="24"/>
                <w:szCs w:val="24"/>
                <w:lang w:eastAsia="lv-LV"/>
              </w:rPr>
            </w:pPr>
          </w:p>
          <w:p w14:paraId="308E6A0F" w14:textId="77777777" w:rsidR="000B3216" w:rsidRPr="000B3216" w:rsidRDefault="000B3216" w:rsidP="000B3216">
            <w:pPr>
              <w:rPr>
                <w:rFonts w:ascii="Times New Roman" w:eastAsia="Times New Roman" w:hAnsi="Times New Roman"/>
                <w:sz w:val="24"/>
                <w:szCs w:val="24"/>
                <w:lang w:eastAsia="lv-LV"/>
              </w:rPr>
            </w:pPr>
          </w:p>
          <w:p w14:paraId="1B151510" w14:textId="77777777" w:rsidR="000B3216" w:rsidRPr="000B3216" w:rsidRDefault="000B3216" w:rsidP="000B3216">
            <w:pPr>
              <w:rPr>
                <w:rFonts w:ascii="Times New Roman" w:eastAsia="Times New Roman" w:hAnsi="Times New Roman"/>
                <w:sz w:val="24"/>
                <w:szCs w:val="24"/>
                <w:lang w:eastAsia="lv-LV"/>
              </w:rPr>
            </w:pPr>
          </w:p>
          <w:p w14:paraId="7715248D" w14:textId="77777777" w:rsidR="000B3216" w:rsidRPr="000B3216" w:rsidRDefault="000B3216" w:rsidP="000B3216">
            <w:pPr>
              <w:rPr>
                <w:rFonts w:ascii="Times New Roman" w:eastAsia="Times New Roman" w:hAnsi="Times New Roman"/>
                <w:sz w:val="24"/>
                <w:szCs w:val="24"/>
                <w:lang w:eastAsia="lv-LV"/>
              </w:rPr>
            </w:pPr>
          </w:p>
          <w:p w14:paraId="4D41797F" w14:textId="77777777" w:rsidR="000B3216" w:rsidRPr="000B3216" w:rsidRDefault="000B3216" w:rsidP="000B3216">
            <w:pPr>
              <w:rPr>
                <w:rFonts w:ascii="Times New Roman" w:eastAsia="Times New Roman" w:hAnsi="Times New Roman"/>
                <w:sz w:val="24"/>
                <w:szCs w:val="24"/>
                <w:lang w:eastAsia="lv-LV"/>
              </w:rPr>
            </w:pPr>
          </w:p>
          <w:p w14:paraId="2FE05BAB" w14:textId="77777777" w:rsidR="000B3216" w:rsidRPr="000B3216" w:rsidRDefault="000B3216" w:rsidP="000B3216">
            <w:pPr>
              <w:rPr>
                <w:rFonts w:ascii="Times New Roman" w:eastAsia="Times New Roman" w:hAnsi="Times New Roman"/>
                <w:sz w:val="24"/>
                <w:szCs w:val="24"/>
                <w:lang w:eastAsia="lv-LV"/>
              </w:rPr>
            </w:pPr>
          </w:p>
          <w:p w14:paraId="34B908C3" w14:textId="77777777" w:rsidR="000B3216" w:rsidRPr="000B3216" w:rsidRDefault="000B3216" w:rsidP="000B3216">
            <w:pPr>
              <w:rPr>
                <w:rFonts w:ascii="Times New Roman" w:eastAsia="Times New Roman" w:hAnsi="Times New Roman"/>
                <w:sz w:val="24"/>
                <w:szCs w:val="24"/>
                <w:lang w:eastAsia="lv-LV"/>
              </w:rPr>
            </w:pPr>
          </w:p>
          <w:p w14:paraId="442506CB" w14:textId="77777777" w:rsidR="000B3216" w:rsidRPr="000B3216" w:rsidRDefault="000B3216" w:rsidP="000B3216">
            <w:pPr>
              <w:rPr>
                <w:rFonts w:ascii="Times New Roman" w:eastAsia="Times New Roman" w:hAnsi="Times New Roman"/>
                <w:sz w:val="24"/>
                <w:szCs w:val="24"/>
                <w:lang w:eastAsia="lv-LV"/>
              </w:rPr>
            </w:pPr>
          </w:p>
          <w:p w14:paraId="3EA1A288" w14:textId="77777777" w:rsidR="000B3216" w:rsidRPr="000B3216" w:rsidRDefault="000B3216" w:rsidP="000B3216">
            <w:pPr>
              <w:rPr>
                <w:rFonts w:ascii="Times New Roman" w:eastAsia="Times New Roman" w:hAnsi="Times New Roman"/>
                <w:sz w:val="24"/>
                <w:szCs w:val="24"/>
                <w:lang w:eastAsia="lv-LV"/>
              </w:rPr>
            </w:pPr>
          </w:p>
          <w:p w14:paraId="5FDE7EF2" w14:textId="75B8F655" w:rsidR="003B0680" w:rsidRPr="003B0680" w:rsidRDefault="003B0680" w:rsidP="003B0680">
            <w:pPr>
              <w:rPr>
                <w:rFonts w:ascii="Times New Roman" w:eastAsia="Times New Roman" w:hAnsi="Times New Roman"/>
                <w:sz w:val="24"/>
                <w:szCs w:val="24"/>
                <w:lang w:eastAsia="lv-LV"/>
              </w:rPr>
            </w:pPr>
          </w:p>
          <w:p w14:paraId="53CF14B6" w14:textId="77777777" w:rsidR="003B0680" w:rsidRPr="003B0680" w:rsidRDefault="003B0680" w:rsidP="003B0680">
            <w:pPr>
              <w:rPr>
                <w:rFonts w:ascii="Times New Roman" w:eastAsia="Times New Roman" w:hAnsi="Times New Roman"/>
                <w:sz w:val="24"/>
                <w:szCs w:val="24"/>
                <w:lang w:eastAsia="lv-LV"/>
              </w:rPr>
            </w:pPr>
          </w:p>
          <w:p w14:paraId="2E075AFB" w14:textId="6B3A2B6B" w:rsidR="003B0680" w:rsidRPr="003B0680" w:rsidRDefault="003B0680" w:rsidP="003B0680">
            <w:pPr>
              <w:rPr>
                <w:rFonts w:ascii="Times New Roman" w:eastAsia="Times New Roman" w:hAnsi="Times New Roman"/>
                <w:sz w:val="24"/>
                <w:szCs w:val="24"/>
                <w:lang w:eastAsia="lv-LV"/>
              </w:rPr>
            </w:pPr>
          </w:p>
          <w:p w14:paraId="31A098B7" w14:textId="77777777" w:rsidR="003B0680" w:rsidRPr="003B0680" w:rsidRDefault="003B0680" w:rsidP="003B0680">
            <w:pPr>
              <w:rPr>
                <w:rFonts w:ascii="Times New Roman" w:eastAsia="Times New Roman" w:hAnsi="Times New Roman"/>
                <w:sz w:val="24"/>
                <w:szCs w:val="24"/>
                <w:lang w:eastAsia="lv-LV"/>
              </w:rPr>
            </w:pPr>
          </w:p>
          <w:p w14:paraId="2BEE09B1" w14:textId="65F6A73C" w:rsidR="003B0680" w:rsidRPr="003B0680" w:rsidRDefault="003B0680" w:rsidP="003B0680">
            <w:pPr>
              <w:rPr>
                <w:rFonts w:ascii="Times New Roman" w:eastAsia="Times New Roman" w:hAnsi="Times New Roman"/>
                <w:sz w:val="24"/>
                <w:szCs w:val="24"/>
                <w:lang w:eastAsia="lv-LV"/>
              </w:rPr>
            </w:pPr>
          </w:p>
          <w:p w14:paraId="427AA421" w14:textId="77777777" w:rsidR="003B0680" w:rsidRPr="003B0680" w:rsidRDefault="003B0680" w:rsidP="003B0680">
            <w:pPr>
              <w:rPr>
                <w:rFonts w:ascii="Times New Roman" w:eastAsia="Times New Roman" w:hAnsi="Times New Roman"/>
                <w:sz w:val="24"/>
                <w:szCs w:val="24"/>
                <w:lang w:eastAsia="lv-LV"/>
              </w:rPr>
            </w:pPr>
          </w:p>
          <w:p w14:paraId="527D09E4" w14:textId="21F16372" w:rsidR="003B0680" w:rsidRPr="003B0680" w:rsidRDefault="003B0680" w:rsidP="003B0680">
            <w:pPr>
              <w:rPr>
                <w:rFonts w:ascii="Times New Roman" w:eastAsia="Times New Roman" w:hAnsi="Times New Roman"/>
                <w:sz w:val="24"/>
                <w:szCs w:val="24"/>
                <w:lang w:eastAsia="lv-LV"/>
              </w:rPr>
            </w:pPr>
          </w:p>
          <w:p w14:paraId="4480CA4E" w14:textId="77777777" w:rsidR="003B0680" w:rsidRPr="003B0680" w:rsidRDefault="003B0680" w:rsidP="003B0680">
            <w:pPr>
              <w:rPr>
                <w:rFonts w:ascii="Times New Roman" w:eastAsia="Times New Roman" w:hAnsi="Times New Roman"/>
                <w:sz w:val="24"/>
                <w:szCs w:val="24"/>
                <w:lang w:eastAsia="lv-LV"/>
              </w:rPr>
            </w:pPr>
          </w:p>
          <w:p w14:paraId="152542C5" w14:textId="517F2FBF" w:rsidR="003B0680" w:rsidRPr="003B0680" w:rsidRDefault="003B0680" w:rsidP="003B0680">
            <w:pPr>
              <w:rPr>
                <w:rFonts w:ascii="Times New Roman" w:eastAsia="Times New Roman" w:hAnsi="Times New Roman"/>
                <w:sz w:val="24"/>
                <w:szCs w:val="24"/>
                <w:lang w:eastAsia="lv-LV"/>
              </w:rPr>
            </w:pPr>
          </w:p>
          <w:p w14:paraId="1757845C" w14:textId="77777777" w:rsidR="003B0680" w:rsidRPr="003B0680" w:rsidRDefault="003B0680" w:rsidP="003B0680">
            <w:pPr>
              <w:rPr>
                <w:rFonts w:ascii="Times New Roman" w:eastAsia="Times New Roman" w:hAnsi="Times New Roman"/>
                <w:sz w:val="24"/>
                <w:szCs w:val="24"/>
                <w:lang w:eastAsia="lv-LV"/>
              </w:rPr>
            </w:pPr>
          </w:p>
          <w:p w14:paraId="6DA503B7" w14:textId="6E8C730C" w:rsidR="003B0680" w:rsidRPr="003B0680" w:rsidRDefault="003B0680" w:rsidP="003B0680">
            <w:pPr>
              <w:rPr>
                <w:rFonts w:ascii="Times New Roman" w:eastAsia="Times New Roman" w:hAnsi="Times New Roman"/>
                <w:sz w:val="24"/>
                <w:szCs w:val="24"/>
                <w:lang w:eastAsia="lv-LV"/>
              </w:rPr>
            </w:pPr>
          </w:p>
          <w:p w14:paraId="1D267F09" w14:textId="77777777" w:rsidR="003B0680" w:rsidRPr="003B0680" w:rsidRDefault="003B0680" w:rsidP="003B0680">
            <w:pPr>
              <w:rPr>
                <w:rFonts w:ascii="Times New Roman" w:eastAsia="Times New Roman" w:hAnsi="Times New Roman"/>
                <w:sz w:val="24"/>
                <w:szCs w:val="24"/>
                <w:lang w:eastAsia="lv-LV"/>
              </w:rPr>
            </w:pPr>
          </w:p>
          <w:p w14:paraId="3DE79A82" w14:textId="791F52AD" w:rsidR="003B0680" w:rsidRPr="003B0680" w:rsidRDefault="003B0680" w:rsidP="003B0680">
            <w:pPr>
              <w:rPr>
                <w:rFonts w:ascii="Times New Roman" w:eastAsia="Times New Roman" w:hAnsi="Times New Roman"/>
                <w:sz w:val="24"/>
                <w:szCs w:val="24"/>
                <w:lang w:eastAsia="lv-LV"/>
              </w:rPr>
            </w:pPr>
          </w:p>
          <w:p w14:paraId="41B3B4CD" w14:textId="037523AC" w:rsidR="003B0680" w:rsidRDefault="003B0680" w:rsidP="003B0680">
            <w:pPr>
              <w:rPr>
                <w:rFonts w:ascii="Times New Roman" w:eastAsia="Times New Roman" w:hAnsi="Times New Roman"/>
                <w:sz w:val="24"/>
                <w:szCs w:val="24"/>
                <w:lang w:eastAsia="lv-LV"/>
              </w:rPr>
            </w:pPr>
          </w:p>
          <w:p w14:paraId="3FE639E0" w14:textId="77777777" w:rsidR="000B3216" w:rsidRPr="000B3216" w:rsidRDefault="000B3216" w:rsidP="000B3216">
            <w:pPr>
              <w:rPr>
                <w:rFonts w:ascii="Times New Roman" w:eastAsia="Times New Roman" w:hAnsi="Times New Roman"/>
                <w:sz w:val="24"/>
                <w:szCs w:val="24"/>
                <w:lang w:eastAsia="lv-LV"/>
              </w:rPr>
            </w:pPr>
          </w:p>
          <w:p w14:paraId="643940BB" w14:textId="77777777" w:rsidR="000B3216" w:rsidRPr="000B3216" w:rsidRDefault="000B3216" w:rsidP="000B3216">
            <w:pPr>
              <w:rPr>
                <w:rFonts w:ascii="Times New Roman" w:eastAsia="Times New Roman" w:hAnsi="Times New Roman"/>
                <w:sz w:val="24"/>
                <w:szCs w:val="24"/>
                <w:lang w:eastAsia="lv-LV"/>
              </w:rPr>
            </w:pPr>
          </w:p>
          <w:p w14:paraId="5D24491D" w14:textId="77777777" w:rsidR="000B3216" w:rsidRPr="000B3216" w:rsidRDefault="000B3216" w:rsidP="000B3216">
            <w:pPr>
              <w:rPr>
                <w:rFonts w:ascii="Times New Roman" w:eastAsia="Times New Roman" w:hAnsi="Times New Roman"/>
                <w:sz w:val="24"/>
                <w:szCs w:val="24"/>
                <w:lang w:eastAsia="lv-LV"/>
              </w:rPr>
            </w:pPr>
          </w:p>
          <w:p w14:paraId="4076E49D" w14:textId="77777777" w:rsidR="000B3216" w:rsidRPr="000B3216" w:rsidRDefault="000B3216" w:rsidP="000B3216">
            <w:pPr>
              <w:rPr>
                <w:rFonts w:ascii="Times New Roman" w:eastAsia="Times New Roman" w:hAnsi="Times New Roman"/>
                <w:sz w:val="24"/>
                <w:szCs w:val="24"/>
                <w:lang w:eastAsia="lv-LV"/>
              </w:rPr>
            </w:pPr>
          </w:p>
          <w:p w14:paraId="21DD8388" w14:textId="77777777" w:rsidR="000B3216" w:rsidRPr="000B3216" w:rsidRDefault="000B3216" w:rsidP="000B3216">
            <w:pPr>
              <w:rPr>
                <w:rFonts w:ascii="Times New Roman" w:eastAsia="Times New Roman" w:hAnsi="Times New Roman"/>
                <w:sz w:val="24"/>
                <w:szCs w:val="24"/>
                <w:lang w:eastAsia="lv-LV"/>
              </w:rPr>
            </w:pPr>
          </w:p>
          <w:p w14:paraId="64A15416" w14:textId="77777777" w:rsidR="000B3216" w:rsidRPr="000B3216" w:rsidRDefault="000B3216" w:rsidP="000B3216">
            <w:pPr>
              <w:rPr>
                <w:rFonts w:ascii="Times New Roman" w:eastAsia="Times New Roman" w:hAnsi="Times New Roman"/>
                <w:sz w:val="24"/>
                <w:szCs w:val="24"/>
                <w:lang w:eastAsia="lv-LV"/>
              </w:rPr>
            </w:pPr>
          </w:p>
          <w:p w14:paraId="55F28379" w14:textId="77777777" w:rsidR="000B3216" w:rsidRPr="000B3216" w:rsidRDefault="000B3216" w:rsidP="000B3216">
            <w:pPr>
              <w:rPr>
                <w:rFonts w:ascii="Times New Roman" w:eastAsia="Times New Roman" w:hAnsi="Times New Roman"/>
                <w:sz w:val="24"/>
                <w:szCs w:val="24"/>
                <w:lang w:eastAsia="lv-LV"/>
              </w:rPr>
            </w:pPr>
          </w:p>
          <w:p w14:paraId="06323EA9" w14:textId="77777777" w:rsidR="000B3216" w:rsidRPr="000B3216" w:rsidRDefault="000B3216" w:rsidP="000B3216">
            <w:pPr>
              <w:rPr>
                <w:rFonts w:ascii="Times New Roman" w:eastAsia="Times New Roman" w:hAnsi="Times New Roman"/>
                <w:sz w:val="24"/>
                <w:szCs w:val="24"/>
                <w:lang w:eastAsia="lv-LV"/>
              </w:rPr>
            </w:pPr>
          </w:p>
          <w:p w14:paraId="268AADDE" w14:textId="77777777" w:rsidR="000B3216" w:rsidRPr="000B3216" w:rsidRDefault="000B3216" w:rsidP="000B3216">
            <w:pPr>
              <w:rPr>
                <w:rFonts w:ascii="Times New Roman" w:eastAsia="Times New Roman" w:hAnsi="Times New Roman"/>
                <w:sz w:val="24"/>
                <w:szCs w:val="24"/>
                <w:lang w:eastAsia="lv-LV"/>
              </w:rPr>
            </w:pPr>
          </w:p>
          <w:p w14:paraId="687735BC" w14:textId="77777777" w:rsidR="000B3216" w:rsidRPr="000B3216" w:rsidRDefault="000B3216" w:rsidP="000B3216">
            <w:pPr>
              <w:rPr>
                <w:rFonts w:ascii="Times New Roman" w:eastAsia="Times New Roman" w:hAnsi="Times New Roman"/>
                <w:sz w:val="24"/>
                <w:szCs w:val="24"/>
                <w:lang w:eastAsia="lv-LV"/>
              </w:rPr>
            </w:pPr>
          </w:p>
          <w:p w14:paraId="0946AE3A" w14:textId="77777777" w:rsidR="000B3216" w:rsidRPr="000B3216" w:rsidRDefault="000B3216" w:rsidP="000B3216">
            <w:pPr>
              <w:rPr>
                <w:rFonts w:ascii="Times New Roman" w:eastAsia="Times New Roman" w:hAnsi="Times New Roman"/>
                <w:sz w:val="24"/>
                <w:szCs w:val="24"/>
                <w:lang w:eastAsia="lv-LV"/>
              </w:rPr>
            </w:pPr>
          </w:p>
          <w:p w14:paraId="5872090F" w14:textId="77777777" w:rsidR="000B3216" w:rsidRPr="000B3216" w:rsidRDefault="000B3216" w:rsidP="000B3216">
            <w:pPr>
              <w:rPr>
                <w:rFonts w:ascii="Times New Roman" w:eastAsia="Times New Roman" w:hAnsi="Times New Roman"/>
                <w:sz w:val="24"/>
                <w:szCs w:val="24"/>
                <w:lang w:eastAsia="lv-LV"/>
              </w:rPr>
            </w:pPr>
          </w:p>
          <w:p w14:paraId="135914A8" w14:textId="5B7A21A9" w:rsidR="003B0680" w:rsidRPr="003B0680" w:rsidRDefault="003B0680" w:rsidP="003B0680">
            <w:pPr>
              <w:rPr>
                <w:rFonts w:ascii="Times New Roman" w:eastAsia="Times New Roman" w:hAnsi="Times New Roman"/>
                <w:sz w:val="24"/>
                <w:szCs w:val="24"/>
                <w:lang w:eastAsia="lv-LV"/>
              </w:rPr>
            </w:pPr>
          </w:p>
          <w:p w14:paraId="776A25CF" w14:textId="77777777" w:rsidR="003B0680" w:rsidRPr="003B0680" w:rsidRDefault="003B0680" w:rsidP="003B0680">
            <w:pPr>
              <w:rPr>
                <w:rFonts w:ascii="Times New Roman" w:eastAsia="Times New Roman" w:hAnsi="Times New Roman"/>
                <w:sz w:val="24"/>
                <w:szCs w:val="24"/>
                <w:lang w:eastAsia="lv-LV"/>
              </w:rPr>
            </w:pPr>
          </w:p>
          <w:p w14:paraId="1A328B84" w14:textId="201F0811" w:rsidR="003B0680" w:rsidRPr="003B0680" w:rsidRDefault="003B0680" w:rsidP="003B0680">
            <w:pPr>
              <w:rPr>
                <w:rFonts w:ascii="Times New Roman" w:eastAsia="Times New Roman" w:hAnsi="Times New Roman"/>
                <w:sz w:val="24"/>
                <w:szCs w:val="24"/>
                <w:lang w:eastAsia="lv-LV"/>
              </w:rPr>
            </w:pPr>
          </w:p>
          <w:p w14:paraId="61854818" w14:textId="77777777" w:rsidR="003B0680" w:rsidRPr="003B0680" w:rsidRDefault="003B0680" w:rsidP="003B0680">
            <w:pPr>
              <w:rPr>
                <w:rFonts w:ascii="Times New Roman" w:eastAsia="Times New Roman" w:hAnsi="Times New Roman"/>
                <w:sz w:val="24"/>
                <w:szCs w:val="24"/>
                <w:lang w:eastAsia="lv-LV"/>
              </w:rPr>
            </w:pPr>
          </w:p>
          <w:p w14:paraId="4AF0D2DA" w14:textId="13D5C7EB" w:rsidR="003B0680" w:rsidRPr="003B0680" w:rsidRDefault="003B0680" w:rsidP="003B0680">
            <w:pPr>
              <w:rPr>
                <w:rFonts w:ascii="Times New Roman" w:eastAsia="Times New Roman" w:hAnsi="Times New Roman"/>
                <w:sz w:val="24"/>
                <w:szCs w:val="24"/>
                <w:lang w:eastAsia="lv-LV"/>
              </w:rPr>
            </w:pPr>
          </w:p>
          <w:p w14:paraId="0B634A3B" w14:textId="77777777" w:rsidR="003B0680" w:rsidRPr="003B0680" w:rsidRDefault="003B0680" w:rsidP="003B0680">
            <w:pPr>
              <w:rPr>
                <w:rFonts w:ascii="Times New Roman" w:eastAsia="Times New Roman" w:hAnsi="Times New Roman"/>
                <w:sz w:val="24"/>
                <w:szCs w:val="24"/>
                <w:lang w:eastAsia="lv-LV"/>
              </w:rPr>
            </w:pPr>
          </w:p>
          <w:p w14:paraId="087A16DB" w14:textId="4ECB8309" w:rsidR="003B0680" w:rsidRPr="003B0680" w:rsidRDefault="003B0680" w:rsidP="003B0680">
            <w:pPr>
              <w:rPr>
                <w:rFonts w:ascii="Times New Roman" w:eastAsia="Times New Roman" w:hAnsi="Times New Roman"/>
                <w:sz w:val="24"/>
                <w:szCs w:val="24"/>
                <w:lang w:eastAsia="lv-LV"/>
              </w:rPr>
            </w:pPr>
          </w:p>
          <w:p w14:paraId="706EC1F0" w14:textId="77777777" w:rsidR="003B0680" w:rsidRPr="003B0680" w:rsidRDefault="003B0680" w:rsidP="003B0680">
            <w:pPr>
              <w:rPr>
                <w:rFonts w:ascii="Times New Roman" w:eastAsia="Times New Roman" w:hAnsi="Times New Roman"/>
                <w:sz w:val="24"/>
                <w:szCs w:val="24"/>
                <w:lang w:eastAsia="lv-LV"/>
              </w:rPr>
            </w:pPr>
          </w:p>
          <w:p w14:paraId="5F61D7A4" w14:textId="479A97A1" w:rsidR="003B0680" w:rsidRPr="003B0680" w:rsidRDefault="003B0680" w:rsidP="003B0680">
            <w:pPr>
              <w:rPr>
                <w:rFonts w:ascii="Times New Roman" w:eastAsia="Times New Roman" w:hAnsi="Times New Roman"/>
                <w:sz w:val="24"/>
                <w:szCs w:val="24"/>
                <w:lang w:eastAsia="lv-LV"/>
              </w:rPr>
            </w:pPr>
          </w:p>
          <w:p w14:paraId="10B7C84B" w14:textId="77777777" w:rsidR="003B0680" w:rsidRPr="003B0680" w:rsidRDefault="003B0680" w:rsidP="003B0680">
            <w:pPr>
              <w:rPr>
                <w:rFonts w:ascii="Times New Roman" w:eastAsia="Times New Roman" w:hAnsi="Times New Roman"/>
                <w:sz w:val="24"/>
                <w:szCs w:val="24"/>
                <w:lang w:eastAsia="lv-LV"/>
              </w:rPr>
            </w:pPr>
          </w:p>
          <w:p w14:paraId="435F5868" w14:textId="3BCF6393" w:rsidR="00777602" w:rsidRPr="00777602" w:rsidRDefault="00777602" w:rsidP="00777602">
            <w:pPr>
              <w:rPr>
                <w:rFonts w:ascii="Times New Roman" w:eastAsia="Times New Roman" w:hAnsi="Times New Roman"/>
                <w:sz w:val="24"/>
                <w:szCs w:val="24"/>
                <w:lang w:eastAsia="lv-LV"/>
              </w:rPr>
            </w:pPr>
          </w:p>
          <w:p w14:paraId="1E2BD76B" w14:textId="77777777" w:rsidR="00777602" w:rsidRPr="00777602" w:rsidRDefault="00777602" w:rsidP="00777602">
            <w:pPr>
              <w:rPr>
                <w:rFonts w:ascii="Times New Roman" w:eastAsia="Times New Roman" w:hAnsi="Times New Roman"/>
                <w:sz w:val="24"/>
                <w:szCs w:val="24"/>
                <w:lang w:eastAsia="lv-LV"/>
              </w:rPr>
            </w:pPr>
          </w:p>
          <w:p w14:paraId="1E8FF843" w14:textId="1433DE96" w:rsidR="00777602" w:rsidRPr="00777602" w:rsidRDefault="00777602" w:rsidP="00777602">
            <w:pPr>
              <w:rPr>
                <w:rFonts w:ascii="Times New Roman" w:eastAsia="Times New Roman" w:hAnsi="Times New Roman"/>
                <w:sz w:val="24"/>
                <w:szCs w:val="24"/>
                <w:lang w:eastAsia="lv-LV"/>
              </w:rPr>
            </w:pPr>
          </w:p>
          <w:p w14:paraId="24EED578" w14:textId="77777777" w:rsidR="00777602" w:rsidRPr="00777602" w:rsidRDefault="00777602" w:rsidP="00777602">
            <w:pPr>
              <w:rPr>
                <w:rFonts w:ascii="Times New Roman" w:eastAsia="Times New Roman" w:hAnsi="Times New Roman"/>
                <w:sz w:val="24"/>
                <w:szCs w:val="24"/>
                <w:lang w:eastAsia="lv-LV"/>
              </w:rPr>
            </w:pPr>
            <w:bookmarkStart w:id="4" w:name="_GoBack"/>
            <w:bookmarkEnd w:id="4"/>
          </w:p>
          <w:p w14:paraId="722DB753" w14:textId="5EDEE044" w:rsidR="00777602" w:rsidRPr="00777602" w:rsidRDefault="00777602" w:rsidP="00777602">
            <w:pPr>
              <w:rPr>
                <w:rFonts w:ascii="Times New Roman" w:eastAsia="Times New Roman" w:hAnsi="Times New Roman"/>
                <w:sz w:val="24"/>
                <w:szCs w:val="24"/>
                <w:lang w:eastAsia="lv-LV"/>
              </w:rPr>
            </w:pPr>
          </w:p>
          <w:p w14:paraId="274E66F3" w14:textId="77777777" w:rsidR="00777602" w:rsidRPr="00777602" w:rsidRDefault="00777602" w:rsidP="00777602">
            <w:pPr>
              <w:rPr>
                <w:rFonts w:ascii="Times New Roman" w:eastAsia="Times New Roman" w:hAnsi="Times New Roman"/>
                <w:sz w:val="24"/>
                <w:szCs w:val="24"/>
                <w:lang w:eastAsia="lv-LV"/>
              </w:rPr>
            </w:pPr>
          </w:p>
          <w:p w14:paraId="6E834297" w14:textId="3C9E7E70" w:rsidR="00777602" w:rsidRPr="00777602" w:rsidRDefault="00777602" w:rsidP="00777602">
            <w:pPr>
              <w:rPr>
                <w:rFonts w:ascii="Times New Roman" w:eastAsia="Times New Roman" w:hAnsi="Times New Roman"/>
                <w:sz w:val="24"/>
                <w:szCs w:val="24"/>
                <w:lang w:eastAsia="lv-LV"/>
              </w:rPr>
            </w:pPr>
          </w:p>
          <w:p w14:paraId="2765519A" w14:textId="77777777" w:rsidR="00777602" w:rsidRPr="00777602" w:rsidRDefault="00777602" w:rsidP="00777602">
            <w:pPr>
              <w:rPr>
                <w:rFonts w:ascii="Times New Roman" w:eastAsia="Times New Roman" w:hAnsi="Times New Roman"/>
                <w:sz w:val="24"/>
                <w:szCs w:val="24"/>
                <w:lang w:eastAsia="lv-LV"/>
              </w:rPr>
            </w:pPr>
          </w:p>
          <w:p w14:paraId="13F35D18" w14:textId="7A4725D3" w:rsidR="00777602" w:rsidRPr="00777602" w:rsidRDefault="00777602" w:rsidP="00777602">
            <w:pPr>
              <w:rPr>
                <w:rFonts w:ascii="Times New Roman" w:eastAsia="Times New Roman" w:hAnsi="Times New Roman"/>
                <w:sz w:val="24"/>
                <w:szCs w:val="24"/>
                <w:lang w:eastAsia="lv-LV"/>
              </w:rPr>
            </w:pPr>
          </w:p>
          <w:p w14:paraId="16831421" w14:textId="77777777" w:rsidR="00777602" w:rsidRPr="00777602" w:rsidRDefault="00777602" w:rsidP="00777602">
            <w:pPr>
              <w:rPr>
                <w:rFonts w:ascii="Times New Roman" w:eastAsia="Times New Roman" w:hAnsi="Times New Roman"/>
                <w:sz w:val="24"/>
                <w:szCs w:val="24"/>
                <w:lang w:eastAsia="lv-LV"/>
              </w:rPr>
            </w:pPr>
          </w:p>
          <w:p w14:paraId="0479882F" w14:textId="456A2FB1" w:rsidR="00777602" w:rsidRPr="00777602" w:rsidRDefault="00777602" w:rsidP="00777602">
            <w:pPr>
              <w:rPr>
                <w:rFonts w:ascii="Times New Roman" w:eastAsia="Times New Roman" w:hAnsi="Times New Roman"/>
                <w:sz w:val="24"/>
                <w:szCs w:val="24"/>
                <w:lang w:eastAsia="lv-LV"/>
              </w:rPr>
            </w:pPr>
          </w:p>
          <w:p w14:paraId="15B4711F" w14:textId="77777777" w:rsidR="00777602" w:rsidRPr="00777602" w:rsidRDefault="00777602" w:rsidP="00777602">
            <w:pPr>
              <w:rPr>
                <w:rFonts w:ascii="Times New Roman" w:eastAsia="Times New Roman" w:hAnsi="Times New Roman"/>
                <w:sz w:val="24"/>
                <w:szCs w:val="24"/>
                <w:lang w:eastAsia="lv-LV"/>
              </w:rPr>
            </w:pPr>
          </w:p>
          <w:p w14:paraId="1F78DB44" w14:textId="7A8083BC" w:rsidR="00777602" w:rsidRPr="00777602" w:rsidRDefault="00777602" w:rsidP="00777602">
            <w:pPr>
              <w:rPr>
                <w:rFonts w:ascii="Times New Roman" w:eastAsia="Times New Roman" w:hAnsi="Times New Roman"/>
                <w:sz w:val="24"/>
                <w:szCs w:val="24"/>
                <w:lang w:eastAsia="lv-LV"/>
              </w:rPr>
            </w:pPr>
          </w:p>
          <w:p w14:paraId="2F4AC0CE" w14:textId="77777777" w:rsidR="00777602" w:rsidRPr="00777602" w:rsidRDefault="00777602" w:rsidP="00777602">
            <w:pPr>
              <w:rPr>
                <w:rFonts w:ascii="Times New Roman" w:eastAsia="Times New Roman" w:hAnsi="Times New Roman"/>
                <w:sz w:val="24"/>
                <w:szCs w:val="24"/>
                <w:lang w:eastAsia="lv-LV"/>
              </w:rPr>
            </w:pPr>
          </w:p>
          <w:p w14:paraId="2FF618F2" w14:textId="0F27C80B" w:rsidR="00777602" w:rsidRPr="00777602" w:rsidRDefault="00777602" w:rsidP="00777602">
            <w:pPr>
              <w:rPr>
                <w:rFonts w:ascii="Times New Roman" w:eastAsia="Times New Roman" w:hAnsi="Times New Roman"/>
                <w:sz w:val="24"/>
                <w:szCs w:val="24"/>
                <w:lang w:eastAsia="lv-LV"/>
              </w:rPr>
            </w:pPr>
          </w:p>
          <w:p w14:paraId="04321675" w14:textId="77777777" w:rsidR="00777602" w:rsidRPr="00777602" w:rsidRDefault="00777602" w:rsidP="00777602">
            <w:pPr>
              <w:rPr>
                <w:rFonts w:ascii="Times New Roman" w:eastAsia="Times New Roman" w:hAnsi="Times New Roman"/>
                <w:sz w:val="24"/>
                <w:szCs w:val="24"/>
                <w:lang w:eastAsia="lv-LV"/>
              </w:rPr>
            </w:pPr>
          </w:p>
          <w:p w14:paraId="4CE62A9D" w14:textId="34FD9C95" w:rsidR="00777602" w:rsidRPr="00777602" w:rsidRDefault="00777602" w:rsidP="00777602">
            <w:pPr>
              <w:rPr>
                <w:rFonts w:ascii="Times New Roman" w:eastAsia="Times New Roman" w:hAnsi="Times New Roman"/>
                <w:sz w:val="24"/>
                <w:szCs w:val="24"/>
                <w:lang w:eastAsia="lv-LV"/>
              </w:rPr>
            </w:pPr>
          </w:p>
          <w:p w14:paraId="006CC7EA" w14:textId="77777777" w:rsidR="00777602" w:rsidRPr="00777602" w:rsidRDefault="00777602" w:rsidP="00777602">
            <w:pPr>
              <w:rPr>
                <w:rFonts w:ascii="Times New Roman" w:eastAsia="Times New Roman" w:hAnsi="Times New Roman"/>
                <w:sz w:val="24"/>
                <w:szCs w:val="24"/>
                <w:lang w:eastAsia="lv-LV"/>
              </w:rPr>
            </w:pPr>
          </w:p>
          <w:p w14:paraId="628DBBD7" w14:textId="726C1C71" w:rsidR="00777602" w:rsidRPr="00777602" w:rsidRDefault="00777602" w:rsidP="00777602">
            <w:pPr>
              <w:rPr>
                <w:rFonts w:ascii="Times New Roman" w:eastAsia="Times New Roman" w:hAnsi="Times New Roman"/>
                <w:sz w:val="24"/>
                <w:szCs w:val="24"/>
                <w:lang w:eastAsia="lv-LV"/>
              </w:rPr>
            </w:pPr>
          </w:p>
          <w:p w14:paraId="388C0620" w14:textId="77777777" w:rsidR="00777602" w:rsidRPr="00777602" w:rsidRDefault="00777602" w:rsidP="00777602">
            <w:pPr>
              <w:rPr>
                <w:rFonts w:ascii="Times New Roman" w:eastAsia="Times New Roman" w:hAnsi="Times New Roman"/>
                <w:sz w:val="24"/>
                <w:szCs w:val="24"/>
                <w:lang w:eastAsia="lv-LV"/>
              </w:rPr>
            </w:pPr>
          </w:p>
          <w:p w14:paraId="76D9B7C9" w14:textId="196C94C1" w:rsidR="00777602" w:rsidRPr="00777602" w:rsidRDefault="00777602" w:rsidP="00777602">
            <w:pPr>
              <w:rPr>
                <w:rFonts w:ascii="Times New Roman" w:eastAsia="Times New Roman" w:hAnsi="Times New Roman"/>
                <w:sz w:val="24"/>
                <w:szCs w:val="24"/>
                <w:lang w:eastAsia="lv-LV"/>
              </w:rPr>
            </w:pPr>
          </w:p>
          <w:p w14:paraId="759377F7" w14:textId="77777777" w:rsidR="00777602" w:rsidRPr="00777602" w:rsidRDefault="00777602" w:rsidP="00777602">
            <w:pPr>
              <w:rPr>
                <w:rFonts w:ascii="Times New Roman" w:eastAsia="Times New Roman" w:hAnsi="Times New Roman"/>
                <w:sz w:val="24"/>
                <w:szCs w:val="24"/>
                <w:lang w:eastAsia="lv-LV"/>
              </w:rPr>
            </w:pPr>
          </w:p>
          <w:p w14:paraId="6D1D2D3A" w14:textId="135CF825" w:rsidR="00777602" w:rsidRPr="00777602" w:rsidRDefault="00777602" w:rsidP="00777602">
            <w:pPr>
              <w:rPr>
                <w:rFonts w:ascii="Times New Roman" w:eastAsia="Times New Roman" w:hAnsi="Times New Roman"/>
                <w:sz w:val="24"/>
                <w:szCs w:val="24"/>
                <w:lang w:eastAsia="lv-LV"/>
              </w:rPr>
            </w:pPr>
          </w:p>
          <w:p w14:paraId="70A85078" w14:textId="77777777" w:rsidR="00777602" w:rsidRPr="00777602" w:rsidRDefault="00777602" w:rsidP="00777602">
            <w:pPr>
              <w:rPr>
                <w:rFonts w:ascii="Times New Roman" w:eastAsia="Times New Roman" w:hAnsi="Times New Roman"/>
                <w:sz w:val="24"/>
                <w:szCs w:val="24"/>
                <w:lang w:eastAsia="lv-LV"/>
              </w:rPr>
            </w:pPr>
          </w:p>
          <w:p w14:paraId="2592A6B4" w14:textId="77777777" w:rsidR="00C24F26" w:rsidRPr="00C24F26" w:rsidRDefault="00C24F26" w:rsidP="00C24F26">
            <w:pPr>
              <w:rPr>
                <w:rFonts w:ascii="Times New Roman" w:eastAsia="Times New Roman" w:hAnsi="Times New Roman"/>
                <w:sz w:val="24"/>
                <w:szCs w:val="24"/>
                <w:lang w:eastAsia="lv-LV"/>
              </w:rPr>
            </w:pPr>
          </w:p>
          <w:p w14:paraId="534CE9AF" w14:textId="5622A478" w:rsidR="00C24F26" w:rsidRDefault="00C24F26" w:rsidP="00C24F26">
            <w:pPr>
              <w:rPr>
                <w:rFonts w:ascii="Times New Roman" w:eastAsia="Times New Roman" w:hAnsi="Times New Roman"/>
                <w:sz w:val="24"/>
                <w:szCs w:val="24"/>
                <w:lang w:eastAsia="lv-LV"/>
              </w:rPr>
            </w:pPr>
          </w:p>
          <w:p w14:paraId="0A0C73ED" w14:textId="77777777" w:rsidR="00777602" w:rsidRPr="00777602" w:rsidRDefault="00777602" w:rsidP="00777602">
            <w:pPr>
              <w:rPr>
                <w:rFonts w:ascii="Times New Roman" w:eastAsia="Times New Roman" w:hAnsi="Times New Roman"/>
                <w:sz w:val="24"/>
                <w:szCs w:val="24"/>
                <w:lang w:eastAsia="lv-LV"/>
              </w:rPr>
            </w:pPr>
          </w:p>
          <w:p w14:paraId="7A9F8E4A" w14:textId="77777777" w:rsidR="00777602" w:rsidRPr="00777602" w:rsidRDefault="00777602" w:rsidP="00777602">
            <w:pPr>
              <w:rPr>
                <w:rFonts w:ascii="Times New Roman" w:eastAsia="Times New Roman" w:hAnsi="Times New Roman"/>
                <w:sz w:val="24"/>
                <w:szCs w:val="24"/>
                <w:lang w:eastAsia="lv-LV"/>
              </w:rPr>
            </w:pPr>
          </w:p>
          <w:p w14:paraId="2AAE6A0D" w14:textId="77777777" w:rsidR="00777602" w:rsidRPr="00777602" w:rsidRDefault="00777602" w:rsidP="00777602">
            <w:pPr>
              <w:rPr>
                <w:rFonts w:ascii="Times New Roman" w:eastAsia="Times New Roman" w:hAnsi="Times New Roman"/>
                <w:sz w:val="24"/>
                <w:szCs w:val="24"/>
                <w:lang w:eastAsia="lv-LV"/>
              </w:rPr>
            </w:pPr>
          </w:p>
          <w:p w14:paraId="7647C742" w14:textId="77777777" w:rsidR="00777602" w:rsidRPr="00777602" w:rsidRDefault="00777602" w:rsidP="00777602">
            <w:pPr>
              <w:rPr>
                <w:rFonts w:ascii="Times New Roman" w:eastAsia="Times New Roman" w:hAnsi="Times New Roman"/>
                <w:sz w:val="24"/>
                <w:szCs w:val="24"/>
                <w:lang w:eastAsia="lv-LV"/>
              </w:rPr>
            </w:pPr>
          </w:p>
          <w:p w14:paraId="598C397B" w14:textId="77777777" w:rsidR="00777602" w:rsidRPr="00777602" w:rsidRDefault="00777602" w:rsidP="00777602">
            <w:pPr>
              <w:rPr>
                <w:rFonts w:ascii="Times New Roman" w:eastAsia="Times New Roman" w:hAnsi="Times New Roman"/>
                <w:sz w:val="24"/>
                <w:szCs w:val="24"/>
                <w:lang w:eastAsia="lv-LV"/>
              </w:rPr>
            </w:pPr>
          </w:p>
          <w:p w14:paraId="333B419E" w14:textId="77777777" w:rsidR="00777602" w:rsidRPr="00777602" w:rsidRDefault="00777602" w:rsidP="00777602">
            <w:pPr>
              <w:rPr>
                <w:rFonts w:ascii="Times New Roman" w:eastAsia="Times New Roman" w:hAnsi="Times New Roman"/>
                <w:sz w:val="24"/>
                <w:szCs w:val="24"/>
                <w:lang w:eastAsia="lv-LV"/>
              </w:rPr>
            </w:pPr>
          </w:p>
          <w:p w14:paraId="153EC143" w14:textId="77777777" w:rsidR="00777602" w:rsidRPr="00777602" w:rsidRDefault="00777602" w:rsidP="00777602">
            <w:pPr>
              <w:rPr>
                <w:rFonts w:ascii="Times New Roman" w:eastAsia="Times New Roman" w:hAnsi="Times New Roman"/>
                <w:sz w:val="24"/>
                <w:szCs w:val="24"/>
                <w:lang w:eastAsia="lv-LV"/>
              </w:rPr>
            </w:pPr>
          </w:p>
          <w:p w14:paraId="7AA9AD46" w14:textId="77777777" w:rsidR="00777602" w:rsidRPr="00777602" w:rsidRDefault="00777602" w:rsidP="00777602">
            <w:pPr>
              <w:rPr>
                <w:rFonts w:ascii="Times New Roman" w:eastAsia="Times New Roman" w:hAnsi="Times New Roman"/>
                <w:sz w:val="24"/>
                <w:szCs w:val="24"/>
                <w:lang w:eastAsia="lv-LV"/>
              </w:rPr>
            </w:pPr>
          </w:p>
          <w:p w14:paraId="1A110DF0" w14:textId="77777777" w:rsidR="00777602" w:rsidRPr="00777602" w:rsidRDefault="00777602" w:rsidP="00777602">
            <w:pPr>
              <w:rPr>
                <w:rFonts w:ascii="Times New Roman" w:eastAsia="Times New Roman" w:hAnsi="Times New Roman"/>
                <w:sz w:val="24"/>
                <w:szCs w:val="24"/>
                <w:lang w:eastAsia="lv-LV"/>
              </w:rPr>
            </w:pPr>
          </w:p>
          <w:p w14:paraId="38339781" w14:textId="77777777" w:rsidR="00777602" w:rsidRPr="00777602" w:rsidRDefault="00777602" w:rsidP="00777602">
            <w:pPr>
              <w:rPr>
                <w:rFonts w:ascii="Times New Roman" w:eastAsia="Times New Roman" w:hAnsi="Times New Roman"/>
                <w:sz w:val="24"/>
                <w:szCs w:val="24"/>
                <w:lang w:eastAsia="lv-LV"/>
              </w:rPr>
            </w:pPr>
          </w:p>
          <w:p w14:paraId="1A8472FF" w14:textId="77777777" w:rsidR="00777602" w:rsidRPr="00777602" w:rsidRDefault="00777602" w:rsidP="00777602">
            <w:pPr>
              <w:rPr>
                <w:rFonts w:ascii="Times New Roman" w:eastAsia="Times New Roman" w:hAnsi="Times New Roman"/>
                <w:sz w:val="24"/>
                <w:szCs w:val="24"/>
                <w:lang w:eastAsia="lv-LV"/>
              </w:rPr>
            </w:pPr>
          </w:p>
          <w:p w14:paraId="6118D122" w14:textId="77777777" w:rsidR="00777602" w:rsidRPr="00777602" w:rsidRDefault="00777602" w:rsidP="00777602">
            <w:pPr>
              <w:rPr>
                <w:rFonts w:ascii="Times New Roman" w:eastAsia="Times New Roman" w:hAnsi="Times New Roman"/>
                <w:sz w:val="24"/>
                <w:szCs w:val="24"/>
                <w:lang w:eastAsia="lv-LV"/>
              </w:rPr>
            </w:pPr>
          </w:p>
          <w:p w14:paraId="4D62D6D7" w14:textId="77777777" w:rsidR="00C24F26" w:rsidRPr="00C24F26" w:rsidRDefault="00C24F26" w:rsidP="00C24F26">
            <w:pPr>
              <w:rPr>
                <w:rFonts w:ascii="Times New Roman" w:eastAsia="Times New Roman" w:hAnsi="Times New Roman"/>
                <w:sz w:val="24"/>
                <w:szCs w:val="24"/>
                <w:lang w:eastAsia="lv-LV"/>
              </w:rPr>
            </w:pPr>
          </w:p>
          <w:p w14:paraId="0F44AABD" w14:textId="5856D300" w:rsidR="00C24F26" w:rsidRPr="00C24F26" w:rsidRDefault="00C24F26" w:rsidP="00C24F26">
            <w:pPr>
              <w:rPr>
                <w:rFonts w:ascii="Times New Roman" w:eastAsia="Times New Roman" w:hAnsi="Times New Roman"/>
                <w:sz w:val="24"/>
                <w:szCs w:val="24"/>
                <w:lang w:eastAsia="lv-LV"/>
              </w:rPr>
            </w:pPr>
          </w:p>
          <w:p w14:paraId="15E985A3" w14:textId="77777777" w:rsidR="00C24F26" w:rsidRPr="00C24F26" w:rsidRDefault="00C24F26" w:rsidP="00C24F26">
            <w:pPr>
              <w:rPr>
                <w:rFonts w:ascii="Times New Roman" w:eastAsia="Times New Roman" w:hAnsi="Times New Roman"/>
                <w:sz w:val="24"/>
                <w:szCs w:val="24"/>
                <w:lang w:eastAsia="lv-LV"/>
              </w:rPr>
            </w:pPr>
          </w:p>
          <w:p w14:paraId="7D8EB82F" w14:textId="673CCCB9" w:rsidR="00C24F26" w:rsidRPr="00C24F26" w:rsidRDefault="00C24F26" w:rsidP="00C24F26">
            <w:pPr>
              <w:rPr>
                <w:rFonts w:ascii="Times New Roman" w:eastAsia="Times New Roman" w:hAnsi="Times New Roman"/>
                <w:sz w:val="24"/>
                <w:szCs w:val="24"/>
                <w:lang w:eastAsia="lv-LV"/>
              </w:rPr>
            </w:pPr>
          </w:p>
          <w:p w14:paraId="2286B38B" w14:textId="77777777" w:rsidR="00C24F26" w:rsidRPr="00C24F26" w:rsidRDefault="00C24F26" w:rsidP="00C24F26">
            <w:pPr>
              <w:rPr>
                <w:rFonts w:ascii="Times New Roman" w:eastAsia="Times New Roman" w:hAnsi="Times New Roman"/>
                <w:sz w:val="24"/>
                <w:szCs w:val="24"/>
                <w:lang w:eastAsia="lv-LV"/>
              </w:rPr>
            </w:pPr>
          </w:p>
          <w:p w14:paraId="1799C4B6" w14:textId="77777777" w:rsidR="00B022E5" w:rsidRPr="00B022E5" w:rsidRDefault="00B022E5" w:rsidP="00B022E5">
            <w:pPr>
              <w:rPr>
                <w:rFonts w:ascii="Times New Roman" w:eastAsia="Times New Roman" w:hAnsi="Times New Roman"/>
                <w:sz w:val="24"/>
                <w:szCs w:val="24"/>
                <w:lang w:eastAsia="lv-LV"/>
              </w:rPr>
            </w:pPr>
          </w:p>
          <w:p w14:paraId="29E306E9" w14:textId="058CF290" w:rsidR="00B022E5" w:rsidRPr="00B022E5" w:rsidRDefault="00B022E5" w:rsidP="00B022E5">
            <w:pPr>
              <w:rPr>
                <w:rFonts w:ascii="Times New Roman" w:eastAsia="Times New Roman" w:hAnsi="Times New Roman"/>
                <w:sz w:val="24"/>
                <w:szCs w:val="24"/>
                <w:lang w:eastAsia="lv-LV"/>
              </w:rPr>
            </w:pPr>
          </w:p>
          <w:p w14:paraId="0B423098" w14:textId="77777777" w:rsidR="00B022E5" w:rsidRPr="00B022E5" w:rsidRDefault="00B022E5" w:rsidP="00B022E5">
            <w:pPr>
              <w:rPr>
                <w:rFonts w:ascii="Times New Roman" w:eastAsia="Times New Roman" w:hAnsi="Times New Roman"/>
                <w:sz w:val="24"/>
                <w:szCs w:val="24"/>
                <w:lang w:eastAsia="lv-LV"/>
              </w:rPr>
            </w:pPr>
          </w:p>
          <w:p w14:paraId="309A8CD5" w14:textId="34199169" w:rsidR="00B022E5" w:rsidRPr="00B022E5" w:rsidRDefault="00B022E5" w:rsidP="00B022E5">
            <w:pPr>
              <w:rPr>
                <w:rFonts w:ascii="Times New Roman" w:eastAsia="Times New Roman" w:hAnsi="Times New Roman"/>
                <w:sz w:val="24"/>
                <w:szCs w:val="24"/>
                <w:lang w:eastAsia="lv-LV"/>
              </w:rPr>
            </w:pPr>
          </w:p>
          <w:p w14:paraId="53EC2E4D" w14:textId="77777777" w:rsidR="00B022E5" w:rsidRPr="00B022E5" w:rsidRDefault="00B022E5" w:rsidP="00B022E5">
            <w:pPr>
              <w:rPr>
                <w:rFonts w:ascii="Times New Roman" w:eastAsia="Times New Roman" w:hAnsi="Times New Roman"/>
                <w:sz w:val="24"/>
                <w:szCs w:val="24"/>
                <w:lang w:eastAsia="lv-LV"/>
              </w:rPr>
            </w:pPr>
          </w:p>
          <w:p w14:paraId="2E737B63" w14:textId="1F5143E8" w:rsidR="00B022E5" w:rsidRPr="00B022E5" w:rsidRDefault="00B022E5" w:rsidP="00B022E5">
            <w:pPr>
              <w:rPr>
                <w:rFonts w:ascii="Times New Roman" w:eastAsia="Times New Roman" w:hAnsi="Times New Roman"/>
                <w:sz w:val="24"/>
                <w:szCs w:val="24"/>
                <w:lang w:eastAsia="lv-LV"/>
              </w:rPr>
            </w:pPr>
          </w:p>
          <w:p w14:paraId="0BA6E4F0" w14:textId="77777777" w:rsidR="00B022E5" w:rsidRPr="00B022E5" w:rsidRDefault="00B022E5" w:rsidP="00B022E5">
            <w:pPr>
              <w:rPr>
                <w:rFonts w:ascii="Times New Roman" w:eastAsia="Times New Roman" w:hAnsi="Times New Roman"/>
                <w:sz w:val="24"/>
                <w:szCs w:val="24"/>
                <w:lang w:eastAsia="lv-LV"/>
              </w:rPr>
            </w:pPr>
          </w:p>
          <w:p w14:paraId="07D31D19" w14:textId="491000BA" w:rsidR="00B022E5" w:rsidRPr="00B022E5" w:rsidRDefault="00B022E5" w:rsidP="00B022E5">
            <w:pPr>
              <w:rPr>
                <w:rFonts w:ascii="Times New Roman" w:eastAsia="Times New Roman" w:hAnsi="Times New Roman"/>
                <w:sz w:val="24"/>
                <w:szCs w:val="24"/>
                <w:lang w:eastAsia="lv-LV"/>
              </w:rPr>
            </w:pPr>
          </w:p>
          <w:p w14:paraId="05F8C5B4" w14:textId="77777777" w:rsidR="00B022E5" w:rsidRPr="00B022E5" w:rsidRDefault="00B022E5" w:rsidP="00B022E5">
            <w:pPr>
              <w:rPr>
                <w:rFonts w:ascii="Times New Roman" w:eastAsia="Times New Roman" w:hAnsi="Times New Roman"/>
                <w:sz w:val="24"/>
                <w:szCs w:val="24"/>
                <w:lang w:eastAsia="lv-LV"/>
              </w:rPr>
            </w:pPr>
          </w:p>
          <w:p w14:paraId="66431B9C" w14:textId="37870D2F" w:rsidR="00B022E5" w:rsidRPr="00B022E5" w:rsidRDefault="00B022E5" w:rsidP="00B022E5">
            <w:pPr>
              <w:rPr>
                <w:rFonts w:ascii="Times New Roman" w:eastAsia="Times New Roman" w:hAnsi="Times New Roman"/>
                <w:sz w:val="24"/>
                <w:szCs w:val="24"/>
                <w:lang w:eastAsia="lv-LV"/>
              </w:rPr>
            </w:pPr>
          </w:p>
          <w:p w14:paraId="531191ED" w14:textId="77777777" w:rsidR="00B022E5" w:rsidRPr="00B022E5" w:rsidRDefault="00B022E5" w:rsidP="00B022E5">
            <w:pPr>
              <w:rPr>
                <w:rFonts w:ascii="Times New Roman" w:eastAsia="Times New Roman" w:hAnsi="Times New Roman"/>
                <w:sz w:val="24"/>
                <w:szCs w:val="24"/>
                <w:lang w:eastAsia="lv-LV"/>
              </w:rPr>
            </w:pPr>
          </w:p>
          <w:p w14:paraId="6EBC75B4" w14:textId="4EFC5B33" w:rsidR="00B022E5" w:rsidRPr="00B022E5" w:rsidRDefault="00B022E5" w:rsidP="00B022E5">
            <w:pPr>
              <w:rPr>
                <w:rFonts w:ascii="Times New Roman" w:eastAsia="Times New Roman" w:hAnsi="Times New Roman"/>
                <w:sz w:val="24"/>
                <w:szCs w:val="24"/>
                <w:lang w:eastAsia="lv-LV"/>
              </w:rPr>
            </w:pPr>
          </w:p>
          <w:p w14:paraId="42438114" w14:textId="77777777" w:rsidR="00B022E5" w:rsidRPr="00B022E5" w:rsidRDefault="00B022E5" w:rsidP="00B022E5">
            <w:pPr>
              <w:rPr>
                <w:rFonts w:ascii="Times New Roman" w:eastAsia="Times New Roman" w:hAnsi="Times New Roman"/>
                <w:sz w:val="24"/>
                <w:szCs w:val="24"/>
                <w:lang w:eastAsia="lv-LV"/>
              </w:rPr>
            </w:pPr>
          </w:p>
          <w:p w14:paraId="3FD69546" w14:textId="26298755" w:rsidR="00B022E5" w:rsidRPr="00B022E5" w:rsidRDefault="00B022E5" w:rsidP="00B022E5">
            <w:pPr>
              <w:rPr>
                <w:rFonts w:ascii="Times New Roman" w:eastAsia="Times New Roman" w:hAnsi="Times New Roman"/>
                <w:sz w:val="24"/>
                <w:szCs w:val="24"/>
                <w:lang w:eastAsia="lv-LV"/>
              </w:rPr>
            </w:pPr>
          </w:p>
          <w:p w14:paraId="223986BF" w14:textId="77777777" w:rsidR="00B022E5" w:rsidRPr="00B022E5" w:rsidRDefault="00B022E5" w:rsidP="00B022E5">
            <w:pPr>
              <w:rPr>
                <w:rFonts w:ascii="Times New Roman" w:eastAsia="Times New Roman" w:hAnsi="Times New Roman"/>
                <w:sz w:val="24"/>
                <w:szCs w:val="24"/>
                <w:lang w:eastAsia="lv-LV"/>
              </w:rPr>
            </w:pPr>
          </w:p>
          <w:p w14:paraId="7A6CA37A" w14:textId="34C876C2" w:rsidR="00B022E5" w:rsidRPr="00B022E5" w:rsidRDefault="00B022E5" w:rsidP="00B022E5">
            <w:pPr>
              <w:rPr>
                <w:rFonts w:ascii="Times New Roman" w:eastAsia="Times New Roman" w:hAnsi="Times New Roman"/>
                <w:sz w:val="24"/>
                <w:szCs w:val="24"/>
                <w:lang w:eastAsia="lv-LV"/>
              </w:rPr>
            </w:pPr>
          </w:p>
          <w:p w14:paraId="773464FE" w14:textId="77777777" w:rsidR="00B022E5" w:rsidRPr="00B022E5" w:rsidRDefault="00B022E5" w:rsidP="00B022E5">
            <w:pPr>
              <w:rPr>
                <w:rFonts w:ascii="Times New Roman" w:eastAsia="Times New Roman" w:hAnsi="Times New Roman"/>
                <w:sz w:val="24"/>
                <w:szCs w:val="24"/>
                <w:lang w:eastAsia="lv-LV"/>
              </w:rPr>
            </w:pPr>
          </w:p>
          <w:p w14:paraId="6D005F80" w14:textId="77777777" w:rsidR="00B022E5" w:rsidRPr="00B022E5" w:rsidRDefault="00B022E5" w:rsidP="00B022E5">
            <w:pPr>
              <w:rPr>
                <w:rFonts w:ascii="Times New Roman" w:eastAsia="Times New Roman" w:hAnsi="Times New Roman"/>
                <w:sz w:val="24"/>
                <w:szCs w:val="24"/>
                <w:lang w:eastAsia="lv-LV"/>
              </w:rPr>
            </w:pPr>
          </w:p>
          <w:p w14:paraId="611540ED" w14:textId="77777777" w:rsidR="000617F8" w:rsidRPr="00C770D6" w:rsidRDefault="000617F8" w:rsidP="000617F8">
            <w:pPr>
              <w:rPr>
                <w:rFonts w:ascii="Times New Roman" w:eastAsia="Times New Roman" w:hAnsi="Times New Roman"/>
                <w:sz w:val="24"/>
                <w:szCs w:val="24"/>
                <w:lang w:eastAsia="lv-LV"/>
              </w:rPr>
            </w:pPr>
          </w:p>
          <w:p w14:paraId="0768AF40" w14:textId="77777777" w:rsidR="000617F8" w:rsidRPr="00C770D6" w:rsidRDefault="000617F8" w:rsidP="000617F8">
            <w:pPr>
              <w:rPr>
                <w:rFonts w:ascii="Times New Roman" w:eastAsia="Times New Roman" w:hAnsi="Times New Roman"/>
                <w:sz w:val="24"/>
                <w:szCs w:val="24"/>
                <w:lang w:eastAsia="lv-LV"/>
              </w:rPr>
            </w:pPr>
          </w:p>
          <w:p w14:paraId="5617D3FC" w14:textId="77777777" w:rsidR="000617F8" w:rsidRPr="00C770D6" w:rsidRDefault="000617F8" w:rsidP="000617F8">
            <w:pPr>
              <w:rPr>
                <w:rFonts w:ascii="Times New Roman" w:eastAsia="Times New Roman" w:hAnsi="Times New Roman"/>
                <w:sz w:val="24"/>
                <w:szCs w:val="24"/>
                <w:lang w:eastAsia="lv-LV"/>
              </w:rPr>
            </w:pPr>
          </w:p>
          <w:p w14:paraId="6B2C4B0D" w14:textId="77777777" w:rsidR="000617F8" w:rsidRPr="00C770D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4AAF6F4D" w14:textId="266F23CE" w:rsidR="00843D51" w:rsidRDefault="00E06C53" w:rsidP="00E06C53">
            <w:pPr>
              <w:spacing w:after="0" w:line="240" w:lineRule="auto"/>
              <w:ind w:left="142" w:right="128"/>
              <w:jc w:val="both"/>
              <w:rPr>
                <w:rFonts w:ascii="Times New Roman" w:hAnsi="Times New Roman"/>
                <w:sz w:val="24"/>
                <w:szCs w:val="24"/>
              </w:rPr>
            </w:pPr>
            <w:r>
              <w:rPr>
                <w:rFonts w:ascii="Times New Roman" w:hAnsi="Times New Roman"/>
                <w:sz w:val="24"/>
                <w:szCs w:val="24"/>
              </w:rPr>
              <w:lastRenderedPageBreak/>
              <w:t xml:space="preserve">Darbības programmas </w:t>
            </w:r>
            <w:r>
              <w:rPr>
                <w:rFonts w:ascii="Times New Roman" w:eastAsia="Times New Roman" w:hAnsi="Times New Roman"/>
                <w:sz w:val="24"/>
                <w:szCs w:val="24"/>
                <w:lang w:eastAsia="lv-LV"/>
              </w:rPr>
              <w:t>"</w:t>
            </w:r>
            <w:r>
              <w:rPr>
                <w:rFonts w:ascii="Times New Roman" w:hAnsi="Times New Roman"/>
                <w:sz w:val="24"/>
                <w:szCs w:val="24"/>
              </w:rPr>
              <w:t>Izaugsme un nodarbinātība</w:t>
            </w:r>
            <w:r>
              <w:rPr>
                <w:rFonts w:ascii="Times New Roman" w:eastAsia="Times New Roman" w:hAnsi="Times New Roman"/>
                <w:sz w:val="24"/>
                <w:szCs w:val="24"/>
                <w:lang w:eastAsia="lv-LV"/>
              </w:rPr>
              <w:t>"</w:t>
            </w:r>
            <w:r>
              <w:rPr>
                <w:rFonts w:ascii="Times New Roman" w:hAnsi="Times New Roman"/>
                <w:sz w:val="24"/>
                <w:szCs w:val="24"/>
              </w:rPr>
              <w:t xml:space="preserve"> 4.3.1. specifiskā atbalsta mērķa  </w:t>
            </w:r>
            <w:r>
              <w:rPr>
                <w:rFonts w:ascii="Times New Roman" w:eastAsia="Times New Roman" w:hAnsi="Times New Roman"/>
                <w:sz w:val="24"/>
                <w:szCs w:val="24"/>
                <w:lang w:eastAsia="lv-LV"/>
              </w:rPr>
              <w:t>"</w:t>
            </w:r>
            <w:r>
              <w:rPr>
                <w:rFonts w:ascii="Times New Roman" w:hAnsi="Times New Roman"/>
                <w:sz w:val="24"/>
                <w:szCs w:val="24"/>
              </w:rPr>
              <w:t>Veicināt energoefektivitāti un vietējo AER izmantošanu centralizētajā siltumapgādē</w:t>
            </w:r>
            <w:r>
              <w:rPr>
                <w:rFonts w:ascii="Times New Roman" w:eastAsia="Times New Roman" w:hAnsi="Times New Roman"/>
                <w:sz w:val="24"/>
                <w:szCs w:val="24"/>
                <w:lang w:eastAsia="lv-LV"/>
              </w:rPr>
              <w:t xml:space="preserve">" (turpmāk – SAM 4.3.1.) pirmās un otrās projektu iesniegumu atlases kārtas ietvaros valsts atbalsts tiek sniegts saskaņā ar </w:t>
            </w:r>
            <w:r w:rsidR="00BB78F1" w:rsidRPr="00BB78F1">
              <w:rPr>
                <w:rFonts w:ascii="Times New Roman" w:eastAsia="Times New Roman" w:hAnsi="Times New Roman"/>
                <w:sz w:val="24"/>
                <w:szCs w:val="24"/>
                <w:lang w:eastAsia="lv-LV"/>
              </w:rPr>
              <w:t>Eiropas Komisijas 2014. gada 17. jūnija Regulas (ES) Nr.  651/2014, ar ko noteiktas atbalsta kategorijas atzīst par saderīgām ar iekšējo tirgu, piemērojot Līguma 107. un 108. pantu (Eiropas Savienības Oficiālais Vēstnesis, 2014. gada 26. jūnijs, Nr. L 187)</w:t>
            </w:r>
            <w:r w:rsidR="003B0680">
              <w:rPr>
                <w:rFonts w:ascii="Times New Roman" w:eastAsia="Times New Roman" w:hAnsi="Times New Roman"/>
                <w:sz w:val="24"/>
                <w:szCs w:val="24"/>
                <w:lang w:eastAsia="lv-LV"/>
              </w:rPr>
              <w:t xml:space="preserve"> (turpmāk - </w:t>
            </w:r>
            <w:r w:rsidR="003B0680" w:rsidRPr="00B719FC">
              <w:rPr>
                <w:rFonts w:ascii="Times New Roman" w:hAnsi="Times New Roman"/>
                <w:bCs/>
                <w:sz w:val="24"/>
                <w:szCs w:val="24"/>
              </w:rPr>
              <w:t>Komisijas regula Nr. 651/2014</w:t>
            </w:r>
            <w:r w:rsidR="003B0680">
              <w:rPr>
                <w:rFonts w:ascii="Times New Roman" w:hAnsi="Times New Roman"/>
                <w:bCs/>
                <w:sz w:val="24"/>
                <w:szCs w:val="24"/>
              </w:rPr>
              <w:t>)</w:t>
            </w:r>
            <w:r>
              <w:rPr>
                <w:rFonts w:ascii="Times New Roman" w:eastAsia="Times New Roman" w:hAnsi="Times New Roman"/>
                <w:sz w:val="24"/>
                <w:szCs w:val="24"/>
                <w:lang w:eastAsia="lv-LV"/>
              </w:rPr>
              <w:t xml:space="preserve"> 38. un 46. pantu</w:t>
            </w:r>
            <w:r w:rsidR="000B3216">
              <w:rPr>
                <w:rFonts w:ascii="Times New Roman" w:eastAsia="Times New Roman" w:hAnsi="Times New Roman"/>
                <w:sz w:val="24"/>
                <w:szCs w:val="24"/>
                <w:lang w:eastAsia="lv-LV"/>
              </w:rPr>
              <w:t xml:space="preserve"> un atsevišķām darbībām ar </w:t>
            </w:r>
            <w:r w:rsidR="000B3216" w:rsidRPr="000B3216">
              <w:rPr>
                <w:rFonts w:ascii="Times New Roman" w:eastAsia="Times New Roman" w:hAnsi="Times New Roman"/>
                <w:sz w:val="24"/>
                <w:szCs w:val="24"/>
                <w:lang w:eastAsia="lv-LV"/>
              </w:rPr>
              <w:t>Eiropas Komisijas 2013. gada 18. decembra Regul</w:t>
            </w:r>
            <w:r w:rsidR="000B3216">
              <w:rPr>
                <w:rFonts w:ascii="Times New Roman" w:eastAsia="Times New Roman" w:hAnsi="Times New Roman"/>
                <w:sz w:val="24"/>
                <w:szCs w:val="24"/>
                <w:lang w:eastAsia="lv-LV"/>
              </w:rPr>
              <w:t>u</w:t>
            </w:r>
            <w:r w:rsidR="000B3216" w:rsidRPr="000B3216">
              <w:rPr>
                <w:rFonts w:ascii="Times New Roman" w:eastAsia="Times New Roman" w:hAnsi="Times New Roman"/>
                <w:sz w:val="24"/>
                <w:szCs w:val="24"/>
                <w:lang w:eastAsia="lv-LV"/>
              </w:rPr>
              <w:t xml:space="preserve"> (ES) Nr.  1407/2013 par Līguma par Eiropas Savienības darbību 107. un 108. panta piemērošanu </w:t>
            </w:r>
            <w:proofErr w:type="spellStart"/>
            <w:r w:rsidR="000B3216" w:rsidRPr="000B3216">
              <w:rPr>
                <w:rFonts w:ascii="Times New Roman" w:eastAsia="Times New Roman" w:hAnsi="Times New Roman"/>
                <w:sz w:val="24"/>
                <w:szCs w:val="24"/>
                <w:lang w:eastAsia="lv-LV"/>
              </w:rPr>
              <w:t>de</w:t>
            </w:r>
            <w:proofErr w:type="spellEnd"/>
            <w:r w:rsidR="000B3216" w:rsidRPr="000B3216">
              <w:rPr>
                <w:rFonts w:ascii="Times New Roman" w:eastAsia="Times New Roman" w:hAnsi="Times New Roman"/>
                <w:sz w:val="24"/>
                <w:szCs w:val="24"/>
                <w:lang w:eastAsia="lv-LV"/>
              </w:rPr>
              <w:t xml:space="preserve"> </w:t>
            </w:r>
            <w:proofErr w:type="spellStart"/>
            <w:r w:rsidR="000B3216" w:rsidRPr="000B3216">
              <w:rPr>
                <w:rFonts w:ascii="Times New Roman" w:eastAsia="Times New Roman" w:hAnsi="Times New Roman"/>
                <w:sz w:val="24"/>
                <w:szCs w:val="24"/>
                <w:lang w:eastAsia="lv-LV"/>
              </w:rPr>
              <w:t>minimis</w:t>
            </w:r>
            <w:proofErr w:type="spellEnd"/>
            <w:r w:rsidR="000B3216" w:rsidRPr="000B3216">
              <w:rPr>
                <w:rFonts w:ascii="Times New Roman" w:eastAsia="Times New Roman" w:hAnsi="Times New Roman"/>
                <w:sz w:val="24"/>
                <w:szCs w:val="24"/>
                <w:lang w:eastAsia="lv-LV"/>
              </w:rPr>
              <w:t xml:space="preserve"> atbalstam (turpmāk – Komisijas regula Nr.  1407/2013)</w:t>
            </w:r>
            <w:r w:rsidR="000B321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BB78F1">
              <w:rPr>
                <w:rFonts w:ascii="Times New Roman" w:eastAsia="Times New Roman" w:hAnsi="Times New Roman"/>
                <w:sz w:val="24"/>
                <w:szCs w:val="24"/>
                <w:lang w:eastAsia="lv-LV"/>
              </w:rPr>
              <w:t>Komisijas regulā Nr. 651/2014</w:t>
            </w:r>
            <w:r>
              <w:rPr>
                <w:rFonts w:ascii="Times New Roman" w:eastAsia="Times New Roman" w:hAnsi="Times New Roman"/>
                <w:sz w:val="24"/>
                <w:szCs w:val="24"/>
                <w:lang w:eastAsia="lv-LV"/>
              </w:rPr>
              <w:t xml:space="preserve"> ietvertie maksimālās atbalsta intensitātes nosacījumi ierobežo pašvaldību centralizētās siltumapgādes uzņēmumu iespējas saņemt pašvaldības galvojumu aizdeva saņemšanai kredītiestādēs. Tā kā tika apdraudēta SAM 4.3.1. pirmajā un otrajā projektu iesniegumu atlases kārtā iesniegto projektu īstenošana un SAM 4.3.1. 2018. gada finanšu mērķa sasniegšana, 2018.gada jūlijā tika </w:t>
            </w:r>
            <w:r>
              <w:rPr>
                <w:rFonts w:ascii="Times New Roman" w:eastAsia="Times New Roman" w:hAnsi="Times New Roman"/>
                <w:sz w:val="24"/>
                <w:szCs w:val="24"/>
                <w:lang w:eastAsia="lv-LV"/>
              </w:rPr>
              <w:lastRenderedPageBreak/>
              <w:t xml:space="preserve">veikti grozījumi </w:t>
            </w:r>
            <w:r w:rsidR="004226EB" w:rsidRPr="004226EB">
              <w:rPr>
                <w:rFonts w:ascii="Times New Roman" w:eastAsia="Times New Roman" w:hAnsi="Times New Roman"/>
                <w:sz w:val="24"/>
                <w:szCs w:val="24"/>
                <w:lang w:eastAsia="lv-LV"/>
              </w:rPr>
              <w:t>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w:t>
            </w:r>
            <w:r w:rsidR="004226EB">
              <w:rPr>
                <w:rFonts w:ascii="Times New Roman" w:eastAsia="Times New Roman" w:hAnsi="Times New Roman"/>
                <w:sz w:val="24"/>
                <w:szCs w:val="24"/>
                <w:lang w:eastAsia="lv-LV"/>
              </w:rPr>
              <w:t xml:space="preserve"> (turpmāk - </w:t>
            </w:r>
            <w:r w:rsidRPr="004226EB">
              <w:rPr>
                <w:rFonts w:ascii="Times New Roman" w:eastAsia="Times New Roman" w:hAnsi="Times New Roman"/>
                <w:sz w:val="24"/>
                <w:szCs w:val="24"/>
                <w:lang w:eastAsia="lv-LV"/>
              </w:rPr>
              <w:t>MK noteikum</w:t>
            </w:r>
            <w:r w:rsidR="004226EB" w:rsidRPr="004226EB">
              <w:rPr>
                <w:rFonts w:ascii="Times New Roman" w:eastAsia="Times New Roman" w:hAnsi="Times New Roman"/>
                <w:sz w:val="24"/>
                <w:szCs w:val="24"/>
                <w:lang w:eastAsia="lv-LV"/>
              </w:rPr>
              <w:t>i</w:t>
            </w:r>
            <w:r w:rsidRPr="004226EB">
              <w:rPr>
                <w:rFonts w:ascii="Times New Roman" w:eastAsia="Times New Roman" w:hAnsi="Times New Roman"/>
                <w:sz w:val="24"/>
                <w:szCs w:val="24"/>
                <w:lang w:eastAsia="lv-LV"/>
              </w:rPr>
              <w:t xml:space="preserve"> Nr.135</w:t>
            </w:r>
            <w:r w:rsidR="004226EB" w:rsidRPr="004226EB">
              <w:rPr>
                <w:rFonts w:ascii="Times New Roman" w:eastAsia="Times New Roman" w:hAnsi="Times New Roman"/>
                <w:sz w:val="24"/>
                <w:szCs w:val="24"/>
                <w:lang w:eastAsia="lv-LV"/>
              </w:rPr>
              <w:t>) un Ministru kabineta 2017.gada 22.augusta noteikumos Nr.495 “Darbības programmas “Izaugsme un nodarbinātība” 4.3.1. specifiskā atbalsta mērķa “Veicināt energoefektivitāti un vietējo AER izmantošanu centralizētajā siltumapgādē” otrās projektu iesniegumu atlases kārtas īstenošanas noteikumi</w:t>
            </w:r>
            <w:r w:rsidR="004226EB">
              <w:rPr>
                <w:rFonts w:ascii="Times New Roman" w:eastAsia="Times New Roman" w:hAnsi="Times New Roman"/>
                <w:sz w:val="24"/>
                <w:szCs w:val="24"/>
                <w:lang w:eastAsia="lv-LV"/>
              </w:rPr>
              <w:t>” (turpmāk – MK noteikumi Nr.495),</w:t>
            </w:r>
            <w:r>
              <w:rPr>
                <w:rFonts w:ascii="Times New Roman" w:eastAsia="Times New Roman" w:hAnsi="Times New Roman"/>
                <w:sz w:val="24"/>
                <w:szCs w:val="24"/>
                <w:lang w:eastAsia="lv-LV"/>
              </w:rPr>
              <w:t xml:space="preserve"> </w:t>
            </w:r>
            <w:r>
              <w:rPr>
                <w:rFonts w:ascii="Times New Roman" w:hAnsi="Times New Roman"/>
                <w:sz w:val="24"/>
                <w:szCs w:val="24"/>
              </w:rPr>
              <w:t xml:space="preserve">paredzot papildu valsts atbalsta sniegšanas nosacījumus, nosakot, ka SAM 4.3.1. pirmās un otrās projektu iesniegumu atlases kārtas ietvaros valsts atbalstu iespējams sniegt arī kā valsts atbalstu attiecībā uz kompensāciju par sabiedriskajiem pakalpojumiem tiem komersantiem, kuriem uzticēts sniegt pakalpojumus ar vispārēju tautsaimniecisku nozīmi, saskaņā ar </w:t>
            </w:r>
            <w:r w:rsidR="004226EB" w:rsidRPr="004226EB">
              <w:rPr>
                <w:rFonts w:ascii="Times New Roman" w:hAnsi="Times New Roman"/>
                <w:sz w:val="24"/>
                <w:szCs w:val="24"/>
              </w:rPr>
              <w:t>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rFonts w:ascii="Times New Roman" w:hAnsi="Times New Roman"/>
                <w:sz w:val="24"/>
                <w:szCs w:val="24"/>
              </w:rPr>
              <w:t>.</w:t>
            </w:r>
          </w:p>
          <w:p w14:paraId="131FC104" w14:textId="4AD81275" w:rsidR="00767C5B" w:rsidRPr="00767C5B" w:rsidRDefault="00E06C53" w:rsidP="00E06C53">
            <w:pPr>
              <w:spacing w:after="0" w:line="240" w:lineRule="auto"/>
              <w:ind w:left="142" w:right="128"/>
              <w:jc w:val="both"/>
              <w:rPr>
                <w:rFonts w:ascii="Times New Roman" w:hAnsi="Times New Roman"/>
                <w:color w:val="000000" w:themeColor="text1"/>
                <w:sz w:val="24"/>
                <w:szCs w:val="24"/>
              </w:rPr>
            </w:pPr>
            <w:r>
              <w:rPr>
                <w:rFonts w:ascii="Times New Roman" w:hAnsi="Times New Roman"/>
                <w:color w:val="000000" w:themeColor="text1"/>
                <w:sz w:val="24"/>
                <w:szCs w:val="24"/>
              </w:rPr>
              <w:t>MK noteikumos Nr.135 un MK noteikumos Nr.495 tika noteikts, ka, j</w:t>
            </w:r>
            <w:r w:rsidRPr="00767C5B">
              <w:rPr>
                <w:rFonts w:ascii="Times New Roman" w:hAnsi="Times New Roman"/>
                <w:color w:val="000000" w:themeColor="text1"/>
                <w:sz w:val="24"/>
                <w:szCs w:val="24"/>
              </w:rPr>
              <w:t xml:space="preserve">a finansējuma saņēmējs ir </w:t>
            </w:r>
            <w:r w:rsidR="00767C5B" w:rsidRPr="00767C5B">
              <w:rPr>
                <w:rFonts w:ascii="Times New Roman" w:hAnsi="Times New Roman"/>
                <w:color w:val="000000" w:themeColor="text1"/>
                <w:sz w:val="24"/>
                <w:szCs w:val="24"/>
              </w:rPr>
              <w:t>centralizētās siltumapgādes pakalpojuma sniedzējs, kuram uzticēts sniegt pakalpojumus ar vispārēju tautsaimniecisku nozīmi,</w:t>
            </w:r>
            <w:r w:rsidRPr="00767C5B">
              <w:rPr>
                <w:rFonts w:ascii="Times New Roman" w:hAnsi="Times New Roman"/>
                <w:color w:val="000000" w:themeColor="text1"/>
                <w:sz w:val="24"/>
                <w:szCs w:val="24"/>
              </w:rPr>
              <w:t xml:space="preserve"> tas var lūgt </w:t>
            </w:r>
            <w:r w:rsidR="00767C5B" w:rsidRPr="004226EB">
              <w:rPr>
                <w:rFonts w:ascii="Times New Roman" w:hAnsi="Times New Roman"/>
                <w:color w:val="000000" w:themeColor="text1"/>
                <w:sz w:val="24"/>
                <w:szCs w:val="24"/>
              </w:rPr>
              <w:t>C</w:t>
            </w:r>
            <w:r w:rsidR="004226EB" w:rsidRPr="004226EB">
              <w:rPr>
                <w:rFonts w:ascii="Times New Roman" w:hAnsi="Times New Roman"/>
                <w:color w:val="000000" w:themeColor="text1"/>
                <w:sz w:val="24"/>
                <w:szCs w:val="24"/>
              </w:rPr>
              <w:t>entrālo finanšu un līgumu aģentūru</w:t>
            </w:r>
            <w:r w:rsidR="00B86EC1">
              <w:rPr>
                <w:rFonts w:ascii="Times New Roman" w:hAnsi="Times New Roman"/>
                <w:color w:val="000000" w:themeColor="text1"/>
                <w:sz w:val="24"/>
                <w:szCs w:val="24"/>
              </w:rPr>
              <w:t xml:space="preserve"> (turpmāk – CFLA)</w:t>
            </w:r>
            <w:r w:rsidR="00767C5B" w:rsidRPr="00767C5B">
              <w:rPr>
                <w:rFonts w:ascii="Times New Roman" w:hAnsi="Times New Roman"/>
                <w:color w:val="000000" w:themeColor="text1"/>
                <w:sz w:val="24"/>
                <w:szCs w:val="24"/>
              </w:rPr>
              <w:t xml:space="preserve"> </w:t>
            </w:r>
            <w:r w:rsidRPr="00767C5B">
              <w:rPr>
                <w:rFonts w:ascii="Times New Roman" w:hAnsi="Times New Roman"/>
                <w:color w:val="000000" w:themeColor="text1"/>
                <w:sz w:val="24"/>
                <w:szCs w:val="24"/>
              </w:rPr>
              <w:t>līdz 2018. gada 31. decembrim pārkvalificēt atlases kārtas ietvaros sniegto valsts atbalsta shēmu.</w:t>
            </w:r>
            <w:r w:rsidR="00767C5B">
              <w:rPr>
                <w:rFonts w:ascii="Times New Roman" w:hAnsi="Times New Roman"/>
                <w:color w:val="000000" w:themeColor="text1"/>
                <w:sz w:val="24"/>
                <w:szCs w:val="24"/>
              </w:rPr>
              <w:t xml:space="preserve"> Minētais termiņš tika noteikts ar </w:t>
            </w:r>
            <w:r w:rsidR="004226EB">
              <w:rPr>
                <w:rFonts w:ascii="Times New Roman" w:hAnsi="Times New Roman"/>
                <w:color w:val="000000" w:themeColor="text1"/>
                <w:sz w:val="24"/>
                <w:szCs w:val="24"/>
              </w:rPr>
              <w:t>mērķi</w:t>
            </w:r>
            <w:r w:rsidR="00767C5B">
              <w:rPr>
                <w:rFonts w:ascii="Times New Roman" w:hAnsi="Times New Roman"/>
                <w:color w:val="000000" w:themeColor="text1"/>
                <w:sz w:val="24"/>
                <w:szCs w:val="24"/>
              </w:rPr>
              <w:t xml:space="preserve"> motivēt atbalsta saņēmējus ātrāk veikt nepieciešamās izmaiņas un </w:t>
            </w:r>
            <w:r w:rsidR="00767C5B" w:rsidRPr="00767C5B">
              <w:rPr>
                <w:rFonts w:ascii="Times New Roman" w:hAnsi="Times New Roman"/>
                <w:color w:val="000000" w:themeColor="text1"/>
                <w:sz w:val="24"/>
                <w:szCs w:val="24"/>
              </w:rPr>
              <w:t xml:space="preserve">nekavēt projektu ieviešanu. </w:t>
            </w:r>
          </w:p>
          <w:p w14:paraId="7C3E7C22" w14:textId="77777777" w:rsidR="00767C5B" w:rsidRPr="00767C5B" w:rsidRDefault="00767C5B" w:rsidP="00767C5B">
            <w:pPr>
              <w:spacing w:after="0" w:line="240" w:lineRule="auto"/>
              <w:ind w:left="142" w:right="128"/>
              <w:jc w:val="both"/>
              <w:rPr>
                <w:rFonts w:ascii="Times New Roman" w:hAnsi="Times New Roman"/>
                <w:color w:val="000000" w:themeColor="text1"/>
                <w:sz w:val="24"/>
                <w:szCs w:val="24"/>
              </w:rPr>
            </w:pPr>
            <w:r w:rsidRPr="00767C5B">
              <w:rPr>
                <w:rFonts w:ascii="Times New Roman" w:hAnsi="Times New Roman"/>
                <w:color w:val="000000" w:themeColor="text1"/>
                <w:sz w:val="24"/>
                <w:szCs w:val="24"/>
              </w:rPr>
              <w:t>Ekonomikas ministrija ir saņēmusi informāciju, ka vairāki atbalsta saņēmēji, kam tas būtu bijis nepieciešams, nav paguvuši veikt nepieciešamās darbības noteiktajā termiņā un tam ir vairāki iemesli:</w:t>
            </w:r>
          </w:p>
          <w:p w14:paraId="4568C594" w14:textId="48E06012" w:rsidR="00767C5B" w:rsidRPr="00767C5B" w:rsidRDefault="00767C5B" w:rsidP="00767C5B">
            <w:pPr>
              <w:pStyle w:val="ListParagraph"/>
              <w:numPr>
                <w:ilvl w:val="0"/>
                <w:numId w:val="23"/>
              </w:numPr>
              <w:spacing w:after="0" w:line="240" w:lineRule="auto"/>
              <w:ind w:right="128"/>
              <w:jc w:val="both"/>
              <w:rPr>
                <w:rFonts w:ascii="Times New Roman" w:hAnsi="Times New Roman"/>
                <w:color w:val="000000" w:themeColor="text1"/>
                <w:sz w:val="24"/>
                <w:szCs w:val="24"/>
              </w:rPr>
            </w:pPr>
            <w:r w:rsidRPr="00767C5B">
              <w:rPr>
                <w:rFonts w:ascii="Times New Roman" w:hAnsi="Times New Roman"/>
                <w:color w:val="000000" w:themeColor="text1"/>
                <w:sz w:val="24"/>
                <w:szCs w:val="24"/>
              </w:rPr>
              <w:t xml:space="preserve">Izmaksu pieaugums pēc iepirkumu procedūras veikšanas, attiecībā pret plānotajām izmaksām, kas tika prognozētas brīdī, kad projektu iesniegumi tika iesniegti;  </w:t>
            </w:r>
          </w:p>
          <w:p w14:paraId="6F90473C" w14:textId="37A351FE" w:rsidR="00767C5B" w:rsidRPr="00767C5B" w:rsidRDefault="00767C5B" w:rsidP="00767C5B">
            <w:pPr>
              <w:pStyle w:val="ListParagraph"/>
              <w:numPr>
                <w:ilvl w:val="0"/>
                <w:numId w:val="23"/>
              </w:numPr>
              <w:spacing w:after="0" w:line="240" w:lineRule="auto"/>
              <w:ind w:right="128"/>
              <w:jc w:val="both"/>
              <w:rPr>
                <w:rFonts w:ascii="Times New Roman" w:hAnsi="Times New Roman"/>
                <w:color w:val="000000" w:themeColor="text1"/>
                <w:sz w:val="24"/>
                <w:szCs w:val="24"/>
              </w:rPr>
            </w:pPr>
            <w:r w:rsidRPr="00767C5B">
              <w:rPr>
                <w:rFonts w:ascii="Times New Roman" w:hAnsi="Times New Roman"/>
                <w:color w:val="000000" w:themeColor="text1"/>
                <w:sz w:val="24"/>
                <w:szCs w:val="24"/>
              </w:rPr>
              <w:t>Vēl šobrīd vairākos projektos atbalsta saņēmēji tikai veic vai plāno iepirkumus, līdz ar to tie vēl nav nonākuši līdz reālajām projekta gala izmaksām un maksājumiem, tāpēc nevar savlaicīgi apzināties problēmas apmērus un konstatēt, vai nepieciešams veikt atbalsta</w:t>
            </w:r>
            <w:r w:rsidR="004226EB">
              <w:rPr>
                <w:rFonts w:ascii="Times New Roman" w:hAnsi="Times New Roman"/>
                <w:color w:val="000000" w:themeColor="text1"/>
                <w:sz w:val="24"/>
                <w:szCs w:val="24"/>
              </w:rPr>
              <w:t xml:space="preserve"> shēmas maiņu</w:t>
            </w:r>
            <w:r w:rsidRPr="00767C5B">
              <w:rPr>
                <w:rFonts w:ascii="Times New Roman" w:hAnsi="Times New Roman"/>
                <w:color w:val="000000" w:themeColor="text1"/>
                <w:sz w:val="24"/>
                <w:szCs w:val="24"/>
              </w:rPr>
              <w:t xml:space="preserve">; </w:t>
            </w:r>
          </w:p>
          <w:p w14:paraId="2ADCD61B" w14:textId="3EF5EB02" w:rsidR="00767C5B" w:rsidRDefault="00BB78F1" w:rsidP="00767C5B">
            <w:pPr>
              <w:pStyle w:val="ListParagraph"/>
              <w:numPr>
                <w:ilvl w:val="0"/>
                <w:numId w:val="23"/>
              </w:numPr>
              <w:spacing w:after="0" w:line="240" w:lineRule="auto"/>
              <w:ind w:right="128"/>
              <w:jc w:val="both"/>
              <w:rPr>
                <w:rFonts w:ascii="Times New Roman" w:hAnsi="Times New Roman"/>
                <w:color w:val="000000" w:themeColor="text1"/>
                <w:sz w:val="24"/>
                <w:szCs w:val="24"/>
              </w:rPr>
            </w:pPr>
            <w:r>
              <w:rPr>
                <w:rFonts w:ascii="Times New Roman" w:hAnsi="Times New Roman"/>
                <w:color w:val="000000" w:themeColor="text1"/>
                <w:sz w:val="24"/>
                <w:szCs w:val="24"/>
              </w:rPr>
              <w:t>Vairāki līgumi par projekta īstenošanu tika noslēgti pēc MK noteikumos</w:t>
            </w:r>
            <w:r w:rsidR="004226EB">
              <w:rPr>
                <w:rFonts w:ascii="Times New Roman" w:hAnsi="Times New Roman"/>
                <w:color w:val="000000" w:themeColor="text1"/>
                <w:sz w:val="24"/>
                <w:szCs w:val="24"/>
              </w:rPr>
              <w:t xml:space="preserve">Nr.135 un Nr.495 </w:t>
            </w:r>
            <w:r>
              <w:rPr>
                <w:rFonts w:ascii="Times New Roman" w:hAnsi="Times New Roman"/>
                <w:color w:val="000000" w:themeColor="text1"/>
                <w:sz w:val="24"/>
                <w:szCs w:val="24"/>
              </w:rPr>
              <w:t xml:space="preserve">noteiktā atbalsta shēmas </w:t>
            </w:r>
            <w:proofErr w:type="spellStart"/>
            <w:r>
              <w:rPr>
                <w:rFonts w:ascii="Times New Roman" w:hAnsi="Times New Roman"/>
                <w:color w:val="000000" w:themeColor="text1"/>
                <w:sz w:val="24"/>
                <w:szCs w:val="24"/>
              </w:rPr>
              <w:t>pārkvalifikācijas</w:t>
            </w:r>
            <w:proofErr w:type="spellEnd"/>
            <w:r>
              <w:rPr>
                <w:rFonts w:ascii="Times New Roman" w:hAnsi="Times New Roman"/>
                <w:color w:val="000000" w:themeColor="text1"/>
                <w:sz w:val="24"/>
                <w:szCs w:val="24"/>
              </w:rPr>
              <w:t xml:space="preserve"> </w:t>
            </w:r>
            <w:r w:rsidR="004226EB">
              <w:rPr>
                <w:rFonts w:ascii="Times New Roman" w:hAnsi="Times New Roman"/>
                <w:color w:val="000000" w:themeColor="text1"/>
                <w:sz w:val="24"/>
                <w:szCs w:val="24"/>
              </w:rPr>
              <w:t>termiņa</w:t>
            </w:r>
            <w:r>
              <w:rPr>
                <w:rFonts w:ascii="Times New Roman" w:hAnsi="Times New Roman"/>
                <w:color w:val="000000" w:themeColor="text1"/>
                <w:sz w:val="24"/>
                <w:szCs w:val="24"/>
              </w:rPr>
              <w:t xml:space="preserve"> t.i., pēc 2018.gada 31.decembra, kas nozīmē, ka minētajiem atbalsta saņēmējiem nav bijusi iespēja veikt atbalsta shēmas pārkvalificēšanu. </w:t>
            </w:r>
          </w:p>
          <w:p w14:paraId="76B71E22" w14:textId="494006BB" w:rsidR="00BB78F1" w:rsidRDefault="00BB78F1" w:rsidP="00BB78F1">
            <w:pPr>
              <w:spacing w:after="0" w:line="240" w:lineRule="auto"/>
              <w:ind w:left="142" w:right="12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 novērstu risku, ka vairāki projekti varētu netikt īstenoti finansējuma trūkuma dēļ, jo tiem nav bijusi iespēja pārkvalificēt </w:t>
            </w:r>
            <w:r>
              <w:rPr>
                <w:rFonts w:ascii="Times New Roman" w:hAnsi="Times New Roman"/>
                <w:color w:val="000000" w:themeColor="text1"/>
                <w:sz w:val="24"/>
                <w:szCs w:val="24"/>
              </w:rPr>
              <w:lastRenderedPageBreak/>
              <w:t>piešķirto atbalsta shēmu, tiek veikti grozījumi MK noteikumos Nr.135 un MK noteikumos Nr.495</w:t>
            </w:r>
            <w:r w:rsidR="004226EB">
              <w:rPr>
                <w:rFonts w:ascii="Times New Roman" w:hAnsi="Times New Roman"/>
                <w:color w:val="000000" w:themeColor="text1"/>
                <w:sz w:val="24"/>
                <w:szCs w:val="24"/>
              </w:rPr>
              <w:t>,</w:t>
            </w:r>
            <w:r>
              <w:rPr>
                <w:rFonts w:ascii="Times New Roman" w:hAnsi="Times New Roman"/>
                <w:color w:val="000000" w:themeColor="text1"/>
                <w:sz w:val="24"/>
                <w:szCs w:val="24"/>
              </w:rPr>
              <w:t xml:space="preserve"> pagarinot minēto termiņu par vienu gadu, t.i., nosakot to līdz 2019.gada 31.decembrim. </w:t>
            </w:r>
          </w:p>
          <w:p w14:paraId="6989F079" w14:textId="3F78AD5B" w:rsidR="00777602" w:rsidRDefault="00777602" w:rsidP="00777602">
            <w:pPr>
              <w:spacing w:after="0" w:line="240" w:lineRule="auto"/>
              <w:ind w:left="142" w:right="173"/>
              <w:jc w:val="both"/>
              <w:rPr>
                <w:rFonts w:ascii="Times New Roman" w:hAnsi="Times New Roman"/>
                <w:sz w:val="24"/>
                <w:szCs w:val="24"/>
              </w:rPr>
            </w:pPr>
            <w:r>
              <w:rPr>
                <w:rFonts w:ascii="Times New Roman" w:hAnsi="Times New Roman"/>
                <w:color w:val="000000" w:themeColor="text1"/>
                <w:sz w:val="24"/>
                <w:szCs w:val="24"/>
              </w:rPr>
              <w:t xml:space="preserve">Papildus norādām, ka </w:t>
            </w:r>
            <w:r>
              <w:rPr>
                <w:rFonts w:ascii="Times New Roman" w:hAnsi="Times New Roman"/>
                <w:sz w:val="24"/>
                <w:szCs w:val="24"/>
              </w:rPr>
              <w:t>tiem finansējuma saņēmējiem, kuri vēlēsies pārkvalificēt piešķirto atbalstu atbilstoši noteikumu projektā paredzētajam, būs nepieciešams veikt grozījumus līgumā par projekta īstenošanu. Tādā gadījumā finansējuma saņēmējam CFLA nepieciešams iesniegt šādus papildu dokumentus:</w:t>
            </w:r>
          </w:p>
          <w:p w14:paraId="6BDB34A3" w14:textId="77777777" w:rsidR="00777602" w:rsidRDefault="00777602" w:rsidP="00777602">
            <w:pPr>
              <w:pStyle w:val="ListParagraph"/>
              <w:numPr>
                <w:ilvl w:val="0"/>
                <w:numId w:val="24"/>
              </w:numPr>
              <w:spacing w:after="0" w:line="240" w:lineRule="auto"/>
              <w:ind w:right="173"/>
              <w:jc w:val="both"/>
              <w:rPr>
                <w:rFonts w:ascii="Times New Roman" w:hAnsi="Times New Roman"/>
                <w:sz w:val="24"/>
                <w:szCs w:val="24"/>
              </w:rPr>
            </w:pPr>
            <w:r>
              <w:rPr>
                <w:rFonts w:ascii="Times New Roman" w:hAnsi="Times New Roman"/>
                <w:sz w:val="24"/>
                <w:szCs w:val="24"/>
              </w:rPr>
              <w:t>iesniegumu pārskatīt valsts atbalsta shēmu;</w:t>
            </w:r>
          </w:p>
          <w:p w14:paraId="537F3385" w14:textId="2E7F5EE7" w:rsidR="00777602" w:rsidRDefault="00777602" w:rsidP="00777602">
            <w:pPr>
              <w:pStyle w:val="ListParagraph"/>
              <w:numPr>
                <w:ilvl w:val="0"/>
                <w:numId w:val="24"/>
              </w:numPr>
              <w:spacing w:after="0" w:line="240" w:lineRule="auto"/>
              <w:ind w:right="173"/>
              <w:jc w:val="both"/>
              <w:rPr>
                <w:rFonts w:ascii="Times New Roman" w:hAnsi="Times New Roman"/>
                <w:sz w:val="24"/>
                <w:szCs w:val="24"/>
              </w:rPr>
            </w:pPr>
            <w:r>
              <w:rPr>
                <w:rFonts w:ascii="Times New Roman" w:hAnsi="Times New Roman"/>
                <w:sz w:val="24"/>
                <w:szCs w:val="24"/>
              </w:rPr>
              <w:t xml:space="preserve">līgumu, kas noslēgts ar pašvaldību, vai pašvaldības lēmumu, ka projekta iesniedzējam tiek uzticēts sniegt pakalpojumu ar vispārēju tautsaimniecisku nozīmi, kas noslēgts uz laiku līdz 10 gadiem, saskaņā </w:t>
            </w:r>
            <w:r w:rsidR="003B0680" w:rsidRPr="00B719FC">
              <w:rPr>
                <w:rFonts w:ascii="Times New Roman" w:hAnsi="Times New Roman"/>
                <w:bCs/>
                <w:sz w:val="24"/>
                <w:szCs w:val="24"/>
              </w:rPr>
              <w:t>Eiropas Komisijas 2011.gada 20.decembra lēmum</w:t>
            </w:r>
            <w:r w:rsidR="003B0680">
              <w:rPr>
                <w:rFonts w:ascii="Times New Roman" w:hAnsi="Times New Roman"/>
                <w:bCs/>
                <w:sz w:val="24"/>
                <w:szCs w:val="24"/>
              </w:rPr>
              <w:t>a</w:t>
            </w:r>
            <w:r w:rsidR="003B0680" w:rsidRPr="00B719FC">
              <w:rPr>
                <w:rFonts w:ascii="Times New Roman" w:hAnsi="Times New Roman"/>
                <w:bCs/>
                <w:sz w:val="24"/>
                <w:szCs w:val="24"/>
              </w:rPr>
              <w:t xml:space="preserve"> 2012/21/ES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 Nr.</w:t>
            </w:r>
            <w:r w:rsidR="003B0680">
              <w:rPr>
                <w:rFonts w:ascii="Times New Roman" w:hAnsi="Times New Roman"/>
                <w:bCs/>
                <w:sz w:val="24"/>
                <w:szCs w:val="24"/>
              </w:rPr>
              <w:t xml:space="preserve"> </w:t>
            </w:r>
            <w:r w:rsidR="003B0680" w:rsidRPr="00B719FC">
              <w:rPr>
                <w:rFonts w:ascii="Times New Roman" w:hAnsi="Times New Roman"/>
                <w:bCs/>
                <w:sz w:val="24"/>
                <w:szCs w:val="24"/>
              </w:rPr>
              <w:t>2012/21/ES)</w:t>
            </w:r>
            <w:r>
              <w:rPr>
                <w:rFonts w:ascii="Times New Roman" w:hAnsi="Times New Roman"/>
                <w:sz w:val="24"/>
                <w:szCs w:val="24"/>
              </w:rPr>
              <w:t xml:space="preserve"> 2. panta 2. punktā noteikto;</w:t>
            </w:r>
          </w:p>
          <w:p w14:paraId="51E85B25" w14:textId="77777777" w:rsidR="00777602" w:rsidRDefault="00777602" w:rsidP="00777602">
            <w:pPr>
              <w:pStyle w:val="ListParagraph"/>
              <w:numPr>
                <w:ilvl w:val="0"/>
                <w:numId w:val="24"/>
              </w:numPr>
              <w:spacing w:after="0" w:line="240" w:lineRule="auto"/>
              <w:ind w:right="173"/>
              <w:jc w:val="both"/>
              <w:rPr>
                <w:rFonts w:ascii="Times New Roman" w:hAnsi="Times New Roman"/>
                <w:sz w:val="24"/>
                <w:szCs w:val="24"/>
              </w:rPr>
            </w:pPr>
            <w:r>
              <w:rPr>
                <w:rFonts w:ascii="Times New Roman" w:hAnsi="Times New Roman"/>
                <w:sz w:val="24"/>
                <w:szCs w:val="24"/>
              </w:rPr>
              <w:t xml:space="preserve">apliecinājumu, ka kompensācija par sabiedriskā pakalpojuma sniegšanu nepārsniegs 15 000 000 </w:t>
            </w:r>
            <w:proofErr w:type="spellStart"/>
            <w:r>
              <w:rPr>
                <w:rFonts w:ascii="Times New Roman" w:hAnsi="Times New Roman"/>
                <w:i/>
                <w:sz w:val="24"/>
                <w:szCs w:val="24"/>
              </w:rPr>
              <w:t>euro</w:t>
            </w:r>
            <w:proofErr w:type="spellEnd"/>
            <w:r>
              <w:rPr>
                <w:rFonts w:ascii="Times New Roman" w:hAnsi="Times New Roman"/>
                <w:sz w:val="24"/>
                <w:szCs w:val="24"/>
              </w:rPr>
              <w:t xml:space="preserve"> vidēji gadā pilnvarojuma laikā saskaņā ar Komisijas lēmuma Nr.2012/21/ES 2. panta 1. punkta a) apakšpunktu.</w:t>
            </w:r>
          </w:p>
          <w:p w14:paraId="59FD6E82" w14:textId="77777777" w:rsidR="00777602" w:rsidRDefault="00777602" w:rsidP="00777602">
            <w:pPr>
              <w:spacing w:after="0" w:line="240" w:lineRule="auto"/>
              <w:ind w:left="142" w:right="173"/>
              <w:jc w:val="both"/>
              <w:rPr>
                <w:rFonts w:ascii="Times New Roman" w:hAnsi="Times New Roman"/>
                <w:sz w:val="24"/>
                <w:szCs w:val="24"/>
              </w:rPr>
            </w:pPr>
            <w:r>
              <w:rPr>
                <w:rFonts w:ascii="Times New Roman" w:hAnsi="Times New Roman"/>
                <w:sz w:val="24"/>
                <w:szCs w:val="24"/>
              </w:rPr>
              <w:t>Papildus finansējuma saņēmējs:</w:t>
            </w:r>
          </w:p>
          <w:p w14:paraId="6A8569C9" w14:textId="1A575F9F" w:rsidR="00777602" w:rsidRDefault="00777602" w:rsidP="00777602">
            <w:pPr>
              <w:pStyle w:val="ListParagraph"/>
              <w:numPr>
                <w:ilvl w:val="0"/>
                <w:numId w:val="24"/>
              </w:numPr>
              <w:spacing w:after="0" w:line="240" w:lineRule="auto"/>
              <w:ind w:right="173"/>
              <w:jc w:val="both"/>
              <w:rPr>
                <w:rFonts w:ascii="Times New Roman" w:hAnsi="Times New Roman"/>
                <w:sz w:val="24"/>
                <w:szCs w:val="24"/>
              </w:rPr>
            </w:pPr>
            <w:r>
              <w:rPr>
                <w:rFonts w:ascii="Times New Roman" w:hAnsi="Times New Roman"/>
                <w:sz w:val="24"/>
                <w:szCs w:val="24"/>
              </w:rPr>
              <w:t xml:space="preserve">veic tehniskus labojumus apstiprinātajā </w:t>
            </w:r>
            <w:r w:rsidR="0029504A">
              <w:rPr>
                <w:rFonts w:ascii="Times New Roman" w:hAnsi="Times New Roman"/>
                <w:sz w:val="24"/>
                <w:szCs w:val="24"/>
              </w:rPr>
              <w:t>projektā</w:t>
            </w:r>
            <w:r>
              <w:rPr>
                <w:rFonts w:ascii="Times New Roman" w:hAnsi="Times New Roman"/>
                <w:sz w:val="24"/>
                <w:szCs w:val="24"/>
              </w:rPr>
              <w:t xml:space="preserve"> atbilstoši CFLA norādītajam, ja nepieciešams;</w:t>
            </w:r>
          </w:p>
          <w:p w14:paraId="1B3827D4" w14:textId="77777777" w:rsidR="00777602" w:rsidRDefault="00777602" w:rsidP="00777602">
            <w:pPr>
              <w:pStyle w:val="ListParagraph"/>
              <w:numPr>
                <w:ilvl w:val="0"/>
                <w:numId w:val="24"/>
              </w:numPr>
              <w:spacing w:after="0" w:line="240" w:lineRule="auto"/>
              <w:ind w:right="173"/>
              <w:jc w:val="both"/>
              <w:rPr>
                <w:rFonts w:ascii="Times New Roman" w:hAnsi="Times New Roman"/>
                <w:sz w:val="24"/>
                <w:szCs w:val="24"/>
              </w:rPr>
            </w:pPr>
            <w:r>
              <w:rPr>
                <w:rFonts w:ascii="Times New Roman" w:hAnsi="Times New Roman"/>
                <w:sz w:val="24"/>
                <w:szCs w:val="24"/>
              </w:rPr>
              <w:t>nodrošina, ka atbalsta summa nepārsniegs kompensācijas apjomu, kas noteikts Komisijas lēmuma Nr. 2012/21/ES 5. panta 1. punktā.</w:t>
            </w:r>
          </w:p>
          <w:p w14:paraId="545CA164" w14:textId="77777777" w:rsidR="00777602" w:rsidRDefault="00777602" w:rsidP="00777602">
            <w:pPr>
              <w:pStyle w:val="ListParagraph"/>
              <w:spacing w:after="0" w:line="240" w:lineRule="auto"/>
              <w:ind w:left="502" w:right="173"/>
              <w:jc w:val="both"/>
              <w:rPr>
                <w:rFonts w:ascii="Times New Roman" w:hAnsi="Times New Roman"/>
                <w:sz w:val="24"/>
                <w:szCs w:val="24"/>
              </w:rPr>
            </w:pPr>
            <w:r>
              <w:rPr>
                <w:rFonts w:ascii="Times New Roman" w:hAnsi="Times New Roman"/>
                <w:sz w:val="24"/>
                <w:szCs w:val="24"/>
              </w:rPr>
              <w:t>Atbilstoši Komisijas lēmuma Nr. 2012/21/ES 6. panta 1. punktā noteiktajam CFLA reizi trijos gados ir tiesības veikt pārbaudi par izmaksātā kompensācijas apjoma atbilstību Komisijas lēmuma Nr. 2012/21/ES 5. pantā noteiktajam.</w:t>
            </w:r>
          </w:p>
          <w:p w14:paraId="00A86E12" w14:textId="77777777" w:rsidR="00777602" w:rsidRDefault="00777602" w:rsidP="00777602">
            <w:pPr>
              <w:pStyle w:val="ListParagraph"/>
              <w:spacing w:after="0" w:line="240" w:lineRule="auto"/>
              <w:ind w:left="502" w:right="173"/>
              <w:jc w:val="both"/>
              <w:rPr>
                <w:rFonts w:ascii="Times New Roman" w:hAnsi="Times New Roman"/>
                <w:sz w:val="24"/>
                <w:szCs w:val="24"/>
              </w:rPr>
            </w:pPr>
            <w:r>
              <w:rPr>
                <w:rFonts w:ascii="Times New Roman" w:hAnsi="Times New Roman"/>
                <w:sz w:val="24"/>
                <w:szCs w:val="24"/>
              </w:rPr>
              <w:t>Ja CSA uzņēmums ir saņēmis atbalstu, kas pārsniedz Komisijas lēmuma Nr. 2012/21/ES 5. panta 1. punktā noteikto apjomu, CFLA saskaņā ar Komisijas lēmuma Nr. 2012/21/ES 6. panta 2. punktu ir tiesības attiecīgajam uzņēmuma pieprasīt atmaksāt saņemto pārmērīgo kompensāciju;</w:t>
            </w:r>
          </w:p>
          <w:p w14:paraId="58935BDD" w14:textId="77777777" w:rsidR="00777602" w:rsidRDefault="00777602" w:rsidP="00777602">
            <w:pPr>
              <w:pStyle w:val="ListParagraph"/>
              <w:numPr>
                <w:ilvl w:val="0"/>
                <w:numId w:val="24"/>
              </w:numPr>
              <w:spacing w:after="0" w:line="240" w:lineRule="auto"/>
              <w:ind w:right="173"/>
              <w:jc w:val="both"/>
              <w:rPr>
                <w:rFonts w:ascii="Times New Roman" w:hAnsi="Times New Roman"/>
                <w:sz w:val="24"/>
                <w:szCs w:val="24"/>
              </w:rPr>
            </w:pPr>
            <w:r>
              <w:rPr>
                <w:rFonts w:ascii="Times New Roman" w:hAnsi="Times New Roman"/>
                <w:sz w:val="24"/>
                <w:szCs w:val="24"/>
              </w:rPr>
              <w:t>izpilda visus nosacījumus, kas ietverti ar CFLA noslēgtajā līgumā par projekta īstenošanu, tai skaitā, nosacījumus par projekta īstenošanas ilgumu.</w:t>
            </w:r>
          </w:p>
          <w:p w14:paraId="0AE5F7B3" w14:textId="4ACEEA0D" w:rsidR="00777602" w:rsidRDefault="00777602" w:rsidP="00777602">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Papildus norādām, ka pilnvarojuma sniedzēja (attiecīgās pašvaldības) pienākums ir uzraudzīt, lai kompensācija par sabiedriskā pakalpojuma sniegšanu nepārsniedz 15 000 000 </w:t>
            </w:r>
            <w:proofErr w:type="spellStart"/>
            <w:r>
              <w:rPr>
                <w:rFonts w:ascii="Times New Roman" w:hAnsi="Times New Roman"/>
                <w:i/>
                <w:sz w:val="24"/>
                <w:szCs w:val="24"/>
              </w:rPr>
              <w:t>euro</w:t>
            </w:r>
            <w:proofErr w:type="spellEnd"/>
            <w:r>
              <w:rPr>
                <w:rFonts w:ascii="Times New Roman" w:hAnsi="Times New Roman"/>
                <w:sz w:val="24"/>
                <w:szCs w:val="24"/>
              </w:rPr>
              <w:t xml:space="preserve"> vidēji gadā pilnvarojuma laikā, kā arī ietvert pilnvarojuma līgumā visus nepieciešamos nosacījumus kompensācijas uzraudzīšanai un </w:t>
            </w:r>
            <w:proofErr w:type="spellStart"/>
            <w:r>
              <w:rPr>
                <w:rFonts w:ascii="Times New Roman" w:hAnsi="Times New Roman"/>
                <w:sz w:val="24"/>
                <w:szCs w:val="24"/>
              </w:rPr>
              <w:t>pārkompensācijas</w:t>
            </w:r>
            <w:proofErr w:type="spellEnd"/>
            <w:r>
              <w:rPr>
                <w:rFonts w:ascii="Times New Roman" w:hAnsi="Times New Roman"/>
                <w:sz w:val="24"/>
                <w:szCs w:val="24"/>
              </w:rPr>
              <w:t xml:space="preserve"> atgūšanai.</w:t>
            </w:r>
          </w:p>
          <w:p w14:paraId="1A212E61" w14:textId="720800CD" w:rsidR="006F7613" w:rsidRPr="006F7613" w:rsidRDefault="006F7613" w:rsidP="006F7613">
            <w:pPr>
              <w:spacing w:after="0" w:line="240" w:lineRule="auto"/>
              <w:ind w:left="142" w:right="173"/>
              <w:jc w:val="both"/>
              <w:rPr>
                <w:rFonts w:ascii="Times New Roman" w:hAnsi="Times New Roman"/>
                <w:sz w:val="24"/>
                <w:szCs w:val="24"/>
              </w:rPr>
            </w:pPr>
            <w:r w:rsidRPr="006F7613">
              <w:rPr>
                <w:rFonts w:ascii="Times New Roman" w:hAnsi="Times New Roman"/>
                <w:sz w:val="24"/>
                <w:szCs w:val="24"/>
              </w:rPr>
              <w:t>Minētie grozījumi projektu līgumos  nav uzskatāmi par būtiskām izmaiņām atbilstoši Eiropas Parlamenta un Padomes</w:t>
            </w:r>
            <w:r>
              <w:rPr>
                <w:rFonts w:ascii="Times New Roman" w:hAnsi="Times New Roman"/>
                <w:sz w:val="24"/>
                <w:szCs w:val="24"/>
              </w:rPr>
              <w:t xml:space="preserve"> 2013.gada </w:t>
            </w:r>
            <w:r>
              <w:rPr>
                <w:rFonts w:ascii="Times New Roman" w:hAnsi="Times New Roman"/>
                <w:sz w:val="24"/>
                <w:szCs w:val="24"/>
              </w:rPr>
              <w:lastRenderedPageBreak/>
              <w:t xml:space="preserve">17.decembra </w:t>
            </w:r>
            <w:r w:rsidRPr="006F7613">
              <w:rPr>
                <w:rFonts w:ascii="Times New Roman" w:hAnsi="Times New Roman"/>
                <w:sz w:val="24"/>
                <w:szCs w:val="24"/>
              </w:rPr>
              <w:t>Regula</w:t>
            </w:r>
            <w:r>
              <w:rPr>
                <w:rFonts w:ascii="Times New Roman" w:hAnsi="Times New Roman"/>
                <w:sz w:val="24"/>
                <w:szCs w:val="24"/>
              </w:rPr>
              <w:t>s</w:t>
            </w:r>
            <w:r w:rsidRPr="006F7613">
              <w:rPr>
                <w:rFonts w:ascii="Times New Roman" w:hAnsi="Times New Roman"/>
                <w:sz w:val="24"/>
                <w:szCs w:val="24"/>
              </w:rPr>
              <w:t xml:space="preserve"> (ES) Nr. 1303/2013</w:t>
            </w:r>
            <w:r>
              <w:rPr>
                <w:rFonts w:ascii="Times New Roman" w:hAnsi="Times New Roman"/>
                <w:sz w:val="24"/>
                <w:szCs w:val="24"/>
              </w:rPr>
              <w:t>,</w:t>
            </w:r>
            <w:r w:rsidRPr="006F7613">
              <w:rPr>
                <w:rFonts w:ascii="Times New Roman" w:hAnsi="Times New Roman"/>
                <w:sz w:val="24"/>
                <w:szCs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rFonts w:ascii="Times New Roman" w:hAnsi="Times New Roman"/>
                <w:sz w:val="24"/>
                <w:szCs w:val="24"/>
              </w:rPr>
              <w:t xml:space="preserve"> </w:t>
            </w:r>
            <w:r w:rsidRPr="006F7613">
              <w:rPr>
                <w:rFonts w:ascii="Times New Roman" w:hAnsi="Times New Roman"/>
                <w:sz w:val="24"/>
                <w:szCs w:val="24"/>
              </w:rPr>
              <w:t xml:space="preserve">71.pantam, jo netiek traucēta sākotnējo mērķu sasniegšana. </w:t>
            </w:r>
          </w:p>
          <w:p w14:paraId="1273F824" w14:textId="77777777" w:rsidR="00E06C53" w:rsidRPr="00767C5B" w:rsidRDefault="00E06C53" w:rsidP="00E06C53">
            <w:pPr>
              <w:spacing w:after="0" w:line="240" w:lineRule="auto"/>
              <w:ind w:left="142" w:right="128"/>
              <w:jc w:val="both"/>
              <w:rPr>
                <w:rFonts w:ascii="Times New Roman" w:hAnsi="Times New Roman"/>
                <w:color w:val="000000" w:themeColor="text1"/>
                <w:sz w:val="24"/>
                <w:szCs w:val="24"/>
              </w:rPr>
            </w:pPr>
          </w:p>
          <w:p w14:paraId="2B35C26F" w14:textId="273F2883" w:rsidR="00E04404" w:rsidRPr="008C2968" w:rsidRDefault="00E04404" w:rsidP="00DD62DC">
            <w:pPr>
              <w:spacing w:after="120" w:line="240" w:lineRule="auto"/>
              <w:ind w:left="142" w:right="130"/>
              <w:jc w:val="both"/>
              <w:rPr>
                <w:rFonts w:ascii="Times New Roman" w:hAnsi="Times New Roman"/>
                <w:color w:val="000000" w:themeColor="text1"/>
                <w:sz w:val="24"/>
                <w:szCs w:val="24"/>
              </w:rPr>
            </w:pPr>
            <w:r w:rsidRPr="00767C5B">
              <w:rPr>
                <w:rFonts w:ascii="Times New Roman" w:hAnsi="Times New Roman"/>
                <w:color w:val="000000" w:themeColor="text1"/>
                <w:sz w:val="24"/>
                <w:szCs w:val="24"/>
              </w:rPr>
              <w:t>Noteikumu projektā iekļautās prasības uzskatāmas par finansējuma saņēmējiem</w:t>
            </w:r>
            <w:r w:rsidRPr="008C2968">
              <w:rPr>
                <w:rFonts w:ascii="Times New Roman" w:hAnsi="Times New Roman"/>
                <w:color w:val="000000" w:themeColor="text1"/>
                <w:sz w:val="24"/>
                <w:szCs w:val="24"/>
              </w:rPr>
              <w:t xml:space="preserve"> labvēlīgākām. Papildus Ekonomikas ministrija norāda, ka, ņemot vērā, ka ar noteikumu projektu tiek radīti finansējuma saņēmējiem labvēlīgāki nosacījumi, personām, kas nav iesniegušas projektu iesniegumus, nav radušās nekādas tiesības saistībā ar projekta īstenošanu, līdz ar to tiesiskās paļāvības principa aizskārums attiecībā uz attiecīgajām personām nav konstatējams.</w:t>
            </w:r>
          </w:p>
        </w:tc>
      </w:tr>
      <w:tr w:rsidR="000617F8"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857A490"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r w:rsidR="006A0B03">
              <w:rPr>
                <w:rFonts w:ascii="Times New Roman" w:eastAsia="Times New Roman" w:hAnsi="Times New Roman"/>
                <w:sz w:val="24"/>
                <w:szCs w:val="24"/>
                <w:lang w:eastAsia="lv-LV"/>
              </w:rPr>
              <w:t xml:space="preserve"> un publikas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6A240B39" w:rsidR="000617F8" w:rsidRPr="008B78B2" w:rsidRDefault="003806D2"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r w:rsidR="00E406F5">
              <w:rPr>
                <w:rFonts w:ascii="Times New Roman" w:hAnsi="Times New Roman"/>
                <w:color w:val="000000"/>
                <w:sz w:val="24"/>
                <w:szCs w:val="24"/>
              </w:rPr>
              <w:t>.</w:t>
            </w:r>
          </w:p>
        </w:tc>
      </w:tr>
      <w:tr w:rsidR="000617F8"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03CF84AB" w:rsidR="000617F8" w:rsidRPr="008B78B2" w:rsidRDefault="000617F8"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r w:rsidR="00E406F5">
              <w:rPr>
                <w:rFonts w:ascii="Times New Roman" w:hAnsi="Times New Roman"/>
                <w:sz w:val="24"/>
                <w:szCs w:val="24"/>
              </w:rPr>
              <w:t>.</w:t>
            </w:r>
          </w:p>
        </w:tc>
      </w:tr>
    </w:tbl>
    <w:p w14:paraId="1EB51B7B" w14:textId="1428DBF0" w:rsidR="009A312E" w:rsidRDefault="009A312E" w:rsidP="009A312E">
      <w:pPr>
        <w:spacing w:after="0" w:line="240" w:lineRule="auto"/>
        <w:jc w:val="center"/>
        <w:rPr>
          <w:rFonts w:ascii="Times New Roman" w:eastAsia="Arial Unicode MS" w:hAnsi="Times New Roman"/>
          <w:b/>
          <w:sz w:val="4"/>
          <w:szCs w:val="4"/>
        </w:rPr>
      </w:pPr>
    </w:p>
    <w:p w14:paraId="7E8A4294" w14:textId="1929110B" w:rsidR="00E26CFB" w:rsidRDefault="00E26CFB" w:rsidP="009A312E">
      <w:pPr>
        <w:spacing w:after="0" w:line="240" w:lineRule="auto"/>
        <w:jc w:val="center"/>
        <w:rPr>
          <w:rFonts w:ascii="Times New Roman" w:eastAsia="Arial Unicode MS" w:hAnsi="Times New Roman"/>
          <w:b/>
          <w:sz w:val="4"/>
          <w:szCs w:val="4"/>
        </w:rPr>
      </w:pPr>
    </w:p>
    <w:p w14:paraId="577F8E6A" w14:textId="538753EB" w:rsidR="00E26CFB" w:rsidRDefault="00E26CFB" w:rsidP="009A312E">
      <w:pPr>
        <w:spacing w:after="0" w:line="240" w:lineRule="auto"/>
        <w:jc w:val="center"/>
        <w:rPr>
          <w:rFonts w:ascii="Times New Roman" w:eastAsia="Arial Unicode MS" w:hAnsi="Times New Roman"/>
          <w:b/>
          <w:sz w:val="4"/>
          <w:szCs w:val="4"/>
        </w:rPr>
      </w:pPr>
    </w:p>
    <w:p w14:paraId="09AB4F4B" w14:textId="0DF5D13E" w:rsidR="00E26CFB" w:rsidRDefault="00E26CFB" w:rsidP="009A312E">
      <w:pPr>
        <w:spacing w:after="0" w:line="240" w:lineRule="auto"/>
        <w:jc w:val="center"/>
        <w:rPr>
          <w:rFonts w:ascii="Times New Roman" w:eastAsia="Arial Unicode MS" w:hAnsi="Times New Roman"/>
          <w:b/>
          <w:sz w:val="4"/>
          <w:szCs w:val="4"/>
        </w:rPr>
      </w:pPr>
    </w:p>
    <w:p w14:paraId="2A68FE5F" w14:textId="77777777" w:rsidR="00E26CFB" w:rsidRPr="00090BDF" w:rsidRDefault="00E26CFB"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4B3904">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98DFA71" w14:textId="7E951AC0" w:rsidR="009A312E" w:rsidRPr="00FC0E3F" w:rsidRDefault="003806D2" w:rsidP="008F01F6">
            <w:pPr>
              <w:spacing w:after="0" w:line="240" w:lineRule="auto"/>
              <w:ind w:left="142" w:right="130"/>
              <w:jc w:val="both"/>
              <w:rPr>
                <w:rFonts w:ascii="Times New Roman" w:hAnsi="Times New Roman"/>
                <w:sz w:val="24"/>
                <w:szCs w:val="24"/>
              </w:rPr>
            </w:pPr>
            <w:r w:rsidRPr="00FC0E3F">
              <w:rPr>
                <w:rFonts w:ascii="Times New Roman" w:hAnsi="Times New Roman"/>
                <w:sz w:val="24"/>
                <w:szCs w:val="24"/>
              </w:rPr>
              <w:t>SAM 4.3.1. pirmās atlases kārtas mērķa grupa ir siltumenerģijas lietotāji.</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40E75A32" w:rsidR="009A312E" w:rsidRPr="008B78B2" w:rsidRDefault="00E42D3C" w:rsidP="00B719FC">
            <w:pPr>
              <w:spacing w:after="0" w:line="240" w:lineRule="auto"/>
              <w:ind w:left="142" w:right="17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5C3B67" w14:textId="388CDF2A" w:rsidR="00FC0E3F" w:rsidRPr="00FC0E3F" w:rsidRDefault="00FC0E3F" w:rsidP="00E26CFB">
            <w:pPr>
              <w:spacing w:after="120" w:line="240" w:lineRule="auto"/>
              <w:ind w:left="142" w:right="130"/>
              <w:jc w:val="both"/>
              <w:rPr>
                <w:rFonts w:ascii="Times New Roman" w:hAnsi="Times New Roman"/>
                <w:sz w:val="24"/>
                <w:szCs w:val="24"/>
              </w:rPr>
            </w:pPr>
            <w:r w:rsidRPr="00FC0E3F">
              <w:rPr>
                <w:rFonts w:ascii="Times New Roman" w:hAnsi="Times New Roman"/>
                <w:sz w:val="24"/>
                <w:szCs w:val="24"/>
              </w:rPr>
              <w:t xml:space="preserve">Vērtējot projektu īstenošanas ietekmi uz administratīvajām procedūrām un to izmaksām, nav identificēts administratīvā sloga palielinājums ne </w:t>
            </w:r>
            <w:r w:rsidR="006E78DF">
              <w:rPr>
                <w:rFonts w:ascii="Times New Roman" w:hAnsi="Times New Roman"/>
                <w:sz w:val="24"/>
                <w:szCs w:val="24"/>
              </w:rPr>
              <w:t>atbalsta</w:t>
            </w:r>
            <w:r w:rsidRPr="00FC0E3F">
              <w:rPr>
                <w:rFonts w:ascii="Times New Roman" w:hAnsi="Times New Roman"/>
                <w:sz w:val="24"/>
                <w:szCs w:val="24"/>
              </w:rPr>
              <w:t xml:space="preserve"> saņēmējiem, ne Eiropas Savienības fondu vadībā iesaistītajām institūcijām.</w:t>
            </w:r>
          </w:p>
          <w:p w14:paraId="634D2457" w14:textId="77FE8940" w:rsidR="00FC0E3F" w:rsidRPr="00FC0E3F" w:rsidRDefault="00FC0E3F" w:rsidP="008F01F6">
            <w:pPr>
              <w:spacing w:after="0" w:line="240" w:lineRule="auto"/>
              <w:ind w:left="142" w:right="130"/>
              <w:jc w:val="both"/>
              <w:rPr>
                <w:rFonts w:ascii="Times New Roman" w:hAnsi="Times New Roman"/>
                <w:sz w:val="24"/>
                <w:szCs w:val="24"/>
              </w:rPr>
            </w:pPr>
            <w:r w:rsidRPr="00FC0E3F">
              <w:rPr>
                <w:rFonts w:ascii="Times New Roman" w:hAnsi="Times New Roman"/>
                <w:sz w:val="24"/>
                <w:szCs w:val="24"/>
              </w:rPr>
              <w:t xml:space="preserve">Noteikumu projekts paredz pozitīvu ietekmi uz tautsaimniecību, jo ar to </w:t>
            </w:r>
            <w:r w:rsidR="006E78DF">
              <w:rPr>
                <w:rFonts w:ascii="Times New Roman" w:hAnsi="Times New Roman"/>
                <w:sz w:val="24"/>
                <w:szCs w:val="24"/>
              </w:rPr>
              <w:t xml:space="preserve">tiek pagarināts </w:t>
            </w:r>
            <w:r w:rsidR="00B86EC1">
              <w:rPr>
                <w:rFonts w:ascii="Times New Roman" w:hAnsi="Times New Roman"/>
                <w:sz w:val="24"/>
                <w:szCs w:val="24"/>
              </w:rPr>
              <w:t>termiņš, kurā atbalsta saņēmēji var lūgt CFLA pārkvalificēt sniegto valsts atbalsta shēmu</w:t>
            </w:r>
            <w:r w:rsidR="006E78DF">
              <w:rPr>
                <w:rFonts w:ascii="Times New Roman" w:hAnsi="Times New Roman"/>
                <w:sz w:val="24"/>
                <w:szCs w:val="24"/>
              </w:rPr>
              <w:t xml:space="preserve">, tādējādi mazinot risku, ka </w:t>
            </w:r>
            <w:r w:rsidR="00B86EC1">
              <w:rPr>
                <w:rFonts w:ascii="Times New Roman" w:hAnsi="Times New Roman"/>
                <w:sz w:val="24"/>
                <w:szCs w:val="24"/>
              </w:rPr>
              <w:t xml:space="preserve">netiks īstenoti projekti, kuri nevar saņemt pašvaldības galvojumu. </w:t>
            </w:r>
            <w:r w:rsidR="006E78DF">
              <w:rPr>
                <w:rFonts w:ascii="Times New Roman" w:hAnsi="Times New Roman"/>
                <w:sz w:val="24"/>
                <w:szCs w:val="24"/>
              </w:rPr>
              <w:t xml:space="preserve"> </w:t>
            </w:r>
          </w:p>
          <w:p w14:paraId="004C769E" w14:textId="43E77719" w:rsidR="009A312E" w:rsidRPr="00FC0E3F" w:rsidRDefault="009A312E" w:rsidP="00FC0E3F">
            <w:pPr>
              <w:spacing w:before="60" w:after="60"/>
              <w:ind w:firstLine="649"/>
              <w:jc w:val="both"/>
              <w:rPr>
                <w:rFonts w:ascii="Times New Roman" w:hAnsi="Times New Roman"/>
                <w:sz w:val="24"/>
                <w:szCs w:val="24"/>
              </w:rPr>
            </w:pPr>
          </w:p>
        </w:tc>
      </w:tr>
      <w:tr w:rsidR="008A02EE" w:rsidRPr="008B78B2" w14:paraId="214EDD6A" w14:textId="77777777" w:rsidTr="004B3904">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5CFAEC7A" w14:textId="6369E231" w:rsidR="008A02EE" w:rsidRPr="008A02EE" w:rsidRDefault="00FC0E3F" w:rsidP="008F01F6">
            <w:pPr>
              <w:spacing w:after="0" w:line="240" w:lineRule="auto"/>
              <w:ind w:left="142" w:right="130"/>
              <w:jc w:val="both"/>
              <w:rPr>
                <w:rFonts w:ascii="Times New Roman" w:eastAsia="Times New Roman" w:hAnsi="Times New Roman"/>
                <w:sz w:val="24"/>
                <w:szCs w:val="24"/>
                <w:highlight w:val="yellow"/>
                <w:lang w:eastAsia="lv-LV"/>
              </w:rPr>
            </w:pPr>
            <w:r w:rsidRPr="00FC0E3F">
              <w:rPr>
                <w:rFonts w:ascii="Times New Roman" w:hAnsi="Times New Roman"/>
                <w:sz w:val="24"/>
                <w:szCs w:val="24"/>
              </w:rPr>
              <w:t xml:space="preserve">ES fondu administrēšanas izmaksas sadarbības iestādei un atbildīgajai iestādei plānots segt no Eiropas </w:t>
            </w:r>
            <w:r w:rsidRPr="008F01F6">
              <w:rPr>
                <w:rFonts w:ascii="Times New Roman" w:eastAsia="Times New Roman" w:hAnsi="Times New Roman"/>
                <w:sz w:val="24"/>
                <w:lang w:eastAsia="lv-LV"/>
              </w:rPr>
              <w:t>Savienības</w:t>
            </w:r>
            <w:r w:rsidRPr="00FC0E3F">
              <w:rPr>
                <w:rFonts w:ascii="Times New Roman" w:hAnsi="Times New Roman"/>
                <w:sz w:val="24"/>
                <w:szCs w:val="24"/>
              </w:rPr>
              <w:t xml:space="preserve"> struktūrfondu un Kohēzijas fonda 2014.-2020.gada plānošanas perioda tehniskās palīdzības projekta līdzekļiem.</w:t>
            </w:r>
          </w:p>
        </w:tc>
      </w:tr>
      <w:tr w:rsidR="00E42D3C" w:rsidRPr="008B78B2" w14:paraId="384B7E7C"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650F6E9E" w14:textId="1E7C1790" w:rsidR="00E42D3C" w:rsidRPr="008B78B2" w:rsidRDefault="00E42D3C" w:rsidP="008A02E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C1391FF" w14:textId="11192C98" w:rsidR="00E42D3C" w:rsidRPr="00B719FC" w:rsidRDefault="00E42D3C" w:rsidP="008A02EE">
            <w:pPr>
              <w:spacing w:after="0" w:line="240" w:lineRule="auto"/>
              <w:ind w:left="142" w:right="128"/>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5D49B02" w14:textId="2C7D569A" w:rsidR="00E42D3C" w:rsidRPr="008A02EE" w:rsidRDefault="00075FD5" w:rsidP="008C2968">
            <w:pPr>
              <w:spacing w:after="120" w:line="240" w:lineRule="auto"/>
              <w:ind w:left="142" w:right="130"/>
              <w:jc w:val="both"/>
              <w:rPr>
                <w:rFonts w:ascii="Times New Roman" w:eastAsia="Times New Roman" w:hAnsi="Times New Roman"/>
                <w:sz w:val="24"/>
                <w:lang w:eastAsia="lv-LV"/>
              </w:rPr>
            </w:pPr>
            <w:r>
              <w:rPr>
                <w:rFonts w:ascii="Times New Roman" w:eastAsia="Times New Roman" w:hAnsi="Times New Roman"/>
                <w:sz w:val="24"/>
                <w:lang w:eastAsia="lv-LV"/>
              </w:rPr>
              <w:t xml:space="preserve">Projekts šo </w:t>
            </w:r>
            <w:r w:rsidRPr="00075FD5">
              <w:rPr>
                <w:rFonts w:ascii="Times New Roman" w:hAnsi="Times New Roman"/>
                <w:sz w:val="24"/>
                <w:szCs w:val="24"/>
              </w:rPr>
              <w:t>jomu</w:t>
            </w:r>
            <w:r>
              <w:rPr>
                <w:rFonts w:ascii="Times New Roman" w:eastAsia="Times New Roman" w:hAnsi="Times New Roman"/>
                <w:sz w:val="24"/>
                <w:lang w:eastAsia="lv-LV"/>
              </w:rPr>
              <w:t xml:space="preserve"> neskar. </w:t>
            </w:r>
          </w:p>
        </w:tc>
      </w:tr>
      <w:tr w:rsidR="008A02EE" w:rsidRPr="008B78B2" w14:paraId="7C71C3A1" w14:textId="77777777" w:rsidTr="004B3904">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8A02EE" w:rsidRPr="008B78B2" w:rsidRDefault="008A02EE" w:rsidP="008F01F6">
            <w:pPr>
              <w:spacing w:after="0" w:line="240" w:lineRule="auto"/>
              <w:ind w:left="142" w:right="130"/>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01177861" w14:textId="70AA099C" w:rsidR="00E26CFB" w:rsidRPr="00E26CFB" w:rsidRDefault="00075FD5" w:rsidP="008F01F6">
            <w:pPr>
              <w:spacing w:after="0" w:line="240" w:lineRule="auto"/>
              <w:ind w:left="142" w:right="130"/>
              <w:jc w:val="both"/>
              <w:rPr>
                <w:rFonts w:ascii="Times New Roman" w:eastAsia="Times New Roman" w:hAnsi="Times New Roman"/>
                <w:sz w:val="24"/>
                <w:lang w:eastAsia="lv-LV"/>
              </w:rPr>
            </w:pPr>
            <w:r w:rsidRPr="008C2968">
              <w:rPr>
                <w:rFonts w:ascii="Times New Roman" w:hAnsi="Times New Roman"/>
                <w:sz w:val="24"/>
                <w:szCs w:val="24"/>
              </w:rPr>
              <w:t>Nav</w:t>
            </w:r>
            <w:r w:rsidR="00E406F5">
              <w:rPr>
                <w:rFonts w:ascii="Times New Roman" w:hAnsi="Times New Roman"/>
                <w:sz w:val="24"/>
                <w:szCs w:val="24"/>
              </w:rPr>
              <w:t>.</w:t>
            </w:r>
          </w:p>
        </w:tc>
      </w:tr>
    </w:tbl>
    <w:p w14:paraId="50576102" w14:textId="77777777" w:rsidR="008F01F6" w:rsidRDefault="008F01F6" w:rsidP="008F01F6">
      <w:pPr>
        <w:spacing w:after="0"/>
      </w:pPr>
    </w:p>
    <w:tbl>
      <w:tblPr>
        <w:tblW w:w="5676"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11"/>
      </w:tblGrid>
      <w:tr w:rsidR="00AC3A06" w:rsidRPr="00E5323B" w14:paraId="183648EB" w14:textId="77777777" w:rsidTr="00B86EC1">
        <w:trPr>
          <w:trHeight w:val="344"/>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2CDB219" w14:textId="77777777" w:rsidR="00AC3A06" w:rsidRPr="008F01F6" w:rsidRDefault="00AC3A06" w:rsidP="00731A75">
            <w:pPr>
              <w:spacing w:after="0" w:line="240" w:lineRule="auto"/>
              <w:rPr>
                <w:rFonts w:ascii="Times New Roman" w:eastAsia="Times New Roman" w:hAnsi="Times New Roman"/>
                <w:b/>
                <w:bCs/>
                <w:iCs/>
                <w:color w:val="000000" w:themeColor="text1"/>
                <w:sz w:val="24"/>
                <w:szCs w:val="24"/>
                <w:lang w:eastAsia="lv-LV"/>
              </w:rPr>
            </w:pPr>
            <w:r w:rsidRPr="008F01F6">
              <w:rPr>
                <w:rFonts w:ascii="Times New Roman" w:eastAsia="Times New Roman" w:hAnsi="Times New Roman"/>
                <w:b/>
                <w:bCs/>
                <w:iCs/>
                <w:color w:val="000000" w:themeColor="text1"/>
                <w:sz w:val="24"/>
                <w:szCs w:val="24"/>
                <w:lang w:eastAsia="lv-LV"/>
              </w:rPr>
              <w:lastRenderedPageBreak/>
              <w:t>III. Tiesību akta projekta ietekme uz valsts budžetu un pašvaldību budžetiem</w:t>
            </w:r>
          </w:p>
        </w:tc>
      </w:tr>
      <w:tr w:rsidR="00B86EC1" w:rsidRPr="00E5323B" w14:paraId="344DFC8F" w14:textId="77777777" w:rsidTr="00B86EC1">
        <w:trPr>
          <w:trHeight w:val="344"/>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FDB8A1B" w14:textId="34E2E465" w:rsidR="00B86EC1" w:rsidRPr="008F01F6" w:rsidRDefault="00B86EC1" w:rsidP="00B86EC1">
            <w:pPr>
              <w:spacing w:after="0" w:line="240" w:lineRule="auto"/>
              <w:jc w:val="center"/>
              <w:rPr>
                <w:rFonts w:ascii="Times New Roman" w:eastAsia="Times New Roman" w:hAnsi="Times New Roman"/>
                <w:b/>
                <w:bCs/>
                <w:iCs/>
                <w:color w:val="000000" w:themeColor="text1"/>
                <w:sz w:val="24"/>
                <w:szCs w:val="24"/>
                <w:lang w:eastAsia="lv-LV"/>
              </w:rPr>
            </w:pPr>
            <w:r>
              <w:rPr>
                <w:rFonts w:ascii="Times New Roman" w:hAnsi="Times New Roman"/>
                <w:bCs/>
                <w:sz w:val="24"/>
                <w:szCs w:val="24"/>
              </w:rPr>
              <w:t>Noteikumu projekts šo jomu neskar</w:t>
            </w:r>
          </w:p>
        </w:tc>
      </w:tr>
    </w:tbl>
    <w:p w14:paraId="002FF637" w14:textId="77777777" w:rsidR="00B33EFB" w:rsidRDefault="00B33EFB" w:rsidP="008F01F6">
      <w:pPr>
        <w:spacing w:after="0"/>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8B78B2"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A76336" w:rsidRPr="008B78B2" w14:paraId="7BD3C636" w14:textId="77777777" w:rsidTr="006B46B4">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C275424" w14:textId="133B6F28" w:rsidR="00A76336" w:rsidRPr="00EF1A55" w:rsidDel="00A76336" w:rsidRDefault="00A76336" w:rsidP="00A76336">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projekts šo jomu neskar</w:t>
            </w:r>
            <w:r w:rsidR="00E406F5">
              <w:rPr>
                <w:rFonts w:ascii="Times New Roman" w:hAnsi="Times New Roman"/>
                <w:bCs/>
                <w:sz w:val="24"/>
                <w:szCs w:val="24"/>
              </w:rPr>
              <w:t>.</w:t>
            </w:r>
          </w:p>
        </w:tc>
      </w:tr>
    </w:tbl>
    <w:p w14:paraId="416B924A" w14:textId="77777777" w:rsidR="008F01F6" w:rsidRDefault="008F01F6"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1843"/>
        <w:gridCol w:w="992"/>
        <w:gridCol w:w="1306"/>
        <w:gridCol w:w="2331"/>
        <w:gridCol w:w="2332"/>
      </w:tblGrid>
      <w:tr w:rsidR="003B0680" w14:paraId="70371D45" w14:textId="77777777" w:rsidTr="00ED1364">
        <w:tc>
          <w:tcPr>
            <w:tcW w:w="9326" w:type="dxa"/>
            <w:gridSpan w:val="6"/>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D982102" w14:textId="77777777" w:rsidR="003B0680" w:rsidRPr="00E5753A" w:rsidRDefault="003B0680" w:rsidP="00ED1364">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3B0680" w14:paraId="03979F94" w14:textId="77777777" w:rsidTr="00ED1364">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D6ACE37" w14:textId="77777777" w:rsidR="003B0680" w:rsidRPr="00B719FC" w:rsidRDefault="003B0680" w:rsidP="00ED1364">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t>1.</w:t>
            </w:r>
          </w:p>
        </w:tc>
        <w:tc>
          <w:tcPr>
            <w:tcW w:w="283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575C80E" w14:textId="77777777" w:rsidR="003B0680" w:rsidRPr="00B719FC" w:rsidRDefault="003B0680" w:rsidP="00ED1364">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5969"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288A425" w14:textId="77777777" w:rsidR="003B0680" w:rsidRPr="00B719FC" w:rsidRDefault="003B0680" w:rsidP="00ED1364">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tiks ieviestas prasības no šādiem Eiropas Savienības tiesību aktiem:</w:t>
            </w:r>
          </w:p>
          <w:p w14:paraId="6F0DD7DC" w14:textId="2D4071C3" w:rsidR="003B0680" w:rsidRDefault="003B0680" w:rsidP="00ED1364">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Komisijas lēmums Nr.</w:t>
            </w:r>
            <w:r>
              <w:rPr>
                <w:rFonts w:ascii="Times New Roman" w:hAnsi="Times New Roman"/>
                <w:bCs/>
                <w:sz w:val="24"/>
                <w:szCs w:val="24"/>
              </w:rPr>
              <w:t xml:space="preserve"> </w:t>
            </w:r>
            <w:r w:rsidRPr="00B719FC">
              <w:rPr>
                <w:rFonts w:ascii="Times New Roman" w:hAnsi="Times New Roman"/>
                <w:bCs/>
                <w:sz w:val="24"/>
                <w:szCs w:val="24"/>
              </w:rPr>
              <w:t>2012/21/ES</w:t>
            </w:r>
            <w:r>
              <w:rPr>
                <w:rFonts w:ascii="Times New Roman" w:hAnsi="Times New Roman"/>
                <w:bCs/>
                <w:sz w:val="24"/>
                <w:szCs w:val="24"/>
              </w:rPr>
              <w:t>;</w:t>
            </w:r>
          </w:p>
          <w:p w14:paraId="35DF111D" w14:textId="77777777" w:rsidR="003B0680" w:rsidRDefault="003B0680" w:rsidP="003B0680">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Komisijas regula Nr. 651/2014</w:t>
            </w:r>
            <w:r w:rsidR="000B3216">
              <w:rPr>
                <w:rFonts w:ascii="Times New Roman" w:hAnsi="Times New Roman"/>
                <w:bCs/>
                <w:sz w:val="24"/>
                <w:szCs w:val="24"/>
              </w:rPr>
              <w:t>;</w:t>
            </w:r>
          </w:p>
          <w:p w14:paraId="1EE2F32C" w14:textId="2C2E4B28" w:rsidR="000B3216" w:rsidRPr="00B719FC" w:rsidRDefault="000B3216" w:rsidP="003B0680">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Pr>
                <w:rFonts w:ascii="Times New Roman" w:hAnsi="Times New Roman"/>
                <w:bCs/>
                <w:sz w:val="24"/>
                <w:szCs w:val="24"/>
              </w:rPr>
              <w:t>Komisijas regula Nr.1407/2013.</w:t>
            </w:r>
          </w:p>
        </w:tc>
      </w:tr>
      <w:tr w:rsidR="003B0680" w14:paraId="66F71BAA" w14:textId="77777777" w:rsidTr="00ED1364">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D19F68" w14:textId="77777777" w:rsidR="003B0680" w:rsidRPr="00B719FC" w:rsidRDefault="003B0680" w:rsidP="00ED1364">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283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6DD488A" w14:textId="77777777" w:rsidR="003B0680" w:rsidRPr="00B719FC" w:rsidRDefault="003B0680" w:rsidP="00ED1364">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5969"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23499A4" w14:textId="77777777" w:rsidR="003B0680" w:rsidRPr="00B719FC" w:rsidRDefault="003B0680" w:rsidP="00ED1364">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3B0680" w14:paraId="5691D867" w14:textId="77777777" w:rsidTr="00ED1364">
        <w:tc>
          <w:tcPr>
            <w:tcW w:w="522"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30ED48F6" w14:textId="77777777" w:rsidR="003B0680" w:rsidRPr="00B719FC" w:rsidRDefault="003B0680" w:rsidP="00ED1364">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5" w:type="dxa"/>
            <w:gridSpan w:val="2"/>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1A14D70B" w14:textId="77777777" w:rsidR="003B0680" w:rsidRPr="00B719FC" w:rsidRDefault="003B0680" w:rsidP="00ED1364">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5969"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C8A7406" w14:textId="77777777" w:rsidR="003B0680" w:rsidRPr="00B719FC" w:rsidRDefault="003B0680" w:rsidP="00ED1364">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r w:rsidR="003B0680" w14:paraId="03599B86" w14:textId="77777777" w:rsidTr="00ED1364">
        <w:tc>
          <w:tcPr>
            <w:tcW w:w="9326" w:type="dxa"/>
            <w:gridSpan w:val="6"/>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5D1B8211" w14:textId="77777777" w:rsidR="003B0680" w:rsidRPr="00E5753A" w:rsidRDefault="003B0680" w:rsidP="00ED1364">
            <w:pPr>
              <w:spacing w:before="120" w:after="120" w:line="240" w:lineRule="auto"/>
              <w:jc w:val="center"/>
              <w:rPr>
                <w:rFonts w:ascii="Times New Roman" w:hAnsi="Times New Roman"/>
                <w:b/>
                <w:bCs/>
                <w:sz w:val="24"/>
                <w:szCs w:val="24"/>
              </w:rPr>
            </w:pPr>
            <w:bookmarkStart w:id="5" w:name="_Hlk518477393"/>
            <w:r w:rsidRPr="003F5F93">
              <w:rPr>
                <w:rFonts w:ascii="Times New Roman" w:hAnsi="Times New Roman"/>
                <w:b/>
                <w:bCs/>
                <w:sz w:val="24"/>
                <w:szCs w:val="24"/>
              </w:rPr>
              <w:t>1.tabula. Tiesību akta projekta atbilstība ES tiesību aktiem</w:t>
            </w:r>
          </w:p>
        </w:tc>
      </w:tr>
      <w:tr w:rsidR="003B0680" w14:paraId="4ACDDF5E" w14:textId="77777777" w:rsidTr="00ED1364">
        <w:tc>
          <w:tcPr>
            <w:tcW w:w="236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FB012E3"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6961" w:type="dxa"/>
            <w:gridSpan w:val="4"/>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D15293" w14:textId="77777777" w:rsidR="003B0680" w:rsidRPr="00526878" w:rsidRDefault="003B0680" w:rsidP="00ED1364">
            <w:pPr>
              <w:pStyle w:val="naiskr"/>
              <w:spacing w:before="0" w:beforeAutospacing="0" w:after="0" w:afterAutospacing="0" w:line="276" w:lineRule="auto"/>
              <w:jc w:val="both"/>
            </w:pPr>
            <w:r w:rsidRPr="00526878">
              <w:t xml:space="preserve">Ar normatīvo aktu tiek ieviestas šāda Eiropas Savienības tiesību akta prasības: </w:t>
            </w:r>
          </w:p>
          <w:p w14:paraId="3959AF83" w14:textId="77777777" w:rsidR="003B0680" w:rsidRDefault="003B0680" w:rsidP="00ED1364">
            <w:pPr>
              <w:pStyle w:val="naiskr"/>
              <w:numPr>
                <w:ilvl w:val="0"/>
                <w:numId w:val="16"/>
              </w:numPr>
              <w:spacing w:before="0" w:beforeAutospacing="0" w:after="0" w:afterAutospacing="0" w:line="276" w:lineRule="auto"/>
              <w:ind w:left="377"/>
              <w:jc w:val="both"/>
              <w:rPr>
                <w:lang w:eastAsia="en-US"/>
              </w:rPr>
            </w:pPr>
            <w:r>
              <w:rPr>
                <w:lang w:eastAsia="en-US"/>
              </w:rPr>
              <w:t>Komisijas lēmums Nr. 2012/21/ES;</w:t>
            </w:r>
          </w:p>
          <w:p w14:paraId="1FE77F94" w14:textId="77777777" w:rsidR="000B3216" w:rsidRDefault="003B0680" w:rsidP="003B0680">
            <w:pPr>
              <w:pStyle w:val="naiskr"/>
              <w:numPr>
                <w:ilvl w:val="0"/>
                <w:numId w:val="16"/>
              </w:numPr>
              <w:spacing w:before="0" w:beforeAutospacing="0" w:after="0" w:afterAutospacing="0" w:line="276" w:lineRule="auto"/>
              <w:ind w:left="377"/>
              <w:jc w:val="both"/>
              <w:rPr>
                <w:lang w:eastAsia="en-US"/>
              </w:rPr>
            </w:pPr>
            <w:r w:rsidRPr="00526878">
              <w:rPr>
                <w:lang w:eastAsia="en-US"/>
              </w:rPr>
              <w:t>Komisijas regula Nr.</w:t>
            </w:r>
            <w:r w:rsidRPr="00526878">
              <w:rPr>
                <w:bCs/>
              </w:rPr>
              <w:t>651/2014</w:t>
            </w:r>
            <w:r w:rsidR="000B3216">
              <w:rPr>
                <w:lang w:eastAsia="en-US"/>
              </w:rPr>
              <w:t>;</w:t>
            </w:r>
          </w:p>
          <w:p w14:paraId="17985A53" w14:textId="0C0ADDA6" w:rsidR="003B0680" w:rsidRPr="003F5F93" w:rsidRDefault="000B3216" w:rsidP="003B0680">
            <w:pPr>
              <w:pStyle w:val="naiskr"/>
              <w:numPr>
                <w:ilvl w:val="0"/>
                <w:numId w:val="16"/>
              </w:numPr>
              <w:spacing w:before="0" w:beforeAutospacing="0" w:after="0" w:afterAutospacing="0" w:line="276" w:lineRule="auto"/>
              <w:ind w:left="377"/>
              <w:jc w:val="both"/>
              <w:rPr>
                <w:lang w:eastAsia="en-US"/>
              </w:rPr>
            </w:pPr>
            <w:r>
              <w:rPr>
                <w:lang w:eastAsia="en-US"/>
              </w:rPr>
              <w:t>Komisijas regula Nr.1407/2013.</w:t>
            </w:r>
          </w:p>
        </w:tc>
      </w:tr>
      <w:tr w:rsidR="003B0680" w14:paraId="1F28F0E5" w14:textId="77777777" w:rsidTr="00ED1364">
        <w:tc>
          <w:tcPr>
            <w:tcW w:w="236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6FF0259" w14:textId="77777777" w:rsidR="003B0680" w:rsidRPr="003F5F93" w:rsidRDefault="003B0680" w:rsidP="00ED1364">
            <w:pPr>
              <w:spacing w:before="120" w:after="120" w:line="240" w:lineRule="auto"/>
              <w:jc w:val="center"/>
              <w:rPr>
                <w:rFonts w:ascii="Times New Roman" w:hAnsi="Times New Roman"/>
                <w:bCs/>
                <w:sz w:val="24"/>
                <w:szCs w:val="24"/>
              </w:rPr>
            </w:pPr>
            <w:r>
              <w:rPr>
                <w:rFonts w:ascii="Times New Roman" w:hAnsi="Times New Roman"/>
                <w:bCs/>
                <w:sz w:val="24"/>
                <w:szCs w:val="24"/>
              </w:rPr>
              <w:t>A</w:t>
            </w:r>
          </w:p>
        </w:tc>
        <w:tc>
          <w:tcPr>
            <w:tcW w:w="2298"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009EB13" w14:textId="77777777" w:rsidR="003B0680" w:rsidRPr="003F5F93" w:rsidRDefault="003B0680" w:rsidP="00ED1364">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8BEA1A" w14:textId="77777777" w:rsidR="003B0680" w:rsidRPr="003F5F93" w:rsidRDefault="003B0680" w:rsidP="00ED1364">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DA0DC1B" w14:textId="77777777" w:rsidR="003B0680" w:rsidRPr="003F5F93" w:rsidRDefault="003B0680" w:rsidP="00ED1364">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3B0680" w14:paraId="4E8980E5" w14:textId="77777777" w:rsidTr="00ED1364">
        <w:tc>
          <w:tcPr>
            <w:tcW w:w="236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0AE490D"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panta numurs (uzskaitot katru tiesību akta </w:t>
            </w:r>
          </w:p>
          <w:p w14:paraId="3935329E" w14:textId="77777777" w:rsidR="003B0680" w:rsidRPr="003F5F93" w:rsidRDefault="003B0680" w:rsidP="00ED1364">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8"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E3A866" w14:textId="77777777" w:rsidR="003B0680" w:rsidRPr="003F5F93" w:rsidRDefault="003B0680" w:rsidP="00ED1364">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t>Projekta vienība, kas pārņem vai ievieš katru šīs tabulas A ailē minēto ES tiesību akta vienību, vai tiesību akts, kur attiecīgā ES tiesību akta vienība pārņemta vai ieviesta</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0C01D8E"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A ailē minētās ES tiesību akta vienības tiek pārņemtas vai ieviestas pilnībā vai daļēji.</w:t>
            </w:r>
          </w:p>
          <w:p w14:paraId="453ABBE2"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attiecīgā ES tiesību akta vienība tiek pārņemta vai ieviesta daļēji, – sniedz attiecīgu skaidrojumu, kā arī precīzi norāda, kad un kādā veidā ES tiesību akta vienība tiks pārņemta vai ieviesta pilnībā.</w:t>
            </w:r>
          </w:p>
          <w:p w14:paraId="7946AB22"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lastRenderedPageBreak/>
              <w:t>Norāda institūciju, kas ir atbildīga par šo saistību izpildi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72035FB"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lastRenderedPageBreak/>
              <w:t>Informācija par to, vai šīs tabulas B ailē minētās projekta vienības paredz stingrākas prasības nekā šīs tabulas A ailē minētās ES tiesību akta vienības.</w:t>
            </w:r>
          </w:p>
          <w:p w14:paraId="19C3B720"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projekts satur stingrākas prasības nekā attiecīgais ES tiesību akts, – norāda pamatojumu un samērīgumu.</w:t>
            </w:r>
          </w:p>
          <w:p w14:paraId="04551168" w14:textId="77777777" w:rsidR="003B0680" w:rsidRPr="003F5F93" w:rsidRDefault="003B0680" w:rsidP="00ED1364">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Norāda iespējamās alternatīvas (t.sk. alternatīvas, kas neparedz tiesiskā </w:t>
            </w:r>
            <w:r w:rsidRPr="003F5F93">
              <w:rPr>
                <w:rFonts w:ascii="Times New Roman" w:hAnsi="Times New Roman"/>
                <w:bCs/>
                <w:sz w:val="24"/>
                <w:szCs w:val="24"/>
              </w:rPr>
              <w:lastRenderedPageBreak/>
              <w:t>regulējuma izstrādi) – kādos gadījumos būtu iespējams izvairīties no stingrāku prasību noteikšanas, nekā paredzēts attiecīgajos ES tiesību aktos</w:t>
            </w:r>
          </w:p>
        </w:tc>
      </w:tr>
      <w:tr w:rsidR="003B0680" w14:paraId="510C04D2" w14:textId="77777777" w:rsidTr="00ED1364">
        <w:trPr>
          <w:trHeight w:val="1233"/>
        </w:trPr>
        <w:tc>
          <w:tcPr>
            <w:tcW w:w="236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22C14A" w14:textId="77500210" w:rsidR="003B0680" w:rsidRDefault="003B0680" w:rsidP="00ED1364">
            <w:pPr>
              <w:spacing w:after="0" w:line="240" w:lineRule="auto"/>
              <w:ind w:left="142" w:right="130"/>
              <w:jc w:val="both"/>
              <w:rPr>
                <w:rFonts w:ascii="Times New Roman" w:hAnsi="Times New Roman"/>
                <w:bCs/>
                <w:sz w:val="24"/>
                <w:szCs w:val="24"/>
              </w:rPr>
            </w:pPr>
            <w:r>
              <w:rPr>
                <w:rFonts w:ascii="Times New Roman" w:hAnsi="Times New Roman"/>
                <w:bCs/>
                <w:sz w:val="24"/>
                <w:szCs w:val="24"/>
              </w:rPr>
              <w:lastRenderedPageBreak/>
              <w:t>Komisijas regula Nr. 651/2014</w:t>
            </w:r>
          </w:p>
        </w:tc>
        <w:tc>
          <w:tcPr>
            <w:tcW w:w="2298"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C5DDD2B" w14:textId="4FD0BA26" w:rsidR="003B0680" w:rsidRDefault="003B0680" w:rsidP="00ED1364">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projektos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7FA97AF" w14:textId="77777777" w:rsidR="003B0680" w:rsidRDefault="003B0680" w:rsidP="00ED1364">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399DEFA" w14:textId="77777777" w:rsidR="003B0680" w:rsidRDefault="003B0680" w:rsidP="00ED1364">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0B3216" w14:paraId="65F44571" w14:textId="77777777" w:rsidTr="00ED1364">
        <w:trPr>
          <w:trHeight w:val="1233"/>
        </w:trPr>
        <w:tc>
          <w:tcPr>
            <w:tcW w:w="236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7D43303" w14:textId="4683F272" w:rsidR="000B3216" w:rsidRDefault="000B3216" w:rsidP="000B3216">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w:t>
            </w:r>
            <w:r>
              <w:rPr>
                <w:rFonts w:ascii="Times New Roman" w:hAnsi="Times New Roman"/>
                <w:bCs/>
                <w:sz w:val="24"/>
                <w:szCs w:val="24"/>
              </w:rPr>
              <w:t>regula Nr. 1407/2013</w:t>
            </w:r>
            <w:r>
              <w:rPr>
                <w:rFonts w:ascii="Times New Roman" w:hAnsi="Times New Roman"/>
                <w:bCs/>
                <w:sz w:val="24"/>
                <w:szCs w:val="24"/>
              </w:rPr>
              <w:t xml:space="preserve">          </w:t>
            </w:r>
          </w:p>
        </w:tc>
        <w:tc>
          <w:tcPr>
            <w:tcW w:w="2298"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2B5B8A8" w14:textId="55EF62D6" w:rsidR="000B3216" w:rsidRDefault="000B3216" w:rsidP="000B3216">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projektos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079D235" w14:textId="5BAF935E" w:rsidR="000B3216" w:rsidRDefault="000B3216" w:rsidP="000B3216">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C82188A" w14:textId="79B55F00" w:rsidR="000B3216" w:rsidRDefault="000B3216" w:rsidP="000B3216">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3B0680" w14:paraId="31F0D0C8" w14:textId="77777777" w:rsidTr="00ED1364">
        <w:trPr>
          <w:trHeight w:val="1233"/>
        </w:trPr>
        <w:tc>
          <w:tcPr>
            <w:tcW w:w="2365"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521CA9F" w14:textId="77777777" w:rsidR="003B0680" w:rsidRPr="003F5F93" w:rsidRDefault="003B0680" w:rsidP="00ED1364">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lēmums Nr. 2012/12/ES          </w:t>
            </w:r>
          </w:p>
        </w:tc>
        <w:tc>
          <w:tcPr>
            <w:tcW w:w="2298" w:type="dxa"/>
            <w:gridSpan w:val="2"/>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6729E7" w14:textId="3EE659E0" w:rsidR="003B0680" w:rsidRPr="003F5F93" w:rsidRDefault="003B0680" w:rsidP="00ED1364">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projektos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BF4B39" w14:textId="77777777" w:rsidR="003B0680" w:rsidRPr="003F5F93" w:rsidRDefault="003B0680" w:rsidP="00ED1364">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1B5AE6A" w14:textId="77777777" w:rsidR="003B0680" w:rsidRPr="003F5F93" w:rsidRDefault="003B0680" w:rsidP="00ED1364">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bookmarkEnd w:id="5"/>
    </w:tbl>
    <w:p w14:paraId="235BE01B" w14:textId="77777777" w:rsidR="003B0680" w:rsidRDefault="003B0680" w:rsidP="003B0680">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3B0680" w14:paraId="178B4B77" w14:textId="77777777" w:rsidTr="00ED1364">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B12AC0" w14:textId="77777777" w:rsidR="003B0680" w:rsidRPr="00837B43" w:rsidRDefault="003B0680" w:rsidP="00ED1364">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2.tabula. Ar tiesību akta projektu uzņemtās saistības, kas izriet no starptautiskajiem tiesību aktiem vai starptautiskas institūcijas vai organizācijas dokumentiem</w:t>
            </w:r>
          </w:p>
          <w:p w14:paraId="25C1D168" w14:textId="77777777" w:rsidR="003B0680" w:rsidRPr="00E5753A" w:rsidRDefault="003B0680" w:rsidP="00ED1364">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Pasākumi šo saistību izpildei</w:t>
            </w:r>
          </w:p>
        </w:tc>
      </w:tr>
      <w:tr w:rsidR="003B0680" w14:paraId="4645EFC0" w14:textId="77777777" w:rsidTr="00ED1364">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5DACF0C" w14:textId="624074BD" w:rsidR="003B0680" w:rsidRPr="003F5F93" w:rsidRDefault="003B0680" w:rsidP="00ED1364">
            <w:pPr>
              <w:spacing w:before="120" w:after="120" w:line="240" w:lineRule="auto"/>
              <w:jc w:val="center"/>
            </w:pPr>
            <w:r>
              <w:rPr>
                <w:rFonts w:ascii="Times New Roman" w:hAnsi="Times New Roman"/>
                <w:b/>
                <w:bCs/>
                <w:sz w:val="24"/>
                <w:szCs w:val="24"/>
              </w:rPr>
              <w:t>Noteikumu p</w:t>
            </w:r>
            <w:r w:rsidRPr="00E5753A">
              <w:rPr>
                <w:rFonts w:ascii="Times New Roman" w:hAnsi="Times New Roman"/>
                <w:b/>
                <w:bCs/>
                <w:sz w:val="24"/>
                <w:szCs w:val="24"/>
              </w:rPr>
              <w:t>rojekt</w:t>
            </w:r>
            <w:r w:rsidR="001A0631">
              <w:rPr>
                <w:rFonts w:ascii="Times New Roman" w:hAnsi="Times New Roman"/>
                <w:b/>
                <w:bCs/>
                <w:sz w:val="24"/>
                <w:szCs w:val="24"/>
              </w:rPr>
              <w:t>i</w:t>
            </w:r>
            <w:r w:rsidRPr="00E5753A">
              <w:rPr>
                <w:rFonts w:ascii="Times New Roman" w:hAnsi="Times New Roman"/>
                <w:b/>
                <w:bCs/>
                <w:sz w:val="24"/>
                <w:szCs w:val="24"/>
              </w:rPr>
              <w:t xml:space="preserve"> šo jomu neskar</w:t>
            </w:r>
          </w:p>
        </w:tc>
      </w:tr>
    </w:tbl>
    <w:p w14:paraId="2E886B34" w14:textId="43DCC27C" w:rsidR="007538D9" w:rsidRPr="005E704C" w:rsidRDefault="007538D9"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BC8C3CC" w14:textId="26E279DE" w:rsidR="009A312E" w:rsidRPr="006E0049" w:rsidRDefault="006E0049" w:rsidP="008F01F6">
            <w:pPr>
              <w:spacing w:after="0" w:line="240" w:lineRule="auto"/>
              <w:ind w:left="142" w:right="130"/>
              <w:jc w:val="both"/>
              <w:rPr>
                <w:rFonts w:ascii="Times New Roman" w:hAnsi="Times New Roman"/>
              </w:rPr>
            </w:pPr>
            <w:r w:rsidRPr="006E0049">
              <w:rPr>
                <w:rFonts w:ascii="Times New Roman" w:hAnsi="Times New Roman"/>
              </w:rPr>
              <w:t xml:space="preserve">Atbilstoši normatīvo aktu prasībām Ekonomikas </w:t>
            </w:r>
            <w:r w:rsidRPr="008F01F6">
              <w:rPr>
                <w:rFonts w:ascii="Times New Roman" w:hAnsi="Times New Roman"/>
                <w:sz w:val="24"/>
                <w:szCs w:val="24"/>
              </w:rPr>
              <w:t>ministrija</w:t>
            </w:r>
            <w:r w:rsidRPr="006E0049">
              <w:rPr>
                <w:rFonts w:ascii="Times New Roman" w:hAnsi="Times New Roman"/>
              </w:rPr>
              <w:t xml:space="preserve"> tās tīmekļa vietnē publicē informāciju par noteikumu projektu un par tā virzību.</w:t>
            </w:r>
          </w:p>
        </w:tc>
      </w:tr>
      <w:tr w:rsidR="009A312E" w:rsidRPr="008B78B2" w14:paraId="2F9C45F7"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ADD2D56" w14:textId="2AC7C379" w:rsidR="001B0ADF" w:rsidRDefault="001B0ADF" w:rsidP="00E26CFB">
            <w:pPr>
              <w:spacing w:after="120" w:line="240" w:lineRule="auto"/>
              <w:ind w:left="142" w:right="13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Noteikumu projekta sagatavošanas procesā Ekonomikas ministrija </w:t>
            </w:r>
            <w:r w:rsidR="00B86EC1">
              <w:rPr>
                <w:rFonts w:ascii="Times New Roman" w:eastAsia="Times New Roman" w:hAnsi="Times New Roman"/>
                <w:iCs/>
                <w:sz w:val="24"/>
                <w:szCs w:val="24"/>
                <w:lang w:eastAsia="lv-LV"/>
              </w:rPr>
              <w:t>komunicēja ar atbalsta saņēmējiem un CFLA</w:t>
            </w:r>
            <w:r>
              <w:rPr>
                <w:rFonts w:ascii="Times New Roman" w:eastAsia="Times New Roman" w:hAnsi="Times New Roman"/>
                <w:iCs/>
                <w:sz w:val="24"/>
                <w:szCs w:val="24"/>
                <w:lang w:eastAsia="lv-LV"/>
              </w:rPr>
              <w:t xml:space="preserve">, lai apkopotu galvenos iemeslus kā dēļ </w:t>
            </w:r>
            <w:r w:rsidR="00B86EC1">
              <w:rPr>
                <w:rFonts w:ascii="Times New Roman" w:eastAsia="Times New Roman" w:hAnsi="Times New Roman"/>
                <w:iCs/>
                <w:sz w:val="24"/>
                <w:szCs w:val="24"/>
                <w:lang w:eastAsia="lv-LV"/>
              </w:rPr>
              <w:t>atbalsta saņēmēji nav paguvuši veikt atbalsta shēmas pārkvalificēšanu</w:t>
            </w:r>
            <w:r>
              <w:rPr>
                <w:rFonts w:ascii="Times New Roman" w:eastAsia="Times New Roman" w:hAnsi="Times New Roman"/>
                <w:iCs/>
                <w:sz w:val="24"/>
                <w:szCs w:val="24"/>
                <w:lang w:eastAsia="lv-LV"/>
              </w:rPr>
              <w:t xml:space="preserve">. </w:t>
            </w:r>
          </w:p>
          <w:p w14:paraId="62ECC05B" w14:textId="1AE3A928" w:rsidR="009A312E" w:rsidRPr="00714546" w:rsidRDefault="006E0049" w:rsidP="008F01F6">
            <w:pPr>
              <w:spacing w:after="0" w:line="240" w:lineRule="auto"/>
              <w:ind w:left="142" w:right="130"/>
              <w:jc w:val="both"/>
              <w:rPr>
                <w:rFonts w:ascii="Times New Roman" w:eastAsia="Times New Roman" w:hAnsi="Times New Roman"/>
                <w:iCs/>
                <w:sz w:val="24"/>
                <w:szCs w:val="24"/>
                <w:highlight w:val="yellow"/>
                <w:lang w:eastAsia="lv-LV"/>
              </w:rPr>
            </w:pPr>
            <w:r w:rsidRPr="006E0049">
              <w:rPr>
                <w:rFonts w:ascii="Times New Roman" w:eastAsia="Times New Roman" w:hAnsi="Times New Roman"/>
                <w:iCs/>
                <w:sz w:val="24"/>
                <w:szCs w:val="24"/>
                <w:lang w:eastAsia="lv-LV"/>
              </w:rPr>
              <w:t xml:space="preserve">Noteikumu projekts ir publicēts Ekonomikas ministrijas </w:t>
            </w:r>
            <w:r w:rsidRPr="006E0049">
              <w:rPr>
                <w:rFonts w:ascii="Times New Roman" w:hAnsi="Times New Roman"/>
              </w:rPr>
              <w:t>tīmekļa</w:t>
            </w:r>
            <w:r w:rsidRPr="006E0049">
              <w:rPr>
                <w:rFonts w:ascii="Times New Roman" w:eastAsia="Times New Roman" w:hAnsi="Times New Roman"/>
                <w:iCs/>
                <w:sz w:val="24"/>
                <w:szCs w:val="24"/>
                <w:lang w:eastAsia="lv-LV"/>
              </w:rPr>
              <w:t xml:space="preserve"> vietnē, sabiedrībai ir dota iespēja </w:t>
            </w:r>
            <w:r w:rsidRPr="008F01F6">
              <w:rPr>
                <w:rFonts w:ascii="Times New Roman" w:hAnsi="Times New Roman"/>
                <w:sz w:val="24"/>
                <w:szCs w:val="24"/>
              </w:rPr>
              <w:t>informēt</w:t>
            </w:r>
            <w:r w:rsidRPr="006E0049">
              <w:rPr>
                <w:rFonts w:ascii="Times New Roman" w:eastAsia="Times New Roman" w:hAnsi="Times New Roman"/>
                <w:iCs/>
                <w:sz w:val="24"/>
                <w:szCs w:val="24"/>
                <w:lang w:eastAsia="lv-LV"/>
              </w:rPr>
              <w:t xml:space="preserve"> par iebildumiem un priekšlikumiem, ja tādi rodas.</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339638D8" w:rsidR="00220849" w:rsidRPr="00714546" w:rsidRDefault="00F649D1" w:rsidP="00E26CFB">
            <w:pPr>
              <w:spacing w:after="120" w:line="240" w:lineRule="auto"/>
              <w:ind w:left="142" w:right="130"/>
              <w:jc w:val="both"/>
              <w:rPr>
                <w:rFonts w:ascii="Times New Roman" w:eastAsia="Times New Roman" w:hAnsi="Times New Roman"/>
                <w:b/>
                <w:sz w:val="24"/>
                <w:szCs w:val="24"/>
                <w:highlight w:val="yellow"/>
                <w:lang w:eastAsia="lv-LV"/>
              </w:rPr>
            </w:pPr>
            <w:r w:rsidRPr="00F649D1">
              <w:rPr>
                <w:rFonts w:ascii="Times New Roman" w:eastAsia="Times New Roman" w:hAnsi="Times New Roman"/>
                <w:iCs/>
                <w:sz w:val="24"/>
                <w:szCs w:val="24"/>
                <w:lang w:eastAsia="lv-LV"/>
              </w:rPr>
              <w:t>Līdz šim nav saņemti iebildumi un priekšlikumi.</w:t>
            </w: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F649D1" w:rsidRDefault="009A312E" w:rsidP="00F649D1">
            <w:pPr>
              <w:spacing w:after="0" w:line="240" w:lineRule="auto"/>
              <w:ind w:left="142" w:right="128"/>
              <w:jc w:val="both"/>
              <w:rPr>
                <w:rFonts w:ascii="Times New Roman" w:eastAsia="Times New Roman" w:hAnsi="Times New Roman"/>
                <w:iCs/>
                <w:sz w:val="24"/>
                <w:szCs w:val="24"/>
                <w:lang w:eastAsia="lv-LV"/>
              </w:rPr>
            </w:pPr>
            <w:r w:rsidRPr="00F649D1">
              <w:rPr>
                <w:rFonts w:ascii="Times New Roman" w:eastAsia="Times New Roman" w:hAnsi="Times New Roman"/>
                <w:iCs/>
                <w:sz w:val="24"/>
                <w:szCs w:val="24"/>
                <w:lang w:eastAsia="lv-LV"/>
              </w:rPr>
              <w:t xml:space="preserve">Cita </w:t>
            </w:r>
            <w:r w:rsidRPr="00F649D1">
              <w:rPr>
                <w:rFonts w:ascii="Times New Roman" w:hAnsi="Times New Roman"/>
                <w:sz w:val="24"/>
                <w:szCs w:val="24"/>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49065E0" w:rsidR="009A312E" w:rsidRPr="00F649D1" w:rsidRDefault="00F649D1" w:rsidP="008F01F6">
            <w:pPr>
              <w:spacing w:after="0" w:line="240" w:lineRule="auto"/>
              <w:ind w:left="142" w:right="130"/>
              <w:jc w:val="both"/>
              <w:rPr>
                <w:rFonts w:ascii="Times New Roman" w:eastAsia="Times New Roman" w:hAnsi="Times New Roman"/>
                <w:iCs/>
                <w:sz w:val="24"/>
                <w:szCs w:val="24"/>
                <w:lang w:eastAsia="lv-LV"/>
              </w:rPr>
            </w:pPr>
            <w:r w:rsidRPr="008F01F6">
              <w:rPr>
                <w:rFonts w:ascii="Times New Roman" w:hAnsi="Times New Roman"/>
                <w:sz w:val="24"/>
                <w:szCs w:val="24"/>
              </w:rPr>
              <w:t>Nav</w:t>
            </w:r>
            <w:r w:rsidR="00E26CFB">
              <w:rPr>
                <w:rFonts w:ascii="Times New Roman" w:eastAsia="Times New Roman" w:hAnsi="Times New Roman"/>
                <w:iCs/>
                <w:sz w:val="24"/>
                <w:szCs w:val="24"/>
                <w:lang w:eastAsia="lv-LV"/>
              </w:rPr>
              <w:t>.</w:t>
            </w:r>
          </w:p>
        </w:tc>
      </w:tr>
    </w:tbl>
    <w:p w14:paraId="24D64682" w14:textId="28ACFCB1" w:rsidR="009A312E" w:rsidRDefault="009A312E" w:rsidP="009A312E">
      <w:pPr>
        <w:tabs>
          <w:tab w:val="left" w:pos="7655"/>
        </w:tabs>
        <w:spacing w:line="240" w:lineRule="auto"/>
        <w:jc w:val="both"/>
        <w:rPr>
          <w:rFonts w:ascii="Times New Roman" w:hAnsi="Times New Roman"/>
          <w:bCs/>
          <w:sz w:val="4"/>
          <w:szCs w:val="4"/>
        </w:rPr>
      </w:pPr>
    </w:p>
    <w:p w14:paraId="0F66E793" w14:textId="77777777" w:rsidR="00E26CFB" w:rsidRPr="00090BDF" w:rsidRDefault="00E26CFB" w:rsidP="008F01F6">
      <w:pPr>
        <w:tabs>
          <w:tab w:val="left" w:pos="7655"/>
        </w:tabs>
        <w:spacing w:after="0"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4B3904">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B14CACD" w14:textId="4F76513B" w:rsidR="009A312E" w:rsidRPr="00714546" w:rsidRDefault="00B95A86" w:rsidP="008F01F6">
            <w:pPr>
              <w:spacing w:after="0" w:line="240" w:lineRule="auto"/>
              <w:ind w:left="142" w:right="130"/>
              <w:jc w:val="both"/>
              <w:rPr>
                <w:rFonts w:ascii="Times New Roman" w:hAnsi="Times New Roman"/>
                <w:sz w:val="24"/>
                <w:szCs w:val="24"/>
                <w:highlight w:val="yellow"/>
                <w:lang w:eastAsia="lv-LV"/>
              </w:rPr>
            </w:pPr>
            <w:r w:rsidRPr="008F01F6">
              <w:rPr>
                <w:rFonts w:ascii="Times New Roman" w:hAnsi="Times New Roman"/>
                <w:sz w:val="24"/>
                <w:szCs w:val="24"/>
              </w:rPr>
              <w:t>Ekonomikas</w:t>
            </w:r>
            <w:r w:rsidRPr="00B95A86">
              <w:rPr>
                <w:rFonts w:ascii="Times New Roman" w:eastAsia="Times New Roman" w:hAnsi="Times New Roman"/>
                <w:iCs/>
                <w:sz w:val="24"/>
                <w:szCs w:val="24"/>
                <w:lang w:eastAsia="lv-LV"/>
              </w:rPr>
              <w:t xml:space="preserve"> ministrija kā atbildīgā iestāde, Centrālā finanšu un līgumu aģentūra kā sadarbības iestāde.</w:t>
            </w:r>
          </w:p>
        </w:tc>
      </w:tr>
      <w:tr w:rsidR="009A312E" w:rsidRPr="008B78B2" w14:paraId="678718AA"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A93EA10" w14:textId="01634B1B" w:rsidR="009A312E" w:rsidRPr="00B95A86" w:rsidRDefault="00B95A86" w:rsidP="00E26CFB">
            <w:pPr>
              <w:spacing w:after="120" w:line="240" w:lineRule="auto"/>
              <w:ind w:left="142" w:right="130"/>
              <w:jc w:val="both"/>
              <w:rPr>
                <w:rFonts w:ascii="Times New Roman" w:eastAsia="Times New Roman" w:hAnsi="Times New Roman"/>
                <w:iCs/>
                <w:sz w:val="24"/>
                <w:szCs w:val="24"/>
                <w:lang w:eastAsia="lv-LV"/>
              </w:rPr>
            </w:pPr>
            <w:r w:rsidRPr="00B95A86">
              <w:rPr>
                <w:rFonts w:ascii="Times New Roman" w:eastAsia="Times New Roman" w:hAnsi="Times New Roman"/>
                <w:iCs/>
                <w:sz w:val="24"/>
                <w:szCs w:val="24"/>
                <w:lang w:eastAsia="lv-LV"/>
              </w:rPr>
              <w:t>Nav plānota jaunu institūciju izveide, esošu institūciju likvidācija vai reorganizācija.</w:t>
            </w:r>
          </w:p>
        </w:tc>
      </w:tr>
      <w:tr w:rsidR="009A312E" w:rsidRPr="008B78B2" w14:paraId="17DEEA33"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6BB19CF2" w14:textId="6B4A1359" w:rsidR="009A312E" w:rsidRPr="008B78B2" w:rsidRDefault="00B95A86" w:rsidP="008F01F6">
            <w:pPr>
              <w:spacing w:after="0" w:line="240" w:lineRule="auto"/>
              <w:ind w:left="142" w:right="130"/>
              <w:jc w:val="both"/>
              <w:rPr>
                <w:rFonts w:ascii="Times New Roman" w:eastAsia="Times New Roman" w:hAnsi="Times New Roman"/>
                <w:sz w:val="24"/>
                <w:szCs w:val="24"/>
                <w:lang w:eastAsia="lv-LV"/>
              </w:rPr>
            </w:pPr>
            <w:r w:rsidRPr="008F01F6">
              <w:rPr>
                <w:rFonts w:ascii="Times New Roman" w:hAnsi="Times New Roman"/>
                <w:sz w:val="24"/>
                <w:szCs w:val="24"/>
              </w:rPr>
              <w:t>Nav</w:t>
            </w:r>
            <w:r w:rsidR="00E26CFB">
              <w:rPr>
                <w:rFonts w:ascii="Times New Roman" w:eastAsia="Times New Roman" w:hAnsi="Times New Roman"/>
                <w:iCs/>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743AEF49" w:rsidR="009A312E" w:rsidRDefault="004B3904" w:rsidP="009A312E">
      <w:pPr>
        <w:tabs>
          <w:tab w:val="right" w:pos="907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Ekonomikas ministrs</w:t>
      </w:r>
      <w:r w:rsidR="009A312E" w:rsidRPr="005630E5">
        <w:rPr>
          <w:b/>
        </w:rPr>
        <w:t xml:space="preserve"> </w:t>
      </w:r>
      <w:r w:rsidR="009A312E" w:rsidRPr="005630E5">
        <w:rPr>
          <w:b/>
        </w:rPr>
        <w:tab/>
      </w:r>
      <w:r>
        <w:rPr>
          <w:rFonts w:ascii="Times New Roman" w:hAnsi="Times New Roman"/>
          <w:b/>
          <w:color w:val="000000"/>
          <w:sz w:val="24"/>
          <w:szCs w:val="24"/>
        </w:rPr>
        <w:t xml:space="preserve">R. </w:t>
      </w:r>
      <w:proofErr w:type="spellStart"/>
      <w:r>
        <w:rPr>
          <w:rFonts w:ascii="Times New Roman" w:hAnsi="Times New Roman"/>
          <w:b/>
          <w:color w:val="000000"/>
          <w:sz w:val="24"/>
          <w:szCs w:val="24"/>
        </w:rPr>
        <w:t>Nemiro</w:t>
      </w:r>
      <w:proofErr w:type="spellEnd"/>
    </w:p>
    <w:p w14:paraId="2EBECC9D" w14:textId="77777777" w:rsidR="003A21F2" w:rsidRPr="005630E5" w:rsidRDefault="003A21F2" w:rsidP="009A312E">
      <w:pPr>
        <w:tabs>
          <w:tab w:val="right" w:pos="9071"/>
        </w:tabs>
        <w:spacing w:after="0" w:line="240" w:lineRule="auto"/>
        <w:jc w:val="both"/>
        <w:rPr>
          <w:rFonts w:ascii="Times New Roman" w:hAnsi="Times New Roman"/>
          <w:b/>
          <w:color w:val="000000"/>
          <w:sz w:val="24"/>
          <w:szCs w:val="24"/>
        </w:rPr>
      </w:pPr>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2C7A4BA3" w:rsidR="00D85523" w:rsidRDefault="00D85523" w:rsidP="009A312E">
      <w:pPr>
        <w:tabs>
          <w:tab w:val="right" w:pos="9071"/>
        </w:tabs>
        <w:spacing w:after="0" w:line="240" w:lineRule="auto"/>
        <w:jc w:val="both"/>
        <w:rPr>
          <w:rFonts w:ascii="Times New Roman" w:hAnsi="Times New Roman"/>
          <w:color w:val="000000"/>
          <w:sz w:val="24"/>
          <w:szCs w:val="24"/>
        </w:rPr>
      </w:pPr>
    </w:p>
    <w:p w14:paraId="51F280F2" w14:textId="518E679A"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Evelīna </w:t>
      </w:r>
      <w:r w:rsidR="004B3904">
        <w:rPr>
          <w:rFonts w:ascii="Times New Roman" w:eastAsia="Times New Roman" w:hAnsi="Times New Roman"/>
          <w:sz w:val="20"/>
          <w:szCs w:val="20"/>
          <w:lang w:eastAsia="lv-LV"/>
        </w:rPr>
        <w:t>Matisone</w:t>
      </w:r>
      <w:r>
        <w:rPr>
          <w:rFonts w:ascii="Times New Roman" w:eastAsia="Times New Roman" w:hAnsi="Times New Roman"/>
          <w:sz w:val="20"/>
          <w:szCs w:val="20"/>
          <w:lang w:eastAsia="lv-LV"/>
        </w:rPr>
        <w:t xml:space="preserve">; </w:t>
      </w:r>
      <w:r w:rsidRPr="00AA2DE3">
        <w:rPr>
          <w:rFonts w:ascii="Times New Roman" w:eastAsia="Times New Roman" w:hAnsi="Times New Roman"/>
          <w:sz w:val="20"/>
          <w:szCs w:val="20"/>
          <w:lang w:eastAsia="lv-LV"/>
        </w:rPr>
        <w:t>67013241</w:t>
      </w:r>
    </w:p>
    <w:p w14:paraId="5F49A53F" w14:textId="133F7BBD"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sidRPr="00AA2DE3">
        <w:rPr>
          <w:rFonts w:ascii="Times New Roman" w:eastAsia="Times New Roman" w:hAnsi="Times New Roman"/>
          <w:sz w:val="20"/>
          <w:szCs w:val="20"/>
          <w:lang w:eastAsia="lv-LV"/>
        </w:rPr>
        <w:t>Evelina.</w:t>
      </w:r>
      <w:r w:rsidR="004B3904">
        <w:rPr>
          <w:rFonts w:ascii="Times New Roman" w:eastAsia="Times New Roman" w:hAnsi="Times New Roman"/>
          <w:sz w:val="20"/>
          <w:szCs w:val="20"/>
          <w:lang w:eastAsia="lv-LV"/>
        </w:rPr>
        <w:t>Matison</w:t>
      </w:r>
      <w:r w:rsidRPr="00AA2DE3">
        <w:rPr>
          <w:rFonts w:ascii="Times New Roman" w:eastAsia="Times New Roman" w:hAnsi="Times New Roman"/>
          <w:sz w:val="20"/>
          <w:szCs w:val="20"/>
          <w:lang w:eastAsia="lv-LV"/>
        </w:rPr>
        <w:t>e@em.gov.lv</w:t>
      </w:r>
    </w:p>
    <w:p w14:paraId="4388254F" w14:textId="77777777" w:rsidR="008F36E1" w:rsidRDefault="008F36E1" w:rsidP="009A312E">
      <w:pPr>
        <w:tabs>
          <w:tab w:val="right" w:pos="9071"/>
        </w:tabs>
        <w:spacing w:after="0" w:line="240" w:lineRule="auto"/>
        <w:jc w:val="both"/>
        <w:rPr>
          <w:rFonts w:ascii="Times New Roman" w:hAnsi="Times New Roman"/>
          <w:color w:val="000000"/>
          <w:sz w:val="24"/>
          <w:szCs w:val="24"/>
        </w:rPr>
      </w:pPr>
    </w:p>
    <w:sectPr w:rsidR="008F36E1" w:rsidSect="0056559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37FD" w14:textId="77777777" w:rsidR="004432F3" w:rsidRDefault="004432F3">
      <w:pPr>
        <w:spacing w:after="0" w:line="240" w:lineRule="auto"/>
      </w:pPr>
      <w:r>
        <w:separator/>
      </w:r>
    </w:p>
  </w:endnote>
  <w:endnote w:type="continuationSeparator" w:id="0">
    <w:p w14:paraId="390EEB05" w14:textId="77777777" w:rsidR="004432F3" w:rsidRDefault="0044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0DF2798D"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0B3216">
      <w:rPr>
        <w:rFonts w:ascii="Times New Roman" w:eastAsia="Times New Roman" w:hAnsi="Times New Roman"/>
        <w:sz w:val="20"/>
        <w:szCs w:val="20"/>
        <w:lang w:eastAsia="lv-LV"/>
      </w:rPr>
      <w:t>1007</w:t>
    </w:r>
    <w:r w:rsidR="003D07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EB5C22">
      <w:rPr>
        <w:rFonts w:ascii="Times New Roman" w:eastAsia="Times New Roman" w:hAnsi="Times New Roman"/>
        <w:sz w:val="20"/>
        <w:szCs w:val="20"/>
        <w:lang w:eastAsia="lv-LV"/>
      </w:rPr>
      <w:t>Groz135_Groz495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352A6E6F"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3B0680">
      <w:rPr>
        <w:rFonts w:ascii="Times New Roman" w:eastAsia="Times New Roman" w:hAnsi="Times New Roman"/>
        <w:sz w:val="20"/>
        <w:szCs w:val="20"/>
        <w:lang w:eastAsia="lv-LV"/>
      </w:rPr>
      <w:t>2806</w:t>
    </w:r>
    <w:r w:rsidR="003571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EB5C22">
      <w:rPr>
        <w:rFonts w:ascii="Times New Roman" w:eastAsia="Times New Roman" w:hAnsi="Times New Roman"/>
        <w:sz w:val="20"/>
        <w:szCs w:val="20"/>
        <w:lang w:eastAsia="lv-LV"/>
      </w:rPr>
      <w:t>Groz135_Groz495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5364" w14:textId="77777777" w:rsidR="004432F3" w:rsidRDefault="004432F3">
      <w:pPr>
        <w:spacing w:after="0" w:line="240" w:lineRule="auto"/>
      </w:pPr>
      <w:r>
        <w:separator/>
      </w:r>
    </w:p>
  </w:footnote>
  <w:footnote w:type="continuationSeparator" w:id="0">
    <w:p w14:paraId="1F70B62E" w14:textId="77777777" w:rsidR="004432F3" w:rsidRDefault="0044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BE7662"/>
    <w:multiLevelType w:val="hybridMultilevel"/>
    <w:tmpl w:val="BBEA9D16"/>
    <w:lvl w:ilvl="0" w:tplc="CEC85ABE">
      <w:start w:val="1"/>
      <w:numFmt w:val="decimal"/>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93200D7"/>
    <w:multiLevelType w:val="hybridMultilevel"/>
    <w:tmpl w:val="C6D2214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5"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7"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0"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0"/>
  </w:num>
  <w:num w:numId="2">
    <w:abstractNumId w:val="19"/>
  </w:num>
  <w:num w:numId="3">
    <w:abstractNumId w:val="14"/>
  </w:num>
  <w:num w:numId="4">
    <w:abstractNumId w:val="17"/>
  </w:num>
  <w:num w:numId="5">
    <w:abstractNumId w:val="1"/>
  </w:num>
  <w:num w:numId="6">
    <w:abstractNumId w:val="3"/>
  </w:num>
  <w:num w:numId="7">
    <w:abstractNumId w:val="16"/>
  </w:num>
  <w:num w:numId="8">
    <w:abstractNumId w:val="2"/>
  </w:num>
  <w:num w:numId="9">
    <w:abstractNumId w:val="21"/>
  </w:num>
  <w:num w:numId="10">
    <w:abstractNumId w:val="5"/>
  </w:num>
  <w:num w:numId="11">
    <w:abstractNumId w:val="22"/>
  </w:num>
  <w:num w:numId="12">
    <w:abstractNumId w:val="18"/>
  </w:num>
  <w:num w:numId="13">
    <w:abstractNumId w:val="15"/>
  </w:num>
  <w:num w:numId="14">
    <w:abstractNumId w:val="8"/>
  </w:num>
  <w:num w:numId="15">
    <w:abstractNumId w:val="10"/>
  </w:num>
  <w:num w:numId="16">
    <w:abstractNumId w:val="7"/>
  </w:num>
  <w:num w:numId="17">
    <w:abstractNumId w:val="12"/>
  </w:num>
  <w:num w:numId="18">
    <w:abstractNumId w:val="13"/>
  </w:num>
  <w:num w:numId="19">
    <w:abstractNumId w:val="6"/>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33EB"/>
    <w:rsid w:val="00024CCD"/>
    <w:rsid w:val="00024D1B"/>
    <w:rsid w:val="00031648"/>
    <w:rsid w:val="000318AE"/>
    <w:rsid w:val="000357F1"/>
    <w:rsid w:val="0004161D"/>
    <w:rsid w:val="0004420B"/>
    <w:rsid w:val="0004745F"/>
    <w:rsid w:val="000617F8"/>
    <w:rsid w:val="00064A63"/>
    <w:rsid w:val="00072F1D"/>
    <w:rsid w:val="00074096"/>
    <w:rsid w:val="00075FD5"/>
    <w:rsid w:val="00077241"/>
    <w:rsid w:val="00077E7D"/>
    <w:rsid w:val="00082788"/>
    <w:rsid w:val="000A12B9"/>
    <w:rsid w:val="000A5B3A"/>
    <w:rsid w:val="000B3216"/>
    <w:rsid w:val="000B4E36"/>
    <w:rsid w:val="000B4FA8"/>
    <w:rsid w:val="000B5DE9"/>
    <w:rsid w:val="000E1202"/>
    <w:rsid w:val="000E5AA6"/>
    <w:rsid w:val="000F72AE"/>
    <w:rsid w:val="00101DB2"/>
    <w:rsid w:val="00101FC4"/>
    <w:rsid w:val="0010496B"/>
    <w:rsid w:val="00115BD6"/>
    <w:rsid w:val="001243B9"/>
    <w:rsid w:val="0012675A"/>
    <w:rsid w:val="001305B9"/>
    <w:rsid w:val="001312A1"/>
    <w:rsid w:val="00147EC5"/>
    <w:rsid w:val="001518B5"/>
    <w:rsid w:val="0015517D"/>
    <w:rsid w:val="00156578"/>
    <w:rsid w:val="00160574"/>
    <w:rsid w:val="00164527"/>
    <w:rsid w:val="00164E69"/>
    <w:rsid w:val="00176C49"/>
    <w:rsid w:val="00182C25"/>
    <w:rsid w:val="00196785"/>
    <w:rsid w:val="001A0631"/>
    <w:rsid w:val="001A67CD"/>
    <w:rsid w:val="001A6DE0"/>
    <w:rsid w:val="001B0ADF"/>
    <w:rsid w:val="001B78C5"/>
    <w:rsid w:val="001C1EF8"/>
    <w:rsid w:val="001C3799"/>
    <w:rsid w:val="001C4BBF"/>
    <w:rsid w:val="001C5253"/>
    <w:rsid w:val="001C6666"/>
    <w:rsid w:val="001D209B"/>
    <w:rsid w:val="001D77A4"/>
    <w:rsid w:val="001F0F74"/>
    <w:rsid w:val="001F1876"/>
    <w:rsid w:val="001F1B7D"/>
    <w:rsid w:val="001F44B8"/>
    <w:rsid w:val="00210CCC"/>
    <w:rsid w:val="00214D3D"/>
    <w:rsid w:val="002171C9"/>
    <w:rsid w:val="00220849"/>
    <w:rsid w:val="00220DF0"/>
    <w:rsid w:val="00222673"/>
    <w:rsid w:val="002247CD"/>
    <w:rsid w:val="002319EF"/>
    <w:rsid w:val="00235779"/>
    <w:rsid w:val="00242068"/>
    <w:rsid w:val="00244FFB"/>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EC8"/>
    <w:rsid w:val="0029504A"/>
    <w:rsid w:val="00297054"/>
    <w:rsid w:val="002A1C23"/>
    <w:rsid w:val="002A240F"/>
    <w:rsid w:val="002A4CFD"/>
    <w:rsid w:val="002B28B8"/>
    <w:rsid w:val="002B4E1B"/>
    <w:rsid w:val="002C0301"/>
    <w:rsid w:val="002C25DA"/>
    <w:rsid w:val="002C6FC1"/>
    <w:rsid w:val="002D456C"/>
    <w:rsid w:val="002D65AE"/>
    <w:rsid w:val="002D73C4"/>
    <w:rsid w:val="002E1F44"/>
    <w:rsid w:val="002F10D3"/>
    <w:rsid w:val="002F469D"/>
    <w:rsid w:val="002F542C"/>
    <w:rsid w:val="002F72B3"/>
    <w:rsid w:val="003053D5"/>
    <w:rsid w:val="00311B8E"/>
    <w:rsid w:val="003123AC"/>
    <w:rsid w:val="00314236"/>
    <w:rsid w:val="00317BF1"/>
    <w:rsid w:val="00322D1B"/>
    <w:rsid w:val="0033091B"/>
    <w:rsid w:val="00336B4E"/>
    <w:rsid w:val="00343578"/>
    <w:rsid w:val="00352025"/>
    <w:rsid w:val="003571E7"/>
    <w:rsid w:val="003623D6"/>
    <w:rsid w:val="00362873"/>
    <w:rsid w:val="00362EDA"/>
    <w:rsid w:val="003673E5"/>
    <w:rsid w:val="00374FD3"/>
    <w:rsid w:val="003806D2"/>
    <w:rsid w:val="003839FF"/>
    <w:rsid w:val="0038436C"/>
    <w:rsid w:val="00385BDB"/>
    <w:rsid w:val="0039044A"/>
    <w:rsid w:val="00390E8D"/>
    <w:rsid w:val="003937F2"/>
    <w:rsid w:val="00396735"/>
    <w:rsid w:val="00397AC2"/>
    <w:rsid w:val="003A21F2"/>
    <w:rsid w:val="003A330D"/>
    <w:rsid w:val="003A3570"/>
    <w:rsid w:val="003B0680"/>
    <w:rsid w:val="003B3ECC"/>
    <w:rsid w:val="003B5FC4"/>
    <w:rsid w:val="003C1F82"/>
    <w:rsid w:val="003D07E7"/>
    <w:rsid w:val="003D0D9E"/>
    <w:rsid w:val="003D205C"/>
    <w:rsid w:val="003D3BB6"/>
    <w:rsid w:val="003D451F"/>
    <w:rsid w:val="003E1F77"/>
    <w:rsid w:val="003E786A"/>
    <w:rsid w:val="003F4760"/>
    <w:rsid w:val="003F5F93"/>
    <w:rsid w:val="00405E29"/>
    <w:rsid w:val="0041103E"/>
    <w:rsid w:val="004111C9"/>
    <w:rsid w:val="00413694"/>
    <w:rsid w:val="004226EB"/>
    <w:rsid w:val="0042491D"/>
    <w:rsid w:val="004278AE"/>
    <w:rsid w:val="00430F31"/>
    <w:rsid w:val="004432F3"/>
    <w:rsid w:val="00446511"/>
    <w:rsid w:val="00452E2F"/>
    <w:rsid w:val="00453E63"/>
    <w:rsid w:val="00455AC2"/>
    <w:rsid w:val="00460FE5"/>
    <w:rsid w:val="004620FF"/>
    <w:rsid w:val="00462353"/>
    <w:rsid w:val="00462FE7"/>
    <w:rsid w:val="00464059"/>
    <w:rsid w:val="00473A9B"/>
    <w:rsid w:val="00475884"/>
    <w:rsid w:val="004763A8"/>
    <w:rsid w:val="00482EA1"/>
    <w:rsid w:val="00483A21"/>
    <w:rsid w:val="00486698"/>
    <w:rsid w:val="0049163F"/>
    <w:rsid w:val="004A0076"/>
    <w:rsid w:val="004A0213"/>
    <w:rsid w:val="004A2782"/>
    <w:rsid w:val="004B0E09"/>
    <w:rsid w:val="004B11BD"/>
    <w:rsid w:val="004B3904"/>
    <w:rsid w:val="004B3956"/>
    <w:rsid w:val="004C2262"/>
    <w:rsid w:val="004C44CD"/>
    <w:rsid w:val="004C47F2"/>
    <w:rsid w:val="004D0101"/>
    <w:rsid w:val="004D1D4A"/>
    <w:rsid w:val="004D393D"/>
    <w:rsid w:val="004D5E36"/>
    <w:rsid w:val="004E0872"/>
    <w:rsid w:val="004E0FE2"/>
    <w:rsid w:val="004E560E"/>
    <w:rsid w:val="004E6D2A"/>
    <w:rsid w:val="004F4131"/>
    <w:rsid w:val="0050427E"/>
    <w:rsid w:val="00505230"/>
    <w:rsid w:val="00505345"/>
    <w:rsid w:val="0050621F"/>
    <w:rsid w:val="00510012"/>
    <w:rsid w:val="0053354D"/>
    <w:rsid w:val="00536D5A"/>
    <w:rsid w:val="005439AB"/>
    <w:rsid w:val="00545F6C"/>
    <w:rsid w:val="005503D4"/>
    <w:rsid w:val="00550B8B"/>
    <w:rsid w:val="00550C02"/>
    <w:rsid w:val="00551783"/>
    <w:rsid w:val="00553EF2"/>
    <w:rsid w:val="005545D7"/>
    <w:rsid w:val="00557E84"/>
    <w:rsid w:val="00560866"/>
    <w:rsid w:val="005630E5"/>
    <w:rsid w:val="0056492C"/>
    <w:rsid w:val="0056559A"/>
    <w:rsid w:val="00574833"/>
    <w:rsid w:val="00577A22"/>
    <w:rsid w:val="00587678"/>
    <w:rsid w:val="005909DD"/>
    <w:rsid w:val="0059104A"/>
    <w:rsid w:val="00592403"/>
    <w:rsid w:val="00594127"/>
    <w:rsid w:val="00597404"/>
    <w:rsid w:val="00597D13"/>
    <w:rsid w:val="005A0A82"/>
    <w:rsid w:val="005A150F"/>
    <w:rsid w:val="005A1673"/>
    <w:rsid w:val="005A1B80"/>
    <w:rsid w:val="005A2487"/>
    <w:rsid w:val="005B5BEB"/>
    <w:rsid w:val="005C1C05"/>
    <w:rsid w:val="005C6DF5"/>
    <w:rsid w:val="005D7CA4"/>
    <w:rsid w:val="005E1B08"/>
    <w:rsid w:val="005E272D"/>
    <w:rsid w:val="005E704C"/>
    <w:rsid w:val="00600F61"/>
    <w:rsid w:val="00605F9E"/>
    <w:rsid w:val="00606264"/>
    <w:rsid w:val="00607E8B"/>
    <w:rsid w:val="00611285"/>
    <w:rsid w:val="0062499A"/>
    <w:rsid w:val="00624B3B"/>
    <w:rsid w:val="00626664"/>
    <w:rsid w:val="00626791"/>
    <w:rsid w:val="006272F2"/>
    <w:rsid w:val="00641928"/>
    <w:rsid w:val="006460D7"/>
    <w:rsid w:val="006624BC"/>
    <w:rsid w:val="00666251"/>
    <w:rsid w:val="00667785"/>
    <w:rsid w:val="00676665"/>
    <w:rsid w:val="006778EB"/>
    <w:rsid w:val="006810E0"/>
    <w:rsid w:val="006858B3"/>
    <w:rsid w:val="006876EB"/>
    <w:rsid w:val="00687C74"/>
    <w:rsid w:val="006949C3"/>
    <w:rsid w:val="006A0B03"/>
    <w:rsid w:val="006A2B13"/>
    <w:rsid w:val="006A30B4"/>
    <w:rsid w:val="006B3E89"/>
    <w:rsid w:val="006D3730"/>
    <w:rsid w:val="006D5F4A"/>
    <w:rsid w:val="006D7ED9"/>
    <w:rsid w:val="006E0049"/>
    <w:rsid w:val="006E1CC9"/>
    <w:rsid w:val="006E4BC7"/>
    <w:rsid w:val="006E78DF"/>
    <w:rsid w:val="006F0A3F"/>
    <w:rsid w:val="006F6C62"/>
    <w:rsid w:val="006F7613"/>
    <w:rsid w:val="00700016"/>
    <w:rsid w:val="0070163B"/>
    <w:rsid w:val="00702024"/>
    <w:rsid w:val="00702B4B"/>
    <w:rsid w:val="007040B1"/>
    <w:rsid w:val="00707967"/>
    <w:rsid w:val="00710358"/>
    <w:rsid w:val="00714546"/>
    <w:rsid w:val="00717EC1"/>
    <w:rsid w:val="007200F3"/>
    <w:rsid w:val="00723B5A"/>
    <w:rsid w:val="00730C09"/>
    <w:rsid w:val="00741D2B"/>
    <w:rsid w:val="0074288D"/>
    <w:rsid w:val="0074295E"/>
    <w:rsid w:val="00744E9C"/>
    <w:rsid w:val="007452D2"/>
    <w:rsid w:val="00745B8C"/>
    <w:rsid w:val="007538D9"/>
    <w:rsid w:val="00755571"/>
    <w:rsid w:val="00767C5B"/>
    <w:rsid w:val="00777602"/>
    <w:rsid w:val="00777603"/>
    <w:rsid w:val="00786D03"/>
    <w:rsid w:val="00792A2C"/>
    <w:rsid w:val="007970D0"/>
    <w:rsid w:val="007A0278"/>
    <w:rsid w:val="007A108E"/>
    <w:rsid w:val="007A6F3A"/>
    <w:rsid w:val="007B3495"/>
    <w:rsid w:val="007C12BC"/>
    <w:rsid w:val="007C287C"/>
    <w:rsid w:val="007C3465"/>
    <w:rsid w:val="007C37DC"/>
    <w:rsid w:val="007C576D"/>
    <w:rsid w:val="007E400F"/>
    <w:rsid w:val="00802730"/>
    <w:rsid w:val="00807582"/>
    <w:rsid w:val="00812190"/>
    <w:rsid w:val="008165FF"/>
    <w:rsid w:val="008175E3"/>
    <w:rsid w:val="00817E08"/>
    <w:rsid w:val="00820B02"/>
    <w:rsid w:val="008256A2"/>
    <w:rsid w:val="00826F1D"/>
    <w:rsid w:val="00831971"/>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6371"/>
    <w:rsid w:val="00886B9D"/>
    <w:rsid w:val="00886D94"/>
    <w:rsid w:val="0089276D"/>
    <w:rsid w:val="00894D2B"/>
    <w:rsid w:val="0089783D"/>
    <w:rsid w:val="008A02EE"/>
    <w:rsid w:val="008A1F76"/>
    <w:rsid w:val="008A3AC7"/>
    <w:rsid w:val="008B0AA7"/>
    <w:rsid w:val="008B23A8"/>
    <w:rsid w:val="008B5ED6"/>
    <w:rsid w:val="008C2968"/>
    <w:rsid w:val="008C32FE"/>
    <w:rsid w:val="008C4C6D"/>
    <w:rsid w:val="008C7456"/>
    <w:rsid w:val="008D032B"/>
    <w:rsid w:val="008E5906"/>
    <w:rsid w:val="008E5E6A"/>
    <w:rsid w:val="008E7F13"/>
    <w:rsid w:val="008F01F6"/>
    <w:rsid w:val="008F1587"/>
    <w:rsid w:val="008F257A"/>
    <w:rsid w:val="008F36E1"/>
    <w:rsid w:val="008F7393"/>
    <w:rsid w:val="0090361D"/>
    <w:rsid w:val="009076DC"/>
    <w:rsid w:val="00912D79"/>
    <w:rsid w:val="00915852"/>
    <w:rsid w:val="00927594"/>
    <w:rsid w:val="00927E8B"/>
    <w:rsid w:val="00930B7A"/>
    <w:rsid w:val="0093267C"/>
    <w:rsid w:val="0093655D"/>
    <w:rsid w:val="009440D7"/>
    <w:rsid w:val="00954101"/>
    <w:rsid w:val="009569DF"/>
    <w:rsid w:val="0096066B"/>
    <w:rsid w:val="00966B6C"/>
    <w:rsid w:val="0097254E"/>
    <w:rsid w:val="009747F5"/>
    <w:rsid w:val="00975DD2"/>
    <w:rsid w:val="00976644"/>
    <w:rsid w:val="00983599"/>
    <w:rsid w:val="009867E1"/>
    <w:rsid w:val="009A2573"/>
    <w:rsid w:val="009A2938"/>
    <w:rsid w:val="009A312E"/>
    <w:rsid w:val="009A5AA3"/>
    <w:rsid w:val="009B0586"/>
    <w:rsid w:val="009B2F49"/>
    <w:rsid w:val="009B603D"/>
    <w:rsid w:val="009B68F6"/>
    <w:rsid w:val="009C18E8"/>
    <w:rsid w:val="009C1FFE"/>
    <w:rsid w:val="009C28F8"/>
    <w:rsid w:val="009C3C6F"/>
    <w:rsid w:val="009C799C"/>
    <w:rsid w:val="009D706F"/>
    <w:rsid w:val="009E0967"/>
    <w:rsid w:val="009E3163"/>
    <w:rsid w:val="009E658B"/>
    <w:rsid w:val="009E6AFD"/>
    <w:rsid w:val="009F13DA"/>
    <w:rsid w:val="009F2FA5"/>
    <w:rsid w:val="009F4186"/>
    <w:rsid w:val="009F5B84"/>
    <w:rsid w:val="00A01391"/>
    <w:rsid w:val="00A01E47"/>
    <w:rsid w:val="00A0485D"/>
    <w:rsid w:val="00A133DF"/>
    <w:rsid w:val="00A1429A"/>
    <w:rsid w:val="00A2098D"/>
    <w:rsid w:val="00A2193A"/>
    <w:rsid w:val="00A2526D"/>
    <w:rsid w:val="00A330A2"/>
    <w:rsid w:val="00A44DBD"/>
    <w:rsid w:val="00A47456"/>
    <w:rsid w:val="00A526D8"/>
    <w:rsid w:val="00A57869"/>
    <w:rsid w:val="00A57A20"/>
    <w:rsid w:val="00A6259F"/>
    <w:rsid w:val="00A67EE3"/>
    <w:rsid w:val="00A76336"/>
    <w:rsid w:val="00A80856"/>
    <w:rsid w:val="00A94A64"/>
    <w:rsid w:val="00A9644F"/>
    <w:rsid w:val="00AA7956"/>
    <w:rsid w:val="00AA7AA2"/>
    <w:rsid w:val="00AB0B37"/>
    <w:rsid w:val="00AB2C1B"/>
    <w:rsid w:val="00AB3CAE"/>
    <w:rsid w:val="00AB40C4"/>
    <w:rsid w:val="00AC0047"/>
    <w:rsid w:val="00AC3A06"/>
    <w:rsid w:val="00AC3BF5"/>
    <w:rsid w:val="00AE10A7"/>
    <w:rsid w:val="00AE2582"/>
    <w:rsid w:val="00AE6E05"/>
    <w:rsid w:val="00AF5D97"/>
    <w:rsid w:val="00B00A5E"/>
    <w:rsid w:val="00B01402"/>
    <w:rsid w:val="00B022E5"/>
    <w:rsid w:val="00B07BB3"/>
    <w:rsid w:val="00B2343F"/>
    <w:rsid w:val="00B27579"/>
    <w:rsid w:val="00B32CA1"/>
    <w:rsid w:val="00B33EFB"/>
    <w:rsid w:val="00B33F0A"/>
    <w:rsid w:val="00B4109B"/>
    <w:rsid w:val="00B43025"/>
    <w:rsid w:val="00B51003"/>
    <w:rsid w:val="00B56593"/>
    <w:rsid w:val="00B57DDB"/>
    <w:rsid w:val="00B61820"/>
    <w:rsid w:val="00B6430E"/>
    <w:rsid w:val="00B7178A"/>
    <w:rsid w:val="00B719FC"/>
    <w:rsid w:val="00B742CC"/>
    <w:rsid w:val="00B7667A"/>
    <w:rsid w:val="00B7752B"/>
    <w:rsid w:val="00B8037C"/>
    <w:rsid w:val="00B81964"/>
    <w:rsid w:val="00B86A4D"/>
    <w:rsid w:val="00B86EC1"/>
    <w:rsid w:val="00B90F84"/>
    <w:rsid w:val="00B93841"/>
    <w:rsid w:val="00B94698"/>
    <w:rsid w:val="00B95A86"/>
    <w:rsid w:val="00B97B97"/>
    <w:rsid w:val="00B97D0F"/>
    <w:rsid w:val="00BA075C"/>
    <w:rsid w:val="00BA3C6C"/>
    <w:rsid w:val="00BA6136"/>
    <w:rsid w:val="00BB3056"/>
    <w:rsid w:val="00BB4E2D"/>
    <w:rsid w:val="00BB71D6"/>
    <w:rsid w:val="00BB78F1"/>
    <w:rsid w:val="00BC1915"/>
    <w:rsid w:val="00BC3239"/>
    <w:rsid w:val="00BE068D"/>
    <w:rsid w:val="00BE1FEE"/>
    <w:rsid w:val="00BE28E7"/>
    <w:rsid w:val="00BE4388"/>
    <w:rsid w:val="00BE6343"/>
    <w:rsid w:val="00BE68EB"/>
    <w:rsid w:val="00BE7B48"/>
    <w:rsid w:val="00BF0D38"/>
    <w:rsid w:val="00BF332A"/>
    <w:rsid w:val="00BF4EF6"/>
    <w:rsid w:val="00BF5FFB"/>
    <w:rsid w:val="00BF6FB6"/>
    <w:rsid w:val="00C013D2"/>
    <w:rsid w:val="00C03A89"/>
    <w:rsid w:val="00C074FB"/>
    <w:rsid w:val="00C1009E"/>
    <w:rsid w:val="00C10D69"/>
    <w:rsid w:val="00C113C2"/>
    <w:rsid w:val="00C11532"/>
    <w:rsid w:val="00C13F47"/>
    <w:rsid w:val="00C20237"/>
    <w:rsid w:val="00C24F26"/>
    <w:rsid w:val="00C265E2"/>
    <w:rsid w:val="00C34864"/>
    <w:rsid w:val="00C37066"/>
    <w:rsid w:val="00C4560B"/>
    <w:rsid w:val="00C6181C"/>
    <w:rsid w:val="00C64BA0"/>
    <w:rsid w:val="00C677B6"/>
    <w:rsid w:val="00C67E4B"/>
    <w:rsid w:val="00C74DCD"/>
    <w:rsid w:val="00C7522F"/>
    <w:rsid w:val="00C770D6"/>
    <w:rsid w:val="00C82EF0"/>
    <w:rsid w:val="00C865F5"/>
    <w:rsid w:val="00C92242"/>
    <w:rsid w:val="00C96EA1"/>
    <w:rsid w:val="00CA115C"/>
    <w:rsid w:val="00CA4565"/>
    <w:rsid w:val="00CA6220"/>
    <w:rsid w:val="00CA7A80"/>
    <w:rsid w:val="00CB166C"/>
    <w:rsid w:val="00CB2925"/>
    <w:rsid w:val="00CC46D3"/>
    <w:rsid w:val="00CC6E1B"/>
    <w:rsid w:val="00CD1AFC"/>
    <w:rsid w:val="00CD38CB"/>
    <w:rsid w:val="00CE1E1D"/>
    <w:rsid w:val="00CE3D70"/>
    <w:rsid w:val="00CE6582"/>
    <w:rsid w:val="00CE7A28"/>
    <w:rsid w:val="00CF14E5"/>
    <w:rsid w:val="00D03FE1"/>
    <w:rsid w:val="00D04D73"/>
    <w:rsid w:val="00D05DC4"/>
    <w:rsid w:val="00D11E01"/>
    <w:rsid w:val="00D13707"/>
    <w:rsid w:val="00D16330"/>
    <w:rsid w:val="00D23C78"/>
    <w:rsid w:val="00D270FC"/>
    <w:rsid w:val="00D37993"/>
    <w:rsid w:val="00D4765A"/>
    <w:rsid w:val="00D53625"/>
    <w:rsid w:val="00D55941"/>
    <w:rsid w:val="00D6038F"/>
    <w:rsid w:val="00D61012"/>
    <w:rsid w:val="00D644C0"/>
    <w:rsid w:val="00D67976"/>
    <w:rsid w:val="00D71954"/>
    <w:rsid w:val="00D747D8"/>
    <w:rsid w:val="00D8313D"/>
    <w:rsid w:val="00D84F42"/>
    <w:rsid w:val="00D8538F"/>
    <w:rsid w:val="00D85523"/>
    <w:rsid w:val="00D878E9"/>
    <w:rsid w:val="00D904FD"/>
    <w:rsid w:val="00D91A91"/>
    <w:rsid w:val="00DA3723"/>
    <w:rsid w:val="00DC77D1"/>
    <w:rsid w:val="00DD0118"/>
    <w:rsid w:val="00DD11B5"/>
    <w:rsid w:val="00DD1681"/>
    <w:rsid w:val="00DD2519"/>
    <w:rsid w:val="00DD25E2"/>
    <w:rsid w:val="00DD316E"/>
    <w:rsid w:val="00DD365A"/>
    <w:rsid w:val="00DD59BA"/>
    <w:rsid w:val="00DD62DC"/>
    <w:rsid w:val="00DD6A91"/>
    <w:rsid w:val="00DD7C9C"/>
    <w:rsid w:val="00DF1FB1"/>
    <w:rsid w:val="00DF3710"/>
    <w:rsid w:val="00DF62F1"/>
    <w:rsid w:val="00DF7F03"/>
    <w:rsid w:val="00E02C1E"/>
    <w:rsid w:val="00E04395"/>
    <w:rsid w:val="00E04404"/>
    <w:rsid w:val="00E05E02"/>
    <w:rsid w:val="00E06C53"/>
    <w:rsid w:val="00E16638"/>
    <w:rsid w:val="00E26CFB"/>
    <w:rsid w:val="00E2719F"/>
    <w:rsid w:val="00E34816"/>
    <w:rsid w:val="00E3578E"/>
    <w:rsid w:val="00E359A2"/>
    <w:rsid w:val="00E35E5E"/>
    <w:rsid w:val="00E406F5"/>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59F5"/>
    <w:rsid w:val="00E95B0E"/>
    <w:rsid w:val="00EB256D"/>
    <w:rsid w:val="00EB33F9"/>
    <w:rsid w:val="00EB5C22"/>
    <w:rsid w:val="00EB67CA"/>
    <w:rsid w:val="00EB7215"/>
    <w:rsid w:val="00EB7FA7"/>
    <w:rsid w:val="00EC103F"/>
    <w:rsid w:val="00EC1C0C"/>
    <w:rsid w:val="00ED5177"/>
    <w:rsid w:val="00EE7C8B"/>
    <w:rsid w:val="00EF1A55"/>
    <w:rsid w:val="00EF3540"/>
    <w:rsid w:val="00EF3C7C"/>
    <w:rsid w:val="00EF4DFF"/>
    <w:rsid w:val="00F05A7B"/>
    <w:rsid w:val="00F114EE"/>
    <w:rsid w:val="00F11E6B"/>
    <w:rsid w:val="00F214BB"/>
    <w:rsid w:val="00F21A78"/>
    <w:rsid w:val="00F24C8B"/>
    <w:rsid w:val="00F36F4E"/>
    <w:rsid w:val="00F4015C"/>
    <w:rsid w:val="00F40204"/>
    <w:rsid w:val="00F43919"/>
    <w:rsid w:val="00F44AEA"/>
    <w:rsid w:val="00F46C60"/>
    <w:rsid w:val="00F47004"/>
    <w:rsid w:val="00F52368"/>
    <w:rsid w:val="00F528C9"/>
    <w:rsid w:val="00F55331"/>
    <w:rsid w:val="00F5679E"/>
    <w:rsid w:val="00F56F74"/>
    <w:rsid w:val="00F628CC"/>
    <w:rsid w:val="00F64226"/>
    <w:rsid w:val="00F648C4"/>
    <w:rsid w:val="00F649D1"/>
    <w:rsid w:val="00F705F9"/>
    <w:rsid w:val="00F76002"/>
    <w:rsid w:val="00F7740E"/>
    <w:rsid w:val="00F838D5"/>
    <w:rsid w:val="00F83E0C"/>
    <w:rsid w:val="00F845E2"/>
    <w:rsid w:val="00F8547F"/>
    <w:rsid w:val="00F86A4A"/>
    <w:rsid w:val="00F87243"/>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68CD"/>
    <w:rsid w:val="00FD798F"/>
    <w:rsid w:val="00FE0684"/>
    <w:rsid w:val="00FE3A9B"/>
    <w:rsid w:val="00FE41D3"/>
    <w:rsid w:val="00FE4A45"/>
    <w:rsid w:val="00FE5264"/>
    <w:rsid w:val="00FF5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169293300">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689993325">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36271427">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3BD5-34E6-4202-9A59-16684142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25.aprīļa noteikumos Nr. 221 “Noteikumi par kārtību, kādā tiek veiktas iemaksas energoefektivitātes fondos, un to apmēru, kā arī energoefektivitātes fonda līdzekļu izmantošanu”” s</vt:lpstr>
    </vt:vector>
  </TitlesOfParts>
  <Company>Ekonomikas ministrija</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25.aprīļa noteikumos Nr. 221 “Noteikumi par kārtību, kādā tiek veiktas iemaksas energoefektivitātes fondos, un to apmēru, kā arī energoefektivitātes fonda līdzekļu izmantošanu”” sākotnējās ietekmes novērtējuma ziņojums (anotācija)</dc:title>
  <dc:subject>MK noteikumu projekta anotācija</dc:subject>
  <dc:creator>Evelīna Matisone</dc:creator>
  <cp:keywords/>
  <dc:description>67013241; evelina.matisone@em.gov.lv</dc:description>
  <cp:lastModifiedBy>Evelīna Matisone</cp:lastModifiedBy>
  <cp:revision>5</cp:revision>
  <cp:lastPrinted>2019-02-12T09:20:00Z</cp:lastPrinted>
  <dcterms:created xsi:type="dcterms:W3CDTF">2019-06-28T13:09:00Z</dcterms:created>
  <dcterms:modified xsi:type="dcterms:W3CDTF">2019-07-10T06:58:00Z</dcterms:modified>
</cp:coreProperties>
</file>