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C929" w14:textId="77777777" w:rsidR="00BB13C2" w:rsidRPr="00595949" w:rsidRDefault="001A300F">
      <w:pPr>
        <w:contextualSpacing/>
        <w:jc w:val="center"/>
        <w:outlineLvl w:val="3"/>
      </w:pPr>
      <w:r w:rsidRPr="00595949">
        <w:rPr>
          <w:b/>
          <w:bCs/>
          <w:sz w:val="28"/>
          <w:szCs w:val="28"/>
        </w:rPr>
        <w:t>Ministru kabineta noteikumu projekta “Noteikumi par valsts īpašuma objektu privatizāciju veicošās institūcijas pārvaldes uzdevuma deleģēšanu” sākotnējās ietekmes novērtējuma ziņojums (anotācija)</w:t>
      </w:r>
    </w:p>
    <w:p w14:paraId="4C71E2FD" w14:textId="77777777" w:rsidR="00BB13C2" w:rsidRPr="00D4781E" w:rsidRDefault="00BB13C2">
      <w:pPr>
        <w:contextualSpacing/>
        <w:outlineLvl w:val="3"/>
        <w:rPr>
          <w:b/>
          <w:bCs/>
          <w:sz w:val="28"/>
          <w:szCs w:val="28"/>
        </w:rPr>
      </w:pPr>
    </w:p>
    <w:tbl>
      <w:tblPr>
        <w:tblW w:w="9076" w:type="dxa"/>
        <w:tblInd w:w="108" w:type="dxa"/>
        <w:tblLook w:val="0000" w:firstRow="0" w:lastRow="0" w:firstColumn="0" w:lastColumn="0" w:noHBand="0" w:noVBand="0"/>
      </w:tblPr>
      <w:tblGrid>
        <w:gridCol w:w="2721"/>
        <w:gridCol w:w="6355"/>
      </w:tblGrid>
      <w:tr w:rsidR="00BB13C2" w:rsidRPr="00D4781E" w14:paraId="3F2C8544" w14:textId="77777777" w:rsidTr="008E2197">
        <w:tc>
          <w:tcPr>
            <w:tcW w:w="9076" w:type="dxa"/>
            <w:gridSpan w:val="2"/>
            <w:tcBorders>
              <w:top w:val="single" w:sz="4" w:space="0" w:color="000000"/>
              <w:left w:val="single" w:sz="4" w:space="0" w:color="000000"/>
              <w:bottom w:val="single" w:sz="4" w:space="0" w:color="000000"/>
              <w:right w:val="single" w:sz="4" w:space="0" w:color="000000"/>
            </w:tcBorders>
            <w:shd w:val="clear" w:color="auto" w:fill="auto"/>
          </w:tcPr>
          <w:p w14:paraId="481DED7C" w14:textId="77777777" w:rsidR="00BB13C2" w:rsidRPr="00D4781E" w:rsidRDefault="001A300F">
            <w:pPr>
              <w:contextualSpacing/>
              <w:jc w:val="center"/>
              <w:rPr>
                <w:b/>
                <w:sz w:val="28"/>
                <w:szCs w:val="28"/>
              </w:rPr>
            </w:pPr>
            <w:r w:rsidRPr="00D4781E">
              <w:rPr>
                <w:b/>
                <w:sz w:val="28"/>
                <w:szCs w:val="28"/>
              </w:rPr>
              <w:t>Tiesību akta projekta anotācijas kopsavilkums</w:t>
            </w:r>
          </w:p>
        </w:tc>
      </w:tr>
      <w:tr w:rsidR="00BB13C2" w:rsidRPr="00D4781E" w14:paraId="0CDF43F1" w14:textId="77777777" w:rsidTr="008E2197">
        <w:tc>
          <w:tcPr>
            <w:tcW w:w="2721" w:type="dxa"/>
            <w:tcBorders>
              <w:top w:val="single" w:sz="4" w:space="0" w:color="000000"/>
              <w:left w:val="single" w:sz="4" w:space="0" w:color="000000"/>
              <w:bottom w:val="single" w:sz="4" w:space="0" w:color="000000"/>
            </w:tcBorders>
            <w:shd w:val="clear" w:color="auto" w:fill="auto"/>
          </w:tcPr>
          <w:p w14:paraId="2A0145AA" w14:textId="77777777" w:rsidR="00BB13C2" w:rsidRPr="00D4781E" w:rsidRDefault="001A300F">
            <w:pPr>
              <w:contextualSpacing/>
              <w:jc w:val="both"/>
              <w:rPr>
                <w:sz w:val="28"/>
                <w:szCs w:val="28"/>
              </w:rPr>
            </w:pPr>
            <w:r w:rsidRPr="00D4781E">
              <w:rPr>
                <w:sz w:val="28"/>
                <w:szCs w:val="28"/>
              </w:rPr>
              <w:t xml:space="preserve">Mērķis, risinājums un projekta spēkā stāšanās laiks </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14:paraId="0DDA5AEF" w14:textId="77777777" w:rsidR="00BB13C2" w:rsidRPr="00D4781E" w:rsidRDefault="001A300F" w:rsidP="00144E00">
            <w:pPr>
              <w:ind w:firstLine="715"/>
              <w:contextualSpacing/>
              <w:jc w:val="both"/>
              <w:rPr>
                <w:sz w:val="28"/>
                <w:szCs w:val="28"/>
              </w:rPr>
            </w:pPr>
            <w:r w:rsidRPr="00D4781E">
              <w:rPr>
                <w:sz w:val="28"/>
                <w:szCs w:val="28"/>
              </w:rPr>
              <w:t>Atbilstoši likuma “Par valsts un pašvaldību īpašuma objektu privatizāciju” 5.panta pirmajai daļai</w:t>
            </w:r>
            <w:r w:rsidR="00F85477" w:rsidRPr="00D4781E">
              <w:rPr>
                <w:sz w:val="28"/>
                <w:szCs w:val="28"/>
              </w:rPr>
              <w:t>, 11.pantam</w:t>
            </w:r>
            <w:r w:rsidRPr="00D4781E">
              <w:rPr>
                <w:sz w:val="28"/>
                <w:szCs w:val="28"/>
              </w:rPr>
              <w:t xml:space="preserve"> un pārejas noteikumu 19. un 20.punktam Ekonomikas ministrija ir sagatavojusi noteikumu projektu par valsts īpašumu privatizāciju veicošās institūcijas pārvaldes uzdevuma deleģēšanu akciju sabiedrībai “Publisko aktīvu pārvaldītājs </w:t>
            </w:r>
            <w:proofErr w:type="spellStart"/>
            <w:r w:rsidRPr="00D4781E">
              <w:rPr>
                <w:sz w:val="28"/>
                <w:szCs w:val="28"/>
              </w:rPr>
              <w:t>Possessor</w:t>
            </w:r>
            <w:proofErr w:type="spellEnd"/>
            <w:r w:rsidRPr="00D4781E">
              <w:rPr>
                <w:sz w:val="28"/>
                <w:szCs w:val="28"/>
              </w:rPr>
              <w:t xml:space="preserve"> (Privatizācijas aģentūra)” vienlaikus nosakot kārtību, kādā tiek segti ar minētā uzdevuma izpildi saistītie izdevumi un izmantojami saskaņā ar likumu “Par valsts un pašvaldību īpašuma objektu privatizāciju” izveidotā rezerves fonda līdzekļi. Ministru kabineta noteikumu projekta plānotais spēkā stāšanās laiks </w:t>
            </w:r>
            <w:r w:rsidR="00595949" w:rsidRPr="00D4781E">
              <w:rPr>
                <w:sz w:val="28"/>
                <w:szCs w:val="28"/>
              </w:rPr>
              <w:t xml:space="preserve">ir </w:t>
            </w:r>
            <w:r w:rsidRPr="00D4781E">
              <w:rPr>
                <w:sz w:val="28"/>
                <w:szCs w:val="28"/>
              </w:rPr>
              <w:t>2019.gada 1.novembris.</w:t>
            </w:r>
          </w:p>
        </w:tc>
      </w:tr>
    </w:tbl>
    <w:p w14:paraId="26AF506F" w14:textId="77777777" w:rsidR="00BB13C2" w:rsidRPr="00D4781E" w:rsidRDefault="00BB13C2">
      <w:pPr>
        <w:contextualSpacing/>
        <w:jc w:val="both"/>
        <w:rPr>
          <w:sz w:val="28"/>
          <w:szCs w:val="28"/>
        </w:rPr>
      </w:pPr>
    </w:p>
    <w:tbl>
      <w:tblPr>
        <w:tblW w:w="5000" w:type="pct"/>
        <w:tblInd w:w="-10" w:type="dxa"/>
        <w:tblCellMar>
          <w:left w:w="5" w:type="dxa"/>
          <w:right w:w="5" w:type="dxa"/>
        </w:tblCellMar>
        <w:tblLook w:val="0000" w:firstRow="0" w:lastRow="0" w:firstColumn="0" w:lastColumn="0" w:noHBand="0" w:noVBand="0"/>
      </w:tblPr>
      <w:tblGrid>
        <w:gridCol w:w="423"/>
        <w:gridCol w:w="2376"/>
        <w:gridCol w:w="6262"/>
      </w:tblGrid>
      <w:tr w:rsidR="00BB13C2" w:rsidRPr="00D4781E" w14:paraId="4FE49B97" w14:textId="77777777">
        <w:trPr>
          <w:trHeight w:val="419"/>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AD7815" w14:textId="77777777" w:rsidR="00BB13C2" w:rsidRPr="00D4781E" w:rsidRDefault="001A300F">
            <w:pPr>
              <w:ind w:left="57" w:right="57"/>
              <w:contextualSpacing/>
              <w:jc w:val="both"/>
              <w:rPr>
                <w:b/>
                <w:sz w:val="28"/>
                <w:szCs w:val="28"/>
              </w:rPr>
            </w:pPr>
            <w:r w:rsidRPr="00D4781E">
              <w:rPr>
                <w:b/>
                <w:sz w:val="28"/>
                <w:szCs w:val="28"/>
              </w:rPr>
              <w:t>I. Tiesību akta projekta izstrādes nepieciešamība</w:t>
            </w:r>
          </w:p>
        </w:tc>
      </w:tr>
      <w:tr w:rsidR="00BB13C2" w:rsidRPr="00D4781E" w14:paraId="2A7384F7" w14:textId="77777777">
        <w:trPr>
          <w:trHeight w:val="415"/>
        </w:trPr>
        <w:tc>
          <w:tcPr>
            <w:tcW w:w="423" w:type="dxa"/>
            <w:tcBorders>
              <w:top w:val="single" w:sz="4" w:space="0" w:color="000000"/>
              <w:left w:val="single" w:sz="4" w:space="0" w:color="000000"/>
              <w:bottom w:val="single" w:sz="4" w:space="0" w:color="000000"/>
            </w:tcBorders>
            <w:shd w:val="clear" w:color="auto" w:fill="auto"/>
          </w:tcPr>
          <w:p w14:paraId="1031C128" w14:textId="77777777" w:rsidR="00BB13C2" w:rsidRPr="00D4781E" w:rsidRDefault="001A300F">
            <w:pPr>
              <w:ind w:left="57" w:right="57"/>
              <w:contextualSpacing/>
              <w:jc w:val="both"/>
              <w:rPr>
                <w:sz w:val="28"/>
                <w:szCs w:val="28"/>
              </w:rPr>
            </w:pPr>
            <w:r w:rsidRPr="00D4781E">
              <w:rPr>
                <w:sz w:val="28"/>
                <w:szCs w:val="28"/>
              </w:rPr>
              <w:t>1.</w:t>
            </w:r>
          </w:p>
        </w:tc>
        <w:tc>
          <w:tcPr>
            <w:tcW w:w="2378" w:type="dxa"/>
            <w:tcBorders>
              <w:top w:val="single" w:sz="4" w:space="0" w:color="000000"/>
              <w:left w:val="single" w:sz="4" w:space="0" w:color="000000"/>
              <w:bottom w:val="single" w:sz="4" w:space="0" w:color="000000"/>
            </w:tcBorders>
            <w:shd w:val="clear" w:color="auto" w:fill="auto"/>
          </w:tcPr>
          <w:p w14:paraId="5FCBD214" w14:textId="77777777" w:rsidR="00BB13C2" w:rsidRPr="00D4781E" w:rsidRDefault="001A300F">
            <w:pPr>
              <w:ind w:left="57" w:right="57"/>
              <w:contextualSpacing/>
              <w:jc w:val="both"/>
              <w:rPr>
                <w:sz w:val="28"/>
                <w:szCs w:val="28"/>
              </w:rPr>
            </w:pPr>
            <w:r w:rsidRPr="00D4781E">
              <w:rPr>
                <w:sz w:val="28"/>
                <w:szCs w:val="28"/>
              </w:rPr>
              <w:t>Pamatojums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9472C19" w14:textId="0D00E021" w:rsidR="00BB13C2" w:rsidRPr="00D4781E" w:rsidRDefault="001A300F" w:rsidP="00144E00">
            <w:pPr>
              <w:ind w:left="35" w:right="-2" w:firstLine="665"/>
              <w:contextualSpacing/>
              <w:jc w:val="both"/>
              <w:rPr>
                <w:sz w:val="28"/>
                <w:szCs w:val="28"/>
              </w:rPr>
            </w:pPr>
            <w:r w:rsidRPr="00D4781E">
              <w:rPr>
                <w:sz w:val="28"/>
                <w:szCs w:val="28"/>
              </w:rPr>
              <w:t xml:space="preserve">Likuma “Par valsts un pašvaldību īpašuma objektu privatizāciju” </w:t>
            </w:r>
            <w:r w:rsidR="00595949" w:rsidRPr="00D4781E">
              <w:rPr>
                <w:sz w:val="28"/>
                <w:szCs w:val="28"/>
              </w:rPr>
              <w:t>p</w:t>
            </w:r>
            <w:r w:rsidRPr="00D4781E">
              <w:rPr>
                <w:sz w:val="28"/>
                <w:szCs w:val="28"/>
              </w:rPr>
              <w:t>ārejas noteikumu 19.punkts, Valsts pārvaldes iekārtas likuma 40.panta otrā daļa un likuma “Par valsts un pašvaldību īpašuma objektu privatizāciju” (turpmāk – Privatizācijas likums) 5.panta pirmā daļa</w:t>
            </w:r>
            <w:r w:rsidR="00F85477" w:rsidRPr="00D4781E">
              <w:rPr>
                <w:sz w:val="28"/>
                <w:szCs w:val="28"/>
              </w:rPr>
              <w:t xml:space="preserve"> un 11.pants</w:t>
            </w:r>
            <w:r w:rsidRPr="00D4781E">
              <w:rPr>
                <w:sz w:val="28"/>
                <w:szCs w:val="28"/>
              </w:rPr>
              <w:t xml:space="preserve">. </w:t>
            </w:r>
          </w:p>
        </w:tc>
      </w:tr>
      <w:tr w:rsidR="00BB13C2" w:rsidRPr="00D4781E" w14:paraId="67C65C95" w14:textId="77777777">
        <w:trPr>
          <w:trHeight w:val="472"/>
        </w:trPr>
        <w:tc>
          <w:tcPr>
            <w:tcW w:w="423" w:type="dxa"/>
            <w:tcBorders>
              <w:top w:val="single" w:sz="4" w:space="0" w:color="000000"/>
              <w:left w:val="single" w:sz="4" w:space="0" w:color="000000"/>
              <w:bottom w:val="single" w:sz="4" w:space="0" w:color="000000"/>
            </w:tcBorders>
            <w:shd w:val="clear" w:color="auto" w:fill="auto"/>
          </w:tcPr>
          <w:p w14:paraId="2CC0AEF4" w14:textId="77777777" w:rsidR="00BB13C2" w:rsidRPr="00D4781E" w:rsidRDefault="001A300F">
            <w:pPr>
              <w:ind w:left="57" w:right="57"/>
              <w:contextualSpacing/>
              <w:jc w:val="both"/>
              <w:rPr>
                <w:sz w:val="28"/>
                <w:szCs w:val="28"/>
              </w:rPr>
            </w:pPr>
            <w:r w:rsidRPr="00D4781E">
              <w:rPr>
                <w:sz w:val="28"/>
                <w:szCs w:val="28"/>
              </w:rPr>
              <w:t>2.</w:t>
            </w:r>
          </w:p>
        </w:tc>
        <w:tc>
          <w:tcPr>
            <w:tcW w:w="2378" w:type="dxa"/>
            <w:tcBorders>
              <w:top w:val="single" w:sz="4" w:space="0" w:color="000000"/>
              <w:left w:val="single" w:sz="4" w:space="0" w:color="000000"/>
              <w:bottom w:val="single" w:sz="4" w:space="0" w:color="000000"/>
            </w:tcBorders>
            <w:shd w:val="clear" w:color="auto" w:fill="auto"/>
          </w:tcPr>
          <w:p w14:paraId="4DEBD6F4" w14:textId="77777777" w:rsidR="00BB13C2" w:rsidRDefault="001A300F">
            <w:pPr>
              <w:tabs>
                <w:tab w:val="left" w:pos="170"/>
              </w:tabs>
              <w:ind w:left="57" w:right="57"/>
              <w:contextualSpacing/>
              <w:jc w:val="both"/>
              <w:rPr>
                <w:sz w:val="28"/>
                <w:szCs w:val="28"/>
              </w:rPr>
            </w:pPr>
            <w:r w:rsidRPr="00D4781E">
              <w:rPr>
                <w:sz w:val="28"/>
                <w:szCs w:val="28"/>
              </w:rPr>
              <w:t>Pašreizējā situācija un problēmas, kuru risināšanai tiesību akta projekts izstrādāts, tiesiskā regulējuma mērķis un būtība</w:t>
            </w:r>
          </w:p>
          <w:p w14:paraId="46DDE985" w14:textId="77777777" w:rsidR="00D4781E" w:rsidRPr="00D4781E" w:rsidRDefault="00D4781E" w:rsidP="00D4781E">
            <w:pPr>
              <w:rPr>
                <w:sz w:val="28"/>
                <w:szCs w:val="28"/>
              </w:rPr>
            </w:pPr>
          </w:p>
          <w:p w14:paraId="23AD2C0D" w14:textId="77777777" w:rsidR="00D4781E" w:rsidRPr="00D4781E" w:rsidRDefault="00D4781E" w:rsidP="00D4781E">
            <w:pPr>
              <w:rPr>
                <w:sz w:val="28"/>
                <w:szCs w:val="28"/>
              </w:rPr>
            </w:pPr>
          </w:p>
          <w:p w14:paraId="4E83B8EC" w14:textId="77777777" w:rsidR="00D4781E" w:rsidRPr="00D4781E" w:rsidRDefault="00D4781E" w:rsidP="00D4781E">
            <w:pPr>
              <w:rPr>
                <w:sz w:val="28"/>
                <w:szCs w:val="28"/>
              </w:rPr>
            </w:pPr>
          </w:p>
          <w:p w14:paraId="4E14A318" w14:textId="77777777" w:rsidR="00D4781E" w:rsidRPr="00D4781E" w:rsidRDefault="00D4781E" w:rsidP="00D4781E">
            <w:pPr>
              <w:rPr>
                <w:sz w:val="28"/>
                <w:szCs w:val="28"/>
              </w:rPr>
            </w:pPr>
          </w:p>
          <w:p w14:paraId="09339D62" w14:textId="77777777" w:rsidR="00D4781E" w:rsidRPr="00D4781E" w:rsidRDefault="00D4781E" w:rsidP="00D4781E">
            <w:pPr>
              <w:rPr>
                <w:sz w:val="28"/>
                <w:szCs w:val="28"/>
              </w:rPr>
            </w:pPr>
          </w:p>
          <w:p w14:paraId="7BFBCEBF" w14:textId="77777777" w:rsidR="00D4781E" w:rsidRPr="00D4781E" w:rsidRDefault="00D4781E" w:rsidP="00D4781E">
            <w:pPr>
              <w:rPr>
                <w:sz w:val="28"/>
                <w:szCs w:val="28"/>
              </w:rPr>
            </w:pPr>
          </w:p>
          <w:p w14:paraId="15BB953B" w14:textId="77777777" w:rsidR="00D4781E" w:rsidRPr="00D4781E" w:rsidRDefault="00D4781E" w:rsidP="00D4781E">
            <w:pPr>
              <w:rPr>
                <w:sz w:val="28"/>
                <w:szCs w:val="28"/>
              </w:rPr>
            </w:pPr>
          </w:p>
          <w:p w14:paraId="5D5A74B8" w14:textId="77777777" w:rsidR="00D4781E" w:rsidRPr="00D4781E" w:rsidRDefault="00D4781E" w:rsidP="00D4781E">
            <w:pPr>
              <w:rPr>
                <w:sz w:val="28"/>
                <w:szCs w:val="28"/>
              </w:rPr>
            </w:pPr>
          </w:p>
          <w:p w14:paraId="1B75997F" w14:textId="456F6404" w:rsidR="00D4781E" w:rsidRDefault="00D4781E" w:rsidP="00D4781E">
            <w:pPr>
              <w:rPr>
                <w:sz w:val="28"/>
                <w:szCs w:val="28"/>
              </w:rPr>
            </w:pPr>
          </w:p>
          <w:p w14:paraId="5D5CBE00" w14:textId="77777777" w:rsidR="00D4781E" w:rsidRPr="00D4781E" w:rsidRDefault="00D4781E" w:rsidP="00D4781E">
            <w:pPr>
              <w:rPr>
                <w:sz w:val="28"/>
                <w:szCs w:val="28"/>
              </w:rPr>
            </w:pPr>
          </w:p>
          <w:p w14:paraId="77850721" w14:textId="77777777" w:rsidR="00D4781E" w:rsidRPr="00D4781E" w:rsidRDefault="00D4781E" w:rsidP="00D4781E">
            <w:pPr>
              <w:rPr>
                <w:sz w:val="28"/>
                <w:szCs w:val="28"/>
              </w:rPr>
            </w:pPr>
          </w:p>
          <w:p w14:paraId="176F9C9A" w14:textId="77777777" w:rsidR="00D4781E" w:rsidRPr="00D4781E" w:rsidRDefault="00D4781E" w:rsidP="00D4781E">
            <w:pPr>
              <w:rPr>
                <w:sz w:val="28"/>
                <w:szCs w:val="28"/>
              </w:rPr>
            </w:pPr>
          </w:p>
          <w:p w14:paraId="332EF1CD" w14:textId="77777777" w:rsidR="00D4781E" w:rsidRPr="00D4781E" w:rsidRDefault="00D4781E" w:rsidP="00D4781E">
            <w:pPr>
              <w:rPr>
                <w:sz w:val="28"/>
                <w:szCs w:val="28"/>
              </w:rPr>
            </w:pPr>
          </w:p>
          <w:p w14:paraId="33726BD0" w14:textId="77777777" w:rsidR="00D4781E" w:rsidRPr="00D4781E" w:rsidRDefault="00D4781E" w:rsidP="00D4781E">
            <w:pPr>
              <w:rPr>
                <w:sz w:val="28"/>
                <w:szCs w:val="28"/>
              </w:rPr>
            </w:pPr>
          </w:p>
          <w:p w14:paraId="77049B75" w14:textId="723CA43C" w:rsidR="00D4781E" w:rsidRPr="00D4781E" w:rsidRDefault="00D4781E" w:rsidP="00D4781E">
            <w:pPr>
              <w:rPr>
                <w:sz w:val="28"/>
                <w:szCs w:val="28"/>
              </w:rPr>
            </w:pPr>
          </w:p>
        </w:tc>
        <w:tc>
          <w:tcPr>
            <w:tcW w:w="6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CCC906" w14:textId="77777777" w:rsidR="00BB13C2" w:rsidRPr="00D4781E" w:rsidRDefault="001A300F">
            <w:pPr>
              <w:pStyle w:val="FootnoteText"/>
              <w:spacing w:after="120"/>
              <w:ind w:firstLine="709"/>
              <w:jc w:val="both"/>
              <w:rPr>
                <w:sz w:val="28"/>
                <w:szCs w:val="28"/>
              </w:rPr>
            </w:pPr>
            <w:r w:rsidRPr="00D4781E">
              <w:rPr>
                <w:sz w:val="28"/>
                <w:szCs w:val="28"/>
              </w:rPr>
              <w:lastRenderedPageBreak/>
              <w:t xml:space="preserve">Šā gada 3.jūlijā spēkā stājās likums “Grozījumi likumā “Par valsts un pašvaldību īpašuma objektu privatizāciju”” (turpmāk – likuma grozījumi). Ar likuma grozījumiem tika noteikts, ka valsts īpašuma objekta privatizāciju valsts vārdā organizē un veic institūcija, kurai Ministru kabinets noteicis vai deleģējis pildīt šo valsts pārvaldes uzdevumu. Tāpat ar likuma grozījumiem tika noteikts, ka valsts īpašumu privatizāciju veicošās institūcijas izdevumi, kas saistīti ar deleģēto valsts pārvaldes uzdevumu izpildi, tiek segti no valsts īpašuma un zemesgabalu privatizācijas ieņēmumiem, savukārt kārtību, kādā izdara valsts īpašumu privatizāciju veicošajai institūcijai pienākošos </w:t>
            </w:r>
            <w:r w:rsidRPr="00D4781E">
              <w:rPr>
                <w:sz w:val="28"/>
                <w:szCs w:val="28"/>
              </w:rPr>
              <w:lastRenderedPageBreak/>
              <w:t>atskaitījumus, un atskaitījumu apmēru nosaka Ministru kabineta noteikumi.</w:t>
            </w:r>
          </w:p>
          <w:p w14:paraId="7948A5D8" w14:textId="75A31AF7" w:rsidR="00BB13C2" w:rsidRPr="00D4781E" w:rsidRDefault="001A300F">
            <w:pPr>
              <w:pStyle w:val="FootnoteText"/>
              <w:spacing w:after="120"/>
              <w:ind w:firstLine="709"/>
              <w:jc w:val="both"/>
              <w:rPr>
                <w:sz w:val="28"/>
                <w:szCs w:val="28"/>
              </w:rPr>
            </w:pPr>
            <w:r w:rsidRPr="00D4781E">
              <w:rPr>
                <w:sz w:val="28"/>
                <w:szCs w:val="28"/>
              </w:rPr>
              <w:t xml:space="preserve">Atbilstoši Privatizācijas likuma pārejas noteikumu 19.punktam Ministru kabinets lēmumu par valsts īpašumu privatizāciju veicošo institūciju pieņem ne vēlāk kā līdz 2019.gada 30.novembrim. Noteikts, ka līdz Ministru kabineta lēmuma pieņemšanas dienai valsts īpašumu privatizāciju veicošās institūcijas uzdevumus </w:t>
            </w:r>
            <w:r w:rsidR="008E2197" w:rsidRPr="00D4781E">
              <w:rPr>
                <w:sz w:val="28"/>
                <w:szCs w:val="28"/>
              </w:rPr>
              <w:t xml:space="preserve">pilda valsts akciju sabiedrība </w:t>
            </w:r>
            <w:r w:rsidRPr="00D4781E">
              <w:rPr>
                <w:sz w:val="28"/>
                <w:szCs w:val="28"/>
              </w:rPr>
              <w:t xml:space="preserve">“Privatizācijas aģentūra”. </w:t>
            </w:r>
          </w:p>
          <w:p w14:paraId="730F5849" w14:textId="0D4E72CA" w:rsidR="00BB13C2" w:rsidRPr="00D4781E" w:rsidRDefault="001A300F">
            <w:pPr>
              <w:pStyle w:val="FootnoteText"/>
              <w:spacing w:after="120"/>
              <w:ind w:firstLine="709"/>
              <w:jc w:val="both"/>
              <w:rPr>
                <w:sz w:val="28"/>
                <w:szCs w:val="28"/>
              </w:rPr>
            </w:pPr>
            <w:r w:rsidRPr="00D4781E">
              <w:rPr>
                <w:sz w:val="28"/>
                <w:szCs w:val="28"/>
              </w:rPr>
              <w:t>Atbilstoši Privatizācijas likuma pārejas noteikumu 20.punktam līdz šā likuma 11.panta pirmajā un otrajā daļā minēto Ministru kabineta noteikumu spēkā stāšanās dienai, bet ne ilgāk kā līdz 2019.gada 31.oktobrim</w:t>
            </w:r>
            <w:r w:rsidR="00595949" w:rsidRPr="00D4781E">
              <w:rPr>
                <w:sz w:val="28"/>
                <w:szCs w:val="28"/>
              </w:rPr>
              <w:t>,</w:t>
            </w:r>
            <w:r w:rsidRPr="00D4781E">
              <w:rPr>
                <w:sz w:val="28"/>
                <w:szCs w:val="28"/>
              </w:rPr>
              <w:t xml:space="preserve"> ir piemērojami Ministru kabineta 2015.gada 1.decembra noteikumi Nr.680 “Kārtība, kādā Privatizācijas aģentūrai veicami atskaitījumi par valsts īpašuma privatizāciju, valsts kapitāla daļu atsavināšanu un citām normatīvajos aktos noteiktajām darbībām, kā arī izveidojams un izlietojams rezerves fonds un veicami maksājumi budžetā” (turpmāk – Noteikumi Nr.680), ciktāl tie nav pretrunā ar šo likumu. </w:t>
            </w:r>
          </w:p>
          <w:p w14:paraId="2EBADC6F" w14:textId="77777777" w:rsidR="00BB13C2" w:rsidRPr="00D4781E" w:rsidRDefault="001A300F">
            <w:pPr>
              <w:pStyle w:val="FootnoteText"/>
              <w:spacing w:after="120"/>
              <w:ind w:firstLine="709"/>
              <w:jc w:val="both"/>
              <w:rPr>
                <w:sz w:val="28"/>
                <w:szCs w:val="28"/>
              </w:rPr>
            </w:pPr>
            <w:r w:rsidRPr="00D4781E">
              <w:rPr>
                <w:sz w:val="28"/>
                <w:szCs w:val="28"/>
              </w:rPr>
              <w:t>Valsts pārvaldes iekārtas likuma 40.panta otrā daļa noteic, ka privātpersonai pārvaldes uzdevumu var deleģēt ar ārēju normatīvo aktu vai līgumu, ja tas paredzēts ārējā normatīvajā aktā. Savukārt, atbilstoši Valsts pārvaldes iekārtas likuma 42.panta pirmajai daļai privātpersonai jābūt tiesīgai veikt attiecīgo pārvaldes uzdevumu. Lemjot par pārvaldes uzdevuma deleģēšanu privātpersonai, ņem vērā tās pieredzi, reputāciju, resursus, personāla kvalifikāciju, kā arī citus kritērijus.</w:t>
            </w:r>
          </w:p>
          <w:p w14:paraId="51A7682A" w14:textId="77777777" w:rsidR="008E2197" w:rsidRPr="00D4781E" w:rsidRDefault="008E2197">
            <w:pPr>
              <w:pStyle w:val="FootnoteText"/>
              <w:spacing w:after="120"/>
              <w:ind w:firstLine="709"/>
              <w:jc w:val="both"/>
              <w:rPr>
                <w:sz w:val="28"/>
                <w:szCs w:val="28"/>
              </w:rPr>
            </w:pPr>
          </w:p>
          <w:p w14:paraId="1E53E4EF" w14:textId="15966901" w:rsidR="00BB13C2" w:rsidRPr="00D4781E" w:rsidRDefault="008E2197">
            <w:pPr>
              <w:pStyle w:val="FootnoteText"/>
              <w:spacing w:after="120"/>
              <w:ind w:firstLine="709"/>
              <w:jc w:val="both"/>
              <w:rPr>
                <w:sz w:val="28"/>
                <w:szCs w:val="28"/>
              </w:rPr>
            </w:pPr>
            <w:r w:rsidRPr="00D4781E">
              <w:rPr>
                <w:sz w:val="28"/>
                <w:szCs w:val="28"/>
              </w:rPr>
              <w:t xml:space="preserve">Akciju sabiedrība “Publisko aktīvu pārvaldītājs </w:t>
            </w:r>
            <w:proofErr w:type="spellStart"/>
            <w:r w:rsidRPr="00D4781E">
              <w:rPr>
                <w:sz w:val="28"/>
                <w:szCs w:val="28"/>
              </w:rPr>
              <w:t>Possessor</w:t>
            </w:r>
            <w:proofErr w:type="spellEnd"/>
            <w:r w:rsidRPr="00D4781E">
              <w:rPr>
                <w:sz w:val="28"/>
                <w:szCs w:val="28"/>
              </w:rPr>
              <w:t xml:space="preserve"> (Privatizācijas aģentūra)” (turpmāk – </w:t>
            </w:r>
            <w:proofErr w:type="spellStart"/>
            <w:r w:rsidRPr="00D4781E">
              <w:rPr>
                <w:sz w:val="28"/>
                <w:szCs w:val="28"/>
              </w:rPr>
              <w:t>Possessor</w:t>
            </w:r>
            <w:proofErr w:type="spellEnd"/>
            <w:r w:rsidRPr="00D4781E">
              <w:rPr>
                <w:sz w:val="28"/>
                <w:szCs w:val="28"/>
              </w:rPr>
              <w:t xml:space="preserve">) </w:t>
            </w:r>
            <w:r w:rsidR="001A300F" w:rsidRPr="00D4781E">
              <w:rPr>
                <w:sz w:val="28"/>
                <w:szCs w:val="28"/>
              </w:rPr>
              <w:t xml:space="preserve"> kopš dibināšanas 1994.gadā 22.aprīlī ir pildījis virkni svarīgus tam deleģētus valsts pārvaldes uzdevumus</w:t>
            </w:r>
            <w:r w:rsidR="00595949" w:rsidRPr="00D4781E">
              <w:rPr>
                <w:sz w:val="28"/>
                <w:szCs w:val="28"/>
              </w:rPr>
              <w:t>,</w:t>
            </w:r>
            <w:r w:rsidR="001A300F" w:rsidRPr="00D4781E">
              <w:rPr>
                <w:sz w:val="28"/>
                <w:szCs w:val="28"/>
              </w:rPr>
              <w:t xml:space="preserve"> tajā skaitā valsts īpašuma objektu privatizāciju, atsavināšanu un pārvaldīšanu. </w:t>
            </w:r>
            <w:proofErr w:type="spellStart"/>
            <w:r w:rsidR="001A300F" w:rsidRPr="00D4781E">
              <w:rPr>
                <w:sz w:val="28"/>
                <w:szCs w:val="28"/>
              </w:rPr>
              <w:t>Possessor</w:t>
            </w:r>
            <w:proofErr w:type="spellEnd"/>
            <w:r w:rsidR="001A300F" w:rsidRPr="00D4781E">
              <w:rPr>
                <w:sz w:val="28"/>
                <w:szCs w:val="28"/>
              </w:rPr>
              <w:t xml:space="preserve"> uzkrāta daudzpusīga pieredze darbā ar 9</w:t>
            </w:r>
            <w:r w:rsidR="00F10CA0" w:rsidRPr="00D4781E">
              <w:rPr>
                <w:sz w:val="28"/>
                <w:szCs w:val="28"/>
              </w:rPr>
              <w:t> </w:t>
            </w:r>
            <w:r w:rsidR="001A300F" w:rsidRPr="00D4781E">
              <w:rPr>
                <w:sz w:val="28"/>
                <w:szCs w:val="28"/>
              </w:rPr>
              <w:t xml:space="preserve">548 dažādiem </w:t>
            </w:r>
            <w:r w:rsidR="001A300F" w:rsidRPr="00D4781E">
              <w:rPr>
                <w:sz w:val="28"/>
                <w:szCs w:val="28"/>
              </w:rPr>
              <w:lastRenderedPageBreak/>
              <w:t xml:space="preserve">valsts īpašuma objektiem – valsts uzņēmumiem, kapitālsabiedrībām, kapitāla daļām, nekustamajiem īpašumiem, zemesgabaliem. Kopš 1994.gada </w:t>
            </w:r>
            <w:proofErr w:type="spellStart"/>
            <w:r w:rsidR="001A300F" w:rsidRPr="00D4781E">
              <w:rPr>
                <w:sz w:val="28"/>
                <w:szCs w:val="28"/>
              </w:rPr>
              <w:t>Possessor</w:t>
            </w:r>
            <w:proofErr w:type="spellEnd"/>
            <w:r w:rsidR="001A300F" w:rsidRPr="00D4781E">
              <w:rPr>
                <w:sz w:val="28"/>
                <w:szCs w:val="28"/>
              </w:rPr>
              <w:t xml:space="preserve"> portfelī ir bijuši 2</w:t>
            </w:r>
            <w:r w:rsidR="00F10CA0" w:rsidRPr="00D4781E">
              <w:rPr>
                <w:sz w:val="28"/>
                <w:szCs w:val="28"/>
              </w:rPr>
              <w:t> </w:t>
            </w:r>
            <w:r w:rsidR="001A300F" w:rsidRPr="00D4781E">
              <w:rPr>
                <w:sz w:val="28"/>
                <w:szCs w:val="28"/>
              </w:rPr>
              <w:t xml:space="preserve">588 valsts uzņēmumi un kapitālsabiedrības. Tika īstenota ne tikai valsts uzņēmumu pārdošana, bet arī uzņēmumu reorganizācija ar tai sekojošu akciju pārdošanu publiskajā piedāvājumā, tika veikta nodokļu pamatparādu kapitalizācija, uzņēmumu denacionalizācija, arī likvidācija. </w:t>
            </w:r>
          </w:p>
          <w:p w14:paraId="138257DA" w14:textId="464718FD" w:rsidR="006D13D4" w:rsidRPr="00D4781E" w:rsidRDefault="006D13D4" w:rsidP="006D13D4">
            <w:pPr>
              <w:pStyle w:val="FootnoteText"/>
              <w:spacing w:after="120"/>
              <w:ind w:firstLine="709"/>
              <w:jc w:val="both"/>
              <w:rPr>
                <w:sz w:val="28"/>
                <w:szCs w:val="28"/>
              </w:rPr>
            </w:pPr>
            <w:proofErr w:type="spellStart"/>
            <w:r w:rsidRPr="00D4781E">
              <w:rPr>
                <w:sz w:val="28"/>
                <w:szCs w:val="28"/>
              </w:rPr>
              <w:t>Possessor</w:t>
            </w:r>
            <w:proofErr w:type="spellEnd"/>
            <w:r w:rsidRPr="00D4781E">
              <w:rPr>
                <w:sz w:val="28"/>
                <w:szCs w:val="28"/>
              </w:rPr>
              <w:t xml:space="preserve"> ir ilgstoša pieredze privatizācijā, valsts aktīvu realizācijas procesā piemērojot dažādas metodes (pārdošana, privātā kapitāla piesaistīšana, parādu kapitalizācija, reorganizācija, u.c.). Valsts īpašuma objektu privatizācijas īstenošanas ietvaros </w:t>
            </w:r>
            <w:proofErr w:type="spellStart"/>
            <w:r w:rsidRPr="00D4781E">
              <w:rPr>
                <w:sz w:val="28"/>
                <w:szCs w:val="28"/>
              </w:rPr>
              <w:t>Possessor</w:t>
            </w:r>
            <w:proofErr w:type="spellEnd"/>
            <w:r w:rsidRPr="00D4781E">
              <w:rPr>
                <w:sz w:val="28"/>
                <w:szCs w:val="28"/>
              </w:rPr>
              <w:t xml:space="preserve">, normatīvajos aktos noteiktajā kārtībā un ievērojot saistošajos normatīvajos aktos noteiktās tiesības un pienākumus, pārvalda un savas kompetences ietvaros rīkojas ar tam turējumā un valdījumā nodotajiem valstij piederošiem īpašuma objektiem - sagatavo valsts īpašuma objektus, slēdz un kontrolē jau noslēgtos nomas līgumus, organizē un veic valsts īpašuma objektu novērtēšanu, rīko un vada izsoles, izvērtē potenciālo valsts īpašuma objektu pircēju piedāvājumus, valsts vārdā slēdz līgumus par </w:t>
            </w:r>
            <w:proofErr w:type="spellStart"/>
            <w:r w:rsidRPr="00D4781E">
              <w:rPr>
                <w:sz w:val="28"/>
                <w:szCs w:val="28"/>
              </w:rPr>
              <w:t>Possessor</w:t>
            </w:r>
            <w:proofErr w:type="spellEnd"/>
            <w:r w:rsidRPr="00D4781E">
              <w:rPr>
                <w:sz w:val="28"/>
                <w:szCs w:val="28"/>
              </w:rPr>
              <w:t xml:space="preserve"> nodoto valsts īpašuma objektu pārdošanu, kontrolē noslēgt</w:t>
            </w:r>
            <w:r w:rsidR="00F10CA0" w:rsidRPr="00D4781E">
              <w:rPr>
                <w:sz w:val="28"/>
                <w:szCs w:val="28"/>
              </w:rPr>
              <w:t>aj</w:t>
            </w:r>
            <w:r w:rsidRPr="00D4781E">
              <w:rPr>
                <w:sz w:val="28"/>
                <w:szCs w:val="28"/>
              </w:rPr>
              <w:t>o</w:t>
            </w:r>
            <w:r w:rsidR="00F10CA0" w:rsidRPr="00D4781E">
              <w:rPr>
                <w:sz w:val="28"/>
                <w:szCs w:val="28"/>
              </w:rPr>
              <w:t>s</w:t>
            </w:r>
            <w:r w:rsidRPr="00D4781E">
              <w:rPr>
                <w:sz w:val="28"/>
                <w:szCs w:val="28"/>
              </w:rPr>
              <w:t xml:space="preserve"> līgum</w:t>
            </w:r>
            <w:r w:rsidR="00F10CA0" w:rsidRPr="00D4781E">
              <w:rPr>
                <w:sz w:val="28"/>
                <w:szCs w:val="28"/>
              </w:rPr>
              <w:t>os noteikto saistību</w:t>
            </w:r>
            <w:r w:rsidRPr="00D4781E">
              <w:rPr>
                <w:sz w:val="28"/>
                <w:szCs w:val="28"/>
              </w:rPr>
              <w:t xml:space="preserve"> izpildi, veic likumos un līgumos noteiktās darbības līgumu izpildes nodrošināšanai un var izbeigt līgumus, ja subjekts nepilda līguma noteikumus. </w:t>
            </w:r>
          </w:p>
          <w:p w14:paraId="0A71146D" w14:textId="10C6FC66" w:rsidR="008E2197" w:rsidRPr="00D4781E" w:rsidRDefault="008E2197" w:rsidP="008E2197">
            <w:pPr>
              <w:pStyle w:val="FootnoteText"/>
              <w:spacing w:after="120"/>
              <w:ind w:firstLine="709"/>
              <w:jc w:val="both"/>
              <w:rPr>
                <w:sz w:val="28"/>
                <w:szCs w:val="28"/>
              </w:rPr>
            </w:pPr>
            <w:r w:rsidRPr="00D4781E">
              <w:rPr>
                <w:sz w:val="28"/>
                <w:szCs w:val="28"/>
              </w:rPr>
              <w:t xml:space="preserve">2019.gada 30.jūnijā </w:t>
            </w:r>
            <w:proofErr w:type="spellStart"/>
            <w:r w:rsidRPr="00D4781E">
              <w:rPr>
                <w:sz w:val="28"/>
                <w:szCs w:val="28"/>
              </w:rPr>
              <w:t>Possessor</w:t>
            </w:r>
            <w:proofErr w:type="spellEnd"/>
            <w:r w:rsidRPr="00D4781E">
              <w:rPr>
                <w:sz w:val="28"/>
                <w:szCs w:val="28"/>
              </w:rPr>
              <w:t xml:space="preserve"> portfelī valsts īpašuma objektu </w:t>
            </w:r>
            <w:r w:rsidR="00D704BF" w:rsidRPr="00D4781E">
              <w:rPr>
                <w:sz w:val="28"/>
                <w:szCs w:val="28"/>
              </w:rPr>
              <w:t xml:space="preserve">privatizācijas </w:t>
            </w:r>
            <w:r w:rsidRPr="00D4781E">
              <w:rPr>
                <w:sz w:val="28"/>
                <w:szCs w:val="28"/>
              </w:rPr>
              <w:t xml:space="preserve">segmentā bija 565 valsts zemesgabali (to domājamās daļas) un 24 valsts nekustamo īpašumu objekti, kā arī </w:t>
            </w:r>
            <w:r w:rsidR="00F10CA0" w:rsidRPr="00D4781E">
              <w:rPr>
                <w:sz w:val="28"/>
                <w:szCs w:val="28"/>
              </w:rPr>
              <w:t xml:space="preserve">privatizējamās valsts kapitāla daļas </w:t>
            </w:r>
            <w:r w:rsidR="00212564" w:rsidRPr="00D4781E">
              <w:rPr>
                <w:sz w:val="28"/>
                <w:szCs w:val="28"/>
              </w:rPr>
              <w:t>3</w:t>
            </w:r>
            <w:r w:rsidR="00F10CA0" w:rsidRPr="00D4781E">
              <w:rPr>
                <w:sz w:val="28"/>
                <w:szCs w:val="28"/>
              </w:rPr>
              <w:t xml:space="preserve">kapitālsabiedrībās </w:t>
            </w:r>
            <w:r w:rsidRPr="00D4781E">
              <w:rPr>
                <w:sz w:val="28"/>
                <w:szCs w:val="28"/>
              </w:rPr>
              <w:t xml:space="preserve">. </w:t>
            </w:r>
            <w:r w:rsidR="002136E0" w:rsidRPr="00D4781E">
              <w:rPr>
                <w:sz w:val="28"/>
                <w:szCs w:val="28"/>
              </w:rPr>
              <w:t xml:space="preserve">Šobrīd ir </w:t>
            </w:r>
            <w:r w:rsidR="00F10CA0" w:rsidRPr="00D4781E">
              <w:rPr>
                <w:sz w:val="28"/>
                <w:szCs w:val="28"/>
              </w:rPr>
              <w:t xml:space="preserve">spēkā kopumā </w:t>
            </w:r>
            <w:r w:rsidRPr="00D4781E">
              <w:rPr>
                <w:sz w:val="28"/>
                <w:szCs w:val="28"/>
              </w:rPr>
              <w:t xml:space="preserve">432 </w:t>
            </w:r>
            <w:proofErr w:type="spellStart"/>
            <w:r w:rsidRPr="00D4781E">
              <w:rPr>
                <w:sz w:val="28"/>
                <w:szCs w:val="28"/>
              </w:rPr>
              <w:t>Possessor</w:t>
            </w:r>
            <w:proofErr w:type="spellEnd"/>
            <w:r w:rsidRPr="00D4781E">
              <w:rPr>
                <w:sz w:val="28"/>
                <w:szCs w:val="28"/>
              </w:rPr>
              <w:t xml:space="preserve"> valdījumā esošo valsts īpašuma objektu (nekustamie īpašumi, zemesgabali un to domājamās daļas) nomas līgumi. Līdz valsts īpašuma objektu privatizācijas noteikumos un pirkuma līgumos noteikto saistību izpildei un Privatizācijas likuma 30.panta otrajā daļā, 81.panta otrajā daļā vai 86.panta </w:t>
            </w:r>
            <w:r w:rsidRPr="00D4781E">
              <w:rPr>
                <w:sz w:val="28"/>
                <w:szCs w:val="28"/>
              </w:rPr>
              <w:lastRenderedPageBreak/>
              <w:t xml:space="preserve">otrajā daļā noteiktā lēmuma par privatizācijas pabeigšanu pieņemšanai līgumu kontrole tika nodrošināta 169 valsts īpašumu un zemesgabalu pirkuma līgumiem. </w:t>
            </w:r>
          </w:p>
          <w:p w14:paraId="2F293EFD" w14:textId="77777777" w:rsidR="000A0296" w:rsidRPr="00D4781E" w:rsidRDefault="000A0296" w:rsidP="006D13D4">
            <w:pPr>
              <w:pStyle w:val="FootnoteText"/>
              <w:spacing w:after="120"/>
              <w:ind w:firstLine="709"/>
              <w:jc w:val="both"/>
              <w:rPr>
                <w:sz w:val="28"/>
                <w:szCs w:val="28"/>
              </w:rPr>
            </w:pPr>
            <w:r w:rsidRPr="00D4781E">
              <w:rPr>
                <w:sz w:val="28"/>
                <w:szCs w:val="28"/>
              </w:rPr>
              <w:t xml:space="preserve">Atzīmējams, ka pēdējos gados, nolūkā sekmēt valsts pārvaldes uzdevumu izpildes efektivitāti valsts mērogā, jau veiktas mērķtiecīgas darbības, koncentrējot saturiski piekritīgus valsts pārvaldes uzdevumus vienā kapitālsabiedrībā. Proti, ar Ministru kabineta 2009.gada 29.maija rīkojumu Nr.353 “Par Būvniecības, enerģētikas un mājokļu valsts aģentūras likvidāciju” </w:t>
            </w:r>
            <w:proofErr w:type="spellStart"/>
            <w:r w:rsidRPr="00D4781E">
              <w:rPr>
                <w:sz w:val="28"/>
                <w:szCs w:val="28"/>
              </w:rPr>
              <w:t>Possessor</w:t>
            </w:r>
            <w:proofErr w:type="spellEnd"/>
            <w:r w:rsidRPr="00D4781E">
              <w:rPr>
                <w:sz w:val="28"/>
                <w:szCs w:val="28"/>
              </w:rPr>
              <w:t xml:space="preserve"> tika nodotas saskaņā ar likumu “Par valsts un pašvaldību dzīvojamo māju privatizāciju” veicamās valsts īpašumā esošo un valstij piekritīgo dzīvojamo māju (dzīvokļu īpašumu) privatizācijas un pārvaldīšanas funkcijas. Kopš 2009.gada </w:t>
            </w:r>
            <w:proofErr w:type="spellStart"/>
            <w:r w:rsidRPr="00D4781E">
              <w:rPr>
                <w:sz w:val="28"/>
                <w:szCs w:val="28"/>
              </w:rPr>
              <w:t>Possessor</w:t>
            </w:r>
            <w:proofErr w:type="spellEnd"/>
            <w:r w:rsidRPr="00D4781E">
              <w:rPr>
                <w:sz w:val="28"/>
                <w:szCs w:val="28"/>
              </w:rPr>
              <w:t xml:space="preserve"> ir iesaistīts vairākos problemātisko aktīvu restrukturizācijas un pārvaldīšanas projektos. Papildus, no 2016.gada 1.oktobra </w:t>
            </w:r>
            <w:proofErr w:type="spellStart"/>
            <w:r w:rsidRPr="00D4781E">
              <w:rPr>
                <w:sz w:val="28"/>
                <w:szCs w:val="28"/>
              </w:rPr>
              <w:t>Possessor</w:t>
            </w:r>
            <w:proofErr w:type="spellEnd"/>
            <w:r w:rsidRPr="00D4781E">
              <w:rPr>
                <w:sz w:val="28"/>
                <w:szCs w:val="28"/>
              </w:rPr>
              <w:t xml:space="preserve"> ir vienīgā institūcija valstī, kura nodrošina privatizācijas sertifikātu kontu apkalpošanu, zemes izpirkuma (pirkuma) līgumu slēgšanu un privatizācijas sertifikātu maksājumu, kas saņemti par dzīvojamo māju privatizāciju, administrēšanu. Kopējie </w:t>
            </w:r>
            <w:proofErr w:type="spellStart"/>
            <w:r w:rsidRPr="00D4781E">
              <w:rPr>
                <w:sz w:val="28"/>
                <w:szCs w:val="28"/>
              </w:rPr>
              <w:t>Possessor</w:t>
            </w:r>
            <w:proofErr w:type="spellEnd"/>
            <w:r w:rsidRPr="00D4781E">
              <w:rPr>
                <w:sz w:val="28"/>
                <w:szCs w:val="28"/>
              </w:rPr>
              <w:t xml:space="preserve"> ieņēmumi no valsts īpašumu privatizācijas, atsavināšanas un iznomāšanas kopš tā dibināšanas ir bijuši 2,7 mljrd. </w:t>
            </w:r>
            <w:proofErr w:type="spellStart"/>
            <w:r w:rsidRPr="00D4781E">
              <w:rPr>
                <w:i/>
                <w:sz w:val="28"/>
                <w:szCs w:val="28"/>
              </w:rPr>
              <w:t>euro</w:t>
            </w:r>
            <w:proofErr w:type="spellEnd"/>
            <w:r w:rsidRPr="00D4781E">
              <w:rPr>
                <w:sz w:val="28"/>
                <w:szCs w:val="28"/>
              </w:rPr>
              <w:t>.</w:t>
            </w:r>
          </w:p>
          <w:p w14:paraId="5C623BE3" w14:textId="3CCD9126" w:rsidR="00BB13C2" w:rsidRPr="00D4781E" w:rsidRDefault="001A300F">
            <w:pPr>
              <w:pStyle w:val="FootnoteText"/>
              <w:spacing w:after="120"/>
              <w:ind w:firstLine="709"/>
              <w:jc w:val="both"/>
              <w:rPr>
                <w:sz w:val="28"/>
                <w:szCs w:val="28"/>
              </w:rPr>
            </w:pPr>
            <w:r w:rsidRPr="00D4781E">
              <w:rPr>
                <w:sz w:val="28"/>
                <w:szCs w:val="28"/>
              </w:rPr>
              <w:t>Atbilstoši Publiskas personas kapitāla daļu un kapitālsabiedrību pārvaldības likumā noteiktajam Ministru kabineta 2017.gada 6.jūnija sēdē (prot.Nr.29, 68</w:t>
            </w:r>
            <w:r w:rsidR="00F10CA0" w:rsidRPr="00D4781E">
              <w:rPr>
                <w:sz w:val="28"/>
                <w:szCs w:val="28"/>
              </w:rPr>
              <w:t>.§</w:t>
            </w:r>
            <w:r w:rsidRPr="00D4781E">
              <w:rPr>
                <w:sz w:val="28"/>
                <w:szCs w:val="28"/>
              </w:rPr>
              <w:t xml:space="preserve">) tika atbalstīta valsts līdzdalības saglabāšana </w:t>
            </w:r>
            <w:proofErr w:type="spellStart"/>
            <w:r w:rsidRPr="00D4781E">
              <w:rPr>
                <w:sz w:val="28"/>
                <w:szCs w:val="28"/>
              </w:rPr>
              <w:t>Possessor</w:t>
            </w:r>
            <w:proofErr w:type="spellEnd"/>
            <w:r w:rsidRPr="00D4781E">
              <w:rPr>
                <w:sz w:val="28"/>
                <w:szCs w:val="28"/>
              </w:rPr>
              <w:t xml:space="preserve">, kā arī tika noteikts tā </w:t>
            </w:r>
            <w:r w:rsidRPr="00D4781E">
              <w:rPr>
                <w:b/>
                <w:sz w:val="28"/>
                <w:szCs w:val="28"/>
              </w:rPr>
              <w:t xml:space="preserve">vispārējais stratēģiskais mērķis – nodrošināt profesionālu valsts kapitāla daļu un problemātisko aktīvu pārvaldību, kā arī </w:t>
            </w:r>
            <w:proofErr w:type="spellStart"/>
            <w:r w:rsidRPr="00D4781E">
              <w:rPr>
                <w:b/>
                <w:sz w:val="28"/>
                <w:szCs w:val="28"/>
              </w:rPr>
              <w:t>Possessor</w:t>
            </w:r>
            <w:proofErr w:type="spellEnd"/>
            <w:r w:rsidRPr="00D4781E">
              <w:rPr>
                <w:b/>
                <w:sz w:val="28"/>
                <w:szCs w:val="28"/>
              </w:rPr>
              <w:t xml:space="preserve"> turējumā esošo aktīvu, kas nav nepieciešami valsts funkciju īstenošanai, privatizāciju un atsavināšanu</w:t>
            </w:r>
            <w:r w:rsidRPr="00D4781E">
              <w:rPr>
                <w:sz w:val="28"/>
                <w:szCs w:val="28"/>
              </w:rPr>
              <w:t xml:space="preserve">. Atbilstoši apstiprinātajam vispārējam stratēģiskajam mērķim tika izstrādāta </w:t>
            </w:r>
            <w:proofErr w:type="spellStart"/>
            <w:r w:rsidRPr="00D4781E">
              <w:rPr>
                <w:sz w:val="28"/>
                <w:szCs w:val="28"/>
              </w:rPr>
              <w:t>Possessor</w:t>
            </w:r>
            <w:proofErr w:type="spellEnd"/>
            <w:r w:rsidRPr="00D4781E">
              <w:rPr>
                <w:sz w:val="28"/>
                <w:szCs w:val="28"/>
              </w:rPr>
              <w:t xml:space="preserve"> vidēja termiņa darbības stratēģija 2018.-2020.gadam. </w:t>
            </w:r>
          </w:p>
          <w:p w14:paraId="3FA05459" w14:textId="7C3B2D92" w:rsidR="00D704BF" w:rsidRPr="00D4781E" w:rsidRDefault="001A300F">
            <w:pPr>
              <w:pStyle w:val="FootnoteText"/>
              <w:spacing w:after="120"/>
              <w:ind w:firstLine="709"/>
              <w:jc w:val="both"/>
              <w:rPr>
                <w:sz w:val="28"/>
                <w:szCs w:val="28"/>
              </w:rPr>
            </w:pPr>
            <w:r w:rsidRPr="00D4781E">
              <w:rPr>
                <w:sz w:val="28"/>
                <w:szCs w:val="28"/>
              </w:rPr>
              <w:lastRenderedPageBreak/>
              <w:t xml:space="preserve">Ņemot vērā minēto, kā arī </w:t>
            </w:r>
            <w:proofErr w:type="spellStart"/>
            <w:r w:rsidRPr="00D4781E">
              <w:rPr>
                <w:sz w:val="28"/>
                <w:szCs w:val="28"/>
              </w:rPr>
              <w:t>Possessor</w:t>
            </w:r>
            <w:proofErr w:type="spellEnd"/>
            <w:r w:rsidRPr="00D4781E">
              <w:rPr>
                <w:sz w:val="28"/>
                <w:szCs w:val="28"/>
              </w:rPr>
              <w:t xml:space="preserve"> pieredzi valsts kapitāla </w:t>
            </w:r>
            <w:r w:rsidR="007D4EB1" w:rsidRPr="00D4781E">
              <w:rPr>
                <w:sz w:val="28"/>
                <w:szCs w:val="28"/>
              </w:rPr>
              <w:t xml:space="preserve">daļu </w:t>
            </w:r>
            <w:r w:rsidRPr="00D4781E">
              <w:rPr>
                <w:sz w:val="28"/>
                <w:szCs w:val="28"/>
              </w:rPr>
              <w:t xml:space="preserve">un citu valsts aktīvu (t.sk. problemātisko aktīvu) pārvaldībā un atsavināšanā, </w:t>
            </w:r>
            <w:proofErr w:type="spellStart"/>
            <w:r w:rsidRPr="00D4781E">
              <w:rPr>
                <w:sz w:val="28"/>
                <w:szCs w:val="28"/>
              </w:rPr>
              <w:t>Possessor</w:t>
            </w:r>
            <w:proofErr w:type="spellEnd"/>
            <w:r w:rsidRPr="00D4781E">
              <w:rPr>
                <w:sz w:val="28"/>
                <w:szCs w:val="28"/>
              </w:rPr>
              <w:t xml:space="preserve"> reputāciju, pieejamos resursus, personāla profesionālo kompetenci un kvalifikāciju</w:t>
            </w:r>
            <w:r w:rsidR="00F10CA0" w:rsidRPr="00D4781E">
              <w:rPr>
                <w:sz w:val="28"/>
                <w:szCs w:val="28"/>
              </w:rPr>
              <w:t>,</w:t>
            </w:r>
            <w:r w:rsidRPr="00D4781E">
              <w:rPr>
                <w:sz w:val="28"/>
                <w:szCs w:val="28"/>
              </w:rPr>
              <w:t xml:space="preserve"> </w:t>
            </w:r>
            <w:r w:rsidR="009F1FF3" w:rsidRPr="00D4781E">
              <w:rPr>
                <w:sz w:val="28"/>
                <w:szCs w:val="28"/>
              </w:rPr>
              <w:t xml:space="preserve">pamatojoties uz </w:t>
            </w:r>
            <w:r w:rsidRPr="00D4781E">
              <w:rPr>
                <w:sz w:val="28"/>
                <w:szCs w:val="28"/>
              </w:rPr>
              <w:t>likumības un lietderības apsvērum</w:t>
            </w:r>
            <w:r w:rsidR="009F1FF3" w:rsidRPr="00D4781E">
              <w:rPr>
                <w:sz w:val="28"/>
                <w:szCs w:val="28"/>
              </w:rPr>
              <w:t>iem</w:t>
            </w:r>
            <w:r w:rsidRPr="00D4781E">
              <w:rPr>
                <w:sz w:val="28"/>
                <w:szCs w:val="28"/>
              </w:rPr>
              <w:t xml:space="preserve">, ir uzskatāms par lietderīgu ar 2019.gada 1.novembri deleģēt </w:t>
            </w:r>
            <w:proofErr w:type="spellStart"/>
            <w:r w:rsidRPr="00D4781E">
              <w:rPr>
                <w:sz w:val="28"/>
                <w:szCs w:val="28"/>
              </w:rPr>
              <w:t>Possessor</w:t>
            </w:r>
            <w:proofErr w:type="spellEnd"/>
            <w:r w:rsidRPr="00D4781E">
              <w:rPr>
                <w:sz w:val="28"/>
                <w:szCs w:val="28"/>
              </w:rPr>
              <w:t xml:space="preserve"> valsts pārvaldes uzdevumu – valsts vārdā organizēt un veikt valsts īpašuma objektu privatizāciju. </w:t>
            </w:r>
          </w:p>
          <w:p w14:paraId="04D0AEDB" w14:textId="72474926" w:rsidR="00051FB5" w:rsidRPr="00D4781E" w:rsidRDefault="001A300F" w:rsidP="00253E29">
            <w:pPr>
              <w:pStyle w:val="FootnoteText"/>
              <w:spacing w:after="120"/>
              <w:ind w:firstLine="709"/>
              <w:jc w:val="both"/>
              <w:rPr>
                <w:sz w:val="28"/>
                <w:szCs w:val="28"/>
              </w:rPr>
            </w:pPr>
            <w:r w:rsidRPr="00D4781E">
              <w:rPr>
                <w:sz w:val="28"/>
                <w:szCs w:val="28"/>
              </w:rPr>
              <w:t xml:space="preserve">Ekonomikas ministrija kā par valsts īpašuma privatizāciju atbildīgā valsts institūcija ir sagatavojusi Ministru kabineta noteikumu projektu, kas paredz deleģēt </w:t>
            </w:r>
            <w:proofErr w:type="spellStart"/>
            <w:r w:rsidRPr="00D4781E">
              <w:rPr>
                <w:sz w:val="28"/>
                <w:szCs w:val="28"/>
              </w:rPr>
              <w:t>Possessor</w:t>
            </w:r>
            <w:proofErr w:type="spellEnd"/>
            <w:r w:rsidRPr="00D4781E">
              <w:rPr>
                <w:sz w:val="28"/>
                <w:szCs w:val="28"/>
              </w:rPr>
              <w:t xml:space="preserve"> valsts pārvaldes uzdevumu: valsts vārdā organizēt un veikt valsts īpašuma objektu privatizāciju, t.i. būt par valsts īpašuma privatizāciju veicošo institūciju Privatizācijas likuma izpratnē. Sagatavotais Ministru kabineta noteikumu projekts paredz apstiprināt līguma projektu “Līgums par valsts īpašuma objektu privatizāciju veicošās institūcijas pārvaldes uzdevuma veikšanu”, kas izstrādāts saskaņā ar Valsts pārvaldes iekārtas likuma V nodaļas noteikumiem. Ministru kabineta noteikumu projektā </w:t>
            </w:r>
            <w:r w:rsidR="00505A4F" w:rsidRPr="00D4781E">
              <w:rPr>
                <w:sz w:val="28"/>
                <w:szCs w:val="28"/>
              </w:rPr>
              <w:t xml:space="preserve">ir </w:t>
            </w:r>
            <w:r w:rsidRPr="00D4781E">
              <w:rPr>
                <w:sz w:val="28"/>
                <w:szCs w:val="28"/>
              </w:rPr>
              <w:t xml:space="preserve">ietverts pilnvarojums Ekonomikas ministrijai noslēgt deleģēšanas līgumu. </w:t>
            </w:r>
          </w:p>
          <w:p w14:paraId="54D0B6D6" w14:textId="77777777" w:rsidR="00253E29" w:rsidRPr="00D4781E" w:rsidRDefault="00253E29" w:rsidP="00253E29">
            <w:pPr>
              <w:pStyle w:val="FootnoteText"/>
              <w:spacing w:after="120"/>
              <w:ind w:firstLine="709"/>
              <w:jc w:val="both"/>
              <w:rPr>
                <w:sz w:val="28"/>
                <w:szCs w:val="28"/>
              </w:rPr>
            </w:pPr>
            <w:proofErr w:type="spellStart"/>
            <w:r w:rsidRPr="00D4781E">
              <w:rPr>
                <w:sz w:val="28"/>
                <w:szCs w:val="28"/>
              </w:rPr>
              <w:t>Possessor</w:t>
            </w:r>
            <w:proofErr w:type="spellEnd"/>
            <w:r w:rsidRPr="00D4781E">
              <w:rPr>
                <w:sz w:val="28"/>
                <w:szCs w:val="28"/>
              </w:rPr>
              <w:t xml:space="preserve"> saglabāsies līdz šim veicamo funkciju apjoms un atbildība. Tiks nodrošināta valsts īpašuma objektu privatizācijas un zemes reformas pabeigšanas procedūru nepārtrauktība. Privatizācijas subjektiem un personām, kuras noslēgušas valsts īpašuma nomas vai pirkuma līgumus, pēc Ministru kabineta noteikumu projektā paredzētā normatīvā regulējuma spēkā stāšanās izmaiņas nav gaidāmas un administratīvais slogs netiks palielināts.</w:t>
            </w:r>
          </w:p>
          <w:p w14:paraId="6603212E" w14:textId="77777777" w:rsidR="00D704BF" w:rsidRPr="00D4781E" w:rsidRDefault="00D704BF">
            <w:pPr>
              <w:pStyle w:val="FootnoteText"/>
              <w:spacing w:after="120"/>
              <w:ind w:firstLine="709"/>
              <w:jc w:val="both"/>
              <w:rPr>
                <w:sz w:val="28"/>
                <w:szCs w:val="28"/>
              </w:rPr>
            </w:pPr>
          </w:p>
          <w:p w14:paraId="211CE211" w14:textId="77777777" w:rsidR="00BB13C2" w:rsidRPr="00D4781E" w:rsidRDefault="001A300F">
            <w:pPr>
              <w:pStyle w:val="FootnoteText"/>
              <w:spacing w:after="120"/>
              <w:ind w:firstLine="709"/>
              <w:jc w:val="both"/>
              <w:rPr>
                <w:sz w:val="28"/>
                <w:szCs w:val="28"/>
              </w:rPr>
            </w:pPr>
            <w:r w:rsidRPr="00D4781E">
              <w:rPr>
                <w:sz w:val="28"/>
                <w:szCs w:val="28"/>
              </w:rPr>
              <w:t xml:space="preserve">Visi izdevumi, kas radīsies </w:t>
            </w:r>
            <w:proofErr w:type="spellStart"/>
            <w:r w:rsidRPr="00D4781E">
              <w:rPr>
                <w:sz w:val="28"/>
                <w:szCs w:val="28"/>
              </w:rPr>
              <w:t>Possessor</w:t>
            </w:r>
            <w:proofErr w:type="spellEnd"/>
            <w:r w:rsidRPr="00D4781E">
              <w:rPr>
                <w:sz w:val="28"/>
                <w:szCs w:val="28"/>
              </w:rPr>
              <w:t xml:space="preserve">, pildot deleģēto valsts pārvaldes uzdevumu, tiks segti no valsts īpašumu un zemesgabalu privatizācijas ieņēmumiem Ministru kabineta noteikumu projektā norādītajā kārtībā un noteiktajā atskaitījumu apmērā. </w:t>
            </w:r>
          </w:p>
          <w:p w14:paraId="6C195F6B" w14:textId="77839CB4" w:rsidR="00BB13C2" w:rsidRPr="00D4781E" w:rsidRDefault="001A300F">
            <w:pPr>
              <w:pStyle w:val="FootnoteText"/>
              <w:spacing w:after="120"/>
              <w:ind w:firstLine="709"/>
              <w:jc w:val="both"/>
              <w:rPr>
                <w:sz w:val="28"/>
                <w:szCs w:val="28"/>
              </w:rPr>
            </w:pPr>
            <w:r w:rsidRPr="00D4781E">
              <w:rPr>
                <w:sz w:val="28"/>
                <w:szCs w:val="28"/>
              </w:rPr>
              <w:lastRenderedPageBreak/>
              <w:t xml:space="preserve">Privatizācijas process ir dinamisks un </w:t>
            </w:r>
            <w:r w:rsidR="00505A4F" w:rsidRPr="00D4781E">
              <w:rPr>
                <w:sz w:val="28"/>
                <w:szCs w:val="28"/>
              </w:rPr>
              <w:t>intensitātes ziņā nevienmērīgs</w:t>
            </w:r>
            <w:r w:rsidRPr="00D4781E">
              <w:rPr>
                <w:sz w:val="28"/>
                <w:szCs w:val="28"/>
              </w:rPr>
              <w:t xml:space="preserve">, kas </w:t>
            </w:r>
            <w:r w:rsidR="00505A4F" w:rsidRPr="00D4781E">
              <w:rPr>
                <w:sz w:val="28"/>
                <w:szCs w:val="28"/>
              </w:rPr>
              <w:t xml:space="preserve">savukārt ietekmē </w:t>
            </w:r>
            <w:r w:rsidRPr="00D4781E">
              <w:rPr>
                <w:sz w:val="28"/>
                <w:szCs w:val="28"/>
              </w:rPr>
              <w:t>privatizācijas ieņēmumu plūsmas mainīgumu. Tādēļ ir lietderīgi arī norēķinus ar valsts budžetu veikt periodiski, nodrošināt prognozējamākas naudas plūsmas un privatizācijas procesa īstenošanai nepieciešamo ieņēmumu stabilitāti. Ievērojot minēto, Ministru kabineta noteikumu projektā ietverts nosacījums, ka norēķini ar valsts budžetu tiek veikti reizi pusgadā.</w:t>
            </w:r>
          </w:p>
          <w:p w14:paraId="246E8362" w14:textId="77777777" w:rsidR="00BB13C2" w:rsidRPr="00D4781E" w:rsidRDefault="001A300F" w:rsidP="00253E29">
            <w:pPr>
              <w:pStyle w:val="FootnoteText"/>
              <w:spacing w:after="120"/>
              <w:ind w:firstLine="709"/>
              <w:jc w:val="both"/>
              <w:rPr>
                <w:sz w:val="28"/>
                <w:szCs w:val="28"/>
              </w:rPr>
            </w:pPr>
            <w:r w:rsidRPr="00D4781E">
              <w:rPr>
                <w:sz w:val="28"/>
                <w:szCs w:val="28"/>
              </w:rPr>
              <w:t>Sagatavotajā Ministru kabineta noteikumu projektā pamatā saglabāts Noteikumos Nr.680 ietvertais regulējums atskaitījumu normatīviem un to apmēram</w:t>
            </w:r>
            <w:r w:rsidR="00835219" w:rsidRPr="00D4781E">
              <w:rPr>
                <w:sz w:val="28"/>
                <w:szCs w:val="28"/>
              </w:rPr>
              <w:t xml:space="preserve">. </w:t>
            </w:r>
            <w:r w:rsidRPr="00D4781E">
              <w:rPr>
                <w:sz w:val="28"/>
                <w:szCs w:val="28"/>
              </w:rPr>
              <w:t xml:space="preserve">Lai vienveidotu tiesisko regulējumu, noteikumu projektā atskaitījumu normatīvi par zemesgabalu un nekustamo īpašumu privatizāciju ir pielīdzināti atsavināšanas izdevumu apmēram, kurus saņem valsts īpašumu atsavināšanu veicošās institūcijas atbilstoši Ministru kabineta 2011.gada 1.februāra noteikumu Nr.109 “Kārtība, kādā atsavināma publiskas personas manta” 36.punktam. </w:t>
            </w:r>
          </w:p>
          <w:p w14:paraId="3EB315A7" w14:textId="77777777" w:rsidR="005429B0" w:rsidRPr="00D4781E" w:rsidRDefault="001A300F" w:rsidP="00253E29">
            <w:pPr>
              <w:pStyle w:val="FootnoteText"/>
              <w:spacing w:after="120"/>
              <w:ind w:firstLine="709"/>
              <w:jc w:val="both"/>
              <w:rPr>
                <w:sz w:val="28"/>
                <w:szCs w:val="28"/>
              </w:rPr>
            </w:pPr>
            <w:r w:rsidRPr="00D4781E">
              <w:rPr>
                <w:sz w:val="28"/>
                <w:szCs w:val="28"/>
              </w:rPr>
              <w:t>Atskaitījumi vairs netiks noteikti privatizējamo valsts īpašumu novērtēšanai un nekustamā īpašuma īpašumtiesību noformēšanai un nostiprināšanai zemesgrāmatā, savukārt l</w:t>
            </w:r>
            <w:r w:rsidR="00FF2118" w:rsidRPr="00D4781E">
              <w:rPr>
                <w:sz w:val="28"/>
                <w:szCs w:val="28"/>
              </w:rPr>
              <w:t>ī</w:t>
            </w:r>
            <w:r w:rsidRPr="00D4781E">
              <w:rPr>
                <w:sz w:val="28"/>
                <w:szCs w:val="28"/>
              </w:rPr>
              <w:t xml:space="preserve">gumu kontrolei atskaitījumu apmērs </w:t>
            </w:r>
            <w:r w:rsidR="008F5D9D" w:rsidRPr="00D4781E">
              <w:rPr>
                <w:sz w:val="28"/>
                <w:szCs w:val="28"/>
              </w:rPr>
              <w:t xml:space="preserve">ir </w:t>
            </w:r>
            <w:r w:rsidRPr="00D4781E">
              <w:rPr>
                <w:sz w:val="28"/>
                <w:szCs w:val="28"/>
              </w:rPr>
              <w:t>samazināts.</w:t>
            </w:r>
          </w:p>
          <w:p w14:paraId="77527358" w14:textId="0F1F99C2" w:rsidR="00987EE6" w:rsidRPr="00D4781E" w:rsidRDefault="00987EE6" w:rsidP="00253E29">
            <w:pPr>
              <w:pStyle w:val="FootnoteText"/>
              <w:spacing w:after="120"/>
              <w:ind w:firstLine="709"/>
              <w:jc w:val="both"/>
              <w:rPr>
                <w:sz w:val="28"/>
                <w:szCs w:val="28"/>
              </w:rPr>
            </w:pPr>
            <w:r w:rsidRPr="00D4781E">
              <w:rPr>
                <w:sz w:val="28"/>
                <w:szCs w:val="28"/>
              </w:rPr>
              <w:t xml:space="preserve">Valsts kapitāla daļu pārvaldības reformas ietvaros tika izstrādāts un 2015.gada 1.janvārī spēkā stājās Publiskas personas kapitāla daļu un kapitālsabiedrību pārvaldības likums, nosakot ietvaru labas korporatīvās pārvaldības principu ieviešanai praksē. Kopš šā likuma spēkā stāšanās </w:t>
            </w:r>
            <w:proofErr w:type="spellStart"/>
            <w:r w:rsidRPr="00D4781E">
              <w:rPr>
                <w:sz w:val="28"/>
                <w:szCs w:val="28"/>
              </w:rPr>
              <w:t>Possessor</w:t>
            </w:r>
            <w:proofErr w:type="spellEnd"/>
            <w:r w:rsidRPr="00D4781E">
              <w:rPr>
                <w:sz w:val="28"/>
                <w:szCs w:val="28"/>
              </w:rPr>
              <w:t xml:space="preserve"> nodrošina tā turējumā esošo valsts kapitāla daļu, attiecībā uz kurām Ministru kabinets ir pieņēmis lēmumu par valsts līdzdalības izbeigšanu, kā arī problemātisko aktīvu (meitas sabiedrību) pārvaldību. Noteikumu projektā ir grozīta Noteikumos Nr.680 ietvertā pieeja atskaitījumu par lietas vešanu un juridiskajiem pakalpojumiem, valsts īpašuma (izņemot nekustamos īpašumus un zemesgabalus) privatizācijas noteikumu, konkursa noteikumu, līguma un citu ar tiem </w:t>
            </w:r>
            <w:r w:rsidRPr="00D4781E">
              <w:rPr>
                <w:sz w:val="28"/>
                <w:szCs w:val="28"/>
              </w:rPr>
              <w:lastRenderedPageBreak/>
              <w:t>saistīto dokumentu nosacījumu izpildes nodrošināšanai</w:t>
            </w:r>
            <w:r w:rsidR="00505A4F" w:rsidRPr="00D4781E">
              <w:rPr>
                <w:sz w:val="28"/>
                <w:szCs w:val="28"/>
              </w:rPr>
              <w:t>,</w:t>
            </w:r>
            <w:r w:rsidRPr="00D4781E">
              <w:rPr>
                <w:sz w:val="28"/>
                <w:szCs w:val="28"/>
              </w:rPr>
              <w:t xml:space="preserve"> aizstājot ar atskaitījumu par privatizācijai nodoto valsts kapitāla daļu pārvaldību. Paredzēts, ka atskaitījums tiek noteikts atkarībā no valsts līdzdalības apmēra kapitālsabiedrības pamatkapitālā, ievērojot kapitālsabiedrību iedalījumu grupās atbilstoši Ministru kabineta 2015.gada 22.decembra noteikumiem “Noteikumi par publiskas personas kapitālsabiedrību un publiski privāto kapitālsabiedrību valdes un padomes locekļu skaitu atbilstoši kapitālsabiedrības lielumu raksturojošiem rādītājiem, valdes un padomes locekļu mēneša atlīdzības maksimālo apmēru”.</w:t>
            </w:r>
          </w:p>
          <w:p w14:paraId="311FE258" w14:textId="77777777" w:rsidR="00253E29" w:rsidRPr="00D4781E" w:rsidRDefault="00253E29" w:rsidP="00253E29">
            <w:pPr>
              <w:pStyle w:val="FootnoteText"/>
              <w:spacing w:after="120"/>
              <w:ind w:firstLine="709"/>
              <w:jc w:val="both"/>
              <w:rPr>
                <w:sz w:val="28"/>
                <w:szCs w:val="28"/>
              </w:rPr>
            </w:pPr>
          </w:p>
          <w:p w14:paraId="2F3B08AF" w14:textId="77777777" w:rsidR="00253E29" w:rsidRPr="00D4781E" w:rsidRDefault="00253E29" w:rsidP="00253E29">
            <w:pPr>
              <w:pStyle w:val="FootnoteText"/>
              <w:spacing w:after="120"/>
              <w:ind w:firstLine="709"/>
              <w:jc w:val="both"/>
              <w:rPr>
                <w:sz w:val="28"/>
                <w:szCs w:val="28"/>
              </w:rPr>
            </w:pPr>
            <w:r w:rsidRPr="00D4781E">
              <w:rPr>
                <w:sz w:val="28"/>
                <w:szCs w:val="28"/>
              </w:rPr>
              <w:t>Valsts un pašvaldības īpašuma objektu privatizācijas procesu kopš 1994.gada regulē Privatizācijas likums, kas cita starpā nosaka samaksas kārtību par privatizējamajiem objektiem un privatizācijas ieņēmumu izmantošanas kārtību. Ņemot vērā, ka likums paredz privatizācijas procesā kā maksāšanas līdzekli izmantot privatizācijas sertifikātus, ienākumi naudā no privatizācijas atsevišķos gadījumos ir mazāki nekā ar to saistītie izdevumi, t.sk. izdevumi saistībā ar īpašumu sakārtošanu, uzturēšanu, reģistrāciju zemesgrāmatā u.c. Lai šos izdevumus segtu, valsts īpašumu privatizācijas procesā likumdevējs paredzēja izveidot rezerves fondu, lai nodrošinātu segumu tiem privatizācijas procesa izdevumiem, ko nesedz maksājumi par privatizējamo valsts īpašuma objektu. Atbilstoši Privatizācijas likuma 6.panta trešajai daļai rezerves fonds tiek veidots, ieskaitot tajā 10 procentus no valsts īpašuma objektu privatizācijas ieņēmumiem pēc atskaitījumu ieturēšanas. Saskaņā ar minētā likuma 11.panta otro daļu valsts īpašumu privatizāciju veicošā institūcija ir šajā likumā noteiktā rezerves fonda turētāja.</w:t>
            </w:r>
          </w:p>
          <w:p w14:paraId="06C8FCB1" w14:textId="07E44E5E" w:rsidR="00BB13C2" w:rsidRPr="00D4781E" w:rsidRDefault="005429B0">
            <w:pPr>
              <w:pStyle w:val="FootnoteText"/>
              <w:spacing w:after="120"/>
              <w:ind w:firstLine="709"/>
              <w:jc w:val="both"/>
              <w:rPr>
                <w:sz w:val="28"/>
                <w:szCs w:val="28"/>
              </w:rPr>
            </w:pPr>
            <w:r w:rsidRPr="00D4781E">
              <w:rPr>
                <w:sz w:val="28"/>
                <w:szCs w:val="28"/>
              </w:rPr>
              <w:t>S</w:t>
            </w:r>
            <w:r w:rsidR="00ED16ED" w:rsidRPr="00D4781E">
              <w:rPr>
                <w:sz w:val="28"/>
                <w:szCs w:val="28"/>
              </w:rPr>
              <w:t xml:space="preserve">ākotnēji rezerves fondu izmantoja valsts īpašuma objektu privatizācijas nodrošināšanai, </w:t>
            </w:r>
            <w:r w:rsidRPr="00D4781E">
              <w:rPr>
                <w:sz w:val="28"/>
                <w:szCs w:val="28"/>
              </w:rPr>
              <w:t xml:space="preserve">bet </w:t>
            </w:r>
            <w:r w:rsidR="00ED16ED" w:rsidRPr="00D4781E">
              <w:rPr>
                <w:sz w:val="28"/>
                <w:szCs w:val="28"/>
              </w:rPr>
              <w:t>ar laiku no rezerves fonda sāk</w:t>
            </w:r>
            <w:r w:rsidR="00130EB7" w:rsidRPr="00D4781E">
              <w:rPr>
                <w:sz w:val="28"/>
                <w:szCs w:val="28"/>
              </w:rPr>
              <w:t>a</w:t>
            </w:r>
            <w:r w:rsidR="00ED16ED" w:rsidRPr="00D4781E">
              <w:rPr>
                <w:sz w:val="28"/>
                <w:szCs w:val="28"/>
              </w:rPr>
              <w:t xml:space="preserve"> finansēt arī </w:t>
            </w:r>
            <w:r w:rsidR="002C6C52" w:rsidRPr="00D4781E">
              <w:rPr>
                <w:sz w:val="28"/>
                <w:szCs w:val="28"/>
              </w:rPr>
              <w:t xml:space="preserve">citus ar privatizāciju saistītus valsts pārvaldes uzdevumus. </w:t>
            </w:r>
            <w:r w:rsidR="002C6C52" w:rsidRPr="00D4781E">
              <w:rPr>
                <w:sz w:val="28"/>
                <w:szCs w:val="28"/>
              </w:rPr>
              <w:lastRenderedPageBreak/>
              <w:t>Attiecīgi rezerves fonda līdzekļi izmantojami</w:t>
            </w:r>
            <w:r w:rsidR="00331E31" w:rsidRPr="00D4781E">
              <w:rPr>
                <w:sz w:val="28"/>
                <w:szCs w:val="28"/>
              </w:rPr>
              <w:t xml:space="preserve"> šādiem mērķiem:</w:t>
            </w:r>
            <w:r w:rsidR="002C6C52" w:rsidRPr="00D4781E">
              <w:rPr>
                <w:sz w:val="28"/>
                <w:szCs w:val="28"/>
              </w:rPr>
              <w:t xml:space="preserve"> </w:t>
            </w:r>
            <w:r w:rsidR="001A300F" w:rsidRPr="00D4781E">
              <w:rPr>
                <w:sz w:val="28"/>
                <w:szCs w:val="28"/>
              </w:rPr>
              <w:t>(Privatizācijas likuma 11.panta otrās daļas 2.teikums)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reglamentētajiem nosacījumiem un kārtībai.</w:t>
            </w:r>
          </w:p>
          <w:p w14:paraId="6792C0FB" w14:textId="77777777" w:rsidR="00BB13C2" w:rsidRPr="00D4781E" w:rsidRDefault="001A300F" w:rsidP="00144E00">
            <w:pPr>
              <w:spacing w:after="120"/>
              <w:ind w:left="35" w:right="-2" w:firstLine="655"/>
              <w:contextualSpacing/>
              <w:jc w:val="both"/>
              <w:rPr>
                <w:sz w:val="28"/>
                <w:szCs w:val="28"/>
              </w:rPr>
            </w:pPr>
            <w:r w:rsidRPr="00D4781E">
              <w:rPr>
                <w:sz w:val="28"/>
                <w:szCs w:val="28"/>
              </w:rPr>
              <w:t>Tāpat, atbilstoši likuma “Par privatizācijas sertifikātiem” 3.</w:t>
            </w:r>
            <w:r w:rsidRPr="00D4781E">
              <w:rPr>
                <w:sz w:val="28"/>
                <w:szCs w:val="28"/>
                <w:vertAlign w:val="superscript"/>
              </w:rPr>
              <w:t>1</w:t>
            </w:r>
            <w:r w:rsidRPr="00D4781E">
              <w:rPr>
                <w:sz w:val="28"/>
                <w:szCs w:val="28"/>
              </w:rPr>
              <w:t xml:space="preserve"> </w:t>
            </w:r>
            <w:r w:rsidRPr="00D4781E">
              <w:rPr>
                <w:color w:val="000000"/>
                <w:sz w:val="28"/>
                <w:szCs w:val="28"/>
              </w:rPr>
              <w:t xml:space="preserve">pantam, izdevumi, kas saistīti ar </w:t>
            </w:r>
            <w:r w:rsidRPr="00D4781E">
              <w:rPr>
                <w:color w:val="000000"/>
                <w:sz w:val="28"/>
                <w:szCs w:val="28"/>
                <w:shd w:val="clear" w:color="auto" w:fill="FFFFFF"/>
              </w:rPr>
              <w:t>privatizācijas sertifikātu kontu apkalpošanas un privatizācijas sertifikātu aprites administrēšanas uzdevuma izpildi</w:t>
            </w:r>
            <w:r w:rsidRPr="00D4781E">
              <w:rPr>
                <w:color w:val="000000"/>
                <w:sz w:val="28"/>
                <w:szCs w:val="28"/>
              </w:rPr>
              <w:t>, Ministru kabineta noteiktajā kārtībā tiek segti no ieņēmumiem par privatizācijas</w:t>
            </w:r>
            <w:r w:rsidRPr="00D4781E">
              <w:rPr>
                <w:sz w:val="28"/>
                <w:szCs w:val="28"/>
              </w:rPr>
              <w:t xml:space="preserve"> sertifikātu konta apkalpošanu un rezerves fonda līdzekļiem. </w:t>
            </w:r>
          </w:p>
          <w:p w14:paraId="04023D3F" w14:textId="77777777" w:rsidR="00BB13C2" w:rsidRPr="00D4781E" w:rsidRDefault="001A300F">
            <w:pPr>
              <w:pStyle w:val="FootnoteText"/>
              <w:spacing w:after="120"/>
              <w:ind w:firstLine="709"/>
              <w:jc w:val="both"/>
              <w:rPr>
                <w:color w:val="000000"/>
                <w:sz w:val="28"/>
                <w:szCs w:val="28"/>
              </w:rPr>
            </w:pPr>
            <w:r w:rsidRPr="00D4781E">
              <w:rPr>
                <w:color w:val="000000"/>
                <w:sz w:val="28"/>
                <w:szCs w:val="28"/>
              </w:rPr>
              <w:t xml:space="preserve">Savukārt Valsts un pašvaldību īpašuma privatizācijas un privatizācijas sertifikātu izmantošanas pabeigšanas likuma 4.panta sestā daļa nosaka, ka izdevumi, kas saistīti ar valsts pārvaldes uzdevuma izpildi — zemes izpirkuma (pirkuma) līgumu slēgšanu, šo līgumu izpildes kontroli un neizpirktās zemes nodošanu pašvaldības īpašumā, tiek segti Ministru kabineta noteiktajā kārtībā no pakalpojuma ieņēmumiem un rezerves fonda līdzekļiem. </w:t>
            </w:r>
          </w:p>
          <w:p w14:paraId="64F4481E" w14:textId="5D2C4FC6" w:rsidR="00BB13C2" w:rsidRPr="00D4781E" w:rsidRDefault="001A300F">
            <w:pPr>
              <w:pStyle w:val="FootnoteText"/>
              <w:spacing w:after="120"/>
              <w:ind w:firstLine="709"/>
              <w:jc w:val="both"/>
              <w:rPr>
                <w:sz w:val="28"/>
                <w:szCs w:val="28"/>
              </w:rPr>
            </w:pPr>
            <w:r w:rsidRPr="00D4781E">
              <w:rPr>
                <w:color w:val="000000"/>
                <w:sz w:val="28"/>
                <w:szCs w:val="28"/>
              </w:rPr>
              <w:t>Atbilstoši likuma “Par valsts un pašvaldību dzīvojamo māju privatizāciju” 67.panta sestajai daļai no rezerves fonda līdzekļiem tiek segti personas nesegtie izdevumi, kas saistīti ar šajā likumā tai deleģētā valsts pārvaldes uzdevuma izpildi – maksājumu saņemšana par privatizējamajiem objektiem, t.i. daudzdzīvokļu mājās esošajiem dzīvokļiem, neapdzīvojamām telpām, mākslinieku darbnīcām, viendzīvokļa un daudzdzīvokļu mājām.</w:t>
            </w:r>
            <w:r w:rsidRPr="00D4781E">
              <w:rPr>
                <w:sz w:val="28"/>
                <w:szCs w:val="28"/>
              </w:rPr>
              <w:t xml:space="preserve"> Šajā sakarā ir jāatzīmē, ka, lai arī likuma “Par valsts un pašvaldību dzīvojamo māju privatizāciju” 67.panta piektajā daļā ir paredzēts</w:t>
            </w:r>
            <w:r w:rsidR="005B77B6" w:rsidRPr="00D4781E">
              <w:rPr>
                <w:sz w:val="28"/>
                <w:szCs w:val="28"/>
              </w:rPr>
              <w:t>, ka</w:t>
            </w:r>
            <w:r w:rsidRPr="00D4781E">
              <w:rPr>
                <w:sz w:val="28"/>
                <w:szCs w:val="28"/>
              </w:rPr>
              <w:t xml:space="preserve"> </w:t>
            </w:r>
            <w:r w:rsidRPr="00D4781E">
              <w:rPr>
                <w:iCs/>
                <w:sz w:val="28"/>
                <w:szCs w:val="28"/>
              </w:rPr>
              <w:t>valsts dzīvojamo māju privatizāciju veicošajai institūcijai</w:t>
            </w:r>
            <w:r w:rsidRPr="00D4781E">
              <w:rPr>
                <w:sz w:val="28"/>
                <w:szCs w:val="28"/>
              </w:rPr>
              <w:t xml:space="preserve"> tai deleģēto valsts </w:t>
            </w:r>
            <w:r w:rsidRPr="00D4781E">
              <w:rPr>
                <w:sz w:val="28"/>
                <w:szCs w:val="28"/>
              </w:rPr>
              <w:lastRenderedPageBreak/>
              <w:t>pārvaldes uzdevumu – dzīvokļu īpašumu privatizāciju - izpildei saskaņā ar gadskārtējo valsts budžeta likumu ir jāsaņem dotācij</w:t>
            </w:r>
            <w:r w:rsidR="008F5D9D" w:rsidRPr="00D4781E">
              <w:rPr>
                <w:sz w:val="28"/>
                <w:szCs w:val="28"/>
              </w:rPr>
              <w:t>a</w:t>
            </w:r>
            <w:r w:rsidRPr="00D4781E">
              <w:rPr>
                <w:sz w:val="28"/>
                <w:szCs w:val="28"/>
              </w:rPr>
              <w:t xml:space="preserve"> no vispārējiem ieņēmumiem, faktiski laika periodā no 2012.</w:t>
            </w:r>
            <w:r w:rsidR="008F5D9D" w:rsidRPr="00D4781E">
              <w:rPr>
                <w:sz w:val="28"/>
                <w:szCs w:val="28"/>
              </w:rPr>
              <w:t xml:space="preserve">gada līdz </w:t>
            </w:r>
            <w:r w:rsidRPr="00D4781E">
              <w:rPr>
                <w:sz w:val="28"/>
                <w:szCs w:val="28"/>
              </w:rPr>
              <w:t>2018.gadam atbilstošas budžeta apropriācijas nav bijis, un izdevumi tika finansēti no rezerves fonda.</w:t>
            </w:r>
          </w:p>
          <w:p w14:paraId="0A7F8383" w14:textId="5FD20BB1" w:rsidR="00BB13C2" w:rsidRPr="00D4781E" w:rsidRDefault="001A300F" w:rsidP="005C7BAF">
            <w:pPr>
              <w:pStyle w:val="FootnoteText"/>
              <w:spacing w:after="120"/>
              <w:ind w:firstLine="709"/>
              <w:jc w:val="both"/>
              <w:rPr>
                <w:color w:val="000000"/>
                <w:sz w:val="28"/>
                <w:szCs w:val="28"/>
              </w:rPr>
            </w:pPr>
            <w:r w:rsidRPr="00D4781E">
              <w:rPr>
                <w:color w:val="000000"/>
                <w:sz w:val="28"/>
                <w:szCs w:val="28"/>
              </w:rPr>
              <w:t xml:space="preserve">Valsts īpašuma objektu masveida privatizācija ir pabeigta, un privatizācijas apritē ir palikuši nelikvīdāki īpašumi ar mazāku tirgus vērtību vai arī īpašumi, kuru realizācijai ir dažāda juridiska rakstura šķēršļi, kas prasa neproporcionāli lielāku administratīvo resursu patēriņu, savukārt ienākumi no privatizācijas ir salīdzinoši nelieli. Turklāt joprojām visai aktīvi par valsts īpašuma objektiem norēķini tiek veikti arī ar privatizācijas sertifikātiem. </w:t>
            </w:r>
            <w:r w:rsidR="00A623E2" w:rsidRPr="00D4781E">
              <w:rPr>
                <w:color w:val="000000"/>
                <w:sz w:val="28"/>
                <w:szCs w:val="28"/>
              </w:rPr>
              <w:t xml:space="preserve">Rezerves fondā uzkrātais līdzekļu apjoms </w:t>
            </w:r>
            <w:r w:rsidRPr="00D4781E">
              <w:rPr>
                <w:color w:val="000000"/>
                <w:sz w:val="28"/>
                <w:szCs w:val="28"/>
              </w:rPr>
              <w:t xml:space="preserve">ir </w:t>
            </w:r>
            <w:r w:rsidR="00A623E2" w:rsidRPr="00D4781E">
              <w:rPr>
                <w:color w:val="000000"/>
                <w:sz w:val="28"/>
                <w:szCs w:val="28"/>
              </w:rPr>
              <w:t xml:space="preserve">pakāpeniski </w:t>
            </w:r>
            <w:r w:rsidRPr="00D4781E">
              <w:rPr>
                <w:color w:val="000000"/>
                <w:sz w:val="28"/>
                <w:szCs w:val="28"/>
              </w:rPr>
              <w:t xml:space="preserve">samazinājies, </w:t>
            </w:r>
            <w:r w:rsidR="008F5D9D" w:rsidRPr="00D4781E">
              <w:rPr>
                <w:color w:val="000000"/>
                <w:sz w:val="28"/>
                <w:szCs w:val="28"/>
              </w:rPr>
              <w:t xml:space="preserve">jo </w:t>
            </w:r>
            <w:r w:rsidRPr="00D4781E">
              <w:rPr>
                <w:color w:val="000000"/>
                <w:sz w:val="28"/>
                <w:szCs w:val="28"/>
              </w:rPr>
              <w:t xml:space="preserve">izdevumi no rezerves fonda pārsniedz </w:t>
            </w:r>
            <w:r w:rsidR="00A623E2" w:rsidRPr="00D4781E">
              <w:rPr>
                <w:color w:val="000000"/>
                <w:sz w:val="28"/>
                <w:szCs w:val="28"/>
              </w:rPr>
              <w:t>tajā ieskaitītās summas</w:t>
            </w:r>
            <w:r w:rsidRPr="00D4781E">
              <w:rPr>
                <w:color w:val="000000"/>
                <w:sz w:val="28"/>
                <w:szCs w:val="28"/>
              </w:rPr>
              <w:t xml:space="preserve">. </w:t>
            </w:r>
            <w:r w:rsidR="005B77B6" w:rsidRPr="00D4781E">
              <w:rPr>
                <w:color w:val="000000"/>
                <w:sz w:val="28"/>
                <w:szCs w:val="28"/>
              </w:rPr>
              <w:t>Proti, r</w:t>
            </w:r>
            <w:r w:rsidRPr="00D4781E">
              <w:rPr>
                <w:color w:val="000000"/>
                <w:sz w:val="28"/>
                <w:szCs w:val="28"/>
              </w:rPr>
              <w:t xml:space="preserve">ezerves fonda atlikums </w:t>
            </w:r>
            <w:r w:rsidR="005B77B6" w:rsidRPr="00D4781E">
              <w:rPr>
                <w:color w:val="000000"/>
                <w:sz w:val="28"/>
                <w:szCs w:val="28"/>
              </w:rPr>
              <w:t xml:space="preserve">laika periodā no 2015. līdz 2019.gada 30.jūnijam </w:t>
            </w:r>
            <w:r w:rsidRPr="00D4781E">
              <w:rPr>
                <w:color w:val="000000"/>
                <w:sz w:val="28"/>
                <w:szCs w:val="28"/>
              </w:rPr>
              <w:t>ir bijis šāds:</w:t>
            </w:r>
          </w:p>
          <w:p w14:paraId="58E4FF8C" w14:textId="77777777" w:rsidR="00BB13C2" w:rsidRPr="00D4781E" w:rsidRDefault="001A300F" w:rsidP="00144E00">
            <w:pPr>
              <w:spacing w:after="100"/>
              <w:ind w:firstLine="981"/>
              <w:contextualSpacing/>
              <w:jc w:val="both"/>
              <w:rPr>
                <w:sz w:val="28"/>
                <w:szCs w:val="28"/>
              </w:rPr>
            </w:pPr>
            <w:r w:rsidRPr="00D4781E">
              <w:rPr>
                <w:sz w:val="28"/>
                <w:szCs w:val="28"/>
              </w:rPr>
              <w:t>2015.g</w:t>
            </w:r>
            <w:r w:rsidR="004E0383" w:rsidRPr="00D4781E">
              <w:rPr>
                <w:sz w:val="28"/>
                <w:szCs w:val="28"/>
              </w:rPr>
              <w:t>ada</w:t>
            </w:r>
            <w:r w:rsidRPr="00D4781E">
              <w:rPr>
                <w:color w:val="000000"/>
                <w:sz w:val="28"/>
                <w:szCs w:val="28"/>
              </w:rPr>
              <w:t xml:space="preserve"> </w:t>
            </w:r>
            <w:r w:rsidR="004E0383" w:rsidRPr="00D4781E">
              <w:rPr>
                <w:color w:val="000000"/>
                <w:sz w:val="28"/>
                <w:szCs w:val="28"/>
              </w:rPr>
              <w:t xml:space="preserve">31.decembrī </w:t>
            </w:r>
            <w:r w:rsidRPr="00D4781E">
              <w:rPr>
                <w:color w:val="000000"/>
                <w:sz w:val="28"/>
                <w:szCs w:val="28"/>
              </w:rPr>
              <w:t>–</w:t>
            </w:r>
            <w:r w:rsidRPr="00D4781E">
              <w:rPr>
                <w:sz w:val="28"/>
                <w:szCs w:val="28"/>
              </w:rPr>
              <w:t xml:space="preserve"> 1 414 775 </w:t>
            </w:r>
            <w:proofErr w:type="spellStart"/>
            <w:r w:rsidRPr="00D4781E">
              <w:rPr>
                <w:i/>
                <w:sz w:val="28"/>
                <w:szCs w:val="28"/>
              </w:rPr>
              <w:t>euro</w:t>
            </w:r>
            <w:proofErr w:type="spellEnd"/>
          </w:p>
          <w:p w14:paraId="642C7839" w14:textId="77777777" w:rsidR="00BB13C2" w:rsidRPr="00D4781E" w:rsidRDefault="001A300F" w:rsidP="00144E00">
            <w:pPr>
              <w:spacing w:after="100"/>
              <w:ind w:firstLine="981"/>
              <w:contextualSpacing/>
              <w:jc w:val="both"/>
              <w:rPr>
                <w:sz w:val="28"/>
                <w:szCs w:val="28"/>
              </w:rPr>
            </w:pPr>
            <w:r w:rsidRPr="00D4781E">
              <w:rPr>
                <w:sz w:val="28"/>
                <w:szCs w:val="28"/>
              </w:rPr>
              <w:t>2016.</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899 484 </w:t>
            </w:r>
            <w:proofErr w:type="spellStart"/>
            <w:r w:rsidRPr="00D4781E">
              <w:rPr>
                <w:i/>
                <w:sz w:val="28"/>
                <w:szCs w:val="28"/>
              </w:rPr>
              <w:t>euro</w:t>
            </w:r>
            <w:proofErr w:type="spellEnd"/>
          </w:p>
          <w:p w14:paraId="190CFECC" w14:textId="77777777" w:rsidR="00BB13C2" w:rsidRPr="00D4781E" w:rsidRDefault="001A300F" w:rsidP="00144E00">
            <w:pPr>
              <w:spacing w:after="100"/>
              <w:ind w:firstLine="981"/>
              <w:contextualSpacing/>
              <w:jc w:val="both"/>
              <w:rPr>
                <w:sz w:val="28"/>
                <w:szCs w:val="28"/>
              </w:rPr>
            </w:pPr>
            <w:r w:rsidRPr="00D4781E">
              <w:rPr>
                <w:sz w:val="28"/>
                <w:szCs w:val="28"/>
              </w:rPr>
              <w:t>2017.</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1 313 377 </w:t>
            </w:r>
            <w:proofErr w:type="spellStart"/>
            <w:r w:rsidRPr="00D4781E">
              <w:rPr>
                <w:i/>
                <w:sz w:val="28"/>
                <w:szCs w:val="28"/>
              </w:rPr>
              <w:t>euro</w:t>
            </w:r>
            <w:proofErr w:type="spellEnd"/>
          </w:p>
          <w:p w14:paraId="229794A7" w14:textId="77777777" w:rsidR="00BB13C2" w:rsidRPr="00D4781E" w:rsidRDefault="001A300F" w:rsidP="00144E00">
            <w:pPr>
              <w:spacing w:after="100"/>
              <w:ind w:firstLine="981"/>
              <w:contextualSpacing/>
              <w:jc w:val="both"/>
              <w:rPr>
                <w:sz w:val="28"/>
                <w:szCs w:val="28"/>
              </w:rPr>
            </w:pPr>
            <w:r w:rsidRPr="00D4781E">
              <w:rPr>
                <w:sz w:val="28"/>
                <w:szCs w:val="28"/>
              </w:rPr>
              <w:t>2018.</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402 452 </w:t>
            </w:r>
            <w:proofErr w:type="spellStart"/>
            <w:r w:rsidRPr="00D4781E">
              <w:rPr>
                <w:i/>
                <w:sz w:val="28"/>
                <w:szCs w:val="28"/>
              </w:rPr>
              <w:t>euro</w:t>
            </w:r>
            <w:proofErr w:type="spellEnd"/>
            <w:r w:rsidRPr="00D4781E">
              <w:rPr>
                <w:sz w:val="28"/>
                <w:szCs w:val="28"/>
              </w:rPr>
              <w:t>.</w:t>
            </w:r>
          </w:p>
          <w:p w14:paraId="2C2E9B84" w14:textId="77777777" w:rsidR="004E0383" w:rsidRPr="00D4781E" w:rsidRDefault="004E0383" w:rsidP="00D805FF">
            <w:pPr>
              <w:spacing w:after="100"/>
              <w:ind w:firstLine="982"/>
              <w:jc w:val="both"/>
              <w:rPr>
                <w:sz w:val="28"/>
                <w:szCs w:val="28"/>
              </w:rPr>
            </w:pPr>
            <w:r w:rsidRPr="00D4781E">
              <w:rPr>
                <w:sz w:val="28"/>
                <w:szCs w:val="28"/>
              </w:rPr>
              <w:t xml:space="preserve">2019.g. 30.jūnijā </w:t>
            </w:r>
            <w:r w:rsidRPr="00D4781E">
              <w:rPr>
                <w:color w:val="000000"/>
                <w:sz w:val="28"/>
                <w:szCs w:val="28"/>
              </w:rPr>
              <w:t>–</w:t>
            </w:r>
            <w:r w:rsidRPr="00D4781E">
              <w:rPr>
                <w:sz w:val="28"/>
                <w:szCs w:val="28"/>
              </w:rPr>
              <w:t xml:space="preserve"> </w:t>
            </w:r>
            <w:r w:rsidR="00004399" w:rsidRPr="00D4781E">
              <w:rPr>
                <w:sz w:val="28"/>
                <w:szCs w:val="28"/>
              </w:rPr>
              <w:t xml:space="preserve">mīnus 14 340 </w:t>
            </w:r>
            <w:proofErr w:type="spellStart"/>
            <w:r w:rsidRPr="00D4781E">
              <w:rPr>
                <w:i/>
                <w:sz w:val="28"/>
                <w:szCs w:val="28"/>
              </w:rPr>
              <w:t>euro</w:t>
            </w:r>
            <w:proofErr w:type="spellEnd"/>
            <w:r w:rsidRPr="00D4781E">
              <w:rPr>
                <w:sz w:val="28"/>
                <w:szCs w:val="28"/>
              </w:rPr>
              <w:t>.</w:t>
            </w:r>
          </w:p>
          <w:p w14:paraId="1310F06C" w14:textId="46DB4604" w:rsidR="00BB13C2" w:rsidRPr="00D4781E" w:rsidRDefault="001A300F" w:rsidP="005C7BAF">
            <w:pPr>
              <w:pStyle w:val="FootnoteText"/>
              <w:spacing w:after="120"/>
              <w:ind w:firstLine="709"/>
              <w:jc w:val="both"/>
              <w:rPr>
                <w:color w:val="000000"/>
                <w:sz w:val="28"/>
                <w:szCs w:val="28"/>
              </w:rPr>
            </w:pPr>
            <w:r w:rsidRPr="00D4781E">
              <w:rPr>
                <w:color w:val="000000"/>
                <w:sz w:val="28"/>
                <w:szCs w:val="28"/>
              </w:rPr>
              <w:t xml:space="preserve">Šobrīd rezerves fonda līdzekļi nav pietiekami, lai segtu </w:t>
            </w:r>
            <w:r w:rsidR="002C0C95" w:rsidRPr="00D4781E">
              <w:rPr>
                <w:color w:val="000000"/>
                <w:sz w:val="28"/>
                <w:szCs w:val="28"/>
              </w:rPr>
              <w:t xml:space="preserve">visu </w:t>
            </w:r>
            <w:r w:rsidRPr="00D4781E">
              <w:rPr>
                <w:color w:val="000000"/>
                <w:sz w:val="28"/>
                <w:szCs w:val="28"/>
              </w:rPr>
              <w:t xml:space="preserve">iepriekš minēto valsts pārvaldes uzdevumu veikšanai nepieciešamos izdevumus, jo izdevumi, kuri sedzami no rezerves fonda līdzekļiem, būtiski pārsniedz rezerves fondā uzkrātos naudas līdzekļus. Plānots, ka 2019.gadā no rezerves fonda finansētajiem valsts pārvaldes uzdevumiem būs nepieciešami </w:t>
            </w:r>
            <w:r w:rsidR="00A623E2" w:rsidRPr="00D4781E">
              <w:rPr>
                <w:color w:val="000000"/>
                <w:sz w:val="28"/>
                <w:szCs w:val="28"/>
              </w:rPr>
              <w:t xml:space="preserve">līdz </w:t>
            </w:r>
            <w:r w:rsidRPr="00D4781E">
              <w:rPr>
                <w:color w:val="000000"/>
                <w:sz w:val="28"/>
                <w:szCs w:val="28"/>
              </w:rPr>
              <w:t xml:space="preserve">0,9 milj. </w:t>
            </w:r>
            <w:proofErr w:type="spellStart"/>
            <w:r w:rsidRPr="00D4781E">
              <w:rPr>
                <w:i/>
                <w:color w:val="000000"/>
                <w:sz w:val="28"/>
                <w:szCs w:val="28"/>
              </w:rPr>
              <w:t>euro</w:t>
            </w:r>
            <w:proofErr w:type="spellEnd"/>
            <w:r w:rsidRPr="00D4781E">
              <w:rPr>
                <w:color w:val="000000"/>
                <w:sz w:val="28"/>
                <w:szCs w:val="28"/>
              </w:rPr>
              <w:t xml:space="preserve">, 2020.gadā – </w:t>
            </w:r>
            <w:r w:rsidR="00A623E2" w:rsidRPr="00D4781E">
              <w:rPr>
                <w:color w:val="000000"/>
                <w:sz w:val="28"/>
                <w:szCs w:val="28"/>
              </w:rPr>
              <w:t xml:space="preserve">līdz </w:t>
            </w:r>
            <w:r w:rsidRPr="00D4781E">
              <w:rPr>
                <w:color w:val="000000"/>
                <w:sz w:val="28"/>
                <w:szCs w:val="28"/>
              </w:rPr>
              <w:t xml:space="preserve">1,3 milj. </w:t>
            </w:r>
            <w:proofErr w:type="spellStart"/>
            <w:r w:rsidRPr="00D4781E">
              <w:rPr>
                <w:i/>
                <w:color w:val="000000"/>
                <w:sz w:val="28"/>
                <w:szCs w:val="28"/>
              </w:rPr>
              <w:t>euro</w:t>
            </w:r>
            <w:proofErr w:type="spellEnd"/>
            <w:r w:rsidRPr="00D4781E">
              <w:rPr>
                <w:color w:val="000000"/>
                <w:sz w:val="28"/>
                <w:szCs w:val="28"/>
              </w:rPr>
              <w:t xml:space="preserve">, 2021.gadā – 1,2 milj. </w:t>
            </w:r>
            <w:proofErr w:type="spellStart"/>
            <w:r w:rsidRPr="00D4781E">
              <w:rPr>
                <w:i/>
                <w:color w:val="000000"/>
                <w:sz w:val="28"/>
                <w:szCs w:val="28"/>
              </w:rPr>
              <w:t>euro</w:t>
            </w:r>
            <w:proofErr w:type="spellEnd"/>
            <w:r w:rsidRPr="00D4781E">
              <w:rPr>
                <w:color w:val="000000"/>
                <w:sz w:val="28"/>
                <w:szCs w:val="28"/>
              </w:rPr>
              <w:t xml:space="preserve">, 2022.gadā – 1,2 milj. </w:t>
            </w:r>
            <w:proofErr w:type="spellStart"/>
            <w:r w:rsidRPr="00D4781E">
              <w:rPr>
                <w:i/>
                <w:color w:val="000000"/>
                <w:sz w:val="28"/>
                <w:szCs w:val="28"/>
              </w:rPr>
              <w:t>euro</w:t>
            </w:r>
            <w:proofErr w:type="spellEnd"/>
            <w:r w:rsidRPr="00D4781E">
              <w:rPr>
                <w:color w:val="000000"/>
                <w:sz w:val="28"/>
                <w:szCs w:val="28"/>
              </w:rPr>
              <w:t xml:space="preserve">. </w:t>
            </w:r>
          </w:p>
          <w:p w14:paraId="46FC69CF" w14:textId="18176EE1" w:rsidR="005C7BAF" w:rsidRPr="00D4781E" w:rsidRDefault="001A300F" w:rsidP="005C7BAF">
            <w:pPr>
              <w:pStyle w:val="FootnoteText"/>
              <w:spacing w:after="120"/>
              <w:ind w:firstLine="709"/>
              <w:jc w:val="both"/>
              <w:rPr>
                <w:color w:val="000000"/>
                <w:sz w:val="28"/>
                <w:szCs w:val="28"/>
              </w:rPr>
            </w:pPr>
            <w:r w:rsidRPr="00D4781E">
              <w:rPr>
                <w:color w:val="000000"/>
                <w:sz w:val="28"/>
                <w:szCs w:val="28"/>
              </w:rPr>
              <w:t xml:space="preserve">Vienlaicīgi, </w:t>
            </w:r>
            <w:proofErr w:type="spellStart"/>
            <w:r w:rsidRPr="00D4781E">
              <w:rPr>
                <w:color w:val="000000"/>
                <w:sz w:val="28"/>
                <w:szCs w:val="28"/>
              </w:rPr>
              <w:t>Possessor</w:t>
            </w:r>
            <w:proofErr w:type="spellEnd"/>
            <w:r w:rsidRPr="00D4781E">
              <w:rPr>
                <w:color w:val="000000"/>
                <w:sz w:val="28"/>
                <w:szCs w:val="28"/>
              </w:rPr>
              <w:t xml:space="preserve"> turpina iemaksāt valsts budžetā ieņēmumus no valsts īpašuma objektu privatizācijas. </w:t>
            </w:r>
            <w:r w:rsidR="00853644" w:rsidRPr="00D4781E">
              <w:rPr>
                <w:color w:val="000000"/>
                <w:sz w:val="28"/>
                <w:szCs w:val="28"/>
              </w:rPr>
              <w:t>Laika period</w:t>
            </w:r>
            <w:r w:rsidR="005B77B6" w:rsidRPr="00D4781E">
              <w:rPr>
                <w:color w:val="000000"/>
                <w:sz w:val="28"/>
                <w:szCs w:val="28"/>
              </w:rPr>
              <w:t>ā</w:t>
            </w:r>
            <w:r w:rsidR="00853644" w:rsidRPr="00D4781E">
              <w:rPr>
                <w:color w:val="000000"/>
                <w:sz w:val="28"/>
                <w:szCs w:val="28"/>
              </w:rPr>
              <w:t xml:space="preserve"> no 2015.gada sākuma līdz 2019.gada 30.jūnijam </w:t>
            </w:r>
            <w:proofErr w:type="spellStart"/>
            <w:r w:rsidR="00853644" w:rsidRPr="00D4781E">
              <w:rPr>
                <w:color w:val="000000"/>
                <w:sz w:val="28"/>
                <w:szCs w:val="28"/>
              </w:rPr>
              <w:t>Possessor</w:t>
            </w:r>
            <w:proofErr w:type="spellEnd"/>
            <w:r w:rsidR="00853644" w:rsidRPr="00D4781E">
              <w:rPr>
                <w:color w:val="000000"/>
                <w:sz w:val="28"/>
                <w:szCs w:val="28"/>
              </w:rPr>
              <w:t xml:space="preserve"> </w:t>
            </w:r>
            <w:r w:rsidR="005B77B6" w:rsidRPr="00D4781E">
              <w:rPr>
                <w:color w:val="000000"/>
                <w:sz w:val="28"/>
                <w:szCs w:val="28"/>
              </w:rPr>
              <w:t xml:space="preserve">ir </w:t>
            </w:r>
            <w:r w:rsidR="00853644" w:rsidRPr="00D4781E">
              <w:rPr>
                <w:color w:val="000000"/>
                <w:sz w:val="28"/>
                <w:szCs w:val="28"/>
              </w:rPr>
              <w:t xml:space="preserve">veicis iemaksas valsts budžetā no valsts īpašuma objektu privatizācijas un iznomāšanas </w:t>
            </w:r>
            <w:r w:rsidR="00645E33" w:rsidRPr="00D4781E">
              <w:rPr>
                <w:color w:val="000000"/>
                <w:sz w:val="28"/>
                <w:szCs w:val="28"/>
              </w:rPr>
              <w:t>12,8</w:t>
            </w:r>
            <w:r w:rsidR="00004399" w:rsidRPr="00D4781E">
              <w:rPr>
                <w:color w:val="000000"/>
                <w:sz w:val="28"/>
                <w:szCs w:val="28"/>
              </w:rPr>
              <w:t>3</w:t>
            </w:r>
            <w:r w:rsidR="008F057E" w:rsidRPr="00D4781E">
              <w:rPr>
                <w:color w:val="000000"/>
                <w:sz w:val="28"/>
                <w:szCs w:val="28"/>
              </w:rPr>
              <w:t xml:space="preserve"> </w:t>
            </w:r>
            <w:r w:rsidR="00A02F93" w:rsidRPr="00D4781E">
              <w:rPr>
                <w:color w:val="000000"/>
                <w:sz w:val="28"/>
                <w:szCs w:val="28"/>
              </w:rPr>
              <w:t xml:space="preserve">milj. </w:t>
            </w:r>
            <w:proofErr w:type="spellStart"/>
            <w:r w:rsidR="00853644" w:rsidRPr="00D4781E">
              <w:rPr>
                <w:i/>
                <w:color w:val="000000"/>
                <w:sz w:val="28"/>
                <w:szCs w:val="28"/>
              </w:rPr>
              <w:t>euro</w:t>
            </w:r>
            <w:proofErr w:type="spellEnd"/>
            <w:r w:rsidR="00853644" w:rsidRPr="00D4781E">
              <w:rPr>
                <w:color w:val="000000"/>
                <w:sz w:val="28"/>
                <w:szCs w:val="28"/>
              </w:rPr>
              <w:t xml:space="preserve"> apmērā. </w:t>
            </w:r>
            <w:r w:rsidRPr="00D4781E">
              <w:rPr>
                <w:color w:val="000000"/>
                <w:sz w:val="28"/>
                <w:szCs w:val="28"/>
              </w:rPr>
              <w:t xml:space="preserve">Iemaksas valsts budžetā no valsts īpašuma objektu privatizācijas </w:t>
            </w:r>
            <w:r w:rsidRPr="00D4781E">
              <w:rPr>
                <w:color w:val="000000"/>
                <w:sz w:val="28"/>
                <w:szCs w:val="28"/>
              </w:rPr>
              <w:lastRenderedPageBreak/>
              <w:t>plānotas 2019.gadā – 310 tūkst</w:t>
            </w:r>
            <w:r w:rsidR="005C7BAF" w:rsidRPr="00D4781E">
              <w:rPr>
                <w:color w:val="000000"/>
                <w:sz w:val="28"/>
                <w:szCs w:val="28"/>
              </w:rPr>
              <w:t>.</w:t>
            </w:r>
            <w:r w:rsidRPr="00D4781E">
              <w:rPr>
                <w:color w:val="000000"/>
                <w:sz w:val="28"/>
                <w:szCs w:val="28"/>
              </w:rPr>
              <w:t xml:space="preserve"> </w:t>
            </w:r>
            <w:proofErr w:type="spellStart"/>
            <w:r w:rsidRPr="00D4781E">
              <w:rPr>
                <w:i/>
                <w:color w:val="000000"/>
                <w:sz w:val="28"/>
                <w:szCs w:val="28"/>
              </w:rPr>
              <w:t>euro</w:t>
            </w:r>
            <w:proofErr w:type="spellEnd"/>
            <w:r w:rsidRPr="00D4781E">
              <w:rPr>
                <w:color w:val="000000"/>
                <w:sz w:val="28"/>
                <w:szCs w:val="28"/>
              </w:rPr>
              <w:t>, 2020.gadā – 100 tūkst</w:t>
            </w:r>
            <w:r w:rsidR="005C7BAF" w:rsidRPr="00D4781E">
              <w:rPr>
                <w:color w:val="000000"/>
                <w:sz w:val="28"/>
                <w:szCs w:val="28"/>
              </w:rPr>
              <w:t>.</w:t>
            </w:r>
            <w:r w:rsidRPr="00D4781E">
              <w:rPr>
                <w:color w:val="000000"/>
                <w:sz w:val="28"/>
                <w:szCs w:val="28"/>
              </w:rPr>
              <w:t xml:space="preserve"> </w:t>
            </w:r>
            <w:proofErr w:type="spellStart"/>
            <w:r w:rsidRPr="00D4781E">
              <w:rPr>
                <w:i/>
                <w:color w:val="000000"/>
                <w:sz w:val="28"/>
                <w:szCs w:val="28"/>
              </w:rPr>
              <w:t>euro</w:t>
            </w:r>
            <w:proofErr w:type="spellEnd"/>
            <w:r w:rsidRPr="00D4781E">
              <w:rPr>
                <w:color w:val="000000"/>
                <w:sz w:val="28"/>
                <w:szCs w:val="28"/>
              </w:rPr>
              <w:t>, 2021.gadā – 100 tūkst</w:t>
            </w:r>
            <w:r w:rsidR="001B601D" w:rsidRPr="00D4781E">
              <w:rPr>
                <w:color w:val="000000"/>
                <w:sz w:val="28"/>
                <w:szCs w:val="28"/>
              </w:rPr>
              <w:t>.</w:t>
            </w:r>
            <w:r w:rsidRPr="00D4781E">
              <w:rPr>
                <w:color w:val="000000"/>
                <w:sz w:val="28"/>
                <w:szCs w:val="28"/>
              </w:rPr>
              <w:t xml:space="preserve"> </w:t>
            </w:r>
            <w:proofErr w:type="spellStart"/>
            <w:r w:rsidRPr="00D4781E">
              <w:rPr>
                <w:i/>
                <w:color w:val="000000"/>
                <w:sz w:val="28"/>
                <w:szCs w:val="28"/>
              </w:rPr>
              <w:t>euro</w:t>
            </w:r>
            <w:proofErr w:type="spellEnd"/>
            <w:r w:rsidRPr="00D4781E">
              <w:rPr>
                <w:color w:val="000000"/>
                <w:sz w:val="28"/>
                <w:szCs w:val="28"/>
              </w:rPr>
              <w:t xml:space="preserve">. </w:t>
            </w:r>
          </w:p>
          <w:p w14:paraId="5C73F68D" w14:textId="36011394" w:rsidR="00BB13C2" w:rsidRPr="00D4781E" w:rsidRDefault="002C0C95" w:rsidP="001B601D">
            <w:pPr>
              <w:pStyle w:val="FootnoteText"/>
              <w:spacing w:after="120"/>
              <w:ind w:firstLine="709"/>
              <w:jc w:val="both"/>
              <w:rPr>
                <w:sz w:val="28"/>
                <w:szCs w:val="28"/>
              </w:rPr>
            </w:pPr>
            <w:r w:rsidRPr="00D4781E">
              <w:rPr>
                <w:color w:val="000000"/>
                <w:sz w:val="28"/>
                <w:szCs w:val="28"/>
              </w:rPr>
              <w:t xml:space="preserve">Lai nodrošinātu deleģēto valsts pārvaldes uzdevumu izpildes stabilitāti un nepārtrauktību, Ministru kabineta noteikumu projekts paredz, ka gadījumā, ja rezerves fonda līdzekļu atlikums ir negatīvs, maksājumi valsts budžetā tiek veikti tikai pēc rezerves fonda negatīvā atlikuma segšanas. </w:t>
            </w:r>
            <w:r w:rsidR="001A300F" w:rsidRPr="00D4781E">
              <w:rPr>
                <w:color w:val="000000"/>
                <w:sz w:val="28"/>
                <w:szCs w:val="28"/>
              </w:rPr>
              <w:t xml:space="preserve">Lai nodrošinātu </w:t>
            </w:r>
            <w:proofErr w:type="spellStart"/>
            <w:r w:rsidR="001A300F" w:rsidRPr="00D4781E">
              <w:rPr>
                <w:color w:val="000000"/>
                <w:sz w:val="28"/>
                <w:szCs w:val="28"/>
              </w:rPr>
              <w:t>Possessor</w:t>
            </w:r>
            <w:proofErr w:type="spellEnd"/>
            <w:r w:rsidR="001A300F" w:rsidRPr="00D4781E">
              <w:rPr>
                <w:color w:val="000000"/>
                <w:sz w:val="28"/>
                <w:szCs w:val="28"/>
              </w:rPr>
              <w:t xml:space="preserve"> deleģēto valsts pārvaldes uzdevumu finansēšanas nepārtrauktību, Ministru kabineta noteikumu projektā paredzēts, ka Ekonomikas ministrija pēc kārtējā gada beigām iesniedz pieteikumu par naudas </w:t>
            </w:r>
            <w:r w:rsidR="005B77B6" w:rsidRPr="00D4781E">
              <w:rPr>
                <w:color w:val="000000"/>
                <w:sz w:val="28"/>
                <w:szCs w:val="28"/>
              </w:rPr>
              <w:t xml:space="preserve">līdzekļu </w:t>
            </w:r>
            <w:r w:rsidR="001A300F" w:rsidRPr="00D4781E">
              <w:rPr>
                <w:color w:val="000000"/>
                <w:sz w:val="28"/>
                <w:szCs w:val="28"/>
              </w:rPr>
              <w:t xml:space="preserve">piešķiršanu no programmas “Līdzekļi neparedzētiem gadījumiem”, ja rezerves fondam ir izveidojies parāds pret </w:t>
            </w:r>
            <w:proofErr w:type="spellStart"/>
            <w:r w:rsidR="001A300F" w:rsidRPr="00D4781E">
              <w:rPr>
                <w:color w:val="000000"/>
                <w:sz w:val="28"/>
                <w:szCs w:val="28"/>
              </w:rPr>
              <w:t>Possessor</w:t>
            </w:r>
            <w:proofErr w:type="spellEnd"/>
            <w:r w:rsidR="001A300F" w:rsidRPr="00D4781E">
              <w:rPr>
                <w:color w:val="000000"/>
                <w:sz w:val="28"/>
                <w:szCs w:val="28"/>
              </w:rPr>
              <w:t xml:space="preserve">. </w:t>
            </w:r>
          </w:p>
        </w:tc>
      </w:tr>
      <w:tr w:rsidR="00BB13C2" w:rsidRPr="00D4781E" w14:paraId="089FFF1B" w14:textId="77777777">
        <w:trPr>
          <w:trHeight w:val="476"/>
        </w:trPr>
        <w:tc>
          <w:tcPr>
            <w:tcW w:w="423" w:type="dxa"/>
            <w:tcBorders>
              <w:top w:val="single" w:sz="4" w:space="0" w:color="000000"/>
              <w:left w:val="single" w:sz="4" w:space="0" w:color="000000"/>
              <w:bottom w:val="single" w:sz="4" w:space="0" w:color="000000"/>
            </w:tcBorders>
            <w:shd w:val="clear" w:color="auto" w:fill="auto"/>
          </w:tcPr>
          <w:p w14:paraId="3FDAA668" w14:textId="77777777" w:rsidR="00BB13C2" w:rsidRPr="00D4781E" w:rsidRDefault="001A300F">
            <w:pPr>
              <w:ind w:left="57" w:right="57"/>
              <w:contextualSpacing/>
              <w:jc w:val="center"/>
              <w:rPr>
                <w:sz w:val="28"/>
                <w:szCs w:val="28"/>
              </w:rPr>
            </w:pPr>
            <w:r w:rsidRPr="00D4781E">
              <w:rPr>
                <w:sz w:val="28"/>
                <w:szCs w:val="28"/>
              </w:rPr>
              <w:lastRenderedPageBreak/>
              <w:t>3.</w:t>
            </w:r>
          </w:p>
        </w:tc>
        <w:tc>
          <w:tcPr>
            <w:tcW w:w="2378" w:type="dxa"/>
            <w:tcBorders>
              <w:top w:val="single" w:sz="4" w:space="0" w:color="000000"/>
              <w:left w:val="single" w:sz="4" w:space="0" w:color="000000"/>
              <w:bottom w:val="single" w:sz="4" w:space="0" w:color="000000"/>
            </w:tcBorders>
            <w:shd w:val="clear" w:color="auto" w:fill="auto"/>
          </w:tcPr>
          <w:p w14:paraId="422EBB4C" w14:textId="77777777" w:rsidR="00BB13C2" w:rsidRPr="00D4781E" w:rsidRDefault="001A300F">
            <w:pPr>
              <w:ind w:left="57" w:right="57"/>
              <w:contextualSpacing/>
              <w:rPr>
                <w:sz w:val="28"/>
                <w:szCs w:val="28"/>
              </w:rPr>
            </w:pPr>
            <w:r w:rsidRPr="00D4781E">
              <w:rPr>
                <w:sz w:val="28"/>
                <w:szCs w:val="28"/>
              </w:rPr>
              <w:t>Projekta izstrādē iesaistītās institūcijas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5D43272" w14:textId="77777777" w:rsidR="00BB13C2" w:rsidRPr="00D4781E" w:rsidRDefault="001A300F" w:rsidP="00144E00">
            <w:pPr>
              <w:ind w:right="57" w:firstLine="743"/>
              <w:contextualSpacing/>
              <w:jc w:val="both"/>
              <w:rPr>
                <w:sz w:val="28"/>
                <w:szCs w:val="28"/>
              </w:rPr>
            </w:pPr>
            <w:r w:rsidRPr="00D4781E">
              <w:rPr>
                <w:sz w:val="28"/>
                <w:szCs w:val="28"/>
              </w:rPr>
              <w:t xml:space="preserve"> Ekonomikas ministrija, </w:t>
            </w:r>
            <w:proofErr w:type="spellStart"/>
            <w:r w:rsidRPr="00D4781E">
              <w:rPr>
                <w:sz w:val="28"/>
                <w:szCs w:val="28"/>
              </w:rPr>
              <w:t>Possessor</w:t>
            </w:r>
            <w:proofErr w:type="spellEnd"/>
          </w:p>
        </w:tc>
      </w:tr>
      <w:tr w:rsidR="00BB13C2" w:rsidRPr="00D4781E" w14:paraId="6C8C77FB" w14:textId="77777777">
        <w:tc>
          <w:tcPr>
            <w:tcW w:w="423" w:type="dxa"/>
            <w:tcBorders>
              <w:top w:val="single" w:sz="4" w:space="0" w:color="000000"/>
              <w:left w:val="single" w:sz="4" w:space="0" w:color="000000"/>
              <w:bottom w:val="single" w:sz="4" w:space="0" w:color="000000"/>
            </w:tcBorders>
            <w:shd w:val="clear" w:color="auto" w:fill="auto"/>
          </w:tcPr>
          <w:p w14:paraId="7D0A716B" w14:textId="77777777" w:rsidR="00BB13C2" w:rsidRPr="00D4781E" w:rsidRDefault="001A300F">
            <w:pPr>
              <w:ind w:left="57" w:right="57"/>
              <w:contextualSpacing/>
              <w:jc w:val="center"/>
              <w:rPr>
                <w:sz w:val="28"/>
                <w:szCs w:val="28"/>
              </w:rPr>
            </w:pPr>
            <w:r w:rsidRPr="00D4781E">
              <w:rPr>
                <w:sz w:val="28"/>
                <w:szCs w:val="28"/>
              </w:rPr>
              <w:t>4.</w:t>
            </w:r>
          </w:p>
        </w:tc>
        <w:tc>
          <w:tcPr>
            <w:tcW w:w="2378" w:type="dxa"/>
            <w:tcBorders>
              <w:top w:val="single" w:sz="4" w:space="0" w:color="000000"/>
              <w:left w:val="single" w:sz="4" w:space="0" w:color="000000"/>
              <w:bottom w:val="single" w:sz="4" w:space="0" w:color="000000"/>
            </w:tcBorders>
            <w:shd w:val="clear" w:color="auto" w:fill="auto"/>
          </w:tcPr>
          <w:p w14:paraId="14AE0212" w14:textId="77777777" w:rsidR="00BB13C2" w:rsidRPr="00D4781E" w:rsidRDefault="001A300F">
            <w:pPr>
              <w:ind w:left="57" w:right="57"/>
              <w:contextualSpacing/>
              <w:rPr>
                <w:sz w:val="28"/>
                <w:szCs w:val="28"/>
              </w:rPr>
            </w:pPr>
            <w:r w:rsidRPr="00D4781E">
              <w:rPr>
                <w:sz w:val="28"/>
                <w:szCs w:val="28"/>
              </w:rPr>
              <w:t>Cita informācija</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72922B1A" w14:textId="77777777" w:rsidR="00BB13C2" w:rsidRPr="00D4781E" w:rsidRDefault="00BB13C2">
            <w:pPr>
              <w:snapToGrid w:val="0"/>
              <w:ind w:left="57"/>
              <w:contextualSpacing/>
              <w:rPr>
                <w:sz w:val="28"/>
                <w:szCs w:val="28"/>
              </w:rPr>
            </w:pPr>
          </w:p>
        </w:tc>
      </w:tr>
    </w:tbl>
    <w:p w14:paraId="377B1981" w14:textId="77777777" w:rsidR="00BB13C2" w:rsidRPr="00D4781E" w:rsidRDefault="00BB13C2">
      <w:pPr>
        <w:contextualSpacing/>
        <w:rPr>
          <w:vanish/>
          <w:sz w:val="16"/>
          <w:szCs w:val="16"/>
        </w:rPr>
      </w:pPr>
    </w:p>
    <w:tbl>
      <w:tblPr>
        <w:tblW w:w="4950" w:type="pct"/>
        <w:tblInd w:w="-37" w:type="dxa"/>
        <w:tblLayout w:type="fixed"/>
        <w:tblCellMar>
          <w:top w:w="30" w:type="dxa"/>
          <w:left w:w="30" w:type="dxa"/>
          <w:bottom w:w="30" w:type="dxa"/>
          <w:right w:w="30" w:type="dxa"/>
        </w:tblCellMar>
        <w:tblLook w:val="0000" w:firstRow="0" w:lastRow="0" w:firstColumn="0" w:lastColumn="0" w:noHBand="0" w:noVBand="0"/>
      </w:tblPr>
      <w:tblGrid>
        <w:gridCol w:w="2036"/>
        <w:gridCol w:w="844"/>
        <w:gridCol w:w="888"/>
        <w:gridCol w:w="940"/>
        <w:gridCol w:w="952"/>
        <w:gridCol w:w="1018"/>
        <w:gridCol w:w="985"/>
        <w:gridCol w:w="1307"/>
      </w:tblGrid>
      <w:tr w:rsidR="00BB13C2" w:rsidRPr="00D4781E" w14:paraId="54DC4128" w14:textId="77777777" w:rsidTr="00490D95">
        <w:trPr>
          <w:trHeight w:val="555"/>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88E443B" w14:textId="77777777" w:rsidR="00BB13C2" w:rsidRPr="00D4781E" w:rsidRDefault="001A300F">
            <w:pPr>
              <w:ind w:firstLine="300"/>
              <w:contextualSpacing/>
              <w:jc w:val="center"/>
              <w:rPr>
                <w:b/>
                <w:bCs/>
                <w:sz w:val="28"/>
                <w:szCs w:val="28"/>
              </w:rPr>
            </w:pPr>
            <w:r w:rsidRPr="00D4781E">
              <w:rPr>
                <w:b/>
                <w:bCs/>
                <w:sz w:val="28"/>
                <w:szCs w:val="28"/>
              </w:rPr>
              <w:t>II. Tiesību akta projekta ietekme uz sabiedrību, tautsaimniecības attīstību un administratīvo slogu</w:t>
            </w:r>
          </w:p>
        </w:tc>
      </w:tr>
      <w:tr w:rsidR="00BB13C2" w:rsidRPr="00D4781E" w14:paraId="7A4B5F88" w14:textId="77777777" w:rsidTr="00490D95">
        <w:trPr>
          <w:trHeight w:val="555"/>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0BC7E70" w14:textId="77777777" w:rsidR="00BB13C2" w:rsidRPr="00D4781E" w:rsidRDefault="001A300F">
            <w:pPr>
              <w:ind w:firstLine="300"/>
              <w:contextualSpacing/>
              <w:jc w:val="center"/>
              <w:rPr>
                <w:bCs/>
                <w:sz w:val="28"/>
                <w:szCs w:val="28"/>
              </w:rPr>
            </w:pPr>
            <w:r w:rsidRPr="00D4781E">
              <w:rPr>
                <w:bCs/>
                <w:sz w:val="28"/>
                <w:szCs w:val="28"/>
              </w:rPr>
              <w:t>Projekts šo jomu neskar</w:t>
            </w:r>
          </w:p>
        </w:tc>
      </w:tr>
      <w:tr w:rsidR="00BB13C2" w:rsidRPr="00D4781E" w14:paraId="75ECA723" w14:textId="77777777" w:rsidTr="00490D95">
        <w:tc>
          <w:tcPr>
            <w:tcW w:w="9040"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9CE43C" w14:textId="77777777" w:rsidR="00BB13C2" w:rsidRPr="00D4781E" w:rsidRDefault="001A300F">
            <w:pPr>
              <w:jc w:val="center"/>
              <w:rPr>
                <w:rFonts w:eastAsia="Calibri"/>
                <w:b/>
                <w:bCs/>
                <w:sz w:val="28"/>
                <w:szCs w:val="28"/>
              </w:rPr>
            </w:pPr>
            <w:r w:rsidRPr="00D4781E">
              <w:rPr>
                <w:b/>
                <w:bCs/>
                <w:sz w:val="28"/>
                <w:szCs w:val="28"/>
              </w:rPr>
              <w:t>III. Tiesību akta projekta ietekme uz valsts budžetu un pašvaldību budžetiem</w:t>
            </w:r>
          </w:p>
        </w:tc>
      </w:tr>
      <w:tr w:rsidR="00BB13C2" w:rsidRPr="00D4781E" w14:paraId="7C555D69" w14:textId="77777777" w:rsidTr="00490D95">
        <w:tc>
          <w:tcPr>
            <w:tcW w:w="2052" w:type="dxa"/>
            <w:vMerge w:val="restart"/>
            <w:tcBorders>
              <w:top w:val="single" w:sz="4" w:space="0" w:color="000000"/>
              <w:left w:val="single" w:sz="4" w:space="0" w:color="000000"/>
              <w:bottom w:val="single" w:sz="4" w:space="0" w:color="000000"/>
            </w:tcBorders>
            <w:shd w:val="clear" w:color="auto" w:fill="auto"/>
            <w:vAlign w:val="center"/>
          </w:tcPr>
          <w:p w14:paraId="12D4E5A6" w14:textId="77777777" w:rsidR="00BB13C2" w:rsidRPr="00D4781E" w:rsidRDefault="001A300F">
            <w:pPr>
              <w:rPr>
                <w:rFonts w:eastAsia="Calibri"/>
                <w:sz w:val="28"/>
                <w:szCs w:val="28"/>
              </w:rPr>
            </w:pPr>
            <w:r w:rsidRPr="00D4781E">
              <w:rPr>
                <w:sz w:val="28"/>
                <w:szCs w:val="28"/>
              </w:rPr>
              <w:t>Rādītāji</w:t>
            </w:r>
          </w:p>
        </w:tc>
        <w:tc>
          <w:tcPr>
            <w:tcW w:w="1745" w:type="dxa"/>
            <w:gridSpan w:val="2"/>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7AD591" w14:textId="77777777" w:rsidR="00BB13C2" w:rsidRPr="00D4781E" w:rsidRDefault="001A300F">
            <w:pPr>
              <w:rPr>
                <w:rFonts w:eastAsia="Calibri"/>
                <w:sz w:val="28"/>
                <w:szCs w:val="28"/>
              </w:rPr>
            </w:pPr>
            <w:r w:rsidRPr="00D4781E">
              <w:rPr>
                <w:sz w:val="28"/>
                <w:szCs w:val="28"/>
              </w:rPr>
              <w:t>2019</w:t>
            </w:r>
          </w:p>
        </w:tc>
        <w:tc>
          <w:tcPr>
            <w:tcW w:w="52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FE15C" w14:textId="77777777" w:rsidR="00BB13C2" w:rsidRPr="00D4781E" w:rsidRDefault="001A300F">
            <w:pPr>
              <w:rPr>
                <w:rFonts w:eastAsia="Calibri"/>
                <w:sz w:val="28"/>
                <w:szCs w:val="28"/>
              </w:rPr>
            </w:pPr>
            <w:r w:rsidRPr="00D4781E">
              <w:rPr>
                <w:sz w:val="28"/>
                <w:szCs w:val="28"/>
              </w:rPr>
              <w:t>Turpmākie trīs gadi (</w:t>
            </w:r>
            <w:proofErr w:type="spellStart"/>
            <w:r w:rsidRPr="00D4781E">
              <w:rPr>
                <w:i/>
                <w:iCs/>
                <w:sz w:val="28"/>
                <w:szCs w:val="28"/>
              </w:rPr>
              <w:t>euro</w:t>
            </w:r>
            <w:proofErr w:type="spellEnd"/>
            <w:r w:rsidRPr="00D4781E">
              <w:rPr>
                <w:sz w:val="28"/>
                <w:szCs w:val="28"/>
              </w:rPr>
              <w:t>)</w:t>
            </w:r>
          </w:p>
        </w:tc>
      </w:tr>
      <w:tr w:rsidR="00BB13C2" w:rsidRPr="00D4781E" w14:paraId="536C68F0" w14:textId="77777777" w:rsidTr="00490D95">
        <w:tc>
          <w:tcPr>
            <w:tcW w:w="2052" w:type="dxa"/>
            <w:vMerge/>
            <w:tcBorders>
              <w:top w:val="single" w:sz="4" w:space="0" w:color="000000"/>
              <w:left w:val="single" w:sz="4" w:space="0" w:color="000000"/>
              <w:bottom w:val="single" w:sz="4" w:space="0" w:color="000000"/>
            </w:tcBorders>
            <w:shd w:val="clear" w:color="auto" w:fill="auto"/>
            <w:vAlign w:val="center"/>
          </w:tcPr>
          <w:p w14:paraId="71ED80EC" w14:textId="77777777" w:rsidR="00BB13C2" w:rsidRPr="00D4781E" w:rsidRDefault="00BB13C2">
            <w:pPr>
              <w:snapToGrid w:val="0"/>
              <w:rPr>
                <w:rFonts w:eastAsia="Calibri"/>
                <w:sz w:val="28"/>
                <w:szCs w:val="28"/>
              </w:rPr>
            </w:pPr>
          </w:p>
        </w:tc>
        <w:tc>
          <w:tcPr>
            <w:tcW w:w="1745" w:type="dxa"/>
            <w:gridSpan w:val="2"/>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77E0A2" w14:textId="77777777" w:rsidR="00BB13C2" w:rsidRPr="00D4781E" w:rsidRDefault="00BB13C2">
            <w:pPr>
              <w:snapToGrid w:val="0"/>
              <w:rPr>
                <w:rFonts w:eastAsia="Calibri"/>
                <w:sz w:val="28"/>
                <w:szCs w:val="28"/>
              </w:rPr>
            </w:pPr>
          </w:p>
        </w:tc>
        <w:tc>
          <w:tcPr>
            <w:tcW w:w="1907" w:type="dxa"/>
            <w:gridSpan w:val="2"/>
            <w:tcBorders>
              <w:top w:val="single" w:sz="4" w:space="0" w:color="000000"/>
              <w:left w:val="single" w:sz="4" w:space="0" w:color="000000"/>
              <w:bottom w:val="single" w:sz="4" w:space="0" w:color="000000"/>
            </w:tcBorders>
            <w:shd w:val="clear" w:color="auto" w:fill="auto"/>
            <w:vAlign w:val="center"/>
          </w:tcPr>
          <w:p w14:paraId="74F18D47" w14:textId="77777777" w:rsidR="00BB13C2" w:rsidRPr="00D4781E" w:rsidRDefault="001A300F">
            <w:pPr>
              <w:rPr>
                <w:rFonts w:eastAsia="Calibri"/>
                <w:sz w:val="28"/>
                <w:szCs w:val="28"/>
              </w:rPr>
            </w:pPr>
            <w:r w:rsidRPr="00D4781E">
              <w:rPr>
                <w:sz w:val="28"/>
                <w:szCs w:val="28"/>
              </w:rPr>
              <w:t>2020</w:t>
            </w:r>
          </w:p>
        </w:tc>
        <w:tc>
          <w:tcPr>
            <w:tcW w:w="201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C5C23E" w14:textId="77777777" w:rsidR="00BB13C2" w:rsidRPr="00D4781E" w:rsidRDefault="001A300F">
            <w:pPr>
              <w:rPr>
                <w:rFonts w:eastAsia="Calibri"/>
                <w:sz w:val="28"/>
                <w:szCs w:val="28"/>
              </w:rPr>
            </w:pPr>
            <w:r w:rsidRPr="00D4781E">
              <w:rPr>
                <w:sz w:val="28"/>
                <w:szCs w:val="28"/>
              </w:rPr>
              <w:t>2021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9C2A1" w14:textId="77777777" w:rsidR="00BB13C2" w:rsidRPr="00D4781E" w:rsidRDefault="001A300F">
            <w:pPr>
              <w:rPr>
                <w:rFonts w:eastAsia="Calibri"/>
                <w:sz w:val="28"/>
                <w:szCs w:val="28"/>
              </w:rPr>
            </w:pPr>
            <w:r w:rsidRPr="00D4781E">
              <w:rPr>
                <w:sz w:val="28"/>
                <w:szCs w:val="28"/>
              </w:rPr>
              <w:t>2022</w:t>
            </w:r>
          </w:p>
        </w:tc>
      </w:tr>
      <w:tr w:rsidR="00BB13C2" w:rsidRPr="00D4781E" w14:paraId="3C5D961D" w14:textId="77777777" w:rsidTr="00490D95">
        <w:tc>
          <w:tcPr>
            <w:tcW w:w="2052" w:type="dxa"/>
            <w:vMerge/>
            <w:tcBorders>
              <w:top w:val="single" w:sz="4" w:space="0" w:color="000000"/>
              <w:left w:val="single" w:sz="4" w:space="0" w:color="000000"/>
              <w:bottom w:val="single" w:sz="4" w:space="0" w:color="000000"/>
            </w:tcBorders>
            <w:shd w:val="clear" w:color="auto" w:fill="auto"/>
            <w:vAlign w:val="center"/>
          </w:tcPr>
          <w:p w14:paraId="01029FD9" w14:textId="77777777" w:rsidR="00BB13C2" w:rsidRPr="00D4781E" w:rsidRDefault="00BB13C2">
            <w:pPr>
              <w:snapToGrid w:val="0"/>
              <w:rPr>
                <w:rFonts w:eastAsia="Calibri"/>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14:paraId="5CBB0772" w14:textId="77777777" w:rsidR="00BB13C2" w:rsidRPr="00D4781E" w:rsidRDefault="001A300F">
            <w:pPr>
              <w:rPr>
                <w:rFonts w:eastAsia="Calibri"/>
                <w:sz w:val="28"/>
                <w:szCs w:val="28"/>
              </w:rPr>
            </w:pPr>
            <w:r w:rsidRPr="00D4781E">
              <w:rPr>
                <w:sz w:val="28"/>
                <w:szCs w:val="28"/>
              </w:rPr>
              <w:t>saskaņā ar valsts budžetu kārtējam gadam</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19826D" w14:textId="77777777" w:rsidR="00BB13C2" w:rsidRPr="00D4781E" w:rsidRDefault="001A300F">
            <w:pPr>
              <w:rPr>
                <w:rFonts w:eastAsia="Calibri"/>
                <w:sz w:val="28"/>
                <w:szCs w:val="28"/>
              </w:rPr>
            </w:pPr>
            <w:r w:rsidRPr="00D4781E">
              <w:rPr>
                <w:sz w:val="28"/>
                <w:szCs w:val="28"/>
              </w:rPr>
              <w:t>izmaiņas kārtējā gadā, salīdzinot ar valsts budžetu kārtējam gadam</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AD3EA8" w14:textId="77777777" w:rsidR="00BB13C2" w:rsidRPr="00D4781E" w:rsidRDefault="001A300F">
            <w:pPr>
              <w:rPr>
                <w:rFonts w:eastAsia="Calibri"/>
                <w:sz w:val="28"/>
                <w:szCs w:val="28"/>
              </w:rPr>
            </w:pPr>
            <w:r w:rsidRPr="00D4781E">
              <w:rPr>
                <w:sz w:val="28"/>
                <w:szCs w:val="28"/>
              </w:rPr>
              <w:t>saskaņā ar vidēja termiņa budžeta ietvaru</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496935" w14:textId="77777777" w:rsidR="00BB13C2" w:rsidRPr="00D4781E" w:rsidRDefault="001A300F">
            <w:pPr>
              <w:rPr>
                <w:rFonts w:eastAsia="Calibri"/>
                <w:sz w:val="28"/>
                <w:szCs w:val="28"/>
              </w:rPr>
            </w:pPr>
            <w:r w:rsidRPr="00D4781E">
              <w:rPr>
                <w:sz w:val="28"/>
                <w:szCs w:val="28"/>
              </w:rPr>
              <w:t>izmaiņas, salīdzinot ar vidēja termiņa budžeta ietvaru n+1 gadam</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55D63F" w14:textId="77777777" w:rsidR="00BB13C2" w:rsidRPr="00D4781E" w:rsidRDefault="001A300F">
            <w:pPr>
              <w:rPr>
                <w:rFonts w:eastAsia="Calibri"/>
                <w:sz w:val="28"/>
                <w:szCs w:val="28"/>
              </w:rPr>
            </w:pPr>
            <w:r w:rsidRPr="00D4781E">
              <w:rPr>
                <w:sz w:val="28"/>
                <w:szCs w:val="28"/>
              </w:rPr>
              <w:t>saskaņā ar vidēja termiņa budžeta ietvaru</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08E702" w14:textId="77777777" w:rsidR="00BB13C2" w:rsidRPr="00D4781E" w:rsidRDefault="001A300F">
            <w:pPr>
              <w:rPr>
                <w:rFonts w:eastAsia="Calibri"/>
                <w:sz w:val="28"/>
                <w:szCs w:val="28"/>
              </w:rPr>
            </w:pPr>
            <w:r w:rsidRPr="00D4781E">
              <w:rPr>
                <w:sz w:val="28"/>
                <w:szCs w:val="28"/>
              </w:rPr>
              <w:t>izmaiņas, salīdzinot ar vidēja termiņa budžeta ietvaru n+2 gadam</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931371" w14:textId="77777777" w:rsidR="00BB13C2" w:rsidRPr="00D4781E" w:rsidRDefault="001A300F">
            <w:pPr>
              <w:rPr>
                <w:rFonts w:eastAsia="Calibri"/>
                <w:sz w:val="28"/>
                <w:szCs w:val="28"/>
              </w:rPr>
            </w:pPr>
            <w:r w:rsidRPr="00D4781E">
              <w:rPr>
                <w:sz w:val="28"/>
                <w:szCs w:val="28"/>
              </w:rPr>
              <w:t>izmaiņas, salīdzinot ar vidēja termiņa budžeta ietvaru n+2 gadam</w:t>
            </w:r>
          </w:p>
        </w:tc>
      </w:tr>
      <w:tr w:rsidR="00BB13C2" w:rsidRPr="00D4781E" w14:paraId="710C81C4" w14:textId="77777777" w:rsidTr="00490D95">
        <w:tc>
          <w:tcPr>
            <w:tcW w:w="2052" w:type="dxa"/>
            <w:tcBorders>
              <w:top w:val="single" w:sz="4" w:space="0" w:color="000000"/>
              <w:left w:val="single" w:sz="4" w:space="0" w:color="000000"/>
              <w:bottom w:val="single" w:sz="4" w:space="0" w:color="000000"/>
            </w:tcBorders>
            <w:shd w:val="clear" w:color="auto" w:fill="auto"/>
            <w:vAlign w:val="center"/>
          </w:tcPr>
          <w:p w14:paraId="6D54BBFC" w14:textId="77777777" w:rsidR="00BB13C2" w:rsidRPr="00D4781E" w:rsidRDefault="001A300F">
            <w:pPr>
              <w:rPr>
                <w:rFonts w:eastAsia="Calibri"/>
                <w:sz w:val="28"/>
                <w:szCs w:val="28"/>
              </w:rPr>
            </w:pPr>
            <w:r w:rsidRPr="00D4781E">
              <w:rPr>
                <w:sz w:val="28"/>
                <w:szCs w:val="28"/>
              </w:rPr>
              <w:lastRenderedPageBreak/>
              <w:t>1</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BCB080" w14:textId="77777777" w:rsidR="00BB13C2" w:rsidRPr="00D4781E" w:rsidRDefault="001A300F">
            <w:pPr>
              <w:rPr>
                <w:rFonts w:eastAsia="Calibri"/>
                <w:sz w:val="28"/>
                <w:szCs w:val="28"/>
              </w:rPr>
            </w:pPr>
            <w:r w:rsidRPr="00D4781E">
              <w:rPr>
                <w:sz w:val="28"/>
                <w:szCs w:val="28"/>
              </w:rPr>
              <w:t>2</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CC0560" w14:textId="77777777" w:rsidR="00BB13C2" w:rsidRPr="00D4781E" w:rsidRDefault="001A300F">
            <w:pPr>
              <w:rPr>
                <w:rFonts w:eastAsia="Calibri"/>
                <w:sz w:val="28"/>
                <w:szCs w:val="28"/>
              </w:rPr>
            </w:pPr>
            <w:r w:rsidRPr="00D4781E">
              <w:rPr>
                <w:sz w:val="28"/>
                <w:szCs w:val="28"/>
              </w:rPr>
              <w:t>3</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F71CC7" w14:textId="77777777" w:rsidR="00BB13C2" w:rsidRPr="00D4781E" w:rsidRDefault="001A300F">
            <w:pPr>
              <w:rPr>
                <w:rFonts w:eastAsia="Calibri"/>
                <w:sz w:val="28"/>
                <w:szCs w:val="28"/>
              </w:rPr>
            </w:pPr>
            <w:r w:rsidRPr="00D4781E">
              <w:rPr>
                <w:sz w:val="28"/>
                <w:szCs w:val="28"/>
              </w:rPr>
              <w:t>4</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17BD29" w14:textId="77777777" w:rsidR="00BB13C2" w:rsidRPr="00D4781E" w:rsidRDefault="001A300F">
            <w:pPr>
              <w:rPr>
                <w:rFonts w:eastAsia="Calibri"/>
                <w:sz w:val="28"/>
                <w:szCs w:val="28"/>
              </w:rPr>
            </w:pPr>
            <w:r w:rsidRPr="00D4781E">
              <w:rPr>
                <w:sz w:val="28"/>
                <w:szCs w:val="28"/>
              </w:rPr>
              <w:t>5</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0C09095" w14:textId="77777777" w:rsidR="00BB13C2" w:rsidRPr="00D4781E" w:rsidRDefault="001A300F">
            <w:pPr>
              <w:rPr>
                <w:rFonts w:eastAsia="Calibri"/>
                <w:sz w:val="28"/>
                <w:szCs w:val="28"/>
              </w:rPr>
            </w:pPr>
            <w:r w:rsidRPr="00D4781E">
              <w:rPr>
                <w:sz w:val="28"/>
                <w:szCs w:val="28"/>
              </w:rPr>
              <w:t>6</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777C6E" w14:textId="77777777" w:rsidR="00BB13C2" w:rsidRPr="00D4781E" w:rsidRDefault="001A300F">
            <w:pPr>
              <w:rPr>
                <w:rFonts w:eastAsia="Calibri"/>
                <w:sz w:val="28"/>
                <w:szCs w:val="28"/>
              </w:rPr>
            </w:pPr>
            <w:r w:rsidRPr="00D4781E">
              <w:rPr>
                <w:sz w:val="28"/>
                <w:szCs w:val="28"/>
              </w:rPr>
              <w:t>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D7774" w14:textId="77777777" w:rsidR="00BB13C2" w:rsidRPr="00D4781E" w:rsidRDefault="001A300F">
            <w:pPr>
              <w:rPr>
                <w:rFonts w:eastAsia="Calibri"/>
                <w:sz w:val="28"/>
                <w:szCs w:val="28"/>
              </w:rPr>
            </w:pPr>
            <w:r w:rsidRPr="00D4781E">
              <w:rPr>
                <w:sz w:val="28"/>
                <w:szCs w:val="28"/>
              </w:rPr>
              <w:t>8</w:t>
            </w:r>
          </w:p>
        </w:tc>
      </w:tr>
      <w:tr w:rsidR="00BB13C2" w:rsidRPr="00D4781E" w14:paraId="483381F5" w14:textId="77777777" w:rsidTr="00490D95">
        <w:tc>
          <w:tcPr>
            <w:tcW w:w="2052" w:type="dxa"/>
            <w:tcBorders>
              <w:top w:val="single" w:sz="4" w:space="0" w:color="000000"/>
              <w:left w:val="single" w:sz="4" w:space="0" w:color="000000"/>
              <w:bottom w:val="single" w:sz="4" w:space="0" w:color="000000"/>
            </w:tcBorders>
            <w:shd w:val="clear" w:color="auto" w:fill="auto"/>
          </w:tcPr>
          <w:p w14:paraId="07DB3A3C" w14:textId="77777777" w:rsidR="00BB13C2" w:rsidRPr="00D4781E" w:rsidRDefault="001A300F">
            <w:pPr>
              <w:rPr>
                <w:rFonts w:eastAsia="Calibri"/>
                <w:sz w:val="28"/>
                <w:szCs w:val="28"/>
              </w:rPr>
            </w:pPr>
            <w:r w:rsidRPr="00D4781E">
              <w:rPr>
                <w:sz w:val="28"/>
                <w:szCs w:val="28"/>
              </w:rPr>
              <w:t>1. Budžeta ieņēmumi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55D75C" w14:textId="77777777" w:rsidR="00BB13C2" w:rsidRPr="00D4781E" w:rsidRDefault="001A300F">
            <w:pPr>
              <w:rPr>
                <w:rFonts w:eastAsia="Calibri"/>
                <w:sz w:val="28"/>
                <w:szCs w:val="28"/>
              </w:rPr>
            </w:pPr>
            <w:r w:rsidRPr="00D4781E">
              <w:rPr>
                <w:sz w:val="28"/>
                <w:szCs w:val="28"/>
              </w:rPr>
              <w:t> 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338370" w14:textId="77777777" w:rsidR="00BB13C2" w:rsidRPr="00D4781E" w:rsidRDefault="001A300F">
            <w:pPr>
              <w:rPr>
                <w:rFonts w:eastAsia="Calibri"/>
                <w:sz w:val="28"/>
                <w:szCs w:val="28"/>
              </w:rPr>
            </w:pPr>
            <w:r w:rsidRPr="00D4781E">
              <w:rPr>
                <w:sz w:val="28"/>
                <w:szCs w:val="28"/>
              </w:rPr>
              <w:t> 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466788" w14:textId="77777777" w:rsidR="00BB13C2" w:rsidRPr="00D4781E" w:rsidRDefault="001A300F">
            <w:pPr>
              <w:rPr>
                <w:rFonts w:eastAsia="Calibri"/>
                <w:sz w:val="28"/>
                <w:szCs w:val="28"/>
              </w:rPr>
            </w:pPr>
            <w:r w:rsidRPr="00D4781E">
              <w:rPr>
                <w:sz w:val="28"/>
                <w:szCs w:val="28"/>
              </w:rPr>
              <w:t> 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FEC0C6" w14:textId="77777777" w:rsidR="00BB13C2" w:rsidRPr="00D4781E" w:rsidRDefault="001A300F">
            <w:pPr>
              <w:rPr>
                <w:rFonts w:eastAsia="Calibri"/>
                <w:sz w:val="28"/>
                <w:szCs w:val="28"/>
              </w:rPr>
            </w:pPr>
            <w:r w:rsidRPr="00D4781E">
              <w:rPr>
                <w:sz w:val="28"/>
                <w:szCs w:val="28"/>
              </w:rPr>
              <w:t> 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63622D9" w14:textId="77777777" w:rsidR="00BB13C2" w:rsidRPr="00D4781E" w:rsidRDefault="001A300F">
            <w:pPr>
              <w:rPr>
                <w:rFonts w:eastAsia="Calibri"/>
                <w:sz w:val="28"/>
                <w:szCs w:val="28"/>
              </w:rPr>
            </w:pPr>
            <w:r w:rsidRPr="00D4781E">
              <w:rPr>
                <w:sz w:val="28"/>
                <w:szCs w:val="28"/>
              </w:rPr>
              <w:t> 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E3E482" w14:textId="77777777" w:rsidR="00BB13C2" w:rsidRPr="00D4781E" w:rsidRDefault="001A300F">
            <w:pPr>
              <w:rPr>
                <w:rFonts w:eastAsia="Calibri"/>
                <w:sz w:val="28"/>
                <w:szCs w:val="28"/>
              </w:rPr>
            </w:pPr>
            <w:r w:rsidRPr="00D4781E">
              <w:rPr>
                <w:sz w:val="28"/>
                <w:szCs w:val="28"/>
              </w:rPr>
              <w:t> 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20480" w14:textId="77777777" w:rsidR="00BB13C2" w:rsidRPr="00D4781E" w:rsidRDefault="001A300F">
            <w:pPr>
              <w:rPr>
                <w:rFonts w:eastAsia="Calibri"/>
                <w:sz w:val="28"/>
                <w:szCs w:val="28"/>
              </w:rPr>
            </w:pPr>
            <w:r w:rsidRPr="00D4781E">
              <w:rPr>
                <w:sz w:val="28"/>
                <w:szCs w:val="28"/>
              </w:rPr>
              <w:t> 0</w:t>
            </w:r>
          </w:p>
        </w:tc>
      </w:tr>
      <w:tr w:rsidR="00BB13C2" w:rsidRPr="00D4781E" w14:paraId="07B9498E" w14:textId="77777777" w:rsidTr="00490D95">
        <w:tc>
          <w:tcPr>
            <w:tcW w:w="2052" w:type="dxa"/>
            <w:tcBorders>
              <w:top w:val="single" w:sz="4" w:space="0" w:color="000000"/>
              <w:left w:val="single" w:sz="4" w:space="0" w:color="000000"/>
              <w:bottom w:val="single" w:sz="4" w:space="0" w:color="000000"/>
            </w:tcBorders>
            <w:shd w:val="clear" w:color="auto" w:fill="auto"/>
          </w:tcPr>
          <w:p w14:paraId="7B0D7D93" w14:textId="77777777" w:rsidR="00BB13C2" w:rsidRPr="00D4781E" w:rsidRDefault="001A300F">
            <w:pPr>
              <w:rPr>
                <w:rFonts w:eastAsia="Calibri"/>
                <w:sz w:val="28"/>
                <w:szCs w:val="28"/>
              </w:rPr>
            </w:pPr>
            <w:r w:rsidRPr="00D4781E">
              <w:rPr>
                <w:sz w:val="28"/>
                <w:szCs w:val="28"/>
              </w:rPr>
              <w:t>1.1. valsts pamatbudžets, tai skaitā ieņēmumi no maksas pakalpojumiem un citi pašu ieņēmumi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976DFB"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632081"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E2EB67" w14:textId="77777777" w:rsidR="00BB13C2" w:rsidRPr="00D4781E" w:rsidRDefault="001A300F">
            <w:pPr>
              <w:rPr>
                <w:rFonts w:eastAsia="Calibri"/>
                <w:sz w:val="28"/>
                <w:szCs w:val="28"/>
              </w:rPr>
            </w:pPr>
            <w:r w:rsidRPr="00D4781E">
              <w:rPr>
                <w:rFonts w:eastAsia="Calibri"/>
                <w:sz w:val="28"/>
                <w:szCs w:val="28"/>
              </w:rPr>
              <w:t>-</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6D8FAE" w14:textId="77777777" w:rsidR="00BB13C2" w:rsidRPr="00D4781E" w:rsidRDefault="001A300F">
            <w:pPr>
              <w:rPr>
                <w:rFonts w:eastAsia="Calibri"/>
                <w:sz w:val="28"/>
                <w:szCs w:val="28"/>
              </w:rPr>
            </w:pPr>
            <w:r w:rsidRPr="00D4781E">
              <w:rPr>
                <w:rFonts w:eastAsia="Calibri"/>
                <w:sz w:val="28"/>
                <w:szCs w:val="28"/>
              </w:rPr>
              <w:t>-</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2DE812" w14:textId="77777777" w:rsidR="00BB13C2" w:rsidRPr="00D4781E" w:rsidRDefault="001A300F">
            <w:pPr>
              <w:rPr>
                <w:rFonts w:eastAsia="Calibri"/>
                <w:sz w:val="28"/>
                <w:szCs w:val="28"/>
              </w:rPr>
            </w:pPr>
            <w:r w:rsidRPr="00D4781E">
              <w:rPr>
                <w:rFonts w:eastAsia="Calibri"/>
                <w:sz w:val="28"/>
                <w:szCs w:val="28"/>
              </w:rPr>
              <w:t>-</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2CB68F" w14:textId="77777777" w:rsidR="00BB13C2" w:rsidRPr="00D4781E" w:rsidRDefault="001A300F">
            <w:pPr>
              <w:rPr>
                <w:rFonts w:eastAsia="Calibri"/>
                <w:sz w:val="28"/>
                <w:szCs w:val="28"/>
              </w:rPr>
            </w:pPr>
            <w:r w:rsidRPr="00D4781E">
              <w:rPr>
                <w:rFonts w:eastAsia="Calibri"/>
                <w:sz w:val="28"/>
                <w:szCs w:val="28"/>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645262" w14:textId="77777777" w:rsidR="00BB13C2" w:rsidRPr="00D4781E" w:rsidRDefault="001A300F">
            <w:pPr>
              <w:rPr>
                <w:rFonts w:eastAsia="Calibri"/>
                <w:sz w:val="28"/>
                <w:szCs w:val="28"/>
              </w:rPr>
            </w:pPr>
            <w:r w:rsidRPr="00D4781E">
              <w:rPr>
                <w:rFonts w:eastAsia="Calibri"/>
                <w:sz w:val="28"/>
                <w:szCs w:val="28"/>
              </w:rPr>
              <w:t>-</w:t>
            </w:r>
          </w:p>
        </w:tc>
      </w:tr>
      <w:tr w:rsidR="00BB13C2" w:rsidRPr="00D4781E" w14:paraId="536CBC19" w14:textId="77777777" w:rsidTr="00490D95">
        <w:tc>
          <w:tcPr>
            <w:tcW w:w="2052" w:type="dxa"/>
            <w:tcBorders>
              <w:top w:val="single" w:sz="4" w:space="0" w:color="000000"/>
              <w:left w:val="single" w:sz="4" w:space="0" w:color="000000"/>
              <w:bottom w:val="single" w:sz="4" w:space="0" w:color="000000"/>
            </w:tcBorders>
            <w:shd w:val="clear" w:color="auto" w:fill="auto"/>
          </w:tcPr>
          <w:p w14:paraId="6A4778CB" w14:textId="77777777" w:rsidR="00BB13C2" w:rsidRPr="00D4781E" w:rsidRDefault="001A300F">
            <w:pPr>
              <w:rPr>
                <w:rFonts w:eastAsia="Calibri"/>
                <w:sz w:val="28"/>
                <w:szCs w:val="28"/>
              </w:rPr>
            </w:pPr>
            <w:r w:rsidRPr="00D4781E">
              <w:rPr>
                <w:sz w:val="28"/>
                <w:szCs w:val="28"/>
              </w:rPr>
              <w:t>1.2. valsts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F1E407"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C5CA0B" w14:textId="77777777" w:rsidR="00BB13C2" w:rsidRPr="00D4781E" w:rsidRDefault="001A300F">
            <w:pPr>
              <w:rPr>
                <w:rFonts w:eastAsia="Calibri"/>
                <w:sz w:val="28"/>
                <w:szCs w:val="28"/>
              </w:rPr>
            </w:pPr>
            <w:r w:rsidRPr="00D4781E">
              <w:rPr>
                <w:rFonts w:eastAsia="Calibri"/>
                <w:sz w:val="28"/>
                <w:szCs w:val="28"/>
              </w:rPr>
              <w:t>-</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E4D83E" w14:textId="77777777" w:rsidR="00BB13C2" w:rsidRPr="00D4781E" w:rsidRDefault="001A300F">
            <w:pPr>
              <w:rPr>
                <w:rFonts w:eastAsia="Calibri"/>
                <w:sz w:val="28"/>
                <w:szCs w:val="28"/>
              </w:rPr>
            </w:pPr>
            <w:r w:rsidRPr="00D4781E">
              <w:rPr>
                <w:rFonts w:eastAsia="Calibri"/>
                <w:sz w:val="28"/>
                <w:szCs w:val="28"/>
              </w:rPr>
              <w:t>-</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48B0F8" w14:textId="77777777" w:rsidR="00BB13C2" w:rsidRPr="00D4781E" w:rsidRDefault="001A300F">
            <w:pPr>
              <w:rPr>
                <w:rFonts w:eastAsia="Calibri"/>
                <w:sz w:val="28"/>
                <w:szCs w:val="28"/>
              </w:rPr>
            </w:pPr>
            <w:r w:rsidRPr="00D4781E">
              <w:rPr>
                <w:rFonts w:eastAsia="Calibri"/>
                <w:sz w:val="28"/>
                <w:szCs w:val="28"/>
              </w:rPr>
              <w:t>-</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B9E9E4" w14:textId="77777777" w:rsidR="00BB13C2" w:rsidRPr="00D4781E" w:rsidRDefault="001A300F">
            <w:pPr>
              <w:rPr>
                <w:rFonts w:eastAsia="Calibri"/>
                <w:sz w:val="28"/>
                <w:szCs w:val="28"/>
              </w:rPr>
            </w:pPr>
            <w:r w:rsidRPr="00D4781E">
              <w:rPr>
                <w:rFonts w:eastAsia="Calibri"/>
                <w:sz w:val="28"/>
                <w:szCs w:val="28"/>
              </w:rPr>
              <w:t>-</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4EBAD3" w14:textId="77777777" w:rsidR="00BB13C2" w:rsidRPr="00D4781E" w:rsidRDefault="001A300F">
            <w:pPr>
              <w:rPr>
                <w:rFonts w:eastAsia="Calibri"/>
                <w:sz w:val="28"/>
                <w:szCs w:val="28"/>
              </w:rPr>
            </w:pPr>
            <w:r w:rsidRPr="00D4781E">
              <w:rPr>
                <w:rFonts w:eastAsia="Calibri"/>
                <w:sz w:val="28"/>
                <w:szCs w:val="28"/>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62192D" w14:textId="77777777" w:rsidR="00BB13C2" w:rsidRPr="00D4781E" w:rsidRDefault="001A300F">
            <w:pPr>
              <w:rPr>
                <w:rFonts w:eastAsia="Calibri"/>
                <w:sz w:val="28"/>
                <w:szCs w:val="28"/>
              </w:rPr>
            </w:pPr>
            <w:r w:rsidRPr="00D4781E">
              <w:rPr>
                <w:rFonts w:eastAsia="Calibri"/>
                <w:sz w:val="28"/>
                <w:szCs w:val="28"/>
              </w:rPr>
              <w:t>-</w:t>
            </w:r>
          </w:p>
        </w:tc>
      </w:tr>
      <w:tr w:rsidR="00BB13C2" w:rsidRPr="00D4781E" w14:paraId="24F951DE" w14:textId="77777777" w:rsidTr="00490D95">
        <w:tc>
          <w:tcPr>
            <w:tcW w:w="2052" w:type="dxa"/>
            <w:tcBorders>
              <w:top w:val="single" w:sz="4" w:space="0" w:color="000000"/>
              <w:left w:val="single" w:sz="4" w:space="0" w:color="000000"/>
              <w:bottom w:val="single" w:sz="4" w:space="0" w:color="000000"/>
            </w:tcBorders>
            <w:shd w:val="clear" w:color="auto" w:fill="auto"/>
          </w:tcPr>
          <w:p w14:paraId="0D78E260" w14:textId="77777777" w:rsidR="00BB13C2" w:rsidRPr="00D4781E" w:rsidRDefault="001A300F">
            <w:pPr>
              <w:rPr>
                <w:rFonts w:eastAsia="Calibri"/>
                <w:sz w:val="28"/>
                <w:szCs w:val="28"/>
              </w:rPr>
            </w:pPr>
            <w:r w:rsidRPr="00D4781E">
              <w:rPr>
                <w:sz w:val="28"/>
                <w:szCs w:val="28"/>
              </w:rPr>
              <w:t>1.3.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9147CD"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7C75E3" w14:textId="77777777" w:rsidR="00BB13C2" w:rsidRPr="00D4781E" w:rsidRDefault="001A300F">
            <w:pPr>
              <w:rPr>
                <w:rFonts w:eastAsia="Calibri"/>
                <w:sz w:val="28"/>
                <w:szCs w:val="28"/>
              </w:rPr>
            </w:pPr>
            <w:r w:rsidRPr="00D4781E">
              <w:rPr>
                <w:rFonts w:eastAsia="Calibri"/>
                <w:sz w:val="28"/>
                <w:szCs w:val="28"/>
              </w:rPr>
              <w:t>-</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C36D64" w14:textId="77777777" w:rsidR="00BB13C2" w:rsidRPr="00D4781E" w:rsidRDefault="001A300F">
            <w:pPr>
              <w:rPr>
                <w:rFonts w:eastAsia="Calibri"/>
                <w:sz w:val="28"/>
                <w:szCs w:val="28"/>
              </w:rPr>
            </w:pPr>
            <w:r w:rsidRPr="00D4781E">
              <w:rPr>
                <w:rFonts w:eastAsia="Calibri"/>
                <w:sz w:val="28"/>
                <w:szCs w:val="28"/>
              </w:rPr>
              <w:t>-</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486CC6" w14:textId="77777777" w:rsidR="00BB13C2" w:rsidRPr="00D4781E" w:rsidRDefault="001A300F">
            <w:pPr>
              <w:rPr>
                <w:rFonts w:eastAsia="Calibri"/>
                <w:sz w:val="28"/>
                <w:szCs w:val="28"/>
              </w:rPr>
            </w:pPr>
            <w:r w:rsidRPr="00D4781E">
              <w:rPr>
                <w:rFonts w:eastAsia="Calibri"/>
                <w:sz w:val="28"/>
                <w:szCs w:val="28"/>
              </w:rPr>
              <w:t>-</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819A6E" w14:textId="77777777" w:rsidR="00BB13C2" w:rsidRPr="00D4781E" w:rsidRDefault="001A300F">
            <w:pPr>
              <w:rPr>
                <w:rFonts w:eastAsia="Calibri"/>
                <w:sz w:val="28"/>
                <w:szCs w:val="28"/>
              </w:rPr>
            </w:pPr>
            <w:r w:rsidRPr="00D4781E">
              <w:rPr>
                <w:rFonts w:eastAsia="Calibri"/>
                <w:sz w:val="28"/>
                <w:szCs w:val="28"/>
              </w:rPr>
              <w:t>-</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0E5822" w14:textId="77777777" w:rsidR="00BB13C2" w:rsidRPr="00D4781E" w:rsidRDefault="001A300F">
            <w:pPr>
              <w:rPr>
                <w:rFonts w:eastAsia="Calibri"/>
                <w:sz w:val="28"/>
                <w:szCs w:val="28"/>
              </w:rPr>
            </w:pPr>
            <w:r w:rsidRPr="00D4781E">
              <w:rPr>
                <w:sz w:val="28"/>
                <w:szCs w:val="28"/>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7F907" w14:textId="77777777" w:rsidR="00BB13C2" w:rsidRPr="00D4781E" w:rsidRDefault="001A300F">
            <w:pPr>
              <w:rPr>
                <w:rFonts w:eastAsia="Calibri"/>
                <w:sz w:val="28"/>
                <w:szCs w:val="28"/>
              </w:rPr>
            </w:pPr>
            <w:r w:rsidRPr="00D4781E">
              <w:rPr>
                <w:rFonts w:eastAsia="Calibri"/>
                <w:sz w:val="28"/>
                <w:szCs w:val="28"/>
              </w:rPr>
              <w:t>-</w:t>
            </w:r>
          </w:p>
        </w:tc>
      </w:tr>
      <w:tr w:rsidR="00BB13C2" w:rsidRPr="00D4781E" w14:paraId="48CDB326" w14:textId="77777777" w:rsidTr="00490D95">
        <w:tc>
          <w:tcPr>
            <w:tcW w:w="2052" w:type="dxa"/>
            <w:tcBorders>
              <w:top w:val="single" w:sz="4" w:space="0" w:color="000000"/>
              <w:left w:val="single" w:sz="4" w:space="0" w:color="000000"/>
              <w:bottom w:val="single" w:sz="4" w:space="0" w:color="000000"/>
            </w:tcBorders>
            <w:shd w:val="clear" w:color="auto" w:fill="auto"/>
          </w:tcPr>
          <w:p w14:paraId="0BC680B4" w14:textId="77777777" w:rsidR="00BB13C2" w:rsidRPr="00D4781E" w:rsidRDefault="001A300F">
            <w:pPr>
              <w:rPr>
                <w:rFonts w:eastAsia="Calibri"/>
                <w:sz w:val="28"/>
                <w:szCs w:val="28"/>
              </w:rPr>
            </w:pPr>
            <w:r w:rsidRPr="00D4781E">
              <w:rPr>
                <w:sz w:val="28"/>
                <w:szCs w:val="28"/>
              </w:rPr>
              <w:t>2. Budžeta izdevumi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441EB4" w14:textId="77777777" w:rsidR="00BB13C2" w:rsidRPr="00D4781E" w:rsidRDefault="001A300F">
            <w:pPr>
              <w:rPr>
                <w:rFonts w:eastAsia="Calibri"/>
                <w:sz w:val="28"/>
                <w:szCs w:val="28"/>
              </w:rPr>
            </w:pPr>
            <w:r w:rsidRPr="00D4781E">
              <w:rPr>
                <w:sz w:val="28"/>
                <w:szCs w:val="28"/>
              </w:rPr>
              <w:t> 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5ACAC4" w14:textId="77777777" w:rsidR="00BB13C2" w:rsidRPr="00D4781E" w:rsidRDefault="001A300F">
            <w:pPr>
              <w:rPr>
                <w:rFonts w:eastAsia="Calibri"/>
                <w:sz w:val="28"/>
                <w:szCs w:val="28"/>
              </w:rPr>
            </w:pPr>
            <w:r w:rsidRPr="00D4781E">
              <w:rPr>
                <w:rFonts w:eastAsia="Calibri"/>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217FD8" w14:textId="77777777" w:rsidR="00BB13C2" w:rsidRPr="00D4781E" w:rsidRDefault="001A300F">
            <w:pPr>
              <w:rPr>
                <w:rFonts w:eastAsia="Calibri"/>
                <w:sz w:val="28"/>
                <w:szCs w:val="28"/>
              </w:rPr>
            </w:pPr>
            <w:r w:rsidRPr="00D4781E">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B32559D" w14:textId="77777777" w:rsidR="00BB13C2" w:rsidRPr="00D4781E" w:rsidRDefault="001A300F">
            <w:pPr>
              <w:rPr>
                <w:rFonts w:eastAsia="Calibri"/>
                <w:sz w:val="28"/>
                <w:szCs w:val="28"/>
              </w:rPr>
            </w:pPr>
            <w:r w:rsidRPr="00D4781E">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0B4133" w14:textId="77777777" w:rsidR="00BB13C2" w:rsidRPr="00D4781E" w:rsidRDefault="001A300F">
            <w:pPr>
              <w:rPr>
                <w:rFonts w:eastAsia="Calibri"/>
                <w:sz w:val="28"/>
                <w:szCs w:val="28"/>
              </w:rPr>
            </w:pPr>
            <w:r w:rsidRPr="00D4781E">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D12135" w14:textId="77777777" w:rsidR="00BB13C2" w:rsidRPr="00D4781E" w:rsidRDefault="001A300F">
            <w:pPr>
              <w:rPr>
                <w:rFonts w:eastAsia="Calibri"/>
                <w:sz w:val="28"/>
                <w:szCs w:val="28"/>
              </w:rPr>
            </w:pPr>
            <w:r w:rsidRPr="00D4781E">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3ECBC" w14:textId="77777777" w:rsidR="00BB13C2" w:rsidRPr="00D4781E" w:rsidRDefault="001A300F">
            <w:pPr>
              <w:rPr>
                <w:rFonts w:eastAsia="Calibri"/>
                <w:sz w:val="28"/>
                <w:szCs w:val="28"/>
              </w:rPr>
            </w:pPr>
            <w:r w:rsidRPr="00D4781E">
              <w:rPr>
                <w:sz w:val="28"/>
                <w:szCs w:val="28"/>
              </w:rPr>
              <w:t>0</w:t>
            </w:r>
          </w:p>
        </w:tc>
      </w:tr>
      <w:tr w:rsidR="00BB13C2" w:rsidRPr="00D4781E" w14:paraId="1EE428B0" w14:textId="77777777" w:rsidTr="00490D95">
        <w:tc>
          <w:tcPr>
            <w:tcW w:w="2052" w:type="dxa"/>
            <w:tcBorders>
              <w:top w:val="single" w:sz="4" w:space="0" w:color="000000"/>
              <w:left w:val="single" w:sz="4" w:space="0" w:color="000000"/>
              <w:bottom w:val="single" w:sz="4" w:space="0" w:color="000000"/>
            </w:tcBorders>
            <w:shd w:val="clear" w:color="auto" w:fill="auto"/>
          </w:tcPr>
          <w:p w14:paraId="165EA441" w14:textId="77777777" w:rsidR="00BB13C2" w:rsidRPr="00D4781E" w:rsidRDefault="001A300F">
            <w:pPr>
              <w:rPr>
                <w:rFonts w:eastAsia="Calibri"/>
                <w:sz w:val="28"/>
                <w:szCs w:val="28"/>
              </w:rPr>
            </w:pPr>
            <w:r w:rsidRPr="00D4781E">
              <w:rPr>
                <w:sz w:val="28"/>
                <w:szCs w:val="28"/>
              </w:rPr>
              <w:t>2.1. valsts pamatbudžets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D01739"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17B5BC"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A3A079"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501E1F"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A04EC7"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FACEA8" w14:textId="77777777" w:rsidR="00BB13C2" w:rsidRPr="00D4781E" w:rsidRDefault="001A300F">
            <w:pPr>
              <w:rPr>
                <w:rFonts w:eastAsia="Calibri"/>
                <w:sz w:val="28"/>
                <w:szCs w:val="28"/>
              </w:rPr>
            </w:pPr>
            <w:r w:rsidRPr="00D4781E">
              <w:rPr>
                <w:rFonts w:eastAsia="Calibri"/>
                <w:sz w:val="28"/>
                <w:szCs w:val="28"/>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6DCE0" w14:textId="77777777" w:rsidR="00BB13C2" w:rsidRPr="00D4781E" w:rsidRDefault="001A300F">
            <w:pPr>
              <w:rPr>
                <w:rFonts w:eastAsia="Calibri"/>
                <w:sz w:val="28"/>
                <w:szCs w:val="28"/>
              </w:rPr>
            </w:pPr>
            <w:r w:rsidRPr="00D4781E">
              <w:rPr>
                <w:sz w:val="28"/>
                <w:szCs w:val="28"/>
              </w:rPr>
              <w:t> -</w:t>
            </w:r>
          </w:p>
        </w:tc>
      </w:tr>
      <w:tr w:rsidR="00BB13C2" w:rsidRPr="00D4781E" w14:paraId="42D38F4D" w14:textId="77777777" w:rsidTr="00490D95">
        <w:tc>
          <w:tcPr>
            <w:tcW w:w="2052" w:type="dxa"/>
            <w:tcBorders>
              <w:top w:val="single" w:sz="4" w:space="0" w:color="000000"/>
              <w:left w:val="single" w:sz="4" w:space="0" w:color="000000"/>
              <w:bottom w:val="single" w:sz="4" w:space="0" w:color="000000"/>
            </w:tcBorders>
            <w:shd w:val="clear" w:color="auto" w:fill="auto"/>
          </w:tcPr>
          <w:p w14:paraId="31F99AF7" w14:textId="77777777" w:rsidR="00BB13C2" w:rsidRPr="00D4781E" w:rsidRDefault="001A300F">
            <w:pPr>
              <w:rPr>
                <w:rFonts w:eastAsia="Calibri"/>
                <w:sz w:val="28"/>
                <w:szCs w:val="28"/>
              </w:rPr>
            </w:pPr>
            <w:r w:rsidRPr="00D4781E">
              <w:rPr>
                <w:sz w:val="28"/>
                <w:szCs w:val="28"/>
              </w:rPr>
              <w:t>2.2. valsts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BAC3F4"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FC59C2"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0C3374"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1ECA06"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391CB3"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0ED4AC"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1958F" w14:textId="77777777" w:rsidR="00BB13C2" w:rsidRPr="00D4781E" w:rsidRDefault="001A300F">
            <w:pPr>
              <w:rPr>
                <w:rFonts w:eastAsia="Calibri"/>
                <w:sz w:val="28"/>
                <w:szCs w:val="28"/>
              </w:rPr>
            </w:pPr>
            <w:r w:rsidRPr="00D4781E">
              <w:rPr>
                <w:sz w:val="28"/>
                <w:szCs w:val="28"/>
              </w:rPr>
              <w:t> -</w:t>
            </w:r>
          </w:p>
        </w:tc>
      </w:tr>
      <w:tr w:rsidR="00BB13C2" w:rsidRPr="00D4781E" w14:paraId="7E7421E2" w14:textId="77777777" w:rsidTr="00490D95">
        <w:tc>
          <w:tcPr>
            <w:tcW w:w="2052" w:type="dxa"/>
            <w:tcBorders>
              <w:top w:val="single" w:sz="4" w:space="0" w:color="000000"/>
              <w:left w:val="single" w:sz="4" w:space="0" w:color="000000"/>
              <w:bottom w:val="single" w:sz="4" w:space="0" w:color="000000"/>
            </w:tcBorders>
            <w:shd w:val="clear" w:color="auto" w:fill="auto"/>
          </w:tcPr>
          <w:p w14:paraId="492D5C95" w14:textId="77777777" w:rsidR="00BB13C2" w:rsidRPr="00D4781E" w:rsidRDefault="001A300F">
            <w:pPr>
              <w:rPr>
                <w:rFonts w:eastAsia="Calibri"/>
                <w:sz w:val="28"/>
                <w:szCs w:val="28"/>
              </w:rPr>
            </w:pPr>
            <w:r w:rsidRPr="00D4781E">
              <w:rPr>
                <w:sz w:val="28"/>
                <w:szCs w:val="28"/>
              </w:rPr>
              <w:t>2.3.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459146"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E31FC4"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468D6C"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AC65AA"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C5074B"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B5AE9A"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80212" w14:textId="77777777" w:rsidR="00BB13C2" w:rsidRPr="00D4781E" w:rsidRDefault="001A300F">
            <w:pPr>
              <w:rPr>
                <w:rFonts w:eastAsia="Calibri"/>
                <w:sz w:val="28"/>
                <w:szCs w:val="28"/>
              </w:rPr>
            </w:pPr>
            <w:r w:rsidRPr="00D4781E">
              <w:rPr>
                <w:sz w:val="28"/>
                <w:szCs w:val="28"/>
              </w:rPr>
              <w:t> -</w:t>
            </w:r>
          </w:p>
        </w:tc>
      </w:tr>
      <w:tr w:rsidR="00BB13C2" w:rsidRPr="00D4781E" w14:paraId="7927D2CE" w14:textId="77777777" w:rsidTr="00490D95">
        <w:tc>
          <w:tcPr>
            <w:tcW w:w="2052" w:type="dxa"/>
            <w:tcBorders>
              <w:top w:val="single" w:sz="4" w:space="0" w:color="000000"/>
              <w:left w:val="single" w:sz="4" w:space="0" w:color="000000"/>
              <w:bottom w:val="single" w:sz="4" w:space="0" w:color="000000"/>
            </w:tcBorders>
            <w:shd w:val="clear" w:color="auto" w:fill="auto"/>
          </w:tcPr>
          <w:p w14:paraId="4844E7E4" w14:textId="77777777" w:rsidR="00BB13C2" w:rsidRPr="00D4781E" w:rsidRDefault="001A300F">
            <w:pPr>
              <w:rPr>
                <w:rFonts w:eastAsia="Calibri"/>
                <w:sz w:val="28"/>
                <w:szCs w:val="28"/>
              </w:rPr>
            </w:pPr>
            <w:r w:rsidRPr="00D4781E">
              <w:rPr>
                <w:sz w:val="28"/>
                <w:szCs w:val="28"/>
              </w:rPr>
              <w:t>3. Finansiālā ietekme</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80FB5C"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37B09E"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7F8015"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26161A6"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EBE3BD"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8C999C"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DC83E" w14:textId="77777777" w:rsidR="00BB13C2" w:rsidRPr="00D4781E" w:rsidRDefault="001A300F">
            <w:pPr>
              <w:rPr>
                <w:rFonts w:eastAsia="Calibri"/>
                <w:sz w:val="28"/>
                <w:szCs w:val="28"/>
              </w:rPr>
            </w:pPr>
            <w:r w:rsidRPr="00D4781E">
              <w:rPr>
                <w:sz w:val="28"/>
                <w:szCs w:val="28"/>
              </w:rPr>
              <w:t> -</w:t>
            </w:r>
          </w:p>
        </w:tc>
      </w:tr>
      <w:tr w:rsidR="00BB13C2" w:rsidRPr="00D4781E" w14:paraId="29E699B2" w14:textId="77777777" w:rsidTr="00490D95">
        <w:tc>
          <w:tcPr>
            <w:tcW w:w="2052" w:type="dxa"/>
            <w:tcBorders>
              <w:top w:val="single" w:sz="4" w:space="0" w:color="000000"/>
              <w:left w:val="single" w:sz="4" w:space="0" w:color="000000"/>
              <w:bottom w:val="single" w:sz="4" w:space="0" w:color="000000"/>
            </w:tcBorders>
            <w:shd w:val="clear" w:color="auto" w:fill="auto"/>
          </w:tcPr>
          <w:p w14:paraId="07CF126A" w14:textId="77777777" w:rsidR="00BB13C2" w:rsidRPr="00D4781E" w:rsidRDefault="001A300F">
            <w:pPr>
              <w:rPr>
                <w:rFonts w:eastAsia="Calibri"/>
                <w:sz w:val="28"/>
                <w:szCs w:val="28"/>
              </w:rPr>
            </w:pPr>
            <w:r w:rsidRPr="00D4781E">
              <w:rPr>
                <w:sz w:val="28"/>
                <w:szCs w:val="28"/>
              </w:rPr>
              <w:t>3.1. valsts pamatbudžets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021D70"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301C9E"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C6A574"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C614A1"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1234E3"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083BE7C"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F629A" w14:textId="77777777" w:rsidR="00BB13C2" w:rsidRPr="00D4781E" w:rsidRDefault="001A300F">
            <w:pPr>
              <w:rPr>
                <w:rFonts w:eastAsia="Calibri"/>
                <w:sz w:val="28"/>
                <w:szCs w:val="28"/>
              </w:rPr>
            </w:pPr>
            <w:r w:rsidRPr="00D4781E">
              <w:rPr>
                <w:sz w:val="28"/>
                <w:szCs w:val="28"/>
              </w:rPr>
              <w:t> -</w:t>
            </w:r>
          </w:p>
        </w:tc>
      </w:tr>
      <w:tr w:rsidR="00BB13C2" w:rsidRPr="00D4781E" w14:paraId="4956115D" w14:textId="77777777" w:rsidTr="00490D95">
        <w:tc>
          <w:tcPr>
            <w:tcW w:w="2052" w:type="dxa"/>
            <w:tcBorders>
              <w:top w:val="single" w:sz="4" w:space="0" w:color="000000"/>
              <w:left w:val="single" w:sz="4" w:space="0" w:color="000000"/>
              <w:bottom w:val="single" w:sz="4" w:space="0" w:color="000000"/>
            </w:tcBorders>
            <w:shd w:val="clear" w:color="auto" w:fill="auto"/>
          </w:tcPr>
          <w:p w14:paraId="0EA2FCF0" w14:textId="77777777" w:rsidR="00BB13C2" w:rsidRPr="00D4781E" w:rsidRDefault="001A300F">
            <w:pPr>
              <w:rPr>
                <w:rFonts w:eastAsia="Calibri"/>
                <w:sz w:val="28"/>
                <w:szCs w:val="28"/>
              </w:rPr>
            </w:pPr>
            <w:r w:rsidRPr="00D4781E">
              <w:rPr>
                <w:sz w:val="28"/>
                <w:szCs w:val="28"/>
              </w:rPr>
              <w:t>3.2.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CE2A4D"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399EC6"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8CBA65"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D76B76"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42859B"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0C5FE8"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7FD88" w14:textId="77777777" w:rsidR="00BB13C2" w:rsidRPr="00D4781E" w:rsidRDefault="001A300F">
            <w:pPr>
              <w:rPr>
                <w:rFonts w:eastAsia="Calibri"/>
                <w:sz w:val="28"/>
                <w:szCs w:val="28"/>
              </w:rPr>
            </w:pPr>
            <w:r w:rsidRPr="00D4781E">
              <w:rPr>
                <w:sz w:val="28"/>
                <w:szCs w:val="28"/>
              </w:rPr>
              <w:t> -</w:t>
            </w:r>
          </w:p>
        </w:tc>
      </w:tr>
      <w:tr w:rsidR="00BB13C2" w:rsidRPr="00D4781E" w14:paraId="1B4B27A3" w14:textId="77777777" w:rsidTr="00490D95">
        <w:tc>
          <w:tcPr>
            <w:tcW w:w="2052" w:type="dxa"/>
            <w:tcBorders>
              <w:top w:val="single" w:sz="4" w:space="0" w:color="000000"/>
              <w:left w:val="single" w:sz="4" w:space="0" w:color="000000"/>
              <w:bottom w:val="single" w:sz="4" w:space="0" w:color="000000"/>
            </w:tcBorders>
            <w:shd w:val="clear" w:color="auto" w:fill="auto"/>
          </w:tcPr>
          <w:p w14:paraId="05E4F727" w14:textId="77777777" w:rsidR="00BB13C2" w:rsidRPr="00D4781E" w:rsidRDefault="001A300F">
            <w:pPr>
              <w:rPr>
                <w:rFonts w:eastAsia="Calibri"/>
                <w:sz w:val="28"/>
                <w:szCs w:val="28"/>
              </w:rPr>
            </w:pPr>
            <w:r w:rsidRPr="00D4781E">
              <w:rPr>
                <w:sz w:val="28"/>
                <w:szCs w:val="28"/>
              </w:rPr>
              <w:t>3.3.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EA48E4" w14:textId="77777777" w:rsidR="00BB13C2" w:rsidRPr="00D4781E" w:rsidRDefault="001A300F">
            <w:pPr>
              <w:rPr>
                <w:rFonts w:eastAsia="Calibri"/>
                <w:sz w:val="28"/>
                <w:szCs w:val="28"/>
              </w:rPr>
            </w:pPr>
            <w:r w:rsidRPr="00D4781E">
              <w:rPr>
                <w:sz w:val="28"/>
                <w:szCs w:val="28"/>
              </w:rPr>
              <w:t>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FB35BC" w14:textId="77777777" w:rsidR="00BB13C2" w:rsidRPr="00D4781E" w:rsidRDefault="001A300F">
            <w:pPr>
              <w:rPr>
                <w:rFonts w:eastAsia="Calibri"/>
                <w:sz w:val="28"/>
                <w:szCs w:val="28"/>
              </w:rPr>
            </w:pPr>
            <w:r w:rsidRPr="00D4781E">
              <w:rPr>
                <w:sz w:val="28"/>
                <w:szCs w:val="28"/>
              </w:rPr>
              <w:t> -</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1493E25" w14:textId="77777777" w:rsidR="00BB13C2" w:rsidRPr="00D4781E" w:rsidRDefault="001A300F">
            <w:pPr>
              <w:rPr>
                <w:rFonts w:eastAsia="Calibri"/>
                <w:sz w:val="28"/>
                <w:szCs w:val="28"/>
              </w:rPr>
            </w:pPr>
            <w:r w:rsidRPr="00D4781E">
              <w:rPr>
                <w:sz w:val="28"/>
                <w:szCs w:val="28"/>
              </w:rPr>
              <w:t>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E1EAE7" w14:textId="77777777" w:rsidR="00BB13C2" w:rsidRPr="00D4781E" w:rsidRDefault="001A300F">
            <w:pPr>
              <w:rPr>
                <w:rFonts w:eastAsia="Calibri"/>
                <w:sz w:val="28"/>
                <w:szCs w:val="28"/>
              </w:rPr>
            </w:pPr>
            <w:r w:rsidRPr="00D4781E">
              <w:rPr>
                <w:sz w:val="28"/>
                <w:szCs w:val="28"/>
              </w:rPr>
              <w:t> -</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FD9B7A" w14:textId="77777777" w:rsidR="00BB13C2" w:rsidRPr="00D4781E" w:rsidRDefault="001A300F">
            <w:pPr>
              <w:rPr>
                <w:rFonts w:eastAsia="Calibri"/>
                <w:sz w:val="28"/>
                <w:szCs w:val="28"/>
              </w:rPr>
            </w:pPr>
            <w:r w:rsidRPr="00D4781E">
              <w:rPr>
                <w:sz w:val="28"/>
                <w:szCs w:val="28"/>
              </w:rPr>
              <w:t>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425EF4"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182FD" w14:textId="77777777" w:rsidR="00BB13C2" w:rsidRPr="00D4781E" w:rsidRDefault="001A300F">
            <w:pPr>
              <w:rPr>
                <w:rFonts w:eastAsia="Calibri"/>
                <w:sz w:val="28"/>
                <w:szCs w:val="28"/>
              </w:rPr>
            </w:pPr>
            <w:r w:rsidRPr="00D4781E">
              <w:rPr>
                <w:sz w:val="28"/>
                <w:szCs w:val="28"/>
              </w:rPr>
              <w:t> -</w:t>
            </w:r>
          </w:p>
        </w:tc>
      </w:tr>
      <w:tr w:rsidR="00BB13C2" w:rsidRPr="00D4781E" w14:paraId="45B9C7AF" w14:textId="77777777" w:rsidTr="00490D95">
        <w:tc>
          <w:tcPr>
            <w:tcW w:w="2052" w:type="dxa"/>
            <w:tcBorders>
              <w:top w:val="single" w:sz="4" w:space="0" w:color="000000"/>
              <w:left w:val="single" w:sz="4" w:space="0" w:color="000000"/>
              <w:bottom w:val="single" w:sz="4" w:space="0" w:color="000000"/>
            </w:tcBorders>
            <w:shd w:val="clear" w:color="auto" w:fill="auto"/>
          </w:tcPr>
          <w:p w14:paraId="2D3C5848" w14:textId="77777777" w:rsidR="00BB13C2" w:rsidRPr="00D4781E" w:rsidRDefault="001A300F">
            <w:pPr>
              <w:rPr>
                <w:rFonts w:eastAsia="Calibri"/>
                <w:sz w:val="28"/>
                <w:szCs w:val="28"/>
              </w:rPr>
            </w:pPr>
            <w:r w:rsidRPr="00D4781E">
              <w:rPr>
                <w:sz w:val="28"/>
                <w:szCs w:val="28"/>
              </w:rPr>
              <w:t xml:space="preserve">4. Finanšu līdzekļi papildu izdevumu finansēšanai (kompensējošu izdevumu samazinājumu </w:t>
            </w:r>
            <w:r w:rsidRPr="00D4781E">
              <w:rPr>
                <w:sz w:val="28"/>
                <w:szCs w:val="28"/>
              </w:rPr>
              <w:lastRenderedPageBreak/>
              <w:t>norāda ar "+" zīmi)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13813E" w14:textId="77777777" w:rsidR="00BB13C2" w:rsidRPr="00D4781E" w:rsidRDefault="001A300F">
            <w:pPr>
              <w:jc w:val="center"/>
              <w:rPr>
                <w:rFonts w:eastAsia="Calibri"/>
                <w:sz w:val="28"/>
                <w:szCs w:val="28"/>
              </w:rPr>
            </w:pPr>
            <w:r w:rsidRPr="00D4781E">
              <w:rPr>
                <w:sz w:val="28"/>
                <w:szCs w:val="28"/>
              </w:rPr>
              <w:lastRenderedPageBreak/>
              <w:t xml:space="preserve">-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52257B" w14:textId="77777777" w:rsidR="00BB13C2" w:rsidRPr="00D4781E" w:rsidRDefault="001A300F">
            <w:pPr>
              <w:rPr>
                <w:sz w:val="28"/>
                <w:szCs w:val="28"/>
              </w:rPr>
            </w:pPr>
            <w:r w:rsidRPr="00D4781E">
              <w:rPr>
                <w:sz w:val="28"/>
                <w:szCs w:val="28"/>
              </w:rPr>
              <w:t>-</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74A033" w14:textId="77777777" w:rsidR="00BB13C2" w:rsidRPr="00D4781E" w:rsidRDefault="001A300F">
            <w:pPr>
              <w:jc w:val="center"/>
              <w:rPr>
                <w:rFonts w:eastAsia="Calibri"/>
                <w:sz w:val="28"/>
                <w:szCs w:val="28"/>
              </w:rPr>
            </w:pPr>
            <w:r w:rsidRPr="00D4781E">
              <w:rPr>
                <w:sz w:val="28"/>
                <w:szCs w:val="28"/>
              </w:rPr>
              <w:t xml:space="preserve">-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1328711" w14:textId="77777777" w:rsidR="00BB13C2" w:rsidRPr="00D4781E" w:rsidRDefault="001A300F">
            <w:pPr>
              <w:rPr>
                <w:sz w:val="28"/>
                <w:szCs w:val="28"/>
              </w:rPr>
            </w:pPr>
            <w:r w:rsidRPr="00D4781E">
              <w:rPr>
                <w:sz w:val="28"/>
                <w:szCs w:val="28"/>
              </w:rPr>
              <w:t>-</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74560A" w14:textId="77777777" w:rsidR="00BB13C2" w:rsidRPr="00D4781E" w:rsidRDefault="001A300F">
            <w:pPr>
              <w:jc w:val="center"/>
              <w:rPr>
                <w:rFonts w:eastAsia="Calibri"/>
                <w:sz w:val="28"/>
                <w:szCs w:val="28"/>
              </w:rPr>
            </w:pPr>
            <w:r w:rsidRPr="00D4781E">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15A6AF"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85461" w14:textId="77777777" w:rsidR="00BB13C2" w:rsidRPr="00D4781E" w:rsidRDefault="001A300F">
            <w:pPr>
              <w:rPr>
                <w:rFonts w:eastAsia="Calibri"/>
                <w:sz w:val="28"/>
                <w:szCs w:val="28"/>
              </w:rPr>
            </w:pPr>
            <w:r w:rsidRPr="00D4781E">
              <w:rPr>
                <w:sz w:val="28"/>
                <w:szCs w:val="28"/>
              </w:rPr>
              <w:t> -</w:t>
            </w:r>
          </w:p>
        </w:tc>
      </w:tr>
      <w:tr w:rsidR="00BB13C2" w:rsidRPr="00D4781E" w14:paraId="13A9E91D" w14:textId="77777777" w:rsidTr="00490D95">
        <w:tc>
          <w:tcPr>
            <w:tcW w:w="2052" w:type="dxa"/>
            <w:tcBorders>
              <w:top w:val="single" w:sz="4" w:space="0" w:color="000000"/>
              <w:left w:val="single" w:sz="4" w:space="0" w:color="000000"/>
              <w:bottom w:val="single" w:sz="4" w:space="0" w:color="000000"/>
            </w:tcBorders>
            <w:shd w:val="clear" w:color="auto" w:fill="auto"/>
          </w:tcPr>
          <w:p w14:paraId="032E5221" w14:textId="77777777" w:rsidR="00BB13C2" w:rsidRPr="00D4781E" w:rsidRDefault="001A300F">
            <w:pPr>
              <w:rPr>
                <w:rFonts w:eastAsia="Calibri"/>
                <w:sz w:val="28"/>
                <w:szCs w:val="28"/>
              </w:rPr>
            </w:pPr>
            <w:r w:rsidRPr="00D4781E">
              <w:rPr>
                <w:sz w:val="28"/>
                <w:szCs w:val="28"/>
              </w:rPr>
              <w:t>5. Precizēta finansiālā ietekme</w:t>
            </w:r>
          </w:p>
        </w:tc>
        <w:tc>
          <w:tcPr>
            <w:tcW w:w="850"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116F64" w14:textId="77777777" w:rsidR="00BB13C2" w:rsidRPr="00D4781E" w:rsidRDefault="00BB13C2">
            <w:pPr>
              <w:snapToGrid w:val="0"/>
              <w:jc w:val="center"/>
              <w:rPr>
                <w:rFonts w:eastAsia="Calibri"/>
                <w:sz w:val="28"/>
                <w:szCs w:val="28"/>
              </w:rPr>
            </w:pPr>
          </w:p>
          <w:p w14:paraId="6EEB1A08" w14:textId="77777777" w:rsidR="00BB13C2" w:rsidRPr="00D4781E" w:rsidRDefault="00BB13C2">
            <w:pPr>
              <w:jc w:val="center"/>
              <w:rPr>
                <w:rFonts w:eastAsia="Calibri"/>
                <w:sz w:val="28"/>
                <w:szCs w:val="28"/>
              </w:rPr>
            </w:pPr>
          </w:p>
          <w:p w14:paraId="4C52996B" w14:textId="77777777" w:rsidR="00BB13C2" w:rsidRPr="00D4781E" w:rsidRDefault="00BB13C2">
            <w:pPr>
              <w:jc w:val="center"/>
              <w:rPr>
                <w:sz w:val="28"/>
                <w:szCs w:val="28"/>
              </w:rPr>
            </w:pPr>
          </w:p>
          <w:p w14:paraId="36A1DF68" w14:textId="77777777" w:rsidR="00BB13C2" w:rsidRPr="00D4781E" w:rsidRDefault="001A300F">
            <w:pPr>
              <w:jc w:val="center"/>
              <w:rPr>
                <w:rFonts w:eastAsia="Calibri"/>
                <w:sz w:val="28"/>
                <w:szCs w:val="28"/>
              </w:rPr>
            </w:pPr>
            <w:r w:rsidRPr="00D4781E">
              <w:rPr>
                <w:sz w:val="28"/>
                <w:szCs w:val="28"/>
              </w:rPr>
              <w:t xml:space="preserve"> </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047131" w14:textId="77777777" w:rsidR="00BB13C2" w:rsidRPr="00D4781E" w:rsidRDefault="00BB13C2">
            <w:pPr>
              <w:snapToGrid w:val="0"/>
              <w:rPr>
                <w:rFonts w:eastAsia="Calibri"/>
                <w:sz w:val="28"/>
                <w:szCs w:val="28"/>
              </w:rPr>
            </w:pPr>
          </w:p>
        </w:tc>
        <w:tc>
          <w:tcPr>
            <w:tcW w:w="948"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7771E3" w14:textId="77777777" w:rsidR="00BB13C2" w:rsidRPr="00D4781E" w:rsidRDefault="00BB13C2">
            <w:pPr>
              <w:snapToGrid w:val="0"/>
              <w:jc w:val="center"/>
              <w:rPr>
                <w:rFonts w:eastAsia="Calibri"/>
                <w:sz w:val="28"/>
                <w:szCs w:val="28"/>
              </w:rPr>
            </w:pPr>
          </w:p>
          <w:p w14:paraId="255912DE" w14:textId="77777777" w:rsidR="00BB13C2" w:rsidRPr="00D4781E" w:rsidRDefault="00BB13C2">
            <w:pPr>
              <w:jc w:val="center"/>
              <w:rPr>
                <w:rFonts w:eastAsia="Calibri"/>
                <w:sz w:val="28"/>
                <w:szCs w:val="28"/>
              </w:rPr>
            </w:pPr>
          </w:p>
          <w:p w14:paraId="65359CCC" w14:textId="77777777" w:rsidR="00BB13C2" w:rsidRPr="00D4781E" w:rsidRDefault="00BB13C2">
            <w:pPr>
              <w:jc w:val="center"/>
              <w:rPr>
                <w:sz w:val="28"/>
                <w:szCs w:val="28"/>
              </w:rPr>
            </w:pPr>
          </w:p>
          <w:p w14:paraId="54CD2942" w14:textId="77777777" w:rsidR="00BB13C2" w:rsidRPr="00D4781E" w:rsidRDefault="00BB13C2">
            <w:pPr>
              <w:jc w:val="center"/>
              <w:rPr>
                <w:sz w:val="28"/>
                <w:szCs w:val="28"/>
              </w:rPr>
            </w:pPr>
          </w:p>
          <w:p w14:paraId="5DB49913" w14:textId="77777777" w:rsidR="00BB13C2" w:rsidRPr="00D4781E" w:rsidRDefault="00BB13C2">
            <w:pPr>
              <w:jc w:val="center"/>
              <w:rPr>
                <w:sz w:val="28"/>
                <w:szCs w:val="28"/>
              </w:rPr>
            </w:pPr>
          </w:p>
          <w:p w14:paraId="74614E68" w14:textId="77777777" w:rsidR="00BB13C2" w:rsidRPr="00D4781E" w:rsidRDefault="001A300F">
            <w:pPr>
              <w:jc w:val="center"/>
              <w:rPr>
                <w:rFonts w:eastAsia="Calibri"/>
                <w:sz w:val="28"/>
                <w:szCs w:val="28"/>
              </w:rPr>
            </w:pPr>
            <w:r w:rsidRPr="00D4781E">
              <w:rPr>
                <w:sz w:val="28"/>
                <w:szCs w:val="28"/>
              </w:rPr>
              <w:t xml:space="preserve"> </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09EA2F" w14:textId="77777777" w:rsidR="00BB13C2" w:rsidRPr="00D4781E" w:rsidRDefault="00BB13C2">
            <w:pPr>
              <w:snapToGrid w:val="0"/>
              <w:rPr>
                <w:rFonts w:eastAsia="Calibri"/>
                <w:sz w:val="28"/>
                <w:szCs w:val="28"/>
              </w:rPr>
            </w:pPr>
          </w:p>
        </w:tc>
        <w:tc>
          <w:tcPr>
            <w:tcW w:w="1026"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69F766" w14:textId="77777777" w:rsidR="00BB13C2" w:rsidRPr="00D4781E" w:rsidRDefault="00BB13C2">
            <w:pPr>
              <w:snapToGrid w:val="0"/>
              <w:jc w:val="center"/>
              <w:rPr>
                <w:rFonts w:eastAsia="Calibri"/>
                <w:sz w:val="28"/>
                <w:szCs w:val="28"/>
              </w:rPr>
            </w:pPr>
          </w:p>
          <w:p w14:paraId="4B44D43A" w14:textId="77777777" w:rsidR="00BB13C2" w:rsidRPr="00D4781E" w:rsidRDefault="00BB13C2">
            <w:pPr>
              <w:jc w:val="center"/>
              <w:rPr>
                <w:rFonts w:eastAsia="Calibri"/>
                <w:sz w:val="28"/>
                <w:szCs w:val="28"/>
              </w:rPr>
            </w:pPr>
          </w:p>
          <w:p w14:paraId="2A8E9C8C" w14:textId="77777777" w:rsidR="00BB13C2" w:rsidRPr="00D4781E" w:rsidRDefault="00BB13C2">
            <w:pPr>
              <w:jc w:val="center"/>
              <w:rPr>
                <w:sz w:val="28"/>
                <w:szCs w:val="28"/>
              </w:rPr>
            </w:pPr>
          </w:p>
          <w:p w14:paraId="18E8130F" w14:textId="6EADAC7D" w:rsidR="00BB13C2" w:rsidRPr="00D4781E" w:rsidRDefault="00BB13C2">
            <w:pPr>
              <w:jc w:val="center"/>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2FD715"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5AEFAF" w14:textId="77777777" w:rsidR="00BB13C2" w:rsidRPr="00D4781E" w:rsidRDefault="001A300F">
            <w:pPr>
              <w:rPr>
                <w:rFonts w:eastAsia="Calibri"/>
                <w:sz w:val="28"/>
                <w:szCs w:val="28"/>
              </w:rPr>
            </w:pPr>
            <w:r w:rsidRPr="00D4781E">
              <w:rPr>
                <w:sz w:val="28"/>
                <w:szCs w:val="28"/>
              </w:rPr>
              <w:t> </w:t>
            </w:r>
          </w:p>
        </w:tc>
      </w:tr>
      <w:tr w:rsidR="00BB13C2" w:rsidRPr="00D4781E" w14:paraId="5B7B1B7C" w14:textId="77777777" w:rsidTr="00490D95">
        <w:tc>
          <w:tcPr>
            <w:tcW w:w="2052" w:type="dxa"/>
            <w:tcBorders>
              <w:top w:val="single" w:sz="4" w:space="0" w:color="000000"/>
              <w:left w:val="single" w:sz="4" w:space="0" w:color="000000"/>
              <w:bottom w:val="single" w:sz="4" w:space="0" w:color="000000"/>
            </w:tcBorders>
            <w:shd w:val="clear" w:color="auto" w:fill="auto"/>
          </w:tcPr>
          <w:p w14:paraId="7860BD85" w14:textId="77777777" w:rsidR="00BB13C2" w:rsidRPr="00D4781E" w:rsidRDefault="001A300F">
            <w:pPr>
              <w:rPr>
                <w:rFonts w:eastAsia="Calibri"/>
                <w:sz w:val="28"/>
                <w:szCs w:val="28"/>
              </w:rPr>
            </w:pPr>
            <w:r w:rsidRPr="00D4781E">
              <w:rPr>
                <w:sz w:val="28"/>
                <w:szCs w:val="28"/>
              </w:rPr>
              <w:t>5.1. valsts pamatbudžets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539C2A" w14:textId="77777777" w:rsidR="00BB13C2" w:rsidRPr="00D4781E" w:rsidRDefault="00BB13C2">
            <w:pPr>
              <w:snapToGrid w:val="0"/>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4C9AD30B" w14:textId="77777777" w:rsidR="00BB13C2" w:rsidRPr="00D4781E" w:rsidRDefault="001A300F">
            <w:pPr>
              <w:rPr>
                <w:rFonts w:eastAsia="Calibri"/>
                <w:sz w:val="28"/>
                <w:szCs w:val="28"/>
              </w:rPr>
            </w:pPr>
            <w:r w:rsidRPr="00D4781E">
              <w:rPr>
                <w:sz w:val="28"/>
                <w:szCs w:val="28"/>
              </w:rPr>
              <w:t> </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9F3A64" w14:textId="77777777" w:rsidR="00BB13C2" w:rsidRPr="00D4781E" w:rsidRDefault="00BB13C2">
            <w:pPr>
              <w:snapToGrid w:val="0"/>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798FEFA8" w14:textId="77777777" w:rsidR="00BB13C2" w:rsidRPr="00D4781E" w:rsidRDefault="001A300F">
            <w:pPr>
              <w:rPr>
                <w:rFonts w:eastAsia="Calibri"/>
                <w:sz w:val="28"/>
                <w:szCs w:val="28"/>
              </w:rPr>
            </w:pPr>
            <w:r w:rsidRPr="00D4781E">
              <w:rPr>
                <w:sz w:val="28"/>
                <w:szCs w:val="28"/>
              </w:rPr>
              <w:t> </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E9FE5D" w14:textId="77777777" w:rsidR="00BB13C2" w:rsidRPr="00D4781E" w:rsidRDefault="00BB13C2">
            <w:pPr>
              <w:snapToGrid w:val="0"/>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28CFF2DA"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47075" w14:textId="77777777" w:rsidR="00BB13C2" w:rsidRPr="00D4781E" w:rsidRDefault="001A300F">
            <w:pPr>
              <w:rPr>
                <w:rFonts w:eastAsia="Calibri"/>
                <w:sz w:val="28"/>
                <w:szCs w:val="28"/>
              </w:rPr>
            </w:pPr>
            <w:r w:rsidRPr="00D4781E">
              <w:rPr>
                <w:sz w:val="28"/>
                <w:szCs w:val="28"/>
              </w:rPr>
              <w:t> </w:t>
            </w:r>
          </w:p>
        </w:tc>
      </w:tr>
      <w:tr w:rsidR="00BB13C2" w:rsidRPr="00D4781E" w14:paraId="376E8175" w14:textId="77777777" w:rsidTr="00490D95">
        <w:tc>
          <w:tcPr>
            <w:tcW w:w="2052" w:type="dxa"/>
            <w:tcBorders>
              <w:top w:val="single" w:sz="4" w:space="0" w:color="000000"/>
              <w:left w:val="single" w:sz="4" w:space="0" w:color="000000"/>
              <w:bottom w:val="single" w:sz="4" w:space="0" w:color="000000"/>
            </w:tcBorders>
            <w:shd w:val="clear" w:color="auto" w:fill="auto"/>
          </w:tcPr>
          <w:p w14:paraId="1CDA3BDE" w14:textId="77777777" w:rsidR="00BB13C2" w:rsidRPr="00D4781E" w:rsidRDefault="001A300F">
            <w:pPr>
              <w:rPr>
                <w:rFonts w:eastAsia="Calibri"/>
                <w:sz w:val="28"/>
                <w:szCs w:val="28"/>
              </w:rPr>
            </w:pPr>
            <w:r w:rsidRPr="00D4781E">
              <w:rPr>
                <w:sz w:val="28"/>
                <w:szCs w:val="28"/>
              </w:rPr>
              <w:t>5.2. speciālais 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3762A0" w14:textId="77777777" w:rsidR="00BB13C2" w:rsidRPr="00D4781E" w:rsidRDefault="00BB13C2">
            <w:pPr>
              <w:snapToGrid w:val="0"/>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16CF900F" w14:textId="77777777" w:rsidR="00BB13C2" w:rsidRPr="00D4781E" w:rsidRDefault="001A300F">
            <w:pPr>
              <w:rPr>
                <w:rFonts w:eastAsia="Calibri"/>
                <w:sz w:val="28"/>
                <w:szCs w:val="28"/>
              </w:rPr>
            </w:pPr>
            <w:r w:rsidRPr="00D4781E">
              <w:rPr>
                <w:sz w:val="28"/>
                <w:szCs w:val="28"/>
              </w:rPr>
              <w:t> </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D653B6" w14:textId="77777777" w:rsidR="00BB13C2" w:rsidRPr="00D4781E" w:rsidRDefault="00BB13C2">
            <w:pPr>
              <w:snapToGrid w:val="0"/>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405632CD" w14:textId="77777777" w:rsidR="00BB13C2" w:rsidRPr="00D4781E" w:rsidRDefault="001A300F">
            <w:pPr>
              <w:rPr>
                <w:rFonts w:eastAsia="Calibri"/>
                <w:sz w:val="28"/>
                <w:szCs w:val="28"/>
              </w:rPr>
            </w:pPr>
            <w:r w:rsidRPr="00D4781E">
              <w:rPr>
                <w:sz w:val="28"/>
                <w:szCs w:val="28"/>
              </w:rPr>
              <w:t> </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E7B977" w14:textId="77777777" w:rsidR="00BB13C2" w:rsidRPr="00D4781E" w:rsidRDefault="00BB13C2">
            <w:pPr>
              <w:snapToGrid w:val="0"/>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65C2DFA6"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ABFD8" w14:textId="77777777" w:rsidR="00BB13C2" w:rsidRPr="00D4781E" w:rsidRDefault="001A300F">
            <w:pPr>
              <w:rPr>
                <w:rFonts w:eastAsia="Calibri"/>
                <w:sz w:val="28"/>
                <w:szCs w:val="28"/>
              </w:rPr>
            </w:pPr>
            <w:r w:rsidRPr="00D4781E">
              <w:rPr>
                <w:sz w:val="28"/>
                <w:szCs w:val="28"/>
              </w:rPr>
              <w:t> </w:t>
            </w:r>
          </w:p>
        </w:tc>
      </w:tr>
      <w:tr w:rsidR="00BB13C2" w:rsidRPr="00D4781E" w14:paraId="33ED521C" w14:textId="77777777" w:rsidTr="00490D95">
        <w:tc>
          <w:tcPr>
            <w:tcW w:w="2052" w:type="dxa"/>
            <w:tcBorders>
              <w:top w:val="single" w:sz="4" w:space="0" w:color="000000"/>
              <w:left w:val="single" w:sz="4" w:space="0" w:color="000000"/>
              <w:bottom w:val="single" w:sz="4" w:space="0" w:color="000000"/>
            </w:tcBorders>
            <w:shd w:val="clear" w:color="auto" w:fill="auto"/>
          </w:tcPr>
          <w:p w14:paraId="256943FE" w14:textId="77777777" w:rsidR="00BB13C2" w:rsidRPr="00D4781E" w:rsidRDefault="001A300F">
            <w:pPr>
              <w:rPr>
                <w:rFonts w:eastAsia="Calibri"/>
                <w:sz w:val="28"/>
                <w:szCs w:val="28"/>
              </w:rPr>
            </w:pPr>
            <w:r w:rsidRPr="00D4781E">
              <w:rPr>
                <w:sz w:val="28"/>
                <w:szCs w:val="28"/>
              </w:rPr>
              <w:t>5.3. pašvaldību 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622A42" w14:textId="77777777" w:rsidR="00BB13C2" w:rsidRPr="00D4781E" w:rsidRDefault="00BB13C2">
            <w:pPr>
              <w:snapToGrid w:val="0"/>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1AFC0EA7" w14:textId="77777777" w:rsidR="00BB13C2" w:rsidRPr="00D4781E" w:rsidRDefault="001A300F">
            <w:pPr>
              <w:rPr>
                <w:rFonts w:eastAsia="Calibri"/>
                <w:sz w:val="28"/>
                <w:szCs w:val="28"/>
              </w:rPr>
            </w:pPr>
            <w:r w:rsidRPr="00D4781E">
              <w:rPr>
                <w:sz w:val="28"/>
                <w:szCs w:val="28"/>
              </w:rPr>
              <w:t> </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CAECFE" w14:textId="77777777" w:rsidR="00BB13C2" w:rsidRPr="00D4781E" w:rsidRDefault="00BB13C2">
            <w:pPr>
              <w:snapToGrid w:val="0"/>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4DF29B52" w14:textId="77777777" w:rsidR="00BB13C2" w:rsidRPr="00D4781E" w:rsidRDefault="001A300F">
            <w:pPr>
              <w:rPr>
                <w:rFonts w:eastAsia="Calibri"/>
                <w:sz w:val="28"/>
                <w:szCs w:val="28"/>
              </w:rPr>
            </w:pPr>
            <w:r w:rsidRPr="00D4781E">
              <w:rPr>
                <w:sz w:val="28"/>
                <w:szCs w:val="28"/>
              </w:rPr>
              <w:t> </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3D8AD4" w14:textId="77777777" w:rsidR="00BB13C2" w:rsidRPr="00D4781E" w:rsidRDefault="00BB13C2">
            <w:pPr>
              <w:snapToGrid w:val="0"/>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2703D264" w14:textId="77777777" w:rsidR="00BB13C2" w:rsidRPr="00D4781E" w:rsidRDefault="001A300F">
            <w:pPr>
              <w:rPr>
                <w:rFonts w:eastAsia="Calibri"/>
                <w:sz w:val="28"/>
                <w:szCs w:val="28"/>
              </w:rPr>
            </w:pPr>
            <w:r w:rsidRPr="00D4781E">
              <w:rPr>
                <w:sz w:val="28"/>
                <w:szCs w:val="28"/>
              </w:rPr>
              <w:t>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AB050B" w14:textId="77777777" w:rsidR="00BB13C2" w:rsidRPr="00D4781E" w:rsidRDefault="001A300F">
            <w:pPr>
              <w:rPr>
                <w:rFonts w:eastAsia="Calibri"/>
                <w:sz w:val="28"/>
                <w:szCs w:val="28"/>
              </w:rPr>
            </w:pPr>
            <w:r w:rsidRPr="00D4781E">
              <w:rPr>
                <w:sz w:val="28"/>
                <w:szCs w:val="28"/>
              </w:rPr>
              <w:t> </w:t>
            </w:r>
          </w:p>
        </w:tc>
      </w:tr>
      <w:tr w:rsidR="00BB13C2" w:rsidRPr="00D4781E" w14:paraId="216A533B" w14:textId="77777777" w:rsidTr="00490D95">
        <w:tc>
          <w:tcPr>
            <w:tcW w:w="2052" w:type="dxa"/>
            <w:tcBorders>
              <w:top w:val="single" w:sz="4" w:space="0" w:color="000000"/>
              <w:left w:val="single" w:sz="4" w:space="0" w:color="000000"/>
              <w:bottom w:val="single" w:sz="4" w:space="0" w:color="000000"/>
            </w:tcBorders>
            <w:shd w:val="clear" w:color="auto" w:fill="auto"/>
          </w:tcPr>
          <w:p w14:paraId="3273D137" w14:textId="77777777" w:rsidR="00BB13C2" w:rsidRPr="00D4781E" w:rsidRDefault="001A300F">
            <w:pPr>
              <w:rPr>
                <w:rFonts w:eastAsia="Calibri"/>
                <w:sz w:val="28"/>
                <w:szCs w:val="28"/>
              </w:rPr>
            </w:pPr>
            <w:r w:rsidRPr="00D4781E">
              <w:rPr>
                <w:sz w:val="28"/>
                <w:szCs w:val="28"/>
              </w:rPr>
              <w:t>6. Detalizēts ieņēmumu un izdevumu aprēķins (ja nepieciešams, detalizētu ieņēmumu un izdevumu aprēķinu var pievienot anotācijas pielikumā)</w:t>
            </w:r>
          </w:p>
        </w:tc>
        <w:tc>
          <w:tcPr>
            <w:tcW w:w="69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E0B0A" w14:textId="77777777" w:rsidR="00BB13C2" w:rsidRPr="00D4781E" w:rsidRDefault="001A300F" w:rsidP="00144E00">
            <w:pPr>
              <w:ind w:firstLine="688"/>
              <w:jc w:val="both"/>
              <w:rPr>
                <w:rFonts w:eastAsia="Calibri"/>
                <w:sz w:val="28"/>
                <w:szCs w:val="28"/>
              </w:rPr>
            </w:pPr>
            <w:r w:rsidRPr="00D4781E">
              <w:rPr>
                <w:rFonts w:eastAsia="Calibri"/>
                <w:sz w:val="28"/>
                <w:szCs w:val="28"/>
              </w:rPr>
              <w:t>Nav</w:t>
            </w:r>
          </w:p>
        </w:tc>
      </w:tr>
      <w:tr w:rsidR="00BB13C2" w:rsidRPr="00D4781E" w14:paraId="433C8FC5" w14:textId="77777777" w:rsidTr="00490D95">
        <w:tc>
          <w:tcPr>
            <w:tcW w:w="2052" w:type="dxa"/>
            <w:tcBorders>
              <w:top w:val="single" w:sz="4" w:space="0" w:color="000000"/>
              <w:left w:val="single" w:sz="4" w:space="0" w:color="000000"/>
              <w:bottom w:val="single" w:sz="4" w:space="0" w:color="000000"/>
            </w:tcBorders>
            <w:shd w:val="clear" w:color="auto" w:fill="auto"/>
          </w:tcPr>
          <w:p w14:paraId="0707B4AF" w14:textId="77777777" w:rsidR="00BB13C2" w:rsidRPr="00D4781E" w:rsidRDefault="001A300F">
            <w:pPr>
              <w:rPr>
                <w:rFonts w:eastAsia="Calibri"/>
                <w:sz w:val="28"/>
                <w:szCs w:val="28"/>
              </w:rPr>
            </w:pPr>
            <w:r w:rsidRPr="00D4781E">
              <w:rPr>
                <w:sz w:val="28"/>
                <w:szCs w:val="28"/>
              </w:rPr>
              <w:t>6.1. detalizēts ieņēmumu aprēķins</w:t>
            </w:r>
          </w:p>
        </w:tc>
        <w:tc>
          <w:tcPr>
            <w:tcW w:w="698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B6488" w14:textId="77777777" w:rsidR="00BB13C2" w:rsidRPr="00D4781E" w:rsidRDefault="00BB13C2">
            <w:pPr>
              <w:snapToGrid w:val="0"/>
              <w:rPr>
                <w:rFonts w:eastAsia="Calibri"/>
                <w:sz w:val="28"/>
                <w:szCs w:val="28"/>
              </w:rPr>
            </w:pPr>
          </w:p>
        </w:tc>
      </w:tr>
      <w:tr w:rsidR="00BB13C2" w:rsidRPr="00D4781E" w14:paraId="12487141" w14:textId="77777777" w:rsidTr="00490D95">
        <w:tc>
          <w:tcPr>
            <w:tcW w:w="2052" w:type="dxa"/>
            <w:tcBorders>
              <w:top w:val="single" w:sz="4" w:space="0" w:color="000000"/>
              <w:left w:val="single" w:sz="4" w:space="0" w:color="000000"/>
              <w:bottom w:val="single" w:sz="4" w:space="0" w:color="000000"/>
            </w:tcBorders>
            <w:shd w:val="clear" w:color="auto" w:fill="auto"/>
          </w:tcPr>
          <w:p w14:paraId="056454A8" w14:textId="77777777" w:rsidR="00BB13C2" w:rsidRPr="00D4781E" w:rsidRDefault="001A300F">
            <w:pPr>
              <w:rPr>
                <w:rFonts w:eastAsia="Calibri"/>
                <w:sz w:val="28"/>
                <w:szCs w:val="28"/>
              </w:rPr>
            </w:pPr>
            <w:r w:rsidRPr="00D4781E">
              <w:rPr>
                <w:sz w:val="28"/>
                <w:szCs w:val="28"/>
              </w:rPr>
              <w:t>6.2. detalizēts izdevumu aprēķins</w:t>
            </w:r>
          </w:p>
        </w:tc>
        <w:tc>
          <w:tcPr>
            <w:tcW w:w="698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06D92" w14:textId="77777777" w:rsidR="00BB13C2" w:rsidRPr="00D4781E" w:rsidRDefault="00BB13C2">
            <w:pPr>
              <w:snapToGrid w:val="0"/>
              <w:rPr>
                <w:rFonts w:eastAsia="Calibri"/>
                <w:sz w:val="28"/>
                <w:szCs w:val="28"/>
              </w:rPr>
            </w:pPr>
          </w:p>
        </w:tc>
      </w:tr>
      <w:tr w:rsidR="00BB13C2" w:rsidRPr="00D4781E" w14:paraId="5CB2E05F" w14:textId="77777777" w:rsidTr="00490D95">
        <w:tc>
          <w:tcPr>
            <w:tcW w:w="2052" w:type="dxa"/>
            <w:tcBorders>
              <w:top w:val="single" w:sz="4" w:space="0" w:color="000000"/>
              <w:left w:val="single" w:sz="4" w:space="0" w:color="000000"/>
              <w:bottom w:val="single" w:sz="4" w:space="0" w:color="000000"/>
            </w:tcBorders>
            <w:shd w:val="clear" w:color="auto" w:fill="auto"/>
          </w:tcPr>
          <w:p w14:paraId="002D7DCB" w14:textId="77777777" w:rsidR="00BB13C2" w:rsidRPr="00D4781E" w:rsidRDefault="001A300F">
            <w:pPr>
              <w:rPr>
                <w:rFonts w:eastAsia="Calibri"/>
                <w:sz w:val="28"/>
                <w:szCs w:val="28"/>
              </w:rPr>
            </w:pPr>
            <w:r w:rsidRPr="00D4781E">
              <w:rPr>
                <w:sz w:val="28"/>
                <w:szCs w:val="28"/>
              </w:rPr>
              <w:t>7. Amata vietu skaita izmaiņas</w:t>
            </w:r>
          </w:p>
        </w:tc>
        <w:tc>
          <w:tcPr>
            <w:tcW w:w="69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8A8B" w14:textId="77777777" w:rsidR="00BB13C2" w:rsidRPr="00D4781E" w:rsidRDefault="001A300F" w:rsidP="005B77B6">
            <w:pPr>
              <w:ind w:firstLine="688"/>
              <w:rPr>
                <w:rFonts w:eastAsia="Calibri"/>
                <w:sz w:val="28"/>
                <w:szCs w:val="28"/>
              </w:rPr>
            </w:pPr>
            <w:r w:rsidRPr="00D4781E">
              <w:rPr>
                <w:rFonts w:eastAsia="Calibri"/>
                <w:sz w:val="28"/>
                <w:szCs w:val="28"/>
              </w:rPr>
              <w:t>Nav izmaiņu</w:t>
            </w:r>
          </w:p>
        </w:tc>
      </w:tr>
      <w:tr w:rsidR="00BB13C2" w:rsidRPr="00D4781E" w14:paraId="2DF79C67" w14:textId="77777777" w:rsidTr="00490D95">
        <w:tc>
          <w:tcPr>
            <w:tcW w:w="2052" w:type="dxa"/>
            <w:tcBorders>
              <w:top w:val="single" w:sz="4" w:space="0" w:color="000000"/>
              <w:left w:val="single" w:sz="4" w:space="0" w:color="000000"/>
              <w:bottom w:val="single" w:sz="4" w:space="0" w:color="000000"/>
            </w:tcBorders>
            <w:shd w:val="clear" w:color="auto" w:fill="auto"/>
          </w:tcPr>
          <w:p w14:paraId="555677B3" w14:textId="77777777" w:rsidR="00BB13C2" w:rsidRPr="00D4781E" w:rsidRDefault="001A300F">
            <w:pPr>
              <w:rPr>
                <w:rFonts w:eastAsia="Calibri"/>
                <w:sz w:val="28"/>
                <w:szCs w:val="28"/>
              </w:rPr>
            </w:pPr>
            <w:r w:rsidRPr="00D4781E">
              <w:rPr>
                <w:sz w:val="28"/>
                <w:szCs w:val="28"/>
              </w:rPr>
              <w:t>8. Cita informācija</w:t>
            </w:r>
          </w:p>
        </w:tc>
        <w:tc>
          <w:tcPr>
            <w:tcW w:w="69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AEA09"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 xml:space="preserve">Likumprojekta ietekme uz valsts budžetu ir neitrāla. </w:t>
            </w:r>
          </w:p>
          <w:p w14:paraId="7C315D91" w14:textId="56055E97" w:rsidR="00BB13C2" w:rsidRPr="00D4781E" w:rsidRDefault="005B77B6" w:rsidP="008171DD">
            <w:pPr>
              <w:pStyle w:val="FootnoteText"/>
              <w:spacing w:after="120"/>
              <w:ind w:firstLine="709"/>
              <w:jc w:val="both"/>
              <w:rPr>
                <w:color w:val="000000"/>
                <w:sz w:val="28"/>
                <w:szCs w:val="28"/>
              </w:rPr>
            </w:pPr>
            <w:r w:rsidRPr="00D4781E">
              <w:rPr>
                <w:color w:val="000000"/>
                <w:sz w:val="28"/>
                <w:szCs w:val="28"/>
              </w:rPr>
              <w:t xml:space="preserve">Apstiprinātajā </w:t>
            </w:r>
            <w:proofErr w:type="spellStart"/>
            <w:r w:rsidR="001A300F" w:rsidRPr="00D4781E">
              <w:rPr>
                <w:color w:val="000000"/>
                <w:sz w:val="28"/>
                <w:szCs w:val="28"/>
              </w:rPr>
              <w:t>Possessor</w:t>
            </w:r>
            <w:proofErr w:type="spellEnd"/>
            <w:r w:rsidR="001A300F" w:rsidRPr="00D4781E">
              <w:rPr>
                <w:color w:val="000000"/>
                <w:sz w:val="28"/>
                <w:szCs w:val="28"/>
              </w:rPr>
              <w:t xml:space="preserve"> 2019.gada budžetā ir plānotas iemaksas valsts budžetā 1,1 milj</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apmērā. No šīs summas 310 tūkst</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veido iemaksas no valsts īpašumu privatizācijas, savukārt 790 tūkst</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ir iemaksas no dzīvojamo māju atsavināšanas, valsts kapitāla daļu atsavināšanas, valsts īpašuma nomas un zemes izpirkuma līgumu ieņēmumiem. </w:t>
            </w:r>
          </w:p>
          <w:p w14:paraId="0CDF7F16" w14:textId="18223333"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lastRenderedPageBreak/>
              <w:t>Paredzot, ka vis</w:t>
            </w:r>
            <w:r w:rsidR="005B77B6" w:rsidRPr="00D4781E">
              <w:rPr>
                <w:color w:val="000000"/>
                <w:sz w:val="28"/>
                <w:szCs w:val="28"/>
              </w:rPr>
              <w:t>i</w:t>
            </w:r>
            <w:r w:rsidRPr="00D4781E">
              <w:rPr>
                <w:color w:val="000000"/>
                <w:sz w:val="28"/>
                <w:szCs w:val="28"/>
              </w:rPr>
              <w:t xml:space="preserve"> privatizācijas ienākum</w:t>
            </w:r>
            <w:r w:rsidR="005B77B6" w:rsidRPr="00D4781E">
              <w:rPr>
                <w:color w:val="000000"/>
                <w:sz w:val="28"/>
                <w:szCs w:val="28"/>
              </w:rPr>
              <w:t>i tiks</w:t>
            </w:r>
            <w:r w:rsidRPr="00D4781E">
              <w:rPr>
                <w:color w:val="000000"/>
                <w:sz w:val="28"/>
                <w:szCs w:val="28"/>
              </w:rPr>
              <w:t xml:space="preserve"> ieskait</w:t>
            </w:r>
            <w:r w:rsidR="005B77B6" w:rsidRPr="00D4781E">
              <w:rPr>
                <w:color w:val="000000"/>
                <w:sz w:val="28"/>
                <w:szCs w:val="28"/>
              </w:rPr>
              <w:t>īti</w:t>
            </w:r>
            <w:r w:rsidRPr="00D4781E">
              <w:rPr>
                <w:color w:val="000000"/>
                <w:sz w:val="28"/>
                <w:szCs w:val="28"/>
              </w:rPr>
              <w:t xml:space="preserve"> rezerves fond</w:t>
            </w:r>
            <w:r w:rsidR="005B77B6" w:rsidRPr="00D4781E">
              <w:rPr>
                <w:color w:val="000000"/>
                <w:sz w:val="28"/>
                <w:szCs w:val="28"/>
              </w:rPr>
              <w:t>ā</w:t>
            </w:r>
            <w:r w:rsidRPr="00D4781E">
              <w:rPr>
                <w:color w:val="000000"/>
                <w:sz w:val="28"/>
                <w:szCs w:val="28"/>
              </w:rPr>
              <w:t xml:space="preserve"> valsts budžets turpinās saņemt pārējās iemaksas, kas veido lielāko daļu no </w:t>
            </w:r>
            <w:proofErr w:type="spellStart"/>
            <w:r w:rsidRPr="00D4781E">
              <w:rPr>
                <w:color w:val="000000"/>
                <w:sz w:val="28"/>
                <w:szCs w:val="28"/>
              </w:rPr>
              <w:t>Possessor</w:t>
            </w:r>
            <w:proofErr w:type="spellEnd"/>
            <w:r w:rsidRPr="00D4781E">
              <w:rPr>
                <w:color w:val="000000"/>
                <w:sz w:val="28"/>
                <w:szCs w:val="28"/>
              </w:rPr>
              <w:t xml:space="preserve"> veiktajām iemaksām valsts budžetā, t.i. 790 tūkst</w:t>
            </w:r>
            <w:r w:rsidR="00892241" w:rsidRPr="00D4781E">
              <w:rPr>
                <w:color w:val="000000"/>
                <w:sz w:val="28"/>
                <w:szCs w:val="28"/>
              </w:rPr>
              <w:t>.</w:t>
            </w:r>
            <w:r w:rsidRPr="00D4781E">
              <w:rPr>
                <w:color w:val="000000"/>
                <w:sz w:val="28"/>
                <w:szCs w:val="28"/>
              </w:rPr>
              <w:t xml:space="preserve"> </w:t>
            </w:r>
            <w:proofErr w:type="spellStart"/>
            <w:r w:rsidRPr="00D4781E">
              <w:rPr>
                <w:i/>
                <w:color w:val="000000"/>
                <w:sz w:val="28"/>
                <w:szCs w:val="28"/>
              </w:rPr>
              <w:t>euro</w:t>
            </w:r>
            <w:proofErr w:type="spellEnd"/>
            <w:r w:rsidRPr="00D4781E">
              <w:rPr>
                <w:color w:val="000000"/>
                <w:sz w:val="28"/>
                <w:szCs w:val="28"/>
              </w:rPr>
              <w:t xml:space="preserve">. Turklāt par summu, kas būs novirzīta rezerves fonda papildināšanai (310 tūkst. </w:t>
            </w:r>
            <w:proofErr w:type="spellStart"/>
            <w:r w:rsidRPr="00D4781E">
              <w:rPr>
                <w:i/>
                <w:color w:val="000000"/>
                <w:sz w:val="28"/>
                <w:szCs w:val="28"/>
              </w:rPr>
              <w:t>euro</w:t>
            </w:r>
            <w:proofErr w:type="spellEnd"/>
            <w:r w:rsidRPr="00D4781E">
              <w:rPr>
                <w:color w:val="000000"/>
                <w:sz w:val="28"/>
                <w:szCs w:val="28"/>
              </w:rPr>
              <w:t>), samazināsies nepieciešamā valsts budžeta dotācija, kas nepieciešama ta</w:t>
            </w:r>
            <w:r w:rsidR="005B77B6" w:rsidRPr="00D4781E">
              <w:rPr>
                <w:color w:val="000000"/>
                <w:sz w:val="28"/>
                <w:szCs w:val="28"/>
              </w:rPr>
              <w:t>m</w:t>
            </w:r>
            <w:r w:rsidRPr="00D4781E">
              <w:rPr>
                <w:color w:val="000000"/>
                <w:sz w:val="28"/>
                <w:szCs w:val="28"/>
              </w:rPr>
              <w:t xml:space="preserve"> deleģēto valsts pārvaldes uzdevumu izpildes nodrošināšanai. </w:t>
            </w:r>
          </w:p>
          <w:p w14:paraId="751B28C2" w14:textId="2478B1EB" w:rsidR="00BB13C2" w:rsidRPr="00D4781E" w:rsidRDefault="001A300F" w:rsidP="008171DD">
            <w:pPr>
              <w:pStyle w:val="FootnoteText"/>
              <w:spacing w:after="120"/>
              <w:ind w:firstLine="709"/>
              <w:jc w:val="both"/>
              <w:rPr>
                <w:rFonts w:eastAsia="Calibri"/>
                <w:sz w:val="28"/>
                <w:szCs w:val="28"/>
              </w:rPr>
            </w:pPr>
            <w:r w:rsidRPr="00D4781E">
              <w:rPr>
                <w:color w:val="000000"/>
                <w:sz w:val="28"/>
                <w:szCs w:val="28"/>
              </w:rPr>
              <w:t xml:space="preserve">Papildus jāatzīmē, ka </w:t>
            </w:r>
            <w:proofErr w:type="spellStart"/>
            <w:r w:rsidRPr="00D4781E">
              <w:rPr>
                <w:color w:val="000000"/>
                <w:sz w:val="28"/>
                <w:szCs w:val="28"/>
              </w:rPr>
              <w:t>Possessor</w:t>
            </w:r>
            <w:proofErr w:type="spellEnd"/>
            <w:r w:rsidRPr="00D4781E">
              <w:rPr>
                <w:color w:val="000000"/>
                <w:sz w:val="28"/>
                <w:szCs w:val="28"/>
              </w:rPr>
              <w:t xml:space="preserve"> ir vispārējās valdības institucionālajā sektorā iekļautais komersants un</w:t>
            </w:r>
            <w:r w:rsidR="005B77B6" w:rsidRPr="00D4781E">
              <w:rPr>
                <w:color w:val="000000"/>
                <w:sz w:val="28"/>
                <w:szCs w:val="28"/>
              </w:rPr>
              <w:t>,</w:t>
            </w:r>
            <w:r w:rsidRPr="00D4781E">
              <w:rPr>
                <w:color w:val="000000"/>
                <w:sz w:val="28"/>
                <w:szCs w:val="28"/>
              </w:rPr>
              <w:t xml:space="preserve"> valstij nekompensējot izdevumus, kas saistīti ar tai deleģēto valsts pārvaldes uzdevumu izpildi, attiecīgi palielinās </w:t>
            </w:r>
            <w:proofErr w:type="spellStart"/>
            <w:r w:rsidRPr="00D4781E">
              <w:rPr>
                <w:color w:val="000000"/>
                <w:sz w:val="28"/>
                <w:szCs w:val="28"/>
              </w:rPr>
              <w:t>Possessor</w:t>
            </w:r>
            <w:proofErr w:type="spellEnd"/>
            <w:r w:rsidRPr="00D4781E">
              <w:rPr>
                <w:color w:val="000000"/>
                <w:sz w:val="28"/>
                <w:szCs w:val="28"/>
              </w:rPr>
              <w:t xml:space="preserve"> zaudējumi</w:t>
            </w:r>
            <w:r w:rsidR="00892873" w:rsidRPr="00D4781E">
              <w:rPr>
                <w:color w:val="000000"/>
                <w:sz w:val="28"/>
                <w:szCs w:val="28"/>
              </w:rPr>
              <w:t>, kuriem ir</w:t>
            </w:r>
            <w:r w:rsidRPr="00D4781E">
              <w:rPr>
                <w:color w:val="000000"/>
                <w:sz w:val="28"/>
                <w:szCs w:val="28"/>
              </w:rPr>
              <w:t xml:space="preserve"> </w:t>
            </w:r>
            <w:r w:rsidR="00892873" w:rsidRPr="00D4781E">
              <w:rPr>
                <w:color w:val="000000"/>
                <w:sz w:val="28"/>
                <w:szCs w:val="28"/>
              </w:rPr>
              <w:t xml:space="preserve">līdzvērtīga </w:t>
            </w:r>
            <w:r w:rsidRPr="00D4781E">
              <w:rPr>
                <w:color w:val="000000"/>
                <w:sz w:val="28"/>
                <w:szCs w:val="28"/>
              </w:rPr>
              <w:t>negatīva ietekme uz valsts budžetu.</w:t>
            </w:r>
          </w:p>
        </w:tc>
      </w:tr>
    </w:tbl>
    <w:p w14:paraId="0F37F410" w14:textId="77777777" w:rsidR="00BB13C2" w:rsidRPr="00D4781E" w:rsidRDefault="00BB13C2">
      <w:pPr>
        <w:contextualSpacing/>
        <w:rPr>
          <w:sz w:val="16"/>
          <w:szCs w:val="16"/>
          <w:highlight w:val="yellow"/>
        </w:rPr>
      </w:pPr>
    </w:p>
    <w:tbl>
      <w:tblPr>
        <w:tblW w:w="4850" w:type="pct"/>
        <w:tblLook w:val="0000" w:firstRow="0" w:lastRow="0" w:firstColumn="0" w:lastColumn="0" w:noHBand="0" w:noVBand="0"/>
      </w:tblPr>
      <w:tblGrid>
        <w:gridCol w:w="426"/>
        <w:gridCol w:w="2309"/>
        <w:gridCol w:w="6054"/>
      </w:tblGrid>
      <w:tr w:rsidR="00BB13C2" w:rsidRPr="00D4781E" w14:paraId="7AAD3971" w14:textId="77777777">
        <w:trPr>
          <w:trHeight w:val="450"/>
        </w:trPr>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14:paraId="709AB8B7" w14:textId="77777777" w:rsidR="00BB13C2" w:rsidRPr="00D4781E" w:rsidRDefault="001A300F">
            <w:pPr>
              <w:ind w:left="57" w:right="57"/>
              <w:contextualSpacing/>
              <w:jc w:val="center"/>
              <w:rPr>
                <w:b/>
                <w:sz w:val="28"/>
                <w:szCs w:val="28"/>
              </w:rPr>
            </w:pPr>
            <w:r w:rsidRPr="00D4781E">
              <w:rPr>
                <w:b/>
                <w:sz w:val="28"/>
                <w:szCs w:val="28"/>
              </w:rPr>
              <w:t>IV. Tiesību akta projekta ietekme uz spēkā esošo tiesību normu sistēmu</w:t>
            </w:r>
          </w:p>
        </w:tc>
      </w:tr>
      <w:tr w:rsidR="00BB13C2" w:rsidRPr="00D4781E" w14:paraId="63205350" w14:textId="77777777">
        <w:tc>
          <w:tcPr>
            <w:tcW w:w="425" w:type="dxa"/>
            <w:tcBorders>
              <w:top w:val="single" w:sz="4" w:space="0" w:color="000000"/>
              <w:left w:val="single" w:sz="4" w:space="0" w:color="000000"/>
              <w:bottom w:val="single" w:sz="4" w:space="0" w:color="000000"/>
            </w:tcBorders>
            <w:shd w:val="clear" w:color="auto" w:fill="auto"/>
          </w:tcPr>
          <w:p w14:paraId="628192B8" w14:textId="77777777" w:rsidR="00BB13C2" w:rsidRPr="00D4781E" w:rsidRDefault="001A300F">
            <w:pPr>
              <w:contextualSpacing/>
              <w:rPr>
                <w:sz w:val="28"/>
                <w:szCs w:val="28"/>
              </w:rPr>
            </w:pPr>
            <w:r w:rsidRPr="00D4781E">
              <w:rPr>
                <w:sz w:val="28"/>
                <w:szCs w:val="28"/>
              </w:rPr>
              <w:t>1.</w:t>
            </w:r>
          </w:p>
        </w:tc>
        <w:tc>
          <w:tcPr>
            <w:tcW w:w="2311" w:type="dxa"/>
            <w:tcBorders>
              <w:top w:val="single" w:sz="4" w:space="0" w:color="000000"/>
              <w:left w:val="single" w:sz="4" w:space="0" w:color="000000"/>
              <w:bottom w:val="single" w:sz="4" w:space="0" w:color="000000"/>
            </w:tcBorders>
            <w:shd w:val="clear" w:color="auto" w:fill="auto"/>
          </w:tcPr>
          <w:p w14:paraId="1FE681A0" w14:textId="77777777" w:rsidR="00BB13C2" w:rsidRPr="00D4781E" w:rsidRDefault="001A300F">
            <w:pPr>
              <w:contextualSpacing/>
              <w:rPr>
                <w:sz w:val="28"/>
                <w:szCs w:val="28"/>
              </w:rPr>
            </w:pPr>
            <w:r w:rsidRPr="00D4781E">
              <w:rPr>
                <w:sz w:val="28"/>
                <w:szCs w:val="28"/>
              </w:rPr>
              <w:t>Saistītie tiesību aktu projekti</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6907965D" w14:textId="77777777" w:rsidR="00BB13C2" w:rsidRPr="00D4781E" w:rsidRDefault="001A300F" w:rsidP="005B77B6">
            <w:pPr>
              <w:contextualSpacing/>
              <w:jc w:val="both"/>
              <w:rPr>
                <w:iCs/>
                <w:sz w:val="28"/>
                <w:szCs w:val="28"/>
              </w:rPr>
            </w:pPr>
            <w:r w:rsidRPr="00D4781E">
              <w:rPr>
                <w:iCs/>
                <w:sz w:val="28"/>
                <w:szCs w:val="28"/>
              </w:rPr>
              <w:t>Nav</w:t>
            </w:r>
          </w:p>
        </w:tc>
      </w:tr>
      <w:tr w:rsidR="00BB13C2" w:rsidRPr="00D4781E" w14:paraId="588365E3" w14:textId="77777777">
        <w:tc>
          <w:tcPr>
            <w:tcW w:w="425" w:type="dxa"/>
            <w:tcBorders>
              <w:top w:val="single" w:sz="4" w:space="0" w:color="000000"/>
              <w:left w:val="single" w:sz="4" w:space="0" w:color="000000"/>
              <w:bottom w:val="single" w:sz="4" w:space="0" w:color="000000"/>
            </w:tcBorders>
            <w:shd w:val="clear" w:color="auto" w:fill="auto"/>
          </w:tcPr>
          <w:p w14:paraId="6A29029F" w14:textId="77777777" w:rsidR="00BB13C2" w:rsidRPr="00D4781E" w:rsidRDefault="001A300F">
            <w:pPr>
              <w:contextualSpacing/>
              <w:rPr>
                <w:sz w:val="28"/>
                <w:szCs w:val="28"/>
              </w:rPr>
            </w:pPr>
            <w:r w:rsidRPr="00D4781E">
              <w:rPr>
                <w:sz w:val="28"/>
                <w:szCs w:val="28"/>
              </w:rPr>
              <w:t>2.</w:t>
            </w:r>
          </w:p>
        </w:tc>
        <w:tc>
          <w:tcPr>
            <w:tcW w:w="2311" w:type="dxa"/>
            <w:tcBorders>
              <w:top w:val="single" w:sz="4" w:space="0" w:color="000000"/>
              <w:left w:val="single" w:sz="4" w:space="0" w:color="000000"/>
              <w:bottom w:val="single" w:sz="4" w:space="0" w:color="000000"/>
            </w:tcBorders>
            <w:shd w:val="clear" w:color="auto" w:fill="auto"/>
          </w:tcPr>
          <w:p w14:paraId="42567071" w14:textId="77777777" w:rsidR="00BB13C2" w:rsidRPr="00D4781E" w:rsidRDefault="001A300F">
            <w:pPr>
              <w:contextualSpacing/>
              <w:rPr>
                <w:sz w:val="28"/>
                <w:szCs w:val="28"/>
              </w:rPr>
            </w:pPr>
            <w:r w:rsidRPr="00D4781E">
              <w:rPr>
                <w:sz w:val="28"/>
                <w:szCs w:val="28"/>
              </w:rPr>
              <w:t>Atbildīgā institūcija</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924815C" w14:textId="77777777" w:rsidR="00BB13C2" w:rsidRPr="00D4781E" w:rsidRDefault="001A300F">
            <w:pPr>
              <w:contextualSpacing/>
              <w:rPr>
                <w:sz w:val="28"/>
                <w:szCs w:val="28"/>
                <w:highlight w:val="yellow"/>
              </w:rPr>
            </w:pPr>
            <w:r w:rsidRPr="00D4781E">
              <w:rPr>
                <w:sz w:val="28"/>
                <w:szCs w:val="28"/>
              </w:rPr>
              <w:t>Ekonomikas ministrija</w:t>
            </w:r>
          </w:p>
        </w:tc>
      </w:tr>
      <w:tr w:rsidR="00BB13C2" w:rsidRPr="00D4781E" w14:paraId="2102D883" w14:textId="77777777">
        <w:tc>
          <w:tcPr>
            <w:tcW w:w="425" w:type="dxa"/>
            <w:tcBorders>
              <w:top w:val="single" w:sz="4" w:space="0" w:color="000000"/>
              <w:left w:val="single" w:sz="4" w:space="0" w:color="000000"/>
              <w:bottom w:val="single" w:sz="4" w:space="0" w:color="000000"/>
            </w:tcBorders>
            <w:shd w:val="clear" w:color="auto" w:fill="auto"/>
          </w:tcPr>
          <w:p w14:paraId="43E88989" w14:textId="77777777" w:rsidR="00BB13C2" w:rsidRPr="00D4781E" w:rsidRDefault="001A300F">
            <w:pPr>
              <w:contextualSpacing/>
              <w:rPr>
                <w:sz w:val="28"/>
                <w:szCs w:val="28"/>
              </w:rPr>
            </w:pPr>
            <w:r w:rsidRPr="00D4781E">
              <w:rPr>
                <w:sz w:val="28"/>
                <w:szCs w:val="28"/>
              </w:rPr>
              <w:t>3.</w:t>
            </w:r>
          </w:p>
        </w:tc>
        <w:tc>
          <w:tcPr>
            <w:tcW w:w="2311" w:type="dxa"/>
            <w:tcBorders>
              <w:top w:val="single" w:sz="4" w:space="0" w:color="000000"/>
              <w:left w:val="single" w:sz="4" w:space="0" w:color="000000"/>
              <w:bottom w:val="single" w:sz="4" w:space="0" w:color="000000"/>
            </w:tcBorders>
            <w:shd w:val="clear" w:color="auto" w:fill="auto"/>
          </w:tcPr>
          <w:p w14:paraId="4AF11EF7" w14:textId="77777777" w:rsidR="00BB13C2" w:rsidRPr="00D4781E" w:rsidRDefault="001A300F">
            <w:pPr>
              <w:contextualSpacing/>
              <w:rPr>
                <w:sz w:val="28"/>
                <w:szCs w:val="28"/>
              </w:rPr>
            </w:pPr>
            <w:r w:rsidRPr="00D4781E">
              <w:rPr>
                <w:sz w:val="28"/>
                <w:szCs w:val="28"/>
              </w:rPr>
              <w:t>Cita informācija</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F3DCD8A" w14:textId="77777777" w:rsidR="00BB13C2" w:rsidRPr="00D4781E" w:rsidRDefault="001A300F">
            <w:pPr>
              <w:contextualSpacing/>
              <w:rPr>
                <w:sz w:val="28"/>
                <w:szCs w:val="28"/>
              </w:rPr>
            </w:pPr>
            <w:r w:rsidRPr="00D4781E">
              <w:rPr>
                <w:sz w:val="28"/>
                <w:szCs w:val="28"/>
              </w:rPr>
              <w:t>Nav</w:t>
            </w:r>
          </w:p>
        </w:tc>
      </w:tr>
    </w:tbl>
    <w:p w14:paraId="0538E7F8" w14:textId="77777777" w:rsidR="00BB13C2" w:rsidRPr="00D4781E" w:rsidRDefault="00BB13C2">
      <w:pPr>
        <w:contextualSpacing/>
        <w:rPr>
          <w:sz w:val="28"/>
          <w:szCs w:val="28"/>
          <w:highlight w:val="yellow"/>
        </w:rPr>
      </w:pPr>
    </w:p>
    <w:tbl>
      <w:tblPr>
        <w:tblW w:w="4850" w:type="pct"/>
        <w:tblLook w:val="0000" w:firstRow="0" w:lastRow="0" w:firstColumn="0" w:lastColumn="0" w:noHBand="0" w:noVBand="0"/>
      </w:tblPr>
      <w:tblGrid>
        <w:gridCol w:w="8789"/>
      </w:tblGrid>
      <w:tr w:rsidR="00BB13C2" w:rsidRPr="00D4781E" w14:paraId="58409AF8"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7327C86B" w14:textId="77777777" w:rsidR="00BB13C2" w:rsidRPr="00D4781E" w:rsidRDefault="001A300F">
            <w:pPr>
              <w:ind w:firstLine="300"/>
              <w:contextualSpacing/>
              <w:jc w:val="center"/>
              <w:rPr>
                <w:b/>
                <w:bCs/>
                <w:sz w:val="28"/>
                <w:szCs w:val="28"/>
              </w:rPr>
            </w:pPr>
            <w:r w:rsidRPr="00D4781E">
              <w:rPr>
                <w:b/>
                <w:bCs/>
                <w:sz w:val="28"/>
                <w:szCs w:val="28"/>
              </w:rPr>
              <w:t>V. Tiesību akta projekta atbilstība Latvijas Republikas starptautiskajām saistībām</w:t>
            </w:r>
          </w:p>
        </w:tc>
      </w:tr>
      <w:tr w:rsidR="00BB13C2" w:rsidRPr="00D4781E" w14:paraId="4C63960C"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4185FDBA" w14:textId="77777777" w:rsidR="00BB13C2" w:rsidRPr="00D4781E" w:rsidRDefault="001A300F">
            <w:pPr>
              <w:contextualSpacing/>
              <w:jc w:val="center"/>
              <w:rPr>
                <w:sz w:val="28"/>
                <w:szCs w:val="28"/>
              </w:rPr>
            </w:pPr>
            <w:bookmarkStart w:id="0" w:name="_Hlk1411576"/>
            <w:bookmarkEnd w:id="0"/>
            <w:r w:rsidRPr="00D4781E">
              <w:rPr>
                <w:sz w:val="28"/>
                <w:szCs w:val="28"/>
              </w:rPr>
              <w:t>Projekts šo jomu neskar</w:t>
            </w:r>
          </w:p>
        </w:tc>
      </w:tr>
    </w:tbl>
    <w:p w14:paraId="23801D28" w14:textId="77777777" w:rsidR="00BB13C2" w:rsidRPr="00D4781E" w:rsidRDefault="00BB13C2">
      <w:pPr>
        <w:contextualSpacing/>
        <w:rPr>
          <w:sz w:val="16"/>
          <w:szCs w:val="16"/>
          <w:highlight w:val="yellow"/>
        </w:rPr>
      </w:pPr>
    </w:p>
    <w:tbl>
      <w:tblPr>
        <w:tblW w:w="9095" w:type="dxa"/>
        <w:tblLook w:val="0000" w:firstRow="0" w:lastRow="0" w:firstColumn="0" w:lastColumn="0" w:noHBand="0" w:noVBand="0"/>
      </w:tblPr>
      <w:tblGrid>
        <w:gridCol w:w="9095"/>
      </w:tblGrid>
      <w:tr w:rsidR="00BB13C2" w:rsidRPr="00D4781E" w14:paraId="535CBE32" w14:textId="77777777">
        <w:tc>
          <w:tcPr>
            <w:tcW w:w="9095" w:type="dxa"/>
            <w:tcBorders>
              <w:top w:val="single" w:sz="4" w:space="0" w:color="000000"/>
              <w:left w:val="single" w:sz="4" w:space="0" w:color="000000"/>
              <w:bottom w:val="single" w:sz="4" w:space="0" w:color="000000"/>
              <w:right w:val="single" w:sz="4" w:space="0" w:color="000000"/>
            </w:tcBorders>
            <w:shd w:val="clear" w:color="auto" w:fill="auto"/>
          </w:tcPr>
          <w:p w14:paraId="04EB565C" w14:textId="77777777" w:rsidR="00BB13C2" w:rsidRPr="00D4781E" w:rsidRDefault="001A300F">
            <w:pPr>
              <w:ind w:left="57" w:right="57"/>
              <w:contextualSpacing/>
              <w:jc w:val="center"/>
              <w:rPr>
                <w:b/>
                <w:sz w:val="28"/>
                <w:szCs w:val="28"/>
              </w:rPr>
            </w:pPr>
            <w:r w:rsidRPr="00D4781E">
              <w:rPr>
                <w:b/>
                <w:sz w:val="28"/>
                <w:szCs w:val="28"/>
              </w:rPr>
              <w:t>VI. Sabiedrības līdzdalība un komunikācijas aktivitātes</w:t>
            </w:r>
          </w:p>
        </w:tc>
      </w:tr>
      <w:tr w:rsidR="00BB13C2" w:rsidRPr="00D4781E" w14:paraId="23534CA7" w14:textId="77777777">
        <w:tc>
          <w:tcPr>
            <w:tcW w:w="9095" w:type="dxa"/>
            <w:tcBorders>
              <w:top w:val="single" w:sz="4" w:space="0" w:color="000000"/>
              <w:left w:val="single" w:sz="4" w:space="0" w:color="000000"/>
              <w:bottom w:val="single" w:sz="4" w:space="0" w:color="000000"/>
              <w:right w:val="single" w:sz="4" w:space="0" w:color="000000"/>
            </w:tcBorders>
            <w:shd w:val="clear" w:color="auto" w:fill="auto"/>
          </w:tcPr>
          <w:p w14:paraId="27F9558A" w14:textId="77777777" w:rsidR="00BB13C2" w:rsidRPr="00D4781E" w:rsidRDefault="001A300F">
            <w:pPr>
              <w:contextualSpacing/>
              <w:jc w:val="center"/>
              <w:rPr>
                <w:sz w:val="28"/>
                <w:szCs w:val="28"/>
              </w:rPr>
            </w:pPr>
            <w:r w:rsidRPr="00D4781E">
              <w:rPr>
                <w:sz w:val="28"/>
                <w:szCs w:val="28"/>
              </w:rPr>
              <w:t>Projekts šo jomu neskar</w:t>
            </w:r>
          </w:p>
        </w:tc>
      </w:tr>
    </w:tbl>
    <w:p w14:paraId="4DB05B03" w14:textId="77777777" w:rsidR="00BB13C2" w:rsidRPr="00D4781E" w:rsidRDefault="00BB13C2">
      <w:pPr>
        <w:contextualSpacing/>
        <w:rPr>
          <w:sz w:val="16"/>
          <w:szCs w:val="16"/>
          <w:highlight w:val="yellow"/>
        </w:rPr>
      </w:pPr>
    </w:p>
    <w:tbl>
      <w:tblPr>
        <w:tblW w:w="9110" w:type="dxa"/>
        <w:tblInd w:w="-33" w:type="dxa"/>
        <w:tblCellMar>
          <w:top w:w="28" w:type="dxa"/>
          <w:left w:w="28" w:type="dxa"/>
          <w:bottom w:w="28" w:type="dxa"/>
          <w:right w:w="28" w:type="dxa"/>
        </w:tblCellMar>
        <w:tblLook w:val="0000" w:firstRow="0" w:lastRow="0" w:firstColumn="0" w:lastColumn="0" w:noHBand="0" w:noVBand="0"/>
      </w:tblPr>
      <w:tblGrid>
        <w:gridCol w:w="399"/>
        <w:gridCol w:w="2747"/>
        <w:gridCol w:w="5964"/>
      </w:tblGrid>
      <w:tr w:rsidR="00BB13C2" w:rsidRPr="00D4781E" w14:paraId="035D63D2" w14:textId="77777777">
        <w:trPr>
          <w:trHeight w:val="381"/>
        </w:trPr>
        <w:tc>
          <w:tcPr>
            <w:tcW w:w="9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A072B6" w14:textId="77777777" w:rsidR="00BB13C2" w:rsidRPr="00D4781E" w:rsidRDefault="001A300F">
            <w:pPr>
              <w:ind w:left="57" w:right="57"/>
              <w:contextualSpacing/>
              <w:jc w:val="center"/>
              <w:rPr>
                <w:sz w:val="28"/>
                <w:szCs w:val="28"/>
              </w:rPr>
            </w:pPr>
            <w:r w:rsidRPr="00D4781E">
              <w:rPr>
                <w:b/>
                <w:sz w:val="28"/>
                <w:szCs w:val="28"/>
              </w:rPr>
              <w:t>VII. Tiesību akta projekta izpildes nodrošināšana un tās ietekme uz institūcijām</w:t>
            </w:r>
          </w:p>
        </w:tc>
      </w:tr>
      <w:tr w:rsidR="00BB13C2" w:rsidRPr="00D4781E" w14:paraId="65E5E807" w14:textId="77777777">
        <w:trPr>
          <w:trHeight w:val="427"/>
        </w:trPr>
        <w:tc>
          <w:tcPr>
            <w:tcW w:w="399" w:type="dxa"/>
            <w:tcBorders>
              <w:top w:val="single" w:sz="4" w:space="0" w:color="000000"/>
              <w:left w:val="single" w:sz="4" w:space="0" w:color="000000"/>
              <w:bottom w:val="single" w:sz="4" w:space="0" w:color="000000"/>
            </w:tcBorders>
            <w:shd w:val="clear" w:color="auto" w:fill="auto"/>
          </w:tcPr>
          <w:p w14:paraId="30CB2F81" w14:textId="77777777" w:rsidR="00BB13C2" w:rsidRPr="00D4781E" w:rsidRDefault="001A300F">
            <w:pPr>
              <w:ind w:left="57" w:right="57"/>
              <w:contextualSpacing/>
              <w:jc w:val="both"/>
              <w:rPr>
                <w:sz w:val="28"/>
                <w:szCs w:val="28"/>
              </w:rPr>
            </w:pPr>
            <w:r w:rsidRPr="00D4781E">
              <w:rPr>
                <w:sz w:val="28"/>
                <w:szCs w:val="28"/>
              </w:rPr>
              <w:t>1.</w:t>
            </w:r>
          </w:p>
        </w:tc>
        <w:tc>
          <w:tcPr>
            <w:tcW w:w="2747" w:type="dxa"/>
            <w:tcBorders>
              <w:top w:val="single" w:sz="4" w:space="0" w:color="000000"/>
              <w:left w:val="single" w:sz="4" w:space="0" w:color="000000"/>
              <w:bottom w:val="single" w:sz="4" w:space="0" w:color="000000"/>
            </w:tcBorders>
            <w:shd w:val="clear" w:color="auto" w:fill="auto"/>
          </w:tcPr>
          <w:p w14:paraId="7DEA4062" w14:textId="77777777" w:rsidR="00BB13C2" w:rsidRPr="00D4781E" w:rsidRDefault="001A300F">
            <w:pPr>
              <w:ind w:left="57" w:right="57"/>
              <w:contextualSpacing/>
              <w:rPr>
                <w:sz w:val="28"/>
                <w:szCs w:val="28"/>
              </w:rPr>
            </w:pPr>
            <w:r w:rsidRPr="00D4781E">
              <w:rPr>
                <w:sz w:val="28"/>
                <w:szCs w:val="28"/>
              </w:rPr>
              <w:t>Projekta izpildē iesaistītās institūcijas</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B4EC52" w14:textId="7312F135" w:rsidR="00BB13C2" w:rsidRPr="00D4781E" w:rsidRDefault="001A300F" w:rsidP="008171DD">
            <w:pPr>
              <w:pStyle w:val="FootnoteText"/>
              <w:spacing w:after="120"/>
              <w:ind w:firstLine="709"/>
              <w:jc w:val="both"/>
              <w:rPr>
                <w:color w:val="000000"/>
                <w:sz w:val="28"/>
                <w:szCs w:val="28"/>
              </w:rPr>
            </w:pPr>
            <w:bookmarkStart w:id="1" w:name="p66"/>
            <w:bookmarkStart w:id="2" w:name="p67"/>
            <w:bookmarkStart w:id="3" w:name="p68"/>
            <w:bookmarkStart w:id="4" w:name="p69"/>
            <w:bookmarkEnd w:id="1"/>
            <w:bookmarkEnd w:id="2"/>
            <w:bookmarkEnd w:id="3"/>
            <w:bookmarkEnd w:id="4"/>
            <w:r w:rsidRPr="00D4781E">
              <w:rPr>
                <w:color w:val="000000"/>
                <w:sz w:val="28"/>
                <w:szCs w:val="28"/>
              </w:rPr>
              <w:t>Ekonomikas ministrija</w:t>
            </w:r>
            <w:r w:rsidR="005B77B6" w:rsidRPr="00D4781E">
              <w:rPr>
                <w:color w:val="000000"/>
                <w:sz w:val="28"/>
                <w:szCs w:val="28"/>
              </w:rPr>
              <w:t>,</w:t>
            </w:r>
            <w:r w:rsidRPr="00D4781E">
              <w:rPr>
                <w:color w:val="000000"/>
                <w:sz w:val="28"/>
                <w:szCs w:val="28"/>
              </w:rPr>
              <w:t xml:space="preserve"> </w:t>
            </w:r>
            <w:proofErr w:type="spellStart"/>
            <w:r w:rsidRPr="00D4781E">
              <w:rPr>
                <w:color w:val="000000"/>
                <w:sz w:val="28"/>
                <w:szCs w:val="28"/>
              </w:rPr>
              <w:t>Possessor</w:t>
            </w:r>
            <w:proofErr w:type="spellEnd"/>
            <w:r w:rsidR="005B77B6" w:rsidRPr="00D4781E">
              <w:rPr>
                <w:color w:val="000000"/>
                <w:sz w:val="28"/>
                <w:szCs w:val="28"/>
              </w:rPr>
              <w:t>.</w:t>
            </w:r>
          </w:p>
          <w:p w14:paraId="1DDAD9A3"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Saskaņā ar Ministru kabineta noteikumu projekta 5.punktu valsts vārdā līgumu par valsts pārvaldes uzdevuma veikšanu ir pilnvarota parakstīt Ekonomikas ministrija, kas arī uzrauga valsts pārvaldes uzdevuma izpildi.</w:t>
            </w:r>
          </w:p>
          <w:p w14:paraId="6FDBFF81" w14:textId="77777777" w:rsidR="00BB13C2" w:rsidRPr="00D4781E" w:rsidRDefault="001A300F" w:rsidP="008171DD">
            <w:pPr>
              <w:pStyle w:val="FootnoteText"/>
              <w:spacing w:after="120"/>
              <w:ind w:firstLine="709"/>
              <w:jc w:val="both"/>
              <w:rPr>
                <w:sz w:val="28"/>
                <w:szCs w:val="28"/>
              </w:rPr>
            </w:pPr>
            <w:r w:rsidRPr="00D4781E">
              <w:rPr>
                <w:color w:val="000000"/>
                <w:sz w:val="28"/>
                <w:szCs w:val="28"/>
              </w:rPr>
              <w:t xml:space="preserve">Gadījumā, ja </w:t>
            </w:r>
            <w:proofErr w:type="spellStart"/>
            <w:r w:rsidRPr="00D4781E">
              <w:rPr>
                <w:color w:val="000000"/>
                <w:sz w:val="28"/>
                <w:szCs w:val="28"/>
              </w:rPr>
              <w:t>Possessor</w:t>
            </w:r>
            <w:proofErr w:type="spellEnd"/>
            <w:r w:rsidRPr="00D4781E">
              <w:rPr>
                <w:color w:val="000000"/>
                <w:sz w:val="28"/>
                <w:szCs w:val="28"/>
              </w:rPr>
              <w:t xml:space="preserve"> atkāpsies no valsts pārvaldes uzdevuma veikšanas, Ekonomikas ministrija saskaņā ar Ministru kabineta noteikumu </w:t>
            </w:r>
            <w:r w:rsidRPr="00D4781E">
              <w:rPr>
                <w:color w:val="000000"/>
                <w:sz w:val="28"/>
                <w:szCs w:val="28"/>
              </w:rPr>
              <w:lastRenderedPageBreak/>
              <w:t>projekta 14.punktu iesniegs priekšlikumu par valsts pārvaldes uzdevuma deleģēšanu citai privātpersonai vai valsts pārvaldes iestādei.</w:t>
            </w:r>
            <w:r w:rsidRPr="00D4781E">
              <w:rPr>
                <w:sz w:val="28"/>
                <w:szCs w:val="28"/>
              </w:rPr>
              <w:t xml:space="preserve"> </w:t>
            </w:r>
          </w:p>
        </w:tc>
      </w:tr>
      <w:tr w:rsidR="00BB13C2" w:rsidRPr="00D4781E" w14:paraId="3C29D49A" w14:textId="77777777">
        <w:trPr>
          <w:trHeight w:val="463"/>
        </w:trPr>
        <w:tc>
          <w:tcPr>
            <w:tcW w:w="399" w:type="dxa"/>
            <w:tcBorders>
              <w:top w:val="single" w:sz="4" w:space="0" w:color="000000"/>
              <w:left w:val="single" w:sz="4" w:space="0" w:color="000000"/>
              <w:bottom w:val="single" w:sz="4" w:space="0" w:color="000000"/>
            </w:tcBorders>
            <w:shd w:val="clear" w:color="auto" w:fill="auto"/>
          </w:tcPr>
          <w:p w14:paraId="40035199" w14:textId="77777777" w:rsidR="00BB13C2" w:rsidRPr="00D4781E" w:rsidRDefault="001A300F">
            <w:pPr>
              <w:ind w:left="57" w:right="57"/>
              <w:contextualSpacing/>
              <w:jc w:val="both"/>
              <w:rPr>
                <w:sz w:val="28"/>
                <w:szCs w:val="28"/>
              </w:rPr>
            </w:pPr>
            <w:r w:rsidRPr="00D4781E">
              <w:rPr>
                <w:sz w:val="28"/>
                <w:szCs w:val="28"/>
              </w:rPr>
              <w:lastRenderedPageBreak/>
              <w:t>2.</w:t>
            </w:r>
          </w:p>
        </w:tc>
        <w:tc>
          <w:tcPr>
            <w:tcW w:w="2747" w:type="dxa"/>
            <w:tcBorders>
              <w:top w:val="single" w:sz="4" w:space="0" w:color="000000"/>
              <w:left w:val="single" w:sz="4" w:space="0" w:color="000000"/>
              <w:bottom w:val="single" w:sz="4" w:space="0" w:color="000000"/>
            </w:tcBorders>
            <w:shd w:val="clear" w:color="auto" w:fill="auto"/>
          </w:tcPr>
          <w:p w14:paraId="5A5E3A7D" w14:textId="77777777" w:rsidR="00BB13C2" w:rsidRPr="00D4781E" w:rsidRDefault="001A300F">
            <w:pPr>
              <w:ind w:left="57" w:right="57"/>
              <w:contextualSpacing/>
              <w:rPr>
                <w:sz w:val="28"/>
                <w:szCs w:val="28"/>
              </w:rPr>
            </w:pPr>
            <w:r w:rsidRPr="00D4781E">
              <w:rPr>
                <w:sz w:val="28"/>
                <w:szCs w:val="28"/>
              </w:rPr>
              <w:t>Projekta izpildes ietekme uz pārvaldes funkcijām un institucionālo struktūru.</w:t>
            </w:r>
          </w:p>
          <w:p w14:paraId="6BF6BA6E" w14:textId="77777777" w:rsidR="00BB13C2" w:rsidRPr="00D4781E" w:rsidRDefault="001A300F">
            <w:pPr>
              <w:ind w:left="57" w:right="57"/>
              <w:contextualSpacing/>
              <w:rPr>
                <w:sz w:val="28"/>
                <w:szCs w:val="28"/>
              </w:rPr>
            </w:pPr>
            <w:r w:rsidRPr="00D4781E">
              <w:rPr>
                <w:sz w:val="28"/>
                <w:szCs w:val="28"/>
              </w:rPr>
              <w:t>Jaunu institūciju izveide, esošu institūciju likvidācija vai reorga</w:t>
            </w:r>
            <w:r w:rsidRPr="00D4781E">
              <w:rPr>
                <w:sz w:val="28"/>
                <w:szCs w:val="28"/>
              </w:rPr>
              <w:softHyphen/>
              <w:t>nizācija, to ietekme uz institūcijas cilvēkresursiem</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35AF2D0"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Projekta izpilde neietekmēs institucionālo struktūru, kā arī iesaistīto institūciju funkcijas, uzdevumus un cilvēkresursus.</w:t>
            </w:r>
          </w:p>
          <w:p w14:paraId="0322024A"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 xml:space="preserve">Ministru kabineta noteikumu projekts paredz deleģēt </w:t>
            </w:r>
            <w:proofErr w:type="spellStart"/>
            <w:r w:rsidRPr="00D4781E">
              <w:rPr>
                <w:color w:val="000000"/>
                <w:sz w:val="28"/>
                <w:szCs w:val="28"/>
              </w:rPr>
              <w:t>Possessor</w:t>
            </w:r>
            <w:proofErr w:type="spellEnd"/>
            <w:r w:rsidRPr="00D4781E">
              <w:rPr>
                <w:color w:val="000000"/>
                <w:sz w:val="28"/>
                <w:szCs w:val="28"/>
              </w:rPr>
              <w:t xml:space="preserve"> valsts pārvaldes uzdevumu. </w:t>
            </w:r>
            <w:proofErr w:type="spellStart"/>
            <w:r w:rsidRPr="00D4781E">
              <w:rPr>
                <w:color w:val="000000"/>
                <w:sz w:val="28"/>
                <w:szCs w:val="28"/>
              </w:rPr>
              <w:t>Possessor</w:t>
            </w:r>
            <w:proofErr w:type="spellEnd"/>
            <w:r w:rsidRPr="00D4781E">
              <w:rPr>
                <w:color w:val="000000"/>
                <w:sz w:val="28"/>
                <w:szCs w:val="28"/>
              </w:rPr>
              <w:t xml:space="preserve"> ir valsts pārvaldes uzdevuma veikšanai nepieciešamā materiāltehniskā bāze, pieredze, kompetents un kvalificēts personāls, pietiekoša kapacitāte.</w:t>
            </w:r>
          </w:p>
          <w:p w14:paraId="4ABE7393"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 xml:space="preserve">Veicot valsts pārvaldes uzdevumu, </w:t>
            </w:r>
            <w:proofErr w:type="spellStart"/>
            <w:r w:rsidRPr="00D4781E">
              <w:rPr>
                <w:color w:val="000000"/>
                <w:sz w:val="28"/>
                <w:szCs w:val="28"/>
              </w:rPr>
              <w:t>Possessor</w:t>
            </w:r>
            <w:proofErr w:type="spellEnd"/>
            <w:r w:rsidRPr="00D4781E">
              <w:rPr>
                <w:color w:val="000000"/>
                <w:sz w:val="28"/>
                <w:szCs w:val="28"/>
              </w:rPr>
              <w:t xml:space="preserve"> atradīsies Ekonomikas ministrijas funkcionālā pārraudzībā.</w:t>
            </w:r>
          </w:p>
          <w:p w14:paraId="0764AC12" w14:textId="77777777" w:rsidR="00BB13C2" w:rsidRPr="00D4781E" w:rsidRDefault="001A300F" w:rsidP="008171DD">
            <w:pPr>
              <w:pStyle w:val="FootnoteText"/>
              <w:spacing w:after="120"/>
              <w:ind w:firstLine="709"/>
              <w:jc w:val="both"/>
              <w:rPr>
                <w:sz w:val="28"/>
                <w:szCs w:val="28"/>
              </w:rPr>
            </w:pPr>
            <w:r w:rsidRPr="00D4781E">
              <w:rPr>
                <w:color w:val="000000"/>
                <w:sz w:val="28"/>
                <w:szCs w:val="28"/>
              </w:rPr>
              <w:t>Jaunas institūcijas netiks izveidotas, esošās institūcijas netiks likvidētas vai reorganizētas. Administratīvais slogs nepalielināsies.</w:t>
            </w:r>
          </w:p>
        </w:tc>
      </w:tr>
      <w:tr w:rsidR="00BB13C2" w:rsidRPr="00D4781E" w14:paraId="187ED8EA" w14:textId="77777777">
        <w:trPr>
          <w:trHeight w:val="402"/>
        </w:trPr>
        <w:tc>
          <w:tcPr>
            <w:tcW w:w="399" w:type="dxa"/>
            <w:tcBorders>
              <w:top w:val="single" w:sz="4" w:space="0" w:color="000000"/>
              <w:left w:val="single" w:sz="4" w:space="0" w:color="000000"/>
              <w:bottom w:val="single" w:sz="4" w:space="0" w:color="000000"/>
            </w:tcBorders>
            <w:shd w:val="clear" w:color="auto" w:fill="auto"/>
          </w:tcPr>
          <w:p w14:paraId="2BCDFC47" w14:textId="77777777" w:rsidR="00BB13C2" w:rsidRPr="00D4781E" w:rsidRDefault="001A300F">
            <w:pPr>
              <w:ind w:left="57" w:right="57"/>
              <w:contextualSpacing/>
              <w:jc w:val="both"/>
              <w:rPr>
                <w:sz w:val="28"/>
                <w:szCs w:val="28"/>
              </w:rPr>
            </w:pPr>
            <w:r w:rsidRPr="00D4781E">
              <w:rPr>
                <w:sz w:val="28"/>
                <w:szCs w:val="28"/>
              </w:rPr>
              <w:t>3.</w:t>
            </w:r>
          </w:p>
        </w:tc>
        <w:tc>
          <w:tcPr>
            <w:tcW w:w="2747" w:type="dxa"/>
            <w:tcBorders>
              <w:top w:val="single" w:sz="4" w:space="0" w:color="000000"/>
              <w:left w:val="single" w:sz="4" w:space="0" w:color="000000"/>
              <w:bottom w:val="single" w:sz="4" w:space="0" w:color="000000"/>
            </w:tcBorders>
            <w:shd w:val="clear" w:color="auto" w:fill="auto"/>
          </w:tcPr>
          <w:p w14:paraId="1853EB97" w14:textId="77777777" w:rsidR="00BB13C2" w:rsidRPr="00D4781E" w:rsidRDefault="001A300F">
            <w:pPr>
              <w:ind w:left="57" w:right="57"/>
              <w:contextualSpacing/>
              <w:rPr>
                <w:sz w:val="28"/>
                <w:szCs w:val="28"/>
              </w:rPr>
            </w:pPr>
            <w:r w:rsidRPr="00D4781E">
              <w:rPr>
                <w:sz w:val="28"/>
                <w:szCs w:val="28"/>
              </w:rPr>
              <w:t>Cita informācija</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681B162" w14:textId="77777777" w:rsidR="00BB13C2" w:rsidRPr="00D4781E" w:rsidRDefault="001A300F">
            <w:pPr>
              <w:ind w:left="57" w:right="57"/>
              <w:contextualSpacing/>
              <w:jc w:val="both"/>
              <w:rPr>
                <w:sz w:val="28"/>
                <w:szCs w:val="28"/>
              </w:rPr>
            </w:pPr>
            <w:r w:rsidRPr="00D4781E">
              <w:rPr>
                <w:sz w:val="28"/>
                <w:szCs w:val="28"/>
              </w:rPr>
              <w:t>Nav</w:t>
            </w:r>
          </w:p>
        </w:tc>
      </w:tr>
    </w:tbl>
    <w:p w14:paraId="201EFEFE" w14:textId="77777777" w:rsidR="00BB13C2" w:rsidRPr="00D4781E" w:rsidRDefault="00BB13C2">
      <w:pPr>
        <w:contextualSpacing/>
        <w:jc w:val="both"/>
        <w:rPr>
          <w:sz w:val="28"/>
          <w:szCs w:val="28"/>
        </w:rPr>
      </w:pPr>
    </w:p>
    <w:p w14:paraId="60290A7F" w14:textId="77777777" w:rsidR="00BB13C2" w:rsidRPr="00D4781E" w:rsidRDefault="001A300F">
      <w:pPr>
        <w:suppressAutoHyphens/>
        <w:contextualSpacing/>
        <w:jc w:val="both"/>
        <w:rPr>
          <w:b/>
          <w:sz w:val="28"/>
          <w:szCs w:val="28"/>
          <w:lang w:eastAsia="ar-SA"/>
        </w:rPr>
      </w:pPr>
      <w:r w:rsidRPr="00D4781E">
        <w:rPr>
          <w:b/>
          <w:sz w:val="28"/>
          <w:szCs w:val="28"/>
          <w:lang w:eastAsia="ar-SA"/>
        </w:rPr>
        <w:t>Iesniedzējs:</w:t>
      </w:r>
    </w:p>
    <w:p w14:paraId="21849B21" w14:textId="77777777" w:rsidR="00BB13C2" w:rsidRPr="00D4781E" w:rsidRDefault="001A300F">
      <w:pPr>
        <w:tabs>
          <w:tab w:val="left" w:pos="7088"/>
        </w:tabs>
        <w:suppressAutoHyphens/>
        <w:contextualSpacing/>
        <w:jc w:val="both"/>
        <w:rPr>
          <w:b/>
          <w:sz w:val="28"/>
          <w:szCs w:val="28"/>
          <w:lang w:eastAsia="ar-SA"/>
        </w:rPr>
      </w:pPr>
      <w:r w:rsidRPr="00D4781E">
        <w:rPr>
          <w:b/>
          <w:sz w:val="28"/>
          <w:szCs w:val="28"/>
          <w:lang w:eastAsia="ar-SA"/>
        </w:rPr>
        <w:t>ekonomikas ministrs</w:t>
      </w:r>
      <w:r w:rsidRPr="00D4781E">
        <w:rPr>
          <w:b/>
          <w:sz w:val="28"/>
          <w:szCs w:val="28"/>
          <w:lang w:eastAsia="ar-SA"/>
        </w:rPr>
        <w:tab/>
        <w:t>Ralfs Nemiro</w:t>
      </w:r>
    </w:p>
    <w:p w14:paraId="77401787" w14:textId="77777777" w:rsidR="00BB13C2" w:rsidRPr="00D4781E" w:rsidRDefault="00BB13C2">
      <w:pPr>
        <w:tabs>
          <w:tab w:val="left" w:pos="7088"/>
          <w:tab w:val="right" w:pos="9637"/>
        </w:tabs>
        <w:suppressAutoHyphens/>
        <w:contextualSpacing/>
        <w:jc w:val="both"/>
        <w:rPr>
          <w:b/>
          <w:sz w:val="28"/>
          <w:szCs w:val="28"/>
          <w:lang w:eastAsia="ar-SA"/>
        </w:rPr>
      </w:pPr>
    </w:p>
    <w:p w14:paraId="70D38E60" w14:textId="77777777" w:rsidR="00BB13C2" w:rsidRPr="00D4781E" w:rsidRDefault="001A300F">
      <w:pPr>
        <w:tabs>
          <w:tab w:val="left" w:pos="7088"/>
          <w:tab w:val="right" w:pos="9637"/>
        </w:tabs>
        <w:suppressAutoHyphens/>
        <w:contextualSpacing/>
        <w:jc w:val="both"/>
        <w:rPr>
          <w:b/>
          <w:sz w:val="28"/>
          <w:szCs w:val="28"/>
          <w:lang w:eastAsia="ar-SA"/>
        </w:rPr>
      </w:pPr>
      <w:r w:rsidRPr="00D4781E">
        <w:rPr>
          <w:b/>
          <w:sz w:val="28"/>
          <w:szCs w:val="28"/>
          <w:lang w:eastAsia="ar-SA"/>
        </w:rPr>
        <w:t>Vīza:</w:t>
      </w:r>
    </w:p>
    <w:p w14:paraId="7F09EE49" w14:textId="77777777" w:rsidR="00BB13C2" w:rsidRPr="00D4781E" w:rsidRDefault="001A300F">
      <w:pPr>
        <w:tabs>
          <w:tab w:val="left" w:pos="7088"/>
          <w:tab w:val="right" w:pos="9637"/>
        </w:tabs>
        <w:suppressAutoHyphens/>
        <w:contextualSpacing/>
        <w:jc w:val="both"/>
        <w:rPr>
          <w:b/>
          <w:sz w:val="28"/>
          <w:szCs w:val="28"/>
          <w:lang w:eastAsia="ar-SA"/>
        </w:rPr>
      </w:pPr>
      <w:r w:rsidRPr="00D4781E">
        <w:rPr>
          <w:b/>
          <w:sz w:val="28"/>
          <w:szCs w:val="28"/>
          <w:lang w:eastAsia="ar-SA"/>
        </w:rPr>
        <w:t>valsts sekretārs</w:t>
      </w:r>
      <w:r w:rsidRPr="00D4781E">
        <w:rPr>
          <w:b/>
          <w:sz w:val="28"/>
          <w:szCs w:val="28"/>
          <w:lang w:eastAsia="ar-SA"/>
        </w:rPr>
        <w:tab/>
        <w:t>Ēriks Eglītis</w:t>
      </w:r>
    </w:p>
    <w:p w14:paraId="3B0758A3" w14:textId="77777777" w:rsidR="00BB13C2" w:rsidRPr="00595949" w:rsidRDefault="00BB13C2">
      <w:pPr>
        <w:suppressAutoHyphens/>
        <w:contextualSpacing/>
        <w:jc w:val="both"/>
        <w:rPr>
          <w:b/>
          <w:sz w:val="20"/>
          <w:szCs w:val="20"/>
          <w:highlight w:val="yellow"/>
          <w:lang w:eastAsia="ar-SA"/>
        </w:rPr>
      </w:pPr>
    </w:p>
    <w:p w14:paraId="23E03145" w14:textId="77777777" w:rsidR="00BB13C2" w:rsidRPr="00595949" w:rsidRDefault="00BB13C2">
      <w:pPr>
        <w:contextualSpacing/>
        <w:rPr>
          <w:sz w:val="20"/>
          <w:szCs w:val="20"/>
          <w:highlight w:val="yellow"/>
          <w:lang w:eastAsia="ar-SA"/>
        </w:rPr>
      </w:pPr>
    </w:p>
    <w:p w14:paraId="6ACEE58D" w14:textId="77777777" w:rsidR="00BB13C2" w:rsidRPr="00595949" w:rsidRDefault="00BB13C2">
      <w:pPr>
        <w:contextualSpacing/>
        <w:rPr>
          <w:sz w:val="20"/>
          <w:szCs w:val="20"/>
        </w:rPr>
      </w:pPr>
    </w:p>
    <w:p w14:paraId="1E4948FD" w14:textId="77777777" w:rsidR="00BB13C2" w:rsidRPr="00595949" w:rsidRDefault="001A300F">
      <w:pPr>
        <w:contextualSpacing/>
        <w:rPr>
          <w:sz w:val="20"/>
          <w:szCs w:val="20"/>
        </w:rPr>
      </w:pPr>
      <w:r w:rsidRPr="00595949">
        <w:rPr>
          <w:sz w:val="20"/>
          <w:szCs w:val="20"/>
        </w:rPr>
        <w:t>Lore 67013207</w:t>
      </w:r>
    </w:p>
    <w:p w14:paraId="7C81C1A3" w14:textId="02FC1925" w:rsidR="00BB13C2" w:rsidRDefault="001A300F">
      <w:pPr>
        <w:contextualSpacing/>
        <w:rPr>
          <w:rStyle w:val="InternetLink"/>
          <w:color w:val="000000"/>
          <w:sz w:val="20"/>
          <w:szCs w:val="20"/>
          <w:u w:val="none"/>
        </w:rPr>
      </w:pPr>
      <w:r w:rsidRPr="00595949">
        <w:rPr>
          <w:rStyle w:val="InternetLink"/>
          <w:color w:val="000000"/>
          <w:sz w:val="20"/>
          <w:szCs w:val="20"/>
          <w:u w:val="none"/>
        </w:rPr>
        <w:t>Kaspars.Lore@em.gov.lv</w:t>
      </w:r>
      <w:bookmarkStart w:id="5" w:name="_GoBack"/>
      <w:bookmarkEnd w:id="5"/>
    </w:p>
    <w:sectPr w:rsidR="00BB13C2">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7C53" w14:textId="77777777" w:rsidR="00DD589F" w:rsidRDefault="00DD589F">
      <w:r>
        <w:separator/>
      </w:r>
    </w:p>
  </w:endnote>
  <w:endnote w:type="continuationSeparator" w:id="0">
    <w:p w14:paraId="4231C206" w14:textId="77777777" w:rsidR="00DD589F" w:rsidRDefault="00DD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E9BC" w14:textId="77777777" w:rsidR="00D4781E" w:rsidRPr="00E228E8" w:rsidRDefault="00D4781E" w:rsidP="00D4781E">
    <w:pPr>
      <w:shd w:val="clear" w:color="auto" w:fill="FFFFFF"/>
      <w:spacing w:after="120"/>
      <w:jc w:val="both"/>
      <w:rPr>
        <w:lang w:eastAsia="lv-LV"/>
      </w:rPr>
    </w:pPr>
    <w:r w:rsidRPr="00E228E8">
      <w:t>EM</w:t>
    </w:r>
    <w:r>
      <w:t>Anot</w:t>
    </w:r>
    <w:r w:rsidRPr="00E228E8">
      <w:t>_220819_</w:t>
    </w:r>
    <w:r>
      <w:t>objekti</w:t>
    </w:r>
    <w:r w:rsidRPr="00E228E8">
      <w:t>; Ministru kabineta noteikuma projekt</w:t>
    </w:r>
    <w:r>
      <w:t>a</w:t>
    </w:r>
    <w:r w:rsidRPr="00E228E8">
      <w:t xml:space="preserve"> “</w:t>
    </w:r>
    <w:r w:rsidRPr="00E228E8">
      <w:rPr>
        <w:lang w:eastAsia="lv-LV"/>
      </w:rPr>
      <w:t xml:space="preserve">Noteikumi par valsts </w:t>
    </w:r>
    <w:r>
      <w:rPr>
        <w:lang w:eastAsia="lv-LV"/>
      </w:rPr>
      <w:t>īpašuma objektu</w:t>
    </w:r>
    <w:r w:rsidRPr="00E228E8">
      <w:rPr>
        <w:lang w:eastAsia="lv-LV"/>
      </w:rPr>
      <w:t xml:space="preserve"> privatizāciju veicošās institūcijas pārvaldes uzdevuma deleģēšanu”</w:t>
    </w:r>
    <w:r>
      <w:rPr>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E917" w14:textId="0B1E4DE4" w:rsidR="00D4781E" w:rsidRPr="00E228E8" w:rsidRDefault="00D4781E" w:rsidP="00D4781E">
    <w:pPr>
      <w:shd w:val="clear" w:color="auto" w:fill="FFFFFF"/>
      <w:spacing w:after="120"/>
      <w:jc w:val="both"/>
      <w:rPr>
        <w:lang w:eastAsia="lv-LV"/>
      </w:rPr>
    </w:pPr>
    <w:r w:rsidRPr="00E228E8">
      <w:t>EM</w:t>
    </w:r>
    <w:r>
      <w:t>Anot</w:t>
    </w:r>
    <w:r w:rsidRPr="00E228E8">
      <w:t>_220819_</w:t>
    </w:r>
    <w:r>
      <w:t>objekti</w:t>
    </w:r>
    <w:r w:rsidRPr="00E228E8">
      <w:t>; Ministru kabineta noteikuma projekt</w:t>
    </w:r>
    <w:r>
      <w:t>a</w:t>
    </w:r>
    <w:r w:rsidRPr="00E228E8">
      <w:t xml:space="preserve"> “</w:t>
    </w:r>
    <w:r w:rsidRPr="00E228E8">
      <w:rPr>
        <w:lang w:eastAsia="lv-LV"/>
      </w:rPr>
      <w:t xml:space="preserve">Noteikumi par valsts </w:t>
    </w:r>
    <w:r>
      <w:rPr>
        <w:lang w:eastAsia="lv-LV"/>
      </w:rPr>
      <w:t>īpašuma objektu</w:t>
    </w:r>
    <w:r w:rsidRPr="00E228E8">
      <w:rPr>
        <w:lang w:eastAsia="lv-LV"/>
      </w:rPr>
      <w:t xml:space="preserve"> privatizāciju veicošās institūcijas pārvaldes uzdevuma deleģēšanu”</w:t>
    </w:r>
    <w:r>
      <w:rPr>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4F12" w14:textId="77777777" w:rsidR="00DD589F" w:rsidRDefault="00DD589F">
      <w:r>
        <w:separator/>
      </w:r>
    </w:p>
  </w:footnote>
  <w:footnote w:type="continuationSeparator" w:id="0">
    <w:p w14:paraId="32C73DCC" w14:textId="77777777" w:rsidR="00DD589F" w:rsidRDefault="00DD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F45B" w14:textId="77777777" w:rsidR="00BB13C2" w:rsidRDefault="001A300F">
    <w:pPr>
      <w:pStyle w:val="Header"/>
      <w:jc w:val="center"/>
    </w:pPr>
    <w:r>
      <w:fldChar w:fldCharType="begin"/>
    </w:r>
    <w:r>
      <w:instrText>PAGE</w:instrText>
    </w:r>
    <w:r>
      <w:fldChar w:fldCharType="separate"/>
    </w:r>
    <w:r w:rsidR="00144E00">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4E22"/>
    <w:multiLevelType w:val="multilevel"/>
    <w:tmpl w:val="4FEA16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2"/>
    <w:rsid w:val="00004399"/>
    <w:rsid w:val="00051FB5"/>
    <w:rsid w:val="00062655"/>
    <w:rsid w:val="00084F0D"/>
    <w:rsid w:val="000A0296"/>
    <w:rsid w:val="00130EB7"/>
    <w:rsid w:val="001367AA"/>
    <w:rsid w:val="00144E00"/>
    <w:rsid w:val="00187908"/>
    <w:rsid w:val="001A300F"/>
    <w:rsid w:val="001B601D"/>
    <w:rsid w:val="001E4838"/>
    <w:rsid w:val="00200154"/>
    <w:rsid w:val="002108B9"/>
    <w:rsid w:val="00212564"/>
    <w:rsid w:val="002136E0"/>
    <w:rsid w:val="00253E29"/>
    <w:rsid w:val="002C0C95"/>
    <w:rsid w:val="002C3DDA"/>
    <w:rsid w:val="002C6C52"/>
    <w:rsid w:val="00331E31"/>
    <w:rsid w:val="00352EA2"/>
    <w:rsid w:val="00356117"/>
    <w:rsid w:val="00392FAE"/>
    <w:rsid w:val="003A6930"/>
    <w:rsid w:val="003F40F5"/>
    <w:rsid w:val="00490D95"/>
    <w:rsid w:val="004E0383"/>
    <w:rsid w:val="004F1350"/>
    <w:rsid w:val="00505A4F"/>
    <w:rsid w:val="005429B0"/>
    <w:rsid w:val="00560E20"/>
    <w:rsid w:val="00595949"/>
    <w:rsid w:val="005B5776"/>
    <w:rsid w:val="005B77B6"/>
    <w:rsid w:val="005C7BAF"/>
    <w:rsid w:val="005F272F"/>
    <w:rsid w:val="00607F72"/>
    <w:rsid w:val="006128F0"/>
    <w:rsid w:val="00645E33"/>
    <w:rsid w:val="00687B2B"/>
    <w:rsid w:val="006A6DA4"/>
    <w:rsid w:val="006D0897"/>
    <w:rsid w:val="006D13D4"/>
    <w:rsid w:val="006E7702"/>
    <w:rsid w:val="007D4EB1"/>
    <w:rsid w:val="008171DD"/>
    <w:rsid w:val="00835219"/>
    <w:rsid w:val="00853644"/>
    <w:rsid w:val="00892241"/>
    <w:rsid w:val="00892873"/>
    <w:rsid w:val="0089335B"/>
    <w:rsid w:val="008E2197"/>
    <w:rsid w:val="008E50CD"/>
    <w:rsid w:val="008F057E"/>
    <w:rsid w:val="008F5D9D"/>
    <w:rsid w:val="00933FDD"/>
    <w:rsid w:val="00937852"/>
    <w:rsid w:val="00987EE6"/>
    <w:rsid w:val="009C2651"/>
    <w:rsid w:val="009F1FF3"/>
    <w:rsid w:val="009F6E35"/>
    <w:rsid w:val="00A02F93"/>
    <w:rsid w:val="00A440B3"/>
    <w:rsid w:val="00A623E2"/>
    <w:rsid w:val="00A93B66"/>
    <w:rsid w:val="00B14F80"/>
    <w:rsid w:val="00B87E51"/>
    <w:rsid w:val="00BA7129"/>
    <w:rsid w:val="00BB13C2"/>
    <w:rsid w:val="00BD201F"/>
    <w:rsid w:val="00BD3C2C"/>
    <w:rsid w:val="00BF278C"/>
    <w:rsid w:val="00CA00E5"/>
    <w:rsid w:val="00CE1B2E"/>
    <w:rsid w:val="00D4781E"/>
    <w:rsid w:val="00D704BF"/>
    <w:rsid w:val="00D805FF"/>
    <w:rsid w:val="00DD589F"/>
    <w:rsid w:val="00E16DDE"/>
    <w:rsid w:val="00E20C03"/>
    <w:rsid w:val="00E22B86"/>
    <w:rsid w:val="00E24C00"/>
    <w:rsid w:val="00ED16ED"/>
    <w:rsid w:val="00F10CA0"/>
    <w:rsid w:val="00F13F7E"/>
    <w:rsid w:val="00F85477"/>
    <w:rsid w:val="00FF2118"/>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611"/>
  <w15:docId w15:val="{9E69D55A-820C-4A70-A2F5-D3A99DAA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
    <w:qFormat/>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UnresolvedMention1">
    <w:name w:val="Unresolved Mention1"/>
    <w:qFormat/>
    <w:rPr>
      <w:color w:val="808080"/>
      <w:shd w:val="clear" w:color="auto" w:fill="E6E6E6"/>
    </w:rPr>
  </w:style>
  <w:style w:type="character" w:customStyle="1" w:styleId="HeaderChar">
    <w:name w:val="Header Char"/>
    <w:qFormat/>
    <w:rPr>
      <w:sz w:val="24"/>
      <w:szCs w:val="24"/>
    </w:rPr>
  </w:style>
  <w:style w:type="character" w:customStyle="1" w:styleId="VisitedInternetLink">
    <w:name w:val="Visited Internet Link"/>
    <w:rPr>
      <w:color w:val="954F72"/>
      <w:u w:val="single"/>
    </w:rPr>
  </w:style>
  <w:style w:type="character" w:customStyle="1" w:styleId="Heading3Char">
    <w:name w:val="Heading 3 Char"/>
    <w:qFormat/>
    <w:rPr>
      <w:b/>
      <w:bCs/>
      <w:sz w:val="27"/>
      <w:szCs w:val="27"/>
    </w:rPr>
  </w:style>
  <w:style w:type="character" w:customStyle="1" w:styleId="FootnoteTextChar">
    <w:name w:val="Footnote Text Char"/>
    <w:basedOn w:val="DefaultParagraphFont"/>
    <w:qFormat/>
  </w:style>
  <w:style w:type="paragraph" w:customStyle="1" w:styleId="Heading">
    <w:name w:val="Heading"/>
    <w:basedOn w:val="Normal"/>
    <w:next w:val="BodyText"/>
    <w:qFormat/>
    <w:pPr>
      <w:jc w:val="center"/>
    </w:pPr>
    <w:rPr>
      <w:b/>
      <w:bCs/>
      <w:sz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BodyText14ptFirstline127cm">
    <w:name w:val="Style Body Text + 14 pt First line:  127 cm"/>
    <w:basedOn w:val="BodyText"/>
    <w:qFormat/>
    <w:pPr>
      <w:ind w:firstLine="720"/>
      <w:jc w:val="both"/>
    </w:pPr>
    <w:rPr>
      <w:sz w:val="28"/>
      <w:szCs w:val="20"/>
    </w:rPr>
  </w:style>
  <w:style w:type="paragraph" w:customStyle="1" w:styleId="naisf">
    <w:name w:val="naisf"/>
    <w:basedOn w:val="Normal"/>
    <w:qFormat/>
    <w:pPr>
      <w:spacing w:before="75" w:after="75"/>
      <w:ind w:firstLine="375"/>
      <w:jc w:val="both"/>
    </w:pPr>
  </w:style>
  <w:style w:type="paragraph" w:styleId="BalloonText">
    <w:name w:val="Balloon Text"/>
    <w:basedOn w:val="Normal"/>
    <w:qFormat/>
    <w:rPr>
      <w:rFonts w:ascii="Tahoma" w:hAnsi="Tahoma" w:cs="Tahoma"/>
      <w:sz w:val="16"/>
      <w:szCs w:val="16"/>
    </w:rPr>
  </w:style>
  <w:style w:type="paragraph" w:customStyle="1" w:styleId="RakstzRakstzRakstzRakstz">
    <w:name w:val="Rakstz. Rakstz. Rakstz. Rakstz."/>
    <w:basedOn w:val="Normal"/>
    <w:qFormat/>
    <w:pPr>
      <w:spacing w:before="40"/>
    </w:pPr>
    <w:rPr>
      <w:sz w:val="28"/>
      <w:szCs w:val="20"/>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 w:val="24"/>
      <w:lang w:bidi="ar-SA"/>
    </w:rPr>
  </w:style>
  <w:style w:type="paragraph" w:styleId="FootnoteText">
    <w:name w:val="footnote text"/>
    <w:basedOn w:val="Normal"/>
    <w:rPr>
      <w:sz w:val="20"/>
      <w:szCs w:val="20"/>
    </w:rPr>
  </w:style>
  <w:style w:type="paragraph" w:customStyle="1" w:styleId="tv213">
    <w:name w:val="tv213"/>
    <w:basedOn w:val="Normal"/>
    <w:qFormat/>
    <w:pPr>
      <w:spacing w:before="280" w:after="280"/>
    </w:pPr>
  </w:style>
  <w:style w:type="paragraph" w:customStyle="1" w:styleId="naiskr">
    <w:name w:val="naiskr"/>
    <w:basedOn w:val="Normal"/>
    <w:qFormat/>
    <w:pPr>
      <w:spacing w:before="75" w:after="75"/>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1948-18AF-429F-9157-92C31BD3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14972</Words>
  <Characters>8535</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īpašuma objektu privatizāciju" sākotnējās ietekmes novērtējuma ziņojums (anotācija)</vt:lpstr>
    </vt:vector>
  </TitlesOfParts>
  <Company>Latvia Privatisation Agency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īpašuma objektu privatizāciju" sākotnējās ietekmes novērtējuma ziņojums (anotācija)</dc:title>
  <dc:subject>Anotācija</dc:subject>
  <dc:creator>Sandra Jersova</dc:creator>
  <dc:description>67013107, Dana.Vaivare@em.gov.lv</dc:description>
  <cp:lastModifiedBy>Kaspars Lore</cp:lastModifiedBy>
  <cp:revision>4</cp:revision>
  <cp:lastPrinted>2019-08-07T10:11:00Z</cp:lastPrinted>
  <dcterms:created xsi:type="dcterms:W3CDTF">2019-08-22T14:39:00Z</dcterms:created>
  <dcterms:modified xsi:type="dcterms:W3CDTF">2019-08-22T14:42:00Z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Latvia Privatisation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