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246F3F13" w:rsidR="00D372ED" w:rsidRPr="00D372ED" w:rsidRDefault="001C4923" w:rsidP="00D372ED">
            <w:pPr>
              <w:ind w:right="-1"/>
              <w:jc w:val="center"/>
            </w:pPr>
            <w:r w:rsidRPr="00D372ED">
              <w:t xml:space="preserve">Ministru kabineta noteikumu projekts </w:t>
            </w:r>
            <w:r w:rsidR="0088699C" w:rsidRPr="00D372ED">
              <w:t>“</w:t>
            </w:r>
            <w:bookmarkStart w:id="0" w:name="OLE_LINK2"/>
            <w:bookmarkStart w:id="1" w:name="OLE_LINK1"/>
            <w:bookmarkStart w:id="2" w:name="OLE_LINK7"/>
            <w:bookmarkStart w:id="3" w:name="OLE_LINK10"/>
            <w:bookmarkStart w:id="4" w:name="_Hlk523303797"/>
            <w:r w:rsidR="00D372ED" w:rsidRPr="00D372ED">
              <w:t>Grozījum</w:t>
            </w:r>
            <w:r w:rsidR="00EB1A43">
              <w:t>s</w:t>
            </w:r>
            <w:r w:rsidR="00D372ED" w:rsidRPr="00D372ED">
              <w:t xml:space="preserve"> Ministru kabineta </w:t>
            </w:r>
            <w:bookmarkEnd w:id="0"/>
            <w:bookmarkEnd w:id="1"/>
            <w:bookmarkEnd w:id="2"/>
            <w:bookmarkEnd w:id="3"/>
            <w:r w:rsidR="00D372ED" w:rsidRPr="00D372ED">
              <w:t xml:space="preserve">2017.gada 7.marta noteikumos Nr. 135 “Darbības programmas </w:t>
            </w:r>
            <w:r w:rsidR="00B52D0B">
              <w:t>“</w:t>
            </w:r>
            <w:r w:rsidR="00D372ED" w:rsidRPr="00D372ED">
              <w:t>Izaugsme un nodarbinātība</w:t>
            </w:r>
            <w:r w:rsidR="00B52D0B">
              <w:t>”</w:t>
            </w:r>
            <w:r w:rsidR="00D372ED" w:rsidRPr="00D372ED">
              <w:t xml:space="preserve"> 4.3.1. specifiskā atbalsta mērķa </w:t>
            </w:r>
            <w:r w:rsidR="00B52D0B">
              <w:t>“</w:t>
            </w:r>
            <w:r w:rsidR="00D372ED" w:rsidRPr="00D372ED">
              <w:t>Veicināt energoefektivitāti un vietējo AER izmantošanu centralizētajā siltumapgādē</w:t>
            </w:r>
            <w:r w:rsidR="00B52D0B">
              <w:t>”</w:t>
            </w:r>
            <w:r w:rsidR="00D372ED" w:rsidRPr="00D372ED">
              <w:t xml:space="preserve"> pirmās projektu iesniegumu atlases kārtas īstenošanas noteikumi”</w:t>
            </w:r>
            <w:bookmarkEnd w:id="4"/>
            <w:r w:rsidRPr="00D372ED">
              <w:t>”</w:t>
            </w:r>
            <w:r w:rsidR="00EB1A43">
              <w:t xml:space="preserve"> un Ministru kabineta noteikumu projekts “</w:t>
            </w:r>
            <w:r w:rsidR="00EB1A43" w:rsidRPr="00EB1A43">
              <w:t>Grozījums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w:t>
            </w:r>
            <w:r w:rsidR="00EB1A43">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06081EE8" w:rsidR="001C4923" w:rsidRPr="000A20B8" w:rsidRDefault="00EB1A43" w:rsidP="0088699C">
            <w:pPr>
              <w:pStyle w:val="NormalWeb"/>
              <w:spacing w:before="0" w:beforeAutospacing="0" w:after="0" w:afterAutospacing="0"/>
            </w:pPr>
            <w:r>
              <w:t>18.06.2019</w:t>
            </w:r>
            <w:r w:rsidR="008273DE">
              <w:t>., 01.07.2019.</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0A20B8" w14:paraId="6D0FA22A" w14:textId="77777777" w:rsidTr="006F6CDC">
        <w:tc>
          <w:tcPr>
            <w:tcW w:w="6345" w:type="dxa"/>
          </w:tcPr>
          <w:p w14:paraId="54D7A34A" w14:textId="77777777" w:rsidR="001C4923" w:rsidRPr="000A20B8" w:rsidRDefault="001C4923" w:rsidP="006F6CDC">
            <w:pPr>
              <w:pStyle w:val="naiskr"/>
              <w:spacing w:before="0" w:after="0"/>
              <w:jc w:val="both"/>
            </w:pPr>
            <w:r w:rsidRPr="000A20B8">
              <w:t>Saskaņošanas dalībnieki</w:t>
            </w:r>
          </w:p>
        </w:tc>
        <w:tc>
          <w:tcPr>
            <w:tcW w:w="7967" w:type="dxa"/>
          </w:tcPr>
          <w:p w14:paraId="6FA0209A" w14:textId="11D1CECF" w:rsidR="001C4923" w:rsidRPr="000A20B8" w:rsidRDefault="00BE0A5C" w:rsidP="006F6CDC">
            <w:pPr>
              <w:pStyle w:val="NormalWeb"/>
              <w:spacing w:before="0" w:beforeAutospacing="0" w:after="0" w:afterAutospacing="0"/>
              <w:ind w:right="29"/>
              <w:jc w:val="both"/>
            </w:pPr>
            <w:r w:rsidRPr="00496905">
              <w:t>Tieslietu ministrija, Finanšu ministrija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5F591178" w:rsidR="001C4923" w:rsidRPr="00712B66" w:rsidRDefault="00496905" w:rsidP="00496905">
            <w:pPr>
              <w:pStyle w:val="naiskr"/>
              <w:spacing w:before="0" w:after="0"/>
              <w:ind w:right="1730"/>
              <w:jc w:val="both"/>
            </w:pPr>
            <w:r>
              <w:t xml:space="preserve">   </w:t>
            </w:r>
            <w:r w:rsidR="00EB1A43">
              <w:t>Tieslietu ministrija</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1C4923" w:rsidRPr="002479B0" w14:paraId="26935281" w14:textId="77777777" w:rsidTr="0088699C">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88699C">
        <w:tc>
          <w:tcPr>
            <w:tcW w:w="716"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6" w:type="dxa"/>
            <w:tcBorders>
              <w:top w:val="single" w:sz="6" w:space="0" w:color="000000"/>
              <w:left w:val="single" w:sz="6" w:space="0" w:color="000000"/>
              <w:bottom w:val="single" w:sz="4" w:space="0" w:color="auto"/>
              <w:right w:val="single" w:sz="6" w:space="0" w:color="000000"/>
            </w:tcBorders>
          </w:tcPr>
          <w:p w14:paraId="757DACFE" w14:textId="77777777" w:rsidR="001C4923" w:rsidRPr="002479B0" w:rsidRDefault="001C4923" w:rsidP="0088699C">
            <w:pPr>
              <w:pStyle w:val="naisc"/>
              <w:spacing w:before="0" w:after="0"/>
              <w:rPr>
                <w:sz w:val="22"/>
                <w:szCs w:val="22"/>
              </w:rPr>
            </w:pPr>
            <w:bookmarkStart w:id="5" w:name="_GoBack"/>
            <w:bookmarkEnd w:id="5"/>
            <w:r w:rsidRPr="002479B0">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EB1A43" w:rsidRPr="002479B0" w14:paraId="55624225" w14:textId="77777777" w:rsidTr="00B33A9A">
        <w:tc>
          <w:tcPr>
            <w:tcW w:w="716" w:type="dxa"/>
            <w:tcBorders>
              <w:top w:val="single" w:sz="4" w:space="0" w:color="auto"/>
              <w:left w:val="single" w:sz="4" w:space="0" w:color="auto"/>
              <w:bottom w:val="single" w:sz="4" w:space="0" w:color="auto"/>
              <w:right w:val="single" w:sz="4" w:space="0" w:color="auto"/>
            </w:tcBorders>
          </w:tcPr>
          <w:p w14:paraId="20039A70" w14:textId="2201CD3E" w:rsidR="00EB1A43" w:rsidRDefault="00266C58" w:rsidP="00DE26B1">
            <w:pPr>
              <w:jc w:val="both"/>
              <w:rPr>
                <w:sz w:val="22"/>
                <w:szCs w:val="22"/>
              </w:rPr>
            </w:pPr>
            <w:r>
              <w:rPr>
                <w:sz w:val="22"/>
                <w:szCs w:val="22"/>
              </w:rPr>
              <w:t>1.</w:t>
            </w:r>
          </w:p>
        </w:tc>
        <w:tc>
          <w:tcPr>
            <w:tcW w:w="3086" w:type="dxa"/>
            <w:tcBorders>
              <w:top w:val="single" w:sz="4" w:space="0" w:color="auto"/>
              <w:left w:val="single" w:sz="4" w:space="0" w:color="auto"/>
              <w:right w:val="single" w:sz="4" w:space="0" w:color="auto"/>
            </w:tcBorders>
          </w:tcPr>
          <w:p w14:paraId="67DC7DAC" w14:textId="77777777" w:rsidR="00EB1A43" w:rsidRDefault="00EB1A43" w:rsidP="006A174F">
            <w:pPr>
              <w:rPr>
                <w:b/>
                <w:sz w:val="22"/>
                <w:szCs w:val="22"/>
              </w:rPr>
            </w:pPr>
            <w:r>
              <w:rPr>
                <w:b/>
                <w:sz w:val="22"/>
                <w:szCs w:val="22"/>
              </w:rPr>
              <w:t>M</w:t>
            </w:r>
            <w:r w:rsidR="0077615A">
              <w:rPr>
                <w:b/>
                <w:sz w:val="22"/>
                <w:szCs w:val="22"/>
              </w:rPr>
              <w:t>K noteikumu Nr.135 grozījums:</w:t>
            </w:r>
          </w:p>
          <w:p w14:paraId="5E9AA37C" w14:textId="77777777" w:rsidR="0077615A" w:rsidRDefault="0077615A" w:rsidP="0077615A">
            <w:pPr>
              <w:ind w:right="-1"/>
              <w:jc w:val="both"/>
            </w:pPr>
            <w:r>
              <w:t xml:space="preserve">“[...] </w:t>
            </w:r>
            <w:r w:rsidRPr="0077615A">
              <w:t>izteikt 57.punktu šādā redakcijā:</w:t>
            </w:r>
          </w:p>
          <w:p w14:paraId="1C9420B2" w14:textId="7E95F6F8" w:rsidR="0077615A" w:rsidRDefault="0077615A" w:rsidP="0077615A">
            <w:pPr>
              <w:ind w:right="-1"/>
              <w:jc w:val="both"/>
            </w:pPr>
            <w:r>
              <w:t>“</w:t>
            </w:r>
            <w:r w:rsidRPr="004D282E">
              <w:t>57. Ja finansējuma saņēmējs ir šo noteikumu 11.</w:t>
            </w:r>
            <w:r w:rsidRPr="004D282E">
              <w:rPr>
                <w:vertAlign w:val="superscript"/>
              </w:rPr>
              <w:t>1</w:t>
            </w:r>
            <w:r w:rsidRPr="004D282E">
              <w:t xml:space="preserve"> punktā minētais centralizētās siltumapgādes pakalpojuma sniedzējs, tas var lūgt sadarbības iestādi līdz 201</w:t>
            </w:r>
            <w:r>
              <w:t>9</w:t>
            </w:r>
            <w:r w:rsidRPr="004D282E">
              <w:t>. gada 31. decembrim pārkvalificēt atlases kārtas ietvaros sniegto valsts atbalsta shēmu.</w:t>
            </w:r>
            <w:r>
              <w:t>””</w:t>
            </w:r>
          </w:p>
          <w:p w14:paraId="2DDDA1A2" w14:textId="057B9DF9" w:rsidR="0077615A" w:rsidRPr="0077615A" w:rsidRDefault="0077615A" w:rsidP="006A174F">
            <w:pPr>
              <w:rPr>
                <w:bCs/>
                <w:sz w:val="22"/>
                <w:szCs w:val="22"/>
              </w:rPr>
            </w:pPr>
          </w:p>
          <w:p w14:paraId="2C9F270A" w14:textId="77777777" w:rsidR="0077615A" w:rsidRDefault="0077615A" w:rsidP="006A174F">
            <w:pPr>
              <w:rPr>
                <w:b/>
                <w:sz w:val="22"/>
                <w:szCs w:val="22"/>
              </w:rPr>
            </w:pPr>
            <w:r>
              <w:rPr>
                <w:b/>
                <w:sz w:val="22"/>
                <w:szCs w:val="22"/>
              </w:rPr>
              <w:t>MK noteikumu Nr.495 grozījums:</w:t>
            </w:r>
          </w:p>
          <w:p w14:paraId="5D62113E" w14:textId="3A4B0655" w:rsidR="0077615A" w:rsidRPr="0077615A" w:rsidRDefault="0077615A" w:rsidP="0077615A">
            <w:pPr>
              <w:jc w:val="both"/>
              <w:rPr>
                <w:bCs/>
                <w:sz w:val="22"/>
                <w:szCs w:val="22"/>
              </w:rPr>
            </w:pPr>
            <w:r w:rsidRPr="0077615A">
              <w:rPr>
                <w:bCs/>
                <w:sz w:val="22"/>
                <w:szCs w:val="22"/>
              </w:rPr>
              <w:t xml:space="preserve">“[…] </w:t>
            </w:r>
            <w:r w:rsidRPr="0077615A">
              <w:rPr>
                <w:bCs/>
              </w:rPr>
              <w:t xml:space="preserve"> </w:t>
            </w:r>
            <w:r w:rsidRPr="0077615A">
              <w:rPr>
                <w:bCs/>
                <w:sz w:val="22"/>
                <w:szCs w:val="22"/>
              </w:rPr>
              <w:t>izteikt 62.punktu šādā redakcijā:</w:t>
            </w:r>
          </w:p>
          <w:p w14:paraId="45487BCD" w14:textId="2EED448E" w:rsidR="0077615A" w:rsidRDefault="0077615A" w:rsidP="0077615A">
            <w:pPr>
              <w:jc w:val="both"/>
              <w:rPr>
                <w:b/>
                <w:sz w:val="22"/>
                <w:szCs w:val="22"/>
              </w:rPr>
            </w:pPr>
            <w:r w:rsidRPr="0077615A">
              <w:rPr>
                <w:bCs/>
                <w:sz w:val="22"/>
                <w:szCs w:val="22"/>
              </w:rPr>
              <w:t>“62. Ja finansējuma saņēmējs ir šo noteikumu 12.1 punktā minētais centralizētās siltumapgādes pakalpojuma sniedzējs, tas var lūgt sadarbības iestādi līdz 2019. gada 31. decembrim pārkvalificēt atlases kārtas ietvaros sniegto valsts atbalsta shēmu.”</w:t>
            </w:r>
            <w:r>
              <w:rPr>
                <w:bCs/>
                <w:sz w:val="22"/>
                <w:szCs w:val="22"/>
              </w:rPr>
              <w:t>”</w:t>
            </w:r>
          </w:p>
        </w:tc>
        <w:tc>
          <w:tcPr>
            <w:tcW w:w="4278" w:type="dxa"/>
            <w:tcBorders>
              <w:top w:val="single" w:sz="4" w:space="0" w:color="auto"/>
              <w:left w:val="single" w:sz="4" w:space="0" w:color="auto"/>
              <w:bottom w:val="single" w:sz="4" w:space="0" w:color="auto"/>
              <w:right w:val="single" w:sz="4" w:space="0" w:color="auto"/>
            </w:tcBorders>
          </w:tcPr>
          <w:p w14:paraId="0C7DC534" w14:textId="77777777" w:rsidR="00EB1A43" w:rsidRPr="00EB1A43" w:rsidRDefault="00EB1A43" w:rsidP="0071314F">
            <w:pPr>
              <w:jc w:val="both"/>
              <w:rPr>
                <w:b/>
                <w:bCs/>
                <w:sz w:val="22"/>
                <w:szCs w:val="22"/>
              </w:rPr>
            </w:pPr>
            <w:r w:rsidRPr="00EB1A43">
              <w:rPr>
                <w:b/>
                <w:bCs/>
                <w:sz w:val="22"/>
                <w:szCs w:val="22"/>
              </w:rPr>
              <w:t>Finanšu ministrijas 27.06.2019. 2.priekšlikums:</w:t>
            </w:r>
          </w:p>
          <w:p w14:paraId="08C23B65" w14:textId="18B7B0EF" w:rsidR="00EB1A43" w:rsidRDefault="00EB1A43" w:rsidP="0071314F">
            <w:pPr>
              <w:jc w:val="both"/>
              <w:rPr>
                <w:sz w:val="22"/>
                <w:szCs w:val="22"/>
              </w:rPr>
            </w:pPr>
            <w:r>
              <w:rPr>
                <w:sz w:val="22"/>
                <w:szCs w:val="22"/>
              </w:rPr>
              <w:t>“</w:t>
            </w:r>
            <w:r>
              <w:t xml:space="preserve"> </w:t>
            </w:r>
            <w:r w:rsidRPr="00EB1A43">
              <w:rPr>
                <w:sz w:val="22"/>
                <w:szCs w:val="22"/>
              </w:rPr>
              <w:t>2.</w:t>
            </w:r>
            <w:r w:rsidRPr="00EB1A43">
              <w:rPr>
                <w:sz w:val="22"/>
                <w:szCs w:val="22"/>
              </w:rPr>
              <w:tab/>
              <w:t>Lai viennozīmīgi būtu skaidra ar noteikumu projektiem precizētajos punktos ietverto normu būtība ne tikai attiecībā uz termiņu, līdz kuram ir iespējams pārkvalificēt iesniegtos projektus, bet arī attiecībā uz pārkvalificēšanas mērķi (no kura valsts atbalsta regulējuma uz kuru), kā arī tas, ka pārkvalificēt iespējams tikai pēc tam, kad atbalsta sniedzējs izvērtējis un secinājis, ka atbalsta saņēmējs atbilst tam valsts atbalsta regulējumam, uz kuru notiek pārkvalificēšana, lūdzam precizēt MK noteikumu Nr.135  57.punkta un MK noteikumu Nr.495  62.punkta redakciju. Tāpat lūdzam precizēt redakcijas attiecībā uz to, ka normā pēc būtības jāparedz individuālu atbalsta projektu atbalsta shēmas ietvaros pārkvalificēšana, nevis atbalsta shēmas (MK noteikumi) pārkvalificēšana.</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1E6D55F4" w14:textId="436C19BB" w:rsidR="00EB1A43" w:rsidRPr="00C07F10" w:rsidRDefault="009820E8" w:rsidP="00F54F8F">
            <w:pPr>
              <w:pStyle w:val="naisc"/>
              <w:spacing w:before="0" w:after="0"/>
              <w:rPr>
                <w:b/>
                <w:sz w:val="22"/>
                <w:szCs w:val="22"/>
              </w:rPr>
            </w:pPr>
            <w:r>
              <w:rPr>
                <w:b/>
                <w:sz w:val="22"/>
                <w:szCs w:val="22"/>
              </w:rPr>
              <w:t>Ņemts vērā</w:t>
            </w:r>
          </w:p>
        </w:tc>
        <w:tc>
          <w:tcPr>
            <w:tcW w:w="2551" w:type="dxa"/>
            <w:tcBorders>
              <w:top w:val="single" w:sz="4" w:space="0" w:color="auto"/>
              <w:left w:val="single" w:sz="4" w:space="0" w:color="auto"/>
              <w:bottom w:val="single" w:sz="4" w:space="0" w:color="auto"/>
            </w:tcBorders>
          </w:tcPr>
          <w:p w14:paraId="1558AB42" w14:textId="77777777" w:rsidR="00EB1A43" w:rsidRPr="009820E8" w:rsidRDefault="009820E8" w:rsidP="00D32738">
            <w:pPr>
              <w:jc w:val="both"/>
              <w:rPr>
                <w:b/>
                <w:bCs/>
                <w:sz w:val="22"/>
                <w:szCs w:val="22"/>
              </w:rPr>
            </w:pPr>
            <w:r w:rsidRPr="009820E8">
              <w:rPr>
                <w:b/>
                <w:bCs/>
                <w:sz w:val="22"/>
                <w:szCs w:val="22"/>
              </w:rPr>
              <w:t>MK noteikumu Nr.135 grozījums izteikts šādā redakcijā:</w:t>
            </w:r>
          </w:p>
          <w:p w14:paraId="05AED890" w14:textId="1A1D7C4E" w:rsidR="006E4FEC" w:rsidRPr="006E4FEC" w:rsidRDefault="009820E8" w:rsidP="006E4FEC">
            <w:pPr>
              <w:jc w:val="both"/>
              <w:rPr>
                <w:sz w:val="22"/>
                <w:szCs w:val="22"/>
              </w:rPr>
            </w:pPr>
            <w:r>
              <w:rPr>
                <w:sz w:val="22"/>
                <w:szCs w:val="22"/>
              </w:rPr>
              <w:t>“</w:t>
            </w:r>
            <w:r w:rsidR="006E4FEC">
              <w:rPr>
                <w:sz w:val="22"/>
                <w:szCs w:val="22"/>
              </w:rPr>
              <w:t>[…]</w:t>
            </w:r>
            <w:r w:rsidR="006E4FEC">
              <w:t xml:space="preserve"> </w:t>
            </w:r>
            <w:r w:rsidR="006E4FEC" w:rsidRPr="006E4FEC">
              <w:rPr>
                <w:sz w:val="22"/>
                <w:szCs w:val="22"/>
              </w:rPr>
              <w:t>izteikt 57.punktu šādā redakcijā:</w:t>
            </w:r>
          </w:p>
          <w:p w14:paraId="7081763F" w14:textId="206E8FFF" w:rsidR="009820E8" w:rsidRDefault="006E4FEC" w:rsidP="006E4FEC">
            <w:pPr>
              <w:jc w:val="both"/>
              <w:rPr>
                <w:sz w:val="22"/>
                <w:szCs w:val="22"/>
              </w:rPr>
            </w:pPr>
            <w:r w:rsidRPr="006E4FEC">
              <w:rPr>
                <w:sz w:val="22"/>
                <w:szCs w:val="22"/>
              </w:rPr>
              <w:t xml:space="preserve">“57. Ja finansējuma saņēmējs ir šo noteikumu 11.1 punktā minētais centralizētās siltumapgādes pakalpojuma sniedzējs, kuram atlases kārtas ietvaros piešķirts atbalsts saskaņā ar Komisijas regulu Nr.651/2014,  tas var lūgt sadarbības iestādi līdz 2019. gada 31. decembrim pārkvalificēt tam atlases kārtas ietvaros sniegto valsts atbalsta </w:t>
            </w:r>
            <w:proofErr w:type="spellStart"/>
            <w:r w:rsidRPr="006E4FEC">
              <w:rPr>
                <w:sz w:val="22"/>
                <w:szCs w:val="22"/>
              </w:rPr>
              <w:t>shēmuveidu</w:t>
            </w:r>
            <w:proofErr w:type="spellEnd"/>
            <w:r w:rsidRPr="006E4FEC">
              <w:rPr>
                <w:sz w:val="22"/>
                <w:szCs w:val="22"/>
              </w:rPr>
              <w:t xml:space="preserve"> kā valsts atbalstu attiecībā uz kompensāciju par sabiedriskajiem pakalpojumiem saskaņā ar Komisijas lēmumu Nr. 2012/21/ES.”</w:t>
            </w:r>
            <w:r>
              <w:rPr>
                <w:sz w:val="22"/>
                <w:szCs w:val="22"/>
              </w:rPr>
              <w:t>”</w:t>
            </w:r>
          </w:p>
          <w:p w14:paraId="37F53761" w14:textId="77777777" w:rsidR="009820E8" w:rsidRDefault="009820E8" w:rsidP="00D32738">
            <w:pPr>
              <w:jc w:val="both"/>
              <w:rPr>
                <w:sz w:val="22"/>
                <w:szCs w:val="22"/>
              </w:rPr>
            </w:pPr>
          </w:p>
          <w:p w14:paraId="4F2F2F3E" w14:textId="77777777" w:rsidR="009820E8" w:rsidRPr="009820E8" w:rsidRDefault="009820E8" w:rsidP="00D32738">
            <w:pPr>
              <w:jc w:val="both"/>
              <w:rPr>
                <w:b/>
                <w:bCs/>
                <w:sz w:val="22"/>
                <w:szCs w:val="22"/>
              </w:rPr>
            </w:pPr>
            <w:r w:rsidRPr="009820E8">
              <w:rPr>
                <w:b/>
                <w:bCs/>
                <w:sz w:val="22"/>
                <w:szCs w:val="22"/>
              </w:rPr>
              <w:t>MK noteikumu Nr.495 grozījums izteikts šādā redakcijā:</w:t>
            </w:r>
          </w:p>
          <w:p w14:paraId="5591ACAC" w14:textId="2060637A" w:rsidR="006E4FEC" w:rsidRPr="006E4FEC" w:rsidRDefault="009820E8" w:rsidP="006E4FEC">
            <w:pPr>
              <w:jc w:val="both"/>
              <w:rPr>
                <w:sz w:val="22"/>
                <w:szCs w:val="22"/>
              </w:rPr>
            </w:pPr>
            <w:r>
              <w:rPr>
                <w:sz w:val="22"/>
                <w:szCs w:val="22"/>
              </w:rPr>
              <w:t>“</w:t>
            </w:r>
            <w:r w:rsidR="006E4FEC">
              <w:rPr>
                <w:sz w:val="22"/>
                <w:szCs w:val="22"/>
              </w:rPr>
              <w:t>[…]</w:t>
            </w:r>
            <w:r w:rsidR="006E4FEC">
              <w:t xml:space="preserve"> </w:t>
            </w:r>
            <w:r w:rsidR="006E4FEC" w:rsidRPr="006E4FEC">
              <w:rPr>
                <w:sz w:val="22"/>
                <w:szCs w:val="22"/>
              </w:rPr>
              <w:t>izteikt 62.punktu šādā redakcijā:</w:t>
            </w:r>
          </w:p>
          <w:p w14:paraId="63873752" w14:textId="7D799B42" w:rsidR="009820E8" w:rsidRPr="004D3DB6" w:rsidRDefault="006E4FEC" w:rsidP="006E4FEC">
            <w:pPr>
              <w:jc w:val="both"/>
              <w:rPr>
                <w:sz w:val="22"/>
                <w:szCs w:val="22"/>
              </w:rPr>
            </w:pPr>
            <w:r w:rsidRPr="006E4FEC">
              <w:rPr>
                <w:sz w:val="22"/>
                <w:szCs w:val="22"/>
              </w:rPr>
              <w:lastRenderedPageBreak/>
              <w:t xml:space="preserve">“62. Ja finansējuma saņēmējs ir šo noteikumu 12.1 punktā minētais centralizētās siltumapgādes pakalpojuma sniedzējs, kuram atlases kārtas ietvaros piešķirts atbalsts saskaņā ar Komisijas regulu Nr.651/2014, tas var lūgt sadarbības iestādi līdz 2019. gada 31. decembrim pārkvalificēt tam atlases kārtas ietvaros sniegto valsts atbalsta </w:t>
            </w:r>
            <w:proofErr w:type="spellStart"/>
            <w:r w:rsidRPr="006E4FEC">
              <w:rPr>
                <w:sz w:val="22"/>
                <w:szCs w:val="22"/>
              </w:rPr>
              <w:t>shēmuveidu</w:t>
            </w:r>
            <w:proofErr w:type="spellEnd"/>
            <w:r w:rsidRPr="006E4FEC">
              <w:rPr>
                <w:sz w:val="22"/>
                <w:szCs w:val="22"/>
              </w:rPr>
              <w:t xml:space="preserve"> kā valsts atbalstu attiecībā uz kompensāciju par sabiedriskajiem pakalpojumiem saskaņā ar Komisijas lēmumu Nr.2012/21/ES.”</w:t>
            </w:r>
            <w:r>
              <w:rPr>
                <w:sz w:val="22"/>
                <w:szCs w:val="22"/>
              </w:rPr>
              <w:t>”</w:t>
            </w:r>
          </w:p>
        </w:tc>
      </w:tr>
      <w:tr w:rsidR="008273DE" w:rsidRPr="002479B0" w14:paraId="3D0FD09E" w14:textId="77777777" w:rsidTr="00B33A9A">
        <w:tc>
          <w:tcPr>
            <w:tcW w:w="716" w:type="dxa"/>
            <w:tcBorders>
              <w:top w:val="single" w:sz="4" w:space="0" w:color="auto"/>
              <w:left w:val="single" w:sz="4" w:space="0" w:color="auto"/>
              <w:bottom w:val="single" w:sz="4" w:space="0" w:color="auto"/>
              <w:right w:val="single" w:sz="4" w:space="0" w:color="auto"/>
            </w:tcBorders>
          </w:tcPr>
          <w:p w14:paraId="1C0E6A6F" w14:textId="4C9914E5" w:rsidR="008273DE" w:rsidRDefault="00796077" w:rsidP="00DE26B1">
            <w:pPr>
              <w:jc w:val="both"/>
              <w:rPr>
                <w:sz w:val="22"/>
                <w:szCs w:val="22"/>
              </w:rPr>
            </w:pPr>
            <w:r>
              <w:rPr>
                <w:sz w:val="22"/>
                <w:szCs w:val="22"/>
              </w:rPr>
              <w:lastRenderedPageBreak/>
              <w:t>2.</w:t>
            </w:r>
          </w:p>
        </w:tc>
        <w:tc>
          <w:tcPr>
            <w:tcW w:w="3086" w:type="dxa"/>
            <w:tcBorders>
              <w:top w:val="single" w:sz="4" w:space="0" w:color="auto"/>
              <w:left w:val="single" w:sz="4" w:space="0" w:color="auto"/>
              <w:right w:val="single" w:sz="4" w:space="0" w:color="auto"/>
            </w:tcBorders>
          </w:tcPr>
          <w:p w14:paraId="147499C0" w14:textId="77777777" w:rsidR="008273DE" w:rsidRDefault="008273DE" w:rsidP="006A174F">
            <w:pPr>
              <w:rPr>
                <w:b/>
                <w:sz w:val="22"/>
                <w:szCs w:val="22"/>
              </w:rPr>
            </w:pPr>
            <w:r>
              <w:rPr>
                <w:b/>
                <w:sz w:val="22"/>
                <w:szCs w:val="22"/>
              </w:rPr>
              <w:t>MK noteikumu Nr.135 grozījums:</w:t>
            </w:r>
          </w:p>
          <w:p w14:paraId="77D14B96" w14:textId="38CF276D" w:rsidR="00952EB9" w:rsidRPr="00952EB9" w:rsidRDefault="008273DE" w:rsidP="00952EB9">
            <w:pPr>
              <w:rPr>
                <w:bCs/>
                <w:sz w:val="22"/>
                <w:szCs w:val="22"/>
              </w:rPr>
            </w:pPr>
            <w:r>
              <w:rPr>
                <w:bCs/>
                <w:sz w:val="22"/>
                <w:szCs w:val="22"/>
              </w:rPr>
              <w:t xml:space="preserve">“[…] </w:t>
            </w:r>
            <w:r w:rsidR="00952EB9">
              <w:t xml:space="preserve"> </w:t>
            </w:r>
            <w:r w:rsidR="00952EB9" w:rsidRPr="00952EB9">
              <w:rPr>
                <w:bCs/>
                <w:sz w:val="22"/>
                <w:szCs w:val="22"/>
              </w:rPr>
              <w:t>izteikt 57.punktu šādā redakcijā:</w:t>
            </w:r>
          </w:p>
          <w:p w14:paraId="6FED9297" w14:textId="7E28424E" w:rsidR="008273DE" w:rsidRDefault="00952EB9" w:rsidP="00952EB9">
            <w:pPr>
              <w:jc w:val="both"/>
              <w:rPr>
                <w:bCs/>
                <w:sz w:val="22"/>
                <w:szCs w:val="22"/>
              </w:rPr>
            </w:pPr>
            <w:r w:rsidRPr="00952EB9">
              <w:rPr>
                <w:bCs/>
                <w:sz w:val="22"/>
                <w:szCs w:val="22"/>
              </w:rPr>
              <w:t xml:space="preserve">“57. Ja finansējuma saņēmējs ir šo noteikumu 11.1 punktā minētais centralizētās siltumapgādes pakalpojuma sniedzējs, kuram atlases kārtas ietvaros piešķirts atbalsts saskaņā ar Komisijas regulu Nr.651/2014,  tas var lūgt sadarbības iestādi līdz 2019. </w:t>
            </w:r>
            <w:r w:rsidRPr="00952EB9">
              <w:rPr>
                <w:bCs/>
                <w:sz w:val="22"/>
                <w:szCs w:val="22"/>
              </w:rPr>
              <w:lastRenderedPageBreak/>
              <w:t>gada 31. decembrim pārkvalificēt tam atlases kārtas ietvaros sniegto valsts atbalsta veidu kā valsts atbalstu attiecībā uz kompensāciju par sabiedriskajiem pakalpojumiem saskaņā ar Komisijas lēmumu Nr. 2012/21/ES.”</w:t>
            </w:r>
          </w:p>
          <w:p w14:paraId="6984B600" w14:textId="77777777" w:rsidR="00952EB9" w:rsidRPr="008273DE" w:rsidRDefault="00952EB9" w:rsidP="00952EB9">
            <w:pPr>
              <w:jc w:val="both"/>
              <w:rPr>
                <w:bCs/>
                <w:sz w:val="22"/>
                <w:szCs w:val="22"/>
              </w:rPr>
            </w:pPr>
          </w:p>
          <w:p w14:paraId="45EDA9A3" w14:textId="77777777" w:rsidR="008273DE" w:rsidRDefault="008273DE" w:rsidP="006A174F">
            <w:pPr>
              <w:rPr>
                <w:b/>
                <w:sz w:val="22"/>
                <w:szCs w:val="22"/>
              </w:rPr>
            </w:pPr>
            <w:r>
              <w:rPr>
                <w:b/>
                <w:sz w:val="22"/>
                <w:szCs w:val="22"/>
              </w:rPr>
              <w:t>MK noteikumu Nr.495 grozījums:</w:t>
            </w:r>
          </w:p>
          <w:p w14:paraId="5309F131" w14:textId="77777777" w:rsidR="009F7423" w:rsidRPr="009F7423" w:rsidRDefault="009F7423" w:rsidP="009F7423">
            <w:pPr>
              <w:jc w:val="both"/>
              <w:rPr>
                <w:bCs/>
                <w:sz w:val="22"/>
                <w:szCs w:val="22"/>
              </w:rPr>
            </w:pPr>
            <w:r w:rsidRPr="009F7423">
              <w:rPr>
                <w:bCs/>
                <w:sz w:val="22"/>
                <w:szCs w:val="22"/>
              </w:rPr>
              <w:t>“[…] izteikt 62.punktu šādā redakcijā:</w:t>
            </w:r>
          </w:p>
          <w:p w14:paraId="7015EA01" w14:textId="3F76C994" w:rsidR="008273DE" w:rsidRDefault="009F7423" w:rsidP="009F7423">
            <w:pPr>
              <w:jc w:val="both"/>
              <w:rPr>
                <w:b/>
                <w:sz w:val="22"/>
                <w:szCs w:val="22"/>
              </w:rPr>
            </w:pPr>
            <w:r w:rsidRPr="009F7423">
              <w:rPr>
                <w:bCs/>
                <w:sz w:val="22"/>
                <w:szCs w:val="22"/>
              </w:rPr>
              <w:t xml:space="preserve">“62. Ja finansējuma saņēmējs ir šo noteikumu 12.1 punktā minētais centralizētās siltumapgādes pakalpojuma sniedzējs, kuram atlases kārtas ietvaros piešķirts atbalsts saskaņā ar Komisijas regulu Nr.651/2014, tas var lūgt sadarbības iestādi līdz 2019. gada 31. decembrim pārkvalificēt tam atlases kārtas ietvaros sniegto valsts atbalsta </w:t>
            </w:r>
            <w:proofErr w:type="spellStart"/>
            <w:r w:rsidRPr="009F7423">
              <w:rPr>
                <w:bCs/>
                <w:sz w:val="22"/>
                <w:szCs w:val="22"/>
              </w:rPr>
              <w:t>shēmuveidu</w:t>
            </w:r>
            <w:proofErr w:type="spellEnd"/>
            <w:r w:rsidRPr="009F7423">
              <w:rPr>
                <w:bCs/>
                <w:sz w:val="22"/>
                <w:szCs w:val="22"/>
              </w:rPr>
              <w:t xml:space="preserve"> kā valsts atbalstu attiecībā uz kompensāciju par sabiedriskajiem pakalpojumiem saskaņā ar Komisijas lēmumu Nr.2012/21/ES.””</w:t>
            </w:r>
          </w:p>
        </w:tc>
        <w:tc>
          <w:tcPr>
            <w:tcW w:w="4278" w:type="dxa"/>
            <w:tcBorders>
              <w:top w:val="single" w:sz="4" w:space="0" w:color="auto"/>
              <w:left w:val="single" w:sz="4" w:space="0" w:color="auto"/>
              <w:bottom w:val="single" w:sz="4" w:space="0" w:color="auto"/>
              <w:right w:val="single" w:sz="4" w:space="0" w:color="auto"/>
            </w:tcBorders>
          </w:tcPr>
          <w:p w14:paraId="68E261F4" w14:textId="77777777" w:rsidR="008273DE" w:rsidRDefault="008273DE" w:rsidP="0071314F">
            <w:pPr>
              <w:jc w:val="both"/>
              <w:rPr>
                <w:b/>
                <w:bCs/>
                <w:sz w:val="22"/>
                <w:szCs w:val="22"/>
              </w:rPr>
            </w:pPr>
            <w:r>
              <w:rPr>
                <w:b/>
                <w:bCs/>
                <w:sz w:val="22"/>
                <w:szCs w:val="22"/>
              </w:rPr>
              <w:lastRenderedPageBreak/>
              <w:t>Finanšu ministrijas 05.07.2019. 1.priekšlikums:</w:t>
            </w:r>
          </w:p>
          <w:p w14:paraId="13BF25B9" w14:textId="65A9EB31" w:rsidR="008273DE" w:rsidRPr="008273DE" w:rsidRDefault="008273DE" w:rsidP="0071314F">
            <w:pPr>
              <w:jc w:val="both"/>
              <w:rPr>
                <w:sz w:val="22"/>
                <w:szCs w:val="22"/>
              </w:rPr>
            </w:pPr>
            <w:r>
              <w:rPr>
                <w:sz w:val="22"/>
                <w:szCs w:val="22"/>
              </w:rPr>
              <w:t>“</w:t>
            </w:r>
            <w:r>
              <w:t xml:space="preserve"> </w:t>
            </w:r>
            <w:r w:rsidRPr="008273DE">
              <w:rPr>
                <w:sz w:val="22"/>
                <w:szCs w:val="22"/>
              </w:rPr>
              <w:t>1.</w:t>
            </w:r>
            <w:r w:rsidRPr="008273DE">
              <w:rPr>
                <w:sz w:val="22"/>
                <w:szCs w:val="22"/>
              </w:rPr>
              <w:tab/>
              <w:t xml:space="preserve">Lūdzam izvērtēt iespēju papildināt ierosināto grozījumu MK noteikumu Nr.135 57.punktā un ierosināto grozījumu MK noteikumu Nr.495 62.punktā ar atsauci uz Komisijas Regulu (ES) Nr.1407/2013, lai būtu skaidri noteikts, ka valsts atbalsta veidu varēs pārkvalificēt arī tiem projektiem, kuriem projektu ietvaros daļa valsts atbalsta tiek sniegta arī atbilstoši Komisijas Regulai (ES) Nr.1407/2013. Vēršam uzmanību, ka CFLA projektu iesniedzējiem piešķir atbalstu ne tikai </w:t>
            </w:r>
            <w:r w:rsidRPr="008273DE">
              <w:rPr>
                <w:sz w:val="22"/>
                <w:szCs w:val="22"/>
              </w:rPr>
              <w:lastRenderedPageBreak/>
              <w:t>pamatojoties uz Komisijas Regulu (ES) Nr.651/2014, bet atsevišķiem projektiem atsevišķām izmaksu pozīcijām atbalsts tiek piešķirts arī, ņemot vērā Komisijas Regulu (ES) Nr.1407/2013 (piemēram, būvprojekta izstrādes izmaksas pirms projekta iesnieguma iesniegšanas CFLA, publicitātes izmaksas, katlu mājām demontāžas izmaksas).</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FA571E4" w14:textId="77777777" w:rsidR="008273DE" w:rsidRDefault="008273DE" w:rsidP="008273DE">
            <w:pPr>
              <w:pStyle w:val="naisc"/>
              <w:spacing w:before="0" w:after="0"/>
              <w:rPr>
                <w:b/>
                <w:sz w:val="22"/>
                <w:szCs w:val="22"/>
              </w:rPr>
            </w:pPr>
            <w:r>
              <w:rPr>
                <w:b/>
                <w:sz w:val="22"/>
                <w:szCs w:val="22"/>
              </w:rPr>
              <w:lastRenderedPageBreak/>
              <w:t>Ņemts vērā</w:t>
            </w:r>
          </w:p>
          <w:p w14:paraId="2716D957" w14:textId="77777777" w:rsidR="008273DE" w:rsidRDefault="008273DE" w:rsidP="00F54F8F">
            <w:pPr>
              <w:pStyle w:val="naisc"/>
              <w:spacing w:before="0" w:after="0"/>
              <w:rPr>
                <w:b/>
                <w:sz w:val="22"/>
                <w:szCs w:val="22"/>
              </w:rPr>
            </w:pPr>
          </w:p>
        </w:tc>
        <w:tc>
          <w:tcPr>
            <w:tcW w:w="2551" w:type="dxa"/>
            <w:tcBorders>
              <w:top w:val="single" w:sz="4" w:space="0" w:color="auto"/>
              <w:left w:val="single" w:sz="4" w:space="0" w:color="auto"/>
              <w:bottom w:val="single" w:sz="4" w:space="0" w:color="auto"/>
            </w:tcBorders>
          </w:tcPr>
          <w:p w14:paraId="1F3188F9" w14:textId="795E5367" w:rsidR="008273DE" w:rsidRDefault="008273DE" w:rsidP="008273DE">
            <w:pPr>
              <w:rPr>
                <w:b/>
                <w:sz w:val="22"/>
                <w:szCs w:val="22"/>
              </w:rPr>
            </w:pPr>
            <w:r>
              <w:rPr>
                <w:b/>
                <w:sz w:val="22"/>
                <w:szCs w:val="22"/>
              </w:rPr>
              <w:t>MK noteikumu Nr.135 grozījums izteikts šādā redakcijā:</w:t>
            </w:r>
          </w:p>
          <w:p w14:paraId="7E7E13E9" w14:textId="4331D88A" w:rsidR="009F7423" w:rsidRPr="009F7423" w:rsidRDefault="009F7423" w:rsidP="009F7423">
            <w:pPr>
              <w:rPr>
                <w:bCs/>
                <w:sz w:val="22"/>
                <w:szCs w:val="22"/>
              </w:rPr>
            </w:pPr>
            <w:r>
              <w:rPr>
                <w:bCs/>
                <w:sz w:val="22"/>
                <w:szCs w:val="22"/>
              </w:rPr>
              <w:t xml:space="preserve">“[…] </w:t>
            </w:r>
            <w:r w:rsidRPr="009F7423">
              <w:rPr>
                <w:bCs/>
                <w:sz w:val="22"/>
                <w:szCs w:val="22"/>
              </w:rPr>
              <w:t>izteikt 57.punktu šādā redakcijā:</w:t>
            </w:r>
          </w:p>
          <w:p w14:paraId="45CED153" w14:textId="77777777" w:rsidR="009F7423" w:rsidRPr="009F7423" w:rsidRDefault="009F7423" w:rsidP="009F7423">
            <w:pPr>
              <w:rPr>
                <w:bCs/>
                <w:sz w:val="22"/>
                <w:szCs w:val="22"/>
              </w:rPr>
            </w:pPr>
          </w:p>
          <w:p w14:paraId="4A608615" w14:textId="0B20D269" w:rsidR="008273DE" w:rsidRDefault="009F7423" w:rsidP="009F7423">
            <w:pPr>
              <w:jc w:val="both"/>
              <w:rPr>
                <w:bCs/>
                <w:sz w:val="22"/>
                <w:szCs w:val="22"/>
              </w:rPr>
            </w:pPr>
            <w:r w:rsidRPr="009F7423">
              <w:rPr>
                <w:bCs/>
                <w:sz w:val="22"/>
                <w:szCs w:val="22"/>
              </w:rPr>
              <w:t xml:space="preserve">“57. Ja finansējuma saņēmējs ir šo noteikumu 11.1 punktā minētais centralizētās siltumapgādes pakalpojuma sniedzējs, kuram atlases kārtas </w:t>
            </w:r>
            <w:r w:rsidRPr="009F7423">
              <w:rPr>
                <w:bCs/>
                <w:sz w:val="22"/>
                <w:szCs w:val="22"/>
              </w:rPr>
              <w:lastRenderedPageBreak/>
              <w:t>ietvaros piešķirts atbalsts saskaņā ar Komisijas regulu Nr.651/2014 un Komisijas regulu Nr.1407/2013,  tas var lūgt sadarbības iestādi līdz 2019. gada 31. decembrim pārkvalificēt tam atlases kārtas ietvaros sniegto valsts atbalsta veidu kā valsts atbalstu attiecībā uz kompensāciju par sabiedriskajiem pakalpojumiem saskaņā ar Komisijas lēmumu Nr. 2012/21/ES.”</w:t>
            </w:r>
            <w:r>
              <w:rPr>
                <w:bCs/>
                <w:sz w:val="22"/>
                <w:szCs w:val="22"/>
              </w:rPr>
              <w:t>”</w:t>
            </w:r>
          </w:p>
          <w:p w14:paraId="51EDAB6B" w14:textId="77777777" w:rsidR="009F7423" w:rsidRPr="009F7423" w:rsidRDefault="009F7423" w:rsidP="009F7423">
            <w:pPr>
              <w:jc w:val="both"/>
              <w:rPr>
                <w:bCs/>
                <w:sz w:val="22"/>
                <w:szCs w:val="22"/>
              </w:rPr>
            </w:pPr>
          </w:p>
          <w:p w14:paraId="7404B45C" w14:textId="5CA923E0" w:rsidR="008273DE" w:rsidRDefault="008273DE" w:rsidP="008273DE">
            <w:pPr>
              <w:rPr>
                <w:b/>
                <w:sz w:val="22"/>
                <w:szCs w:val="22"/>
              </w:rPr>
            </w:pPr>
            <w:r>
              <w:rPr>
                <w:b/>
                <w:sz w:val="22"/>
                <w:szCs w:val="22"/>
              </w:rPr>
              <w:t>MK noteikumu Nr.495 grozījums izteikts šādā redakcijā:</w:t>
            </w:r>
          </w:p>
          <w:p w14:paraId="06DA8FA6" w14:textId="613B8388" w:rsidR="009F7423" w:rsidRPr="009F7423" w:rsidRDefault="009F7423" w:rsidP="009F7423">
            <w:pPr>
              <w:jc w:val="both"/>
              <w:rPr>
                <w:sz w:val="22"/>
                <w:szCs w:val="22"/>
              </w:rPr>
            </w:pPr>
            <w:r>
              <w:rPr>
                <w:sz w:val="22"/>
                <w:szCs w:val="22"/>
              </w:rPr>
              <w:t>“[…]</w:t>
            </w:r>
            <w:r>
              <w:t xml:space="preserve"> </w:t>
            </w:r>
            <w:r w:rsidRPr="009F7423">
              <w:rPr>
                <w:sz w:val="22"/>
                <w:szCs w:val="22"/>
              </w:rPr>
              <w:t>izteikt 62.punktu šādā redakcijā:</w:t>
            </w:r>
          </w:p>
          <w:p w14:paraId="09C57BEB" w14:textId="77777777" w:rsidR="009F7423" w:rsidRPr="009F7423" w:rsidRDefault="009F7423" w:rsidP="009F7423">
            <w:pPr>
              <w:jc w:val="both"/>
              <w:rPr>
                <w:sz w:val="22"/>
                <w:szCs w:val="22"/>
              </w:rPr>
            </w:pPr>
          </w:p>
          <w:p w14:paraId="329C9BC0" w14:textId="5A38B6E0" w:rsidR="008273DE" w:rsidRPr="009F7423" w:rsidRDefault="009F7423" w:rsidP="009F7423">
            <w:pPr>
              <w:jc w:val="both"/>
              <w:rPr>
                <w:sz w:val="22"/>
                <w:szCs w:val="22"/>
              </w:rPr>
            </w:pPr>
            <w:r w:rsidRPr="009F7423">
              <w:rPr>
                <w:sz w:val="22"/>
                <w:szCs w:val="22"/>
              </w:rPr>
              <w:t xml:space="preserve">“62. Ja finansējuma saņēmējs ir šo noteikumu 12.1 punktā minētais centralizētās siltumapgādes pakalpojuma sniedzējs, kuram atlases kārtas ietvaros piešķirts atbalsts saskaņā ar Komisijas regulu Nr.651/2014 un Komisijas regulu Nr.1407/2013, tas var lūgt </w:t>
            </w:r>
            <w:r w:rsidRPr="009F7423">
              <w:rPr>
                <w:sz w:val="22"/>
                <w:szCs w:val="22"/>
              </w:rPr>
              <w:lastRenderedPageBreak/>
              <w:t>sadarbības iestādi līdz 2019. gada 31. decembrim pārkvalificēt tam atlases kārtas ietvaros sniegto valsts atbalsta veidu kā valsts atbalstu attiecībā uz kompensāciju par sabiedriskajiem pakalpojumiem saskaņā ar Komisijas lēmumu Nr.2012/21/ES.”</w:t>
            </w:r>
            <w:r>
              <w:rPr>
                <w:sz w:val="22"/>
                <w:szCs w:val="22"/>
              </w:rPr>
              <w:t>”</w:t>
            </w:r>
          </w:p>
        </w:tc>
      </w:tr>
      <w:tr w:rsidR="0041080D" w:rsidRPr="002479B0" w14:paraId="5096F4CA" w14:textId="77777777" w:rsidTr="00B52898">
        <w:tc>
          <w:tcPr>
            <w:tcW w:w="716" w:type="dxa"/>
            <w:vMerge w:val="restart"/>
            <w:tcBorders>
              <w:top w:val="single" w:sz="4" w:space="0" w:color="auto"/>
              <w:left w:val="single" w:sz="4" w:space="0" w:color="auto"/>
              <w:right w:val="single" w:sz="4" w:space="0" w:color="auto"/>
            </w:tcBorders>
          </w:tcPr>
          <w:p w14:paraId="0355E737" w14:textId="3EC95FDB" w:rsidR="0041080D" w:rsidRDefault="00796077" w:rsidP="00DE26B1">
            <w:pPr>
              <w:jc w:val="both"/>
              <w:rPr>
                <w:sz w:val="22"/>
                <w:szCs w:val="22"/>
              </w:rPr>
            </w:pPr>
            <w:r>
              <w:rPr>
                <w:sz w:val="22"/>
                <w:szCs w:val="22"/>
              </w:rPr>
              <w:lastRenderedPageBreak/>
              <w:t>3.</w:t>
            </w:r>
          </w:p>
        </w:tc>
        <w:tc>
          <w:tcPr>
            <w:tcW w:w="3086" w:type="dxa"/>
            <w:vMerge w:val="restart"/>
            <w:tcBorders>
              <w:top w:val="single" w:sz="4" w:space="0" w:color="auto"/>
              <w:left w:val="single" w:sz="4" w:space="0" w:color="auto"/>
              <w:right w:val="single" w:sz="4" w:space="0" w:color="auto"/>
            </w:tcBorders>
          </w:tcPr>
          <w:p w14:paraId="1193ECA5" w14:textId="7248288D" w:rsidR="0041080D" w:rsidRDefault="0041080D" w:rsidP="006A174F">
            <w:pPr>
              <w:rPr>
                <w:b/>
                <w:sz w:val="22"/>
                <w:szCs w:val="22"/>
              </w:rPr>
            </w:pPr>
            <w:r>
              <w:rPr>
                <w:b/>
                <w:sz w:val="22"/>
                <w:szCs w:val="22"/>
              </w:rPr>
              <w:t>Noteikumu projektu anotācijas I sadaļas 2.punkts</w:t>
            </w:r>
          </w:p>
        </w:tc>
        <w:tc>
          <w:tcPr>
            <w:tcW w:w="4278" w:type="dxa"/>
            <w:tcBorders>
              <w:top w:val="single" w:sz="4" w:space="0" w:color="auto"/>
              <w:left w:val="single" w:sz="4" w:space="0" w:color="auto"/>
              <w:bottom w:val="single" w:sz="4" w:space="0" w:color="auto"/>
              <w:right w:val="single" w:sz="4" w:space="0" w:color="auto"/>
            </w:tcBorders>
          </w:tcPr>
          <w:p w14:paraId="7A132BC7" w14:textId="77777777" w:rsidR="0041080D" w:rsidRPr="00EB1A43" w:rsidRDefault="0041080D" w:rsidP="0071314F">
            <w:pPr>
              <w:jc w:val="both"/>
              <w:rPr>
                <w:b/>
                <w:bCs/>
                <w:sz w:val="22"/>
                <w:szCs w:val="22"/>
              </w:rPr>
            </w:pPr>
            <w:r w:rsidRPr="00EB1A43">
              <w:rPr>
                <w:b/>
                <w:bCs/>
                <w:sz w:val="22"/>
                <w:szCs w:val="22"/>
              </w:rPr>
              <w:t>Finanšu ministrijas 27.06.2019. 1.priekšlikums:</w:t>
            </w:r>
          </w:p>
          <w:p w14:paraId="72EA2A3D" w14:textId="0724435B" w:rsidR="0041080D" w:rsidRPr="0071314F" w:rsidRDefault="0041080D" w:rsidP="0071314F">
            <w:pPr>
              <w:jc w:val="both"/>
              <w:rPr>
                <w:sz w:val="22"/>
                <w:szCs w:val="22"/>
              </w:rPr>
            </w:pPr>
            <w:r>
              <w:rPr>
                <w:sz w:val="22"/>
                <w:szCs w:val="22"/>
              </w:rPr>
              <w:t>“</w:t>
            </w:r>
            <w:r>
              <w:t xml:space="preserve"> </w:t>
            </w:r>
            <w:r w:rsidRPr="00EB1A43">
              <w:rPr>
                <w:sz w:val="22"/>
                <w:szCs w:val="22"/>
              </w:rPr>
              <w:t>1.</w:t>
            </w:r>
            <w:r w:rsidRPr="00EB1A43">
              <w:rPr>
                <w:sz w:val="22"/>
                <w:szCs w:val="22"/>
              </w:rPr>
              <w:tab/>
              <w:t>Lūdzam papildināt anotācijas I sadaļas “Tiesību akta projekta izstrādes nepieciešamība” 2.punktu ar informāciju, vai atbilstoši noteikumu projektos ietvertajam regulējumam ir paredzēts veikt grozījumus projektu līgumos, un vai grozījumi projektos nav uzskatāmi par būtiskām izmaiņām atbilstoši Regulas Nr.1303/2013  71.pantam.</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6BFFF216" w14:textId="77777777" w:rsidR="0041080D" w:rsidRDefault="0041080D" w:rsidP="00F54F8F">
            <w:pPr>
              <w:pStyle w:val="naisc"/>
              <w:spacing w:before="0" w:after="0"/>
              <w:rPr>
                <w:b/>
                <w:sz w:val="22"/>
                <w:szCs w:val="22"/>
              </w:rPr>
            </w:pPr>
            <w:r>
              <w:rPr>
                <w:b/>
                <w:sz w:val="22"/>
                <w:szCs w:val="22"/>
              </w:rPr>
              <w:t>Ņemts vērā</w:t>
            </w:r>
          </w:p>
          <w:p w14:paraId="1C635E1F" w14:textId="6E7E1D3C" w:rsidR="0041080D" w:rsidRPr="00C6672D" w:rsidRDefault="0041080D" w:rsidP="00C6672D">
            <w:pPr>
              <w:pStyle w:val="naisc"/>
              <w:spacing w:before="0" w:after="0"/>
              <w:jc w:val="both"/>
              <w:rPr>
                <w:bCs/>
                <w:sz w:val="22"/>
                <w:szCs w:val="22"/>
              </w:rPr>
            </w:pPr>
            <w:r w:rsidRPr="00C6672D">
              <w:rPr>
                <w:bCs/>
                <w:sz w:val="22"/>
                <w:szCs w:val="22"/>
              </w:rPr>
              <w:t>Papildus norādām, ka minētā informācija par nepieciešamajiem līguma grozījumiem tika norādīta iepriekš veikt</w:t>
            </w:r>
            <w:r>
              <w:rPr>
                <w:bCs/>
                <w:sz w:val="22"/>
                <w:szCs w:val="22"/>
              </w:rPr>
              <w:t>u</w:t>
            </w:r>
            <w:r w:rsidRPr="00C6672D">
              <w:rPr>
                <w:bCs/>
                <w:sz w:val="22"/>
                <w:szCs w:val="22"/>
              </w:rPr>
              <w:t xml:space="preserve"> grozījumu</w:t>
            </w:r>
            <w:r>
              <w:rPr>
                <w:bCs/>
                <w:sz w:val="22"/>
                <w:szCs w:val="22"/>
              </w:rPr>
              <w:t xml:space="preserve"> (</w:t>
            </w:r>
            <w:r w:rsidRPr="00C6672D">
              <w:rPr>
                <w:bCs/>
                <w:sz w:val="22"/>
                <w:szCs w:val="22"/>
              </w:rPr>
              <w:t>MK noteikumu Nr.449</w:t>
            </w:r>
            <w:r w:rsidRPr="00C6672D">
              <w:rPr>
                <w:rStyle w:val="FootnoteReference"/>
                <w:bCs/>
                <w:sz w:val="22"/>
                <w:szCs w:val="22"/>
              </w:rPr>
              <w:footnoteReference w:id="1"/>
            </w:r>
            <w:r w:rsidRPr="00C6672D">
              <w:rPr>
                <w:bCs/>
                <w:sz w:val="22"/>
                <w:szCs w:val="22"/>
              </w:rPr>
              <w:t xml:space="preserve"> un MK noteikumu Nr.448</w:t>
            </w:r>
            <w:r w:rsidRPr="00C6672D">
              <w:rPr>
                <w:rStyle w:val="FootnoteReference"/>
                <w:bCs/>
                <w:sz w:val="22"/>
                <w:szCs w:val="22"/>
              </w:rPr>
              <w:footnoteReference w:id="2"/>
            </w:r>
            <w:r>
              <w:rPr>
                <w:bCs/>
                <w:sz w:val="22"/>
                <w:szCs w:val="22"/>
              </w:rPr>
              <w:t>)</w:t>
            </w:r>
            <w:r w:rsidRPr="00C6672D">
              <w:rPr>
                <w:bCs/>
                <w:sz w:val="22"/>
                <w:szCs w:val="22"/>
              </w:rPr>
              <w:t xml:space="preserve"> anotācijās. </w:t>
            </w:r>
            <w:r>
              <w:rPr>
                <w:bCs/>
                <w:sz w:val="22"/>
                <w:szCs w:val="22"/>
              </w:rPr>
              <w:t xml:space="preserve">Vienlaikus, lai informācija ir ērtāk atrodama, papildināta noteikumu projektu anotācija ar minēto informāciju. </w:t>
            </w:r>
          </w:p>
        </w:tc>
        <w:tc>
          <w:tcPr>
            <w:tcW w:w="2551" w:type="dxa"/>
            <w:tcBorders>
              <w:top w:val="single" w:sz="4" w:space="0" w:color="auto"/>
              <w:left w:val="single" w:sz="4" w:space="0" w:color="auto"/>
              <w:bottom w:val="single" w:sz="4" w:space="0" w:color="auto"/>
            </w:tcBorders>
          </w:tcPr>
          <w:p w14:paraId="2B1E9DC2" w14:textId="633FBCBA" w:rsidR="0041080D" w:rsidRPr="006E4FEC" w:rsidRDefault="0041080D" w:rsidP="00D32738">
            <w:pPr>
              <w:jc w:val="both"/>
              <w:rPr>
                <w:b/>
                <w:bCs/>
                <w:sz w:val="22"/>
                <w:szCs w:val="22"/>
              </w:rPr>
            </w:pPr>
            <w:r w:rsidRPr="006E4FEC">
              <w:rPr>
                <w:b/>
                <w:bCs/>
                <w:sz w:val="22"/>
                <w:szCs w:val="22"/>
              </w:rPr>
              <w:t>Veiktos labojumus lūgums skatīt Noteikumu projektu anotācijā</w:t>
            </w:r>
          </w:p>
        </w:tc>
      </w:tr>
      <w:tr w:rsidR="0041080D" w:rsidRPr="002479B0" w14:paraId="5B35FA5F" w14:textId="77777777" w:rsidTr="00B52898">
        <w:tc>
          <w:tcPr>
            <w:tcW w:w="716" w:type="dxa"/>
            <w:vMerge/>
            <w:tcBorders>
              <w:left w:val="single" w:sz="4" w:space="0" w:color="auto"/>
              <w:bottom w:val="single" w:sz="4" w:space="0" w:color="auto"/>
              <w:right w:val="single" w:sz="4" w:space="0" w:color="auto"/>
            </w:tcBorders>
          </w:tcPr>
          <w:p w14:paraId="29329F92" w14:textId="77777777" w:rsidR="0041080D" w:rsidRDefault="0041080D" w:rsidP="00DE26B1">
            <w:pPr>
              <w:jc w:val="both"/>
              <w:rPr>
                <w:sz w:val="22"/>
                <w:szCs w:val="22"/>
              </w:rPr>
            </w:pPr>
          </w:p>
        </w:tc>
        <w:tc>
          <w:tcPr>
            <w:tcW w:w="3086" w:type="dxa"/>
            <w:vMerge/>
            <w:tcBorders>
              <w:left w:val="single" w:sz="4" w:space="0" w:color="auto"/>
              <w:right w:val="single" w:sz="4" w:space="0" w:color="auto"/>
            </w:tcBorders>
          </w:tcPr>
          <w:p w14:paraId="1620606F" w14:textId="77777777" w:rsidR="0041080D" w:rsidRDefault="0041080D" w:rsidP="006A174F">
            <w:pPr>
              <w:rPr>
                <w:b/>
                <w:sz w:val="22"/>
                <w:szCs w:val="22"/>
              </w:rPr>
            </w:pPr>
          </w:p>
        </w:tc>
        <w:tc>
          <w:tcPr>
            <w:tcW w:w="4278" w:type="dxa"/>
            <w:tcBorders>
              <w:top w:val="single" w:sz="4" w:space="0" w:color="auto"/>
              <w:left w:val="single" w:sz="4" w:space="0" w:color="auto"/>
              <w:bottom w:val="single" w:sz="4" w:space="0" w:color="auto"/>
              <w:right w:val="single" w:sz="4" w:space="0" w:color="auto"/>
            </w:tcBorders>
          </w:tcPr>
          <w:p w14:paraId="6AFA36D8" w14:textId="77777777" w:rsidR="0041080D" w:rsidRDefault="0041080D" w:rsidP="0071314F">
            <w:pPr>
              <w:jc w:val="both"/>
              <w:rPr>
                <w:b/>
                <w:bCs/>
                <w:sz w:val="22"/>
                <w:szCs w:val="22"/>
              </w:rPr>
            </w:pPr>
            <w:r>
              <w:rPr>
                <w:b/>
                <w:bCs/>
                <w:sz w:val="22"/>
                <w:szCs w:val="22"/>
              </w:rPr>
              <w:t>Finanšu ministrijas 05.07.2019. 2.priekšlikums:</w:t>
            </w:r>
          </w:p>
          <w:p w14:paraId="7320453B" w14:textId="4B4A0482" w:rsidR="0041080D" w:rsidRPr="0041080D" w:rsidRDefault="0041080D" w:rsidP="0071314F">
            <w:pPr>
              <w:jc w:val="both"/>
              <w:rPr>
                <w:sz w:val="22"/>
                <w:szCs w:val="22"/>
              </w:rPr>
            </w:pPr>
            <w:r>
              <w:rPr>
                <w:sz w:val="22"/>
                <w:szCs w:val="22"/>
              </w:rPr>
              <w:t>“</w:t>
            </w:r>
            <w:r>
              <w:t xml:space="preserve"> </w:t>
            </w:r>
            <w:r w:rsidRPr="0041080D">
              <w:rPr>
                <w:sz w:val="22"/>
                <w:szCs w:val="22"/>
              </w:rPr>
              <w:t>2.</w:t>
            </w:r>
            <w:r w:rsidRPr="0041080D">
              <w:rPr>
                <w:sz w:val="22"/>
                <w:szCs w:val="22"/>
              </w:rPr>
              <w:tab/>
              <w:t xml:space="preserve">Lūdzam aizstāt anotācijas I sadaļas “Tiesību akta projekta izstrādes nepieciešamība” 2.punkta “Pašreizējā situācija un problēmas, kuru risināšanai tiesību akta projekts izstrādāts, tiesiskā regulējuma mērķis un būtība” rindkopā “Papildus </w:t>
            </w:r>
            <w:r w:rsidRPr="0041080D">
              <w:rPr>
                <w:sz w:val="22"/>
                <w:szCs w:val="22"/>
              </w:rPr>
              <w:lastRenderedPageBreak/>
              <w:t>finansējuma saņēmējs:” vārdus “apstiprinātajā projekta iesniegumā” ar vārdiem “apstiprinātajā projektā”.</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80CF081" w14:textId="423A9D15" w:rsidR="0041080D" w:rsidRDefault="0041080D" w:rsidP="00F54F8F">
            <w:pPr>
              <w:pStyle w:val="naisc"/>
              <w:spacing w:before="0" w:after="0"/>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6373594E" w14:textId="389FB64D" w:rsidR="0041080D" w:rsidRPr="006E4FEC" w:rsidRDefault="0041080D" w:rsidP="00D32738">
            <w:pPr>
              <w:jc w:val="both"/>
              <w:rPr>
                <w:b/>
                <w:bCs/>
                <w:sz w:val="22"/>
                <w:szCs w:val="22"/>
              </w:rPr>
            </w:pPr>
            <w:r w:rsidRPr="006E4FEC">
              <w:rPr>
                <w:b/>
                <w:bCs/>
                <w:sz w:val="22"/>
                <w:szCs w:val="22"/>
              </w:rPr>
              <w:t>Veiktos labojumus lūgums skatīt Noteikumu projektu anotācijā</w:t>
            </w:r>
          </w:p>
        </w:tc>
      </w:tr>
      <w:tr w:rsidR="00003F83" w:rsidRPr="002479B0" w14:paraId="52A546F2" w14:textId="77777777" w:rsidTr="00867D8D">
        <w:tc>
          <w:tcPr>
            <w:tcW w:w="716" w:type="dxa"/>
            <w:tcBorders>
              <w:top w:val="single" w:sz="4" w:space="0" w:color="auto"/>
              <w:left w:val="single" w:sz="4" w:space="0" w:color="auto"/>
              <w:bottom w:val="single" w:sz="4" w:space="0" w:color="auto"/>
              <w:right w:val="single" w:sz="4" w:space="0" w:color="auto"/>
            </w:tcBorders>
          </w:tcPr>
          <w:p w14:paraId="24C9D1BF" w14:textId="6F85A86B" w:rsidR="00003F83" w:rsidRDefault="00796077" w:rsidP="00003F83">
            <w:pPr>
              <w:jc w:val="both"/>
              <w:rPr>
                <w:sz w:val="22"/>
                <w:szCs w:val="22"/>
              </w:rPr>
            </w:pPr>
            <w:r>
              <w:rPr>
                <w:sz w:val="22"/>
                <w:szCs w:val="22"/>
              </w:rPr>
              <w:t>4.</w:t>
            </w:r>
          </w:p>
        </w:tc>
        <w:tc>
          <w:tcPr>
            <w:tcW w:w="3086" w:type="dxa"/>
            <w:tcBorders>
              <w:top w:val="single" w:sz="4" w:space="0" w:color="auto"/>
              <w:left w:val="single" w:sz="4" w:space="0" w:color="auto"/>
              <w:bottom w:val="single" w:sz="4" w:space="0" w:color="auto"/>
              <w:right w:val="single" w:sz="4" w:space="0" w:color="auto"/>
            </w:tcBorders>
          </w:tcPr>
          <w:p w14:paraId="6D8062C7" w14:textId="646BF4ED" w:rsidR="00003F83" w:rsidRDefault="00266C58" w:rsidP="00003F83">
            <w:pPr>
              <w:rPr>
                <w:b/>
                <w:sz w:val="22"/>
                <w:szCs w:val="22"/>
              </w:rPr>
            </w:pPr>
            <w:r>
              <w:rPr>
                <w:b/>
                <w:sz w:val="22"/>
                <w:szCs w:val="22"/>
              </w:rPr>
              <w:t xml:space="preserve">Noteikumu projektu anotācijas V sadaļa </w:t>
            </w:r>
          </w:p>
        </w:tc>
        <w:tc>
          <w:tcPr>
            <w:tcW w:w="4278" w:type="dxa"/>
            <w:tcBorders>
              <w:top w:val="single" w:sz="4" w:space="0" w:color="auto"/>
              <w:left w:val="single" w:sz="4" w:space="0" w:color="auto"/>
              <w:bottom w:val="single" w:sz="4" w:space="0" w:color="auto"/>
              <w:right w:val="single" w:sz="4" w:space="0" w:color="auto"/>
            </w:tcBorders>
          </w:tcPr>
          <w:p w14:paraId="7CE8300A" w14:textId="77777777" w:rsidR="00613823" w:rsidRPr="00266C58" w:rsidRDefault="00266C58" w:rsidP="00003F83">
            <w:pPr>
              <w:jc w:val="both"/>
              <w:rPr>
                <w:b/>
                <w:bCs/>
                <w:sz w:val="22"/>
                <w:szCs w:val="22"/>
              </w:rPr>
            </w:pPr>
            <w:r w:rsidRPr="00266C58">
              <w:rPr>
                <w:b/>
                <w:bCs/>
                <w:sz w:val="22"/>
                <w:szCs w:val="22"/>
              </w:rPr>
              <w:t>Tieslietu ministrijas 19.06.2019. iebildums:</w:t>
            </w:r>
          </w:p>
          <w:p w14:paraId="715A56B0" w14:textId="2A60B544" w:rsidR="00266C58" w:rsidRPr="00AD10D4" w:rsidRDefault="00266C58" w:rsidP="00003F83">
            <w:pPr>
              <w:jc w:val="both"/>
              <w:rPr>
                <w:sz w:val="22"/>
                <w:szCs w:val="22"/>
              </w:rPr>
            </w:pPr>
            <w:r>
              <w:rPr>
                <w:sz w:val="22"/>
                <w:szCs w:val="22"/>
              </w:rPr>
              <w:t>“</w:t>
            </w:r>
            <w:r>
              <w:t xml:space="preserve"> </w:t>
            </w:r>
            <w:r w:rsidRPr="00266C58">
              <w:rPr>
                <w:sz w:val="22"/>
                <w:szCs w:val="22"/>
              </w:rPr>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noteikumu projektos veiktie grozījumi ir atbilstoši noteikumu projekta anotācijas I sadaļas 2. punktā norādītajai Eiropas Komisijas 2014. gada 17. jūnija Regulas (ES) Nr.  651/2014, ar ko noteiktas atbalsta kategorijas atzīst par saderīgām ar iekšējo tirgu, piemērojot Līguma 107. un 108. pantu  38. un 46. pantam, kā arī Eiropas Komisijas 2011. gada 20. decembra 2012/21/ES lēmumam par Līguma par Eiropas Savienības darbību 106. panta 2. punkta piemērošanu valsts atbalstam attiecībā uz kompensāciju ar sabiedriskajiem pakalpojumiem dažiem uzņēmumiem, kuriem uzticēts sniegt pakalpojumus ar vispārēju tautsaimniecisku nozīmi. Ņemot vērā minēto, lūdzam precizēt noteikumu projekta anotāciju, jo Tieslietu ministrija varēs sniegt precīzu </w:t>
            </w:r>
            <w:proofErr w:type="spellStart"/>
            <w:r w:rsidRPr="00266C58">
              <w:rPr>
                <w:sz w:val="22"/>
                <w:szCs w:val="22"/>
              </w:rPr>
              <w:t>izvērtējumu</w:t>
            </w:r>
            <w:proofErr w:type="spellEnd"/>
            <w:r w:rsidRPr="00266C58">
              <w:rPr>
                <w:sz w:val="22"/>
                <w:szCs w:val="22"/>
              </w:rPr>
              <w:t xml:space="preserve"> par noteikumu projektu atbilstību </w:t>
            </w:r>
            <w:r w:rsidRPr="00266C58">
              <w:rPr>
                <w:sz w:val="22"/>
                <w:szCs w:val="22"/>
              </w:rPr>
              <w:lastRenderedPageBreak/>
              <w:t>minētajai regulai un lēmumam pēc anotācijas V sadaļas aizpildīšanas.</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31BC9B72" w14:textId="40752A6F" w:rsidR="00003F83" w:rsidRPr="002479B0" w:rsidRDefault="00BC4708" w:rsidP="00003F83">
            <w:pPr>
              <w:jc w:val="center"/>
              <w:rPr>
                <w:b/>
                <w:sz w:val="22"/>
                <w:szCs w:val="22"/>
              </w:rPr>
            </w:pPr>
            <w:r>
              <w:rPr>
                <w:b/>
                <w:sz w:val="22"/>
                <w:szCs w:val="22"/>
              </w:rPr>
              <w:lastRenderedPageBreak/>
              <w:t>Ņemts vērā</w:t>
            </w:r>
          </w:p>
        </w:tc>
        <w:tc>
          <w:tcPr>
            <w:tcW w:w="2551" w:type="dxa"/>
            <w:tcBorders>
              <w:top w:val="single" w:sz="4" w:space="0" w:color="auto"/>
              <w:left w:val="single" w:sz="4" w:space="0" w:color="auto"/>
              <w:bottom w:val="single" w:sz="4" w:space="0" w:color="auto"/>
            </w:tcBorders>
          </w:tcPr>
          <w:p w14:paraId="2BA4217B" w14:textId="76B9136F" w:rsidR="00003F83" w:rsidRPr="002479B0" w:rsidRDefault="00BC4708" w:rsidP="00003F83">
            <w:pPr>
              <w:jc w:val="both"/>
              <w:rPr>
                <w:b/>
                <w:sz w:val="22"/>
                <w:szCs w:val="22"/>
              </w:rPr>
            </w:pPr>
            <w:r w:rsidRPr="006E4FEC">
              <w:rPr>
                <w:b/>
                <w:bCs/>
                <w:sz w:val="22"/>
                <w:szCs w:val="22"/>
              </w:rPr>
              <w:t>Veiktos labojumus lūgums skatīt Noteikumu projektu anotācijā</w:t>
            </w:r>
          </w:p>
        </w:tc>
      </w:tr>
    </w:tbl>
    <w:p w14:paraId="65A3C1E4" w14:textId="5B16B3DD" w:rsidR="001C4923" w:rsidRDefault="001C4923" w:rsidP="001C4923">
      <w:pPr>
        <w:pStyle w:val="naisf"/>
        <w:spacing w:before="0" w:after="0"/>
        <w:ind w:firstLine="0"/>
        <w:rPr>
          <w:sz w:val="22"/>
          <w:szCs w:val="22"/>
        </w:rPr>
      </w:pPr>
    </w:p>
    <w:p w14:paraId="10FF0E0A" w14:textId="77777777" w:rsidR="00266C58" w:rsidRPr="001C4923" w:rsidRDefault="00266C58"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5EFD4136" w:rsidR="001B797B" w:rsidRPr="001C4923" w:rsidRDefault="00C20E4A" w:rsidP="001B797B">
            <w:pPr>
              <w:jc w:val="center"/>
              <w:rPr>
                <w:sz w:val="22"/>
                <w:szCs w:val="22"/>
              </w:rPr>
            </w:pPr>
            <w:r>
              <w:rPr>
                <w:sz w:val="22"/>
                <w:szCs w:val="22"/>
              </w:rPr>
              <w:t xml:space="preserve">Evelīna </w:t>
            </w:r>
            <w:r w:rsidR="008B4A0F">
              <w:rPr>
                <w:sz w:val="22"/>
                <w:szCs w:val="22"/>
              </w:rPr>
              <w:t>Matisone</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77777777" w:rsidR="001B797B" w:rsidRPr="001C4923" w:rsidRDefault="001B797B" w:rsidP="001B797B">
            <w:pPr>
              <w:jc w:val="center"/>
              <w:rPr>
                <w:sz w:val="22"/>
                <w:szCs w:val="22"/>
              </w:rPr>
            </w:pPr>
            <w:r>
              <w:rPr>
                <w:sz w:val="22"/>
                <w:szCs w:val="22"/>
              </w:rPr>
              <w:t>Enerģētikas finanšu instrumentu nodaļas v</w:t>
            </w:r>
            <w:r w:rsidR="00C20E4A">
              <w:rPr>
                <w:sz w:val="22"/>
                <w:szCs w:val="22"/>
              </w:rPr>
              <w:t>ecākā eksperte</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77777777" w:rsidR="001B797B" w:rsidRPr="001C4923" w:rsidRDefault="00C20E4A" w:rsidP="001B797B">
            <w:pPr>
              <w:jc w:val="center"/>
              <w:rPr>
                <w:sz w:val="22"/>
                <w:szCs w:val="22"/>
              </w:rPr>
            </w:pPr>
            <w:r>
              <w:rPr>
                <w:sz w:val="22"/>
                <w:szCs w:val="22"/>
              </w:rPr>
              <w:t>67013241</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237C8BA0" w:rsidR="001B797B" w:rsidRPr="001C4923" w:rsidRDefault="00C20E4A" w:rsidP="001B797B">
            <w:pPr>
              <w:jc w:val="center"/>
              <w:rPr>
                <w:sz w:val="22"/>
                <w:szCs w:val="22"/>
              </w:rPr>
            </w:pPr>
            <w:r>
              <w:rPr>
                <w:sz w:val="22"/>
                <w:szCs w:val="22"/>
              </w:rPr>
              <w:t>Evelina.</w:t>
            </w:r>
            <w:r w:rsidR="008B4A0F">
              <w:rPr>
                <w:sz w:val="22"/>
                <w:szCs w:val="22"/>
              </w:rPr>
              <w:t>Matisone</w:t>
            </w:r>
            <w:r>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FF2741A"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435D030E" w14:textId="77777777" w:rsidR="001B797B" w:rsidRDefault="001B797B" w:rsidP="00C4513F">
      <w:pPr>
        <w:pStyle w:val="naisf"/>
        <w:tabs>
          <w:tab w:val="left" w:pos="6840"/>
        </w:tabs>
        <w:spacing w:before="0" w:after="0"/>
        <w:ind w:firstLine="0"/>
        <w:rPr>
          <w:sz w:val="20"/>
          <w:szCs w:val="20"/>
        </w:rPr>
      </w:pPr>
    </w:p>
    <w:p w14:paraId="624B026E" w14:textId="77777777" w:rsidR="006A6139" w:rsidRDefault="006A6139"/>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16B2" w14:textId="77777777" w:rsidR="0072025E" w:rsidRDefault="0072025E" w:rsidP="001C4923">
      <w:r>
        <w:separator/>
      </w:r>
    </w:p>
  </w:endnote>
  <w:endnote w:type="continuationSeparator" w:id="0">
    <w:p w14:paraId="1554FB55" w14:textId="77777777" w:rsidR="0072025E" w:rsidRDefault="0072025E"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CB89" w14:textId="0C8661B0" w:rsidR="0033307A" w:rsidRPr="001C4923" w:rsidRDefault="0033307A" w:rsidP="001C4923">
    <w:pPr>
      <w:pStyle w:val="Footer"/>
      <w:jc w:val="both"/>
      <w:rPr>
        <w:sz w:val="20"/>
        <w:szCs w:val="20"/>
      </w:rPr>
    </w:pPr>
    <w:r>
      <w:rPr>
        <w:sz w:val="20"/>
        <w:szCs w:val="20"/>
      </w:rPr>
      <w:t>EMIzz_</w:t>
    </w:r>
    <w:r w:rsidR="00E00ED9">
      <w:rPr>
        <w:sz w:val="20"/>
        <w:szCs w:val="20"/>
      </w:rPr>
      <w:t>1007</w:t>
    </w:r>
    <w:r w:rsidR="00496905">
      <w:rPr>
        <w:sz w:val="20"/>
        <w:szCs w:val="20"/>
      </w:rPr>
      <w:t>19</w:t>
    </w:r>
    <w:r>
      <w:rPr>
        <w:sz w:val="20"/>
        <w:szCs w:val="20"/>
      </w:rPr>
      <w:t>_</w:t>
    </w:r>
    <w:r w:rsidR="00D03415">
      <w:rPr>
        <w:sz w:val="20"/>
        <w:szCs w:val="20"/>
      </w:rPr>
      <w:t>Groz</w:t>
    </w:r>
    <w:r w:rsidR="00496905">
      <w:rPr>
        <w:sz w:val="20"/>
        <w:szCs w:val="20"/>
      </w:rPr>
      <w:t>135</w:t>
    </w:r>
    <w:r w:rsidR="00EB1A43">
      <w:rPr>
        <w:sz w:val="20"/>
        <w:szCs w:val="20"/>
      </w:rPr>
      <w:t>_Groz495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0B2C" w14:textId="77777777" w:rsidR="0072025E" w:rsidRDefault="0072025E" w:rsidP="001C4923">
      <w:r>
        <w:separator/>
      </w:r>
    </w:p>
  </w:footnote>
  <w:footnote w:type="continuationSeparator" w:id="0">
    <w:p w14:paraId="35CE8A74" w14:textId="77777777" w:rsidR="0072025E" w:rsidRDefault="0072025E" w:rsidP="001C4923">
      <w:r>
        <w:continuationSeparator/>
      </w:r>
    </w:p>
  </w:footnote>
  <w:footnote w:id="1">
    <w:p w14:paraId="10E0EA5F" w14:textId="27C95102" w:rsidR="0041080D" w:rsidRDefault="0041080D">
      <w:pPr>
        <w:pStyle w:val="FootnoteText"/>
      </w:pPr>
      <w:r>
        <w:rPr>
          <w:rStyle w:val="FootnoteReference"/>
        </w:rPr>
        <w:footnoteRef/>
      </w:r>
      <w:r>
        <w:t xml:space="preserve"> Ministru kabineta 2018.gada 24.jūlija noteikumi Nr.449 “</w:t>
      </w:r>
      <w:r w:rsidRPr="00C6672D">
        <w:t xml:space="preserve">Grozījumi Ministru kabineta 2017. gada 7. marta noteikumos Nr. 135 </w:t>
      </w:r>
      <w:r>
        <w:t>“</w:t>
      </w:r>
      <w:r w:rsidRPr="00C6672D">
        <w:t xml:space="preserve">Darbības programmas </w:t>
      </w:r>
      <w:r>
        <w:t>“</w:t>
      </w:r>
      <w:r w:rsidRPr="00C6672D">
        <w:t>Izaugsme un nodarbinātība</w:t>
      </w:r>
      <w:r>
        <w:t>”</w:t>
      </w:r>
      <w:r w:rsidRPr="00C6672D">
        <w:t xml:space="preserve"> 4.3.1. specifiskā atbalsta mērķa </w:t>
      </w:r>
      <w:r>
        <w:t>“</w:t>
      </w:r>
      <w:r w:rsidRPr="00C6672D">
        <w:t>Veicināt energoefektivitāti un vietējo AER izmantošanu centralizētajā siltumapgādē</w:t>
      </w:r>
      <w:r>
        <w:t>”</w:t>
      </w:r>
      <w:r w:rsidRPr="00C6672D">
        <w:t xml:space="preserve"> pirmās projektu iesniegumu atlases kārtas īstenošanas noteikumi</w:t>
      </w:r>
      <w:r>
        <w:t>””</w:t>
      </w:r>
    </w:p>
  </w:footnote>
  <w:footnote w:id="2">
    <w:p w14:paraId="24E33C11" w14:textId="5C7644BB" w:rsidR="0041080D" w:rsidRDefault="0041080D">
      <w:pPr>
        <w:pStyle w:val="FootnoteText"/>
      </w:pPr>
      <w:r>
        <w:rPr>
          <w:rStyle w:val="FootnoteReference"/>
        </w:rPr>
        <w:footnoteRef/>
      </w:r>
      <w:r>
        <w:t xml:space="preserve"> Ministru kabineta 2018.gada 24.jūlija noteikumi Nr.448 “</w:t>
      </w:r>
      <w:r w:rsidRPr="00C6672D">
        <w:t xml:space="preserve">Grozījumi Ministru kabineta 2017. gada 22. augusta noteikumos Nr. 495 </w:t>
      </w:r>
      <w:r>
        <w:t>“</w:t>
      </w:r>
      <w:r w:rsidRPr="00C6672D">
        <w:t xml:space="preserve">Darbības programmas </w:t>
      </w:r>
      <w:r>
        <w:t>“</w:t>
      </w:r>
      <w:r w:rsidRPr="00C6672D">
        <w:t>Izaugsme un nodarbinātība</w:t>
      </w:r>
      <w:r>
        <w:t>”</w:t>
      </w:r>
      <w:r w:rsidRPr="00C6672D">
        <w:t xml:space="preserve"> 4.3.1. specifiskā atbalsta mērķa </w:t>
      </w:r>
      <w:r>
        <w:t>“</w:t>
      </w:r>
      <w:r w:rsidRPr="00C6672D">
        <w:t>Veicināt energoefektivitāti un vietējo AER izmantošanu centralizētajā siltumapgādē</w:t>
      </w:r>
      <w:r>
        <w:t>”</w:t>
      </w:r>
      <w:r w:rsidRPr="00C6672D">
        <w:t xml:space="preserve"> otrās projektu iesniegumu atlases kārtas īstenošanas noteikumi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2" w15:restartNumberingAfterBreak="0">
    <w:nsid w:val="62FD5D5E"/>
    <w:multiLevelType w:val="hybridMultilevel"/>
    <w:tmpl w:val="01323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0"/>
  </w:num>
  <w:num w:numId="2">
    <w:abstractNumId w:val="9"/>
  </w:num>
  <w:num w:numId="3">
    <w:abstractNumId w:val="8"/>
  </w:num>
  <w:num w:numId="4">
    <w:abstractNumId w:val="13"/>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6862"/>
    <w:rsid w:val="000278A6"/>
    <w:rsid w:val="000509DF"/>
    <w:rsid w:val="000548B9"/>
    <w:rsid w:val="00055F8F"/>
    <w:rsid w:val="00060469"/>
    <w:rsid w:val="00065F94"/>
    <w:rsid w:val="00072425"/>
    <w:rsid w:val="000771EE"/>
    <w:rsid w:val="00082698"/>
    <w:rsid w:val="000A20B8"/>
    <w:rsid w:val="000A681E"/>
    <w:rsid w:val="000A73A5"/>
    <w:rsid w:val="000C01ED"/>
    <w:rsid w:val="000E33D8"/>
    <w:rsid w:val="000E63EF"/>
    <w:rsid w:val="000F387C"/>
    <w:rsid w:val="000F40CE"/>
    <w:rsid w:val="001110AC"/>
    <w:rsid w:val="0011254E"/>
    <w:rsid w:val="00116BD0"/>
    <w:rsid w:val="00135CC1"/>
    <w:rsid w:val="00176059"/>
    <w:rsid w:val="00184ED9"/>
    <w:rsid w:val="00195F27"/>
    <w:rsid w:val="001A616F"/>
    <w:rsid w:val="001B1A94"/>
    <w:rsid w:val="001B797B"/>
    <w:rsid w:val="001C4923"/>
    <w:rsid w:val="001C7175"/>
    <w:rsid w:val="001D5DEE"/>
    <w:rsid w:val="001E1D3C"/>
    <w:rsid w:val="001E7427"/>
    <w:rsid w:val="001F746B"/>
    <w:rsid w:val="00200057"/>
    <w:rsid w:val="0020328C"/>
    <w:rsid w:val="00222483"/>
    <w:rsid w:val="002479B0"/>
    <w:rsid w:val="0025090B"/>
    <w:rsid w:val="00265075"/>
    <w:rsid w:val="002659D6"/>
    <w:rsid w:val="00266C58"/>
    <w:rsid w:val="002704F7"/>
    <w:rsid w:val="00273997"/>
    <w:rsid w:val="00273D34"/>
    <w:rsid w:val="00286509"/>
    <w:rsid w:val="002A4E8D"/>
    <w:rsid w:val="002B0534"/>
    <w:rsid w:val="002B2A99"/>
    <w:rsid w:val="002B59B0"/>
    <w:rsid w:val="002B5F82"/>
    <w:rsid w:val="002C0726"/>
    <w:rsid w:val="002D6441"/>
    <w:rsid w:val="002E4411"/>
    <w:rsid w:val="002F4453"/>
    <w:rsid w:val="0030647B"/>
    <w:rsid w:val="003104FB"/>
    <w:rsid w:val="003117A0"/>
    <w:rsid w:val="003271D0"/>
    <w:rsid w:val="00331D77"/>
    <w:rsid w:val="0033307A"/>
    <w:rsid w:val="0033425C"/>
    <w:rsid w:val="00334E10"/>
    <w:rsid w:val="00350E39"/>
    <w:rsid w:val="0035679E"/>
    <w:rsid w:val="00357706"/>
    <w:rsid w:val="00362FC8"/>
    <w:rsid w:val="00373EF4"/>
    <w:rsid w:val="00384764"/>
    <w:rsid w:val="003852AB"/>
    <w:rsid w:val="00386B50"/>
    <w:rsid w:val="00387859"/>
    <w:rsid w:val="003A28C2"/>
    <w:rsid w:val="003A63C4"/>
    <w:rsid w:val="003B7844"/>
    <w:rsid w:val="003C4FA2"/>
    <w:rsid w:val="003D6CDD"/>
    <w:rsid w:val="003F306E"/>
    <w:rsid w:val="003F768C"/>
    <w:rsid w:val="00402E8B"/>
    <w:rsid w:val="004032D6"/>
    <w:rsid w:val="0041080D"/>
    <w:rsid w:val="0041420C"/>
    <w:rsid w:val="0043244B"/>
    <w:rsid w:val="004432C2"/>
    <w:rsid w:val="004753A1"/>
    <w:rsid w:val="00484D5A"/>
    <w:rsid w:val="0049097D"/>
    <w:rsid w:val="00492D01"/>
    <w:rsid w:val="00496753"/>
    <w:rsid w:val="00496905"/>
    <w:rsid w:val="004C2A11"/>
    <w:rsid w:val="004C4E43"/>
    <w:rsid w:val="004D0568"/>
    <w:rsid w:val="004D3DB6"/>
    <w:rsid w:val="004D5D14"/>
    <w:rsid w:val="004E1C4E"/>
    <w:rsid w:val="00513B06"/>
    <w:rsid w:val="00532141"/>
    <w:rsid w:val="00550CBA"/>
    <w:rsid w:val="00554773"/>
    <w:rsid w:val="0056421D"/>
    <w:rsid w:val="00571829"/>
    <w:rsid w:val="005742CE"/>
    <w:rsid w:val="00575577"/>
    <w:rsid w:val="00590833"/>
    <w:rsid w:val="005A7EB1"/>
    <w:rsid w:val="005B3FA0"/>
    <w:rsid w:val="005C4DFE"/>
    <w:rsid w:val="005C6279"/>
    <w:rsid w:val="005C6A9A"/>
    <w:rsid w:val="005C6F7C"/>
    <w:rsid w:val="005E03BE"/>
    <w:rsid w:val="005E7A32"/>
    <w:rsid w:val="00604B36"/>
    <w:rsid w:val="00613823"/>
    <w:rsid w:val="0062552C"/>
    <w:rsid w:val="00643887"/>
    <w:rsid w:val="00644094"/>
    <w:rsid w:val="0064486D"/>
    <w:rsid w:val="00644A25"/>
    <w:rsid w:val="00666605"/>
    <w:rsid w:val="00676B12"/>
    <w:rsid w:val="00687661"/>
    <w:rsid w:val="00691997"/>
    <w:rsid w:val="006922CA"/>
    <w:rsid w:val="006A174F"/>
    <w:rsid w:val="006A6139"/>
    <w:rsid w:val="006E4FEC"/>
    <w:rsid w:val="006E69DF"/>
    <w:rsid w:val="006F6CDC"/>
    <w:rsid w:val="00700D73"/>
    <w:rsid w:val="00710E3D"/>
    <w:rsid w:val="00710FD0"/>
    <w:rsid w:val="00711F58"/>
    <w:rsid w:val="0071314F"/>
    <w:rsid w:val="0072025E"/>
    <w:rsid w:val="007363E2"/>
    <w:rsid w:val="00737C7F"/>
    <w:rsid w:val="00741E83"/>
    <w:rsid w:val="00742B78"/>
    <w:rsid w:val="00745A61"/>
    <w:rsid w:val="00751F8C"/>
    <w:rsid w:val="007651D3"/>
    <w:rsid w:val="00773712"/>
    <w:rsid w:val="0077615A"/>
    <w:rsid w:val="007923A4"/>
    <w:rsid w:val="00796077"/>
    <w:rsid w:val="007B0871"/>
    <w:rsid w:val="007B5AA2"/>
    <w:rsid w:val="007C259D"/>
    <w:rsid w:val="007C2B86"/>
    <w:rsid w:val="007C6858"/>
    <w:rsid w:val="007D5C3B"/>
    <w:rsid w:val="007F212E"/>
    <w:rsid w:val="008001FB"/>
    <w:rsid w:val="00813257"/>
    <w:rsid w:val="00815169"/>
    <w:rsid w:val="008273DE"/>
    <w:rsid w:val="00834D29"/>
    <w:rsid w:val="00851E73"/>
    <w:rsid w:val="00857F8B"/>
    <w:rsid w:val="00867D8D"/>
    <w:rsid w:val="0088699C"/>
    <w:rsid w:val="00892EC5"/>
    <w:rsid w:val="00894EC2"/>
    <w:rsid w:val="00897D7F"/>
    <w:rsid w:val="008A4985"/>
    <w:rsid w:val="008B4A0F"/>
    <w:rsid w:val="008B73BA"/>
    <w:rsid w:val="008F0DF6"/>
    <w:rsid w:val="008F5241"/>
    <w:rsid w:val="00915EBA"/>
    <w:rsid w:val="00932A43"/>
    <w:rsid w:val="0093630C"/>
    <w:rsid w:val="00942F7C"/>
    <w:rsid w:val="00943722"/>
    <w:rsid w:val="00952EB9"/>
    <w:rsid w:val="009642E8"/>
    <w:rsid w:val="00965634"/>
    <w:rsid w:val="00971204"/>
    <w:rsid w:val="0097329B"/>
    <w:rsid w:val="00976A6C"/>
    <w:rsid w:val="009820E8"/>
    <w:rsid w:val="009904C9"/>
    <w:rsid w:val="00993D6A"/>
    <w:rsid w:val="0099650E"/>
    <w:rsid w:val="00997E69"/>
    <w:rsid w:val="009B7023"/>
    <w:rsid w:val="009D1AA4"/>
    <w:rsid w:val="009D5A8B"/>
    <w:rsid w:val="009F7423"/>
    <w:rsid w:val="00A03C16"/>
    <w:rsid w:val="00A1075D"/>
    <w:rsid w:val="00A11E34"/>
    <w:rsid w:val="00A135BC"/>
    <w:rsid w:val="00A14716"/>
    <w:rsid w:val="00A1624F"/>
    <w:rsid w:val="00A26A7D"/>
    <w:rsid w:val="00A37A7A"/>
    <w:rsid w:val="00A42D9A"/>
    <w:rsid w:val="00A43C27"/>
    <w:rsid w:val="00AB0AA8"/>
    <w:rsid w:val="00AB18E7"/>
    <w:rsid w:val="00AB29DB"/>
    <w:rsid w:val="00AB392B"/>
    <w:rsid w:val="00AD10D4"/>
    <w:rsid w:val="00AD679B"/>
    <w:rsid w:val="00AE40C7"/>
    <w:rsid w:val="00B003E1"/>
    <w:rsid w:val="00B06ACF"/>
    <w:rsid w:val="00B3443C"/>
    <w:rsid w:val="00B451DA"/>
    <w:rsid w:val="00B52D0B"/>
    <w:rsid w:val="00B60AEE"/>
    <w:rsid w:val="00B67DB6"/>
    <w:rsid w:val="00B7239E"/>
    <w:rsid w:val="00B8283C"/>
    <w:rsid w:val="00B976D8"/>
    <w:rsid w:val="00B977C7"/>
    <w:rsid w:val="00BA22B9"/>
    <w:rsid w:val="00BB6CC6"/>
    <w:rsid w:val="00BC4708"/>
    <w:rsid w:val="00BD34A8"/>
    <w:rsid w:val="00BE0A5C"/>
    <w:rsid w:val="00BE474A"/>
    <w:rsid w:val="00BF0E97"/>
    <w:rsid w:val="00BF3988"/>
    <w:rsid w:val="00BF4E22"/>
    <w:rsid w:val="00C07F10"/>
    <w:rsid w:val="00C14DB2"/>
    <w:rsid w:val="00C20C9F"/>
    <w:rsid w:val="00C20E4A"/>
    <w:rsid w:val="00C444D2"/>
    <w:rsid w:val="00C4513F"/>
    <w:rsid w:val="00C63BF2"/>
    <w:rsid w:val="00C6672D"/>
    <w:rsid w:val="00C72944"/>
    <w:rsid w:val="00C7382B"/>
    <w:rsid w:val="00C954A6"/>
    <w:rsid w:val="00CA3FDA"/>
    <w:rsid w:val="00CB5ED5"/>
    <w:rsid w:val="00CD3396"/>
    <w:rsid w:val="00CE3635"/>
    <w:rsid w:val="00CF2463"/>
    <w:rsid w:val="00D00F6E"/>
    <w:rsid w:val="00D03415"/>
    <w:rsid w:val="00D06A04"/>
    <w:rsid w:val="00D07CC0"/>
    <w:rsid w:val="00D31286"/>
    <w:rsid w:val="00D32738"/>
    <w:rsid w:val="00D372ED"/>
    <w:rsid w:val="00D54080"/>
    <w:rsid w:val="00D606A9"/>
    <w:rsid w:val="00D70831"/>
    <w:rsid w:val="00DA3D07"/>
    <w:rsid w:val="00DE26B1"/>
    <w:rsid w:val="00DE737D"/>
    <w:rsid w:val="00DE75D6"/>
    <w:rsid w:val="00E00ED9"/>
    <w:rsid w:val="00E01F1B"/>
    <w:rsid w:val="00E0718E"/>
    <w:rsid w:val="00E07757"/>
    <w:rsid w:val="00E219A5"/>
    <w:rsid w:val="00E4125B"/>
    <w:rsid w:val="00E46FFB"/>
    <w:rsid w:val="00E5025C"/>
    <w:rsid w:val="00E71488"/>
    <w:rsid w:val="00E75E11"/>
    <w:rsid w:val="00E90691"/>
    <w:rsid w:val="00E93DDB"/>
    <w:rsid w:val="00EA21E9"/>
    <w:rsid w:val="00EA6348"/>
    <w:rsid w:val="00EB1A43"/>
    <w:rsid w:val="00ED45FC"/>
    <w:rsid w:val="00EE1B15"/>
    <w:rsid w:val="00EE5475"/>
    <w:rsid w:val="00EF1A26"/>
    <w:rsid w:val="00EF4F1C"/>
    <w:rsid w:val="00F01939"/>
    <w:rsid w:val="00F06C17"/>
    <w:rsid w:val="00F113BA"/>
    <w:rsid w:val="00F153D9"/>
    <w:rsid w:val="00F2290E"/>
    <w:rsid w:val="00F31C35"/>
    <w:rsid w:val="00F31FB9"/>
    <w:rsid w:val="00F37C6F"/>
    <w:rsid w:val="00F37E19"/>
    <w:rsid w:val="00F54F8F"/>
    <w:rsid w:val="00F60E60"/>
    <w:rsid w:val="00F66677"/>
    <w:rsid w:val="00F67053"/>
    <w:rsid w:val="00F701CE"/>
    <w:rsid w:val="00F84986"/>
    <w:rsid w:val="00F915AB"/>
    <w:rsid w:val="00F93A52"/>
    <w:rsid w:val="00FA074C"/>
    <w:rsid w:val="00FA0EC3"/>
    <w:rsid w:val="00FA3ED3"/>
    <w:rsid w:val="00FA69FA"/>
    <w:rsid w:val="00FB1846"/>
    <w:rsid w:val="00FD36D0"/>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 w:type="paragraph" w:styleId="FootnoteText">
    <w:name w:val="footnote text"/>
    <w:basedOn w:val="Normal"/>
    <w:link w:val="FootnoteTextChar"/>
    <w:semiHidden/>
    <w:rsid w:val="00A1075D"/>
    <w:pPr>
      <w:jc w:val="both"/>
    </w:pPr>
    <w:rPr>
      <w:sz w:val="20"/>
      <w:szCs w:val="20"/>
      <w:lang w:eastAsia="en-US"/>
    </w:rPr>
  </w:style>
  <w:style w:type="character" w:customStyle="1" w:styleId="FootnoteTextChar">
    <w:name w:val="Footnote Text Char"/>
    <w:basedOn w:val="DefaultParagraphFont"/>
    <w:link w:val="FootnoteText"/>
    <w:semiHidden/>
    <w:rsid w:val="00A1075D"/>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A1075D"/>
    <w:rPr>
      <w:vertAlign w:val="superscript"/>
    </w:rPr>
  </w:style>
  <w:style w:type="paragraph" w:customStyle="1" w:styleId="CharCharCharChar">
    <w:name w:val="Char Char Char Char"/>
    <w:aliases w:val="Char2"/>
    <w:basedOn w:val="Normal"/>
    <w:next w:val="Normal"/>
    <w:link w:val="FootnoteReference"/>
    <w:uiPriority w:val="99"/>
    <w:rsid w:val="00A1075D"/>
    <w:pPr>
      <w:spacing w:after="160" w:line="240" w:lineRule="exact"/>
      <w:jc w:val="both"/>
      <w:textAlignment w:val="baseline"/>
    </w:pPr>
    <w:rPr>
      <w:rFonts w:eastAsiaTheme="minorHAnsi" w:cstheme="minorBidi"/>
      <w:sz w:val="28"/>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103573836">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D2C6-15B8-4A8C-BB80-2B35B47B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Evelīna Matisone</cp:lastModifiedBy>
  <cp:revision>6</cp:revision>
  <dcterms:created xsi:type="dcterms:W3CDTF">2019-06-28T13:08:00Z</dcterms:created>
  <dcterms:modified xsi:type="dcterms:W3CDTF">2019-07-10T08:18:00Z</dcterms:modified>
</cp:coreProperties>
</file>