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8227" w14:textId="77777777" w:rsidR="00846AA0" w:rsidRPr="00F841CA" w:rsidRDefault="00846AA0" w:rsidP="00846AA0">
      <w:pPr>
        <w:pStyle w:val="naislab"/>
        <w:spacing w:before="0" w:after="0"/>
        <w:jc w:val="center"/>
        <w:rPr>
          <w:b/>
          <w:sz w:val="22"/>
          <w:szCs w:val="22"/>
        </w:rPr>
      </w:pPr>
      <w:r w:rsidRPr="00F841CA">
        <w:rPr>
          <w:b/>
          <w:sz w:val="22"/>
          <w:szCs w:val="22"/>
        </w:rPr>
        <w:t>Izziņa par atzinumos sniegtajiem iebildumiem</w:t>
      </w:r>
    </w:p>
    <w:p w14:paraId="390DD382" w14:textId="77777777" w:rsidR="00846AA0" w:rsidRPr="00F841CA" w:rsidRDefault="00846AA0" w:rsidP="00846AA0">
      <w:pPr>
        <w:pStyle w:val="naisf"/>
        <w:spacing w:before="0" w:after="0"/>
        <w:ind w:firstLine="720"/>
        <w:rPr>
          <w:sz w:val="22"/>
          <w:szCs w:val="22"/>
        </w:rPr>
      </w:pPr>
    </w:p>
    <w:p w14:paraId="6277E4B0" w14:textId="77777777" w:rsidR="00846AA0" w:rsidRDefault="00846AA0" w:rsidP="00846AA0">
      <w:pPr>
        <w:ind w:left="2410" w:right="2663"/>
        <w:jc w:val="center"/>
        <w:rPr>
          <w:bCs/>
          <w:sz w:val="22"/>
          <w:szCs w:val="22"/>
        </w:rPr>
      </w:pPr>
      <w:bookmarkStart w:id="0" w:name="_Hlk9345098"/>
      <w:r w:rsidRPr="00F841CA">
        <w:rPr>
          <w:bCs/>
          <w:sz w:val="22"/>
          <w:szCs w:val="22"/>
        </w:rPr>
        <w:t xml:space="preserve">Ministru kabineta noteikumu projekts </w:t>
      </w:r>
      <w:r>
        <w:rPr>
          <w:bCs/>
          <w:sz w:val="22"/>
          <w:szCs w:val="22"/>
        </w:rPr>
        <w:t>"</w:t>
      </w:r>
      <w:r w:rsidRPr="00770054">
        <w:rPr>
          <w:bCs/>
          <w:sz w:val="22"/>
          <w:szCs w:val="22"/>
        </w:rPr>
        <w:t xml:space="preserve">"Grozījumi Ministru kabineta 2011.gada 12.aprīļa noteikumos Nr.286 "Kārtība, kādā komersanti nodrošina un sniedz drošības rezervju pakalpojumu valsts naftas produktu drošības rezervju izveidei noteiktā apjomā"" </w:t>
      </w:r>
    </w:p>
    <w:bookmarkEnd w:id="0"/>
    <w:p w14:paraId="2C8D1233" w14:textId="77777777" w:rsidR="00846AA0" w:rsidRPr="00F841CA" w:rsidRDefault="00846AA0" w:rsidP="00846AA0">
      <w:pPr>
        <w:ind w:left="2410" w:right="2663"/>
        <w:jc w:val="center"/>
        <w:rPr>
          <w:sz w:val="22"/>
          <w:szCs w:val="22"/>
        </w:rPr>
      </w:pPr>
      <w:r w:rsidRPr="00770054">
        <w:rPr>
          <w:bCs/>
          <w:sz w:val="22"/>
          <w:szCs w:val="22"/>
        </w:rPr>
        <w:t>(VSS-384)</w:t>
      </w:r>
    </w:p>
    <w:p w14:paraId="3AFFF556" w14:textId="77777777" w:rsidR="00846AA0" w:rsidRPr="00F841CA" w:rsidRDefault="00846AA0" w:rsidP="00846AA0">
      <w:pPr>
        <w:pStyle w:val="naisf"/>
        <w:spacing w:before="0" w:after="0"/>
        <w:ind w:firstLine="0"/>
        <w:rPr>
          <w:b/>
          <w:sz w:val="22"/>
          <w:szCs w:val="22"/>
        </w:rPr>
      </w:pPr>
      <w:r w:rsidRPr="00F841CA">
        <w:rPr>
          <w:b/>
          <w:sz w:val="22"/>
          <w:szCs w:val="22"/>
        </w:rPr>
        <w:t xml:space="preserve">Informācija par </w:t>
      </w:r>
      <w:proofErr w:type="spellStart"/>
      <w:r w:rsidRPr="00F841CA">
        <w:rPr>
          <w:b/>
          <w:sz w:val="22"/>
          <w:szCs w:val="22"/>
        </w:rPr>
        <w:t>starpministriju</w:t>
      </w:r>
      <w:proofErr w:type="spellEnd"/>
      <w:r w:rsidRPr="00F841CA">
        <w:rPr>
          <w:b/>
          <w:sz w:val="22"/>
          <w:szCs w:val="22"/>
        </w:rPr>
        <w:t xml:space="preserve"> (starpinstitūciju) sanāksmi vai elektronisko saskaņošanu</w:t>
      </w:r>
    </w:p>
    <w:p w14:paraId="0873B0AC" w14:textId="77777777" w:rsidR="00846AA0" w:rsidRPr="00F841CA" w:rsidRDefault="00846AA0" w:rsidP="00846AA0">
      <w:pPr>
        <w:pStyle w:val="naisf"/>
        <w:spacing w:before="0" w:after="0"/>
        <w:ind w:firstLine="0"/>
        <w:rPr>
          <w:b/>
          <w:sz w:val="22"/>
          <w:szCs w:val="22"/>
        </w:rPr>
      </w:pPr>
    </w:p>
    <w:tbl>
      <w:tblPr>
        <w:tblW w:w="12333" w:type="dxa"/>
        <w:tblLook w:val="00A0" w:firstRow="1" w:lastRow="0" w:firstColumn="1" w:lastColumn="0" w:noHBand="0" w:noVBand="0"/>
      </w:tblPr>
      <w:tblGrid>
        <w:gridCol w:w="7513"/>
        <w:gridCol w:w="363"/>
        <w:gridCol w:w="380"/>
        <w:gridCol w:w="4077"/>
      </w:tblGrid>
      <w:tr w:rsidR="00846AA0" w:rsidRPr="00F841CA" w14:paraId="3AF659CB" w14:textId="77777777" w:rsidTr="00D775F3">
        <w:tc>
          <w:tcPr>
            <w:tcW w:w="7513" w:type="dxa"/>
            <w:hideMark/>
          </w:tcPr>
          <w:p w14:paraId="594D7473" w14:textId="77777777" w:rsidR="00846AA0" w:rsidRPr="00F841CA" w:rsidRDefault="00846AA0" w:rsidP="00D775F3">
            <w:pPr>
              <w:jc w:val="both"/>
              <w:rPr>
                <w:sz w:val="22"/>
                <w:szCs w:val="22"/>
              </w:rPr>
            </w:pPr>
            <w:r w:rsidRPr="00F841CA">
              <w:rPr>
                <w:sz w:val="22"/>
                <w:szCs w:val="22"/>
              </w:rPr>
              <w:t>Datums</w:t>
            </w:r>
          </w:p>
        </w:tc>
        <w:tc>
          <w:tcPr>
            <w:tcW w:w="4820" w:type="dxa"/>
            <w:gridSpan w:val="3"/>
            <w:tcBorders>
              <w:top w:val="nil"/>
              <w:left w:val="nil"/>
              <w:bottom w:val="single" w:sz="4" w:space="0" w:color="auto"/>
              <w:right w:val="nil"/>
            </w:tcBorders>
            <w:hideMark/>
          </w:tcPr>
          <w:p w14:paraId="0B7941F0" w14:textId="77777777" w:rsidR="00846AA0" w:rsidRDefault="00846AA0" w:rsidP="00D775F3">
            <w:pPr>
              <w:rPr>
                <w:sz w:val="22"/>
                <w:szCs w:val="22"/>
              </w:rPr>
            </w:pPr>
            <w:r>
              <w:rPr>
                <w:sz w:val="22"/>
                <w:szCs w:val="22"/>
              </w:rPr>
              <w:t xml:space="preserve">02.05. </w:t>
            </w:r>
            <w:r w:rsidRPr="00F841CA">
              <w:rPr>
                <w:sz w:val="22"/>
                <w:szCs w:val="22"/>
              </w:rPr>
              <w:t>2019.</w:t>
            </w:r>
            <w:r>
              <w:rPr>
                <w:sz w:val="22"/>
                <w:szCs w:val="22"/>
              </w:rPr>
              <w:t xml:space="preserve"> (VSS prot. Nr.17 1.§ (VSS-384)); </w:t>
            </w:r>
          </w:p>
          <w:p w14:paraId="45E345B7" w14:textId="77777777" w:rsidR="00846AA0" w:rsidRPr="00F841CA" w:rsidRDefault="00846AA0" w:rsidP="00D775F3">
            <w:pPr>
              <w:rPr>
                <w:sz w:val="22"/>
                <w:szCs w:val="22"/>
              </w:rPr>
            </w:pPr>
            <w:r>
              <w:rPr>
                <w:sz w:val="22"/>
                <w:szCs w:val="22"/>
              </w:rPr>
              <w:t xml:space="preserve">22.05.2019. (5 dienu </w:t>
            </w:r>
            <w:r w:rsidRPr="009658B8">
              <w:rPr>
                <w:sz w:val="22"/>
                <w:szCs w:val="22"/>
              </w:rPr>
              <w:t>elektronisk</w:t>
            </w:r>
            <w:r>
              <w:rPr>
                <w:sz w:val="22"/>
                <w:szCs w:val="22"/>
              </w:rPr>
              <w:t>ā</w:t>
            </w:r>
            <w:r w:rsidRPr="009658B8">
              <w:rPr>
                <w:sz w:val="22"/>
                <w:szCs w:val="22"/>
              </w:rPr>
              <w:t xml:space="preserve"> saskaņošan</w:t>
            </w:r>
            <w:r>
              <w:rPr>
                <w:sz w:val="22"/>
                <w:szCs w:val="22"/>
              </w:rPr>
              <w:t xml:space="preserve">a). </w:t>
            </w:r>
          </w:p>
        </w:tc>
      </w:tr>
      <w:tr w:rsidR="00846AA0" w:rsidRPr="00F841CA" w14:paraId="2EA156E5" w14:textId="77777777" w:rsidTr="00D775F3">
        <w:tc>
          <w:tcPr>
            <w:tcW w:w="7513" w:type="dxa"/>
          </w:tcPr>
          <w:p w14:paraId="17DF9232" w14:textId="77777777" w:rsidR="00846AA0" w:rsidRPr="00F841CA" w:rsidRDefault="00846AA0" w:rsidP="00D775F3">
            <w:pPr>
              <w:jc w:val="both"/>
              <w:rPr>
                <w:sz w:val="22"/>
                <w:szCs w:val="22"/>
              </w:rPr>
            </w:pPr>
          </w:p>
        </w:tc>
        <w:tc>
          <w:tcPr>
            <w:tcW w:w="4820" w:type="dxa"/>
            <w:gridSpan w:val="3"/>
            <w:tcBorders>
              <w:top w:val="single" w:sz="4" w:space="0" w:color="auto"/>
              <w:left w:val="nil"/>
              <w:bottom w:val="nil"/>
              <w:right w:val="nil"/>
            </w:tcBorders>
          </w:tcPr>
          <w:p w14:paraId="76F84CA5" w14:textId="77777777" w:rsidR="00846AA0" w:rsidRPr="00F841CA" w:rsidRDefault="00846AA0" w:rsidP="00D775F3">
            <w:pPr>
              <w:ind w:firstLine="720"/>
              <w:rPr>
                <w:sz w:val="22"/>
                <w:szCs w:val="22"/>
              </w:rPr>
            </w:pPr>
          </w:p>
        </w:tc>
      </w:tr>
      <w:tr w:rsidR="00846AA0" w:rsidRPr="00F841CA" w14:paraId="16615E3E" w14:textId="77777777" w:rsidTr="00D775F3">
        <w:tc>
          <w:tcPr>
            <w:tcW w:w="7513" w:type="dxa"/>
            <w:hideMark/>
          </w:tcPr>
          <w:p w14:paraId="7E8F59E4" w14:textId="77777777" w:rsidR="00846AA0" w:rsidRPr="00F841CA" w:rsidRDefault="00846AA0" w:rsidP="00D775F3">
            <w:pPr>
              <w:rPr>
                <w:sz w:val="22"/>
                <w:szCs w:val="22"/>
              </w:rPr>
            </w:pPr>
            <w:r w:rsidRPr="00F841CA">
              <w:rPr>
                <w:sz w:val="22"/>
                <w:szCs w:val="22"/>
              </w:rPr>
              <w:t>Saskaņošanas dalībnieki</w:t>
            </w:r>
          </w:p>
        </w:tc>
        <w:tc>
          <w:tcPr>
            <w:tcW w:w="4820" w:type="dxa"/>
            <w:gridSpan w:val="3"/>
          </w:tcPr>
          <w:p w14:paraId="5C7883B3" w14:textId="77777777" w:rsidR="00846AA0" w:rsidRPr="00F841CA" w:rsidRDefault="00846AA0" w:rsidP="00D775F3">
            <w:pPr>
              <w:tabs>
                <w:tab w:val="left" w:pos="915"/>
              </w:tabs>
              <w:spacing w:after="120"/>
              <w:ind w:left="635"/>
              <w:jc w:val="both"/>
              <w:rPr>
                <w:sz w:val="22"/>
                <w:szCs w:val="22"/>
              </w:rPr>
            </w:pPr>
            <w:r>
              <w:rPr>
                <w:sz w:val="22"/>
                <w:szCs w:val="22"/>
              </w:rPr>
              <w:t>Aizsardzības ministrija, Finanšu ministrija, Tieslietu ministrija.</w:t>
            </w:r>
          </w:p>
        </w:tc>
      </w:tr>
      <w:tr w:rsidR="00846AA0" w:rsidRPr="00F841CA" w14:paraId="5FF32AD3" w14:textId="77777777" w:rsidTr="00D775F3">
        <w:trPr>
          <w:trHeight w:val="285"/>
        </w:trPr>
        <w:tc>
          <w:tcPr>
            <w:tcW w:w="7513" w:type="dxa"/>
          </w:tcPr>
          <w:p w14:paraId="30693FCD" w14:textId="77777777" w:rsidR="00846AA0" w:rsidRPr="00F841CA" w:rsidRDefault="00846AA0" w:rsidP="00D775F3">
            <w:pPr>
              <w:rPr>
                <w:sz w:val="22"/>
                <w:szCs w:val="22"/>
              </w:rPr>
            </w:pPr>
          </w:p>
        </w:tc>
        <w:tc>
          <w:tcPr>
            <w:tcW w:w="743" w:type="dxa"/>
            <w:gridSpan w:val="2"/>
          </w:tcPr>
          <w:p w14:paraId="50C155B1" w14:textId="77777777" w:rsidR="00846AA0" w:rsidRPr="00F841CA" w:rsidRDefault="00846AA0" w:rsidP="00D775F3">
            <w:pPr>
              <w:ind w:firstLine="720"/>
              <w:rPr>
                <w:sz w:val="22"/>
                <w:szCs w:val="22"/>
              </w:rPr>
            </w:pPr>
          </w:p>
        </w:tc>
        <w:tc>
          <w:tcPr>
            <w:tcW w:w="4077" w:type="dxa"/>
          </w:tcPr>
          <w:p w14:paraId="24014650" w14:textId="77777777" w:rsidR="00846AA0" w:rsidRPr="00F841CA" w:rsidRDefault="00846AA0" w:rsidP="00D775F3">
            <w:pPr>
              <w:ind w:firstLine="12"/>
              <w:rPr>
                <w:sz w:val="22"/>
                <w:szCs w:val="22"/>
              </w:rPr>
            </w:pPr>
          </w:p>
        </w:tc>
      </w:tr>
      <w:tr w:rsidR="00846AA0" w:rsidRPr="00F841CA" w14:paraId="692B6F6B" w14:textId="77777777" w:rsidTr="00D775F3">
        <w:trPr>
          <w:trHeight w:val="501"/>
        </w:trPr>
        <w:tc>
          <w:tcPr>
            <w:tcW w:w="7876" w:type="dxa"/>
            <w:gridSpan w:val="2"/>
            <w:hideMark/>
          </w:tcPr>
          <w:p w14:paraId="0EBED099" w14:textId="77777777" w:rsidR="00846AA0" w:rsidRPr="00F841CA" w:rsidRDefault="00846AA0" w:rsidP="00D775F3">
            <w:pPr>
              <w:rPr>
                <w:sz w:val="22"/>
                <w:szCs w:val="22"/>
              </w:rPr>
            </w:pPr>
            <w:r w:rsidRPr="00F841CA">
              <w:rPr>
                <w:sz w:val="22"/>
                <w:szCs w:val="22"/>
              </w:rPr>
              <w:t>Saskaņošanas dalībnieki izskatīja šādu ministriju (citu institūciju) iebildumus</w:t>
            </w:r>
          </w:p>
        </w:tc>
        <w:tc>
          <w:tcPr>
            <w:tcW w:w="380" w:type="dxa"/>
          </w:tcPr>
          <w:p w14:paraId="49553F4B" w14:textId="77777777" w:rsidR="00846AA0" w:rsidRPr="00F841CA" w:rsidRDefault="00846AA0" w:rsidP="00D775F3">
            <w:pPr>
              <w:ind w:firstLine="720"/>
              <w:rPr>
                <w:sz w:val="22"/>
                <w:szCs w:val="22"/>
              </w:rPr>
            </w:pPr>
          </w:p>
        </w:tc>
        <w:tc>
          <w:tcPr>
            <w:tcW w:w="4077" w:type="dxa"/>
          </w:tcPr>
          <w:p w14:paraId="666A058C" w14:textId="77777777" w:rsidR="00846AA0" w:rsidRDefault="00846AA0" w:rsidP="00D775F3">
            <w:pPr>
              <w:tabs>
                <w:tab w:val="left" w:pos="915"/>
              </w:tabs>
              <w:spacing w:after="120"/>
              <w:ind w:left="-1"/>
              <w:jc w:val="both"/>
              <w:rPr>
                <w:sz w:val="22"/>
                <w:szCs w:val="22"/>
              </w:rPr>
            </w:pPr>
            <w:r>
              <w:rPr>
                <w:sz w:val="22"/>
                <w:szCs w:val="22"/>
              </w:rPr>
              <w:t xml:space="preserve">Tieslietu ministrijas iebildumu, </w:t>
            </w:r>
          </w:p>
          <w:p w14:paraId="0C63BBE1" w14:textId="77777777" w:rsidR="00846AA0" w:rsidRPr="00F841CA" w:rsidRDefault="00846AA0" w:rsidP="00D775F3">
            <w:pPr>
              <w:tabs>
                <w:tab w:val="left" w:pos="915"/>
              </w:tabs>
              <w:spacing w:after="120"/>
              <w:ind w:left="-1"/>
              <w:jc w:val="both"/>
              <w:rPr>
                <w:color w:val="FF0000"/>
                <w:sz w:val="22"/>
                <w:szCs w:val="22"/>
              </w:rPr>
            </w:pPr>
            <w:r w:rsidRPr="00F841CA">
              <w:rPr>
                <w:sz w:val="22"/>
                <w:szCs w:val="22"/>
              </w:rPr>
              <w:t>Finanšu ministrija</w:t>
            </w:r>
            <w:r>
              <w:rPr>
                <w:sz w:val="22"/>
                <w:szCs w:val="22"/>
              </w:rPr>
              <w:t>s priekšlikumus</w:t>
            </w:r>
          </w:p>
        </w:tc>
      </w:tr>
      <w:tr w:rsidR="00846AA0" w:rsidRPr="00F841CA" w14:paraId="5732A00E" w14:textId="77777777" w:rsidTr="00D775F3">
        <w:tc>
          <w:tcPr>
            <w:tcW w:w="7876" w:type="dxa"/>
            <w:gridSpan w:val="2"/>
          </w:tcPr>
          <w:p w14:paraId="425E3D0E" w14:textId="77777777" w:rsidR="00846AA0" w:rsidRPr="00F841CA" w:rsidRDefault="00846AA0" w:rsidP="00D775F3">
            <w:pPr>
              <w:rPr>
                <w:sz w:val="22"/>
                <w:szCs w:val="22"/>
              </w:rPr>
            </w:pPr>
          </w:p>
        </w:tc>
        <w:tc>
          <w:tcPr>
            <w:tcW w:w="4457" w:type="dxa"/>
            <w:gridSpan w:val="2"/>
          </w:tcPr>
          <w:p w14:paraId="34590C1E" w14:textId="77777777" w:rsidR="00846AA0" w:rsidRPr="00F841CA" w:rsidRDefault="00846AA0" w:rsidP="00D775F3">
            <w:pPr>
              <w:ind w:firstLine="720"/>
              <w:rPr>
                <w:sz w:val="22"/>
                <w:szCs w:val="22"/>
              </w:rPr>
            </w:pPr>
          </w:p>
        </w:tc>
      </w:tr>
      <w:tr w:rsidR="00846AA0" w:rsidRPr="00F841CA" w14:paraId="6CDEF353" w14:textId="77777777" w:rsidTr="00D775F3">
        <w:tc>
          <w:tcPr>
            <w:tcW w:w="7876" w:type="dxa"/>
            <w:gridSpan w:val="2"/>
            <w:hideMark/>
          </w:tcPr>
          <w:p w14:paraId="4C332C07" w14:textId="77777777" w:rsidR="00846AA0" w:rsidRPr="00F841CA" w:rsidRDefault="00846AA0" w:rsidP="00D775F3">
            <w:pPr>
              <w:rPr>
                <w:sz w:val="22"/>
                <w:szCs w:val="22"/>
              </w:rPr>
            </w:pPr>
            <w:r w:rsidRPr="00F841CA">
              <w:rPr>
                <w:sz w:val="22"/>
                <w:szCs w:val="22"/>
              </w:rPr>
              <w:t>Ministrijas (citas institūcijas), kuras nav ieradušās uz sanāksmi vai kuras nav atbildējušas uz uzaicinājumu piedalīties elektroniskajā saskaņošanā</w:t>
            </w:r>
          </w:p>
        </w:tc>
        <w:tc>
          <w:tcPr>
            <w:tcW w:w="4457" w:type="dxa"/>
            <w:gridSpan w:val="2"/>
            <w:hideMark/>
          </w:tcPr>
          <w:p w14:paraId="622CD472" w14:textId="77777777" w:rsidR="00846AA0" w:rsidRPr="00F841CA" w:rsidRDefault="00846AA0" w:rsidP="00D775F3">
            <w:pPr>
              <w:ind w:firstLine="414"/>
              <w:rPr>
                <w:sz w:val="22"/>
                <w:szCs w:val="22"/>
              </w:rPr>
            </w:pPr>
            <w:r w:rsidRPr="00F841CA">
              <w:rPr>
                <w:sz w:val="22"/>
                <w:szCs w:val="22"/>
              </w:rPr>
              <w:t>Nav</w:t>
            </w:r>
          </w:p>
        </w:tc>
      </w:tr>
      <w:tr w:rsidR="00846AA0" w:rsidRPr="00F841CA" w14:paraId="3274F3F2" w14:textId="77777777" w:rsidTr="00D775F3">
        <w:tc>
          <w:tcPr>
            <w:tcW w:w="7876" w:type="dxa"/>
            <w:gridSpan w:val="2"/>
          </w:tcPr>
          <w:p w14:paraId="4029B628" w14:textId="77777777" w:rsidR="00846AA0" w:rsidRPr="00F841CA" w:rsidRDefault="00846AA0" w:rsidP="00D775F3">
            <w:pPr>
              <w:rPr>
                <w:sz w:val="22"/>
                <w:szCs w:val="22"/>
              </w:rPr>
            </w:pPr>
          </w:p>
        </w:tc>
        <w:tc>
          <w:tcPr>
            <w:tcW w:w="4457" w:type="dxa"/>
            <w:gridSpan w:val="2"/>
          </w:tcPr>
          <w:p w14:paraId="1B3DF1E1" w14:textId="77777777" w:rsidR="00846AA0" w:rsidRPr="00F841CA" w:rsidRDefault="00846AA0" w:rsidP="00D775F3">
            <w:pPr>
              <w:rPr>
                <w:sz w:val="22"/>
                <w:szCs w:val="22"/>
              </w:rPr>
            </w:pPr>
          </w:p>
        </w:tc>
      </w:tr>
    </w:tbl>
    <w:p w14:paraId="4BBF4F06" w14:textId="77777777" w:rsidR="00846AA0" w:rsidRPr="00F841CA" w:rsidRDefault="00846AA0" w:rsidP="00846AA0">
      <w:pPr>
        <w:pStyle w:val="naisf"/>
        <w:spacing w:before="0" w:after="0"/>
        <w:ind w:firstLine="0"/>
        <w:rPr>
          <w:b/>
          <w:sz w:val="22"/>
          <w:szCs w:val="22"/>
        </w:rPr>
      </w:pPr>
    </w:p>
    <w:p w14:paraId="0547774B" w14:textId="77777777" w:rsidR="00846AA0" w:rsidRDefault="00846AA0" w:rsidP="00846AA0">
      <w:pPr>
        <w:pStyle w:val="naisf"/>
        <w:spacing w:before="0" w:after="0"/>
        <w:ind w:firstLine="0"/>
        <w:jc w:val="center"/>
        <w:rPr>
          <w:b/>
          <w:sz w:val="22"/>
          <w:szCs w:val="22"/>
        </w:rPr>
      </w:pPr>
      <w:r w:rsidRPr="00F841CA">
        <w:rPr>
          <w:b/>
          <w:sz w:val="22"/>
          <w:szCs w:val="22"/>
        </w:rPr>
        <w:t>II. </w:t>
      </w:r>
      <w:bookmarkStart w:id="1" w:name="_Hlk9345056"/>
      <w:r w:rsidRPr="00F841CA">
        <w:rPr>
          <w:b/>
          <w:sz w:val="22"/>
          <w:szCs w:val="22"/>
        </w:rPr>
        <w:t>Jautājumi, par kuriem saskaņošanā vienošanās ir panākta</w:t>
      </w:r>
      <w:bookmarkEnd w:id="1"/>
    </w:p>
    <w:p w14:paraId="21B8311E" w14:textId="77777777" w:rsidR="00846AA0" w:rsidRPr="00294B77" w:rsidRDefault="00846AA0" w:rsidP="00846AA0"/>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846AA0" w:rsidRPr="00F841CA" w14:paraId="5B48A86E" w14:textId="77777777" w:rsidTr="00D775F3">
        <w:tc>
          <w:tcPr>
            <w:tcW w:w="708" w:type="dxa"/>
            <w:tcBorders>
              <w:top w:val="single" w:sz="6" w:space="0" w:color="000000"/>
              <w:left w:val="single" w:sz="6" w:space="0" w:color="000000"/>
              <w:bottom w:val="single" w:sz="6" w:space="0" w:color="000000"/>
              <w:right w:val="single" w:sz="6" w:space="0" w:color="000000"/>
            </w:tcBorders>
            <w:vAlign w:val="center"/>
          </w:tcPr>
          <w:p w14:paraId="32412092" w14:textId="77777777" w:rsidR="00846AA0" w:rsidRPr="00F841CA" w:rsidRDefault="00846AA0" w:rsidP="00D775F3">
            <w:pPr>
              <w:pStyle w:val="naisc"/>
              <w:spacing w:before="0" w:after="0"/>
              <w:rPr>
                <w:sz w:val="22"/>
                <w:szCs w:val="22"/>
              </w:rPr>
            </w:pPr>
            <w:r w:rsidRPr="00F841CA">
              <w:rPr>
                <w:sz w:val="22"/>
                <w:szCs w:val="22"/>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14:paraId="078B3E42" w14:textId="77777777" w:rsidR="00846AA0" w:rsidRPr="00F841CA" w:rsidRDefault="00846AA0" w:rsidP="00D775F3">
            <w:pPr>
              <w:pStyle w:val="naisc"/>
              <w:spacing w:before="0" w:after="0"/>
              <w:ind w:firstLine="12"/>
              <w:rPr>
                <w:sz w:val="22"/>
                <w:szCs w:val="22"/>
              </w:rPr>
            </w:pPr>
            <w:r w:rsidRPr="00F841CA">
              <w:rPr>
                <w:sz w:val="22"/>
                <w:szCs w:val="22"/>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03E02CD1" w14:textId="77777777" w:rsidR="00846AA0" w:rsidRPr="00F841CA" w:rsidRDefault="00846AA0" w:rsidP="00D775F3">
            <w:pPr>
              <w:pStyle w:val="naisc"/>
              <w:spacing w:before="0" w:after="0"/>
              <w:ind w:right="3"/>
              <w:rPr>
                <w:sz w:val="22"/>
                <w:szCs w:val="22"/>
              </w:rPr>
            </w:pPr>
            <w:r w:rsidRPr="00F841CA">
              <w:rPr>
                <w:sz w:val="22"/>
                <w:szCs w:val="22"/>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4A24024D" w14:textId="77777777" w:rsidR="00846AA0" w:rsidRPr="00F841CA" w:rsidRDefault="00846AA0" w:rsidP="00D775F3">
            <w:pPr>
              <w:pStyle w:val="naisc"/>
              <w:spacing w:before="0" w:after="0"/>
              <w:ind w:firstLine="21"/>
              <w:rPr>
                <w:sz w:val="22"/>
                <w:szCs w:val="22"/>
              </w:rPr>
            </w:pPr>
            <w:r w:rsidRPr="00F841CA">
              <w:rPr>
                <w:sz w:val="22"/>
                <w:szCs w:val="22"/>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62791C89" w14:textId="77777777" w:rsidR="00846AA0" w:rsidRPr="00F841CA" w:rsidRDefault="00846AA0" w:rsidP="00D775F3">
            <w:pPr>
              <w:jc w:val="center"/>
              <w:rPr>
                <w:sz w:val="22"/>
                <w:szCs w:val="22"/>
              </w:rPr>
            </w:pPr>
            <w:r w:rsidRPr="00F841CA">
              <w:rPr>
                <w:sz w:val="22"/>
                <w:szCs w:val="22"/>
              </w:rPr>
              <w:t>Projekta attiecīgā punkta (panta) galīgā redakcija</w:t>
            </w:r>
          </w:p>
        </w:tc>
      </w:tr>
      <w:tr w:rsidR="00846AA0" w:rsidRPr="00F841CA" w14:paraId="6698076D" w14:textId="77777777" w:rsidTr="00D775F3">
        <w:tc>
          <w:tcPr>
            <w:tcW w:w="708" w:type="dxa"/>
            <w:tcBorders>
              <w:top w:val="single" w:sz="6" w:space="0" w:color="000000"/>
              <w:left w:val="single" w:sz="6" w:space="0" w:color="000000"/>
              <w:bottom w:val="single" w:sz="6" w:space="0" w:color="000000"/>
              <w:right w:val="single" w:sz="6" w:space="0" w:color="000000"/>
            </w:tcBorders>
          </w:tcPr>
          <w:p w14:paraId="0D727D0C" w14:textId="77777777" w:rsidR="00846AA0" w:rsidRPr="00F841CA" w:rsidRDefault="00846AA0" w:rsidP="00D775F3">
            <w:pPr>
              <w:pStyle w:val="naisc"/>
              <w:spacing w:before="0" w:after="0"/>
              <w:rPr>
                <w:sz w:val="22"/>
                <w:szCs w:val="22"/>
              </w:rPr>
            </w:pPr>
            <w:r w:rsidRPr="00F841CA">
              <w:rPr>
                <w:sz w:val="22"/>
                <w:szCs w:val="22"/>
              </w:rPr>
              <w:t>1</w:t>
            </w:r>
          </w:p>
        </w:tc>
        <w:tc>
          <w:tcPr>
            <w:tcW w:w="2686" w:type="dxa"/>
            <w:gridSpan w:val="2"/>
            <w:tcBorders>
              <w:top w:val="single" w:sz="6" w:space="0" w:color="000000"/>
              <w:left w:val="single" w:sz="6" w:space="0" w:color="000000"/>
              <w:bottom w:val="single" w:sz="4" w:space="0" w:color="auto"/>
              <w:right w:val="single" w:sz="6" w:space="0" w:color="000000"/>
            </w:tcBorders>
          </w:tcPr>
          <w:p w14:paraId="7C33FD36" w14:textId="77777777" w:rsidR="00846AA0" w:rsidRPr="00F841CA" w:rsidRDefault="00846AA0" w:rsidP="00D775F3">
            <w:pPr>
              <w:pStyle w:val="naisc"/>
              <w:spacing w:before="0" w:after="0"/>
              <w:rPr>
                <w:sz w:val="22"/>
                <w:szCs w:val="22"/>
              </w:rPr>
            </w:pPr>
            <w:r w:rsidRPr="00F841CA">
              <w:rPr>
                <w:sz w:val="22"/>
                <w:szCs w:val="22"/>
              </w:rPr>
              <w:t>2</w:t>
            </w:r>
          </w:p>
        </w:tc>
        <w:tc>
          <w:tcPr>
            <w:tcW w:w="4678" w:type="dxa"/>
            <w:tcBorders>
              <w:top w:val="single" w:sz="6" w:space="0" w:color="000000"/>
              <w:left w:val="single" w:sz="6" w:space="0" w:color="000000"/>
              <w:bottom w:val="single" w:sz="6" w:space="0" w:color="000000"/>
              <w:right w:val="single" w:sz="6" w:space="0" w:color="000000"/>
            </w:tcBorders>
          </w:tcPr>
          <w:p w14:paraId="7186083C" w14:textId="77777777" w:rsidR="00846AA0" w:rsidRPr="00F841CA" w:rsidRDefault="00846AA0" w:rsidP="00D775F3">
            <w:pPr>
              <w:pStyle w:val="naisc"/>
              <w:spacing w:before="0" w:after="0"/>
              <w:rPr>
                <w:sz w:val="22"/>
                <w:szCs w:val="22"/>
              </w:rPr>
            </w:pPr>
            <w:r w:rsidRPr="00F841CA">
              <w:rPr>
                <w:sz w:val="22"/>
                <w:szCs w:val="22"/>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3DF6DD4F" w14:textId="77777777" w:rsidR="00846AA0" w:rsidRPr="00F841CA" w:rsidRDefault="00846AA0" w:rsidP="00D775F3">
            <w:pPr>
              <w:pStyle w:val="naisc"/>
              <w:spacing w:before="0" w:after="0"/>
              <w:rPr>
                <w:sz w:val="22"/>
                <w:szCs w:val="22"/>
              </w:rPr>
            </w:pPr>
            <w:r w:rsidRPr="00F841CA">
              <w:rPr>
                <w:sz w:val="22"/>
                <w:szCs w:val="22"/>
              </w:rPr>
              <w:t>4</w:t>
            </w:r>
          </w:p>
        </w:tc>
        <w:tc>
          <w:tcPr>
            <w:tcW w:w="3402" w:type="dxa"/>
            <w:tcBorders>
              <w:top w:val="single" w:sz="4" w:space="0" w:color="auto"/>
              <w:left w:val="single" w:sz="4" w:space="0" w:color="auto"/>
              <w:bottom w:val="single" w:sz="4" w:space="0" w:color="auto"/>
            </w:tcBorders>
          </w:tcPr>
          <w:p w14:paraId="4294EEC0" w14:textId="77777777" w:rsidR="00846AA0" w:rsidRPr="00F841CA" w:rsidRDefault="00846AA0" w:rsidP="00D775F3">
            <w:pPr>
              <w:jc w:val="center"/>
              <w:rPr>
                <w:sz w:val="22"/>
                <w:szCs w:val="22"/>
              </w:rPr>
            </w:pPr>
            <w:r w:rsidRPr="00F841CA">
              <w:rPr>
                <w:sz w:val="22"/>
                <w:szCs w:val="22"/>
              </w:rPr>
              <w:t>5</w:t>
            </w:r>
          </w:p>
        </w:tc>
      </w:tr>
      <w:tr w:rsidR="00846AA0" w:rsidRPr="00F841CA" w14:paraId="57AC716C" w14:textId="77777777" w:rsidTr="00D775F3">
        <w:tc>
          <w:tcPr>
            <w:tcW w:w="708" w:type="dxa"/>
            <w:tcBorders>
              <w:top w:val="single" w:sz="6" w:space="0" w:color="000000"/>
              <w:left w:val="single" w:sz="6" w:space="0" w:color="000000"/>
              <w:bottom w:val="single" w:sz="6" w:space="0" w:color="000000"/>
              <w:right w:val="single" w:sz="6" w:space="0" w:color="000000"/>
            </w:tcBorders>
          </w:tcPr>
          <w:p w14:paraId="7161CBF8" w14:textId="77777777" w:rsidR="00846AA0" w:rsidRPr="00BC6D3D" w:rsidRDefault="00846AA0" w:rsidP="00D775F3">
            <w:pPr>
              <w:pStyle w:val="naisc"/>
              <w:numPr>
                <w:ilvl w:val="0"/>
                <w:numId w:val="1"/>
              </w:numPr>
              <w:spacing w:before="0" w:after="0"/>
            </w:pPr>
          </w:p>
        </w:tc>
        <w:tc>
          <w:tcPr>
            <w:tcW w:w="2686" w:type="dxa"/>
            <w:gridSpan w:val="2"/>
            <w:tcBorders>
              <w:top w:val="single" w:sz="6" w:space="0" w:color="000000"/>
              <w:left w:val="single" w:sz="6" w:space="0" w:color="000000"/>
              <w:bottom w:val="single" w:sz="4" w:space="0" w:color="auto"/>
              <w:right w:val="single" w:sz="6" w:space="0" w:color="000000"/>
            </w:tcBorders>
          </w:tcPr>
          <w:p w14:paraId="4FDACE19" w14:textId="77777777" w:rsidR="00846AA0" w:rsidRPr="00316CCE" w:rsidDel="00BC6D3D" w:rsidRDefault="00846AA0" w:rsidP="00D775F3">
            <w:pPr>
              <w:pStyle w:val="naisc"/>
              <w:spacing w:before="0" w:after="0"/>
              <w:jc w:val="left"/>
              <w:rPr>
                <w:b/>
              </w:rPr>
            </w:pPr>
            <w:r w:rsidRPr="00316CCE">
              <w:t>7. Svītrot 2.</w:t>
            </w:r>
            <w:r w:rsidRPr="00316CCE">
              <w:rPr>
                <w:vertAlign w:val="superscript"/>
              </w:rPr>
              <w:t xml:space="preserve">5 </w:t>
            </w:r>
            <w:r w:rsidRPr="00316CCE">
              <w:t>punktā vārdu “atklātā”.</w:t>
            </w:r>
          </w:p>
        </w:tc>
        <w:tc>
          <w:tcPr>
            <w:tcW w:w="4678" w:type="dxa"/>
            <w:tcBorders>
              <w:top w:val="single" w:sz="6" w:space="0" w:color="000000"/>
              <w:left w:val="single" w:sz="6" w:space="0" w:color="000000"/>
              <w:bottom w:val="single" w:sz="6" w:space="0" w:color="000000"/>
              <w:right w:val="single" w:sz="6" w:space="0" w:color="000000"/>
            </w:tcBorders>
          </w:tcPr>
          <w:p w14:paraId="1821693B" w14:textId="77777777" w:rsidR="00846AA0" w:rsidRPr="00316CCE" w:rsidRDefault="00846AA0" w:rsidP="00D775F3">
            <w:pPr>
              <w:pStyle w:val="naisc"/>
              <w:spacing w:before="0" w:after="0"/>
              <w:contextualSpacing/>
              <w:jc w:val="both"/>
              <w:rPr>
                <w:b/>
              </w:rPr>
            </w:pPr>
            <w:r w:rsidRPr="00316CCE">
              <w:rPr>
                <w:b/>
              </w:rPr>
              <w:t>Finanšu ministrijas 15.05.2019. 1.priekšlikums:</w:t>
            </w:r>
          </w:p>
          <w:p w14:paraId="54CEAF3C" w14:textId="77777777" w:rsidR="00846AA0" w:rsidRPr="00316CCE" w:rsidRDefault="00846AA0" w:rsidP="00D775F3">
            <w:pPr>
              <w:jc w:val="both"/>
              <w:rPr>
                <w:b/>
              </w:rPr>
            </w:pPr>
            <w:r w:rsidRPr="00316CCE">
              <w:rPr>
                <w:lang w:eastAsia="en-US"/>
              </w:rPr>
              <w:t xml:space="preserve">Ņemot vērā, ka ar noteikumu projektu tiek paredzēts no Ministru kabineta </w:t>
            </w:r>
            <w:r w:rsidRPr="00316CCE">
              <w:t xml:space="preserve">2011.gada 12.aprīļa noteikumu Nr.286 "Kārtība, kādā </w:t>
            </w:r>
            <w:r w:rsidRPr="00316CCE">
              <w:lastRenderedPageBreak/>
              <w:t>komersanti nodrošina un sniedz drošības rezervju pakalpojumu valsts naftas produktu drošības rezervju izveidei noteiktā apjomā" (turpmāk – Noteikumi) 2.</w:t>
            </w:r>
            <w:r w:rsidRPr="00316CCE">
              <w:rPr>
                <w:vertAlign w:val="superscript"/>
              </w:rPr>
              <w:t xml:space="preserve">5 </w:t>
            </w:r>
            <w:r w:rsidRPr="00316CCE">
              <w:rPr>
                <w:lang w:eastAsia="en-US"/>
              </w:rPr>
              <w:t xml:space="preserve">punkta svītrot vārdu “atklātā,” aicinām pārskatīt Noteikumu tekstu, vienādojot Noteikumos lietoto jēdzienu “iepirkums” un “iepirkuma procedūra” lietojumu. Šobrīd, piemēram, Noteikumu </w:t>
            </w:r>
            <w:r w:rsidRPr="00316CCE">
              <w:t>2.</w:t>
            </w:r>
            <w:r w:rsidRPr="00316CCE">
              <w:rPr>
                <w:vertAlign w:val="superscript"/>
              </w:rPr>
              <w:t xml:space="preserve">2 </w:t>
            </w:r>
            <w:r w:rsidRPr="00316CCE">
              <w:rPr>
                <w:lang w:eastAsia="en-US"/>
              </w:rPr>
              <w:t xml:space="preserve">punktā ir lietots jēdziens “iepirkums”, faktiski apzīmējot to pašu, kas </w:t>
            </w:r>
            <w:r w:rsidRPr="00316CCE">
              <w:t>2.</w:t>
            </w:r>
            <w:r w:rsidRPr="00316CCE">
              <w:rPr>
                <w:vertAlign w:val="superscript"/>
              </w:rPr>
              <w:t xml:space="preserve">5 </w:t>
            </w:r>
            <w:r w:rsidRPr="00316CCE">
              <w:rPr>
                <w:lang w:eastAsia="en-US"/>
              </w:rPr>
              <w:t>punktā tiek apzīmēts ar jēdzienu “iepirkuma procedūra” un līdzīgi arī citos Noteikumu punktos.</w:t>
            </w:r>
          </w:p>
        </w:tc>
        <w:tc>
          <w:tcPr>
            <w:tcW w:w="3260" w:type="dxa"/>
            <w:gridSpan w:val="2"/>
            <w:tcBorders>
              <w:top w:val="single" w:sz="6" w:space="0" w:color="000000"/>
              <w:left w:val="single" w:sz="6" w:space="0" w:color="000000"/>
              <w:bottom w:val="single" w:sz="6" w:space="0" w:color="000000"/>
              <w:right w:val="single" w:sz="6" w:space="0" w:color="000000"/>
            </w:tcBorders>
          </w:tcPr>
          <w:p w14:paraId="1825707C" w14:textId="77777777" w:rsidR="00846AA0" w:rsidRPr="00316CCE" w:rsidRDefault="00846AA0" w:rsidP="00D775F3">
            <w:pPr>
              <w:pStyle w:val="naisc"/>
              <w:spacing w:before="0" w:after="0"/>
              <w:contextualSpacing/>
              <w:rPr>
                <w:b/>
              </w:rPr>
            </w:pPr>
            <w:r w:rsidRPr="00316CCE">
              <w:rPr>
                <w:b/>
              </w:rPr>
              <w:lastRenderedPageBreak/>
              <w:t>Nav ņemts vērā</w:t>
            </w:r>
          </w:p>
          <w:p w14:paraId="6F58F6CC" w14:textId="77777777" w:rsidR="00846AA0" w:rsidRDefault="00846AA0" w:rsidP="00D775F3">
            <w:pPr>
              <w:pStyle w:val="naisc"/>
              <w:spacing w:before="0" w:after="0"/>
              <w:contextualSpacing/>
              <w:jc w:val="both"/>
            </w:pPr>
          </w:p>
          <w:p w14:paraId="4300E153" w14:textId="77777777" w:rsidR="00846AA0" w:rsidRPr="00316CCE" w:rsidRDefault="00846AA0" w:rsidP="00D775F3">
            <w:pPr>
              <w:pStyle w:val="naisc"/>
              <w:spacing w:before="0" w:after="0"/>
              <w:ind w:firstLine="175"/>
              <w:jc w:val="both"/>
              <w:rPr>
                <w:b/>
              </w:rPr>
            </w:pPr>
            <w:r w:rsidRPr="00316CCE">
              <w:t xml:space="preserve">Ar Ministru kabineta 2018. gada 3. maija noteikumiem Nr. 258 veikti Grozījumi Ministru </w:t>
            </w:r>
            <w:r w:rsidRPr="00316CCE">
              <w:lastRenderedPageBreak/>
              <w:t xml:space="preserve">kabineta 2011. gada 12. aprīļa noteikumos Nr. 286 "Kārtība, kādā komersanti nodrošina un sniedz drošības rezervju pakalpojumu valsts naftas produktu drošības rezervju izveidei noteiktā apjomā", kuros aizstāja noteikumu tekstā vārdus "atklātais konkurss" (attiecīgā locījumā) ar vārdiem "iepirkuma procedūra" (attiecīgā locījumā), kā arī aizstāja noteikumu tekstā vārdu "konkurss" (attiecīgā locījumā) ar vārdu "iepirkums" (attiecīgā locījumā), jo ar Ministru kabineta 2018.gada 9.februāra rīkojumu Nr.49 tika atbalstīts konceptuālā ziņojuma “Par drošības rezervju pakalpojuma valsts naftas produktu drošības rezervju izveidei pilnveidošanu” (turpmāk - ziņojums) 1.variants, piemērojot Aizsardzības un drošības jomas iepirkumu likumu (turpmāk – ADJIL). </w:t>
            </w:r>
            <w:r w:rsidRPr="00316CCE">
              <w:rPr>
                <w:iCs/>
                <w:color w:val="000000"/>
              </w:rPr>
              <w:t>Tā kā ADJIL paredz konkrētai jomai piemērotas iepirkuma procedūras - slēgts konkurss, konkursa dialogs un sarunu procedūra, tad nepieciešams no N</w:t>
            </w:r>
            <w:r w:rsidRPr="00316CCE">
              <w:t>oteikumu 2.</w:t>
            </w:r>
            <w:r w:rsidRPr="00316CCE">
              <w:rPr>
                <w:vertAlign w:val="superscript"/>
              </w:rPr>
              <w:t xml:space="preserve">5 </w:t>
            </w:r>
            <w:r w:rsidRPr="00316CCE">
              <w:rPr>
                <w:lang w:eastAsia="en-US"/>
              </w:rPr>
              <w:t xml:space="preserve">punkta svītrot </w:t>
            </w:r>
            <w:r w:rsidRPr="00316CCE">
              <w:rPr>
                <w:lang w:eastAsia="en-US"/>
              </w:rPr>
              <w:lastRenderedPageBreak/>
              <w:t>vārdu “atklātā”, jo šāda iepirkumu procedūra ir tikai saskaņā ar Publisko iepirkumu likumu.</w:t>
            </w:r>
          </w:p>
        </w:tc>
        <w:tc>
          <w:tcPr>
            <w:tcW w:w="3402" w:type="dxa"/>
            <w:tcBorders>
              <w:top w:val="single" w:sz="4" w:space="0" w:color="auto"/>
              <w:left w:val="single" w:sz="4" w:space="0" w:color="auto"/>
              <w:bottom w:val="single" w:sz="4" w:space="0" w:color="auto"/>
            </w:tcBorders>
          </w:tcPr>
          <w:p w14:paraId="13D118AD" w14:textId="77777777" w:rsidR="00846AA0" w:rsidRPr="00316CCE" w:rsidRDefault="00846AA0" w:rsidP="00D775F3">
            <w:pPr>
              <w:jc w:val="both"/>
            </w:pPr>
            <w:r w:rsidRPr="00316CCE">
              <w:lastRenderedPageBreak/>
              <w:t>7. Svītrot 2.</w:t>
            </w:r>
            <w:r w:rsidRPr="00316CCE">
              <w:rPr>
                <w:vertAlign w:val="superscript"/>
              </w:rPr>
              <w:t xml:space="preserve">5 </w:t>
            </w:r>
            <w:r w:rsidRPr="00316CCE">
              <w:t>punktā vārdu “atklātā”.</w:t>
            </w:r>
          </w:p>
        </w:tc>
      </w:tr>
      <w:tr w:rsidR="00846AA0" w:rsidRPr="00F841CA" w14:paraId="018CF898" w14:textId="77777777" w:rsidTr="00D775F3">
        <w:tc>
          <w:tcPr>
            <w:tcW w:w="708" w:type="dxa"/>
            <w:tcBorders>
              <w:top w:val="single" w:sz="6" w:space="0" w:color="000000"/>
              <w:left w:val="single" w:sz="6" w:space="0" w:color="000000"/>
              <w:bottom w:val="single" w:sz="6" w:space="0" w:color="000000"/>
              <w:right w:val="single" w:sz="6" w:space="0" w:color="000000"/>
            </w:tcBorders>
          </w:tcPr>
          <w:p w14:paraId="7CA3C6EF" w14:textId="77777777" w:rsidR="00846AA0" w:rsidRPr="00BC6D3D" w:rsidRDefault="00846AA0" w:rsidP="00D775F3">
            <w:pPr>
              <w:pStyle w:val="naisc"/>
              <w:numPr>
                <w:ilvl w:val="0"/>
                <w:numId w:val="1"/>
              </w:numPr>
              <w:spacing w:before="0" w:after="0"/>
            </w:pPr>
          </w:p>
        </w:tc>
        <w:tc>
          <w:tcPr>
            <w:tcW w:w="2686" w:type="dxa"/>
            <w:gridSpan w:val="2"/>
            <w:tcBorders>
              <w:top w:val="single" w:sz="6" w:space="0" w:color="000000"/>
              <w:left w:val="single" w:sz="6" w:space="0" w:color="000000"/>
              <w:bottom w:val="single" w:sz="4" w:space="0" w:color="auto"/>
              <w:right w:val="single" w:sz="6" w:space="0" w:color="000000"/>
            </w:tcBorders>
          </w:tcPr>
          <w:p w14:paraId="3213B9A2" w14:textId="12800473" w:rsidR="00846AA0" w:rsidRPr="00BC6D3D" w:rsidRDefault="00846AA0" w:rsidP="00D775F3">
            <w:pPr>
              <w:pStyle w:val="naisc"/>
              <w:spacing w:before="0" w:after="0"/>
              <w:jc w:val="left"/>
              <w:rPr>
                <w:b/>
              </w:rPr>
            </w:pPr>
            <w:r>
              <w:rPr>
                <w:b/>
              </w:rPr>
              <w:t>A</w:t>
            </w:r>
            <w:r w:rsidRPr="00BC6D3D">
              <w:rPr>
                <w:b/>
              </w:rPr>
              <w:t>notācija</w:t>
            </w:r>
            <w:r>
              <w:rPr>
                <w:b/>
              </w:rPr>
              <w:t>s II</w:t>
            </w:r>
            <w:r w:rsidR="00F42E61">
              <w:rPr>
                <w:b/>
              </w:rPr>
              <w:t xml:space="preserve"> </w:t>
            </w:r>
            <w:bookmarkStart w:id="2" w:name="_GoBack"/>
            <w:bookmarkEnd w:id="2"/>
            <w:r>
              <w:rPr>
                <w:b/>
              </w:rPr>
              <w:t>sadaļa</w:t>
            </w:r>
          </w:p>
        </w:tc>
        <w:tc>
          <w:tcPr>
            <w:tcW w:w="4678" w:type="dxa"/>
            <w:tcBorders>
              <w:top w:val="single" w:sz="6" w:space="0" w:color="000000"/>
              <w:left w:val="single" w:sz="6" w:space="0" w:color="000000"/>
              <w:bottom w:val="single" w:sz="6" w:space="0" w:color="000000"/>
              <w:right w:val="single" w:sz="6" w:space="0" w:color="000000"/>
            </w:tcBorders>
          </w:tcPr>
          <w:p w14:paraId="39C54A9A" w14:textId="77777777" w:rsidR="00846AA0" w:rsidRPr="00BC6D3D" w:rsidRDefault="00846AA0" w:rsidP="00D775F3">
            <w:pPr>
              <w:pStyle w:val="naisc"/>
              <w:jc w:val="both"/>
              <w:rPr>
                <w:b/>
              </w:rPr>
            </w:pPr>
            <w:r w:rsidRPr="00BC6D3D">
              <w:rPr>
                <w:b/>
              </w:rPr>
              <w:t>Finanšu ministrijas 15.05.2019. 2.priekšlikums:</w:t>
            </w:r>
          </w:p>
          <w:p w14:paraId="60CBCC1C" w14:textId="77777777" w:rsidR="00846AA0" w:rsidRPr="00BC6D3D" w:rsidRDefault="00846AA0" w:rsidP="00D775F3">
            <w:pPr>
              <w:ind w:firstLine="323"/>
              <w:jc w:val="both"/>
              <w:rPr>
                <w:lang w:eastAsia="en-US"/>
              </w:rPr>
            </w:pPr>
            <w:r w:rsidRPr="00BC6D3D">
              <w:rPr>
                <w:lang w:eastAsia="en-US"/>
              </w:rPr>
              <w:t xml:space="preserve">Lūdzam precizēt noteikumu projekta anotācijas II sadaļas 1.punktu, kurā norādīts, ka noteikumu projekts neietekmēs sabiedrības </w:t>
            </w:r>
            <w:proofErr w:type="spellStart"/>
            <w:r w:rsidRPr="00BC6D3D">
              <w:rPr>
                <w:lang w:eastAsia="en-US"/>
              </w:rPr>
              <w:t>mērķgrupas</w:t>
            </w:r>
            <w:proofErr w:type="spellEnd"/>
            <w:r w:rsidRPr="00BC6D3D">
              <w:rPr>
                <w:lang w:eastAsia="en-US"/>
              </w:rPr>
              <w:t>, kas ir pretrunā ar šīs sadaļas 2.punktu, kurā norādīts, ka noteikumu projekts “varētu ietekmēt galvenokārt komersantus.”</w:t>
            </w:r>
          </w:p>
        </w:tc>
        <w:tc>
          <w:tcPr>
            <w:tcW w:w="3260" w:type="dxa"/>
            <w:gridSpan w:val="2"/>
            <w:tcBorders>
              <w:top w:val="single" w:sz="6" w:space="0" w:color="000000"/>
              <w:left w:val="single" w:sz="6" w:space="0" w:color="000000"/>
              <w:bottom w:val="single" w:sz="6" w:space="0" w:color="000000"/>
              <w:right w:val="single" w:sz="6" w:space="0" w:color="000000"/>
            </w:tcBorders>
          </w:tcPr>
          <w:p w14:paraId="05624A08" w14:textId="77777777" w:rsidR="00846AA0" w:rsidRPr="00BC6D3D" w:rsidRDefault="00846AA0" w:rsidP="00D775F3">
            <w:pPr>
              <w:pStyle w:val="naisc"/>
              <w:rPr>
                <w:b/>
              </w:rPr>
            </w:pPr>
            <w:r w:rsidRPr="00BC6D3D">
              <w:rPr>
                <w:b/>
              </w:rPr>
              <w:t xml:space="preserve">Ņemts vērā </w:t>
            </w:r>
          </w:p>
        </w:tc>
        <w:tc>
          <w:tcPr>
            <w:tcW w:w="3402" w:type="dxa"/>
            <w:tcBorders>
              <w:top w:val="single" w:sz="4" w:space="0" w:color="auto"/>
              <w:left w:val="single" w:sz="4" w:space="0" w:color="auto"/>
              <w:bottom w:val="single" w:sz="4" w:space="0" w:color="auto"/>
            </w:tcBorders>
          </w:tcPr>
          <w:p w14:paraId="26BED20D" w14:textId="77777777" w:rsidR="00846AA0" w:rsidRPr="002D49BD" w:rsidRDefault="00846AA0" w:rsidP="00D775F3">
            <w:pPr>
              <w:jc w:val="both"/>
            </w:pPr>
            <w:r w:rsidRPr="002D49BD">
              <w:t>Atbilstoši precizēts noteikumu projekta anotācijas II sadaļas 2.punkts atbilstoši šīs sadaļas 1.punktam.</w:t>
            </w:r>
          </w:p>
        </w:tc>
      </w:tr>
      <w:tr w:rsidR="00846AA0" w:rsidRPr="00F841CA" w14:paraId="15994004" w14:textId="77777777" w:rsidTr="00D775F3">
        <w:tc>
          <w:tcPr>
            <w:tcW w:w="708" w:type="dxa"/>
            <w:tcBorders>
              <w:top w:val="single" w:sz="6" w:space="0" w:color="000000"/>
              <w:left w:val="single" w:sz="6" w:space="0" w:color="000000"/>
              <w:bottom w:val="single" w:sz="6" w:space="0" w:color="000000"/>
              <w:right w:val="single" w:sz="6" w:space="0" w:color="000000"/>
            </w:tcBorders>
          </w:tcPr>
          <w:p w14:paraId="4C7A0C92" w14:textId="77777777" w:rsidR="00846AA0" w:rsidRPr="00BC6D3D" w:rsidRDefault="00846AA0" w:rsidP="00846AA0">
            <w:pPr>
              <w:pStyle w:val="naisc"/>
              <w:numPr>
                <w:ilvl w:val="0"/>
                <w:numId w:val="4"/>
              </w:numPr>
              <w:spacing w:before="0" w:after="0"/>
            </w:pPr>
          </w:p>
        </w:tc>
        <w:tc>
          <w:tcPr>
            <w:tcW w:w="2686" w:type="dxa"/>
            <w:gridSpan w:val="2"/>
            <w:tcBorders>
              <w:top w:val="single" w:sz="6" w:space="0" w:color="000000"/>
              <w:left w:val="single" w:sz="6" w:space="0" w:color="000000"/>
              <w:bottom w:val="single" w:sz="4" w:space="0" w:color="auto"/>
              <w:right w:val="single" w:sz="6" w:space="0" w:color="000000"/>
            </w:tcBorders>
          </w:tcPr>
          <w:p w14:paraId="01411A1B" w14:textId="77777777" w:rsidR="00846AA0" w:rsidRPr="00BC6D3D" w:rsidRDefault="00846AA0" w:rsidP="00846AA0">
            <w:pPr>
              <w:pStyle w:val="naisc"/>
              <w:spacing w:before="0" w:after="0"/>
              <w:jc w:val="left"/>
              <w:rPr>
                <w:b/>
              </w:rPr>
            </w:pPr>
            <w:r>
              <w:rPr>
                <w:b/>
              </w:rPr>
              <w:t>A</w:t>
            </w:r>
            <w:r w:rsidRPr="00BC6D3D">
              <w:rPr>
                <w:b/>
              </w:rPr>
              <w:t>notācija</w:t>
            </w:r>
            <w:r>
              <w:rPr>
                <w:b/>
              </w:rPr>
              <w:t>s V sadaļa</w:t>
            </w:r>
          </w:p>
        </w:tc>
        <w:tc>
          <w:tcPr>
            <w:tcW w:w="4678" w:type="dxa"/>
            <w:tcBorders>
              <w:top w:val="single" w:sz="6" w:space="0" w:color="000000"/>
              <w:left w:val="single" w:sz="6" w:space="0" w:color="000000"/>
              <w:bottom w:val="single" w:sz="6" w:space="0" w:color="000000"/>
              <w:right w:val="single" w:sz="6" w:space="0" w:color="000000"/>
            </w:tcBorders>
          </w:tcPr>
          <w:p w14:paraId="399321DA" w14:textId="77777777" w:rsidR="00846AA0" w:rsidRPr="00BC6D3D" w:rsidRDefault="00846AA0" w:rsidP="00846AA0">
            <w:pPr>
              <w:jc w:val="both"/>
            </w:pPr>
            <w:r w:rsidRPr="00BC6D3D">
              <w:rPr>
                <w:b/>
              </w:rPr>
              <w:t>Tieslietu ministrijas 17.05.2019. iebildums:</w:t>
            </w:r>
          </w:p>
          <w:p w14:paraId="5C8669D5" w14:textId="77777777" w:rsidR="00846AA0" w:rsidRDefault="00846AA0" w:rsidP="00846AA0">
            <w:pPr>
              <w:jc w:val="both"/>
            </w:pPr>
          </w:p>
          <w:p w14:paraId="2B96FA2E" w14:textId="77777777" w:rsidR="00846AA0" w:rsidRPr="00BC6D3D" w:rsidRDefault="00846AA0" w:rsidP="00846AA0">
            <w:pPr>
              <w:ind w:firstLine="460"/>
              <w:jc w:val="both"/>
            </w:pPr>
            <w:r w:rsidRPr="00BC6D3D">
              <w:t>Saskaņā ar projekta 12. punktā izteikto informatīvo atsauci uz Eiropas Savienības direktīvām projektā iekļautas gan tiesību normas, kas izriet no Padomes 2009. gada 14. septembra Direktīvas 2009/119/EK, ar ko dalībvalstīm uzliek pienākumu uzturēt jēlnaftas un/vai naftas produktu obligātās rezerves (turpmāk – Direktīva 2009/119), gan no šo direktīvu grozošās direktīvas. Tāpat no projekta 13. un 14. punkta izriet, ka ar projektu ieviestas atsevišķas Eiropas Parlamenta un Padomes 2008. gada 22. oktobra Regulas (EK) Nr. 1099/2008 par enerģētikas statistiku (turpmāk – Regula) tiesību normas.</w:t>
            </w:r>
          </w:p>
          <w:p w14:paraId="5A087C78" w14:textId="77777777" w:rsidR="00846AA0" w:rsidRPr="00BC6D3D" w:rsidRDefault="00846AA0" w:rsidP="00846AA0">
            <w:pPr>
              <w:ind w:firstLine="460"/>
              <w:jc w:val="both"/>
            </w:pPr>
            <w:r w:rsidRPr="00BC6D3D">
              <w:t xml:space="preserve">Ņemot vērā minēto, lūdzam papildināt projekta anotācijas V sadaļu ar informāciju par Direktīvas 2009/119 un Regulas ieviešanu atbilstoši Ministru kabineta 2009. gada 15. decembra instrukcijas Nr. 19 “Tiesību akta </w:t>
            </w:r>
            <w:r w:rsidRPr="00BC6D3D">
              <w:lastRenderedPageBreak/>
              <w:t>projekta sākotnējās ietekmes izvērtēšanas kārtība” 55. un 56. punktam.</w:t>
            </w:r>
          </w:p>
        </w:tc>
        <w:tc>
          <w:tcPr>
            <w:tcW w:w="3260" w:type="dxa"/>
            <w:gridSpan w:val="2"/>
            <w:tcBorders>
              <w:top w:val="single" w:sz="6" w:space="0" w:color="000000"/>
              <w:left w:val="single" w:sz="6" w:space="0" w:color="000000"/>
              <w:bottom w:val="single" w:sz="6" w:space="0" w:color="000000"/>
              <w:right w:val="single" w:sz="6" w:space="0" w:color="000000"/>
            </w:tcBorders>
          </w:tcPr>
          <w:p w14:paraId="129BE58F" w14:textId="77777777" w:rsidR="00846AA0" w:rsidRPr="00BC6D3D" w:rsidRDefault="00846AA0" w:rsidP="00846AA0">
            <w:pPr>
              <w:pStyle w:val="naisc"/>
              <w:spacing w:before="0" w:after="0"/>
              <w:rPr>
                <w:b/>
              </w:rPr>
            </w:pPr>
            <w:r w:rsidRPr="00BC6D3D">
              <w:rPr>
                <w:b/>
              </w:rPr>
              <w:lastRenderedPageBreak/>
              <w:t xml:space="preserve">Ņemts vērā </w:t>
            </w:r>
          </w:p>
        </w:tc>
        <w:tc>
          <w:tcPr>
            <w:tcW w:w="3402" w:type="dxa"/>
            <w:tcBorders>
              <w:top w:val="single" w:sz="4" w:space="0" w:color="auto"/>
              <w:left w:val="single" w:sz="4" w:space="0" w:color="auto"/>
              <w:bottom w:val="single" w:sz="4" w:space="0" w:color="auto"/>
            </w:tcBorders>
          </w:tcPr>
          <w:p w14:paraId="01C249E3" w14:textId="77777777" w:rsidR="00846AA0" w:rsidRPr="002D49BD" w:rsidRDefault="00846AA0" w:rsidP="00846AA0">
            <w:pPr>
              <w:jc w:val="both"/>
              <w:rPr>
                <w:b/>
              </w:rPr>
            </w:pPr>
            <w:r w:rsidRPr="002D49BD">
              <w:t>Attiecīgi precizēta noteikumu projekta anotācija,</w:t>
            </w:r>
            <w:r>
              <w:rPr>
                <w:b/>
              </w:rPr>
              <w:t xml:space="preserve"> </w:t>
            </w:r>
            <w:r w:rsidRPr="002D49BD">
              <w:t>papildināta V sadaļa ar informāciju par Direktīvas 2009/119 un Regulas ieviešanu</w:t>
            </w:r>
            <w:r w:rsidRPr="002D49BD">
              <w:rPr>
                <w:b/>
              </w:rPr>
              <w:t>.</w:t>
            </w:r>
          </w:p>
        </w:tc>
      </w:tr>
      <w:tr w:rsidR="00846AA0" w:rsidRPr="00F841CA" w14:paraId="2A8F09DC" w14:textId="77777777" w:rsidTr="00D775F3">
        <w:tc>
          <w:tcPr>
            <w:tcW w:w="708" w:type="dxa"/>
            <w:tcBorders>
              <w:top w:val="single" w:sz="6" w:space="0" w:color="000000"/>
              <w:left w:val="single" w:sz="6" w:space="0" w:color="000000"/>
              <w:bottom w:val="single" w:sz="6" w:space="0" w:color="000000"/>
              <w:right w:val="single" w:sz="6" w:space="0" w:color="000000"/>
            </w:tcBorders>
          </w:tcPr>
          <w:p w14:paraId="0B467881" w14:textId="77777777" w:rsidR="00846AA0" w:rsidRPr="00BC6D3D" w:rsidRDefault="00846AA0" w:rsidP="00846AA0">
            <w:pPr>
              <w:pStyle w:val="naisc"/>
              <w:numPr>
                <w:ilvl w:val="0"/>
                <w:numId w:val="4"/>
              </w:numPr>
              <w:spacing w:before="0" w:after="0"/>
            </w:pPr>
          </w:p>
        </w:tc>
        <w:tc>
          <w:tcPr>
            <w:tcW w:w="2686" w:type="dxa"/>
            <w:gridSpan w:val="2"/>
            <w:tcBorders>
              <w:top w:val="single" w:sz="6" w:space="0" w:color="000000"/>
              <w:left w:val="single" w:sz="6" w:space="0" w:color="000000"/>
              <w:bottom w:val="single" w:sz="4" w:space="0" w:color="auto"/>
              <w:right w:val="single" w:sz="6" w:space="0" w:color="000000"/>
            </w:tcBorders>
          </w:tcPr>
          <w:p w14:paraId="29899D1E" w14:textId="77777777" w:rsidR="00846AA0" w:rsidRDefault="00846AA0" w:rsidP="00D775F3">
            <w:pPr>
              <w:pStyle w:val="naisc"/>
              <w:spacing w:before="0" w:after="0"/>
              <w:jc w:val="left"/>
              <w:rPr>
                <w:b/>
              </w:rPr>
            </w:pPr>
          </w:p>
        </w:tc>
        <w:tc>
          <w:tcPr>
            <w:tcW w:w="4678" w:type="dxa"/>
            <w:tcBorders>
              <w:top w:val="single" w:sz="6" w:space="0" w:color="000000"/>
              <w:left w:val="single" w:sz="6" w:space="0" w:color="000000"/>
              <w:bottom w:val="single" w:sz="6" w:space="0" w:color="000000"/>
              <w:right w:val="single" w:sz="6" w:space="0" w:color="000000"/>
            </w:tcBorders>
          </w:tcPr>
          <w:p w14:paraId="1F5D60D7" w14:textId="77777777" w:rsidR="00846AA0" w:rsidRPr="00BC6D3D" w:rsidRDefault="00846AA0" w:rsidP="00D775F3">
            <w:pPr>
              <w:pStyle w:val="naisc"/>
              <w:jc w:val="both"/>
              <w:rPr>
                <w:b/>
              </w:rPr>
            </w:pPr>
          </w:p>
        </w:tc>
        <w:tc>
          <w:tcPr>
            <w:tcW w:w="3260" w:type="dxa"/>
            <w:gridSpan w:val="2"/>
            <w:tcBorders>
              <w:top w:val="single" w:sz="6" w:space="0" w:color="000000"/>
              <w:left w:val="single" w:sz="6" w:space="0" w:color="000000"/>
              <w:bottom w:val="single" w:sz="6" w:space="0" w:color="000000"/>
              <w:right w:val="single" w:sz="6" w:space="0" w:color="000000"/>
            </w:tcBorders>
          </w:tcPr>
          <w:p w14:paraId="5C58E2E2" w14:textId="77777777" w:rsidR="00846AA0" w:rsidRPr="00BC6D3D" w:rsidRDefault="00846AA0" w:rsidP="00D775F3">
            <w:pPr>
              <w:pStyle w:val="naisc"/>
              <w:rPr>
                <w:b/>
              </w:rPr>
            </w:pPr>
          </w:p>
        </w:tc>
        <w:tc>
          <w:tcPr>
            <w:tcW w:w="3402" w:type="dxa"/>
            <w:tcBorders>
              <w:top w:val="single" w:sz="4" w:space="0" w:color="auto"/>
              <w:left w:val="single" w:sz="4" w:space="0" w:color="auto"/>
              <w:bottom w:val="single" w:sz="4" w:space="0" w:color="auto"/>
            </w:tcBorders>
          </w:tcPr>
          <w:p w14:paraId="5904DC94" w14:textId="77777777" w:rsidR="00846AA0" w:rsidRPr="002D49BD" w:rsidRDefault="00846AA0" w:rsidP="00D775F3">
            <w:pPr>
              <w:jc w:val="both"/>
            </w:pPr>
          </w:p>
        </w:tc>
      </w:tr>
      <w:tr w:rsidR="00846AA0" w:rsidRPr="00F841CA" w14:paraId="674A7A97" w14:textId="77777777" w:rsidTr="00D775F3">
        <w:tc>
          <w:tcPr>
            <w:tcW w:w="708" w:type="dxa"/>
            <w:tcBorders>
              <w:top w:val="single" w:sz="6" w:space="0" w:color="000000"/>
              <w:left w:val="single" w:sz="6" w:space="0" w:color="000000"/>
              <w:bottom w:val="single" w:sz="6" w:space="0" w:color="000000"/>
              <w:right w:val="single" w:sz="6" w:space="0" w:color="000000"/>
            </w:tcBorders>
          </w:tcPr>
          <w:p w14:paraId="182997B8" w14:textId="77777777" w:rsidR="00846AA0" w:rsidRPr="00BC6D3D" w:rsidRDefault="00846AA0" w:rsidP="00846AA0">
            <w:pPr>
              <w:pStyle w:val="naisc"/>
              <w:numPr>
                <w:ilvl w:val="0"/>
                <w:numId w:val="4"/>
              </w:numPr>
              <w:spacing w:before="0" w:after="0"/>
            </w:pPr>
          </w:p>
        </w:tc>
        <w:tc>
          <w:tcPr>
            <w:tcW w:w="2686" w:type="dxa"/>
            <w:gridSpan w:val="2"/>
            <w:tcBorders>
              <w:top w:val="single" w:sz="6" w:space="0" w:color="000000"/>
              <w:left w:val="single" w:sz="6" w:space="0" w:color="000000"/>
              <w:bottom w:val="single" w:sz="4" w:space="0" w:color="auto"/>
              <w:right w:val="single" w:sz="6" w:space="0" w:color="000000"/>
            </w:tcBorders>
          </w:tcPr>
          <w:p w14:paraId="0EAE1FAD" w14:textId="48ED3CD3" w:rsidR="00846AA0" w:rsidRPr="00BC6D3D" w:rsidRDefault="00846AA0" w:rsidP="00D775F3">
            <w:pPr>
              <w:pStyle w:val="naisc"/>
              <w:spacing w:before="0" w:after="0"/>
              <w:jc w:val="left"/>
              <w:rPr>
                <w:b/>
              </w:rPr>
            </w:pPr>
          </w:p>
        </w:tc>
        <w:tc>
          <w:tcPr>
            <w:tcW w:w="4678" w:type="dxa"/>
            <w:tcBorders>
              <w:top w:val="single" w:sz="6" w:space="0" w:color="000000"/>
              <w:left w:val="single" w:sz="6" w:space="0" w:color="000000"/>
              <w:bottom w:val="single" w:sz="6" w:space="0" w:color="000000"/>
              <w:right w:val="single" w:sz="6" w:space="0" w:color="000000"/>
            </w:tcBorders>
          </w:tcPr>
          <w:p w14:paraId="4901E6CF" w14:textId="77777777" w:rsidR="00846AA0" w:rsidRPr="00BC6D3D" w:rsidRDefault="00846AA0" w:rsidP="00D775F3">
            <w:pPr>
              <w:pStyle w:val="naisc"/>
              <w:jc w:val="both"/>
              <w:rPr>
                <w:b/>
              </w:rPr>
            </w:pPr>
            <w:r w:rsidRPr="00BC6D3D">
              <w:rPr>
                <w:b/>
              </w:rPr>
              <w:t>Finanšu ministrijas 15.05.2019. 3.priekšlikums:</w:t>
            </w:r>
          </w:p>
          <w:p w14:paraId="690062CF" w14:textId="77777777" w:rsidR="00846AA0" w:rsidRDefault="00846AA0" w:rsidP="00D775F3">
            <w:pPr>
              <w:jc w:val="both"/>
              <w:rPr>
                <w:lang w:eastAsia="en-US"/>
              </w:rPr>
            </w:pPr>
          </w:p>
          <w:p w14:paraId="4EDB8BFF" w14:textId="77777777" w:rsidR="00846AA0" w:rsidRPr="0093024C" w:rsidRDefault="00846AA0" w:rsidP="00D775F3">
            <w:pPr>
              <w:pStyle w:val="ListParagraph"/>
              <w:ind w:left="31" w:firstLine="395"/>
              <w:jc w:val="both"/>
              <w:rPr>
                <w:lang w:eastAsia="en-US"/>
              </w:rPr>
            </w:pPr>
            <w:r>
              <w:rPr>
                <w:lang w:eastAsia="en-US"/>
              </w:rPr>
              <w:t>N</w:t>
            </w:r>
            <w:r w:rsidRPr="00BC6D3D">
              <w:rPr>
                <w:lang w:eastAsia="en-US"/>
              </w:rPr>
              <w:t>oteikumu projekta normu apjoms pārsniedz pusi no spēkā esošo Noteikumu normu apjoma. Atbilstoši Ministru kabineta 2009.gada 3.februāra noteikumiem Nr.108 “Normatīvo aktu projektu sagatavošanas noteikumi” 140.punktam, kurā noteikts, ka grozījumu noteikumu projektu nesagatavo, ja tā normu apjoms pārsniegtu pusi no spēkā esošo noteikumu normu apjoma, šādā gadījumā sagatavo jaunu noteikumu projektu.</w:t>
            </w:r>
          </w:p>
        </w:tc>
        <w:tc>
          <w:tcPr>
            <w:tcW w:w="3260" w:type="dxa"/>
            <w:gridSpan w:val="2"/>
            <w:tcBorders>
              <w:top w:val="single" w:sz="6" w:space="0" w:color="000000"/>
              <w:left w:val="single" w:sz="6" w:space="0" w:color="000000"/>
              <w:bottom w:val="single" w:sz="6" w:space="0" w:color="000000"/>
              <w:right w:val="single" w:sz="6" w:space="0" w:color="000000"/>
            </w:tcBorders>
          </w:tcPr>
          <w:p w14:paraId="57968596" w14:textId="77777777" w:rsidR="00846AA0" w:rsidRPr="00BC6D3D" w:rsidRDefault="00846AA0" w:rsidP="00D775F3">
            <w:pPr>
              <w:pStyle w:val="naisc"/>
              <w:spacing w:before="0" w:after="0"/>
              <w:rPr>
                <w:b/>
              </w:rPr>
            </w:pPr>
            <w:r w:rsidRPr="00BC6D3D">
              <w:rPr>
                <w:b/>
              </w:rPr>
              <w:t>Nav ņemts vērā</w:t>
            </w:r>
          </w:p>
          <w:p w14:paraId="448F9E10" w14:textId="77777777" w:rsidR="00846AA0" w:rsidRDefault="00846AA0" w:rsidP="00D775F3">
            <w:pPr>
              <w:pStyle w:val="naisc"/>
              <w:spacing w:before="0" w:after="0"/>
              <w:jc w:val="both"/>
            </w:pPr>
          </w:p>
          <w:p w14:paraId="54AFAC18" w14:textId="77777777" w:rsidR="00846AA0" w:rsidRPr="00BC6D3D" w:rsidRDefault="00846AA0" w:rsidP="00D775F3">
            <w:pPr>
              <w:pStyle w:val="naisc"/>
              <w:spacing w:before="0" w:after="0"/>
              <w:ind w:firstLine="175"/>
              <w:jc w:val="both"/>
            </w:pPr>
            <w:r w:rsidRPr="00BC6D3D">
              <w:t>Saskaņā ar Ministru kabineta 2009.gada 3.februāra noteikumu Nr. 108 „Normatīvo aktu projektu sagatavošanas noteikumi” 140. punktu grozījumu noteikumu projektu nesagatavo, ja tā normu apjoms pārsniegtu pusi no spēkā esošo noteikumu normu apjoma. Šādā gadījumā sagatavo jaunu noteikumu projektu. Pēc Noteikumu izsludināšanas Valsts sekretāru sanāksmē precizētā projekta normu apjoms nepārsniedz pusi no Noteikumos esošo normu apjoma. Līdz ar to jauns Noteikumu projekts netiks gatavots.</w:t>
            </w:r>
          </w:p>
        </w:tc>
        <w:tc>
          <w:tcPr>
            <w:tcW w:w="3402" w:type="dxa"/>
            <w:tcBorders>
              <w:top w:val="single" w:sz="4" w:space="0" w:color="auto"/>
              <w:left w:val="single" w:sz="4" w:space="0" w:color="auto"/>
              <w:bottom w:val="single" w:sz="4" w:space="0" w:color="auto"/>
            </w:tcBorders>
          </w:tcPr>
          <w:p w14:paraId="7269FE37" w14:textId="77777777" w:rsidR="00846AA0" w:rsidRPr="00F841CA" w:rsidRDefault="00846AA0" w:rsidP="00D775F3">
            <w:pPr>
              <w:jc w:val="both"/>
              <w:rPr>
                <w:sz w:val="22"/>
                <w:szCs w:val="22"/>
              </w:rPr>
            </w:pPr>
          </w:p>
        </w:tc>
      </w:tr>
      <w:tr w:rsidR="00846AA0" w:rsidRPr="00F841CA" w14:paraId="2799C30B" w14:textId="77777777" w:rsidTr="00D775F3">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2F4DE160" w14:textId="77777777" w:rsidR="00846AA0" w:rsidRPr="00F841CA" w:rsidRDefault="00846AA0" w:rsidP="00D775F3">
            <w:pPr>
              <w:pStyle w:val="naiskr"/>
              <w:spacing w:before="0" w:after="0"/>
              <w:rPr>
                <w:sz w:val="20"/>
                <w:szCs w:val="20"/>
              </w:rPr>
            </w:pPr>
          </w:p>
          <w:p w14:paraId="59CBF6A4" w14:textId="77777777" w:rsidR="00846AA0" w:rsidRPr="00F841CA" w:rsidRDefault="00846AA0" w:rsidP="00D775F3">
            <w:pPr>
              <w:pStyle w:val="naiskr"/>
              <w:spacing w:before="0" w:after="0"/>
              <w:rPr>
                <w:sz w:val="20"/>
                <w:szCs w:val="20"/>
              </w:rPr>
            </w:pPr>
            <w:r w:rsidRPr="00F841CA">
              <w:rPr>
                <w:sz w:val="20"/>
                <w:szCs w:val="20"/>
              </w:rPr>
              <w:t>Atbildīgā amatpersona</w:t>
            </w:r>
          </w:p>
        </w:tc>
        <w:tc>
          <w:tcPr>
            <w:tcW w:w="6179" w:type="dxa"/>
            <w:gridSpan w:val="3"/>
          </w:tcPr>
          <w:p w14:paraId="00C1D875" w14:textId="77777777" w:rsidR="00846AA0" w:rsidRPr="00F841CA" w:rsidRDefault="00846AA0" w:rsidP="00D775F3">
            <w:pPr>
              <w:pStyle w:val="naiskr"/>
              <w:spacing w:before="0" w:after="0"/>
              <w:ind w:firstLine="720"/>
              <w:rPr>
                <w:sz w:val="20"/>
                <w:szCs w:val="20"/>
              </w:rPr>
            </w:pPr>
            <w:r>
              <w:rPr>
                <w:sz w:val="20"/>
                <w:szCs w:val="20"/>
              </w:rPr>
              <w:t xml:space="preserve"> </w:t>
            </w:r>
          </w:p>
        </w:tc>
      </w:tr>
      <w:tr w:rsidR="00846AA0" w:rsidRPr="00F841CA" w14:paraId="654F0C5E" w14:textId="77777777" w:rsidTr="00D775F3">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14:paraId="50DC3BDD" w14:textId="77777777" w:rsidR="00846AA0" w:rsidRPr="00F841CA" w:rsidRDefault="00846AA0" w:rsidP="00D775F3">
            <w:pPr>
              <w:pStyle w:val="naiskr"/>
              <w:spacing w:before="0" w:after="0"/>
              <w:ind w:firstLine="720"/>
              <w:rPr>
                <w:sz w:val="20"/>
                <w:szCs w:val="20"/>
              </w:rPr>
            </w:pPr>
          </w:p>
        </w:tc>
        <w:tc>
          <w:tcPr>
            <w:tcW w:w="6179" w:type="dxa"/>
            <w:gridSpan w:val="3"/>
            <w:tcBorders>
              <w:top w:val="single" w:sz="6" w:space="0" w:color="000000"/>
            </w:tcBorders>
          </w:tcPr>
          <w:p w14:paraId="2BF15B79" w14:textId="77777777" w:rsidR="00846AA0" w:rsidRPr="00F841CA" w:rsidRDefault="00846AA0" w:rsidP="00D775F3">
            <w:pPr>
              <w:pStyle w:val="naisc"/>
              <w:spacing w:before="0" w:after="0"/>
              <w:ind w:firstLine="720"/>
              <w:rPr>
                <w:sz w:val="20"/>
                <w:szCs w:val="20"/>
              </w:rPr>
            </w:pPr>
            <w:r w:rsidRPr="00F841CA">
              <w:rPr>
                <w:sz w:val="20"/>
                <w:szCs w:val="20"/>
              </w:rPr>
              <w:t>(paraksts)*</w:t>
            </w:r>
          </w:p>
        </w:tc>
      </w:tr>
    </w:tbl>
    <w:p w14:paraId="249A6311" w14:textId="77777777" w:rsidR="00846AA0" w:rsidRPr="00F841CA" w:rsidRDefault="00846AA0" w:rsidP="00846AA0">
      <w:pPr>
        <w:ind w:left="-426"/>
        <w:jc w:val="both"/>
        <w:rPr>
          <w:sz w:val="20"/>
          <w:szCs w:val="20"/>
        </w:rPr>
      </w:pPr>
      <w:r w:rsidRPr="00F841CA">
        <w:rPr>
          <w:sz w:val="20"/>
          <w:szCs w:val="20"/>
        </w:rPr>
        <w:t xml:space="preserve">Piezīme. </w:t>
      </w:r>
    </w:p>
    <w:p w14:paraId="51D752C0" w14:textId="77777777" w:rsidR="00846AA0" w:rsidRPr="00F841CA" w:rsidRDefault="00846AA0" w:rsidP="00846AA0">
      <w:pPr>
        <w:ind w:left="-426"/>
        <w:jc w:val="both"/>
        <w:rPr>
          <w:sz w:val="20"/>
          <w:szCs w:val="20"/>
        </w:rPr>
      </w:pPr>
      <w:r w:rsidRPr="00F841CA">
        <w:rPr>
          <w:sz w:val="20"/>
          <w:szCs w:val="20"/>
        </w:rPr>
        <w:t>* Dokumenta rekvizītu „paraksts” neaizpilda, ja elektroniskais dokuments ir sagatavots atbilstoši normatīvajiem aktiem par elektronisko dokumentu noformēšanu.</w:t>
      </w:r>
    </w:p>
    <w:p w14:paraId="4C8E65D8" w14:textId="77777777" w:rsidR="00846AA0" w:rsidRPr="00F841CA" w:rsidRDefault="00846AA0" w:rsidP="00846AA0">
      <w:pPr>
        <w:ind w:left="142"/>
        <w:jc w:val="both"/>
        <w:rPr>
          <w:sz w:val="20"/>
          <w:szCs w:val="20"/>
        </w:rPr>
      </w:pPr>
      <w:r>
        <w:rPr>
          <w:sz w:val="20"/>
          <w:szCs w:val="20"/>
        </w:rPr>
        <w:t>Zanda Sproģe</w:t>
      </w:r>
    </w:p>
    <w:tbl>
      <w:tblPr>
        <w:tblpPr w:leftFromText="180" w:rightFromText="180" w:vertAnchor="text" w:tblpY="1"/>
        <w:tblOverlap w:val="never"/>
        <w:tblW w:w="0" w:type="auto"/>
        <w:tblLook w:val="00A0" w:firstRow="1" w:lastRow="0" w:firstColumn="1" w:lastColumn="0" w:noHBand="0" w:noVBand="0"/>
      </w:tblPr>
      <w:tblGrid>
        <w:gridCol w:w="8789"/>
      </w:tblGrid>
      <w:tr w:rsidR="00846AA0" w:rsidRPr="00F841CA" w14:paraId="468240E6" w14:textId="77777777" w:rsidTr="00D775F3">
        <w:tc>
          <w:tcPr>
            <w:tcW w:w="8789" w:type="dxa"/>
            <w:tcBorders>
              <w:top w:val="single" w:sz="4" w:space="0" w:color="000000"/>
              <w:left w:val="nil"/>
              <w:bottom w:val="nil"/>
              <w:right w:val="nil"/>
            </w:tcBorders>
            <w:hideMark/>
          </w:tcPr>
          <w:p w14:paraId="0DE5DDFF" w14:textId="77777777" w:rsidR="00846AA0" w:rsidRPr="00F841CA" w:rsidRDefault="00846AA0" w:rsidP="00D775F3">
            <w:pPr>
              <w:rPr>
                <w:sz w:val="20"/>
                <w:szCs w:val="20"/>
              </w:rPr>
            </w:pPr>
            <w:r w:rsidRPr="00F841CA">
              <w:rPr>
                <w:sz w:val="20"/>
                <w:szCs w:val="20"/>
              </w:rPr>
              <w:t>(par projektu atbildīgās amatpersonas vārds un uzvārds)</w:t>
            </w:r>
          </w:p>
        </w:tc>
      </w:tr>
      <w:tr w:rsidR="00846AA0" w:rsidRPr="00F841CA" w14:paraId="4A67887A" w14:textId="77777777" w:rsidTr="00D775F3">
        <w:tc>
          <w:tcPr>
            <w:tcW w:w="8789" w:type="dxa"/>
            <w:tcBorders>
              <w:top w:val="nil"/>
              <w:left w:val="nil"/>
              <w:bottom w:val="single" w:sz="4" w:space="0" w:color="000000"/>
              <w:right w:val="nil"/>
            </w:tcBorders>
            <w:hideMark/>
          </w:tcPr>
          <w:p w14:paraId="0E00996A" w14:textId="77777777" w:rsidR="00846AA0" w:rsidRPr="00F841CA" w:rsidRDefault="00846AA0" w:rsidP="00D775F3">
            <w:pPr>
              <w:rPr>
                <w:sz w:val="20"/>
                <w:szCs w:val="20"/>
              </w:rPr>
            </w:pPr>
          </w:p>
          <w:p w14:paraId="480A3386" w14:textId="77777777" w:rsidR="00846AA0" w:rsidRPr="00F841CA" w:rsidRDefault="00846AA0" w:rsidP="00D775F3">
            <w:pPr>
              <w:rPr>
                <w:sz w:val="20"/>
                <w:szCs w:val="20"/>
              </w:rPr>
            </w:pPr>
            <w:r w:rsidRPr="00F841CA">
              <w:rPr>
                <w:sz w:val="20"/>
                <w:szCs w:val="20"/>
              </w:rPr>
              <w:t>Ekonomikas ministrijas</w:t>
            </w:r>
            <w:r>
              <w:rPr>
                <w:sz w:val="20"/>
                <w:szCs w:val="20"/>
              </w:rPr>
              <w:t xml:space="preserve"> </w:t>
            </w:r>
            <w:r w:rsidRPr="00770054">
              <w:rPr>
                <w:sz w:val="20"/>
                <w:szCs w:val="20"/>
              </w:rPr>
              <w:t>Enerģijas tirgus un infrastruktūras departament</w:t>
            </w:r>
            <w:r>
              <w:rPr>
                <w:sz w:val="20"/>
                <w:szCs w:val="20"/>
              </w:rPr>
              <w:t xml:space="preserve">a </w:t>
            </w:r>
            <w:r w:rsidRPr="00F841CA">
              <w:rPr>
                <w:sz w:val="20"/>
                <w:szCs w:val="20"/>
              </w:rPr>
              <w:t>vecāk</w:t>
            </w:r>
            <w:r>
              <w:rPr>
                <w:sz w:val="20"/>
                <w:szCs w:val="20"/>
              </w:rPr>
              <w:t>ā eksperte</w:t>
            </w:r>
            <w:r w:rsidRPr="00F841CA">
              <w:rPr>
                <w:sz w:val="20"/>
                <w:szCs w:val="20"/>
              </w:rPr>
              <w:t xml:space="preserve"> </w:t>
            </w:r>
          </w:p>
        </w:tc>
      </w:tr>
      <w:tr w:rsidR="00846AA0" w:rsidRPr="00F841CA" w14:paraId="65A4A9A3" w14:textId="77777777" w:rsidTr="00D775F3">
        <w:tc>
          <w:tcPr>
            <w:tcW w:w="8789" w:type="dxa"/>
            <w:tcBorders>
              <w:top w:val="single" w:sz="4" w:space="0" w:color="000000"/>
              <w:left w:val="nil"/>
              <w:bottom w:val="nil"/>
              <w:right w:val="nil"/>
            </w:tcBorders>
            <w:hideMark/>
          </w:tcPr>
          <w:p w14:paraId="00EB8046" w14:textId="77777777" w:rsidR="00846AA0" w:rsidRPr="00F841CA" w:rsidRDefault="00846AA0" w:rsidP="00D775F3">
            <w:pPr>
              <w:jc w:val="center"/>
              <w:rPr>
                <w:sz w:val="20"/>
                <w:szCs w:val="20"/>
              </w:rPr>
            </w:pPr>
            <w:r w:rsidRPr="00F841CA">
              <w:rPr>
                <w:sz w:val="20"/>
                <w:szCs w:val="20"/>
              </w:rPr>
              <w:t>(amats)</w:t>
            </w:r>
          </w:p>
        </w:tc>
      </w:tr>
      <w:tr w:rsidR="00846AA0" w:rsidRPr="00F841CA" w14:paraId="7728A719" w14:textId="77777777" w:rsidTr="00D775F3">
        <w:tc>
          <w:tcPr>
            <w:tcW w:w="8789" w:type="dxa"/>
            <w:tcBorders>
              <w:top w:val="nil"/>
              <w:left w:val="nil"/>
              <w:bottom w:val="single" w:sz="4" w:space="0" w:color="000000"/>
              <w:right w:val="nil"/>
            </w:tcBorders>
            <w:hideMark/>
          </w:tcPr>
          <w:p w14:paraId="790CB27F" w14:textId="77777777" w:rsidR="00846AA0" w:rsidRPr="00F841CA" w:rsidRDefault="00846AA0" w:rsidP="00D775F3">
            <w:pPr>
              <w:rPr>
                <w:sz w:val="20"/>
                <w:szCs w:val="20"/>
              </w:rPr>
            </w:pPr>
            <w:r w:rsidRPr="00F841CA">
              <w:rPr>
                <w:sz w:val="20"/>
                <w:szCs w:val="20"/>
              </w:rPr>
              <w:lastRenderedPageBreak/>
              <w:t>tālr. 67013</w:t>
            </w:r>
            <w:r>
              <w:rPr>
                <w:sz w:val="20"/>
                <w:szCs w:val="20"/>
              </w:rPr>
              <w:t>024</w:t>
            </w:r>
          </w:p>
        </w:tc>
      </w:tr>
      <w:tr w:rsidR="00846AA0" w:rsidRPr="00F841CA" w14:paraId="151CA288" w14:textId="77777777" w:rsidTr="00D775F3">
        <w:tc>
          <w:tcPr>
            <w:tcW w:w="8789" w:type="dxa"/>
            <w:tcBorders>
              <w:top w:val="single" w:sz="4" w:space="0" w:color="000000"/>
              <w:left w:val="nil"/>
              <w:bottom w:val="nil"/>
              <w:right w:val="nil"/>
            </w:tcBorders>
            <w:hideMark/>
          </w:tcPr>
          <w:p w14:paraId="6D9F58C0" w14:textId="77777777" w:rsidR="00846AA0" w:rsidRPr="00F841CA" w:rsidRDefault="00846AA0" w:rsidP="00D775F3">
            <w:pPr>
              <w:jc w:val="center"/>
              <w:rPr>
                <w:sz w:val="20"/>
                <w:szCs w:val="20"/>
              </w:rPr>
            </w:pPr>
            <w:r w:rsidRPr="00F841CA">
              <w:rPr>
                <w:sz w:val="20"/>
                <w:szCs w:val="20"/>
              </w:rPr>
              <w:t>(tālruņa un faksa numurs)</w:t>
            </w:r>
          </w:p>
        </w:tc>
      </w:tr>
      <w:tr w:rsidR="00846AA0" w:rsidRPr="00F841CA" w14:paraId="76065156" w14:textId="77777777" w:rsidTr="00D775F3">
        <w:tc>
          <w:tcPr>
            <w:tcW w:w="8789" w:type="dxa"/>
            <w:tcBorders>
              <w:top w:val="nil"/>
              <w:left w:val="nil"/>
              <w:bottom w:val="single" w:sz="4" w:space="0" w:color="000000"/>
              <w:right w:val="nil"/>
            </w:tcBorders>
            <w:hideMark/>
          </w:tcPr>
          <w:p w14:paraId="0693FAB9" w14:textId="77777777" w:rsidR="00846AA0" w:rsidRPr="00F841CA" w:rsidRDefault="00846AA0" w:rsidP="00D775F3">
            <w:pPr>
              <w:rPr>
                <w:sz w:val="20"/>
                <w:szCs w:val="20"/>
              </w:rPr>
            </w:pPr>
            <w:r>
              <w:rPr>
                <w:sz w:val="20"/>
                <w:szCs w:val="20"/>
              </w:rPr>
              <w:t>Zanda.Sproge</w:t>
            </w:r>
            <w:r w:rsidRPr="00F841CA">
              <w:rPr>
                <w:sz w:val="20"/>
                <w:szCs w:val="20"/>
              </w:rPr>
              <w:t>@em.gov.lv</w:t>
            </w:r>
          </w:p>
        </w:tc>
      </w:tr>
      <w:tr w:rsidR="00846AA0" w:rsidRPr="00F841CA" w14:paraId="0F10F621" w14:textId="77777777" w:rsidTr="00D775F3">
        <w:tc>
          <w:tcPr>
            <w:tcW w:w="8789" w:type="dxa"/>
            <w:tcBorders>
              <w:top w:val="single" w:sz="4" w:space="0" w:color="000000"/>
              <w:left w:val="nil"/>
              <w:bottom w:val="nil"/>
              <w:right w:val="nil"/>
            </w:tcBorders>
            <w:hideMark/>
          </w:tcPr>
          <w:p w14:paraId="6B6B510B" w14:textId="77777777" w:rsidR="00846AA0" w:rsidRPr="00F841CA" w:rsidRDefault="00846AA0" w:rsidP="00D775F3">
            <w:pPr>
              <w:jc w:val="center"/>
              <w:rPr>
                <w:sz w:val="20"/>
                <w:szCs w:val="20"/>
              </w:rPr>
            </w:pPr>
            <w:r w:rsidRPr="00F841CA">
              <w:rPr>
                <w:sz w:val="20"/>
                <w:szCs w:val="20"/>
              </w:rPr>
              <w:t>(e-pasta adrese)</w:t>
            </w:r>
          </w:p>
        </w:tc>
      </w:tr>
    </w:tbl>
    <w:p w14:paraId="18BF0F75" w14:textId="77777777" w:rsidR="00846AA0" w:rsidRPr="00F841CA" w:rsidRDefault="00846AA0" w:rsidP="00846AA0">
      <w:pPr>
        <w:jc w:val="both"/>
        <w:rPr>
          <w:sz w:val="20"/>
          <w:szCs w:val="20"/>
        </w:rPr>
      </w:pPr>
    </w:p>
    <w:p w14:paraId="74C0A935" w14:textId="77777777" w:rsidR="00846AA0" w:rsidRPr="00F841CA" w:rsidRDefault="00846AA0" w:rsidP="00846AA0">
      <w:pPr>
        <w:jc w:val="both"/>
        <w:rPr>
          <w:sz w:val="20"/>
          <w:szCs w:val="20"/>
        </w:rPr>
      </w:pPr>
    </w:p>
    <w:p w14:paraId="1E284ED1" w14:textId="77777777" w:rsidR="00846AA0" w:rsidRPr="00F841CA" w:rsidRDefault="00846AA0" w:rsidP="00846AA0">
      <w:pPr>
        <w:jc w:val="both"/>
        <w:rPr>
          <w:sz w:val="20"/>
          <w:szCs w:val="20"/>
        </w:rPr>
      </w:pPr>
    </w:p>
    <w:p w14:paraId="0B646572" w14:textId="77777777" w:rsidR="00846AA0" w:rsidRPr="00F841CA" w:rsidRDefault="00846AA0" w:rsidP="00846AA0">
      <w:pPr>
        <w:jc w:val="both"/>
        <w:rPr>
          <w:sz w:val="20"/>
          <w:szCs w:val="20"/>
        </w:rPr>
      </w:pPr>
    </w:p>
    <w:p w14:paraId="25947EC3" w14:textId="77777777" w:rsidR="00846AA0" w:rsidRPr="00F841CA" w:rsidRDefault="00846AA0" w:rsidP="00846AA0">
      <w:pPr>
        <w:jc w:val="both"/>
        <w:rPr>
          <w:sz w:val="20"/>
          <w:szCs w:val="20"/>
        </w:rPr>
      </w:pPr>
    </w:p>
    <w:p w14:paraId="4CCFC918" w14:textId="77777777" w:rsidR="00846AA0" w:rsidRDefault="00846AA0" w:rsidP="00846AA0">
      <w:pPr>
        <w:pStyle w:val="naisf"/>
        <w:tabs>
          <w:tab w:val="left" w:pos="6840"/>
        </w:tabs>
        <w:spacing w:before="0" w:after="0"/>
      </w:pPr>
      <w:r>
        <w:rPr>
          <w:sz w:val="20"/>
          <w:szCs w:val="20"/>
        </w:rPr>
        <w:t>04.06.2019.</w:t>
      </w:r>
    </w:p>
    <w:p w14:paraId="62E49657" w14:textId="77777777" w:rsidR="00CE4DCF" w:rsidRPr="00846AA0" w:rsidRDefault="00CE4DCF" w:rsidP="00846AA0"/>
    <w:sectPr w:rsidR="00CE4DCF" w:rsidRPr="00846AA0"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0CEC" w14:textId="77777777" w:rsidR="00553906" w:rsidRDefault="00553906" w:rsidP="00770054">
      <w:r>
        <w:separator/>
      </w:r>
    </w:p>
  </w:endnote>
  <w:endnote w:type="continuationSeparator" w:id="0">
    <w:p w14:paraId="111AEB2F" w14:textId="77777777" w:rsidR="00553906" w:rsidRDefault="00553906" w:rsidP="0077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F208" w14:textId="77777777" w:rsidR="0077723C" w:rsidRDefault="00553906" w:rsidP="00295755">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EMIzzina_</w:t>
    </w:r>
    <w:r w:rsidR="00294B77">
      <w:rPr>
        <w:noProof/>
        <w:sz w:val="20"/>
        <w:szCs w:val="20"/>
      </w:rPr>
      <w:t>0406</w:t>
    </w:r>
    <w:r>
      <w:rPr>
        <w:noProof/>
        <w:sz w:val="20"/>
        <w:szCs w:val="20"/>
      </w:rPr>
      <w:t>2019_Groz</w:t>
    </w:r>
    <w:r w:rsidR="00770054">
      <w:rPr>
        <w:noProof/>
        <w:sz w:val="20"/>
        <w:szCs w:val="20"/>
      </w:rPr>
      <w:t>_286</w:t>
    </w:r>
    <w:r>
      <w:rPr>
        <w:noProof/>
        <w:sz w:val="20"/>
        <w:szCs w:val="20"/>
      </w:rPr>
      <w:t>.docx</w:t>
    </w:r>
    <w:r>
      <w:rPr>
        <w:sz w:val="20"/>
        <w:szCs w:val="20"/>
      </w:rPr>
      <w:fldChar w:fldCharType="end"/>
    </w:r>
  </w:p>
  <w:p w14:paraId="26E92521" w14:textId="77777777" w:rsidR="00770054" w:rsidRPr="00295755" w:rsidRDefault="00770054" w:rsidP="00295755">
    <w:pPr>
      <w:pStyle w:val="Footer"/>
      <w:jc w:val="both"/>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15E6" w14:textId="77777777" w:rsidR="0077723C" w:rsidRPr="00295755" w:rsidRDefault="00BD64F1" w:rsidP="00BD64F1">
    <w:pPr>
      <w:pStyle w:val="Footer"/>
      <w:jc w:val="both"/>
      <w:rPr>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EMIzzina_</w:t>
    </w:r>
    <w:r w:rsidR="00294B77">
      <w:rPr>
        <w:noProof/>
        <w:sz w:val="20"/>
        <w:szCs w:val="20"/>
      </w:rPr>
      <w:t>0406</w:t>
    </w:r>
    <w:r>
      <w:rPr>
        <w:noProof/>
        <w:sz w:val="20"/>
        <w:szCs w:val="20"/>
      </w:rPr>
      <w:t>2019_Groz_286.docx</w:t>
    </w:r>
    <w:r>
      <w:rPr>
        <w:sz w:val="20"/>
        <w:szCs w:val="20"/>
      </w:rPr>
      <w:fldChar w:fldCharType="end"/>
    </w:r>
    <w:r w:rsidR="00553906" w:rsidRPr="00E34196">
      <w:rPr>
        <w:sz w:val="20"/>
        <w:szCs w:val="20"/>
      </w:rPr>
      <w:t xml:space="preserve">; Izziņa par atzinumos sniegtajiem </w:t>
    </w:r>
    <w:r>
      <w:rPr>
        <w:sz w:val="20"/>
        <w:szCs w:val="20"/>
      </w:rPr>
      <w:t xml:space="preserve">priekšlikumiem un </w:t>
    </w:r>
    <w:r w:rsidR="00553906" w:rsidRPr="00E34196">
      <w:rPr>
        <w:sz w:val="20"/>
        <w:szCs w:val="20"/>
      </w:rPr>
      <w:t>iebildum</w:t>
    </w:r>
    <w:r>
      <w:rPr>
        <w:sz w:val="20"/>
        <w:szCs w:val="20"/>
      </w:rPr>
      <w:t>u</w:t>
    </w:r>
    <w:r w:rsidR="00553906" w:rsidRPr="00E34196">
      <w:rPr>
        <w:sz w:val="20"/>
        <w:szCs w:val="20"/>
      </w:rPr>
      <w:t xml:space="preserve"> </w:t>
    </w:r>
    <w:r w:rsidRPr="00BD64F1">
      <w:rPr>
        <w:color w:val="000000"/>
        <w:sz w:val="20"/>
        <w:szCs w:val="20"/>
      </w:rPr>
      <w:t>Ministru kabineta noteikumu projekt</w:t>
    </w:r>
    <w:r>
      <w:rPr>
        <w:color w:val="000000"/>
        <w:sz w:val="20"/>
        <w:szCs w:val="20"/>
      </w:rPr>
      <w:t>am</w:t>
    </w:r>
    <w:r w:rsidRPr="00BD64F1">
      <w:rPr>
        <w:color w:val="000000"/>
        <w:sz w:val="20"/>
        <w:szCs w:val="20"/>
      </w:rPr>
      <w:t xml:space="preserve"> ""Grozījumi Ministru kabineta 2011.gada 12.aprīļa noteikumos Nr.286 "Kārtība, kādā komersanti nodrošina un sniedz drošības rezervju pakalpojumu valsts naftas produktu drošības rezervju izveidei noteiktā apjomā"" (VSS-384)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693C" w14:textId="77777777" w:rsidR="00553906" w:rsidRDefault="00553906" w:rsidP="00770054">
      <w:r>
        <w:separator/>
      </w:r>
    </w:p>
  </w:footnote>
  <w:footnote w:type="continuationSeparator" w:id="0">
    <w:p w14:paraId="18633E2A" w14:textId="77777777" w:rsidR="00553906" w:rsidRDefault="00553906" w:rsidP="0077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1868" w14:textId="77777777" w:rsidR="0077723C" w:rsidRDefault="0055390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204A1" w14:textId="77777777" w:rsidR="0077723C" w:rsidRDefault="00F42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F7C8" w14:textId="77777777" w:rsidR="0077723C" w:rsidRDefault="0055390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7356364" w14:textId="77777777" w:rsidR="0077723C" w:rsidRDefault="00F42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66C6"/>
    <w:multiLevelType w:val="hybridMultilevel"/>
    <w:tmpl w:val="A2A07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D5147"/>
    <w:multiLevelType w:val="hybridMultilevel"/>
    <w:tmpl w:val="E2463C0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5B8674A1"/>
    <w:multiLevelType w:val="hybridMultilevel"/>
    <w:tmpl w:val="A2A07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00D55"/>
    <w:rsid w:val="00057B79"/>
    <w:rsid w:val="000C31E1"/>
    <w:rsid w:val="001B6078"/>
    <w:rsid w:val="00294B77"/>
    <w:rsid w:val="003F1573"/>
    <w:rsid w:val="00480111"/>
    <w:rsid w:val="00553906"/>
    <w:rsid w:val="00582B24"/>
    <w:rsid w:val="007379C6"/>
    <w:rsid w:val="00770054"/>
    <w:rsid w:val="0078065F"/>
    <w:rsid w:val="007F0A5A"/>
    <w:rsid w:val="00846AA0"/>
    <w:rsid w:val="009658B8"/>
    <w:rsid w:val="009B62F7"/>
    <w:rsid w:val="00A44D0E"/>
    <w:rsid w:val="00AE356B"/>
    <w:rsid w:val="00B46972"/>
    <w:rsid w:val="00B903D3"/>
    <w:rsid w:val="00BD64F1"/>
    <w:rsid w:val="00BE6A5F"/>
    <w:rsid w:val="00C551F0"/>
    <w:rsid w:val="00C72F8F"/>
    <w:rsid w:val="00CE0854"/>
    <w:rsid w:val="00CE4DCF"/>
    <w:rsid w:val="00D80048"/>
    <w:rsid w:val="00DE46DD"/>
    <w:rsid w:val="00ED2CBE"/>
    <w:rsid w:val="00F42E61"/>
    <w:rsid w:val="00FE67B9"/>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27652"/>
  <w15:chartTrackingRefBased/>
  <w15:docId w15:val="{12B75DCB-1AE6-437E-B78D-A2BE8F89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5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0054"/>
    <w:pPr>
      <w:spacing w:before="75" w:after="75"/>
      <w:ind w:firstLine="375"/>
      <w:jc w:val="both"/>
    </w:pPr>
  </w:style>
  <w:style w:type="paragraph" w:customStyle="1" w:styleId="naislab">
    <w:name w:val="naislab"/>
    <w:basedOn w:val="Normal"/>
    <w:uiPriority w:val="99"/>
    <w:rsid w:val="00770054"/>
    <w:pPr>
      <w:spacing w:before="75" w:after="75"/>
      <w:jc w:val="right"/>
    </w:pPr>
  </w:style>
  <w:style w:type="paragraph" w:customStyle="1" w:styleId="naiskr">
    <w:name w:val="naiskr"/>
    <w:basedOn w:val="Normal"/>
    <w:rsid w:val="00770054"/>
    <w:pPr>
      <w:spacing w:before="75" w:after="75"/>
    </w:pPr>
  </w:style>
  <w:style w:type="paragraph" w:customStyle="1" w:styleId="naisc">
    <w:name w:val="naisc"/>
    <w:basedOn w:val="Normal"/>
    <w:rsid w:val="00770054"/>
    <w:pPr>
      <w:spacing w:before="75" w:after="75"/>
      <w:jc w:val="center"/>
    </w:pPr>
  </w:style>
  <w:style w:type="paragraph" w:styleId="Header">
    <w:name w:val="header"/>
    <w:basedOn w:val="Normal"/>
    <w:link w:val="HeaderChar"/>
    <w:uiPriority w:val="99"/>
    <w:rsid w:val="00770054"/>
    <w:pPr>
      <w:tabs>
        <w:tab w:val="center" w:pos="4153"/>
        <w:tab w:val="right" w:pos="8306"/>
      </w:tabs>
    </w:pPr>
  </w:style>
  <w:style w:type="character" w:customStyle="1" w:styleId="HeaderChar">
    <w:name w:val="Header Char"/>
    <w:basedOn w:val="DefaultParagraphFont"/>
    <w:link w:val="Header"/>
    <w:uiPriority w:val="99"/>
    <w:rsid w:val="00770054"/>
    <w:rPr>
      <w:rFonts w:ascii="Times New Roman" w:eastAsia="Times New Roman" w:hAnsi="Times New Roman" w:cs="Times New Roman"/>
      <w:sz w:val="24"/>
      <w:szCs w:val="24"/>
      <w:lang w:val="lv-LV" w:eastAsia="lv-LV"/>
    </w:rPr>
  </w:style>
  <w:style w:type="character" w:styleId="PageNumber">
    <w:name w:val="page number"/>
    <w:uiPriority w:val="99"/>
    <w:rsid w:val="00770054"/>
    <w:rPr>
      <w:rFonts w:cs="Times New Roman"/>
    </w:rPr>
  </w:style>
  <w:style w:type="paragraph" w:styleId="Footer">
    <w:name w:val="footer"/>
    <w:basedOn w:val="Normal"/>
    <w:link w:val="FooterChar"/>
    <w:uiPriority w:val="99"/>
    <w:rsid w:val="00770054"/>
    <w:pPr>
      <w:tabs>
        <w:tab w:val="center" w:pos="4153"/>
        <w:tab w:val="right" w:pos="8306"/>
      </w:tabs>
    </w:pPr>
  </w:style>
  <w:style w:type="character" w:customStyle="1" w:styleId="FooterChar">
    <w:name w:val="Footer Char"/>
    <w:basedOn w:val="DefaultParagraphFont"/>
    <w:link w:val="Footer"/>
    <w:uiPriority w:val="99"/>
    <w:rsid w:val="00770054"/>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582B2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2584">
      <w:bodyDiv w:val="1"/>
      <w:marLeft w:val="0"/>
      <w:marRight w:val="0"/>
      <w:marTop w:val="0"/>
      <w:marBottom w:val="0"/>
      <w:divBdr>
        <w:top w:val="none" w:sz="0" w:space="0" w:color="auto"/>
        <w:left w:val="none" w:sz="0" w:space="0" w:color="auto"/>
        <w:bottom w:val="none" w:sz="0" w:space="0" w:color="auto"/>
        <w:right w:val="none" w:sz="0" w:space="0" w:color="auto"/>
      </w:divBdr>
    </w:div>
    <w:div w:id="622730916">
      <w:bodyDiv w:val="1"/>
      <w:marLeft w:val="0"/>
      <w:marRight w:val="0"/>
      <w:marTop w:val="0"/>
      <w:marBottom w:val="0"/>
      <w:divBdr>
        <w:top w:val="none" w:sz="0" w:space="0" w:color="auto"/>
        <w:left w:val="none" w:sz="0" w:space="0" w:color="auto"/>
        <w:bottom w:val="none" w:sz="0" w:space="0" w:color="auto"/>
        <w:right w:val="none" w:sz="0" w:space="0" w:color="auto"/>
      </w:divBdr>
    </w:div>
    <w:div w:id="1381251669">
      <w:bodyDiv w:val="1"/>
      <w:marLeft w:val="0"/>
      <w:marRight w:val="0"/>
      <w:marTop w:val="0"/>
      <w:marBottom w:val="0"/>
      <w:divBdr>
        <w:top w:val="none" w:sz="0" w:space="0" w:color="auto"/>
        <w:left w:val="none" w:sz="0" w:space="0" w:color="auto"/>
        <w:bottom w:val="none" w:sz="0" w:space="0" w:color="auto"/>
        <w:right w:val="none" w:sz="0" w:space="0" w:color="auto"/>
      </w:divBdr>
    </w:div>
    <w:div w:id="1929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3989</Words>
  <Characters>2274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Sproģe</dc:creator>
  <cp:keywords/>
  <dc:description/>
  <cp:lastModifiedBy>Rolands Vītiņš</cp:lastModifiedBy>
  <cp:revision>5</cp:revision>
  <dcterms:created xsi:type="dcterms:W3CDTF">2019-06-04T11:58:00Z</dcterms:created>
  <dcterms:modified xsi:type="dcterms:W3CDTF">2019-06-06T10:10:00Z</dcterms:modified>
</cp:coreProperties>
</file>