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937771" w14:textId="5A401166" w:rsidR="00C630D2" w:rsidRPr="00842135" w:rsidRDefault="005F527F" w:rsidP="00C6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13DD71434E5F458EAC25B5E42676CD18"/>
          </w:placeholder>
        </w:sdtPr>
        <w:sdtEndPr/>
        <w:sdtContent>
          <w:r w:rsidR="00C630D2" w:rsidRPr="008421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 “</w:t>
          </w:r>
          <w:r w:rsidR="00C630D2" w:rsidRPr="00F2715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Grozījumi Ministru kabineta 2008.</w:t>
          </w:r>
          <w:r w:rsidR="00312E35">
            <w:t> </w:t>
          </w:r>
          <w:r w:rsidR="00C630D2" w:rsidRPr="00F2715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gada 26.</w:t>
          </w:r>
          <w:r w:rsidR="00312E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 </w:t>
          </w:r>
          <w:r w:rsidR="00C630D2" w:rsidRPr="00F27156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februāra noteikumos Nr. 126 “Eiropas Ekonomikas zonas finanšu instrumenta un Norvēģijas valdības divpusējā finanšu instrumenta īstenošanas, uzraudzības, novērtēšanas un auditu veikšanas kārtība”</w:t>
          </w:r>
          <w:r w:rsidR="00C630D2" w:rsidRPr="008421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”</w:t>
          </w:r>
          <w:r w:rsidR="00C630D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r w:rsidR="00312E35" w:rsidRPr="008421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projekta</w:t>
          </w:r>
          <w:r w:rsidR="00312E35" w:rsidRPr="00312E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r w:rsidR="00312E35" w:rsidRPr="0084213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sākotnējās ietekmes novērtējuma ziņojums (anotācija)</w:t>
          </w:r>
        </w:sdtContent>
      </w:sdt>
      <w:r w:rsidR="00C630D2" w:rsidRPr="0084213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</w:p>
    <w:p w14:paraId="0159FC8D" w14:textId="77777777" w:rsidR="00C630D2" w:rsidRPr="00842135" w:rsidRDefault="00C630D2" w:rsidP="00C6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630D2" w:rsidRPr="00842135" w14:paraId="7E88659A" w14:textId="77777777" w:rsidTr="009846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602C" w14:textId="77777777" w:rsidR="00C630D2" w:rsidRPr="00842135" w:rsidRDefault="00C630D2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630D2" w:rsidRPr="00842135" w14:paraId="3A2EF8A5" w14:textId="77777777" w:rsidTr="00984625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C6CC" w14:textId="77777777" w:rsidR="00C630D2" w:rsidRDefault="00C630D2" w:rsidP="0058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  <w:p w14:paraId="390D51B5" w14:textId="77777777" w:rsidR="00C630D2" w:rsidRDefault="00C630D2" w:rsidP="00984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045F2D" w14:textId="77777777" w:rsidR="00C630D2" w:rsidRPr="00FE3421" w:rsidRDefault="00C630D2" w:rsidP="009846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13B1" w14:textId="734F613B" w:rsidR="00C630D2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paredz vienkāršot</w:t>
            </w:r>
            <w:r>
              <w:t xml:space="preserve"> </w:t>
            </w:r>
            <w:r w:rsidRPr="00312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ins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trumentu 2004.</w:t>
            </w:r>
            <w:r w:rsidR="00312E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12E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</w:t>
            </w:r>
            <w:r w:rsidR="00312E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perioda</w:t>
            </w: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pēcuzraudzības nosacījumu</w:t>
            </w:r>
            <w:r w:rsidR="00530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300AF" w:rsidRPr="00FC0A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izpildes kontroli</w:t>
            </w:r>
            <w:r w:rsidRPr="00FC0A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svītrojot aģentūras ikgadējās pēcuzraudzības nosacīju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 izpildes kontroles funkcijas un</w:t>
            </w: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atstājot minētās funkcijas 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tarpniekinstitūciju atbildībā, nosakot pienākumu </w:t>
            </w: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starpniekinstitūcijām </w:t>
            </w:r>
            <w:r w:rsidR="008C7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informēt vadošo iestādi par </w:t>
            </w:r>
            <w:r w:rsidR="008C7497" w:rsidRPr="008C7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pēcuzraudzības nosacījumu izpildes kontroles rezultātā konstatētu neatbilstību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E345F0A" w14:textId="4A713C89" w:rsidR="00C630D2" w:rsidRPr="00842135" w:rsidRDefault="00C630D2" w:rsidP="0002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7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Tiesību akts stāsies spēkā 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vispārējā kārtībā.</w:t>
            </w:r>
          </w:p>
        </w:tc>
      </w:tr>
    </w:tbl>
    <w:p w14:paraId="3705AF14" w14:textId="77777777" w:rsidR="00C630D2" w:rsidRPr="00DC57B9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630D2" w:rsidRPr="00C008B8" w14:paraId="3F6D4818" w14:textId="77777777" w:rsidTr="0098462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63A3" w14:textId="77777777" w:rsidR="00C630D2" w:rsidRPr="00C008B8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008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630D2" w:rsidRPr="00842135" w14:paraId="76BC8CCB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39F80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E917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C6EF" w14:textId="77777777" w:rsidR="00C630D2" w:rsidRPr="00E3385D" w:rsidRDefault="00C630D2" w:rsidP="00984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Eiropas Ekonomikas zonas finanšu instrumenta un </w:t>
            </w:r>
          </w:p>
          <w:p w14:paraId="70B8A5C6" w14:textId="77777777" w:rsidR="00C630D2" w:rsidRPr="00D71622" w:rsidRDefault="00C630D2" w:rsidP="00DC57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Norvēģijas valdības divpusējā finanšu instrumenta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vadības likuma 18.</w:t>
            </w:r>
            <w:r w:rsidR="00312E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panta 1.</w:t>
            </w:r>
            <w:r w:rsidR="00312E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</w:tr>
      <w:tr w:rsidR="00C630D2" w:rsidRPr="00842135" w14:paraId="070A2918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4F4B" w14:textId="77777777" w:rsidR="00C630D2" w:rsidRPr="00DA100F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BA5A" w14:textId="6E0A10B3" w:rsidR="007E5CE6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3223F66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A63632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AC9D6D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05E1B1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DA406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9FCEF6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7A0FC1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E6CCF0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82DB2C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3C5F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0DE080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2FF5C" w14:textId="77777777" w:rsidR="007E5CE6" w:rsidRPr="007E5CE6" w:rsidRDefault="007E5CE6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2F9D9D" w14:textId="696A32FD" w:rsidR="00C630D2" w:rsidRPr="007E5CE6" w:rsidRDefault="00C630D2" w:rsidP="007E5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DAD3" w14:textId="5EC7AB8A" w:rsidR="00C630D2" w:rsidRPr="002631C0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Spēkā esošais 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Ministr</w:t>
            </w:r>
            <w:r w:rsidR="00D86C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 xml:space="preserve"> kabineta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februāra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Nr. 126 “Eiropas Ekonomikas zonas finanšu instrumenta un Norvēģijas valdības divpusējā finanšu instrumenta īstenošanas, uzraudzības, novērtēšanas un auditu veikšanas kārtība”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Nr.126)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regulējums paredz sekojošu Eiropas Ekonomikas zonas finanšu instrumenta un Norvēģijas valdības divpusējā finanšu instrumenta </w:t>
            </w:r>
            <w:r w:rsidR="006857B8" w:rsidRPr="00FC0A46">
              <w:rPr>
                <w:rFonts w:ascii="Times New Roman" w:hAnsi="Times New Roman" w:cs="Times New Roman"/>
                <w:sz w:val="24"/>
                <w:szCs w:val="24"/>
              </w:rPr>
              <w:t>2004. -</w:t>
            </w:r>
            <w:r w:rsidR="00C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B8" w:rsidRPr="00FC0A46">
              <w:rPr>
                <w:rFonts w:ascii="Times New Roman" w:hAnsi="Times New Roman" w:cs="Times New Roman"/>
                <w:sz w:val="24"/>
                <w:szCs w:val="24"/>
              </w:rPr>
              <w:t>2009. gada perioda</w:t>
            </w:r>
            <w:r w:rsidR="006857B8" w:rsidRPr="0068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– finanšu instrumenti)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pēcuzraudzības nosacījumu izpildes nodrošināšanu un uzraudzību pēc individuālā projekta, programmas vai </w:t>
            </w:r>
            <w:proofErr w:type="spellStart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shēmas noslēguma pārskata apstiprināšanas:</w:t>
            </w:r>
          </w:p>
          <w:p w14:paraId="2564991C" w14:textId="06709D04" w:rsidR="00C630D2" w:rsidRPr="002631C0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1. Individuālā projekta līdzfinansējuma saņēmējs vai apsaimniekotājs ir atbildīgs par noteikto pēcuzraudzības nosacījumu ievērošanu un īstenošanu atbilstoši sadarbības līguma par</w:t>
            </w:r>
            <w:r w:rsidR="00855BDF">
              <w:t xml:space="preserve"> </w:t>
            </w:r>
            <w:r w:rsidR="00855BDF" w:rsidRPr="00FC0A46">
              <w:rPr>
                <w:rFonts w:ascii="Times New Roman" w:hAnsi="Times New Roman" w:cs="Times New Roman"/>
                <w:sz w:val="24"/>
                <w:szCs w:val="24"/>
              </w:rPr>
              <w:t>individuālā projekta,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programmas vai </w:t>
            </w:r>
            <w:proofErr w:type="spellStart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27">
              <w:rPr>
                <w:rFonts w:ascii="Times New Roman" w:hAnsi="Times New Roman" w:cs="Times New Roman"/>
                <w:sz w:val="24"/>
                <w:szCs w:val="24"/>
              </w:rPr>
              <w:t>shēmas īstenošanu nosacījumiem.</w:t>
            </w:r>
          </w:p>
          <w:p w14:paraId="1F529374" w14:textId="170DCE29" w:rsidR="00C630D2" w:rsidRPr="002631C0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Starpniekinstitūcija ir atbildīga par pēcuzraudzības nosacījumu izpildes kontroli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izskatot tās noteiktajos termiņos vai pēc pieprasījuma saņemto informāciju/apliecinājumu no </w:t>
            </w:r>
            <w:r w:rsidR="0078658C" w:rsidRPr="00FC0A46">
              <w:rPr>
                <w:rFonts w:ascii="Times New Roman" w:hAnsi="Times New Roman" w:cs="Times New Roman"/>
                <w:sz w:val="24"/>
                <w:szCs w:val="24"/>
              </w:rPr>
              <w:t>individuālā projekta</w:t>
            </w:r>
            <w:r w:rsidR="0078658C" w:rsidRPr="0078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līdzfinansējuma saņēmēja vai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apsaimniekotāja par nosacījumu izpildi, iesniedzot </w:t>
            </w:r>
            <w:r w:rsidR="0078658C" w:rsidRPr="00FC0A46">
              <w:rPr>
                <w:rFonts w:ascii="Times New Roman" w:hAnsi="Times New Roman" w:cs="Times New Roman"/>
                <w:sz w:val="24"/>
                <w:szCs w:val="24"/>
              </w:rPr>
              <w:t xml:space="preserve">Centrālā finanšu un līgumu </w:t>
            </w:r>
            <w:r w:rsidRPr="00FC0A46">
              <w:rPr>
                <w:rFonts w:ascii="Times New Roman" w:hAnsi="Times New Roman" w:cs="Times New Roman"/>
                <w:sz w:val="24"/>
                <w:szCs w:val="24"/>
              </w:rPr>
              <w:t>aģentūrā</w:t>
            </w:r>
            <w:r w:rsidR="0078658C" w:rsidRPr="00FC0A46">
              <w:rPr>
                <w:rFonts w:ascii="Times New Roman" w:hAnsi="Times New Roman" w:cs="Times New Roman"/>
                <w:sz w:val="24"/>
                <w:szCs w:val="24"/>
              </w:rPr>
              <w:t xml:space="preserve"> (turpmāk – aģentūra)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ikgadēju pārskatu. </w:t>
            </w:r>
          </w:p>
          <w:p w14:paraId="3DEF792C" w14:textId="3E5899CE" w:rsidR="00C630D2" w:rsidRPr="002631C0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65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35EC">
              <w:rPr>
                <w:rFonts w:ascii="Times New Roman" w:hAnsi="Times New Roman" w:cs="Times New Roman"/>
                <w:sz w:val="24"/>
                <w:szCs w:val="24"/>
              </w:rPr>
              <w:t xml:space="preserve">ģentūra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veic pēcuzraudzības nosacījumu izpildes kontroli reizi gadā saskaņā ar </w:t>
            </w:r>
            <w:proofErr w:type="spellStart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līgumā noteiktajiem termiņiem, izskatot no starpniekinstitūcijas saņemto pārskatu un apliecinājumu par kontroles rezultātiem nosūta vadošai iestādei. </w:t>
            </w:r>
          </w:p>
          <w:p w14:paraId="27085105" w14:textId="77777777" w:rsidR="00C630D2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Ņemot vērā to, ka gala atbalsta saņēmēji individuālajos projektos, programmās vai </w:t>
            </w:r>
            <w:proofErr w:type="spellStart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shēmās ir citas institūcijas, tad jau šobrīd starpniekinstitūcija nodrošina zemāka līmeņa projektu pēcuzraudzības nosacījumu izpildes kontroli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903F6" w14:textId="49484C9D" w:rsidR="00C630D2" w:rsidRPr="002631C0" w:rsidRDefault="00C630D2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Finanšu instrumentu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ietvaros 2019.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gada jūnijā pēcuzraudzības pasākumi lielākai daļai projektu ir noslēgu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ies, savukārt 19 projektiem jāturpina līdz 2022.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gadam (ieskaitot)</w:t>
            </w:r>
            <w:r w:rsidR="0078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5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ēl trīs projektiem, ņemot vērā to, ka tajos nav specifisko pēc</w:t>
            </w:r>
            <w:r w:rsidR="0085275D">
              <w:rPr>
                <w:rFonts w:ascii="Times New Roman" w:hAnsi="Times New Roman" w:cs="Times New Roman"/>
                <w:sz w:val="24"/>
                <w:szCs w:val="24"/>
              </w:rPr>
              <w:t>uzraudzības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nosacījumu, jānodrošina vien ar projektu ieviešan</w:t>
            </w:r>
            <w:r w:rsidR="007865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saistītās dokumentācijas uzglabāšana (projektu s</w:t>
            </w:r>
            <w:r w:rsidR="0085275D">
              <w:rPr>
                <w:rFonts w:ascii="Times New Roman" w:hAnsi="Times New Roman" w:cs="Times New Roman"/>
                <w:sz w:val="24"/>
                <w:szCs w:val="24"/>
              </w:rPr>
              <w:t>araksts un apkopojums par pēc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uzraudzības pasākumiem pievienots pielikumā). Pēcuzraudzības </w:t>
            </w:r>
            <w:r w:rsidR="0078658C" w:rsidRPr="00FC0A46">
              <w:rPr>
                <w:rFonts w:ascii="Times New Roman" w:hAnsi="Times New Roman" w:cs="Times New Roman"/>
                <w:sz w:val="24"/>
                <w:szCs w:val="24"/>
              </w:rPr>
              <w:t>nosacījumu izpildes kontroli</w:t>
            </w:r>
            <w:r w:rsidR="0078658C" w:rsidRPr="0078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aģentūra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uzsāka 2012.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gadā, kopumā 75 projektiem. Atsevišķos </w:t>
            </w:r>
            <w:r w:rsidR="0078658C" w:rsidRPr="00FC0A46">
              <w:rPr>
                <w:rFonts w:ascii="Times New Roman" w:hAnsi="Times New Roman" w:cs="Times New Roman"/>
                <w:sz w:val="24"/>
                <w:szCs w:val="24"/>
              </w:rPr>
              <w:t>starpniekinstitūciju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iesniegtajos pārskatos bija konstatētas nebūtiskas vai tehniska rakstura kļūdas, nebija pilnīgi aizpildīti pārskati vai kavēti pārskatu iesniegšanas termiņi, kas vērtējami kā maznozīmīgi  un novēršami trūkumi. Pēc komunikācijas ar </w:t>
            </w:r>
            <w:r w:rsidR="00E57260" w:rsidRPr="00FC0A46">
              <w:rPr>
                <w:rFonts w:ascii="Times New Roman" w:hAnsi="Times New Roman" w:cs="Times New Roman"/>
                <w:sz w:val="24"/>
                <w:szCs w:val="24"/>
              </w:rPr>
              <w:t>starpniekinstitūcijām</w:t>
            </w:r>
            <w:r w:rsidR="00E57260" w:rsidRPr="00E5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trūkstošā informācija tika iesniegta un kļūdas aprēķinos novērstas. Kopumā vērtējot septiņu gadu ilgā period</w:t>
            </w:r>
            <w:r w:rsidR="0085275D">
              <w:rPr>
                <w:rFonts w:ascii="Times New Roman" w:hAnsi="Times New Roman" w:cs="Times New Roman"/>
                <w:sz w:val="24"/>
                <w:szCs w:val="24"/>
              </w:rPr>
              <w:t>ā saņemto informāciju par pēc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uzraudzības nosacījumu ievērošanu,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aģentūra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 nav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onstatējusi riskus pēc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uzraudzības nosacījumu ievērošanā un secina, ka tā tiek nodrošināta atb</w:t>
            </w:r>
            <w:r w:rsidR="0085275D">
              <w:rPr>
                <w:rFonts w:ascii="Times New Roman" w:hAnsi="Times New Roman" w:cs="Times New Roman"/>
                <w:sz w:val="24"/>
                <w:szCs w:val="24"/>
              </w:rPr>
              <w:t>ilstoši prasībām un pēc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uzraudzības pasākumu procesa riska līmenis ir zems. Aģentūras līdz šim veiktās pēcuzraudzības nosacījumu izpildes kontroles norāda uz zemiem riskiem šo nosacījumu neizpildei, kā arī līdz šim aģentūra ir </w:t>
            </w:r>
            <w:r w:rsidR="00312E35">
              <w:rPr>
                <w:rFonts w:ascii="Times New Roman" w:hAnsi="Times New Roman" w:cs="Times New Roman"/>
                <w:sz w:val="24"/>
                <w:szCs w:val="24"/>
              </w:rPr>
              <w:t xml:space="preserve">vadošajai iestādei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ziņojusi tikai par atsevišķiem iespējamiem riskiem pēcuzraudzības nosacījumu izpildē. </w:t>
            </w:r>
          </w:p>
          <w:p w14:paraId="2BB9B15C" w14:textId="2EF477CD" w:rsidR="00C630D2" w:rsidRDefault="00C630D2" w:rsidP="00483D46">
            <w:pPr>
              <w:pStyle w:val="ListParagraph"/>
              <w:shd w:val="clear" w:color="auto" w:fill="FFFFFF"/>
              <w:spacing w:after="0" w:line="240" w:lineRule="auto"/>
              <w:ind w:left="24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 xml:space="preserve">Līdz ar to, lai samazinātu administratīvo slogu visām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pēcuzraudzībā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iesaistītajām pusē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m, balstoties 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>uzraudzībā</w:t>
            </w:r>
            <w:proofErr w:type="spellEnd"/>
            <w:r w:rsidRPr="00967C28">
              <w:rPr>
                <w:rFonts w:ascii="Times New Roman" w:hAnsi="Times New Roman" w:cs="Times New Roman"/>
                <w:sz w:val="24"/>
                <w:szCs w:val="24"/>
              </w:rPr>
              <w:t xml:space="preserve"> samazināto riska līmeni,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būtu lietderīgi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 xml:space="preserve"> pēcuzraudzības nosacījumu izpil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 kontroles funkcijas novirzīt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 xml:space="preserve"> starpniekinstitūciju 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atbildībā, neradot papildus kontroles līme</w:t>
            </w:r>
            <w:r w:rsidR="00AB6D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aģentūrā</w:t>
            </w:r>
            <w:r w:rsidR="00D536C8">
              <w:rPr>
                <w:rFonts w:ascii="Times New Roman" w:hAnsi="Times New Roman" w:cs="Times New Roman"/>
                <w:sz w:val="24"/>
                <w:szCs w:val="24"/>
              </w:rPr>
              <w:t>. Vienlaikus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 xml:space="preserve"> paredzot, ka turpmāk starpniekinstitūcijas informē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ošo iestādi </w:t>
            </w:r>
            <w:r w:rsidR="00A268C3">
              <w:rPr>
                <w:rFonts w:ascii="Times New Roman" w:hAnsi="Times New Roman" w:cs="Times New Roman"/>
                <w:sz w:val="24"/>
                <w:szCs w:val="24"/>
              </w:rPr>
              <w:t xml:space="preserve">tikai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gadījumos, ja pēc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>uzraudzības periodā projektos konstatē</w:t>
            </w:r>
            <w:r w:rsidR="007810BC">
              <w:rPr>
                <w:rFonts w:ascii="Times New Roman" w:hAnsi="Times New Roman" w:cs="Times New Roman"/>
                <w:sz w:val="24"/>
                <w:szCs w:val="24"/>
              </w:rPr>
              <w:t xml:space="preserve"> neatbilstības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 xml:space="preserve">. Gadījumā, ja starpniekinstitūcija </w:t>
            </w:r>
            <w:r w:rsidR="00AE4836" w:rsidRPr="00AE4836">
              <w:rPr>
                <w:rFonts w:ascii="Times New Roman" w:hAnsi="Times New Roman" w:cs="Times New Roman"/>
                <w:sz w:val="24"/>
                <w:szCs w:val="24"/>
              </w:rPr>
              <w:t xml:space="preserve">projekta  pēcuzraudzības periodā 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konstatēs neatbilstību</w:t>
            </w:r>
            <w:r w:rsidR="00AE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 xml:space="preserve"> tā atbilstoši 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  <w:r w:rsidR="00F5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 w:rsidR="00F5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februār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os Nr.132 “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Kārtība, kādā sniedzami ziņojumi par Eiropas Ekonomikas zonas finanšu instrumenta un Norvēģijas valdības divpusējā finanšu instrumenta vadībā konstatētajām neatbilstībām un atgūstami neatbilstoši veiktie izdevumi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 xml:space="preserve">” noteiktai kārtībai sagatavos 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>tūlītēj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 xml:space="preserve"> ziņojum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3D46" w:rsidRPr="00483D46">
              <w:rPr>
                <w:rFonts w:ascii="Times New Roman" w:hAnsi="Times New Roman" w:cs="Times New Roman"/>
                <w:sz w:val="24"/>
                <w:szCs w:val="24"/>
              </w:rPr>
              <w:t xml:space="preserve"> par neatbilstībām </w:t>
            </w:r>
            <w:r w:rsidR="00483D46">
              <w:rPr>
                <w:rFonts w:ascii="Times New Roman" w:hAnsi="Times New Roman" w:cs="Times New Roman"/>
                <w:sz w:val="24"/>
                <w:szCs w:val="24"/>
              </w:rPr>
              <w:t>un iesniegs to vadošajā iestādē</w:t>
            </w:r>
            <w:r w:rsidRPr="0096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5EAB8" w14:textId="70017055" w:rsidR="00C630D2" w:rsidRDefault="00AB6D67" w:rsidP="00984625">
            <w:pPr>
              <w:pStyle w:val="ListParagraph"/>
              <w:shd w:val="clear" w:color="auto" w:fill="FFFFFF"/>
              <w:spacing w:after="0" w:line="240" w:lineRule="auto"/>
              <w:ind w:left="249" w:righ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minēto,</w:t>
            </w:r>
            <w:r w:rsidR="00C630D2">
              <w:rPr>
                <w:rFonts w:ascii="Times New Roman" w:hAnsi="Times New Roman" w:cs="Times New Roman"/>
                <w:sz w:val="24"/>
                <w:szCs w:val="24"/>
              </w:rPr>
              <w:t xml:space="preserve"> MK noteikumu projekts paredz:</w:t>
            </w:r>
          </w:p>
          <w:p w14:paraId="629A5594" w14:textId="77777777" w:rsidR="00C630D2" w:rsidRDefault="00C630D2" w:rsidP="00C630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svītrot aģentūras </w:t>
            </w:r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ikgadējās pēcuzraudzības nosacījumu izpildes kontroles funkcijas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aģentūras pienākumu izstrādāt </w:t>
            </w:r>
            <w:r w:rsidRPr="00897252">
              <w:rPr>
                <w:rFonts w:ascii="Times New Roman" w:hAnsi="Times New Roman" w:cs="Times New Roman"/>
                <w:sz w:val="24"/>
                <w:szCs w:val="24"/>
              </w:rPr>
              <w:t xml:space="preserve">kārtību par individuālo projektu, programmu un </w:t>
            </w:r>
            <w:proofErr w:type="spellStart"/>
            <w:r w:rsidRPr="00897252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Pr="00897252">
              <w:rPr>
                <w:rFonts w:ascii="Times New Roman" w:hAnsi="Times New Roman" w:cs="Times New Roman"/>
                <w:sz w:val="24"/>
                <w:szCs w:val="24"/>
              </w:rPr>
              <w:t xml:space="preserve"> shēmu uzraudzību pēc projekta pabeigšanas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20C92" w14:textId="77777777" w:rsidR="00C630D2" w:rsidRDefault="00C630D2" w:rsidP="00C630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0">
              <w:rPr>
                <w:rFonts w:ascii="Times New Roman" w:hAnsi="Times New Roman" w:cs="Times New Roman"/>
                <w:sz w:val="24"/>
                <w:szCs w:val="24"/>
              </w:rPr>
              <w:t>svītrot starpniekinstitūciju pienākumu iesniegt aģentūrā pēcuzraudzības pārska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tus;</w:t>
            </w:r>
          </w:p>
          <w:p w14:paraId="734548A3" w14:textId="29D799C4" w:rsidR="00C630D2" w:rsidRPr="00064319" w:rsidRDefault="00C630D2" w:rsidP="00F524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noteikt pienākumu   starpniekinstitūcijām </w:t>
            </w:r>
            <w:r w:rsidR="00D86B4D"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ziņot </w:t>
            </w:r>
            <w:r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 vadošajā iestādē tikai tajā gadījumā, ja </w:t>
            </w:r>
            <w:r w:rsidR="00F52493" w:rsidRPr="00064319">
              <w:rPr>
                <w:rFonts w:ascii="Times New Roman" w:hAnsi="Times New Roman" w:cs="Times New Roman"/>
                <w:sz w:val="24"/>
                <w:szCs w:val="24"/>
              </w:rPr>
              <w:t>uz starpniekinstitūcijas veiktu risku izvērtējumu balstītajās</w:t>
            </w:r>
            <w:r w:rsidR="00F52493" w:rsidRPr="00064319" w:rsidDel="00F5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pārbaudēs </w:t>
            </w:r>
            <w:r w:rsidR="00F52493"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Pr="00064319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 w:rsidR="00DB6933" w:rsidRPr="00064319">
              <w:rPr>
                <w:rFonts w:ascii="Times New Roman" w:hAnsi="Times New Roman" w:cs="Times New Roman"/>
                <w:sz w:val="24"/>
                <w:szCs w:val="24"/>
              </w:rPr>
              <w:t xml:space="preserve"> neatbilstības</w:t>
            </w:r>
            <w:r w:rsidR="0010243C" w:rsidRPr="00064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3915E7" w14:textId="6CC25701" w:rsidR="00F562C7" w:rsidRPr="00CA687E" w:rsidRDefault="00F562C7" w:rsidP="000D038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 redakcionālu precizējumu MK noteikumu Nr. 126</w:t>
            </w:r>
            <w:r w:rsidR="0095766C">
              <w:rPr>
                <w:rFonts w:ascii="Times New Roman" w:hAnsi="Times New Roman" w:cs="Times New Roman"/>
                <w:sz w:val="24"/>
                <w:szCs w:val="24"/>
              </w:rPr>
              <w:t> 105.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punktā, nodrošinot to skaidru </w:t>
            </w:r>
            <w:r w:rsidRPr="00FE61EF">
              <w:rPr>
                <w:rFonts w:ascii="Times New Roman" w:hAnsi="Times New Roman" w:cs="Times New Roman"/>
                <w:sz w:val="24"/>
                <w:szCs w:val="24"/>
              </w:rPr>
              <w:t xml:space="preserve">un nepārprotamu uztveri, </w:t>
            </w:r>
            <w:r w:rsidRPr="00EF05EE">
              <w:rPr>
                <w:rFonts w:ascii="Times New Roman" w:hAnsi="Times New Roman" w:cs="Times New Roman"/>
                <w:sz w:val="24"/>
                <w:szCs w:val="24"/>
              </w:rPr>
              <w:t>sadalot informāciju, kas attiecināma uz izlases</w:t>
            </w:r>
            <w:r w:rsidRPr="00F562C7">
              <w:rPr>
                <w:rFonts w:ascii="Times New Roman" w:hAnsi="Times New Roman" w:cs="Times New Roman"/>
                <w:sz w:val="24"/>
                <w:szCs w:val="24"/>
              </w:rPr>
              <w:t xml:space="preserve"> veida pārbaud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62C7">
              <w:rPr>
                <w:rFonts w:ascii="Times New Roman" w:hAnsi="Times New Roman" w:cs="Times New Roman"/>
                <w:sz w:val="24"/>
                <w:szCs w:val="24"/>
              </w:rPr>
              <w:t xml:space="preserve"> projekta īstenošanas vietā</w:t>
            </w:r>
            <w:r w:rsidR="005870F4">
              <w:rPr>
                <w:rFonts w:ascii="Times New Roman" w:hAnsi="Times New Roman" w:cs="Times New Roman"/>
                <w:sz w:val="24"/>
                <w:szCs w:val="24"/>
              </w:rPr>
              <w:t>, kura veicama līdz projekta pab</w:t>
            </w:r>
            <w:r w:rsidR="009F17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870F4">
              <w:rPr>
                <w:rFonts w:ascii="Times New Roman" w:hAnsi="Times New Roman" w:cs="Times New Roman"/>
                <w:sz w:val="24"/>
                <w:szCs w:val="24"/>
              </w:rPr>
              <w:t xml:space="preserve">igšanai </w:t>
            </w:r>
            <w:r w:rsidR="00EF0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0BE">
              <w:rPr>
                <w:rFonts w:ascii="Times New Roman" w:hAnsi="Times New Roman" w:cs="Times New Roman"/>
                <w:sz w:val="24"/>
                <w:szCs w:val="24"/>
              </w:rPr>
              <w:t>MK noteikumu projekta</w:t>
            </w:r>
            <w:r w:rsidR="005130BE" w:rsidRPr="0051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EE">
              <w:rPr>
                <w:rFonts w:ascii="Times New Roman" w:hAnsi="Times New Roman" w:cs="Times New Roman"/>
                <w:sz w:val="24"/>
                <w:szCs w:val="24"/>
              </w:rPr>
              <w:t>1.punkt</w:t>
            </w:r>
            <w:r w:rsidR="00102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05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informāciju par </w:t>
            </w:r>
            <w:r w:rsidRPr="00F562C7">
              <w:rPr>
                <w:rFonts w:ascii="Times New Roman" w:hAnsi="Times New Roman" w:cs="Times New Roman"/>
                <w:sz w:val="24"/>
                <w:szCs w:val="24"/>
              </w:rPr>
              <w:t xml:space="preserve">individuālā projekta, </w:t>
            </w:r>
            <w:proofErr w:type="spellStart"/>
            <w:r w:rsidRPr="00F562C7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Pr="00F562C7">
              <w:rPr>
                <w:rFonts w:ascii="Times New Roman" w:hAnsi="Times New Roman" w:cs="Times New Roman"/>
                <w:sz w:val="24"/>
                <w:szCs w:val="24"/>
              </w:rPr>
              <w:t xml:space="preserve"> shēmas vai programmas specifisko vai vispārīgo nosacījumu un to saistību izpildes 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62C7">
              <w:rPr>
                <w:rFonts w:ascii="Times New Roman" w:hAnsi="Times New Roman" w:cs="Times New Roman"/>
                <w:sz w:val="24"/>
                <w:szCs w:val="24"/>
              </w:rPr>
              <w:t>, kuras jāievēro pēc projekta pabeigšanas</w:t>
            </w:r>
            <w:r w:rsidR="00EF0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30BE">
              <w:rPr>
                <w:rFonts w:ascii="Times New Roman" w:hAnsi="Times New Roman" w:cs="Times New Roman"/>
                <w:sz w:val="24"/>
                <w:szCs w:val="24"/>
              </w:rPr>
              <w:t xml:space="preserve">MK noteikumu projekta </w:t>
            </w:r>
            <w:r w:rsidR="000D0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05EE" w:rsidRPr="00FE61EF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 w:rsidR="00EF05EE" w:rsidRPr="00EF05EE">
              <w:rPr>
                <w:rFonts w:ascii="Times New Roman" w:hAnsi="Times New Roman" w:cs="Times New Roman"/>
                <w:sz w:val="24"/>
                <w:szCs w:val="24"/>
              </w:rPr>
              <w:t>nkt</w:t>
            </w:r>
            <w:r w:rsidR="00102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0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0D2" w:rsidRPr="00842135" w14:paraId="410C49CD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4008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433A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81316415"/>
            <w:placeholder>
              <w:docPart w:val="1C6CBC30CD6F4FDBA1AC8A9CDE21E30C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14:paraId="19DFFD7C" w14:textId="77777777" w:rsidR="00C630D2" w:rsidRPr="00842135" w:rsidRDefault="00C630D2" w:rsidP="0098462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  <w:lang w:eastAsia="lv-LV"/>
                  </w:rPr>
                </w:pPr>
                <w:r w:rsidRPr="004D4E8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Finanšu ministrija, Cent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rālā finanšu un līgumu aģentūra, </w:t>
                </w:r>
                <w:r w:rsidRPr="004D4E8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Valsts kase.</w:t>
                </w:r>
              </w:p>
            </w:tc>
          </w:sdtContent>
        </w:sdt>
      </w:tr>
      <w:tr w:rsidR="00C630D2" w:rsidRPr="00842135" w14:paraId="0A863AA8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0974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61AA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64E9" w14:textId="77777777" w:rsidR="00C630D2" w:rsidRPr="00E3385D" w:rsidRDefault="00C630D2" w:rsidP="0098462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3385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A84E3BF" w14:textId="77777777" w:rsidR="00C630D2" w:rsidRPr="00842135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630D2" w:rsidRPr="00842135" w14:paraId="2C0F727C" w14:textId="77777777" w:rsidTr="0098462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F060" w14:textId="77777777" w:rsidR="00C630D2" w:rsidRPr="00842135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630D2" w:rsidRPr="00842135" w14:paraId="1D9E1E39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7D031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DD24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A7883" w14:textId="49B9252F" w:rsidR="00C630D2" w:rsidRPr="00C20E85" w:rsidRDefault="00C630D2" w:rsidP="00C20E85">
            <w:pPr>
              <w:pStyle w:val="ListParagraph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F1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kā vadošā iestāde,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44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trālā finanšu un līgumu aģentūra kā aģentūra, </w:t>
            </w:r>
            <w:r w:rsidR="00C20E85" w:rsidRPr="00C20E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ministrija, </w:t>
            </w:r>
            <w:r w:rsidR="00C20E85" w:rsidRPr="00C20E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ministrija, </w:t>
            </w:r>
            <w:r w:rsidR="00C20E85" w:rsidRPr="00C20E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ministrija, Labklājības ministrija, Izglītības un zinātnes ministrija, Iekšlietu ministrija, Tieslietu ministrija kā starpniekinstitūcijas.</w:t>
            </w:r>
          </w:p>
        </w:tc>
      </w:tr>
      <w:tr w:rsidR="00C630D2" w:rsidRPr="00842135" w14:paraId="176C92A4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2202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947E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8A9F2" w14:textId="6E605529" w:rsidR="00C630D2" w:rsidRPr="00842135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MK noteikumu projektu paredzēts samazināt administratīvo slogu </w:t>
            </w:r>
            <w:r w:rsidRPr="00A1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aģentūrai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15096">
              <w:rPr>
                <w:rFonts w:ascii="Times New Roman" w:hAnsi="Times New Roman" w:cs="Times New Roman"/>
                <w:sz w:val="24"/>
                <w:szCs w:val="24"/>
              </w:rPr>
              <w:t xml:space="preserve"> svītrojot tās</w:t>
            </w:r>
            <w:r>
              <w:t xml:space="preserve"> </w:t>
            </w:r>
            <w:r w:rsidRPr="00A15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ikgadējās pēcuzraudzības nosacījumu izpildes kontroles funkcijas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tajā skaitā pienākumu iesniegt minēto informāciju vadošajā iestādē, kā arī svītrojot  </w:t>
            </w:r>
            <w:r w:rsidRPr="00D8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starpniekinstitūciju pienākumu iesniegt aģ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entūrā pēcuzraudzības pārskatus, kā arī nosakot, ka </w:t>
            </w:r>
            <w:r w:rsidRPr="00D8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starpniekinst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itūcijām pēcuzraudzības pārskats</w:t>
            </w:r>
            <w:r w:rsidRPr="00D8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jāiesniedz</w:t>
            </w:r>
            <w:r w:rsidRPr="00D8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vadošajā iestādē tikai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tajā </w:t>
            </w:r>
            <w:r w:rsidRPr="00D81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gadījumā, </w:t>
            </w:r>
            <w:r w:rsidRPr="00134E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 ikgadējās pārbaudēs starpniekinstitūcija konstatē nosacījumu pārkāpumus, kuri būtiski ietekmē </w:t>
            </w:r>
            <w:proofErr w:type="spellStart"/>
            <w:r w:rsidRPr="00134E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pēcuzraudzību</w:t>
            </w:r>
            <w:proofErr w:type="spellEnd"/>
            <w:r w:rsidRPr="00134E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par kuru </w:t>
            </w:r>
            <w:r w:rsidR="007720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novēršanu nevar vienoties ar lī</w:t>
            </w:r>
            <w:r w:rsidRPr="00134E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dzfinansējuma saņēmēju.</w:t>
            </w:r>
          </w:p>
        </w:tc>
      </w:tr>
      <w:tr w:rsidR="00C630D2" w:rsidRPr="00842135" w14:paraId="3D380A1A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5C72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14419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6640" w14:textId="77777777" w:rsidR="00C630D2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1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rēķināms pēc formulas:</w:t>
            </w:r>
          </w:p>
          <w:p w14:paraId="39A55FC5" w14:textId="77777777" w:rsidR="00C630D2" w:rsidRPr="00A36BC0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6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 = (f x l) x (n x b), </w:t>
            </w:r>
          </w:p>
          <w:p w14:paraId="1857DD17" w14:textId="77777777" w:rsidR="00C630D2" w:rsidRPr="00A36BC0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6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</w:t>
            </w:r>
          </w:p>
          <w:p w14:paraId="7DC96AA2" w14:textId="77777777" w:rsidR="00C630D2" w:rsidRPr="00625F3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 – informācijas sniegšanas pienākuma radītās izmaksas jeb administratīvās izmaksas;</w:t>
            </w:r>
          </w:p>
          <w:p w14:paraId="330CBA4B" w14:textId="77777777" w:rsidR="00C630D2" w:rsidRPr="00625F3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 – finanšu līdzekļu apjoms, kas nepieciešams, lai nodrošinātu projektā paredzētā informācijas sniegšanas pienākuma izpildi (stundas samaksas likme, ieskaitot virsstundas vai stundas limitu ārējo pakalpojumu sniedzējiem, ja tādi ir);</w:t>
            </w:r>
          </w:p>
          <w:p w14:paraId="0A53A963" w14:textId="77777777" w:rsidR="00C630D2" w:rsidRPr="00625F3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 – laika patēriņš, kas nepieciešams, lai sagatavotu informāciju, kuras sniegšanu paredz projekts;</w:t>
            </w:r>
          </w:p>
          <w:p w14:paraId="46960226" w14:textId="77777777" w:rsidR="00C630D2" w:rsidRPr="00625F3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 – subjektu skaits, uz ko attiecas projektā paredzētās informācijas sniegšanas prasības;</w:t>
            </w:r>
          </w:p>
          <w:p w14:paraId="03DD34B7" w14:textId="77777777" w:rsidR="00C630D2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 – cik bieži gada laikā projekts paredz informācijas sniegšanu.</w:t>
            </w:r>
          </w:p>
          <w:p w14:paraId="0188B200" w14:textId="77777777" w:rsidR="00C630D2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4216C02" w14:textId="53A071B3" w:rsidR="00C630D2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7558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Aģentūra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s funkcija</w:t>
            </w:r>
            <w:r w:rsidRPr="007558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informē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t</w:t>
            </w:r>
            <w:r w:rsidRPr="007558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vadošo iestādi par kontroles rezultātiem, 10 darbdienu laikā pēc ikgadējās kontroles pabeigšanas nosūtot vadošajai iestādei informāciju par ikgadējās kontroles rezultātiem.</w:t>
            </w:r>
          </w:p>
          <w:p w14:paraId="11998939" w14:textId="57EDCB64" w:rsidR="009F6E17" w:rsidRDefault="009F6E17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</w:p>
          <w:p w14:paraId="48A4A35A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Aprēķins attiecināms uz 2019., 2020. un 2021.gadu: </w:t>
            </w:r>
          </w:p>
          <w:p w14:paraId="6F1B96E6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078E247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 = (7,38 x 25 (viena stunda katram no 25 projektiem)) x (1 x 1) = 184,50 </w:t>
            </w:r>
            <w:proofErr w:type="spellStart"/>
            <w:r w:rsidRPr="00596A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088D86DA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87B107E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trīs gadiem:  184,50 x 3 = 553,50 </w:t>
            </w:r>
            <w:proofErr w:type="spellStart"/>
            <w:r w:rsidRPr="00596A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64348D8F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F279458" w14:textId="7F6A36EF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Aprēķins par 2022.</w:t>
            </w:r>
            <w:r w:rsidR="00D62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gadu:</w:t>
            </w:r>
          </w:p>
          <w:p w14:paraId="3C72D54D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C6DC2F1" w14:textId="63854C36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C=(7,38 x 19 (viena stunda katram no 19 projektiem)) x</w:t>
            </w:r>
            <w:r w:rsidR="00D62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 x 1) = 140,</w:t>
            </w: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22 </w:t>
            </w:r>
            <w:proofErr w:type="spellStart"/>
            <w:r w:rsidRPr="00596A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39DC5478" w14:textId="77777777" w:rsidR="00995619" w:rsidRPr="00995619" w:rsidRDefault="00995619" w:rsidP="0099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6F80545" w14:textId="0B75E844" w:rsidR="00C630D2" w:rsidRDefault="00995619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Kopā par četriem pēcuzraudzības g</w:t>
            </w:r>
            <w:r w:rsidR="00D62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adiem: 184,5 x 3 + 140.22 = 693,</w:t>
            </w:r>
            <w:r w:rsidRPr="00995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72 </w:t>
            </w:r>
            <w:proofErr w:type="spellStart"/>
            <w:r w:rsidRPr="00596A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14AC9E0D" w14:textId="57D7A594" w:rsidR="00596ADE" w:rsidRPr="00E5184D" w:rsidRDefault="00596ADE" w:rsidP="000B22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C630D2" w:rsidRPr="00842135" w14:paraId="56473B00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55D2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32FA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8AEB" w14:textId="106B4926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</w:t>
            </w:r>
            <w:r w:rsidR="00E41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ikumu projekts šo jomu nesakar</w:t>
            </w:r>
          </w:p>
        </w:tc>
      </w:tr>
      <w:tr w:rsidR="00C630D2" w:rsidRPr="00842135" w14:paraId="79275628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62D8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FA4E7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00BE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5213444" w14:textId="77777777" w:rsidR="00C630D2" w:rsidRPr="00842135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630D2" w:rsidRPr="00842135" w14:paraId="25F90AA8" w14:textId="77777777" w:rsidTr="00984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F8BC" w14:textId="77777777" w:rsidR="00C630D2" w:rsidRPr="00842135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630D2" w:rsidRPr="00842135" w14:paraId="3D4681C8" w14:textId="77777777" w:rsidTr="00984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9803" w14:textId="77777777" w:rsidR="00C630D2" w:rsidRPr="0016687A" w:rsidRDefault="00C630D2" w:rsidP="009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034B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54EDB590" w14:textId="77777777" w:rsidR="00C630D2" w:rsidRPr="00842135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630D2" w:rsidRPr="00842135" w14:paraId="4E0C9BBB" w14:textId="77777777" w:rsidTr="00984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4255" w14:textId="77777777" w:rsidR="00C630D2" w:rsidRPr="00842135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630D2" w:rsidRPr="00842135" w14:paraId="4840D345" w14:textId="77777777" w:rsidTr="00984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F4181" w14:textId="77777777" w:rsidR="00C630D2" w:rsidRPr="00034BA8" w:rsidRDefault="00C630D2" w:rsidP="009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34B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9F5DCFF" w14:textId="77777777" w:rsidR="00C630D2" w:rsidRPr="00842135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2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2696"/>
        <w:gridCol w:w="5980"/>
      </w:tblGrid>
      <w:tr w:rsidR="00C630D2" w:rsidRPr="00842135" w14:paraId="010D7AC0" w14:textId="77777777" w:rsidTr="0077205C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2828" w14:textId="77777777" w:rsidR="00C630D2" w:rsidRPr="00842135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630D2" w:rsidRPr="00842135" w14:paraId="6C2DF3FA" w14:textId="77777777" w:rsidTr="0077205C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AC0A8" w14:textId="77777777" w:rsidR="00C630D2" w:rsidRPr="00034BA8" w:rsidRDefault="00C630D2" w:rsidP="009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34B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630D2" w:rsidRPr="00842135" w14:paraId="204BE32D" w14:textId="77777777" w:rsidTr="0077205C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A872" w14:textId="77777777" w:rsidR="00C630D2" w:rsidRPr="00842135" w:rsidRDefault="00C630D2" w:rsidP="009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630D2" w:rsidRPr="00842135" w14:paraId="29C88A7D" w14:textId="77777777" w:rsidTr="00DC57B9">
        <w:trPr>
          <w:tblCellSpacing w:w="15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ECF2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D137" w14:textId="77777777" w:rsidR="00C630D2" w:rsidRPr="00842135" w:rsidRDefault="00C630D2" w:rsidP="00DC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7D58" w14:textId="531EB6F5" w:rsidR="00C630D2" w:rsidRPr="00FC0A46" w:rsidRDefault="00C008B8" w:rsidP="00277EC5">
            <w:pPr>
              <w:pStyle w:val="NormalWeb"/>
              <w:jc w:val="both"/>
              <w:rPr>
                <w:rFonts w:eastAsia="Times New Roman"/>
                <w:iCs/>
              </w:rPr>
            </w:pPr>
            <w:r w:rsidRPr="00FC0A46">
              <w:rPr>
                <w:iCs/>
              </w:rPr>
              <w:t>Informācija par projekta izstrādi ir publicēta Finanšu ministrijas tīmekļvietnē sadaļā “Sabiedrības līdzdalība” – “Tiesību aktu projekti” – “</w:t>
            </w:r>
            <w:r w:rsidR="00754E03" w:rsidRPr="00FC0A46">
              <w:rPr>
                <w:iCs/>
              </w:rPr>
              <w:t>ES un ārvalstu finanšu palīdzības politika</w:t>
            </w:r>
            <w:r w:rsidRPr="00FC0A46">
              <w:rPr>
                <w:iCs/>
              </w:rPr>
              <w:t xml:space="preserve">” un </w:t>
            </w:r>
            <w:r w:rsidR="001407D0" w:rsidRPr="00FC0A46">
              <w:rPr>
                <w:iCs/>
              </w:rPr>
              <w:t xml:space="preserve">finanšu instrumentu tīmekļa vietnē </w:t>
            </w:r>
            <w:hyperlink r:id="rId11" w:history="1">
              <w:r w:rsidR="00AD20B1" w:rsidRPr="00FC0A46">
                <w:rPr>
                  <w:rStyle w:val="Hyperlink"/>
                  <w:iCs/>
                </w:rPr>
                <w:t>www.eeagrants.lv</w:t>
              </w:r>
            </w:hyperlink>
            <w:r w:rsidR="00AD20B1" w:rsidRPr="00FC0A46">
              <w:rPr>
                <w:iCs/>
              </w:rPr>
              <w:t xml:space="preserve"> </w:t>
            </w:r>
            <w:r w:rsidRPr="00FC0A46">
              <w:rPr>
                <w:iCs/>
              </w:rPr>
              <w:t>. L</w:t>
            </w:r>
            <w:r w:rsidRPr="00FC0A46">
              <w:rPr>
                <w:iCs/>
                <w:spacing w:val="-2"/>
              </w:rPr>
              <w:t xml:space="preserve">īdz ar to sabiedrības pārstāvji varēja līdzdarboties projekta izstrādē, </w:t>
            </w:r>
            <w:proofErr w:type="spellStart"/>
            <w:r w:rsidRPr="00FC0A46">
              <w:rPr>
                <w:iCs/>
                <w:spacing w:val="-2"/>
              </w:rPr>
              <w:t>rakstveidā</w:t>
            </w:r>
            <w:proofErr w:type="spellEnd"/>
            <w:r w:rsidRPr="00FC0A46">
              <w:rPr>
                <w:iCs/>
                <w:spacing w:val="-2"/>
              </w:rPr>
              <w:t xml:space="preserve"> sniedzot viedokļus par projektu.</w:t>
            </w:r>
            <w:r w:rsidRPr="00FC0A46">
              <w:rPr>
                <w:iCs/>
              </w:rPr>
              <w:t xml:space="preserve"> </w:t>
            </w:r>
            <w:r w:rsidRPr="00FC0A46">
              <w:rPr>
                <w:iCs/>
                <w:spacing w:val="-2"/>
              </w:rPr>
              <w:t>Tāpat sabiedrības pārstāvji varēs sniegt viedokļus par projektu pēc tā izsludināšanas Valsts sekretāru sanāksmē.</w:t>
            </w:r>
          </w:p>
        </w:tc>
      </w:tr>
      <w:tr w:rsidR="00C630D2" w:rsidRPr="00842135" w14:paraId="3B152B4C" w14:textId="77777777" w:rsidTr="00DC57B9">
        <w:trPr>
          <w:tblCellSpacing w:w="15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9802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39D9" w14:textId="77777777" w:rsidR="00C630D2" w:rsidRPr="00842135" w:rsidRDefault="00C630D2" w:rsidP="0027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04F6" w14:textId="72D5A8BE" w:rsidR="00A14352" w:rsidRPr="00FC0A46" w:rsidRDefault="00C008B8">
            <w:pPr>
              <w:pStyle w:val="NormalWeb"/>
              <w:spacing w:line="252" w:lineRule="auto"/>
              <w:jc w:val="both"/>
            </w:pPr>
            <w:r w:rsidRPr="00FC0A46">
              <w:rPr>
                <w:iCs/>
                <w:spacing w:val="-2"/>
              </w:rPr>
              <w:t xml:space="preserve">Sabiedrības pārstāvji varēja līdzdarboties projekta izstrādē, </w:t>
            </w:r>
            <w:proofErr w:type="spellStart"/>
            <w:r w:rsidRPr="00FC0A46">
              <w:rPr>
                <w:iCs/>
                <w:spacing w:val="-2"/>
              </w:rPr>
              <w:t>rakstveidā</w:t>
            </w:r>
            <w:proofErr w:type="spellEnd"/>
            <w:r w:rsidRPr="00FC0A46">
              <w:rPr>
                <w:iCs/>
                <w:spacing w:val="-2"/>
              </w:rPr>
              <w:t xml:space="preserve"> sniedzot viedokļus par projektu, kas </w:t>
            </w:r>
            <w:r w:rsidR="00DA75BC" w:rsidRPr="00FC0A46">
              <w:rPr>
                <w:iCs/>
              </w:rPr>
              <w:t xml:space="preserve">2019. </w:t>
            </w:r>
            <w:r w:rsidRPr="00FC0A46">
              <w:rPr>
                <w:iCs/>
              </w:rPr>
              <w:t xml:space="preserve">gada </w:t>
            </w:r>
            <w:r w:rsidR="00F26404">
              <w:rPr>
                <w:iCs/>
              </w:rPr>
              <w:t>21.jūnijā</w:t>
            </w:r>
            <w:r w:rsidR="00DA75BC" w:rsidRPr="00FC0A46">
              <w:rPr>
                <w:iCs/>
              </w:rPr>
              <w:t xml:space="preserve"> </w:t>
            </w:r>
            <w:r w:rsidRPr="00FC0A46">
              <w:rPr>
                <w:iCs/>
              </w:rPr>
              <w:t>publicēts Finanšu ministrijas tīmekļvietnē sadaļā “Sabiedrības līdzdalība” – “Tiesību aktu projekti” – “</w:t>
            </w:r>
            <w:r w:rsidR="00754E03" w:rsidRPr="00FC0A46">
              <w:rPr>
                <w:iCs/>
              </w:rPr>
              <w:t>ES un ārvalstu finanšu palīdzības politika</w:t>
            </w:r>
            <w:r w:rsidRPr="00FC0A46">
              <w:rPr>
                <w:iCs/>
              </w:rPr>
              <w:t>”, adrese:</w:t>
            </w:r>
            <w:r w:rsidRPr="00FC0A46">
              <w:t xml:space="preserve"> </w:t>
            </w:r>
          </w:p>
          <w:p w14:paraId="729100A6" w14:textId="5D17E205" w:rsidR="00CB0F9B" w:rsidRPr="00FC0A46" w:rsidRDefault="005F527F">
            <w:pPr>
              <w:pStyle w:val="NormalWeb"/>
              <w:spacing w:line="252" w:lineRule="auto"/>
              <w:jc w:val="both"/>
            </w:pPr>
            <w:hyperlink r:id="rId12" w:history="1">
              <w:r w:rsidR="00CB0F9B" w:rsidRPr="00FC0A46">
                <w:rPr>
                  <w:rStyle w:val="Hyperlink"/>
                </w:rPr>
                <w:t>https://www.fm.gov.lv/lv/sabiedribas_lidzdaliba</w:t>
              </w:r>
            </w:hyperlink>
          </w:p>
          <w:p w14:paraId="279931B8" w14:textId="55B17F5D" w:rsidR="00C630D2" w:rsidRPr="00FC0A46" w:rsidRDefault="00C008B8" w:rsidP="00277EC5">
            <w:pPr>
              <w:pStyle w:val="NormalWeb"/>
              <w:spacing w:line="252" w:lineRule="auto"/>
              <w:jc w:val="both"/>
              <w:rPr>
                <w:rFonts w:eastAsia="Times New Roman"/>
                <w:iCs/>
                <w:highlight w:val="yellow"/>
              </w:rPr>
            </w:pPr>
            <w:r w:rsidRPr="00FC0A46">
              <w:rPr>
                <w:iCs/>
              </w:rPr>
              <w:t>un Ministru kabineta tīmekļvietnē sadaļā “Valsts kanceleja” – “Sabiedrības līdzdalība</w:t>
            </w:r>
            <w:r w:rsidRPr="00FC0A46">
              <w:t xml:space="preserve">”, </w:t>
            </w:r>
            <w:r w:rsidRPr="00FC0A46">
              <w:rPr>
                <w:iCs/>
              </w:rPr>
              <w:t>adrese:</w:t>
            </w:r>
            <w:r w:rsidRPr="00FC0A46">
              <w:t xml:space="preserve"> </w:t>
            </w:r>
            <w:hyperlink r:id="rId13" w:history="1">
              <w:r w:rsidR="00496921" w:rsidRPr="00FC0A46">
                <w:rPr>
                  <w:rStyle w:val="Hyperlink"/>
                </w:rPr>
                <w:t>https://mk.gov.lv/content/ministru-kabineta-diskusiju-dokumenti</w:t>
              </w:r>
            </w:hyperlink>
            <w:r w:rsidR="00496921" w:rsidRPr="00FC0A46">
              <w:rPr>
                <w:rFonts w:eastAsia="Times New Roman"/>
                <w:iCs/>
              </w:rPr>
              <w:t xml:space="preserve"> </w:t>
            </w:r>
            <w:r w:rsidRPr="00FC0A46">
              <w:rPr>
                <w:rFonts w:eastAsia="Times New Roman"/>
                <w:iCs/>
              </w:rPr>
              <w:t xml:space="preserve">un </w:t>
            </w:r>
            <w:r w:rsidR="001407D0" w:rsidRPr="00FC0A46">
              <w:rPr>
                <w:rFonts w:eastAsia="Times New Roman"/>
                <w:iCs/>
              </w:rPr>
              <w:t xml:space="preserve">finanšu instrumentu </w:t>
            </w:r>
            <w:r w:rsidRPr="00FC0A46">
              <w:rPr>
                <w:rFonts w:eastAsia="Times New Roman"/>
                <w:iCs/>
              </w:rPr>
              <w:t xml:space="preserve">tīmekļa vietnē </w:t>
            </w:r>
            <w:hyperlink r:id="rId14" w:history="1">
              <w:r w:rsidR="00CA3D0D" w:rsidRPr="00FC0A46">
                <w:rPr>
                  <w:rStyle w:val="Hyperlink"/>
                </w:rPr>
                <w:t>https://www.eeagrants.lv/?id=4</w:t>
              </w:r>
            </w:hyperlink>
            <w:r w:rsidR="00CA3D0D" w:rsidRPr="00FC0A46">
              <w:t xml:space="preserve"> </w:t>
            </w:r>
            <w:r w:rsidRPr="00FC0A46">
              <w:rPr>
                <w:rFonts w:eastAsia="Times New Roman"/>
                <w:iCs/>
              </w:rPr>
              <w:t>.</w:t>
            </w:r>
          </w:p>
        </w:tc>
      </w:tr>
      <w:tr w:rsidR="00C630D2" w:rsidRPr="00842135" w14:paraId="639C48B8" w14:textId="77777777" w:rsidTr="00DC57B9">
        <w:trPr>
          <w:tblCellSpacing w:w="15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D914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69F45" w14:textId="77777777" w:rsidR="00C630D2" w:rsidRPr="00842135" w:rsidRDefault="00C630D2" w:rsidP="0027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ED16" w14:textId="5F25A460" w:rsidR="00C630D2" w:rsidRPr="00C873C1" w:rsidRDefault="00ED0510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D0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projekta izstrādes laikā nav saņemti sabiedrības pārstāvju ieteikumi vai iebildumi.</w:t>
            </w:r>
          </w:p>
        </w:tc>
      </w:tr>
      <w:tr w:rsidR="00C630D2" w:rsidRPr="00842135" w14:paraId="783D3A2B" w14:textId="77777777" w:rsidTr="00DC57B9">
        <w:trPr>
          <w:tblCellSpacing w:w="15" w:type="dxa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EB1FA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BCAE" w14:textId="77777777" w:rsidR="00C630D2" w:rsidRPr="00842135" w:rsidRDefault="00C630D2" w:rsidP="0027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3899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FED75BC" w14:textId="77777777" w:rsidR="00C630D2" w:rsidRPr="00842135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4213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630D2" w:rsidRPr="00842135" w14:paraId="7F5DF0F7" w14:textId="77777777" w:rsidTr="0098462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9FB7" w14:textId="77777777" w:rsidR="00C630D2" w:rsidRPr="00842135" w:rsidRDefault="00C630D2" w:rsidP="00B9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630D2" w:rsidRPr="00842135" w14:paraId="1A0CB9C6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2A7E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F9DE" w14:textId="77777777" w:rsidR="00C630D2" w:rsidRPr="00842135" w:rsidRDefault="00C630D2" w:rsidP="0027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882D" w14:textId="77777777" w:rsidR="00C630D2" w:rsidRPr="00A8325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projekta izpildi</w:t>
            </w:r>
            <w:r w:rsidRPr="00A832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nodrošinās šādas institūcijas:</w:t>
            </w:r>
          </w:p>
          <w:p w14:paraId="792EE79B" w14:textId="507A2A2F" w:rsidR="00C630D2" w:rsidRPr="00A8325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2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A832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 kā vadošā iestāde, </w:t>
            </w:r>
          </w:p>
          <w:p w14:paraId="17782D88" w14:textId="77C7B13E" w:rsidR="00C630D2" w:rsidRPr="00A8325C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Centrālā finanšu un līgumu aģentūra kā aģentūra,</w:t>
            </w:r>
          </w:p>
          <w:p w14:paraId="78777692" w14:textId="6BEB49EA" w:rsidR="00C630D2" w:rsidRPr="00842135" w:rsidRDefault="00C630D2" w:rsidP="00C0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A832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starpniekinstitūcijas (nozaru ministrijas)</w:t>
            </w:r>
            <w:r w:rsidRPr="00A832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30D2" w:rsidRPr="00842135" w14:paraId="7F2F5886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A8C8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0847" w14:textId="77777777" w:rsidR="00C630D2" w:rsidRPr="00842135" w:rsidRDefault="00C630D2" w:rsidP="0027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EFF1" w14:textId="3A492BC8" w:rsidR="00025E98" w:rsidRDefault="00C630D2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projekta </w:t>
            </w:r>
            <w:r w:rsidRPr="00E2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izpildei nav nepieciešams paplašināt iepriekšējā punktā minēto institūciju funkcijas un uzdevumu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25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veidot jaunas institūcijas, tās likvidēt vai reorganizēt. </w:t>
            </w:r>
          </w:p>
          <w:p w14:paraId="41B95CF1" w14:textId="6D59786D" w:rsidR="00C630D2" w:rsidRPr="00FC0A46" w:rsidRDefault="00025E98" w:rsidP="0098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0A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C008B8" w:rsidRPr="00FC0A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izpilde tiks nodrošināta esošā finansējuma un cilvēkresursu ietvaros. </w:t>
            </w:r>
          </w:p>
        </w:tc>
      </w:tr>
      <w:tr w:rsidR="00C630D2" w:rsidRPr="00842135" w14:paraId="32AE1CBA" w14:textId="77777777" w:rsidTr="0098462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F7C0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7051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5BF07" w14:textId="77777777" w:rsidR="00C630D2" w:rsidRPr="00842135" w:rsidRDefault="00C630D2" w:rsidP="009846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C90D35A" w14:textId="77777777" w:rsidR="00C630D2" w:rsidRPr="00842135" w:rsidRDefault="00C630D2" w:rsidP="00C63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8FDFC" w14:textId="77777777" w:rsidR="00C630D2" w:rsidRPr="00842135" w:rsidRDefault="00C630D2" w:rsidP="00C63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481AA" w14:textId="77777777" w:rsidR="00C630D2" w:rsidRDefault="00C630D2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3EEF3DC9" w14:textId="5FFCA2C2" w:rsidR="00C630D2" w:rsidRDefault="00C630D2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79FCCEDB" w14:textId="75E13F5D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5D48D7B5" w14:textId="381B3B12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07B60280" w14:textId="0051BDEC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5AEFB364" w14:textId="1DA17673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5649C89B" w14:textId="6CD481FB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2F8B5A05" w14:textId="77777777" w:rsidR="004D2E61" w:rsidRDefault="004D2E61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34A076E3" w14:textId="593443FE" w:rsidR="001D3765" w:rsidRDefault="001D3765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45214B4D" w14:textId="4F28B20C" w:rsidR="001D3765" w:rsidRDefault="001D3765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6743519F" w14:textId="77777777" w:rsidR="001D3765" w:rsidRDefault="001D3765" w:rsidP="00C630D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7B22187D" w14:textId="77777777" w:rsidR="00C630D2" w:rsidRPr="00842135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83B61">
        <w:rPr>
          <w:rFonts w:ascii="Times New Roman" w:hAnsi="Times New Roman" w:cs="Times New Roman"/>
          <w:sz w:val="28"/>
          <w:szCs w:val="28"/>
        </w:rPr>
        <w:t>Finanšu ministrs</w:t>
      </w:r>
      <w:r w:rsidRPr="00B83B61">
        <w:rPr>
          <w:rFonts w:ascii="Times New Roman" w:hAnsi="Times New Roman" w:cs="Times New Roman"/>
          <w:sz w:val="28"/>
          <w:szCs w:val="28"/>
        </w:rPr>
        <w:tab/>
        <w:t>J. Reirs</w:t>
      </w:r>
    </w:p>
    <w:p w14:paraId="661276C2" w14:textId="77777777" w:rsidR="00C630D2" w:rsidRPr="00842135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62DA59" w14:textId="77777777" w:rsidR="00C630D2" w:rsidRPr="00842135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45F7B6D" w14:textId="77777777" w:rsidR="00C630D2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E0EB812" w14:textId="77777777" w:rsidR="00C630D2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5B88292" w14:textId="77777777" w:rsidR="00C630D2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761ACB" w14:textId="77777777" w:rsidR="00C630D2" w:rsidRPr="00842135" w:rsidRDefault="00C630D2" w:rsidP="00C630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7EEAC0C" w14:textId="77777777" w:rsidR="00C630D2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B1B15" w14:textId="77777777" w:rsidR="00C630D2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ABC7D" w14:textId="77777777" w:rsidR="00C630D2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FDC24E" w14:textId="77777777" w:rsidR="00C630D2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3FB56" w14:textId="77777777" w:rsidR="00C630D2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9DD348" w14:textId="77777777" w:rsidR="00C630D2" w:rsidRPr="008E713C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13C">
        <w:rPr>
          <w:rFonts w:ascii="Times New Roman" w:hAnsi="Times New Roman" w:cs="Times New Roman"/>
          <w:sz w:val="20"/>
          <w:szCs w:val="20"/>
        </w:rPr>
        <w:t>Kapilova 67083936</w:t>
      </w:r>
    </w:p>
    <w:p w14:paraId="05BF3E1D" w14:textId="77777777" w:rsidR="00C630D2" w:rsidRPr="008E713C" w:rsidRDefault="00C630D2" w:rsidP="00C630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13C">
        <w:rPr>
          <w:rFonts w:ascii="Times New Roman" w:hAnsi="Times New Roman" w:cs="Times New Roman"/>
          <w:sz w:val="20"/>
          <w:szCs w:val="20"/>
        </w:rPr>
        <w:t>Jekaterina.Kapilova@fm.gov.lv</w:t>
      </w:r>
    </w:p>
    <w:p w14:paraId="14BE808E" w14:textId="77777777" w:rsidR="004557ED" w:rsidRPr="00B87682" w:rsidRDefault="004557ED">
      <w:pPr>
        <w:rPr>
          <w:rFonts w:ascii="Times New Roman" w:hAnsi="Times New Roman" w:cs="Times New Roman"/>
          <w:sz w:val="24"/>
          <w:szCs w:val="24"/>
        </w:rPr>
      </w:pPr>
    </w:p>
    <w:sectPr w:rsidR="004557ED" w:rsidRPr="00B87682" w:rsidSect="009A26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8BAF" w14:textId="77777777" w:rsidR="005F527F" w:rsidRDefault="005F527F">
      <w:pPr>
        <w:spacing w:after="0" w:line="240" w:lineRule="auto"/>
      </w:pPr>
      <w:r>
        <w:separator/>
      </w:r>
    </w:p>
  </w:endnote>
  <w:endnote w:type="continuationSeparator" w:id="0">
    <w:p w14:paraId="16A777E7" w14:textId="77777777" w:rsidR="005F527F" w:rsidRDefault="005F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4CE1" w14:textId="77777777" w:rsidR="00496921" w:rsidRDefault="0049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C822" w14:textId="09B525B9" w:rsidR="00596AE0" w:rsidRPr="009A2654" w:rsidRDefault="00496921" w:rsidP="00596A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FManot_18</w:t>
    </w:r>
    <w:r w:rsidR="00596AE0">
      <w:rPr>
        <w:rFonts w:ascii="Times New Roman" w:hAnsi="Times New Roman" w:cs="Times New Roman"/>
        <w:sz w:val="20"/>
        <w:szCs w:val="20"/>
      </w:rPr>
      <w:t>0719_126</w:t>
    </w:r>
  </w:p>
  <w:p w14:paraId="305F4FC7" w14:textId="77777777" w:rsidR="00E3385D" w:rsidRPr="00682D13" w:rsidRDefault="005F527F" w:rsidP="00682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71B2" w14:textId="03CBE114" w:rsidR="00E3385D" w:rsidRPr="009A2654" w:rsidRDefault="00C630D2" w:rsidP="00FD297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7E5CE6">
      <w:rPr>
        <w:rFonts w:ascii="Times New Roman" w:hAnsi="Times New Roman" w:cs="Times New Roman"/>
        <w:sz w:val="20"/>
        <w:szCs w:val="20"/>
      </w:rPr>
      <w:t>18</w:t>
    </w:r>
    <w:r w:rsidR="00596AE0">
      <w:rPr>
        <w:rFonts w:ascii="Times New Roman" w:hAnsi="Times New Roman" w:cs="Times New Roman"/>
        <w:sz w:val="20"/>
        <w:szCs w:val="20"/>
      </w:rPr>
      <w:t>0719_126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108F" w14:textId="77777777" w:rsidR="005F527F" w:rsidRDefault="005F527F">
      <w:pPr>
        <w:spacing w:after="0" w:line="240" w:lineRule="auto"/>
      </w:pPr>
      <w:r>
        <w:separator/>
      </w:r>
    </w:p>
  </w:footnote>
  <w:footnote w:type="continuationSeparator" w:id="0">
    <w:p w14:paraId="4EF36AC1" w14:textId="77777777" w:rsidR="005F527F" w:rsidRDefault="005F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097A" w14:textId="77777777" w:rsidR="00496921" w:rsidRDefault="0049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DEF42CB" w14:textId="6A771D7C" w:rsidR="00E3385D" w:rsidRPr="00C25B49" w:rsidRDefault="00C630D2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65C86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67D9" w14:textId="77777777" w:rsidR="00496921" w:rsidRDefault="00496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20"/>
    <w:multiLevelType w:val="hybridMultilevel"/>
    <w:tmpl w:val="0E76386C"/>
    <w:lvl w:ilvl="0" w:tplc="DAA453DC">
      <w:start w:val="1"/>
      <w:numFmt w:val="decimal"/>
      <w:lvlText w:val="%1)"/>
      <w:lvlJc w:val="left"/>
      <w:pPr>
        <w:ind w:left="609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29" w:hanging="360"/>
      </w:pPr>
    </w:lvl>
    <w:lvl w:ilvl="2" w:tplc="0426001B" w:tentative="1">
      <w:start w:val="1"/>
      <w:numFmt w:val="lowerRoman"/>
      <w:lvlText w:val="%3."/>
      <w:lvlJc w:val="right"/>
      <w:pPr>
        <w:ind w:left="2049" w:hanging="180"/>
      </w:pPr>
    </w:lvl>
    <w:lvl w:ilvl="3" w:tplc="0426000F" w:tentative="1">
      <w:start w:val="1"/>
      <w:numFmt w:val="decimal"/>
      <w:lvlText w:val="%4."/>
      <w:lvlJc w:val="left"/>
      <w:pPr>
        <w:ind w:left="2769" w:hanging="360"/>
      </w:pPr>
    </w:lvl>
    <w:lvl w:ilvl="4" w:tplc="04260019" w:tentative="1">
      <w:start w:val="1"/>
      <w:numFmt w:val="lowerLetter"/>
      <w:lvlText w:val="%5."/>
      <w:lvlJc w:val="left"/>
      <w:pPr>
        <w:ind w:left="3489" w:hanging="360"/>
      </w:pPr>
    </w:lvl>
    <w:lvl w:ilvl="5" w:tplc="0426001B" w:tentative="1">
      <w:start w:val="1"/>
      <w:numFmt w:val="lowerRoman"/>
      <w:lvlText w:val="%6."/>
      <w:lvlJc w:val="right"/>
      <w:pPr>
        <w:ind w:left="4209" w:hanging="180"/>
      </w:pPr>
    </w:lvl>
    <w:lvl w:ilvl="6" w:tplc="0426000F" w:tentative="1">
      <w:start w:val="1"/>
      <w:numFmt w:val="decimal"/>
      <w:lvlText w:val="%7."/>
      <w:lvlJc w:val="left"/>
      <w:pPr>
        <w:ind w:left="4929" w:hanging="360"/>
      </w:pPr>
    </w:lvl>
    <w:lvl w:ilvl="7" w:tplc="04260019" w:tentative="1">
      <w:start w:val="1"/>
      <w:numFmt w:val="lowerLetter"/>
      <w:lvlText w:val="%8."/>
      <w:lvlJc w:val="left"/>
      <w:pPr>
        <w:ind w:left="5649" w:hanging="360"/>
      </w:pPr>
    </w:lvl>
    <w:lvl w:ilvl="8" w:tplc="0426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4"/>
    <w:rsid w:val="000145BF"/>
    <w:rsid w:val="000229D1"/>
    <w:rsid w:val="00025E98"/>
    <w:rsid w:val="00040DAC"/>
    <w:rsid w:val="00064319"/>
    <w:rsid w:val="000725E8"/>
    <w:rsid w:val="00073CFD"/>
    <w:rsid w:val="000914EB"/>
    <w:rsid w:val="00096DD2"/>
    <w:rsid w:val="000B228E"/>
    <w:rsid w:val="000B2F31"/>
    <w:rsid w:val="000D038F"/>
    <w:rsid w:val="000E5D8E"/>
    <w:rsid w:val="0010243C"/>
    <w:rsid w:val="00117640"/>
    <w:rsid w:val="001407D0"/>
    <w:rsid w:val="0018105B"/>
    <w:rsid w:val="0019625F"/>
    <w:rsid w:val="001D3765"/>
    <w:rsid w:val="001D6693"/>
    <w:rsid w:val="00257A80"/>
    <w:rsid w:val="002614E1"/>
    <w:rsid w:val="00277EC5"/>
    <w:rsid w:val="00277ED5"/>
    <w:rsid w:val="002E35EC"/>
    <w:rsid w:val="002F0FB4"/>
    <w:rsid w:val="002F767F"/>
    <w:rsid w:val="00312E35"/>
    <w:rsid w:val="00317092"/>
    <w:rsid w:val="00337347"/>
    <w:rsid w:val="00344D01"/>
    <w:rsid w:val="00355145"/>
    <w:rsid w:val="00361E87"/>
    <w:rsid w:val="00364605"/>
    <w:rsid w:val="00382DEF"/>
    <w:rsid w:val="003B5713"/>
    <w:rsid w:val="003D2F16"/>
    <w:rsid w:val="00413410"/>
    <w:rsid w:val="0041437D"/>
    <w:rsid w:val="004557ED"/>
    <w:rsid w:val="00473130"/>
    <w:rsid w:val="00483D46"/>
    <w:rsid w:val="004934BE"/>
    <w:rsid w:val="00496921"/>
    <w:rsid w:val="004A2C88"/>
    <w:rsid w:val="004C3178"/>
    <w:rsid w:val="004D0D12"/>
    <w:rsid w:val="004D2E61"/>
    <w:rsid w:val="004F2512"/>
    <w:rsid w:val="00505968"/>
    <w:rsid w:val="005130BE"/>
    <w:rsid w:val="005300AF"/>
    <w:rsid w:val="00556AA0"/>
    <w:rsid w:val="005870F4"/>
    <w:rsid w:val="005876A7"/>
    <w:rsid w:val="005901EC"/>
    <w:rsid w:val="00596ADE"/>
    <w:rsid w:val="00596AE0"/>
    <w:rsid w:val="005F527F"/>
    <w:rsid w:val="00616FF1"/>
    <w:rsid w:val="00625F3C"/>
    <w:rsid w:val="00675EF3"/>
    <w:rsid w:val="006857B8"/>
    <w:rsid w:val="00687135"/>
    <w:rsid w:val="006D0049"/>
    <w:rsid w:val="00754E03"/>
    <w:rsid w:val="0077205C"/>
    <w:rsid w:val="007810BC"/>
    <w:rsid w:val="0078658C"/>
    <w:rsid w:val="0079605C"/>
    <w:rsid w:val="007E5CE6"/>
    <w:rsid w:val="008410D7"/>
    <w:rsid w:val="0085275D"/>
    <w:rsid w:val="00855BDF"/>
    <w:rsid w:val="0085662D"/>
    <w:rsid w:val="008A422F"/>
    <w:rsid w:val="008C3F9D"/>
    <w:rsid w:val="008C7497"/>
    <w:rsid w:val="008D1239"/>
    <w:rsid w:val="008F50EA"/>
    <w:rsid w:val="0091452E"/>
    <w:rsid w:val="009411BD"/>
    <w:rsid w:val="0095766C"/>
    <w:rsid w:val="00972482"/>
    <w:rsid w:val="00984F55"/>
    <w:rsid w:val="00992F89"/>
    <w:rsid w:val="00995619"/>
    <w:rsid w:val="00996C1F"/>
    <w:rsid w:val="009F1766"/>
    <w:rsid w:val="009F6E17"/>
    <w:rsid w:val="00A14352"/>
    <w:rsid w:val="00A268C3"/>
    <w:rsid w:val="00A32114"/>
    <w:rsid w:val="00A53559"/>
    <w:rsid w:val="00A61008"/>
    <w:rsid w:val="00AA41ED"/>
    <w:rsid w:val="00AB6D67"/>
    <w:rsid w:val="00AC7F93"/>
    <w:rsid w:val="00AD20B1"/>
    <w:rsid w:val="00AE4836"/>
    <w:rsid w:val="00AF15F5"/>
    <w:rsid w:val="00B340F3"/>
    <w:rsid w:val="00B60EFA"/>
    <w:rsid w:val="00B66046"/>
    <w:rsid w:val="00B87682"/>
    <w:rsid w:val="00B975D7"/>
    <w:rsid w:val="00BF1E17"/>
    <w:rsid w:val="00C008B8"/>
    <w:rsid w:val="00C13042"/>
    <w:rsid w:val="00C20E85"/>
    <w:rsid w:val="00C55A27"/>
    <w:rsid w:val="00C630D2"/>
    <w:rsid w:val="00C862D8"/>
    <w:rsid w:val="00CA3D0D"/>
    <w:rsid w:val="00CB0F9B"/>
    <w:rsid w:val="00CF4CB1"/>
    <w:rsid w:val="00D06DB0"/>
    <w:rsid w:val="00D1787C"/>
    <w:rsid w:val="00D536C8"/>
    <w:rsid w:val="00D62B7D"/>
    <w:rsid w:val="00D65D62"/>
    <w:rsid w:val="00D86B4D"/>
    <w:rsid w:val="00D86C98"/>
    <w:rsid w:val="00DA609D"/>
    <w:rsid w:val="00DA75BC"/>
    <w:rsid w:val="00DB6933"/>
    <w:rsid w:val="00DC57B9"/>
    <w:rsid w:val="00E41DA9"/>
    <w:rsid w:val="00E5184D"/>
    <w:rsid w:val="00E57260"/>
    <w:rsid w:val="00ED0510"/>
    <w:rsid w:val="00EF05EE"/>
    <w:rsid w:val="00F02D5F"/>
    <w:rsid w:val="00F26404"/>
    <w:rsid w:val="00F473B4"/>
    <w:rsid w:val="00F4753E"/>
    <w:rsid w:val="00F52493"/>
    <w:rsid w:val="00F53B61"/>
    <w:rsid w:val="00F562C7"/>
    <w:rsid w:val="00F65C86"/>
    <w:rsid w:val="00F820FF"/>
    <w:rsid w:val="00F8469D"/>
    <w:rsid w:val="00FC0A46"/>
    <w:rsid w:val="00FC4FA3"/>
    <w:rsid w:val="00FD11BE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4D7"/>
  <w15:chartTrackingRefBased/>
  <w15:docId w15:val="{8BDE8290-5D52-4279-8A2E-FAB7000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D2"/>
  </w:style>
  <w:style w:type="paragraph" w:styleId="Footer">
    <w:name w:val="footer"/>
    <w:basedOn w:val="Normal"/>
    <w:link w:val="FooterChar"/>
    <w:uiPriority w:val="99"/>
    <w:unhideWhenUsed/>
    <w:rsid w:val="00C6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D2"/>
  </w:style>
  <w:style w:type="paragraph" w:styleId="ListParagraph">
    <w:name w:val="List Paragraph"/>
    <w:basedOn w:val="Normal"/>
    <w:uiPriority w:val="34"/>
    <w:qFormat/>
    <w:rsid w:val="00C63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605"/>
    <w:rPr>
      <w:color w:val="0563C1" w:themeColor="hyperlink"/>
      <w:u w:val="single"/>
    </w:rPr>
  </w:style>
  <w:style w:type="paragraph" w:customStyle="1" w:styleId="tv2132">
    <w:name w:val="tv2132"/>
    <w:basedOn w:val="Normal"/>
    <w:rsid w:val="00C20E8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C008B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008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k.gov.lv/content/ministru-kabineta-diskusiju-dokument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sabiedribas_lidzdaliba/tiesibu_aktu_projekti/es_un_arvalstu_finansu_palidzibas_politik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eagrants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agrants.lv/?id=4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D71434E5F458EAC25B5E42676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DDD6-DB5D-4C31-8619-2C1BFDAA08F4}"/>
      </w:docPartPr>
      <w:docPartBody>
        <w:p w:rsidR="00C03E71" w:rsidRDefault="00D67D0E" w:rsidP="00D67D0E">
          <w:pPr>
            <w:pStyle w:val="13DD71434E5F458EAC25B5E42676CD1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1C6CBC30CD6F4FDBA1AC8A9CDE21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657B-7378-46F0-A4F9-E5FDD5A198E8}"/>
      </w:docPartPr>
      <w:docPartBody>
        <w:p w:rsidR="00C03E71" w:rsidRDefault="00D67D0E" w:rsidP="00D67D0E">
          <w:pPr>
            <w:pStyle w:val="1C6CBC30CD6F4FDBA1AC8A9CDE21E30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0E"/>
    <w:rsid w:val="00AF3ADF"/>
    <w:rsid w:val="00C03E71"/>
    <w:rsid w:val="00D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D0E"/>
    <w:rPr>
      <w:color w:val="808080"/>
    </w:rPr>
  </w:style>
  <w:style w:type="paragraph" w:customStyle="1" w:styleId="13DD71434E5F458EAC25B5E42676CD18">
    <w:name w:val="13DD71434E5F458EAC25B5E42676CD18"/>
    <w:rsid w:val="00D67D0E"/>
  </w:style>
  <w:style w:type="paragraph" w:customStyle="1" w:styleId="1C6CBC30CD6F4FDBA1AC8A9CDE21E30C">
    <w:name w:val="1C6CBC30CD6F4FDBA1AC8A9CDE21E30C"/>
    <w:rsid w:val="00D6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Z.Logina (ESFSVD)</Vad_x012b_t_x0101_js>
    <TAP xmlns="49b0bb89-35b3-4114-9b1c-a376ef2ba045">87</TAP>
    <Kategorija xmlns="2e5bb04e-596e-45bd-9003-43ca78b1ba16">Anotācija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5A79-C123-4B44-A2E4-C71CE122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3F84B-FCEC-4A08-AC51-F5FEBD40369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B5A350E0-DE56-4E23-9E11-1C14BB6DE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0C182-810D-415A-8CCF-24C1AB63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7657</Words>
  <Characters>4365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"Ministru kabineta noteikumu “Grozījumi Ministru kabineta 2008. gada 26. februāra noteikumos Nr. 126 “Eiropas Ekonomikas zonas finanšu instrumenta un Norvēģijas valdības divpusējā finanšu instrumenta īstenošanas, uzrau(..)" anotācija</vt:lpstr>
    </vt:vector>
  </TitlesOfParts>
  <Company>FM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"Ministru kabineta noteikumu “Grozījumi Ministru kabineta 2008. gada 26. februāra noteikumos Nr. 126 “Eiropas Ekonomikas zonas finanšu instrumenta un Norvēģijas valdības divpusējā finanšu instrumenta īstenošanas, uzrau(..)" anotācija</dc:title>
  <dc:subject>Anotācija</dc:subject>
  <dc:creator>J. Kapilova (ESFSVD)</dc:creator>
  <cp:keywords/>
  <dc:description>Tālr.: 67083936_x000d_
E-pasts: jekaterina.kapilova@fm.gov.lv</dc:description>
  <cp:lastModifiedBy>Inguna Dancīte</cp:lastModifiedBy>
  <cp:revision>2</cp:revision>
  <cp:lastPrinted>2019-07-01T11:22:00Z</cp:lastPrinted>
  <dcterms:created xsi:type="dcterms:W3CDTF">2019-07-26T11:10:00Z</dcterms:created>
  <dcterms:modified xsi:type="dcterms:W3CDTF">2019-07-26T11:10:00Z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