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E147C" w14:textId="7BC70AD2" w:rsidR="00894C55" w:rsidRPr="00CA01DF" w:rsidRDefault="00AA51A0" w:rsidP="0057224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51A0">
        <w:rPr>
          <w:rFonts w:ascii="Times New Roman" w:hAnsi="Times New Roman" w:cs="Times New Roman"/>
          <w:b/>
          <w:sz w:val="24"/>
        </w:rPr>
        <w:t>Likum</w:t>
      </w:r>
      <w:r w:rsidR="004A67D6">
        <w:rPr>
          <w:rFonts w:ascii="Times New Roman" w:hAnsi="Times New Roman" w:cs="Times New Roman"/>
          <w:b/>
          <w:sz w:val="24"/>
        </w:rPr>
        <w:t>projekta</w:t>
      </w:r>
      <w:r w:rsidRPr="00AA51A0">
        <w:rPr>
          <w:rFonts w:ascii="Times New Roman" w:hAnsi="Times New Roman" w:cs="Times New Roman"/>
          <w:b/>
          <w:sz w:val="24"/>
        </w:rPr>
        <w:t xml:space="preserve"> “Par grozījumiem Konvencijā par dārgmetālu izstrādājumu pārbaudi un zīmogošanu”</w:t>
      </w:r>
      <w:r w:rsidR="00946012" w:rsidRPr="00CA01DF">
        <w:rPr>
          <w:rFonts w:ascii="Times New Roman" w:hAnsi="Times New Roman" w:cs="Times New Roman"/>
          <w:b/>
          <w:sz w:val="24"/>
        </w:rPr>
        <w:t xml:space="preserve"> sākotnējās ietekmes novērtējuma ziņojums (anotācija)</w:t>
      </w:r>
    </w:p>
    <w:p w14:paraId="5364B85B" w14:textId="77777777" w:rsidR="00E5323B" w:rsidRPr="00CA01DF" w:rsidRDefault="00E5323B" w:rsidP="00572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CA01DF" w:rsidRPr="00CA01DF" w14:paraId="0067CA2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56B2" w14:textId="77777777" w:rsidR="00655F2C" w:rsidRPr="00CA01D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A0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53C1B" w:rsidRPr="00EB7AEF" w14:paraId="2D2EA16C" w14:textId="77777777" w:rsidTr="000D7483">
        <w:trPr>
          <w:trHeight w:val="1942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1F0D6" w14:textId="77777777" w:rsidR="00E5323B" w:rsidRPr="00EB7AE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CA01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18F6" w14:textId="06E1B858" w:rsidR="00EA63CC" w:rsidRPr="003E0251" w:rsidRDefault="00605A16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Likumprojekta “</w:t>
            </w:r>
            <w:r w:rsidR="00AA51A0" w:rsidRPr="00AA5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grozījumiem Konvencijā par dārgmetālu izstrādājumu pārbaudi un zīmogošanu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EA63CC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</w:t>
            </w:r>
            <w:r w:rsidR="003E0251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pilnveidot atbilstoši mūsdienu tendencēm Konvencijas par dārgmetālu izstrādājumu pārbaudi un zīmogošanu</w:t>
            </w:r>
            <w:r w:rsid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98037E" w:rsidRP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tās 1988.gada 18.maija redakcija ar 1998.gada 25. un 26.maija, 2001.gada 9.janvāra un 2002.gada 15.oktobra grozījumiem</w:t>
            </w:r>
            <w:r w:rsidR="009803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</w:t>
            </w:r>
            <w:r w:rsidR="00965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Konvencija)</w:t>
            </w:r>
            <w:r w:rsidR="008B28D0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redakciju.</w:t>
            </w:r>
          </w:p>
          <w:p w14:paraId="636767B6" w14:textId="77777777" w:rsidR="000D7483" w:rsidRPr="003E0251" w:rsidRDefault="008B28D0" w:rsidP="000D7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dārgmetālu izstrādājumu jomā tiek ieviestas aizvien jaunas metodes dārgmetālu izstrādājumu pārbaudēm un zīmogošanai, </w:t>
            </w:r>
            <w:r w:rsidR="00F22091" w:rsidRP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Konvencijas 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izveidotā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Pastāvīgā</w:t>
            </w:r>
            <w:r w:rsidR="00353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komitejas dalībvalstis ir vienojušās par nepieciešamajām izmaiņām Konvencijas pielikumos, kas nosaka vienotas tehniskas prasības un pilnvaroto proves pārbaužu iestāžu veikto kontroļu darbības</w:t>
            </w:r>
            <w:r w:rsidR="000D7483" w:rsidRPr="003E02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102A2DD" w14:textId="4A9A0F96" w:rsidR="004D0684" w:rsidRPr="003E0251" w:rsidRDefault="0057080B" w:rsidP="00E0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Likums stāsies spēkā </w:t>
            </w:r>
            <w:r w:rsidR="00E00F56" w:rsidRPr="0079736B">
              <w:rPr>
                <w:rFonts w:ascii="Times New Roman" w:hAnsi="Times New Roman" w:cs="Times New Roman"/>
                <w:sz w:val="24"/>
                <w:szCs w:val="24"/>
              </w:rPr>
              <w:t>vispārējā kārtībā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F37B5B" w14:textId="77777777" w:rsidR="00E5323B" w:rsidRPr="00EB7AEF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v-SE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1CDCB28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4B11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B7AEF" w:rsidRPr="00EB7AEF" w14:paraId="391D8170" w14:textId="77777777" w:rsidTr="004D068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8C4D8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48556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BF92D" w14:textId="77777777" w:rsidR="008A3ECE" w:rsidRPr="0079736B" w:rsidRDefault="00587E0F" w:rsidP="00D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Konvencijas </w:t>
            </w:r>
            <w:r w:rsidR="00860D12" w:rsidRPr="0079736B">
              <w:rPr>
                <w:rFonts w:ascii="Times New Roman" w:hAnsi="Times New Roman" w:cs="Times New Roman"/>
                <w:sz w:val="24"/>
                <w:szCs w:val="24"/>
              </w:rPr>
              <w:t>izveidotā Pastāvīgā komiteja vienojās</w:t>
            </w:r>
            <w:r w:rsidR="00DA09A7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(2018.gada 20.aprīļa </w:t>
            </w:r>
            <w:r w:rsidR="00F22091" w:rsidRPr="0079736B">
              <w:rPr>
                <w:rFonts w:ascii="Times New Roman" w:hAnsi="Times New Roman" w:cs="Times New Roman"/>
                <w:sz w:val="24"/>
                <w:szCs w:val="24"/>
              </w:rPr>
              <w:t>Konvencijas par dārgmetālu izstrādājumu pārbaudi un zīmogošanu</w:t>
            </w:r>
            <w:r w:rsidR="00DA09A7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izveidotās Pastāvīgās komitejas sanāksme (Stokholma (Zviedrija)) (turpmāk – Protokols)</w:t>
            </w:r>
            <w:r w:rsidR="00860D1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grozīt 1972.gada 15.novembra Konvencijas I un II pielikumu. </w:t>
            </w:r>
          </w:p>
          <w:p w14:paraId="22731163" w14:textId="5B797C97" w:rsidR="00D525E8" w:rsidRPr="0079736B" w:rsidRDefault="00D525E8" w:rsidP="00D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>Konvencijas 10.panta ceturtajai daļai, Depozitārijs</w:t>
            </w:r>
            <w:r w:rsidR="0096568A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(Zviedrijas Karaliste)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par to paziņoja</w:t>
            </w:r>
            <w:r w:rsidR="0096568A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(Zviedrijas Karalistes Ārlietu ministrijas 2018.gada 31.maija vēstule)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visām Konvencijas dalībvalstīm. 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Savukārt Konvencijas 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11.panta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ceturt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piekt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saka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, ka, 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ja no Pastāvīgās komitejas ir saņemts priekšlikums par Konvencijas pielikumu grozījumu, </w:t>
            </w:r>
            <w:r w:rsidR="00072EF0" w:rsidRPr="007973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epozitārijs par to paziņo visām Līgumslēdzējām valstīm 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53322" w:rsidRPr="007973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ielikumu grozījum</w:t>
            </w:r>
            <w:r w:rsidR="00422532" w:rsidRPr="007973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sešu mēnešu laikā pēc tam, kad par to izziņojis </w:t>
            </w:r>
            <w:r w:rsidR="00072EF0" w:rsidRPr="007973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70549" w:rsidRPr="0079736B">
              <w:rPr>
                <w:rFonts w:ascii="Times New Roman" w:hAnsi="Times New Roman" w:cs="Times New Roman"/>
                <w:sz w:val="24"/>
                <w:szCs w:val="24"/>
              </w:rPr>
              <w:t>epozitārijs, ja vien kādas Līgumslēdzējas valsts valdība nav iebildusi vai ja grozījumā nav paredzēts vēlāks spēkā stāšanās datums.</w:t>
            </w:r>
          </w:p>
          <w:p w14:paraId="336EB4DE" w14:textId="0F8827E8" w:rsidR="00E5323B" w:rsidRPr="0079736B" w:rsidRDefault="00D525E8" w:rsidP="003C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vērā, ka noteikt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termiņ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saņemta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C45F7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Konvencijas </w:t>
            </w:r>
            <w:r w:rsidR="0096568A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dalībvalstu</w:t>
            </w:r>
            <w:r w:rsidR="00870549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negatīva atbilde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870549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Konvencijas pielikum</w:t>
            </w:r>
            <w:r w:rsidR="00422532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grozījum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stājās spēkā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2019.gada 1.janvār</w:t>
            </w:r>
            <w:r w:rsidR="00276E80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ī, kas arī jāpārņem Konvencijas dalībvalstīm nacionālajos normatīvajos aktos</w:t>
            </w:r>
            <w:r w:rsidR="004260BD" w:rsidRPr="00797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B7AEF" w:rsidRPr="00EB7AEF" w14:paraId="72EAE0D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88E5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7F8D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0D34" w14:textId="131B21C0" w:rsidR="009D7872" w:rsidRPr="00B778EB" w:rsidRDefault="000D7483" w:rsidP="000D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>Saskaņā ar l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ikuma</w:t>
            </w:r>
            <w:r w:rsidRPr="0079736B">
              <w:rPr>
                <w:rFonts w:ascii="Times New Roman" w:hAnsi="Times New Roman" w:cs="Times New Roman"/>
                <w:sz w:val="24"/>
                <w:szCs w:val="24"/>
              </w:rPr>
              <w:t xml:space="preserve"> “Par valsts proves uzraudzību” </w:t>
            </w:r>
            <w:r w:rsidR="009910E4" w:rsidRPr="0079736B">
              <w:rPr>
                <w:rFonts w:ascii="Times New Roman" w:hAnsi="Times New Roman" w:cs="Times New Roman"/>
                <w:sz w:val="24"/>
                <w:szCs w:val="24"/>
              </w:rPr>
              <w:t>3.pantu – Latvijas Republikā dārgmetālu izstrādājumus zīmogo ar proves zīmogiem, kuros norādītā prove atbilst Konvencijā par dārgmetālu izstrādājumu pārbaudi un zīmogošanu noteiktajām provēm un standartā LVS EN 29202:2000 “Rotaslietas — Dārgmetālu sakausējumu tīrība” noteiktajām provēm</w:t>
            </w:r>
            <w:r w:rsidR="009D7872" w:rsidRPr="007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Valsts proves uzraudzību Latvijas Republikā veic valsts sabiedrība ar ierobežotu atbildību “Latvijas proves birojs”, kuras laboratorija ir akreditēta atbilstoši akreditācijas standarta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>– LVS EN ISO/IEC 17025:2017</w:t>
            </w:r>
            <w:r w:rsidR="000B2CDA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>. Dārgmetālu izstrādājumu zīmogošana ar proves zīmogiem ir atzīta par efektīvu patērētāju interešu aizsardzības līdzekli. Dažādu valstu savstarpēja zīmogu atzīšana balstās uz starpvalstu līgumu bāzes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Konvencij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D7872" w:rsidRPr="009D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872" w:rsidRPr="00B778EB">
              <w:rPr>
                <w:rFonts w:ascii="Times New Roman" w:hAnsi="Times New Roman" w:cs="Times New Roman"/>
                <w:sz w:val="24"/>
                <w:szCs w:val="24"/>
              </w:rPr>
              <w:t>noteiktiem principiem.</w:t>
            </w:r>
          </w:p>
          <w:p w14:paraId="0A405A96" w14:textId="17D359F9" w:rsidR="000D7483" w:rsidRPr="00DE1B26" w:rsidRDefault="009D7872" w:rsidP="000D7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Konvencijas mērķis ir atvieglot </w:t>
            </w:r>
            <w:r w:rsidR="00562B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onvencijas dalībvalstīm starptautiskās tirdzniecības ar dārgmetālu izstrādājumiem nosacījumus, 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nodrošinot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patērētāju tiesību aizsardzības ievērošanu</w:t>
            </w:r>
            <w:r w:rsidR="00B778EB"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 paredzot Konvencijas dalībvalstu </w:t>
            </w:r>
            <w:r w:rsidR="00B778EB"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proves pārbaudes iestāžu </w:t>
            </w:r>
            <w:r w:rsidRPr="00B778EB">
              <w:rPr>
                <w:rFonts w:ascii="Times New Roman" w:hAnsi="Times New Roman" w:cs="Times New Roman"/>
                <w:sz w:val="24"/>
                <w:szCs w:val="24"/>
              </w:rPr>
              <w:t xml:space="preserve">zīmogu </w:t>
            </w: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>savstarpēj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 xml:space="preserve"> atzīšan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778EB" w:rsidRPr="00DE1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DFE609" w14:textId="77777777" w:rsidR="00512CA9" w:rsidRDefault="00DE1B26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26">
              <w:rPr>
                <w:rFonts w:ascii="Times New Roman" w:hAnsi="Times New Roman" w:cs="Times New Roman"/>
                <w:sz w:val="24"/>
                <w:szCs w:val="24"/>
              </w:rPr>
              <w:t>Konvencija nosaka dārgmetālu izstrādājumu pārbaudes un zīmogošanas metožu un procedūru standartu, tehnisko noteikumu un vadlīniju starptautisko saskaņošanu.</w:t>
            </w:r>
          </w:p>
          <w:p w14:paraId="4D44FFBC" w14:textId="77777777" w:rsidR="00E0312F" w:rsidRPr="008E0CBC" w:rsidRDefault="00DE1B26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 xml:space="preserve">Konvencijas I un II pielikuma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312F" w:rsidRPr="008E0CBC">
              <w:rPr>
                <w:rFonts w:ascii="Times New Roman" w:hAnsi="Times New Roman" w:cs="Times New Roman"/>
                <w:sz w:val="24"/>
                <w:szCs w:val="24"/>
              </w:rPr>
              <w:t>zmaiņas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aktualizē un </w:t>
            </w:r>
            <w:r w:rsidR="00E0312F" w:rsidRPr="008E0CBC">
              <w:rPr>
                <w:rFonts w:ascii="Times New Roman" w:hAnsi="Times New Roman" w:cs="Times New Roman"/>
                <w:sz w:val="24"/>
                <w:szCs w:val="24"/>
              </w:rPr>
              <w:t xml:space="preserve"> pilnveido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pielikumos izmantoto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terminu definīcijas,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zīmogošanas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tehniskās prasības un pilnvaroto proves pārbaudes iestāžu veiktās darbības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zmaiņ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as nepieciešamas, 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jomas darbības procesus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 xml:space="preserve"> ietekmē jauninājumi zīmogošanas metodē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un tehnoloģisk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B6E">
              <w:rPr>
                <w:rFonts w:ascii="Times New Roman" w:hAnsi="Times New Roman" w:cs="Times New Roman"/>
                <w:sz w:val="24"/>
                <w:szCs w:val="24"/>
              </w:rPr>
              <w:t>risinājumos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B150D" w14:textId="77777777" w:rsidR="00E0312F" w:rsidRPr="008E0CBC" w:rsidRDefault="00E0312F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b/>
                <w:sz w:val="24"/>
                <w:szCs w:val="24"/>
              </w:rPr>
              <w:t>Konvencijas I pielikums “Definīcijas un tehniskās prasības”.</w:t>
            </w:r>
          </w:p>
          <w:p w14:paraId="7D039904" w14:textId="77777777" w:rsidR="008E0CBC" w:rsidRP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i/>
                <w:sz w:val="24"/>
                <w:szCs w:val="24"/>
              </w:rPr>
              <w:t>Definīcijas.</w:t>
            </w:r>
          </w:p>
          <w:p w14:paraId="0E12340E" w14:textId="20E6C9DF" w:rsid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Sadaļā tiek redakcionāli pilnveidot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 xml:space="preserve">definīciju </w:t>
            </w:r>
            <w:r w:rsidR="000B2CDA">
              <w:rPr>
                <w:rFonts w:ascii="Times New Roman" w:hAnsi="Times New Roman" w:cs="Times New Roman"/>
                <w:sz w:val="24"/>
                <w:szCs w:val="24"/>
              </w:rPr>
              <w:t>saturs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kā arī iekļauti papildu terminu skaidrojumi, piem., j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auktu dārgmetālu izstrādājums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audzmetālu izstrādājums</w:t>
            </w:r>
            <w:r w:rsidR="00E71F32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8E0CBC">
              <w:rPr>
                <w:rFonts w:ascii="Times New Roman" w:hAnsi="Times New Roman" w:cs="Times New Roman"/>
                <w:sz w:val="24"/>
                <w:szCs w:val="24"/>
              </w:rPr>
              <w:t>roves pārbaude.</w:t>
            </w:r>
          </w:p>
          <w:p w14:paraId="69B5DEC7" w14:textId="77777777" w:rsidR="008E0CBC" w:rsidRPr="008E0CBC" w:rsidRDefault="008E0CBC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CBC">
              <w:rPr>
                <w:rFonts w:ascii="Times New Roman" w:hAnsi="Times New Roman" w:cs="Times New Roman"/>
                <w:i/>
                <w:sz w:val="24"/>
                <w:szCs w:val="24"/>
              </w:rPr>
              <w:t>Tehniskās prasības.</w:t>
            </w:r>
          </w:p>
          <w:p w14:paraId="01305D86" w14:textId="77777777" w:rsidR="008E0CBC" w:rsidRDefault="00E71F32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Sadaļ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 xml:space="preserve">tiek redakcionāli </w:t>
            </w:r>
            <w:r w:rsidR="00DE1B26">
              <w:rPr>
                <w:rFonts w:ascii="Times New Roman" w:hAnsi="Times New Roman" w:cs="Times New Roman"/>
                <w:sz w:val="24"/>
                <w:szCs w:val="24"/>
              </w:rPr>
              <w:t>pilnveidota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>, izslēdzot tiešu atsauci uz izstrādājumiem</w:t>
            </w:r>
            <w:r w:rsidR="00562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1D20">
              <w:rPr>
                <w:rFonts w:ascii="Times New Roman" w:hAnsi="Times New Roman" w:cs="Times New Roman"/>
                <w:sz w:val="24"/>
                <w:szCs w:val="24"/>
              </w:rPr>
              <w:t xml:space="preserve"> uz kuriem neattiecas Konvencija, kā arī nosakot Konvencijas proves standartus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0A05E" w14:textId="77777777" w:rsidR="001E1D20" w:rsidRPr="008E0CBC" w:rsidRDefault="001E1D20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Papildus tiek pilnveidota redakcija attiecībā uz  lodmetāla izmantošanas principiem, parasto metāla daļu un metālus nesaturošu daļu izmantošanu dārgmetālu izstrādājumos, 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daudzmetālu izstrādājumu izmantošanas nosacījumiem.</w:t>
            </w:r>
          </w:p>
          <w:p w14:paraId="5B9F108C" w14:textId="77777777" w:rsidR="00195BFD" w:rsidRPr="00195BFD" w:rsidRDefault="00195BFD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5B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Konvencijas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pielikums “Pilnvaroto proves pārbaudes iestāžu veiktā kontrole”.</w:t>
            </w:r>
          </w:p>
          <w:p w14:paraId="004AB6C3" w14:textId="77777777" w:rsidR="00EA63CC" w:rsidRPr="00512CA9" w:rsidRDefault="00512CA9" w:rsidP="00EA63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12CA9">
              <w:rPr>
                <w:rFonts w:ascii="Times New Roman" w:hAnsi="Times New Roman" w:cs="Times New Roman"/>
                <w:i/>
                <w:sz w:val="24"/>
                <w:szCs w:val="24"/>
              </w:rPr>
              <w:t>Vispārīga informācija.</w:t>
            </w:r>
          </w:p>
          <w:p w14:paraId="4D51F988" w14:textId="77777777" w:rsidR="00512CA9" w:rsidRDefault="00512CA9" w:rsidP="00512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>Detalizēti skaidrot</w:t>
            </w:r>
            <w:r w:rsidR="00072E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 xml:space="preserve"> proves pārbaudes iestādes rīcības principi, pārbaudot dārgmetālu izstrādājumus.</w:t>
            </w:r>
            <w:r w:rsidR="004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EDA59" w14:textId="77777777" w:rsidR="004B0D96" w:rsidRPr="004B0D96" w:rsidRDefault="004B0D96" w:rsidP="00512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i/>
                <w:sz w:val="24"/>
                <w:szCs w:val="24"/>
              </w:rPr>
              <w:t>Pārbaužu veikšana.</w:t>
            </w:r>
          </w:p>
          <w:p w14:paraId="5CFB70EE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96">
              <w:rPr>
                <w:rFonts w:ascii="Times New Roman" w:hAnsi="Times New Roman" w:cs="Times New Roman"/>
                <w:sz w:val="24"/>
                <w:szCs w:val="24"/>
              </w:rPr>
              <w:t xml:space="preserve">Papildus iekļauta norma, kas paredz darbības attiecībā uz dārgmetālu izstrādājumu, kas iesniegti </w:t>
            </w: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apzīmogošanai ar Vienoto pārbaudes zīmogu</w:t>
            </w:r>
            <w:r w:rsidR="00072EF0" w:rsidRPr="00A43CE8">
              <w:rPr>
                <w:rFonts w:ascii="Times New Roman" w:hAnsi="Times New Roman" w:cs="Times New Roman"/>
                <w:sz w:val="24"/>
                <w:szCs w:val="24"/>
              </w:rPr>
              <w:t>, pārbaudēm</w:t>
            </w: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B299E1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i/>
                <w:sz w:val="24"/>
                <w:szCs w:val="24"/>
              </w:rPr>
              <w:t>Pārbaudes metodes un analīzes metodes.</w:t>
            </w:r>
          </w:p>
          <w:p w14:paraId="0FC63E68" w14:textId="77777777" w:rsidR="004B0D96" w:rsidRPr="00A43CE8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sz w:val="24"/>
                <w:szCs w:val="24"/>
              </w:rPr>
              <w:t>Redakcionāli pilnveidots normas saturs, nosakot proves pārbaudes iestādes pārbaužu un analīžu metodes izmantošanu pienākumu.</w:t>
            </w:r>
          </w:p>
          <w:p w14:paraId="2AC7A44F" w14:textId="77777777" w:rsidR="004B0D96" w:rsidRDefault="004B0D96" w:rsidP="004B0D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CE8">
              <w:rPr>
                <w:rFonts w:ascii="Times New Roman" w:hAnsi="Times New Roman" w:cs="Times New Roman"/>
                <w:i/>
                <w:sz w:val="24"/>
                <w:szCs w:val="24"/>
              </w:rPr>
              <w:t>Zīmogošana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7F73CF8" w14:textId="77777777" w:rsidR="004B0D96" w:rsidRPr="004B0D96" w:rsidRDefault="004B0D96" w:rsidP="0016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4B">
              <w:rPr>
                <w:rFonts w:ascii="Times New Roman" w:hAnsi="Times New Roman" w:cs="Times New Roman"/>
                <w:sz w:val="24"/>
                <w:szCs w:val="24"/>
              </w:rPr>
              <w:t xml:space="preserve">Redakcionāli pilnveidots normas saturs, </w:t>
            </w:r>
            <w:r w:rsidR="00160A4B" w:rsidRPr="00160A4B">
              <w:rPr>
                <w:rFonts w:ascii="Times New Roman" w:hAnsi="Times New Roman" w:cs="Times New Roman"/>
                <w:sz w:val="24"/>
                <w:szCs w:val="24"/>
              </w:rPr>
              <w:t>nosakot Vienotā pārbaudes zīmoga (CCM) izmantošanas nosacījumus</w:t>
            </w:r>
            <w:r w:rsidR="00477C8A" w:rsidRPr="00160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230F5B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17845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FBDD2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D119" w14:textId="77777777" w:rsidR="00E5323B" w:rsidRPr="00C97011" w:rsidRDefault="00946012" w:rsidP="00C9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7011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ministrija, </w:t>
            </w:r>
            <w:r w:rsidR="00C97011" w:rsidRPr="00C97011">
              <w:rPr>
                <w:rFonts w:ascii="Times New Roman" w:hAnsi="Times New Roman" w:cs="Times New Roman"/>
                <w:sz w:val="24"/>
                <w:szCs w:val="24"/>
              </w:rPr>
              <w:t>valsts sabiedrība ar ierobežotu atbildību “Latvijas proves birojs”</w:t>
            </w:r>
            <w:r w:rsidRPr="00C9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1043100C" w14:textId="77777777" w:rsidTr="001A67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B0A20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297E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4A5A2" w14:textId="77777777" w:rsidR="00E5323B" w:rsidRPr="00C97011" w:rsidRDefault="0062006F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970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72E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7CB47D1" w14:textId="77777777" w:rsidR="00E5323B" w:rsidRPr="009D7BBF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7BB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25A2F7A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0440" w14:textId="77777777" w:rsidR="00655F2C" w:rsidRPr="009D7BBF" w:rsidRDefault="00E5323B" w:rsidP="0057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B7AEF" w:rsidRPr="00EB7AEF" w14:paraId="26B11AD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454F4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BFBD1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85F68" w14:textId="72C5516B" w:rsidR="00984756" w:rsidRPr="00C97011" w:rsidRDefault="006E3A8A" w:rsidP="006E3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 saimnieciskās darbības veicēji</w:t>
            </w:r>
            <w:r w:rsidR="006715DA" w:rsidRPr="00C97011">
              <w:rPr>
                <w:rFonts w:ascii="Times New Roman" w:hAnsi="Times New Roman" w:cs="Times New Roman"/>
                <w:sz w:val="24"/>
                <w:szCs w:val="24"/>
              </w:rPr>
              <w:t xml:space="preserve">, kas </w:t>
            </w:r>
            <w:r w:rsidR="00C97011" w:rsidRPr="00C97011">
              <w:rPr>
                <w:rFonts w:ascii="Times New Roman" w:hAnsi="Times New Roman" w:cs="Times New Roman"/>
                <w:sz w:val="24"/>
                <w:szCs w:val="24"/>
              </w:rPr>
              <w:t>izmanto valsts sabiedrības ar ierobežotu atbildību “Latvijas proves birojs” sniegtos pakalpojumus</w:t>
            </w:r>
            <w:r w:rsidR="006715DA" w:rsidRPr="00C97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237A82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029FC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E00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F6DBE" w14:textId="3D3B3BA7" w:rsidR="002E3EDD" w:rsidRDefault="00D82830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Grozījumi</w:t>
            </w:r>
            <w:r w:rsidR="00587E0F">
              <w:rPr>
                <w:rFonts w:ascii="Times New Roman" w:hAnsi="Times New Roman" w:cs="Times New Roman"/>
                <w:sz w:val="24"/>
                <w:szCs w:val="24"/>
              </w:rPr>
              <w:t xml:space="preserve"> Konvencijas pielikumos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neparedz ietekmi uz ta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utsaimniecību vai administratīvā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slog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a izmaiņas</w:t>
            </w:r>
            <w:r w:rsidR="006715DA"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31E066" w14:textId="77777777" w:rsidR="00B07ACF" w:rsidRPr="00D82830" w:rsidRDefault="00B07ACF" w:rsidP="00B0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Izmaiņas, kas tiešā veidā attiecas uz valsts sabiedrības ar ierobežotu atbildību “Latvijas proves birojs” darbību, neparedz izmaiņas izmantojamajās metodēs vai citos procesos. </w:t>
            </w:r>
          </w:p>
        </w:tc>
      </w:tr>
      <w:tr w:rsidR="00EB7AEF" w:rsidRPr="00EB7AEF" w14:paraId="1BE19FE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69D20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68FE4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B11AB" w14:textId="1EA570E3" w:rsidR="00E5323B" w:rsidRPr="00D82830" w:rsidRDefault="004A67D6" w:rsidP="00040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7AEF" w:rsidRPr="00EB7AEF" w14:paraId="286B82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C932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604D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23B59" w14:textId="595A950F" w:rsidR="008B74DE" w:rsidRPr="00D82830" w:rsidRDefault="004A67D6" w:rsidP="002B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B7AEF" w:rsidRPr="00D70F9D" w14:paraId="3F3DF42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9D8B" w14:textId="77777777" w:rsidR="00655F2C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3A7C0" w14:textId="77777777" w:rsidR="00E5323B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4AD1" w14:textId="77777777" w:rsidR="00E5323B" w:rsidRPr="00D70F9D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72EF0" w:rsidRPr="00D70F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6CBD61B" w14:textId="49DCE967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70F9D" w:rsidRPr="00D70F9D" w14:paraId="2DBD7B1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9929" w14:textId="77777777" w:rsidR="00655F2C" w:rsidRPr="00D70F9D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82830" w:rsidRPr="00D70F9D" w14:paraId="6285417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7AF84" w14:textId="77777777" w:rsidR="0062006F" w:rsidRPr="00D70F9D" w:rsidRDefault="00B37CE6" w:rsidP="002B3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="002B36F0"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</w:t>
            </w:r>
            <w:r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62006F" w:rsidRPr="00D70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šo jomu neskar.</w:t>
            </w:r>
          </w:p>
        </w:tc>
      </w:tr>
    </w:tbl>
    <w:p w14:paraId="2D2CEB90" w14:textId="56172BE1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70F9D" w:rsidRPr="00D70F9D" w14:paraId="08B7CDD6" w14:textId="77777777" w:rsidTr="00A000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5C6C9" w14:textId="77777777" w:rsidR="002B36F0" w:rsidRPr="00D70F9D" w:rsidRDefault="002B36F0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70F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82830" w:rsidRPr="00EB7AEF" w14:paraId="1DEF1421" w14:textId="77777777" w:rsidTr="00D8283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042CB" w14:textId="77777777" w:rsidR="00D82830" w:rsidRPr="004A67D6" w:rsidRDefault="00D82830" w:rsidP="00D8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lv-LV"/>
              </w:rPr>
            </w:pPr>
            <w:r w:rsidRPr="007E03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E3FA2C" w14:textId="77777777" w:rsidR="002B36F0" w:rsidRPr="00D70F9D" w:rsidRDefault="002B36F0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2"/>
        <w:gridCol w:w="3127"/>
        <w:gridCol w:w="5376"/>
      </w:tblGrid>
      <w:tr w:rsidR="00066426" w:rsidRPr="00066426" w14:paraId="4D42F400" w14:textId="77777777" w:rsidTr="00A000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4F11" w14:textId="77777777" w:rsidR="002B36F0" w:rsidRPr="00066426" w:rsidRDefault="002B36F0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66426" w:rsidRPr="00EB7AEF" w14:paraId="1C2F4488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78004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6DCE3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DC96" w14:textId="77777777" w:rsidR="00066426" w:rsidRPr="00066426" w:rsidRDefault="00066426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66426" w:rsidRPr="00EB7AEF" w14:paraId="461923C2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4C74F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FA7E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C709E" w14:textId="70E92CF5" w:rsidR="00066426" w:rsidRPr="00066426" w:rsidRDefault="000B5B6E" w:rsidP="00980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v-LV"/>
              </w:rPr>
            </w:pP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Apstiprinot 2018.gada 20.aprīļa </w:t>
            </w:r>
            <w:r w:rsidR="00F22091" w:rsidRPr="007C1D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Konvencijas 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izveidotās Pastāvīgās komitejas Protokol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u,</w:t>
            </w:r>
            <w:r w:rsidR="00066426" w:rsidRPr="00066426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160A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ar ko pieņemts grozīt 1972.gada 15.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novembra Konvencijas par dārgmetālu izstrādājumu pārbaudi un zīmogošanu </w:t>
            </w:r>
            <w:r w:rsid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(</w:t>
            </w:r>
            <w:r w:rsidR="0098037E" w:rsidRP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tās 1988.gada 18.maija redakcija ar 1998.gada 25. un 26.maija, 2001.gada 9.janvāra un 2002.gada 15.oktobra grozījumiem</w:t>
            </w:r>
            <w:r w:rsidR="009803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)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I un II pielikumu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, Latvija</w:t>
            </w:r>
            <w:r w:rsidR="004A30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Republika uzņemas saistības, ko nosaka ar šo Protokolu </w:t>
            </w:r>
            <w:r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noteiktā vienošanās</w:t>
            </w:r>
            <w:r w:rsidR="00066426" w:rsidRPr="000B5B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66426" w:rsidRPr="00EB7AEF" w14:paraId="02E93690" w14:textId="77777777" w:rsidTr="000B5B6E">
        <w:trPr>
          <w:tblCellSpacing w:w="15" w:type="dxa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D9275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86932" w14:textId="77777777" w:rsidR="00066426" w:rsidRPr="00066426" w:rsidRDefault="00066426" w:rsidP="000B5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88312" w14:textId="77777777" w:rsidR="00066426" w:rsidRPr="00DA09A7" w:rsidRDefault="00066426" w:rsidP="00DA0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Uzņemtās saistības, kas izriet no Protokol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ā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noteiktās vienošanās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nav pretrunā ar </w:t>
            </w:r>
            <w:r w:rsidR="00DA09A7"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nacionālā normatīvā regulējuma prasībām un </w:t>
            </w:r>
            <w:r w:rsidRPr="00DA09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saistībām, kas Latvijas Republikai izriet no dalības Eiropas Savienībā.</w:t>
            </w:r>
          </w:p>
        </w:tc>
      </w:tr>
    </w:tbl>
    <w:p w14:paraId="47DEF0E1" w14:textId="6B36CC73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842"/>
        <w:gridCol w:w="6795"/>
      </w:tblGrid>
      <w:tr w:rsidR="000067C0" w:rsidRPr="000067C0" w14:paraId="77E8694B" w14:textId="77777777" w:rsidTr="00745DB3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B4EB" w14:textId="77777777" w:rsidR="00655F2C" w:rsidRPr="000067C0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067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B7AEF" w:rsidRPr="00EB7AEF" w14:paraId="0220E214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C5EDA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ADBC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8C549" w14:textId="0386E585" w:rsidR="000A56EA" w:rsidRDefault="00974826" w:rsidP="00D8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izstrādi ir publicēta Finanšu ministrijas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tīmekļvietnē</w:t>
            </w:r>
            <w:r w:rsidR="008B7B6A"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sadaļā “Sabiedrības līdzdalība” – “Tiesību aktu projekti” – “Nodokļu politika”. Līdz ar to sabiedrības pārstāvji var līdzdarboties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projektā 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izstrādē, rakstveidā sniedzot viedokļus par 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. Tāpat sabiedrības pārstāvji varēs sniegt viedokļus par projektu pēc tā izsludināšanas Valsts sekretāru sanāksmē</w:t>
            </w:r>
            <w:r w:rsidR="00D62F4C"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D0CE82" w14:textId="14D5A5C1" w:rsidR="00066426" w:rsidRDefault="00066426" w:rsidP="00AA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izstrādi</w:t>
            </w:r>
            <w:r w:rsidR="008B7B6A"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papildus publicēta Valsts kancelejas 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tīmekļvietnē 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sadaļā “</w:t>
            </w:r>
            <w:r w:rsidR="008B7B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</w:t>
            </w: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īdzdalība”.</w:t>
            </w:r>
          </w:p>
          <w:p w14:paraId="09FFD0C4" w14:textId="5DB70909" w:rsidR="008B7B6A" w:rsidRDefault="008B7B6A" w:rsidP="008B7B6A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656001" w14:textId="3557037C" w:rsidR="008B7B6A" w:rsidRPr="00D82830" w:rsidRDefault="008B7B6A" w:rsidP="00AA5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B7AEF" w:rsidRPr="00EB7AEF" w14:paraId="62373A3D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DD954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750F8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78DB" w14:textId="6C20ACBB" w:rsidR="008B7B6A" w:rsidRPr="008B7B6A" w:rsidRDefault="00D62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Sabiedrības pārstāvji var līdzdarboties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izstrādē, rakstveidā sniedzot viedokļus par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 xml:space="preserve">par kuru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2830" w:rsidRPr="008B7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21.jūnijā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publicē</w:t>
            </w:r>
            <w:r w:rsidR="00745DB3">
              <w:rPr>
                <w:rFonts w:ascii="Times New Roman" w:hAnsi="Times New Roman" w:cs="Times New Roman"/>
                <w:sz w:val="24"/>
                <w:szCs w:val="24"/>
              </w:rPr>
              <w:t>ta informācija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ministrijas </w:t>
            </w:r>
            <w:r w:rsidR="008B7B6A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sadaļā “Sabiedrības līdzdalība” – “Tiesību aktu projekti” – “Nodokļu politika”, adrese:</w:t>
            </w:r>
            <w:r w:rsidR="00D82830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8EA1D" w14:textId="5124F490" w:rsidR="008B7B6A" w:rsidRPr="008B7B6A" w:rsidRDefault="009830CB" w:rsidP="007E0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roject577" w:history="1">
              <w:r w:rsidR="008B7B6A" w:rsidRPr="007E03E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https://www.fm.gov.lv/lv/sabiedribas_lidzdaliba/tiesibu_aktu_projekti/nodoklu_politika#project577</w:t>
              </w:r>
            </w:hyperlink>
          </w:p>
          <w:p w14:paraId="1AD7B378" w14:textId="04E665F2" w:rsidR="00066426" w:rsidRPr="008B7B6A" w:rsidRDefault="008B7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Valsts kancelejas 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>sadaļā “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Sabiedrības l</w:t>
            </w:r>
            <w:r w:rsidR="00066426" w:rsidRPr="008B7B6A">
              <w:rPr>
                <w:rFonts w:ascii="Times New Roman" w:hAnsi="Times New Roman" w:cs="Times New Roman"/>
                <w:sz w:val="24"/>
                <w:szCs w:val="24"/>
              </w:rPr>
              <w:t>īdzdalība”</w:t>
            </w:r>
            <w:r w:rsidRPr="008B7B6A">
              <w:rPr>
                <w:rFonts w:ascii="Times New Roman" w:hAnsi="Times New Roman" w:cs="Times New Roman"/>
                <w:sz w:val="24"/>
                <w:szCs w:val="24"/>
              </w:rPr>
              <w:t>, adrese:</w:t>
            </w:r>
          </w:p>
          <w:p w14:paraId="4107C5AC" w14:textId="28BB7CD7" w:rsidR="008B7B6A" w:rsidRPr="007E03EE" w:rsidRDefault="009830CB">
            <w:pPr>
              <w:spacing w:after="0" w:line="240" w:lineRule="auto"/>
              <w:jc w:val="both"/>
            </w:pPr>
            <w:hyperlink r:id="rId12" w:history="1">
              <w:r w:rsidR="008B7B6A" w:rsidRPr="007E03E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https://www.mk.gov.lv/content/ministru-kabineta-diskusiju-dokumenti</w:t>
              </w:r>
            </w:hyperlink>
          </w:p>
        </w:tc>
      </w:tr>
      <w:tr w:rsidR="00066426" w:rsidRPr="00066426" w14:paraId="34E0155F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21F6E" w14:textId="77777777" w:rsidR="00655F2C" w:rsidRPr="00066426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C707" w14:textId="77777777" w:rsidR="00E5323B" w:rsidRPr="00066426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C5259" w14:textId="1C3117E9" w:rsidR="00E5323B" w:rsidRPr="00066426" w:rsidRDefault="008B7B6A" w:rsidP="00D6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Iebildumi un priekšlikumi nav saņemti.</w:t>
            </w:r>
          </w:p>
        </w:tc>
      </w:tr>
      <w:tr w:rsidR="00EB7AEF" w:rsidRPr="00EB7AEF" w14:paraId="510143F8" w14:textId="77777777" w:rsidTr="00745DB3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0ACDD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45B7A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60BD9" w14:textId="77777777" w:rsidR="00E5323B" w:rsidRPr="00D82830" w:rsidRDefault="00066426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664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Sabiedrībai normatīvais akts pēc pieņemšanas tiks paziņots, to izsludinot ar publikāciju oficiālajā izdevumā “Latvijas Vēstnesis”, kā </w:t>
            </w:r>
            <w:r w:rsidRPr="0006642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arī normatīvais akts būs pieejams bezmaksas tiesību aktu datu bāzē www.likumi.lv.</w:t>
            </w:r>
          </w:p>
        </w:tc>
      </w:tr>
    </w:tbl>
    <w:p w14:paraId="38996D84" w14:textId="0D385893" w:rsidR="00E5323B" w:rsidRPr="00D70F9D" w:rsidRDefault="00E5323B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FD40121" w14:textId="20A953E6" w:rsidR="008B7B6A" w:rsidRPr="00D70F9D" w:rsidRDefault="008B7B6A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B047267" w14:textId="77777777" w:rsidR="008B7B6A" w:rsidRPr="00D70F9D" w:rsidRDefault="008B7B6A" w:rsidP="0057224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D7BBF" w:rsidRPr="009D7BBF" w14:paraId="55E6FA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B346C" w14:textId="77777777" w:rsidR="00655F2C" w:rsidRPr="009D7BBF" w:rsidRDefault="00E5323B" w:rsidP="0023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B7AEF" w:rsidRPr="00EB7AEF" w14:paraId="3E4090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16CA2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3834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E2F4" w14:textId="77777777" w:rsidR="00E5323B" w:rsidRPr="00D82830" w:rsidRDefault="00303821" w:rsidP="0006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ministrija, </w:t>
            </w:r>
            <w:r w:rsidR="00D82830" w:rsidRPr="00D82830">
              <w:rPr>
                <w:rFonts w:ascii="Times New Roman" w:hAnsi="Times New Roman" w:cs="Times New Roman"/>
                <w:sz w:val="24"/>
                <w:szCs w:val="24"/>
              </w:rPr>
              <w:t>valsts sabi</w:t>
            </w:r>
            <w:r w:rsidR="00066426">
              <w:rPr>
                <w:rFonts w:ascii="Times New Roman" w:hAnsi="Times New Roman" w:cs="Times New Roman"/>
                <w:sz w:val="24"/>
                <w:szCs w:val="24"/>
              </w:rPr>
              <w:t>edrība ar ierobežotu atbildību “</w:t>
            </w:r>
            <w:r w:rsidR="00D82830" w:rsidRPr="00D82830">
              <w:rPr>
                <w:rFonts w:ascii="Times New Roman" w:hAnsi="Times New Roman" w:cs="Times New Roman"/>
                <w:sz w:val="24"/>
                <w:szCs w:val="24"/>
              </w:rPr>
              <w:t>Latvijas proves birojs”</w:t>
            </w:r>
            <w:r w:rsidRPr="00D82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AEF" w:rsidRPr="00EB7AEF" w14:paraId="4728FAB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C076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1A4E7" w14:textId="77777777" w:rsidR="00D70F9D" w:rsidRDefault="00E5323B" w:rsidP="00D70F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BB83D3E" w14:textId="2A12EB17" w:rsidR="00E5323B" w:rsidRPr="009D7BBF" w:rsidRDefault="00E5323B" w:rsidP="00D70F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EB975" w14:textId="77777777" w:rsidR="008B7B6A" w:rsidRDefault="008B7B6A" w:rsidP="00D7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neparedz izmaiņas pārvaldes funkcijās un institucionālajā struktūrā.</w:t>
            </w:r>
          </w:p>
          <w:p w14:paraId="16AF00DC" w14:textId="3DCF46ED" w:rsidR="008B7B6A" w:rsidRDefault="00946012" w:rsidP="00D7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4">
              <w:rPr>
                <w:rFonts w:ascii="Times New Roman" w:hAnsi="Times New Roman" w:cs="Times New Roman"/>
                <w:sz w:val="24"/>
                <w:szCs w:val="24"/>
              </w:rPr>
              <w:t>Jaunas institūcijas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0C4" w:rsidRPr="00FE00C4">
              <w:rPr>
                <w:rFonts w:ascii="Times New Roman" w:hAnsi="Times New Roman" w:cs="Times New Roman"/>
                <w:sz w:val="24"/>
                <w:szCs w:val="24"/>
              </w:rPr>
              <w:t>netiek veidotas</w:t>
            </w:r>
            <w:r w:rsidR="008B7B6A">
              <w:rPr>
                <w:rFonts w:ascii="Times New Roman" w:hAnsi="Times New Roman" w:cs="Times New Roman"/>
                <w:sz w:val="24"/>
                <w:szCs w:val="24"/>
              </w:rPr>
              <w:t>, esošās institūcijas netiek likvidētas vai reorganizētas.</w:t>
            </w:r>
          </w:p>
          <w:p w14:paraId="46124D36" w14:textId="76142CE5" w:rsidR="00E5323B" w:rsidRPr="00FE00C4" w:rsidRDefault="008B7B6A" w:rsidP="00D7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tiks realizēts esošo cilvēkresursu un finansējuma ietvaros.</w:t>
            </w:r>
          </w:p>
        </w:tc>
      </w:tr>
      <w:tr w:rsidR="00A53C1B" w:rsidRPr="00EB7AEF" w14:paraId="4E875A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7201E" w14:textId="77777777" w:rsidR="00655F2C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7C603" w14:textId="77777777" w:rsidR="00E5323B" w:rsidRPr="009D7BBF" w:rsidRDefault="00E5323B" w:rsidP="00572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7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33E3" w14:textId="77777777" w:rsidR="00E5323B" w:rsidRPr="00FE00C4" w:rsidRDefault="00946012" w:rsidP="00572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E00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99FA605" w14:textId="77777777" w:rsidR="00C25B49" w:rsidRPr="009D7BBF" w:rsidRDefault="00C25B49" w:rsidP="0057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0DF30" w14:textId="77777777" w:rsidR="00E5323B" w:rsidRPr="009D7BBF" w:rsidRDefault="00E5323B" w:rsidP="0057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F1851" w14:textId="77777777" w:rsidR="004344F0" w:rsidRPr="009D7BBF" w:rsidRDefault="004344F0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Finanšu ministr</w:t>
      </w:r>
      <w:r w:rsidR="009D7BBF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s</w:t>
      </w:r>
      <w:r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AB5FD7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ab/>
      </w:r>
      <w:r w:rsidR="009D7BBF" w:rsidRPr="009D7BBF">
        <w:rPr>
          <w:rFonts w:ascii="Times New Roman" w:eastAsia="Times New Roman" w:hAnsi="Times New Roman" w:cs="Times New Roman"/>
          <w:sz w:val="24"/>
          <w:szCs w:val="28"/>
          <w:lang w:eastAsia="lv-LV"/>
        </w:rPr>
        <w:t>J.Reirs</w:t>
      </w:r>
    </w:p>
    <w:p w14:paraId="0904BA24" w14:textId="77777777" w:rsidR="004344F0" w:rsidRDefault="004344F0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659AF9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F6F628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4E431C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715646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0791C0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6F2FD0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8A4031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CD5492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32246E" w14:textId="77777777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AC5D11" w14:textId="41CA1D72" w:rsidR="007C1D8F" w:rsidRDefault="007C1D8F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D874BC" w14:textId="0BEABA59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FB90B8" w14:textId="024FA0A3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D24915" w14:textId="7E8B560F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718BF7" w14:textId="03B0D260" w:rsidR="006E3A8A" w:rsidRDefault="006E3A8A" w:rsidP="00572249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A1341D" w14:textId="7065937A" w:rsidR="004A67D6" w:rsidRPr="009D7BBF" w:rsidRDefault="009663F8" w:rsidP="00572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BBF">
        <w:rPr>
          <w:rFonts w:ascii="Times New Roman" w:hAnsi="Times New Roman" w:cs="Times New Roman"/>
          <w:sz w:val="20"/>
          <w:szCs w:val="20"/>
        </w:rPr>
        <w:t>Šidlovskis,</w:t>
      </w:r>
      <w:r w:rsidR="00946012" w:rsidRPr="009D7BBF">
        <w:rPr>
          <w:rFonts w:ascii="Times New Roman" w:hAnsi="Times New Roman" w:cs="Times New Roman"/>
          <w:sz w:val="20"/>
          <w:szCs w:val="20"/>
        </w:rPr>
        <w:t xml:space="preserve"> </w:t>
      </w:r>
      <w:r w:rsidRPr="009D7BBF">
        <w:rPr>
          <w:rFonts w:ascii="Times New Roman" w:hAnsi="Times New Roman" w:cs="Times New Roman"/>
          <w:sz w:val="20"/>
          <w:szCs w:val="20"/>
        </w:rPr>
        <w:t>67083894</w:t>
      </w:r>
    </w:p>
    <w:p w14:paraId="3BF92555" w14:textId="77777777" w:rsidR="00894C55" w:rsidRPr="009D7BBF" w:rsidRDefault="009830CB" w:rsidP="007E03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13" w:history="1">
        <w:r w:rsidR="009663F8" w:rsidRPr="009D7BB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Edgars.Sidlovskis@fm.gov.lv</w:t>
        </w:r>
      </w:hyperlink>
      <w:r w:rsidR="009663F8" w:rsidRPr="009D7BB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94C55" w:rsidRPr="009D7BBF" w:rsidSect="009A2654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0546" w14:textId="77777777" w:rsidR="009830CB" w:rsidRDefault="009830CB" w:rsidP="00894C55">
      <w:pPr>
        <w:spacing w:after="0" w:line="240" w:lineRule="auto"/>
      </w:pPr>
      <w:r>
        <w:separator/>
      </w:r>
    </w:p>
  </w:endnote>
  <w:endnote w:type="continuationSeparator" w:id="0">
    <w:p w14:paraId="4EAC7BCE" w14:textId="77777777" w:rsidR="009830CB" w:rsidRDefault="009830C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A328F" w14:textId="0F415F03" w:rsidR="00E04004" w:rsidRPr="00EB7AEF" w:rsidRDefault="00EB7AEF" w:rsidP="00EB7AEF">
    <w:pPr>
      <w:pStyle w:val="Footer"/>
    </w:pPr>
    <w:r w:rsidRPr="00EB7AEF">
      <w:rPr>
        <w:rFonts w:ascii="Times New Roman" w:hAnsi="Times New Roman" w:cs="Times New Roman"/>
        <w:sz w:val="20"/>
        <w:szCs w:val="20"/>
      </w:rPr>
      <w:t>FM</w:t>
    </w:r>
    <w:r w:rsidR="004A67D6">
      <w:rPr>
        <w:rFonts w:ascii="Times New Roman" w:hAnsi="Times New Roman" w:cs="Times New Roman"/>
        <w:sz w:val="20"/>
        <w:szCs w:val="20"/>
      </w:rPr>
      <w:t>A</w:t>
    </w:r>
    <w:r w:rsidRPr="00EB7AEF">
      <w:rPr>
        <w:rFonts w:ascii="Times New Roman" w:hAnsi="Times New Roman" w:cs="Times New Roman"/>
        <w:sz w:val="20"/>
        <w:szCs w:val="20"/>
      </w:rPr>
      <w:t>not_240419_Konv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9C7C" w14:textId="4E246ADD" w:rsidR="00E04004" w:rsidRPr="00EB7AEF" w:rsidRDefault="00EB7AEF" w:rsidP="00EB7AEF">
    <w:pPr>
      <w:pStyle w:val="Footer"/>
    </w:pPr>
    <w:r w:rsidRPr="00EB7AEF">
      <w:rPr>
        <w:rFonts w:ascii="Times New Roman" w:hAnsi="Times New Roman" w:cs="Times New Roman"/>
        <w:sz w:val="20"/>
        <w:szCs w:val="20"/>
      </w:rPr>
      <w:t>FM</w:t>
    </w:r>
    <w:r w:rsidR="004A67D6">
      <w:rPr>
        <w:rFonts w:ascii="Times New Roman" w:hAnsi="Times New Roman" w:cs="Times New Roman"/>
        <w:sz w:val="20"/>
        <w:szCs w:val="20"/>
      </w:rPr>
      <w:t>A</w:t>
    </w:r>
    <w:r w:rsidRPr="00EB7AEF">
      <w:rPr>
        <w:rFonts w:ascii="Times New Roman" w:hAnsi="Times New Roman" w:cs="Times New Roman"/>
        <w:sz w:val="20"/>
        <w:szCs w:val="20"/>
      </w:rPr>
      <w:t>not_240419_Konv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7FAB" w14:textId="77777777" w:rsidR="009830CB" w:rsidRDefault="009830CB" w:rsidP="00894C55">
      <w:pPr>
        <w:spacing w:after="0" w:line="240" w:lineRule="auto"/>
      </w:pPr>
      <w:r>
        <w:separator/>
      </w:r>
    </w:p>
  </w:footnote>
  <w:footnote w:type="continuationSeparator" w:id="0">
    <w:p w14:paraId="2E969400" w14:textId="77777777" w:rsidR="009830CB" w:rsidRDefault="009830C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1356C2D" w14:textId="1AD8EE15" w:rsidR="00E04004" w:rsidRPr="00C25B49" w:rsidRDefault="00E0400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D2503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3E45"/>
    <w:multiLevelType w:val="hybridMultilevel"/>
    <w:tmpl w:val="3C283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4E28"/>
    <w:rsid w:val="000067C0"/>
    <w:rsid w:val="000155A3"/>
    <w:rsid w:val="000162EE"/>
    <w:rsid w:val="00020946"/>
    <w:rsid w:val="0002653B"/>
    <w:rsid w:val="00037972"/>
    <w:rsid w:val="0004004C"/>
    <w:rsid w:val="00063B63"/>
    <w:rsid w:val="00066426"/>
    <w:rsid w:val="00072EF0"/>
    <w:rsid w:val="0009040E"/>
    <w:rsid w:val="000A56EA"/>
    <w:rsid w:val="000B2CDA"/>
    <w:rsid w:val="000B5B6E"/>
    <w:rsid w:val="000C1059"/>
    <w:rsid w:val="000C7E05"/>
    <w:rsid w:val="000D1EAB"/>
    <w:rsid w:val="000D2396"/>
    <w:rsid w:val="000D3B22"/>
    <w:rsid w:val="000D6627"/>
    <w:rsid w:val="000D7483"/>
    <w:rsid w:val="000E44F0"/>
    <w:rsid w:val="000F2679"/>
    <w:rsid w:val="0010625D"/>
    <w:rsid w:val="00115A4D"/>
    <w:rsid w:val="00122721"/>
    <w:rsid w:val="00141424"/>
    <w:rsid w:val="00160A4B"/>
    <w:rsid w:val="00161C2F"/>
    <w:rsid w:val="00163BD2"/>
    <w:rsid w:val="00165297"/>
    <w:rsid w:val="00167A2C"/>
    <w:rsid w:val="00173A76"/>
    <w:rsid w:val="00195BFD"/>
    <w:rsid w:val="001A15A2"/>
    <w:rsid w:val="001A31AB"/>
    <w:rsid w:val="001A347E"/>
    <w:rsid w:val="001A67C7"/>
    <w:rsid w:val="001A78B5"/>
    <w:rsid w:val="001B686F"/>
    <w:rsid w:val="001B6A73"/>
    <w:rsid w:val="001B7BF1"/>
    <w:rsid w:val="001C7130"/>
    <w:rsid w:val="001D52DA"/>
    <w:rsid w:val="001E1D20"/>
    <w:rsid w:val="001E2A4B"/>
    <w:rsid w:val="001F03F2"/>
    <w:rsid w:val="001F3645"/>
    <w:rsid w:val="00207D33"/>
    <w:rsid w:val="00210F34"/>
    <w:rsid w:val="0021285D"/>
    <w:rsid w:val="00215E57"/>
    <w:rsid w:val="00217588"/>
    <w:rsid w:val="00226008"/>
    <w:rsid w:val="00226630"/>
    <w:rsid w:val="00232EE7"/>
    <w:rsid w:val="00240EEE"/>
    <w:rsid w:val="00243426"/>
    <w:rsid w:val="002522D8"/>
    <w:rsid w:val="002557F7"/>
    <w:rsid w:val="00263858"/>
    <w:rsid w:val="00266BD8"/>
    <w:rsid w:val="00271019"/>
    <w:rsid w:val="00276E80"/>
    <w:rsid w:val="0028061F"/>
    <w:rsid w:val="00292AE4"/>
    <w:rsid w:val="00293E3C"/>
    <w:rsid w:val="0029507C"/>
    <w:rsid w:val="002B18D8"/>
    <w:rsid w:val="002B36F0"/>
    <w:rsid w:val="002C2C98"/>
    <w:rsid w:val="002E1C05"/>
    <w:rsid w:val="002E3EDD"/>
    <w:rsid w:val="002F723E"/>
    <w:rsid w:val="00303821"/>
    <w:rsid w:val="003204E7"/>
    <w:rsid w:val="00347603"/>
    <w:rsid w:val="00352E6D"/>
    <w:rsid w:val="00353322"/>
    <w:rsid w:val="00356CAD"/>
    <w:rsid w:val="00361D03"/>
    <w:rsid w:val="00362EA9"/>
    <w:rsid w:val="003655AA"/>
    <w:rsid w:val="00365FC0"/>
    <w:rsid w:val="00376929"/>
    <w:rsid w:val="003909E1"/>
    <w:rsid w:val="0039395B"/>
    <w:rsid w:val="003B0BF9"/>
    <w:rsid w:val="003C45F7"/>
    <w:rsid w:val="003E0251"/>
    <w:rsid w:val="003E0791"/>
    <w:rsid w:val="003E289A"/>
    <w:rsid w:val="003E52B8"/>
    <w:rsid w:val="003F28AC"/>
    <w:rsid w:val="003F5746"/>
    <w:rsid w:val="00414B7B"/>
    <w:rsid w:val="00414E6A"/>
    <w:rsid w:val="0041518F"/>
    <w:rsid w:val="00422532"/>
    <w:rsid w:val="004260BD"/>
    <w:rsid w:val="004274ED"/>
    <w:rsid w:val="004344F0"/>
    <w:rsid w:val="004370FF"/>
    <w:rsid w:val="004447DB"/>
    <w:rsid w:val="004454FE"/>
    <w:rsid w:val="004555A9"/>
    <w:rsid w:val="00456E40"/>
    <w:rsid w:val="00463C68"/>
    <w:rsid w:val="00471F27"/>
    <w:rsid w:val="00472426"/>
    <w:rsid w:val="004737A3"/>
    <w:rsid w:val="00477C8A"/>
    <w:rsid w:val="00483CED"/>
    <w:rsid w:val="00487FFA"/>
    <w:rsid w:val="004A30A3"/>
    <w:rsid w:val="004A67D6"/>
    <w:rsid w:val="004B0D96"/>
    <w:rsid w:val="004B7B3E"/>
    <w:rsid w:val="004D0684"/>
    <w:rsid w:val="004D0A91"/>
    <w:rsid w:val="004D1255"/>
    <w:rsid w:val="004D69C0"/>
    <w:rsid w:val="004E62F2"/>
    <w:rsid w:val="0050178F"/>
    <w:rsid w:val="005022B5"/>
    <w:rsid w:val="00505CC1"/>
    <w:rsid w:val="005071C4"/>
    <w:rsid w:val="00507F53"/>
    <w:rsid w:val="0051158C"/>
    <w:rsid w:val="00512CA9"/>
    <w:rsid w:val="005165E3"/>
    <w:rsid w:val="00552852"/>
    <w:rsid w:val="005577DD"/>
    <w:rsid w:val="00562B45"/>
    <w:rsid w:val="00567D0E"/>
    <w:rsid w:val="0057080B"/>
    <w:rsid w:val="00572249"/>
    <w:rsid w:val="00577A93"/>
    <w:rsid w:val="005872A8"/>
    <w:rsid w:val="00587E0F"/>
    <w:rsid w:val="005B2A57"/>
    <w:rsid w:val="005C0AA4"/>
    <w:rsid w:val="005C483D"/>
    <w:rsid w:val="005E17EC"/>
    <w:rsid w:val="005F1528"/>
    <w:rsid w:val="00602C7C"/>
    <w:rsid w:val="00605A16"/>
    <w:rsid w:val="00616DD0"/>
    <w:rsid w:val="0062006F"/>
    <w:rsid w:val="00634B0B"/>
    <w:rsid w:val="00637213"/>
    <w:rsid w:val="006456B2"/>
    <w:rsid w:val="006503AE"/>
    <w:rsid w:val="00655F2C"/>
    <w:rsid w:val="0066791E"/>
    <w:rsid w:val="00671553"/>
    <w:rsid w:val="006715DA"/>
    <w:rsid w:val="00672B77"/>
    <w:rsid w:val="006756E8"/>
    <w:rsid w:val="00684F80"/>
    <w:rsid w:val="00696F79"/>
    <w:rsid w:val="006A2B63"/>
    <w:rsid w:val="006A5FC5"/>
    <w:rsid w:val="006B6A37"/>
    <w:rsid w:val="006D3569"/>
    <w:rsid w:val="006E1081"/>
    <w:rsid w:val="006E1E99"/>
    <w:rsid w:val="006E3A8A"/>
    <w:rsid w:val="006E4A78"/>
    <w:rsid w:val="00711E17"/>
    <w:rsid w:val="00720585"/>
    <w:rsid w:val="007327BB"/>
    <w:rsid w:val="0074254F"/>
    <w:rsid w:val="00745DB3"/>
    <w:rsid w:val="007557A3"/>
    <w:rsid w:val="007723C1"/>
    <w:rsid w:val="00773AF6"/>
    <w:rsid w:val="00773CD1"/>
    <w:rsid w:val="00776E89"/>
    <w:rsid w:val="007802CA"/>
    <w:rsid w:val="00784933"/>
    <w:rsid w:val="00795F71"/>
    <w:rsid w:val="0079736B"/>
    <w:rsid w:val="007A3FBF"/>
    <w:rsid w:val="007C1D8F"/>
    <w:rsid w:val="007C671C"/>
    <w:rsid w:val="007D36DA"/>
    <w:rsid w:val="007D540C"/>
    <w:rsid w:val="007E03EE"/>
    <w:rsid w:val="007E0456"/>
    <w:rsid w:val="007E5F7A"/>
    <w:rsid w:val="007E73AB"/>
    <w:rsid w:val="007F167C"/>
    <w:rsid w:val="00802EB0"/>
    <w:rsid w:val="00804819"/>
    <w:rsid w:val="008114D3"/>
    <w:rsid w:val="00815DC5"/>
    <w:rsid w:val="00816C11"/>
    <w:rsid w:val="0082117B"/>
    <w:rsid w:val="0082555A"/>
    <w:rsid w:val="008473F9"/>
    <w:rsid w:val="00850B5A"/>
    <w:rsid w:val="00860D12"/>
    <w:rsid w:val="00870549"/>
    <w:rsid w:val="0087729F"/>
    <w:rsid w:val="00882A6E"/>
    <w:rsid w:val="008934B9"/>
    <w:rsid w:val="00894C55"/>
    <w:rsid w:val="00895B81"/>
    <w:rsid w:val="00896981"/>
    <w:rsid w:val="008A3ECE"/>
    <w:rsid w:val="008B0FCF"/>
    <w:rsid w:val="008B28D0"/>
    <w:rsid w:val="008B74DE"/>
    <w:rsid w:val="008B7B6A"/>
    <w:rsid w:val="008C5713"/>
    <w:rsid w:val="008D1395"/>
    <w:rsid w:val="008D7A5D"/>
    <w:rsid w:val="008E0CBC"/>
    <w:rsid w:val="008E4430"/>
    <w:rsid w:val="0091023D"/>
    <w:rsid w:val="009113D9"/>
    <w:rsid w:val="00913E89"/>
    <w:rsid w:val="00914B55"/>
    <w:rsid w:val="00916805"/>
    <w:rsid w:val="009300A3"/>
    <w:rsid w:val="009366A1"/>
    <w:rsid w:val="009430AD"/>
    <w:rsid w:val="009456F3"/>
    <w:rsid w:val="00946012"/>
    <w:rsid w:val="009626E7"/>
    <w:rsid w:val="0096568A"/>
    <w:rsid w:val="009663F8"/>
    <w:rsid w:val="009731D7"/>
    <w:rsid w:val="00974826"/>
    <w:rsid w:val="0098037E"/>
    <w:rsid w:val="009830CB"/>
    <w:rsid w:val="00984756"/>
    <w:rsid w:val="009910E4"/>
    <w:rsid w:val="009A2654"/>
    <w:rsid w:val="009C7C52"/>
    <w:rsid w:val="009D7151"/>
    <w:rsid w:val="009D7872"/>
    <w:rsid w:val="009D7BBF"/>
    <w:rsid w:val="009E17BF"/>
    <w:rsid w:val="009E3B0F"/>
    <w:rsid w:val="009F5302"/>
    <w:rsid w:val="00A066A3"/>
    <w:rsid w:val="00A10FC3"/>
    <w:rsid w:val="00A1250F"/>
    <w:rsid w:val="00A12B38"/>
    <w:rsid w:val="00A20409"/>
    <w:rsid w:val="00A20510"/>
    <w:rsid w:val="00A33F01"/>
    <w:rsid w:val="00A43CE8"/>
    <w:rsid w:val="00A51750"/>
    <w:rsid w:val="00A532C2"/>
    <w:rsid w:val="00A53C1B"/>
    <w:rsid w:val="00A54C83"/>
    <w:rsid w:val="00A6073E"/>
    <w:rsid w:val="00A707F2"/>
    <w:rsid w:val="00A9103D"/>
    <w:rsid w:val="00A92564"/>
    <w:rsid w:val="00A93D97"/>
    <w:rsid w:val="00A969BD"/>
    <w:rsid w:val="00AA51A0"/>
    <w:rsid w:val="00AB5FD7"/>
    <w:rsid w:val="00AC0D16"/>
    <w:rsid w:val="00AE155C"/>
    <w:rsid w:val="00AE5567"/>
    <w:rsid w:val="00AF1239"/>
    <w:rsid w:val="00B02F30"/>
    <w:rsid w:val="00B07ACF"/>
    <w:rsid w:val="00B14097"/>
    <w:rsid w:val="00B16480"/>
    <w:rsid w:val="00B2165C"/>
    <w:rsid w:val="00B23C65"/>
    <w:rsid w:val="00B24F04"/>
    <w:rsid w:val="00B37CE6"/>
    <w:rsid w:val="00B4014A"/>
    <w:rsid w:val="00B50C52"/>
    <w:rsid w:val="00B53A36"/>
    <w:rsid w:val="00B778EB"/>
    <w:rsid w:val="00B856F9"/>
    <w:rsid w:val="00B9115F"/>
    <w:rsid w:val="00B96B1B"/>
    <w:rsid w:val="00B970A7"/>
    <w:rsid w:val="00BA20AA"/>
    <w:rsid w:val="00BB5E20"/>
    <w:rsid w:val="00BD2503"/>
    <w:rsid w:val="00BD26C3"/>
    <w:rsid w:val="00BD4425"/>
    <w:rsid w:val="00BD62B6"/>
    <w:rsid w:val="00BF1456"/>
    <w:rsid w:val="00BF1CD9"/>
    <w:rsid w:val="00BF5D6A"/>
    <w:rsid w:val="00C14C7A"/>
    <w:rsid w:val="00C25B49"/>
    <w:rsid w:val="00C279B3"/>
    <w:rsid w:val="00C45BB0"/>
    <w:rsid w:val="00C64028"/>
    <w:rsid w:val="00C862C2"/>
    <w:rsid w:val="00C96F76"/>
    <w:rsid w:val="00C97011"/>
    <w:rsid w:val="00C97AD3"/>
    <w:rsid w:val="00CA01DF"/>
    <w:rsid w:val="00CA2F9F"/>
    <w:rsid w:val="00CA7EB7"/>
    <w:rsid w:val="00CB2273"/>
    <w:rsid w:val="00CB39B3"/>
    <w:rsid w:val="00CC0D2D"/>
    <w:rsid w:val="00CC6CD2"/>
    <w:rsid w:val="00CD351E"/>
    <w:rsid w:val="00CD4387"/>
    <w:rsid w:val="00CE5657"/>
    <w:rsid w:val="00CF6708"/>
    <w:rsid w:val="00CF7418"/>
    <w:rsid w:val="00D01DB7"/>
    <w:rsid w:val="00D02315"/>
    <w:rsid w:val="00D1128C"/>
    <w:rsid w:val="00D133F8"/>
    <w:rsid w:val="00D13A5C"/>
    <w:rsid w:val="00D14A3E"/>
    <w:rsid w:val="00D205FB"/>
    <w:rsid w:val="00D25EF5"/>
    <w:rsid w:val="00D525E8"/>
    <w:rsid w:val="00D62F4C"/>
    <w:rsid w:val="00D64EAF"/>
    <w:rsid w:val="00D70F9D"/>
    <w:rsid w:val="00D740CC"/>
    <w:rsid w:val="00D822F1"/>
    <w:rsid w:val="00D82830"/>
    <w:rsid w:val="00D82FE6"/>
    <w:rsid w:val="00D97643"/>
    <w:rsid w:val="00DA02BD"/>
    <w:rsid w:val="00DA05FE"/>
    <w:rsid w:val="00DA09A7"/>
    <w:rsid w:val="00DA56BC"/>
    <w:rsid w:val="00DC641F"/>
    <w:rsid w:val="00DD5A13"/>
    <w:rsid w:val="00DE1B26"/>
    <w:rsid w:val="00DE2C86"/>
    <w:rsid w:val="00DE3937"/>
    <w:rsid w:val="00DF4037"/>
    <w:rsid w:val="00E00F56"/>
    <w:rsid w:val="00E0312F"/>
    <w:rsid w:val="00E04004"/>
    <w:rsid w:val="00E06516"/>
    <w:rsid w:val="00E07A79"/>
    <w:rsid w:val="00E101BC"/>
    <w:rsid w:val="00E1286E"/>
    <w:rsid w:val="00E3716B"/>
    <w:rsid w:val="00E414DE"/>
    <w:rsid w:val="00E45C3D"/>
    <w:rsid w:val="00E5323B"/>
    <w:rsid w:val="00E6038E"/>
    <w:rsid w:val="00E608F9"/>
    <w:rsid w:val="00E63601"/>
    <w:rsid w:val="00E71F32"/>
    <w:rsid w:val="00E8749E"/>
    <w:rsid w:val="00E90C01"/>
    <w:rsid w:val="00E9522E"/>
    <w:rsid w:val="00EA3096"/>
    <w:rsid w:val="00EA486E"/>
    <w:rsid w:val="00EA63CC"/>
    <w:rsid w:val="00EB7AEF"/>
    <w:rsid w:val="00EB7D10"/>
    <w:rsid w:val="00EC351E"/>
    <w:rsid w:val="00EC5FAA"/>
    <w:rsid w:val="00ED0D29"/>
    <w:rsid w:val="00EE15EE"/>
    <w:rsid w:val="00EF421B"/>
    <w:rsid w:val="00F06E04"/>
    <w:rsid w:val="00F111D5"/>
    <w:rsid w:val="00F22091"/>
    <w:rsid w:val="00F368DA"/>
    <w:rsid w:val="00F559A5"/>
    <w:rsid w:val="00F57B0C"/>
    <w:rsid w:val="00F7056C"/>
    <w:rsid w:val="00F8475D"/>
    <w:rsid w:val="00F85405"/>
    <w:rsid w:val="00F93226"/>
    <w:rsid w:val="00FC5653"/>
    <w:rsid w:val="00FD1DE2"/>
    <w:rsid w:val="00FD2C34"/>
    <w:rsid w:val="00FD454B"/>
    <w:rsid w:val="00FE00C4"/>
    <w:rsid w:val="00FE1074"/>
    <w:rsid w:val="00FE729D"/>
    <w:rsid w:val="00FE7C0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468C"/>
  <w15:docId w15:val="{FA3A73A9-90BE-4774-AC0B-8727E25B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2D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1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1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13D9"/>
    <w:pPr>
      <w:ind w:left="720"/>
      <w:contextualSpacing/>
    </w:pPr>
  </w:style>
  <w:style w:type="table" w:styleId="TableGrid">
    <w:name w:val="Table Grid"/>
    <w:basedOn w:val="TableNormal"/>
    <w:uiPriority w:val="39"/>
    <w:rsid w:val="0094601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7B6A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32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76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3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4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gars.Sidlovskis@f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tiesibu_aktu_projekti/nodoklu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O. Bogdanova (NASIPD)</Vad_x012b_t_x0101_js>
    <Kategorija xmlns="2e5bb04e-596e-45bd-9003-43ca78b1ba16">Anotācija</Kategorija>
    <TAP xmlns="49b0bb89-35b3-4114-9b1c-a376ef2ba045">89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8081-BB18-4D18-9943-F220FBA24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8F8C4-FB86-454E-B638-0DC18677FB6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229CBC40-6304-406B-95A3-8D0D3CEF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7B20C-AF87-45B3-A6A4-0C6C35C9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6293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“Par grozījumiem Konvencijā par dārgmetālu izstrādājumu pārbaudi un zīmogošanu” sākotnējās ietekmes novērtējuma ziņojums (anotācija)</vt:lpstr>
    </vt:vector>
  </TitlesOfParts>
  <Company>Finanšu ministrija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grozījumiem Konvencijā par dārgmetālu izstrādājumu pārbaudi un zīmogošanu” sākotnējās ietekmes novērtējuma ziņojums (anotācija)</dc:title>
  <dc:subject>Anotācija</dc:subject>
  <dc:creator>E. Šidlovskis (NASIPD)</dc:creator>
  <dc:description>67083894, Edgars.Sidlovskis@fm.gov.lv</dc:description>
  <cp:lastModifiedBy>Inguna Dancīte</cp:lastModifiedBy>
  <cp:revision>2</cp:revision>
  <cp:lastPrinted>2019-07-25T10:14:00Z</cp:lastPrinted>
  <dcterms:created xsi:type="dcterms:W3CDTF">2019-07-26T11:08:00Z</dcterms:created>
  <dcterms:modified xsi:type="dcterms:W3CDTF">2019-07-26T11:08:00Z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