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6ED3A" w14:textId="6B1DCB7B" w:rsidR="00543AA6" w:rsidRPr="000B55A9" w:rsidRDefault="00393CF5" w:rsidP="00E660F2">
      <w:pPr>
        <w:spacing w:after="0" w:line="240" w:lineRule="auto"/>
        <w:ind w:firstLine="301"/>
        <w:jc w:val="center"/>
        <w:rPr>
          <w:rFonts w:ascii="Times New Roman" w:eastAsia="Times New Roman" w:hAnsi="Times New Roman" w:cs="Times New Roman"/>
          <w:b/>
          <w:bCs/>
          <w:sz w:val="26"/>
          <w:szCs w:val="26"/>
          <w:lang w:eastAsia="lv-LV"/>
        </w:rPr>
      </w:pPr>
      <w:r w:rsidRPr="000B55A9">
        <w:rPr>
          <w:rFonts w:ascii="Times New Roman" w:eastAsia="Times New Roman" w:hAnsi="Times New Roman" w:cs="Times New Roman"/>
          <w:b/>
          <w:bCs/>
          <w:sz w:val="24"/>
          <w:szCs w:val="24"/>
          <w:lang w:eastAsia="lv-LV"/>
        </w:rPr>
        <w:t xml:space="preserve"> </w:t>
      </w:r>
      <w:r w:rsidR="00E41115" w:rsidRPr="000B55A9">
        <w:rPr>
          <w:rFonts w:ascii="Times New Roman" w:eastAsia="Times New Roman" w:hAnsi="Times New Roman" w:cs="Times New Roman"/>
          <w:b/>
          <w:bCs/>
          <w:sz w:val="26"/>
          <w:szCs w:val="26"/>
          <w:lang w:eastAsia="lv-LV"/>
        </w:rPr>
        <w:t>Likumprojekta „Grozījumi likumā „Par akcīzes nodokli””</w:t>
      </w:r>
      <w:r w:rsidR="00543AA6" w:rsidRPr="000B55A9">
        <w:rPr>
          <w:rFonts w:ascii="Times New Roman" w:eastAsia="Times New Roman" w:hAnsi="Times New Roman" w:cs="Times New Roman"/>
          <w:b/>
          <w:bCs/>
          <w:sz w:val="26"/>
          <w:szCs w:val="26"/>
          <w:lang w:eastAsia="lv-LV"/>
        </w:rPr>
        <w:t xml:space="preserve"> sākotnējās ietekmes novērtējuma ziņojums</w:t>
      </w:r>
      <w:r w:rsidR="00543AA6" w:rsidRPr="000B55A9">
        <w:rPr>
          <w:rFonts w:ascii="Times New Roman" w:eastAsia="Times New Roman" w:hAnsi="Times New Roman" w:cs="Times New Roman"/>
          <w:b/>
          <w:bCs/>
          <w:sz w:val="26"/>
          <w:szCs w:val="26"/>
          <w:lang w:eastAsia="lv-LV"/>
        </w:rPr>
        <w:br/>
        <w:t>(anotācija)</w:t>
      </w:r>
    </w:p>
    <w:p w14:paraId="316FFEDE" w14:textId="77777777" w:rsidR="00E660F2" w:rsidRPr="000B55A9" w:rsidRDefault="00E660F2" w:rsidP="00E660F2">
      <w:pPr>
        <w:spacing w:after="0" w:line="240" w:lineRule="auto"/>
        <w:ind w:firstLine="301"/>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37"/>
        <w:gridCol w:w="5464"/>
      </w:tblGrid>
      <w:tr w:rsidR="00543AA6" w:rsidRPr="000B55A9" w14:paraId="58A90D2E" w14:textId="77777777" w:rsidTr="0058711A">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9C794EC" w14:textId="77777777"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B55A9">
              <w:rPr>
                <w:rFonts w:ascii="Times New Roman" w:eastAsia="Times New Roman" w:hAnsi="Times New Roman" w:cs="Times New Roman"/>
                <w:b/>
                <w:bCs/>
                <w:sz w:val="24"/>
                <w:szCs w:val="24"/>
                <w:lang w:eastAsia="lv-LV"/>
              </w:rPr>
              <w:t>Tiesību akta projekta anotācijas kopsavilkums</w:t>
            </w:r>
          </w:p>
        </w:tc>
      </w:tr>
      <w:tr w:rsidR="0058711A" w:rsidRPr="000B55A9" w14:paraId="198CEE9C" w14:textId="77777777" w:rsidTr="0058711A">
        <w:tc>
          <w:tcPr>
            <w:tcW w:w="1998" w:type="pct"/>
            <w:tcBorders>
              <w:top w:val="outset" w:sz="6" w:space="0" w:color="414142"/>
              <w:left w:val="outset" w:sz="6" w:space="0" w:color="414142"/>
              <w:bottom w:val="outset" w:sz="6" w:space="0" w:color="414142"/>
              <w:right w:val="outset" w:sz="6" w:space="0" w:color="414142"/>
            </w:tcBorders>
            <w:hideMark/>
          </w:tcPr>
          <w:p w14:paraId="43AD0960" w14:textId="77777777" w:rsidR="0058711A" w:rsidRPr="000B55A9" w:rsidRDefault="0058711A" w:rsidP="0069728C">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Mērķis, risinājums un projekta spēkā stāšanās laiks (500 zīmes bez atstarpēm)</w:t>
            </w:r>
          </w:p>
        </w:tc>
        <w:tc>
          <w:tcPr>
            <w:tcW w:w="3002" w:type="pct"/>
            <w:tcBorders>
              <w:top w:val="outset" w:sz="6" w:space="0" w:color="414142"/>
              <w:left w:val="outset" w:sz="6" w:space="0" w:color="414142"/>
              <w:bottom w:val="outset" w:sz="6" w:space="0" w:color="414142"/>
              <w:right w:val="outset" w:sz="6" w:space="0" w:color="414142"/>
            </w:tcBorders>
            <w:hideMark/>
          </w:tcPr>
          <w:p w14:paraId="72036AF8" w14:textId="3E51D4EB" w:rsidR="0098223B" w:rsidRPr="000B55A9" w:rsidRDefault="0058711A" w:rsidP="002E1357">
            <w:pPr>
              <w:spacing w:after="0" w:line="240" w:lineRule="auto"/>
              <w:ind w:firstLine="437"/>
              <w:jc w:val="both"/>
              <w:rPr>
                <w:rFonts w:ascii="Times New Roman" w:eastAsia="Times New Roman" w:hAnsi="Times New Roman" w:cs="Times New Roman"/>
                <w:bCs/>
                <w:sz w:val="24"/>
                <w:szCs w:val="24"/>
                <w:lang w:eastAsia="lv-LV"/>
              </w:rPr>
            </w:pPr>
            <w:r w:rsidRPr="000B55A9">
              <w:rPr>
                <w:rFonts w:ascii="Times New Roman" w:eastAsia="Times New Roman" w:hAnsi="Times New Roman" w:cs="Times New Roman"/>
                <w:sz w:val="24"/>
                <w:szCs w:val="24"/>
                <w:lang w:eastAsia="lv-LV"/>
              </w:rPr>
              <w:t xml:space="preserve">Likumprojekts </w:t>
            </w:r>
            <w:r w:rsidRPr="000B55A9">
              <w:rPr>
                <w:rFonts w:ascii="Times New Roman" w:eastAsia="Times New Roman" w:hAnsi="Times New Roman" w:cs="Times New Roman"/>
                <w:bCs/>
                <w:sz w:val="24"/>
                <w:szCs w:val="24"/>
                <w:lang w:eastAsia="lv-LV"/>
              </w:rPr>
              <w:t>„Grozījumi likumā „Par akcīzes nodokli”” (turpmāk – likumprojekts)</w:t>
            </w:r>
            <w:r w:rsidR="0098223B" w:rsidRPr="000B55A9">
              <w:rPr>
                <w:rFonts w:ascii="Times New Roman" w:eastAsia="Times New Roman" w:hAnsi="Times New Roman" w:cs="Times New Roman"/>
                <w:bCs/>
                <w:sz w:val="24"/>
                <w:szCs w:val="24"/>
                <w:lang w:eastAsia="lv-LV"/>
              </w:rPr>
              <w:t xml:space="preserve"> paredz:</w:t>
            </w:r>
          </w:p>
          <w:p w14:paraId="74D5F99F" w14:textId="062393A2" w:rsidR="0098223B" w:rsidRPr="000B55A9" w:rsidRDefault="0098223B" w:rsidP="0098223B">
            <w:pPr>
              <w:pStyle w:val="ListParagraph"/>
              <w:numPr>
                <w:ilvl w:val="0"/>
                <w:numId w:val="8"/>
              </w:numPr>
              <w:ind w:left="12" w:firstLine="348"/>
              <w:jc w:val="both"/>
            </w:pPr>
            <w:r w:rsidRPr="000B55A9">
              <w:t>atbilstoši Ministru kabineta 201</w:t>
            </w:r>
            <w:r w:rsidR="004D074C" w:rsidRPr="000B55A9">
              <w:t>7</w:t>
            </w:r>
            <w:r w:rsidRPr="000B55A9">
              <w:t xml:space="preserve">.gada </w:t>
            </w:r>
            <w:r w:rsidR="004D074C" w:rsidRPr="000B55A9">
              <w:t>21</w:t>
            </w:r>
            <w:r w:rsidRPr="000B55A9">
              <w:t>.j</w:t>
            </w:r>
            <w:r w:rsidR="004D074C" w:rsidRPr="000B55A9">
              <w:t>ūlija</w:t>
            </w:r>
            <w:r w:rsidRPr="000B55A9">
              <w:t xml:space="preserve"> </w:t>
            </w:r>
            <w:r w:rsidR="004D074C" w:rsidRPr="000B55A9">
              <w:t>rīkojuma Nr.379 “Par konceptuālo ziņojumu “Par atjaunojamo energoresursu izmantošanu transporta sektorā””</w:t>
            </w:r>
            <w:r w:rsidRPr="000B55A9">
              <w:t xml:space="preserve"> </w:t>
            </w:r>
            <w:r w:rsidR="004D074C" w:rsidRPr="000B55A9">
              <w:t>3.</w:t>
            </w:r>
            <w:r w:rsidR="00EB5073" w:rsidRPr="000B55A9">
              <w:t>punktā dot</w:t>
            </w:r>
            <w:r w:rsidR="00352677" w:rsidRPr="000B55A9">
              <w:t>ajam</w:t>
            </w:r>
            <w:r w:rsidR="00EB5073" w:rsidRPr="000B55A9">
              <w:t xml:space="preserve"> </w:t>
            </w:r>
            <w:r w:rsidRPr="000B55A9">
              <w:t xml:space="preserve">uzdevumam </w:t>
            </w:r>
            <w:r w:rsidR="004D074C" w:rsidRPr="000B55A9">
              <w:t xml:space="preserve">atcelt samazinātās akcīzes nodokļa likmes degvielai </w:t>
            </w:r>
            <w:r w:rsidR="00E55A00" w:rsidRPr="000B55A9">
              <w:t>E</w:t>
            </w:r>
            <w:r w:rsidR="004D074C" w:rsidRPr="000B55A9">
              <w:t>85 un B100</w:t>
            </w:r>
            <w:r w:rsidR="00352677" w:rsidRPr="000B55A9">
              <w:t>;</w:t>
            </w:r>
          </w:p>
          <w:p w14:paraId="48BB03E9" w14:textId="7AA16141" w:rsidR="0058711A" w:rsidRPr="000B55A9" w:rsidRDefault="004D074C" w:rsidP="004D074C">
            <w:pPr>
              <w:pStyle w:val="ListParagraph"/>
              <w:numPr>
                <w:ilvl w:val="0"/>
                <w:numId w:val="8"/>
              </w:numPr>
              <w:ind w:left="0" w:firstLine="360"/>
              <w:jc w:val="both"/>
            </w:pPr>
            <w:r w:rsidRPr="000B55A9">
              <w:rPr>
                <w:bCs/>
              </w:rPr>
              <w:t xml:space="preserve">atcelt samazinātās </w:t>
            </w:r>
            <w:r w:rsidR="00B54A51">
              <w:rPr>
                <w:bCs/>
              </w:rPr>
              <w:t xml:space="preserve">akcīzes nodokļa </w:t>
            </w:r>
            <w:r w:rsidRPr="000B55A9">
              <w:rPr>
                <w:bCs/>
              </w:rPr>
              <w:t xml:space="preserve">likmes bioproduktus saturošam kurināmajam un noteikt  biodīzeļdegvielai, kas pilnībā iegūta </w:t>
            </w:r>
            <w:r w:rsidR="001F6664">
              <w:rPr>
                <w:bCs/>
              </w:rPr>
              <w:t>no biomasas</w:t>
            </w:r>
            <w:r w:rsidRPr="000B55A9">
              <w:rPr>
                <w:bCs/>
              </w:rPr>
              <w:t xml:space="preserve">, un </w:t>
            </w:r>
            <w:proofErr w:type="spellStart"/>
            <w:r w:rsidRPr="000B55A9">
              <w:rPr>
                <w:bCs/>
              </w:rPr>
              <w:t>parafinizētai</w:t>
            </w:r>
            <w:proofErr w:type="spellEnd"/>
            <w:r w:rsidRPr="000B55A9">
              <w:rPr>
                <w:bCs/>
              </w:rPr>
              <w:t xml:space="preserve"> dīzeļdegvielai,</w:t>
            </w:r>
            <w:r w:rsidR="003F6220" w:rsidRPr="000B55A9">
              <w:rPr>
                <w:bCs/>
              </w:rPr>
              <w:t xml:space="preserve"> kas iegūta no biomasas,</w:t>
            </w:r>
            <w:r w:rsidRPr="000B55A9">
              <w:rPr>
                <w:bCs/>
              </w:rPr>
              <w:t xml:space="preserve"> kuru izmanto kā kurināmo minimālo akcīzes nodokļa likmi</w:t>
            </w:r>
            <w:r w:rsidR="0058711A" w:rsidRPr="000B55A9">
              <w:t>.</w:t>
            </w:r>
          </w:p>
          <w:p w14:paraId="604D88FB" w14:textId="27224B11" w:rsidR="0068595F" w:rsidRPr="000B55A9" w:rsidRDefault="0068595F" w:rsidP="002E1357">
            <w:pPr>
              <w:spacing w:after="0" w:line="240" w:lineRule="auto"/>
              <w:ind w:firstLine="437"/>
              <w:jc w:val="both"/>
              <w:rPr>
                <w:rFonts w:ascii="Times New Roman" w:eastAsia="Times New Roman" w:hAnsi="Times New Roman" w:cs="Times New Roman"/>
                <w:color w:val="7030A0"/>
                <w:sz w:val="24"/>
                <w:szCs w:val="24"/>
                <w:lang w:eastAsia="lv-LV"/>
              </w:rPr>
            </w:pPr>
            <w:r w:rsidRPr="000B55A9">
              <w:rPr>
                <w:rFonts w:ascii="Times New Roman" w:eastAsia="Times New Roman" w:hAnsi="Times New Roman" w:cs="Times New Roman"/>
                <w:sz w:val="24"/>
                <w:szCs w:val="24"/>
                <w:lang w:eastAsia="lv-LV"/>
              </w:rPr>
              <w:t xml:space="preserve">Likums stājas spēkā </w:t>
            </w:r>
            <w:r w:rsidR="00423A8B" w:rsidRPr="00B54A51">
              <w:rPr>
                <w:rFonts w:ascii="Times New Roman" w:eastAsia="Times New Roman" w:hAnsi="Times New Roman" w:cs="Times New Roman"/>
                <w:sz w:val="24"/>
                <w:szCs w:val="24"/>
                <w:lang w:eastAsia="lv-LV"/>
              </w:rPr>
              <w:t>2020</w:t>
            </w:r>
            <w:r w:rsidR="004D074C" w:rsidRPr="00B54A51">
              <w:rPr>
                <w:rFonts w:ascii="Times New Roman" w:eastAsia="Times New Roman" w:hAnsi="Times New Roman" w:cs="Times New Roman"/>
                <w:sz w:val="24"/>
                <w:szCs w:val="24"/>
                <w:lang w:eastAsia="lv-LV"/>
              </w:rPr>
              <w:t>.gada 1.</w:t>
            </w:r>
            <w:r w:rsidR="006E6727" w:rsidRPr="00B54A51">
              <w:rPr>
                <w:rFonts w:ascii="Times New Roman" w:eastAsia="Times New Roman" w:hAnsi="Times New Roman" w:cs="Times New Roman"/>
                <w:sz w:val="24"/>
                <w:szCs w:val="24"/>
                <w:lang w:eastAsia="lv-LV"/>
              </w:rPr>
              <w:t>j</w:t>
            </w:r>
            <w:r w:rsidR="00423A8B" w:rsidRPr="00B54A51">
              <w:rPr>
                <w:rFonts w:ascii="Times New Roman" w:eastAsia="Times New Roman" w:hAnsi="Times New Roman" w:cs="Times New Roman"/>
                <w:sz w:val="24"/>
                <w:szCs w:val="24"/>
                <w:lang w:eastAsia="lv-LV"/>
              </w:rPr>
              <w:t>anvārī</w:t>
            </w:r>
            <w:r w:rsidRPr="00B54A51">
              <w:rPr>
                <w:rFonts w:ascii="Times New Roman" w:eastAsia="Times New Roman" w:hAnsi="Times New Roman" w:cs="Times New Roman"/>
                <w:sz w:val="24"/>
                <w:szCs w:val="24"/>
                <w:lang w:eastAsia="lv-LV"/>
              </w:rPr>
              <w:t>.</w:t>
            </w:r>
          </w:p>
        </w:tc>
      </w:tr>
    </w:tbl>
    <w:p w14:paraId="16602EF9" w14:textId="77777777" w:rsidR="0058711A" w:rsidRPr="000B55A9" w:rsidRDefault="0058711A" w:rsidP="00543AA6">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0B55A9" w14:paraId="75DE3A1C"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564692" w14:textId="77777777"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B55A9">
              <w:rPr>
                <w:rFonts w:ascii="Times New Roman" w:eastAsia="Times New Roman" w:hAnsi="Times New Roman" w:cs="Times New Roman"/>
                <w:b/>
                <w:bCs/>
                <w:sz w:val="24"/>
                <w:szCs w:val="24"/>
                <w:lang w:eastAsia="lv-LV"/>
              </w:rPr>
              <w:t>I. Tiesību akta projekta izstrādes nepieciešamība</w:t>
            </w:r>
          </w:p>
        </w:tc>
      </w:tr>
      <w:tr w:rsidR="00543AA6" w:rsidRPr="000B55A9" w14:paraId="5EC297F5"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696833AA" w14:textId="77777777"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1.</w:t>
            </w:r>
          </w:p>
        </w:tc>
        <w:tc>
          <w:tcPr>
            <w:tcW w:w="1665" w:type="pct"/>
            <w:tcBorders>
              <w:top w:val="outset" w:sz="6" w:space="0" w:color="414142"/>
              <w:left w:val="outset" w:sz="6" w:space="0" w:color="414142"/>
              <w:bottom w:val="outset" w:sz="6" w:space="0" w:color="414142"/>
              <w:right w:val="outset" w:sz="6" w:space="0" w:color="414142"/>
            </w:tcBorders>
            <w:hideMark/>
          </w:tcPr>
          <w:p w14:paraId="5D92E563" w14:textId="521AF47C" w:rsidR="00520DA7" w:rsidRDefault="00543AA6"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Pamatojums</w:t>
            </w:r>
          </w:p>
          <w:p w14:paraId="54FBFB95" w14:textId="77777777" w:rsidR="00520DA7" w:rsidRPr="00520DA7" w:rsidRDefault="00520DA7" w:rsidP="00520DA7">
            <w:pPr>
              <w:rPr>
                <w:rFonts w:ascii="Times New Roman" w:eastAsia="Times New Roman" w:hAnsi="Times New Roman" w:cs="Times New Roman"/>
                <w:sz w:val="24"/>
                <w:szCs w:val="24"/>
                <w:lang w:eastAsia="lv-LV"/>
              </w:rPr>
            </w:pPr>
          </w:p>
          <w:p w14:paraId="38AE722B" w14:textId="77777777" w:rsidR="00520DA7" w:rsidRPr="00520DA7" w:rsidRDefault="00520DA7" w:rsidP="00520DA7">
            <w:pPr>
              <w:rPr>
                <w:rFonts w:ascii="Times New Roman" w:eastAsia="Times New Roman" w:hAnsi="Times New Roman" w:cs="Times New Roman"/>
                <w:sz w:val="24"/>
                <w:szCs w:val="24"/>
                <w:lang w:eastAsia="lv-LV"/>
              </w:rPr>
            </w:pPr>
          </w:p>
          <w:p w14:paraId="27AC1E4F" w14:textId="77777777" w:rsidR="00520DA7" w:rsidRPr="00520DA7" w:rsidRDefault="00520DA7" w:rsidP="00520DA7">
            <w:pPr>
              <w:rPr>
                <w:rFonts w:ascii="Times New Roman" w:eastAsia="Times New Roman" w:hAnsi="Times New Roman" w:cs="Times New Roman"/>
                <w:sz w:val="24"/>
                <w:szCs w:val="24"/>
                <w:lang w:eastAsia="lv-LV"/>
              </w:rPr>
            </w:pPr>
          </w:p>
          <w:p w14:paraId="3380CBFA" w14:textId="77777777" w:rsidR="00520DA7" w:rsidRPr="00520DA7" w:rsidRDefault="00520DA7" w:rsidP="00520DA7">
            <w:pPr>
              <w:rPr>
                <w:rFonts w:ascii="Times New Roman" w:eastAsia="Times New Roman" w:hAnsi="Times New Roman" w:cs="Times New Roman"/>
                <w:sz w:val="24"/>
                <w:szCs w:val="24"/>
                <w:lang w:eastAsia="lv-LV"/>
              </w:rPr>
            </w:pPr>
          </w:p>
          <w:p w14:paraId="6B7D23E8" w14:textId="77777777" w:rsidR="00520DA7" w:rsidRPr="00520DA7" w:rsidRDefault="00520DA7" w:rsidP="00520DA7">
            <w:pPr>
              <w:rPr>
                <w:rFonts w:ascii="Times New Roman" w:eastAsia="Times New Roman" w:hAnsi="Times New Roman" w:cs="Times New Roman"/>
                <w:sz w:val="24"/>
                <w:szCs w:val="24"/>
                <w:lang w:eastAsia="lv-LV"/>
              </w:rPr>
            </w:pPr>
          </w:p>
          <w:p w14:paraId="743F3D1B" w14:textId="77777777" w:rsidR="00520DA7" w:rsidRPr="00520DA7" w:rsidRDefault="00520DA7" w:rsidP="00520DA7">
            <w:pPr>
              <w:rPr>
                <w:rFonts w:ascii="Times New Roman" w:eastAsia="Times New Roman" w:hAnsi="Times New Roman" w:cs="Times New Roman"/>
                <w:sz w:val="24"/>
                <w:szCs w:val="24"/>
                <w:lang w:eastAsia="lv-LV"/>
              </w:rPr>
            </w:pPr>
          </w:p>
          <w:p w14:paraId="6FB6B16B" w14:textId="77777777" w:rsidR="00520DA7" w:rsidRPr="00520DA7" w:rsidRDefault="00520DA7" w:rsidP="00520DA7">
            <w:pPr>
              <w:rPr>
                <w:rFonts w:ascii="Times New Roman" w:eastAsia="Times New Roman" w:hAnsi="Times New Roman" w:cs="Times New Roman"/>
                <w:sz w:val="24"/>
                <w:szCs w:val="24"/>
                <w:lang w:eastAsia="lv-LV"/>
              </w:rPr>
            </w:pPr>
          </w:p>
          <w:p w14:paraId="698E8E8B" w14:textId="77777777" w:rsidR="00520DA7" w:rsidRPr="00520DA7" w:rsidRDefault="00520DA7" w:rsidP="00520DA7">
            <w:pPr>
              <w:rPr>
                <w:rFonts w:ascii="Times New Roman" w:eastAsia="Times New Roman" w:hAnsi="Times New Roman" w:cs="Times New Roman"/>
                <w:sz w:val="24"/>
                <w:szCs w:val="24"/>
                <w:lang w:eastAsia="lv-LV"/>
              </w:rPr>
            </w:pPr>
          </w:p>
          <w:p w14:paraId="08FE7CA2" w14:textId="77777777" w:rsidR="00520DA7" w:rsidRPr="00520DA7" w:rsidRDefault="00520DA7" w:rsidP="00520DA7">
            <w:pPr>
              <w:rPr>
                <w:rFonts w:ascii="Times New Roman" w:eastAsia="Times New Roman" w:hAnsi="Times New Roman" w:cs="Times New Roman"/>
                <w:sz w:val="24"/>
                <w:szCs w:val="24"/>
                <w:lang w:eastAsia="lv-LV"/>
              </w:rPr>
            </w:pPr>
          </w:p>
          <w:p w14:paraId="68C0848A" w14:textId="77777777" w:rsidR="00520DA7" w:rsidRPr="00520DA7" w:rsidRDefault="00520DA7" w:rsidP="00520DA7">
            <w:pPr>
              <w:rPr>
                <w:rFonts w:ascii="Times New Roman" w:eastAsia="Times New Roman" w:hAnsi="Times New Roman" w:cs="Times New Roman"/>
                <w:sz w:val="24"/>
                <w:szCs w:val="24"/>
                <w:lang w:eastAsia="lv-LV"/>
              </w:rPr>
            </w:pPr>
          </w:p>
          <w:p w14:paraId="524434BC" w14:textId="77777777" w:rsidR="00520DA7" w:rsidRPr="00520DA7" w:rsidRDefault="00520DA7" w:rsidP="00520DA7">
            <w:pPr>
              <w:rPr>
                <w:rFonts w:ascii="Times New Roman" w:eastAsia="Times New Roman" w:hAnsi="Times New Roman" w:cs="Times New Roman"/>
                <w:sz w:val="24"/>
                <w:szCs w:val="24"/>
                <w:lang w:eastAsia="lv-LV"/>
              </w:rPr>
            </w:pPr>
          </w:p>
          <w:p w14:paraId="4CC87E28" w14:textId="77777777" w:rsidR="00520DA7" w:rsidRPr="00520DA7" w:rsidRDefault="00520DA7" w:rsidP="00520DA7">
            <w:pPr>
              <w:rPr>
                <w:rFonts w:ascii="Times New Roman" w:eastAsia="Times New Roman" w:hAnsi="Times New Roman" w:cs="Times New Roman"/>
                <w:sz w:val="24"/>
                <w:szCs w:val="24"/>
                <w:lang w:eastAsia="lv-LV"/>
              </w:rPr>
            </w:pPr>
          </w:p>
          <w:p w14:paraId="0C18A3D6" w14:textId="77777777" w:rsidR="00520DA7" w:rsidRPr="00520DA7" w:rsidRDefault="00520DA7" w:rsidP="00520DA7">
            <w:pPr>
              <w:rPr>
                <w:rFonts w:ascii="Times New Roman" w:eastAsia="Times New Roman" w:hAnsi="Times New Roman" w:cs="Times New Roman"/>
                <w:sz w:val="24"/>
                <w:szCs w:val="24"/>
                <w:lang w:eastAsia="lv-LV"/>
              </w:rPr>
            </w:pPr>
          </w:p>
          <w:p w14:paraId="6F222D55" w14:textId="2851FBB2" w:rsidR="00520DA7" w:rsidRDefault="00520DA7" w:rsidP="00520DA7">
            <w:pPr>
              <w:rPr>
                <w:rFonts w:ascii="Times New Roman" w:eastAsia="Times New Roman" w:hAnsi="Times New Roman" w:cs="Times New Roman"/>
                <w:sz w:val="24"/>
                <w:szCs w:val="24"/>
                <w:lang w:eastAsia="lv-LV"/>
              </w:rPr>
            </w:pPr>
          </w:p>
          <w:p w14:paraId="6C31A2EB" w14:textId="77777777" w:rsidR="00543AA6" w:rsidRPr="00520DA7" w:rsidRDefault="00543AA6" w:rsidP="00520DA7">
            <w:pPr>
              <w:ind w:firstLine="720"/>
              <w:rPr>
                <w:rFonts w:ascii="Times New Roman" w:eastAsia="Times New Roman" w:hAnsi="Times New Roman" w:cs="Times New Roman"/>
                <w:sz w:val="24"/>
                <w:szCs w:val="24"/>
                <w:lang w:eastAsia="lv-LV"/>
              </w:rPr>
            </w:pPr>
          </w:p>
        </w:tc>
        <w:tc>
          <w:tcPr>
            <w:tcW w:w="2994" w:type="pct"/>
            <w:tcBorders>
              <w:top w:val="outset" w:sz="6" w:space="0" w:color="414142"/>
              <w:left w:val="outset" w:sz="6" w:space="0" w:color="414142"/>
              <w:bottom w:val="outset" w:sz="6" w:space="0" w:color="414142"/>
              <w:right w:val="outset" w:sz="6" w:space="0" w:color="414142"/>
            </w:tcBorders>
            <w:hideMark/>
          </w:tcPr>
          <w:p w14:paraId="12F4CF6C" w14:textId="1DE37376" w:rsidR="007604A0" w:rsidRPr="000B55A9" w:rsidRDefault="00563C06" w:rsidP="007604A0">
            <w:pPr>
              <w:spacing w:after="0" w:line="240" w:lineRule="auto"/>
              <w:ind w:firstLine="390"/>
              <w:jc w:val="both"/>
              <w:rPr>
                <w:rFonts w:ascii="Times New Roman" w:hAnsi="Times New Roman" w:cs="Times New Roman"/>
                <w:sz w:val="24"/>
                <w:szCs w:val="24"/>
              </w:rPr>
            </w:pPr>
            <w:r w:rsidRPr="000B55A9">
              <w:rPr>
                <w:rFonts w:ascii="Times New Roman" w:eastAsia="Times New Roman" w:hAnsi="Times New Roman" w:cs="Times New Roman"/>
                <w:sz w:val="24"/>
                <w:szCs w:val="24"/>
                <w:lang w:eastAsia="lv-LV"/>
              </w:rPr>
              <w:t>Ministru kabineta 201</w:t>
            </w:r>
            <w:r w:rsidR="00DF69DF" w:rsidRPr="000B55A9">
              <w:rPr>
                <w:rFonts w:ascii="Times New Roman" w:eastAsia="Times New Roman" w:hAnsi="Times New Roman" w:cs="Times New Roman"/>
                <w:sz w:val="24"/>
                <w:szCs w:val="24"/>
                <w:lang w:eastAsia="lv-LV"/>
              </w:rPr>
              <w:t>7</w:t>
            </w:r>
            <w:r w:rsidRPr="000B55A9">
              <w:rPr>
                <w:rFonts w:ascii="Times New Roman" w:eastAsia="Times New Roman" w:hAnsi="Times New Roman" w:cs="Times New Roman"/>
                <w:sz w:val="24"/>
                <w:szCs w:val="24"/>
                <w:lang w:eastAsia="lv-LV"/>
              </w:rPr>
              <w:t xml:space="preserve">.gada </w:t>
            </w:r>
            <w:r w:rsidR="00DF69DF" w:rsidRPr="000B55A9">
              <w:rPr>
                <w:rFonts w:ascii="Times New Roman" w:eastAsia="Times New Roman" w:hAnsi="Times New Roman" w:cs="Times New Roman"/>
                <w:sz w:val="24"/>
                <w:szCs w:val="24"/>
                <w:lang w:eastAsia="lv-LV"/>
              </w:rPr>
              <w:t>21.jūlij</w:t>
            </w:r>
            <w:r w:rsidR="00020D8F" w:rsidRPr="000B55A9">
              <w:rPr>
                <w:rFonts w:ascii="Times New Roman" w:eastAsia="Times New Roman" w:hAnsi="Times New Roman" w:cs="Times New Roman"/>
                <w:sz w:val="24"/>
                <w:szCs w:val="24"/>
                <w:lang w:eastAsia="lv-LV"/>
              </w:rPr>
              <w:t xml:space="preserve">a </w:t>
            </w:r>
            <w:r w:rsidR="00DF69DF" w:rsidRPr="000B55A9">
              <w:rPr>
                <w:rFonts w:ascii="Times New Roman" w:eastAsia="Times New Roman" w:hAnsi="Times New Roman" w:cs="Times New Roman"/>
                <w:sz w:val="24"/>
                <w:szCs w:val="24"/>
                <w:lang w:eastAsia="lv-LV"/>
              </w:rPr>
              <w:t>rīkojum</w:t>
            </w:r>
            <w:r w:rsidR="007604A0" w:rsidRPr="000B55A9">
              <w:rPr>
                <w:rFonts w:ascii="Times New Roman" w:eastAsia="Times New Roman" w:hAnsi="Times New Roman" w:cs="Times New Roman"/>
                <w:sz w:val="24"/>
                <w:szCs w:val="24"/>
                <w:lang w:eastAsia="lv-LV"/>
              </w:rPr>
              <w:t>a</w:t>
            </w:r>
            <w:r w:rsidR="00DF69DF" w:rsidRPr="000B55A9">
              <w:rPr>
                <w:rFonts w:ascii="Times New Roman" w:eastAsia="Times New Roman" w:hAnsi="Times New Roman" w:cs="Times New Roman"/>
                <w:sz w:val="24"/>
                <w:szCs w:val="24"/>
                <w:lang w:eastAsia="lv-LV"/>
              </w:rPr>
              <w:t xml:space="preserve"> Nr.379</w:t>
            </w:r>
            <w:r w:rsidR="007604A0" w:rsidRPr="000B55A9">
              <w:rPr>
                <w:rFonts w:ascii="Times New Roman" w:eastAsia="Times New Roman" w:hAnsi="Times New Roman" w:cs="Times New Roman"/>
                <w:sz w:val="24"/>
                <w:szCs w:val="24"/>
                <w:lang w:eastAsia="lv-LV"/>
              </w:rPr>
              <w:t xml:space="preserve"> “Par konceptuālo ziņojumu “Par atjaunojamo energoresursu izmantošanu transporta sektorā”” (prot.</w:t>
            </w:r>
            <w:r w:rsidR="00FB334F" w:rsidRPr="000B55A9">
              <w:rPr>
                <w:rFonts w:ascii="Times New Roman" w:eastAsia="Times New Roman" w:hAnsi="Times New Roman" w:cs="Times New Roman"/>
                <w:sz w:val="24"/>
                <w:szCs w:val="24"/>
                <w:lang w:eastAsia="lv-LV"/>
              </w:rPr>
              <w:t xml:space="preserve"> </w:t>
            </w:r>
            <w:r w:rsidR="007604A0" w:rsidRPr="000B55A9">
              <w:rPr>
                <w:rFonts w:ascii="Times New Roman" w:eastAsia="Times New Roman" w:hAnsi="Times New Roman" w:cs="Times New Roman"/>
                <w:sz w:val="24"/>
                <w:szCs w:val="24"/>
                <w:lang w:eastAsia="lv-LV"/>
              </w:rPr>
              <w:t>Nr.</w:t>
            </w:r>
            <w:r w:rsidR="00D22D4A" w:rsidRPr="000B55A9">
              <w:rPr>
                <w:rFonts w:ascii="Times New Roman" w:eastAsia="Times New Roman" w:hAnsi="Times New Roman" w:cs="Times New Roman"/>
                <w:sz w:val="24"/>
                <w:szCs w:val="24"/>
                <w:lang w:eastAsia="lv-LV"/>
              </w:rPr>
              <w:t xml:space="preserve">33 </w:t>
            </w:r>
            <w:r w:rsidR="007604A0" w:rsidRPr="000B55A9">
              <w:rPr>
                <w:rFonts w:ascii="Times New Roman" w:eastAsia="Times New Roman" w:hAnsi="Times New Roman" w:cs="Times New Roman"/>
                <w:sz w:val="24"/>
                <w:szCs w:val="24"/>
                <w:lang w:eastAsia="lv-LV"/>
              </w:rPr>
              <w:t>40.§) 3.</w:t>
            </w:r>
            <w:r w:rsidR="00EB5073" w:rsidRPr="000B55A9">
              <w:rPr>
                <w:rFonts w:ascii="Times New Roman" w:eastAsia="Times New Roman" w:hAnsi="Times New Roman" w:cs="Times New Roman"/>
                <w:sz w:val="24"/>
                <w:szCs w:val="24"/>
                <w:lang w:eastAsia="lv-LV"/>
              </w:rPr>
              <w:t xml:space="preserve">punkta dotais </w:t>
            </w:r>
            <w:r w:rsidR="007604A0" w:rsidRPr="000B55A9">
              <w:rPr>
                <w:rFonts w:ascii="Times New Roman" w:eastAsia="Times New Roman" w:hAnsi="Times New Roman" w:cs="Times New Roman"/>
                <w:sz w:val="24"/>
                <w:szCs w:val="24"/>
                <w:lang w:eastAsia="lv-LV"/>
              </w:rPr>
              <w:t>uzdevums nosaka</w:t>
            </w:r>
            <w:r w:rsidR="00225C49" w:rsidRPr="000B55A9">
              <w:rPr>
                <w:rFonts w:ascii="Times New Roman" w:hAnsi="Times New Roman" w:cs="Times New Roman"/>
                <w:sz w:val="24"/>
                <w:szCs w:val="24"/>
              </w:rPr>
              <w:t xml:space="preserve"> </w:t>
            </w:r>
            <w:r w:rsidRPr="000B55A9">
              <w:rPr>
                <w:rFonts w:ascii="Times New Roman" w:hAnsi="Times New Roman" w:cs="Times New Roman"/>
                <w:sz w:val="24"/>
                <w:szCs w:val="24"/>
              </w:rPr>
              <w:t>Finanšu ministrijai</w:t>
            </w:r>
            <w:r w:rsidR="007604A0" w:rsidRPr="000B55A9">
              <w:rPr>
                <w:rFonts w:ascii="Times New Roman" w:hAnsi="Times New Roman" w:cs="Times New Roman"/>
                <w:sz w:val="24"/>
                <w:szCs w:val="24"/>
              </w:rPr>
              <w:t xml:space="preserve"> un finanšu ministram iesniegt Ministru kabinetā likump</w:t>
            </w:r>
            <w:r w:rsidR="00277C7E" w:rsidRPr="000B55A9">
              <w:rPr>
                <w:rFonts w:ascii="Times New Roman" w:hAnsi="Times New Roman" w:cs="Times New Roman"/>
                <w:sz w:val="24"/>
                <w:szCs w:val="24"/>
              </w:rPr>
              <w:t>rojektu par grozījumiem likumā “Par akcīzes nodokli”</w:t>
            </w:r>
            <w:r w:rsidR="00F11AFB" w:rsidRPr="000B55A9">
              <w:rPr>
                <w:rFonts w:ascii="Times New Roman" w:hAnsi="Times New Roman" w:cs="Times New Roman"/>
                <w:sz w:val="24"/>
                <w:szCs w:val="24"/>
              </w:rPr>
              <w:t>, paredzot, ka ar 2019.</w:t>
            </w:r>
            <w:r w:rsidR="007604A0" w:rsidRPr="000B55A9">
              <w:rPr>
                <w:rFonts w:ascii="Times New Roman" w:hAnsi="Times New Roman" w:cs="Times New Roman"/>
                <w:sz w:val="24"/>
                <w:szCs w:val="24"/>
              </w:rPr>
              <w:t xml:space="preserve">gadu tiek atcelta samazinātās akcīzes nodokļa likmes piemērošana degvielai E85 un B100, un </w:t>
            </w:r>
            <w:r w:rsidR="00277C7E" w:rsidRPr="000B55A9">
              <w:rPr>
                <w:rFonts w:ascii="Times New Roman" w:hAnsi="Times New Roman" w:cs="Times New Roman"/>
                <w:sz w:val="24"/>
                <w:szCs w:val="24"/>
              </w:rPr>
              <w:t>jautājumu skatīt likumprojekta “</w:t>
            </w:r>
            <w:r w:rsidR="007604A0" w:rsidRPr="000B55A9">
              <w:rPr>
                <w:rFonts w:ascii="Times New Roman" w:hAnsi="Times New Roman" w:cs="Times New Roman"/>
                <w:sz w:val="24"/>
                <w:szCs w:val="24"/>
              </w:rPr>
              <w:t>Par</w:t>
            </w:r>
            <w:r w:rsidR="00F11AFB" w:rsidRPr="000B55A9">
              <w:rPr>
                <w:rFonts w:ascii="Times New Roman" w:hAnsi="Times New Roman" w:cs="Times New Roman"/>
                <w:sz w:val="24"/>
                <w:szCs w:val="24"/>
              </w:rPr>
              <w:t xml:space="preserve"> valsts budžetu 2019.</w:t>
            </w:r>
            <w:r w:rsidR="00277C7E" w:rsidRPr="000B55A9">
              <w:rPr>
                <w:rFonts w:ascii="Times New Roman" w:hAnsi="Times New Roman" w:cs="Times New Roman"/>
                <w:sz w:val="24"/>
                <w:szCs w:val="24"/>
              </w:rPr>
              <w:t>gadam” un likumprojekta “</w:t>
            </w:r>
            <w:r w:rsidR="007604A0" w:rsidRPr="000B55A9">
              <w:rPr>
                <w:rFonts w:ascii="Times New Roman" w:hAnsi="Times New Roman" w:cs="Times New Roman"/>
                <w:sz w:val="24"/>
                <w:szCs w:val="24"/>
              </w:rPr>
              <w:t>Par vidēja termiņa budžeta ietv</w:t>
            </w:r>
            <w:r w:rsidR="00F11AFB" w:rsidRPr="000B55A9">
              <w:rPr>
                <w:rFonts w:ascii="Times New Roman" w:hAnsi="Times New Roman" w:cs="Times New Roman"/>
                <w:sz w:val="24"/>
                <w:szCs w:val="24"/>
              </w:rPr>
              <w:t>aru 2019., 2020. un 2021.</w:t>
            </w:r>
            <w:r w:rsidR="00277C7E" w:rsidRPr="000B55A9">
              <w:rPr>
                <w:rFonts w:ascii="Times New Roman" w:hAnsi="Times New Roman" w:cs="Times New Roman"/>
                <w:sz w:val="24"/>
                <w:szCs w:val="24"/>
              </w:rPr>
              <w:t>gadam”</w:t>
            </w:r>
            <w:r w:rsidR="007604A0" w:rsidRPr="000B55A9">
              <w:rPr>
                <w:rFonts w:ascii="Times New Roman" w:hAnsi="Times New Roman" w:cs="Times New Roman"/>
                <w:sz w:val="24"/>
                <w:szCs w:val="24"/>
              </w:rPr>
              <w:t xml:space="preserve"> sagatavošanas procesā. </w:t>
            </w:r>
          </w:p>
          <w:p w14:paraId="19B25E7D" w14:textId="7BE47724" w:rsidR="002D20CA" w:rsidRDefault="007604A0" w:rsidP="003F6220">
            <w:pPr>
              <w:spacing w:after="0" w:line="240" w:lineRule="auto"/>
              <w:ind w:firstLine="390"/>
              <w:jc w:val="both"/>
              <w:rPr>
                <w:rFonts w:ascii="Times New Roman" w:eastAsia="Times New Roman" w:hAnsi="Times New Roman" w:cs="Times New Roman"/>
                <w:sz w:val="24"/>
                <w:szCs w:val="24"/>
                <w:lang w:eastAsia="lv-LV"/>
              </w:rPr>
            </w:pPr>
            <w:r w:rsidRPr="000B55A9">
              <w:rPr>
                <w:rFonts w:ascii="Times New Roman" w:hAnsi="Times New Roman" w:cs="Times New Roman"/>
                <w:sz w:val="24"/>
                <w:szCs w:val="24"/>
              </w:rPr>
              <w:t>Ņemot vērā minēto uzdevumu par samazināto likmju atcelšanu degvielām, l</w:t>
            </w:r>
            <w:r w:rsidR="0058711A" w:rsidRPr="000B55A9">
              <w:rPr>
                <w:rFonts w:ascii="Times New Roman" w:eastAsia="Times New Roman" w:hAnsi="Times New Roman" w:cs="Times New Roman"/>
                <w:sz w:val="24"/>
                <w:szCs w:val="24"/>
                <w:lang w:eastAsia="lv-LV"/>
              </w:rPr>
              <w:t>ikumprojektā</w:t>
            </w:r>
            <w:r w:rsidR="002D20CA" w:rsidRPr="000B55A9">
              <w:rPr>
                <w:rFonts w:ascii="Times New Roman" w:eastAsia="Times New Roman" w:hAnsi="Times New Roman" w:cs="Times New Roman"/>
                <w:sz w:val="24"/>
                <w:szCs w:val="24"/>
                <w:lang w:eastAsia="lv-LV"/>
              </w:rPr>
              <w:t xml:space="preserve"> ir ietvert</w:t>
            </w:r>
            <w:r w:rsidRPr="000B55A9">
              <w:rPr>
                <w:rFonts w:ascii="Times New Roman" w:eastAsia="Times New Roman" w:hAnsi="Times New Roman" w:cs="Times New Roman"/>
                <w:sz w:val="24"/>
                <w:szCs w:val="24"/>
                <w:lang w:eastAsia="lv-LV"/>
              </w:rPr>
              <w:t>i</w:t>
            </w:r>
            <w:r w:rsidR="002D20CA" w:rsidRPr="000B55A9">
              <w:rPr>
                <w:rFonts w:ascii="Times New Roman" w:eastAsia="Times New Roman" w:hAnsi="Times New Roman" w:cs="Times New Roman"/>
                <w:sz w:val="24"/>
                <w:szCs w:val="24"/>
                <w:lang w:eastAsia="lv-LV"/>
              </w:rPr>
              <w:t xml:space="preserve"> arī </w:t>
            </w:r>
            <w:r w:rsidRPr="000B55A9">
              <w:rPr>
                <w:rFonts w:ascii="Times New Roman" w:eastAsia="Times New Roman" w:hAnsi="Times New Roman" w:cs="Times New Roman"/>
                <w:sz w:val="24"/>
                <w:szCs w:val="24"/>
                <w:lang w:eastAsia="lv-LV"/>
              </w:rPr>
              <w:t>grozījumi</w:t>
            </w:r>
            <w:r w:rsidRPr="000B55A9">
              <w:rPr>
                <w:rFonts w:ascii="Times New Roman" w:hAnsi="Times New Roman" w:cs="Times New Roman"/>
                <w:sz w:val="24"/>
                <w:szCs w:val="24"/>
              </w:rPr>
              <w:t xml:space="preserve">, kas paredz </w:t>
            </w:r>
            <w:r w:rsidRPr="000B55A9">
              <w:rPr>
                <w:rFonts w:ascii="Times New Roman" w:eastAsia="Times New Roman" w:hAnsi="Times New Roman" w:cs="Times New Roman"/>
                <w:sz w:val="24"/>
                <w:szCs w:val="24"/>
                <w:lang w:eastAsia="lv-LV"/>
              </w:rPr>
              <w:t>atcelt samazinātās likmes bioproduktus saturošam kurināmajam</w:t>
            </w:r>
            <w:r w:rsidR="001F6664">
              <w:rPr>
                <w:rFonts w:ascii="Times New Roman" w:eastAsia="Times New Roman" w:hAnsi="Times New Roman" w:cs="Times New Roman"/>
                <w:sz w:val="24"/>
                <w:szCs w:val="24"/>
                <w:lang w:eastAsia="lv-LV"/>
              </w:rPr>
              <w:t>, tās nosakot vien</w:t>
            </w:r>
            <w:r w:rsidR="008863A7">
              <w:rPr>
                <w:rFonts w:ascii="Times New Roman" w:eastAsia="Times New Roman" w:hAnsi="Times New Roman" w:cs="Times New Roman"/>
                <w:sz w:val="24"/>
                <w:szCs w:val="24"/>
                <w:lang w:eastAsia="lv-LV"/>
              </w:rPr>
              <w:t>ād</w:t>
            </w:r>
            <w:r w:rsidR="001F6664">
              <w:rPr>
                <w:rFonts w:ascii="Times New Roman" w:eastAsia="Times New Roman" w:hAnsi="Times New Roman" w:cs="Times New Roman"/>
                <w:sz w:val="24"/>
                <w:szCs w:val="24"/>
                <w:lang w:eastAsia="lv-LV"/>
              </w:rPr>
              <w:t>ā apmērā kurinām</w:t>
            </w:r>
            <w:r w:rsidR="001D2D93">
              <w:rPr>
                <w:rFonts w:ascii="Times New Roman" w:eastAsia="Times New Roman" w:hAnsi="Times New Roman" w:cs="Times New Roman"/>
                <w:sz w:val="24"/>
                <w:szCs w:val="24"/>
                <w:lang w:eastAsia="lv-LV"/>
              </w:rPr>
              <w:t>a</w:t>
            </w:r>
            <w:r w:rsidR="001F6664">
              <w:rPr>
                <w:rFonts w:ascii="Times New Roman" w:eastAsia="Times New Roman" w:hAnsi="Times New Roman" w:cs="Times New Roman"/>
                <w:sz w:val="24"/>
                <w:szCs w:val="24"/>
                <w:lang w:eastAsia="lv-LV"/>
              </w:rPr>
              <w:t xml:space="preserve">jai degvielai neatkarīgi vai tā satur </w:t>
            </w:r>
            <w:r w:rsidR="001D2D93">
              <w:rPr>
                <w:rFonts w:ascii="Times New Roman" w:eastAsia="Times New Roman" w:hAnsi="Times New Roman" w:cs="Times New Roman"/>
                <w:sz w:val="24"/>
                <w:szCs w:val="24"/>
                <w:lang w:eastAsia="lv-LV"/>
              </w:rPr>
              <w:t>biodīzeļdegvielu</w:t>
            </w:r>
            <w:r w:rsidR="008863A7">
              <w:rPr>
                <w:rFonts w:ascii="Times New Roman" w:eastAsia="Times New Roman" w:hAnsi="Times New Roman" w:cs="Times New Roman"/>
                <w:sz w:val="24"/>
                <w:szCs w:val="24"/>
                <w:lang w:eastAsia="lv-LV"/>
              </w:rPr>
              <w:t>,</w:t>
            </w:r>
            <w:r w:rsidR="001F6664">
              <w:rPr>
                <w:rFonts w:ascii="Times New Roman" w:eastAsia="Times New Roman" w:hAnsi="Times New Roman" w:cs="Times New Roman"/>
                <w:sz w:val="24"/>
                <w:szCs w:val="24"/>
                <w:lang w:eastAsia="lv-LV"/>
              </w:rPr>
              <w:t xml:space="preserve"> vai ne, kā arī</w:t>
            </w:r>
            <w:r w:rsidRPr="000B55A9">
              <w:rPr>
                <w:rFonts w:ascii="Times New Roman" w:eastAsia="Times New Roman" w:hAnsi="Times New Roman" w:cs="Times New Roman"/>
                <w:sz w:val="24"/>
                <w:szCs w:val="24"/>
                <w:lang w:eastAsia="lv-LV"/>
              </w:rPr>
              <w:t xml:space="preserve"> noteikt  biodīzeļdegvielai, kas pilnībā iegūta no </w:t>
            </w:r>
            <w:r w:rsidR="001F6664">
              <w:rPr>
                <w:rFonts w:ascii="Times New Roman" w:eastAsia="Times New Roman" w:hAnsi="Times New Roman" w:cs="Times New Roman"/>
                <w:sz w:val="24"/>
                <w:szCs w:val="24"/>
                <w:lang w:eastAsia="lv-LV"/>
              </w:rPr>
              <w:t>biomasas</w:t>
            </w:r>
            <w:r w:rsidRPr="000B55A9">
              <w:rPr>
                <w:rFonts w:ascii="Times New Roman" w:eastAsia="Times New Roman" w:hAnsi="Times New Roman" w:cs="Times New Roman"/>
                <w:sz w:val="24"/>
                <w:szCs w:val="24"/>
                <w:lang w:eastAsia="lv-LV"/>
              </w:rPr>
              <w:t xml:space="preserve">, un </w:t>
            </w:r>
            <w:proofErr w:type="spellStart"/>
            <w:r w:rsidRPr="000B55A9">
              <w:rPr>
                <w:rFonts w:ascii="Times New Roman" w:eastAsia="Times New Roman" w:hAnsi="Times New Roman" w:cs="Times New Roman"/>
                <w:sz w:val="24"/>
                <w:szCs w:val="24"/>
                <w:lang w:eastAsia="lv-LV"/>
              </w:rPr>
              <w:t>parafinizētai</w:t>
            </w:r>
            <w:proofErr w:type="spellEnd"/>
            <w:r w:rsidRPr="000B55A9">
              <w:rPr>
                <w:rFonts w:ascii="Times New Roman" w:eastAsia="Times New Roman" w:hAnsi="Times New Roman" w:cs="Times New Roman"/>
                <w:sz w:val="24"/>
                <w:szCs w:val="24"/>
                <w:lang w:eastAsia="lv-LV"/>
              </w:rPr>
              <w:t xml:space="preserve"> dīzeļdegvielai,</w:t>
            </w:r>
            <w:r w:rsidR="003F6220" w:rsidRPr="000B55A9">
              <w:rPr>
                <w:sz w:val="24"/>
                <w:szCs w:val="24"/>
              </w:rPr>
              <w:t xml:space="preserve"> </w:t>
            </w:r>
            <w:r w:rsidR="003F6220" w:rsidRPr="000B55A9">
              <w:rPr>
                <w:rFonts w:ascii="Times New Roman" w:eastAsia="Times New Roman" w:hAnsi="Times New Roman" w:cs="Times New Roman"/>
                <w:sz w:val="24"/>
                <w:szCs w:val="24"/>
                <w:lang w:eastAsia="lv-LV"/>
              </w:rPr>
              <w:t xml:space="preserve">kas iegūta no biomasas, </w:t>
            </w:r>
            <w:r w:rsidRPr="000B55A9">
              <w:rPr>
                <w:rFonts w:ascii="Times New Roman" w:eastAsia="Times New Roman" w:hAnsi="Times New Roman" w:cs="Times New Roman"/>
                <w:sz w:val="24"/>
                <w:szCs w:val="24"/>
                <w:lang w:eastAsia="lv-LV"/>
              </w:rPr>
              <w:t xml:space="preserve">kuru izmanto kā </w:t>
            </w:r>
            <w:r w:rsidRPr="008863A7">
              <w:rPr>
                <w:rFonts w:ascii="Times New Roman" w:eastAsia="Times New Roman" w:hAnsi="Times New Roman" w:cs="Times New Roman"/>
                <w:sz w:val="24"/>
                <w:szCs w:val="24"/>
                <w:lang w:eastAsia="lv-LV"/>
              </w:rPr>
              <w:t>kurināmo minimālo akcīzes nodokļa likmi.</w:t>
            </w:r>
          </w:p>
          <w:p w14:paraId="06BBA30E" w14:textId="2732BBBC" w:rsidR="00DE1D04" w:rsidRPr="008863A7" w:rsidRDefault="00DE1D04" w:rsidP="003F6220">
            <w:pPr>
              <w:spacing w:after="0" w:line="240" w:lineRule="auto"/>
              <w:ind w:firstLine="39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2014.gada 29.</w:t>
            </w:r>
            <w:r w:rsidRPr="00DE1D04">
              <w:rPr>
                <w:rFonts w:ascii="Times New Roman" w:eastAsia="Times New Roman" w:hAnsi="Times New Roman" w:cs="Times New Roman"/>
                <w:sz w:val="24"/>
                <w:szCs w:val="24"/>
                <w:lang w:eastAsia="lv-LV"/>
              </w:rPr>
              <w:t xml:space="preserve">septembrī Eiropas Komisija ierosināja </w:t>
            </w:r>
            <w:r w:rsidRPr="00DE1D04">
              <w:rPr>
                <w:rFonts w:ascii="Times New Roman" w:eastAsia="Times New Roman" w:hAnsi="Times New Roman" w:cs="Times New Roman"/>
                <w:i/>
                <w:sz w:val="24"/>
                <w:szCs w:val="24"/>
                <w:lang w:eastAsia="lv-LV"/>
              </w:rPr>
              <w:t>EU Pilot</w:t>
            </w:r>
            <w:r w:rsidRPr="00DE1D04">
              <w:rPr>
                <w:rFonts w:ascii="Times New Roman" w:eastAsia="Times New Roman" w:hAnsi="Times New Roman" w:cs="Times New Roman"/>
                <w:sz w:val="24"/>
                <w:szCs w:val="24"/>
                <w:lang w:eastAsia="lv-LV"/>
              </w:rPr>
              <w:t xml:space="preserve"> lietu Nr. 6948/14/ENER par dažu biodegvielu izslēgšanu no Latvijas biodegvielu tirgus un no to biodegvielu kategorijas, kam piemērojama samazināta akcīzes nodokļa likme (turpmāk – </w:t>
            </w:r>
            <w:r w:rsidRPr="00DE1D04">
              <w:rPr>
                <w:rFonts w:ascii="Times New Roman" w:eastAsia="Times New Roman" w:hAnsi="Times New Roman" w:cs="Times New Roman"/>
                <w:i/>
                <w:sz w:val="24"/>
                <w:szCs w:val="24"/>
                <w:lang w:eastAsia="lv-LV"/>
              </w:rPr>
              <w:t>EU Pilot</w:t>
            </w:r>
            <w:r w:rsidRPr="00DE1D04">
              <w:rPr>
                <w:rFonts w:ascii="Times New Roman" w:eastAsia="Times New Roman" w:hAnsi="Times New Roman" w:cs="Times New Roman"/>
                <w:sz w:val="24"/>
                <w:szCs w:val="24"/>
                <w:lang w:eastAsia="lv-LV"/>
              </w:rPr>
              <w:t xml:space="preserve"> lieta), kur </w:t>
            </w:r>
            <w:r w:rsidRPr="00DE1D04">
              <w:rPr>
                <w:rFonts w:ascii="Times New Roman" w:eastAsia="Times New Roman" w:hAnsi="Times New Roman" w:cs="Times New Roman"/>
                <w:sz w:val="24"/>
                <w:szCs w:val="24"/>
                <w:lang w:eastAsia="lv-LV"/>
              </w:rPr>
              <w:lastRenderedPageBreak/>
              <w:t xml:space="preserve">cita starp tika norādīts, ka Latvijas regulējums pieļauj vienīgi no rapšu sēklu eļļas iegūtas biodīzeļdegvielas izmantošanu. </w:t>
            </w:r>
            <w:r>
              <w:rPr>
                <w:rFonts w:ascii="Times New Roman" w:eastAsia="Times New Roman" w:hAnsi="Times New Roman" w:cs="Times New Roman"/>
                <w:sz w:val="24"/>
                <w:szCs w:val="24"/>
                <w:lang w:eastAsia="lv-LV"/>
              </w:rPr>
              <w:t>Saskaņā ar</w:t>
            </w:r>
            <w:r w:rsidRPr="00DE1D04">
              <w:rPr>
                <w:rFonts w:ascii="Times New Roman" w:eastAsia="Times New Roman" w:hAnsi="Times New Roman" w:cs="Times New Roman"/>
                <w:sz w:val="24"/>
                <w:szCs w:val="24"/>
                <w:lang w:eastAsia="lv-LV"/>
              </w:rPr>
              <w:t xml:space="preserve"> </w:t>
            </w:r>
            <w:r w:rsidRPr="00DE1D04">
              <w:rPr>
                <w:rFonts w:ascii="Times New Roman" w:eastAsia="Times New Roman" w:hAnsi="Times New Roman" w:cs="Times New Roman"/>
                <w:i/>
                <w:sz w:val="24"/>
                <w:szCs w:val="24"/>
                <w:lang w:eastAsia="lv-LV"/>
              </w:rPr>
              <w:t>Eiropas Parlamenta un Padomes 2009.gada 23.aprīļa Direktīvas 2009/28/EK par atjaunojamo energoresursu izmantošanas veicināšanu un ar ko groza un sekojoši atceļ Direktīvas 2001/77/EK un 2003/30/EK</w:t>
            </w:r>
            <w:r w:rsidRPr="00DE1D04">
              <w:rPr>
                <w:rFonts w:ascii="Times New Roman" w:eastAsia="Times New Roman" w:hAnsi="Times New Roman" w:cs="Times New Roman"/>
                <w:sz w:val="24"/>
                <w:szCs w:val="24"/>
                <w:lang w:eastAsia="lv-LV"/>
              </w:rPr>
              <w:t xml:space="preserve"> III pielikum</w:t>
            </w:r>
            <w:r>
              <w:rPr>
                <w:rFonts w:ascii="Times New Roman" w:eastAsia="Times New Roman" w:hAnsi="Times New Roman" w:cs="Times New Roman"/>
                <w:sz w:val="24"/>
                <w:szCs w:val="24"/>
                <w:lang w:eastAsia="lv-LV"/>
              </w:rPr>
              <w:t>u</w:t>
            </w:r>
            <w:r w:rsidRPr="00DE1D04">
              <w:rPr>
                <w:rFonts w:ascii="Times New Roman" w:eastAsia="Times New Roman" w:hAnsi="Times New Roman" w:cs="Times New Roman"/>
                <w:sz w:val="24"/>
                <w:szCs w:val="24"/>
                <w:lang w:eastAsia="lv-LV"/>
              </w:rPr>
              <w:t xml:space="preserve"> izriet, ka biodīzeļdegviela ir jebkurš no augu vai dzīvnieku izcelsmes taukiem iegūts </w:t>
            </w:r>
            <w:proofErr w:type="spellStart"/>
            <w:r w:rsidRPr="00DE1D04">
              <w:rPr>
                <w:rFonts w:ascii="Times New Roman" w:eastAsia="Times New Roman" w:hAnsi="Times New Roman" w:cs="Times New Roman"/>
                <w:sz w:val="24"/>
                <w:szCs w:val="24"/>
                <w:lang w:eastAsia="lv-LV"/>
              </w:rPr>
              <w:t>metilesteris</w:t>
            </w:r>
            <w:proofErr w:type="spellEnd"/>
            <w:r w:rsidRPr="00DE1D04">
              <w:rPr>
                <w:rFonts w:ascii="Times New Roman" w:eastAsia="Times New Roman" w:hAnsi="Times New Roman" w:cs="Times New Roman"/>
                <w:sz w:val="24"/>
                <w:szCs w:val="24"/>
                <w:lang w:eastAsia="lv-LV"/>
              </w:rPr>
              <w:t>, kas ir līdzvērtīgs dīzeļdegvielai un kuru paredzēts izmantot kā biodegvielu.</w:t>
            </w:r>
          </w:p>
          <w:p w14:paraId="71D6FCF1" w14:textId="77777777" w:rsidR="00C336B0" w:rsidRPr="008863A7" w:rsidRDefault="00C336B0" w:rsidP="00C336B0">
            <w:pPr>
              <w:spacing w:after="0" w:line="240" w:lineRule="auto"/>
              <w:ind w:firstLine="390"/>
              <w:jc w:val="both"/>
              <w:rPr>
                <w:rFonts w:ascii="Times New Roman" w:eastAsia="Times New Roman" w:hAnsi="Times New Roman" w:cs="Times New Roman"/>
                <w:sz w:val="24"/>
                <w:szCs w:val="24"/>
                <w:lang w:eastAsia="lv-LV"/>
              </w:rPr>
            </w:pPr>
            <w:r w:rsidRPr="008863A7">
              <w:rPr>
                <w:rFonts w:ascii="Times New Roman" w:eastAsia="Times New Roman" w:hAnsi="Times New Roman" w:cs="Times New Roman"/>
                <w:sz w:val="24"/>
                <w:szCs w:val="24"/>
                <w:lang w:eastAsia="lv-LV"/>
              </w:rPr>
              <w:t>Ministru prezidenta 2019.gada 26.februāra rezolūcija Nr.90/TA-2373 (2018), kas paredz aktualiz</w:t>
            </w:r>
            <w:r w:rsidR="008E44AD" w:rsidRPr="008863A7">
              <w:rPr>
                <w:rFonts w:ascii="Times New Roman" w:eastAsia="Times New Roman" w:hAnsi="Times New Roman" w:cs="Times New Roman"/>
                <w:sz w:val="24"/>
                <w:szCs w:val="24"/>
                <w:lang w:eastAsia="lv-LV"/>
              </w:rPr>
              <w:t xml:space="preserve">ēt </w:t>
            </w:r>
            <w:r w:rsidRPr="008863A7">
              <w:rPr>
                <w:rFonts w:ascii="Times New Roman" w:eastAsia="Times New Roman" w:hAnsi="Times New Roman" w:cs="Times New Roman"/>
                <w:sz w:val="24"/>
                <w:szCs w:val="24"/>
                <w:lang w:eastAsia="lv-LV"/>
              </w:rPr>
              <w:t xml:space="preserve"> ar Finanšu ministrijas 2018.gada 14.novembra vēstuli Nr.4.3-4/5-VK/5562 iesniegto likumprojektu</w:t>
            </w:r>
            <w:r w:rsidR="008E44AD" w:rsidRPr="008863A7">
              <w:rPr>
                <w:rFonts w:ascii="Times New Roman" w:eastAsia="Times New Roman" w:hAnsi="Times New Roman" w:cs="Times New Roman"/>
                <w:sz w:val="24"/>
                <w:szCs w:val="24"/>
                <w:lang w:eastAsia="lv-LV"/>
              </w:rPr>
              <w:t xml:space="preserve"> “Grozījumi likumā “Par akcīzes nodokli””</w:t>
            </w:r>
            <w:r w:rsidRPr="008863A7">
              <w:rPr>
                <w:rFonts w:ascii="Times New Roman" w:eastAsia="Times New Roman" w:hAnsi="Times New Roman" w:cs="Times New Roman"/>
                <w:sz w:val="24"/>
                <w:szCs w:val="24"/>
                <w:lang w:eastAsia="lv-LV"/>
              </w:rPr>
              <w:t xml:space="preserve"> un tā anotāciju.</w:t>
            </w:r>
          </w:p>
          <w:p w14:paraId="59EFC76D" w14:textId="0A65BEC6" w:rsidR="001F6664" w:rsidRPr="00076AFF" w:rsidRDefault="001F6664" w:rsidP="008863A7">
            <w:pPr>
              <w:spacing w:after="0" w:line="240" w:lineRule="auto"/>
              <w:ind w:firstLine="390"/>
              <w:jc w:val="both"/>
              <w:rPr>
                <w:rFonts w:ascii="Times New Roman" w:hAnsi="Times New Roman" w:cs="Times New Roman"/>
                <w:sz w:val="24"/>
                <w:szCs w:val="24"/>
                <w:u w:val="single"/>
              </w:rPr>
            </w:pPr>
            <w:bookmarkStart w:id="0" w:name="_GoBack"/>
            <w:r w:rsidRPr="008863A7">
              <w:rPr>
                <w:rFonts w:ascii="Times New Roman" w:eastAsia="Times New Roman" w:hAnsi="Times New Roman" w:cs="Times New Roman"/>
                <w:sz w:val="24"/>
                <w:szCs w:val="24"/>
                <w:lang w:eastAsia="lv-LV"/>
              </w:rPr>
              <w:t xml:space="preserve">Ministru prezidenta 2019.gada </w:t>
            </w:r>
            <w:r w:rsidR="001D2D93" w:rsidRPr="008863A7">
              <w:rPr>
                <w:rFonts w:ascii="Times New Roman" w:eastAsia="Times New Roman" w:hAnsi="Times New Roman" w:cs="Times New Roman"/>
                <w:sz w:val="24"/>
                <w:szCs w:val="24"/>
                <w:lang w:eastAsia="lv-LV"/>
              </w:rPr>
              <w:t>7.maij</w:t>
            </w:r>
            <w:r w:rsidRPr="008863A7">
              <w:rPr>
                <w:rFonts w:ascii="Times New Roman" w:eastAsia="Times New Roman" w:hAnsi="Times New Roman" w:cs="Times New Roman"/>
                <w:sz w:val="24"/>
                <w:szCs w:val="24"/>
                <w:lang w:eastAsia="lv-LV"/>
              </w:rPr>
              <w:t>a rezolūcija Nr.</w:t>
            </w:r>
            <w:r w:rsidR="001D2D93" w:rsidRPr="008863A7">
              <w:rPr>
                <w:rFonts w:ascii="Times New Roman" w:eastAsia="Times New Roman" w:hAnsi="Times New Roman" w:cs="Times New Roman"/>
                <w:sz w:val="24"/>
                <w:szCs w:val="24"/>
                <w:lang w:eastAsia="lv-LV"/>
              </w:rPr>
              <w:t>18</w:t>
            </w:r>
            <w:r w:rsidRPr="008863A7">
              <w:rPr>
                <w:rFonts w:ascii="Times New Roman" w:eastAsia="Times New Roman" w:hAnsi="Times New Roman" w:cs="Times New Roman"/>
                <w:sz w:val="24"/>
                <w:szCs w:val="24"/>
                <w:lang w:eastAsia="lv-LV"/>
              </w:rPr>
              <w:t>/TA-2373</w:t>
            </w:r>
            <w:r w:rsidR="001D2D93" w:rsidRPr="008863A7">
              <w:rPr>
                <w:rFonts w:ascii="Times New Roman" w:eastAsia="Times New Roman" w:hAnsi="Times New Roman" w:cs="Times New Roman"/>
                <w:sz w:val="24"/>
                <w:szCs w:val="24"/>
                <w:lang w:eastAsia="lv-LV"/>
              </w:rPr>
              <w:t>/1904</w:t>
            </w:r>
            <w:r w:rsidRPr="008863A7">
              <w:rPr>
                <w:rFonts w:ascii="Times New Roman" w:eastAsia="Times New Roman" w:hAnsi="Times New Roman" w:cs="Times New Roman"/>
                <w:sz w:val="24"/>
                <w:szCs w:val="24"/>
                <w:lang w:eastAsia="lv-LV"/>
              </w:rPr>
              <w:t xml:space="preserve">, kas </w:t>
            </w:r>
            <w:r w:rsidR="001D2D93" w:rsidRPr="008863A7">
              <w:rPr>
                <w:rFonts w:ascii="Times New Roman" w:eastAsia="Times New Roman" w:hAnsi="Times New Roman" w:cs="Times New Roman"/>
                <w:sz w:val="24"/>
                <w:szCs w:val="24"/>
                <w:lang w:eastAsia="lv-LV"/>
              </w:rPr>
              <w:t>uzdod Finanšu ministrijai</w:t>
            </w:r>
            <w:r w:rsidRPr="008863A7">
              <w:rPr>
                <w:rFonts w:ascii="Times New Roman" w:eastAsia="Times New Roman" w:hAnsi="Times New Roman" w:cs="Times New Roman"/>
                <w:sz w:val="24"/>
                <w:szCs w:val="24"/>
                <w:lang w:eastAsia="lv-LV"/>
              </w:rPr>
              <w:t xml:space="preserve"> </w:t>
            </w:r>
            <w:r w:rsidR="001D2D93" w:rsidRPr="008863A7">
              <w:rPr>
                <w:rFonts w:ascii="Times New Roman" w:eastAsia="Times New Roman" w:hAnsi="Times New Roman" w:cs="Times New Roman"/>
                <w:sz w:val="24"/>
                <w:szCs w:val="24"/>
                <w:lang w:eastAsia="lv-LV"/>
              </w:rPr>
              <w:t xml:space="preserve">ar </w:t>
            </w:r>
            <w:r w:rsidRPr="008863A7">
              <w:rPr>
                <w:rFonts w:ascii="Times New Roman" w:eastAsia="Times New Roman" w:hAnsi="Times New Roman" w:cs="Times New Roman"/>
                <w:sz w:val="24"/>
                <w:szCs w:val="24"/>
                <w:lang w:eastAsia="lv-LV"/>
              </w:rPr>
              <w:t>201</w:t>
            </w:r>
            <w:r w:rsidR="001D2D93" w:rsidRPr="008863A7">
              <w:rPr>
                <w:rFonts w:ascii="Times New Roman" w:eastAsia="Times New Roman" w:hAnsi="Times New Roman" w:cs="Times New Roman"/>
                <w:sz w:val="24"/>
                <w:szCs w:val="24"/>
                <w:lang w:eastAsia="lv-LV"/>
              </w:rPr>
              <w:t>9</w:t>
            </w:r>
            <w:r w:rsidRPr="008863A7">
              <w:rPr>
                <w:rFonts w:ascii="Times New Roman" w:eastAsia="Times New Roman" w:hAnsi="Times New Roman" w:cs="Times New Roman"/>
                <w:sz w:val="24"/>
                <w:szCs w:val="24"/>
                <w:lang w:eastAsia="lv-LV"/>
              </w:rPr>
              <w:t xml:space="preserve">.gada </w:t>
            </w:r>
            <w:r w:rsidR="008863A7" w:rsidRPr="008863A7">
              <w:rPr>
                <w:rFonts w:ascii="Times New Roman" w:eastAsia="Times New Roman" w:hAnsi="Times New Roman" w:cs="Times New Roman"/>
                <w:sz w:val="24"/>
                <w:szCs w:val="24"/>
                <w:lang w:eastAsia="lv-LV"/>
              </w:rPr>
              <w:t>15</w:t>
            </w:r>
            <w:r w:rsidRPr="008863A7">
              <w:rPr>
                <w:rFonts w:ascii="Times New Roman" w:eastAsia="Times New Roman" w:hAnsi="Times New Roman" w:cs="Times New Roman"/>
                <w:sz w:val="24"/>
                <w:szCs w:val="24"/>
                <w:lang w:eastAsia="lv-LV"/>
              </w:rPr>
              <w:t>.</w:t>
            </w:r>
            <w:r w:rsidR="008863A7" w:rsidRPr="008863A7">
              <w:rPr>
                <w:rFonts w:ascii="Times New Roman" w:eastAsia="Times New Roman" w:hAnsi="Times New Roman" w:cs="Times New Roman"/>
                <w:sz w:val="24"/>
                <w:szCs w:val="24"/>
                <w:lang w:eastAsia="lv-LV"/>
              </w:rPr>
              <w:t>marta</w:t>
            </w:r>
            <w:r w:rsidRPr="008863A7">
              <w:rPr>
                <w:rFonts w:ascii="Times New Roman" w:eastAsia="Times New Roman" w:hAnsi="Times New Roman" w:cs="Times New Roman"/>
                <w:sz w:val="24"/>
                <w:szCs w:val="24"/>
                <w:lang w:eastAsia="lv-LV"/>
              </w:rPr>
              <w:t xml:space="preserve"> vēstuli Nr.4.3-4/5-VK/</w:t>
            </w:r>
            <w:r w:rsidR="008863A7" w:rsidRPr="008863A7">
              <w:rPr>
                <w:rFonts w:ascii="Times New Roman" w:eastAsia="Times New Roman" w:hAnsi="Times New Roman" w:cs="Times New Roman"/>
                <w:sz w:val="24"/>
                <w:szCs w:val="24"/>
                <w:lang w:eastAsia="lv-LV"/>
              </w:rPr>
              <w:t xml:space="preserve">1251 aktualizēto </w:t>
            </w:r>
            <w:r w:rsidRPr="008863A7">
              <w:rPr>
                <w:rFonts w:ascii="Times New Roman" w:eastAsia="Times New Roman" w:hAnsi="Times New Roman" w:cs="Times New Roman"/>
                <w:sz w:val="24"/>
                <w:szCs w:val="24"/>
                <w:lang w:eastAsia="lv-LV"/>
              </w:rPr>
              <w:t>likumprojektu “Grozījumi likumā “Par akcīzes nodokli”” un tā anotāciju</w:t>
            </w:r>
            <w:r w:rsidR="008863A7">
              <w:rPr>
                <w:rFonts w:ascii="Times New Roman" w:eastAsia="Times New Roman" w:hAnsi="Times New Roman" w:cs="Times New Roman"/>
                <w:sz w:val="24"/>
                <w:szCs w:val="24"/>
                <w:lang w:eastAsia="lv-LV"/>
              </w:rPr>
              <w:t xml:space="preserve"> saskaņot ar Ekonomikas ministriju</w:t>
            </w:r>
            <w:r w:rsidRPr="008863A7">
              <w:rPr>
                <w:rFonts w:ascii="Times New Roman" w:eastAsia="Times New Roman" w:hAnsi="Times New Roman" w:cs="Times New Roman"/>
                <w:sz w:val="24"/>
                <w:szCs w:val="24"/>
                <w:lang w:eastAsia="lv-LV"/>
              </w:rPr>
              <w:t>.</w:t>
            </w:r>
            <w:bookmarkEnd w:id="0"/>
          </w:p>
        </w:tc>
      </w:tr>
      <w:tr w:rsidR="0038587F" w:rsidRPr="000B55A9" w14:paraId="2F0138CA"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6A4C7967" w14:textId="6A5FDF91" w:rsidR="009F2884" w:rsidRPr="000B55A9"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lastRenderedPageBreak/>
              <w:t>2.</w:t>
            </w:r>
          </w:p>
          <w:p w14:paraId="6651FC3D" w14:textId="77777777" w:rsidR="009F2884" w:rsidRPr="000B55A9" w:rsidRDefault="009F2884" w:rsidP="009F2884">
            <w:pPr>
              <w:rPr>
                <w:rFonts w:ascii="Times New Roman" w:eastAsia="Times New Roman" w:hAnsi="Times New Roman" w:cs="Times New Roman"/>
                <w:sz w:val="24"/>
                <w:szCs w:val="24"/>
                <w:lang w:eastAsia="lv-LV"/>
              </w:rPr>
            </w:pPr>
          </w:p>
          <w:p w14:paraId="187384CD" w14:textId="77777777" w:rsidR="009F2884" w:rsidRPr="000B55A9" w:rsidRDefault="009F2884" w:rsidP="009F2884">
            <w:pPr>
              <w:rPr>
                <w:rFonts w:ascii="Times New Roman" w:eastAsia="Times New Roman" w:hAnsi="Times New Roman" w:cs="Times New Roman"/>
                <w:sz w:val="24"/>
                <w:szCs w:val="24"/>
                <w:lang w:eastAsia="lv-LV"/>
              </w:rPr>
            </w:pPr>
          </w:p>
          <w:p w14:paraId="66A8D4C9" w14:textId="77777777" w:rsidR="009F2884" w:rsidRPr="000B55A9" w:rsidRDefault="009F2884" w:rsidP="009F2884">
            <w:pPr>
              <w:rPr>
                <w:rFonts w:ascii="Times New Roman" w:eastAsia="Times New Roman" w:hAnsi="Times New Roman" w:cs="Times New Roman"/>
                <w:sz w:val="24"/>
                <w:szCs w:val="24"/>
                <w:lang w:eastAsia="lv-LV"/>
              </w:rPr>
            </w:pPr>
          </w:p>
          <w:p w14:paraId="4B3E1573" w14:textId="77777777" w:rsidR="009F2884" w:rsidRPr="000B55A9" w:rsidRDefault="009F2884" w:rsidP="009F2884">
            <w:pPr>
              <w:rPr>
                <w:rFonts w:ascii="Times New Roman" w:eastAsia="Times New Roman" w:hAnsi="Times New Roman" w:cs="Times New Roman"/>
                <w:sz w:val="24"/>
                <w:szCs w:val="24"/>
                <w:lang w:eastAsia="lv-LV"/>
              </w:rPr>
            </w:pPr>
          </w:p>
          <w:p w14:paraId="7EC63035" w14:textId="77777777" w:rsidR="009F2884" w:rsidRPr="000B55A9" w:rsidRDefault="009F2884" w:rsidP="009F2884">
            <w:pPr>
              <w:rPr>
                <w:rFonts w:ascii="Times New Roman" w:eastAsia="Times New Roman" w:hAnsi="Times New Roman" w:cs="Times New Roman"/>
                <w:sz w:val="24"/>
                <w:szCs w:val="24"/>
                <w:lang w:eastAsia="lv-LV"/>
              </w:rPr>
            </w:pPr>
          </w:p>
          <w:p w14:paraId="37E4DEC1" w14:textId="77777777" w:rsidR="009F2884" w:rsidRPr="000B55A9" w:rsidRDefault="009F2884" w:rsidP="009F2884">
            <w:pPr>
              <w:rPr>
                <w:rFonts w:ascii="Times New Roman" w:eastAsia="Times New Roman" w:hAnsi="Times New Roman" w:cs="Times New Roman"/>
                <w:sz w:val="24"/>
                <w:szCs w:val="24"/>
                <w:lang w:eastAsia="lv-LV"/>
              </w:rPr>
            </w:pPr>
          </w:p>
          <w:p w14:paraId="25C1C904" w14:textId="77777777" w:rsidR="009F2884" w:rsidRPr="000B55A9" w:rsidRDefault="009F2884" w:rsidP="009F2884">
            <w:pPr>
              <w:rPr>
                <w:rFonts w:ascii="Times New Roman" w:eastAsia="Times New Roman" w:hAnsi="Times New Roman" w:cs="Times New Roman"/>
                <w:sz w:val="24"/>
                <w:szCs w:val="24"/>
                <w:lang w:eastAsia="lv-LV"/>
              </w:rPr>
            </w:pPr>
          </w:p>
          <w:p w14:paraId="7B10AFCA" w14:textId="624254F3" w:rsidR="0038587F" w:rsidRPr="000B55A9" w:rsidRDefault="0038587F" w:rsidP="009F2884">
            <w:pPr>
              <w:rPr>
                <w:rFonts w:ascii="Times New Roman" w:eastAsia="Times New Roman" w:hAnsi="Times New Roman" w:cs="Times New Roman"/>
                <w:sz w:val="24"/>
                <w:szCs w:val="24"/>
                <w:lang w:eastAsia="lv-LV"/>
              </w:rPr>
            </w:pPr>
          </w:p>
        </w:tc>
        <w:tc>
          <w:tcPr>
            <w:tcW w:w="1665" w:type="pct"/>
            <w:tcBorders>
              <w:top w:val="outset" w:sz="6" w:space="0" w:color="414142"/>
              <w:left w:val="outset" w:sz="6" w:space="0" w:color="414142"/>
              <w:bottom w:val="outset" w:sz="6" w:space="0" w:color="414142"/>
              <w:right w:val="outset" w:sz="6" w:space="0" w:color="414142"/>
            </w:tcBorders>
            <w:hideMark/>
          </w:tcPr>
          <w:p w14:paraId="12DA57BC" w14:textId="425BE733" w:rsidR="002F71AE" w:rsidRPr="000B55A9" w:rsidRDefault="0038587F" w:rsidP="0038587F">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654A0E9" w14:textId="77777777" w:rsidR="002F71AE" w:rsidRPr="000B55A9" w:rsidRDefault="002F71AE" w:rsidP="002F71AE">
            <w:pPr>
              <w:rPr>
                <w:rFonts w:ascii="Times New Roman" w:eastAsia="Times New Roman" w:hAnsi="Times New Roman" w:cs="Times New Roman"/>
                <w:sz w:val="24"/>
                <w:szCs w:val="24"/>
                <w:lang w:eastAsia="lv-LV"/>
              </w:rPr>
            </w:pPr>
          </w:p>
          <w:p w14:paraId="125A5ACB" w14:textId="77777777" w:rsidR="002F71AE" w:rsidRPr="000B55A9" w:rsidRDefault="002F71AE" w:rsidP="002F71AE">
            <w:pPr>
              <w:rPr>
                <w:rFonts w:ascii="Times New Roman" w:eastAsia="Times New Roman" w:hAnsi="Times New Roman" w:cs="Times New Roman"/>
                <w:sz w:val="24"/>
                <w:szCs w:val="24"/>
                <w:lang w:eastAsia="lv-LV"/>
              </w:rPr>
            </w:pPr>
          </w:p>
          <w:p w14:paraId="2759DFBD" w14:textId="77777777" w:rsidR="002F71AE" w:rsidRPr="000B55A9" w:rsidRDefault="002F71AE" w:rsidP="002F71AE">
            <w:pPr>
              <w:rPr>
                <w:rFonts w:ascii="Times New Roman" w:eastAsia="Times New Roman" w:hAnsi="Times New Roman" w:cs="Times New Roman"/>
                <w:sz w:val="24"/>
                <w:szCs w:val="24"/>
                <w:lang w:eastAsia="lv-LV"/>
              </w:rPr>
            </w:pPr>
          </w:p>
          <w:p w14:paraId="325ABB01" w14:textId="77777777" w:rsidR="002F71AE" w:rsidRPr="000B55A9" w:rsidRDefault="002F71AE" w:rsidP="002F71AE">
            <w:pPr>
              <w:rPr>
                <w:rFonts w:ascii="Times New Roman" w:eastAsia="Times New Roman" w:hAnsi="Times New Roman" w:cs="Times New Roman"/>
                <w:sz w:val="24"/>
                <w:szCs w:val="24"/>
                <w:lang w:eastAsia="lv-LV"/>
              </w:rPr>
            </w:pPr>
          </w:p>
          <w:p w14:paraId="6786AAA5" w14:textId="77777777" w:rsidR="002F71AE" w:rsidRPr="000B55A9" w:rsidRDefault="002F71AE" w:rsidP="002F71AE">
            <w:pPr>
              <w:rPr>
                <w:rFonts w:ascii="Times New Roman" w:eastAsia="Times New Roman" w:hAnsi="Times New Roman" w:cs="Times New Roman"/>
                <w:sz w:val="24"/>
                <w:szCs w:val="24"/>
                <w:lang w:eastAsia="lv-LV"/>
              </w:rPr>
            </w:pPr>
          </w:p>
          <w:p w14:paraId="1B166F53" w14:textId="77777777" w:rsidR="002F71AE" w:rsidRPr="000B55A9" w:rsidRDefault="002F71AE" w:rsidP="002F71AE">
            <w:pPr>
              <w:rPr>
                <w:rFonts w:ascii="Times New Roman" w:eastAsia="Times New Roman" w:hAnsi="Times New Roman" w:cs="Times New Roman"/>
                <w:sz w:val="24"/>
                <w:szCs w:val="24"/>
                <w:lang w:eastAsia="lv-LV"/>
              </w:rPr>
            </w:pPr>
          </w:p>
          <w:p w14:paraId="5AC1604C" w14:textId="344D788C" w:rsidR="0038587F" w:rsidRPr="000B55A9" w:rsidRDefault="0038587F" w:rsidP="002F71AE">
            <w:pPr>
              <w:ind w:firstLine="720"/>
              <w:rPr>
                <w:rFonts w:ascii="Times New Roman" w:eastAsia="Times New Roman" w:hAnsi="Times New Roman" w:cs="Times New Roman"/>
                <w:sz w:val="24"/>
                <w:szCs w:val="24"/>
                <w:lang w:eastAsia="lv-LV"/>
              </w:rPr>
            </w:pPr>
          </w:p>
        </w:tc>
        <w:tc>
          <w:tcPr>
            <w:tcW w:w="2994" w:type="pct"/>
            <w:tcBorders>
              <w:top w:val="outset" w:sz="6" w:space="0" w:color="414142"/>
              <w:left w:val="outset" w:sz="6" w:space="0" w:color="414142"/>
              <w:bottom w:val="outset" w:sz="6" w:space="0" w:color="414142"/>
              <w:right w:val="outset" w:sz="6" w:space="0" w:color="414142"/>
            </w:tcBorders>
            <w:hideMark/>
          </w:tcPr>
          <w:p w14:paraId="1E880776" w14:textId="33C45789" w:rsidR="003A4187" w:rsidRPr="000B55A9" w:rsidRDefault="00805BBF" w:rsidP="003A4187">
            <w:pPr>
              <w:pStyle w:val="ListParagraph"/>
              <w:numPr>
                <w:ilvl w:val="0"/>
                <w:numId w:val="9"/>
              </w:numPr>
              <w:tabs>
                <w:tab w:val="left" w:pos="250"/>
              </w:tabs>
              <w:ind w:left="0" w:firstLine="360"/>
              <w:jc w:val="both"/>
            </w:pPr>
            <w:r w:rsidRPr="000B55A9">
              <w:t xml:space="preserve">Šobrīd </w:t>
            </w:r>
            <w:r w:rsidR="006C30F5" w:rsidRPr="000B55A9">
              <w:t>likuma “Par akcīzes nodokli” (turpmāk –</w:t>
            </w:r>
            <w:r w:rsidRPr="000B55A9">
              <w:t>likum</w:t>
            </w:r>
            <w:r w:rsidR="006C30F5" w:rsidRPr="000B55A9">
              <w:t>s)</w:t>
            </w:r>
            <w:r w:rsidRPr="000B55A9">
              <w:t xml:space="preserve"> </w:t>
            </w:r>
            <w:r w:rsidR="00136FBC" w:rsidRPr="000B55A9">
              <w:t>14</w:t>
            </w:r>
            <w:r w:rsidRPr="000B55A9">
              <w:t xml:space="preserve">.panta </w:t>
            </w:r>
            <w:r w:rsidR="00136FBC" w:rsidRPr="000B55A9">
              <w:t xml:space="preserve">trešā daļa nosaka, ka </w:t>
            </w:r>
            <w:r w:rsidR="003A4187" w:rsidRPr="000B55A9">
              <w:t>šā panta pirmās daļas 1.punktā minētajiem naftas produktiem</w:t>
            </w:r>
            <w:r w:rsidR="002B0D50" w:rsidRPr="000B55A9">
              <w:t xml:space="preserve"> (svin</w:t>
            </w:r>
            <w:r w:rsidR="00F771A3" w:rsidRPr="000B55A9">
              <w:t>u</w:t>
            </w:r>
            <w:r w:rsidR="002B0D50" w:rsidRPr="000B55A9">
              <w:t xml:space="preserve"> ne</w:t>
            </w:r>
            <w:r w:rsidR="00623952" w:rsidRPr="000B55A9">
              <w:t>s</w:t>
            </w:r>
            <w:r w:rsidR="002B0D50" w:rsidRPr="000B55A9">
              <w:t>a</w:t>
            </w:r>
            <w:r w:rsidR="00623952" w:rsidRPr="000B55A9">
              <w:t>t</w:t>
            </w:r>
            <w:r w:rsidR="002B0D50" w:rsidRPr="000B55A9">
              <w:t>urošam benzīnam)</w:t>
            </w:r>
            <w:r w:rsidR="003A4187" w:rsidRPr="000B55A9">
              <w:t xml:space="preserve"> ir pievienots etilspirts, kas iegūts no lauksaimniecības izejvielām un ir </w:t>
            </w:r>
            <w:proofErr w:type="spellStart"/>
            <w:r w:rsidR="003A4187" w:rsidRPr="000B55A9">
              <w:t>dehidratēts</w:t>
            </w:r>
            <w:proofErr w:type="spellEnd"/>
            <w:r w:rsidR="003A4187" w:rsidRPr="000B55A9">
              <w:t xml:space="preserve"> (ar spirta saturu vismaz 99,5 tilpumprocenti), un pievienotā etilspirta saturs veido no 70 līdz 85 tilpumprocentiem (ieskaitot) no kopējā produktu daudzuma (turpmāk – degviela E85), attiecīgajiem produktiem (par 1000 litriem) nodokli aprēķina 30 procentu apmērā no šā panta pirmās daļas 1.punktā noteiktās likmes jeb 142,8 </w:t>
            </w:r>
            <w:proofErr w:type="spellStart"/>
            <w:r w:rsidR="003A4187" w:rsidRPr="000B55A9">
              <w:rPr>
                <w:i/>
              </w:rPr>
              <w:t>euro</w:t>
            </w:r>
            <w:proofErr w:type="spellEnd"/>
            <w:r w:rsidR="003A4187" w:rsidRPr="000B55A9">
              <w:t xml:space="preserve"> par 1000 litriem.</w:t>
            </w:r>
            <w:r w:rsidR="002B0D50" w:rsidRPr="000B55A9">
              <w:t xml:space="preserve"> Ņemot vērā šobrīd svinu nesaturošam benzīnam piemērojamo akcīzes nodokļa likmi 476 </w:t>
            </w:r>
            <w:proofErr w:type="spellStart"/>
            <w:r w:rsidR="002B0D50" w:rsidRPr="000B55A9">
              <w:rPr>
                <w:i/>
              </w:rPr>
              <w:t>euro</w:t>
            </w:r>
            <w:proofErr w:type="spellEnd"/>
            <w:r w:rsidR="002B0D50" w:rsidRPr="000B55A9">
              <w:t xml:space="preserve"> par 1000 litriem un zemāko benzīna siltumspēju 32 MJ/litrā, tika aprēķināta degvielai E85 piemērojamā akcīzes nodokļa likme</w:t>
            </w:r>
            <w:r w:rsidR="00862955" w:rsidRPr="000B55A9">
              <w:t xml:space="preserve"> -  360 </w:t>
            </w:r>
            <w:proofErr w:type="spellStart"/>
            <w:r w:rsidR="00862955" w:rsidRPr="000B55A9">
              <w:rPr>
                <w:i/>
              </w:rPr>
              <w:t>euro</w:t>
            </w:r>
            <w:proofErr w:type="spellEnd"/>
            <w:r w:rsidR="00862955" w:rsidRPr="000B55A9">
              <w:t xml:space="preserve"> par 1000 litriem</w:t>
            </w:r>
            <w:r w:rsidR="00623952" w:rsidRPr="000B55A9">
              <w:t xml:space="preserve"> atkarībā no benzīna un etilspirta </w:t>
            </w:r>
            <w:r w:rsidR="00862955" w:rsidRPr="000B55A9">
              <w:t>satura degvielā E85 un benzīna un etilspirta zemākās siltumspējas</w:t>
            </w:r>
            <w:r w:rsidR="000A2CD9" w:rsidRPr="000B55A9">
              <w:t xml:space="preserve"> (21 MJ/litrā)</w:t>
            </w:r>
            <w:r w:rsidR="00862955" w:rsidRPr="000B55A9">
              <w:t>. Šāda aprēķinātā akcīzes nodokļa likme degvielai E85 atbilst arī minimālajam nodokļa līmenim, kurš noteikts svinu nesaturošam benzīnam saskaņā ar Direktīvu 2003/96/EK</w:t>
            </w:r>
            <w:r w:rsidR="00304B5F" w:rsidRPr="000B55A9">
              <w:rPr>
                <w:rStyle w:val="FootnoteReference"/>
              </w:rPr>
              <w:footnoteReference w:id="1"/>
            </w:r>
            <w:r w:rsidR="00862955" w:rsidRPr="000B55A9">
              <w:t>.</w:t>
            </w:r>
          </w:p>
          <w:p w14:paraId="4066E5C0" w14:textId="7515D797" w:rsidR="00862955" w:rsidRDefault="00862955" w:rsidP="00862955">
            <w:pPr>
              <w:pStyle w:val="ListParagraph"/>
              <w:numPr>
                <w:ilvl w:val="0"/>
                <w:numId w:val="9"/>
              </w:numPr>
              <w:tabs>
                <w:tab w:val="left" w:pos="250"/>
              </w:tabs>
              <w:ind w:left="0" w:firstLine="360"/>
              <w:jc w:val="both"/>
            </w:pPr>
            <w:r w:rsidRPr="000B55A9">
              <w:t xml:space="preserve">Šobrīd likuma 14.panta piektā daļa nosaka, ka rapšu sēklu eļļai, kuru realizē vai izmanto par kurināmo vai degvielu, un biodīzeļdegvielai, kas pilnībā iegūta no </w:t>
            </w:r>
            <w:r w:rsidRPr="000B55A9">
              <w:lastRenderedPageBreak/>
              <w:t xml:space="preserve">rapšu sēklu eļļas, nodokli aprēķina pēc likmes 0 </w:t>
            </w:r>
            <w:proofErr w:type="spellStart"/>
            <w:r w:rsidRPr="000B55A9">
              <w:rPr>
                <w:i/>
              </w:rPr>
              <w:t>euro</w:t>
            </w:r>
            <w:proofErr w:type="spellEnd"/>
            <w:r w:rsidRPr="000B55A9">
              <w:t xml:space="preserve"> par 1000 litriem</w:t>
            </w:r>
            <w:r w:rsidR="00314D44" w:rsidRPr="000B55A9">
              <w:t xml:space="preserve">. Savukārt dīzeļdegvielai, kuru izmanto par degvielu, šobrīd piemēro akcīzes nodokļa likmi 372 </w:t>
            </w:r>
            <w:proofErr w:type="spellStart"/>
            <w:r w:rsidR="00314D44" w:rsidRPr="000B55A9">
              <w:rPr>
                <w:i/>
              </w:rPr>
              <w:t>euro</w:t>
            </w:r>
            <w:proofErr w:type="spellEnd"/>
            <w:r w:rsidR="00314D44" w:rsidRPr="000B55A9">
              <w:t xml:space="preserve"> par 1000 litriem. Līdz ar to, ņemot vērā dīzeļdegvielas zemāko siltumspēju 36 MJ/litrā, tika aprēķināta </w:t>
            </w:r>
            <w:r w:rsidR="00073F8B" w:rsidRPr="000B55A9">
              <w:t xml:space="preserve">akcīzes nodokļa likme – 330 </w:t>
            </w:r>
            <w:proofErr w:type="spellStart"/>
            <w:r w:rsidR="00073F8B" w:rsidRPr="000B55A9">
              <w:rPr>
                <w:i/>
              </w:rPr>
              <w:t>euro</w:t>
            </w:r>
            <w:proofErr w:type="spellEnd"/>
            <w:r w:rsidR="00073F8B" w:rsidRPr="000B55A9">
              <w:t xml:space="preserve"> par 1000 litriem</w:t>
            </w:r>
            <w:r w:rsidR="00073F8B">
              <w:t xml:space="preserve"> biodīzeļdegvielai, kas pilnībā iegūta no biomasas,</w:t>
            </w:r>
            <w:r w:rsidR="00314D44" w:rsidRPr="000B55A9">
              <w:t xml:space="preserve"> un </w:t>
            </w:r>
            <w:proofErr w:type="spellStart"/>
            <w:r w:rsidR="00314D44" w:rsidRPr="000B55A9">
              <w:t>parafinizētai</w:t>
            </w:r>
            <w:proofErr w:type="spellEnd"/>
            <w:r w:rsidR="00314D44" w:rsidRPr="000B55A9">
              <w:t xml:space="preserve"> dīzeļdegvielai</w:t>
            </w:r>
            <w:r w:rsidR="003F6220" w:rsidRPr="000B55A9">
              <w:t>, kas iegūta no biomasas</w:t>
            </w:r>
            <w:r w:rsidR="00073F8B">
              <w:t xml:space="preserve"> (</w:t>
            </w:r>
            <w:r w:rsidR="00073F8B" w:rsidRPr="000B55A9">
              <w:t>turpmāk – degviela B100</w:t>
            </w:r>
            <w:r w:rsidR="00073F8B">
              <w:t>)</w:t>
            </w:r>
            <w:r w:rsidR="003F6220" w:rsidRPr="000B55A9">
              <w:t>,</w:t>
            </w:r>
            <w:r w:rsidR="00314D44" w:rsidRPr="000B55A9">
              <w:t xml:space="preserve"> atkarībā no zemākas siltumspējas. Šāda aprēķinātā akcīzes nodokļa likme degvielai B100 atbilst arī minimālajam nodokļa līmenim, kurš noteikts dīzeļdegvielai (gāzeļļai) saskaņā ar Direktīvu 2003/96/EK</w:t>
            </w:r>
            <w:r w:rsidR="009D39D6" w:rsidRPr="000B55A9">
              <w:t>.</w:t>
            </w:r>
          </w:p>
          <w:p w14:paraId="61FCAF65" w14:textId="7E6A900E" w:rsidR="00DE1D04" w:rsidRPr="000B55A9" w:rsidRDefault="00DE1D04" w:rsidP="00DE1D04">
            <w:pPr>
              <w:pStyle w:val="ListParagraph"/>
              <w:tabs>
                <w:tab w:val="left" w:pos="676"/>
              </w:tabs>
              <w:ind w:left="0" w:firstLine="360"/>
              <w:jc w:val="both"/>
            </w:pPr>
            <w:r>
              <w:t xml:space="preserve">Tādejādi tiek novērsts </w:t>
            </w:r>
            <w:r w:rsidRPr="00DE1D04">
              <w:rPr>
                <w:i/>
              </w:rPr>
              <w:t>EU Pilot</w:t>
            </w:r>
            <w:r w:rsidRPr="00DE1D04">
              <w:t xml:space="preserve"> lieta</w:t>
            </w:r>
            <w:r>
              <w:t xml:space="preserve"> norādītais </w:t>
            </w:r>
            <w:r w:rsidRPr="00DE1D04">
              <w:t>par dažu biodegvielu izslēgšanu no Latvijas biodegvielu tirgus un no to biodegvielu kategorijas</w:t>
            </w:r>
            <w:r>
              <w:t xml:space="preserve">, kam piemēro samazinātu akcīzes nodokļa likmi. </w:t>
            </w:r>
          </w:p>
          <w:p w14:paraId="431008C7" w14:textId="77777777" w:rsidR="00304B5F" w:rsidRPr="000B55A9" w:rsidRDefault="009D39D6" w:rsidP="009D39D6">
            <w:pPr>
              <w:pStyle w:val="ListParagraph"/>
              <w:numPr>
                <w:ilvl w:val="0"/>
                <w:numId w:val="9"/>
              </w:numPr>
              <w:tabs>
                <w:tab w:val="left" w:pos="250"/>
              </w:tabs>
              <w:ind w:left="0" w:firstLine="360"/>
              <w:jc w:val="both"/>
            </w:pPr>
            <w:r w:rsidRPr="000B55A9">
              <w:t>Saskaņā ar likuma 14.panta otro daļu naftas produktu (petrolejas, dīzeļdegvielas un degvieleļļas)</w:t>
            </w:r>
            <w:r w:rsidR="00674F38" w:rsidRPr="000B55A9">
              <w:t>, kuru</w:t>
            </w:r>
            <w:r w:rsidRPr="000B55A9">
              <w:t xml:space="preserve"> sastāvā vismaz piecus procentus no kopējā produktu daudzuma veido rapšu sēklu eļļa vai no rapšu sēklu eļļas iegūta biodīzeļdegviela</w:t>
            </w:r>
            <w:r w:rsidR="00674F38" w:rsidRPr="000B55A9">
              <w:t xml:space="preserve"> un kurus izmanto kā kurināmo</w:t>
            </w:r>
            <w:r w:rsidRPr="000B55A9">
              <w:t xml:space="preserve">, nodokli aprēķina pēc likmes 21,34 </w:t>
            </w:r>
            <w:proofErr w:type="spellStart"/>
            <w:r w:rsidRPr="000B55A9">
              <w:rPr>
                <w:i/>
              </w:rPr>
              <w:t>euro</w:t>
            </w:r>
            <w:proofErr w:type="spellEnd"/>
            <w:r w:rsidRPr="000B55A9">
              <w:t xml:space="preserve"> par 1000 litriem. </w:t>
            </w:r>
          </w:p>
          <w:p w14:paraId="0CAADBBB" w14:textId="4EFAB2BD" w:rsidR="009D39D6" w:rsidRPr="000B55A9" w:rsidRDefault="00304B5F" w:rsidP="00304B5F">
            <w:pPr>
              <w:tabs>
                <w:tab w:val="left" w:pos="250"/>
              </w:tabs>
              <w:spacing w:after="0"/>
              <w:jc w:val="both"/>
              <w:rPr>
                <w:rFonts w:ascii="Times New Roman" w:hAnsi="Times New Roman" w:cs="Times New Roman"/>
                <w:sz w:val="24"/>
                <w:szCs w:val="24"/>
              </w:rPr>
            </w:pPr>
            <w:r w:rsidRPr="000B55A9">
              <w:rPr>
                <w:rFonts w:ascii="Times New Roman" w:hAnsi="Times New Roman" w:cs="Times New Roman"/>
                <w:sz w:val="24"/>
                <w:szCs w:val="24"/>
              </w:rPr>
              <w:t>Ņemot vērā, ka no 2011.gada 1.janvāri ir atcelta samazinātā akcīzes nodokļa likme dīzeļdegvielai, kurai pievienota biodīzeļde</w:t>
            </w:r>
            <w:r w:rsidR="00645E6F">
              <w:rPr>
                <w:rFonts w:ascii="Times New Roman" w:hAnsi="Times New Roman" w:cs="Times New Roman"/>
                <w:sz w:val="24"/>
                <w:szCs w:val="24"/>
              </w:rPr>
              <w:t>gviela, kas iegūta no rapšu sēkl</w:t>
            </w:r>
            <w:r w:rsidRPr="000B55A9">
              <w:rPr>
                <w:rFonts w:ascii="Times New Roman" w:hAnsi="Times New Roman" w:cs="Times New Roman"/>
                <w:sz w:val="24"/>
                <w:szCs w:val="24"/>
              </w:rPr>
              <w:t>u eļļas, 4,5-5 tilpumprocentu apmērā, kā arī 2015.gada 1.janvāri ir atcelta samazināta akcīzes nodokļa likme dīzeļdegvielai, kurai pievienota biodīzeļdegviela, kas iegūta no rapšu sēkļu eļļas, vismaz 30 tilpumprocentu apmērā, ir jāatceļ vēsturiski saglabātā samazinātā likme naftas produktiem, kurus izmanto kā kurināmo, kuriem pievienota biodegviela (</w:t>
            </w:r>
            <w:r w:rsidR="00073F8B" w:rsidRPr="00073F8B">
              <w:rPr>
                <w:rFonts w:ascii="Times New Roman" w:hAnsi="Times New Roman" w:cs="Times New Roman"/>
                <w:sz w:val="24"/>
                <w:szCs w:val="24"/>
              </w:rPr>
              <w:t xml:space="preserve">biodīzeļdegvielai, kas pilnībā iegūta no biomasas, un </w:t>
            </w:r>
            <w:proofErr w:type="spellStart"/>
            <w:r w:rsidR="00073F8B" w:rsidRPr="00073F8B">
              <w:rPr>
                <w:rFonts w:ascii="Times New Roman" w:hAnsi="Times New Roman" w:cs="Times New Roman"/>
                <w:sz w:val="24"/>
                <w:szCs w:val="24"/>
              </w:rPr>
              <w:t>parafinizētai</w:t>
            </w:r>
            <w:proofErr w:type="spellEnd"/>
            <w:r w:rsidR="00073F8B" w:rsidRPr="00073F8B">
              <w:rPr>
                <w:rFonts w:ascii="Times New Roman" w:hAnsi="Times New Roman" w:cs="Times New Roman"/>
                <w:sz w:val="24"/>
                <w:szCs w:val="24"/>
              </w:rPr>
              <w:t xml:space="preserve"> dīzeļdegvielai, kas iegūta no biomasas</w:t>
            </w:r>
            <w:r w:rsidRPr="000B55A9">
              <w:rPr>
                <w:rFonts w:ascii="Times New Roman" w:hAnsi="Times New Roman" w:cs="Times New Roman"/>
                <w:sz w:val="24"/>
                <w:szCs w:val="24"/>
              </w:rPr>
              <w:t>). Līdz ar to l</w:t>
            </w:r>
            <w:r w:rsidR="009D39D6" w:rsidRPr="000B55A9">
              <w:rPr>
                <w:rFonts w:ascii="Times New Roman" w:hAnsi="Times New Roman" w:cs="Times New Roman"/>
                <w:sz w:val="24"/>
                <w:szCs w:val="24"/>
              </w:rPr>
              <w:t xml:space="preserve">ikumprojekts paredz </w:t>
            </w:r>
            <w:r w:rsidR="00674F38" w:rsidRPr="000B55A9">
              <w:rPr>
                <w:rFonts w:ascii="Times New Roman" w:hAnsi="Times New Roman" w:cs="Times New Roman"/>
                <w:sz w:val="24"/>
                <w:szCs w:val="24"/>
              </w:rPr>
              <w:t xml:space="preserve">atcelt </w:t>
            </w:r>
            <w:r w:rsidR="009D39D6" w:rsidRPr="000B55A9">
              <w:rPr>
                <w:rFonts w:ascii="Times New Roman" w:hAnsi="Times New Roman" w:cs="Times New Roman"/>
                <w:sz w:val="24"/>
                <w:szCs w:val="24"/>
              </w:rPr>
              <w:t>arī samazin</w:t>
            </w:r>
            <w:r w:rsidR="00674F38" w:rsidRPr="000B55A9">
              <w:rPr>
                <w:rFonts w:ascii="Times New Roman" w:hAnsi="Times New Roman" w:cs="Times New Roman"/>
                <w:sz w:val="24"/>
                <w:szCs w:val="24"/>
              </w:rPr>
              <w:t xml:space="preserve">āto </w:t>
            </w:r>
            <w:r w:rsidR="00B54A51">
              <w:rPr>
                <w:rFonts w:ascii="Times New Roman" w:hAnsi="Times New Roman" w:cs="Times New Roman"/>
                <w:sz w:val="24"/>
                <w:szCs w:val="24"/>
              </w:rPr>
              <w:t xml:space="preserve">akcīzes nodokļa likmi </w:t>
            </w:r>
            <w:r w:rsidR="00674F38" w:rsidRPr="000B55A9">
              <w:rPr>
                <w:rFonts w:ascii="Times New Roman" w:hAnsi="Times New Roman" w:cs="Times New Roman"/>
                <w:sz w:val="24"/>
                <w:szCs w:val="24"/>
              </w:rPr>
              <w:t xml:space="preserve">naftas produktu un biodegvielas maisījumam, nosakot vienotu likmi – 60 </w:t>
            </w:r>
            <w:proofErr w:type="spellStart"/>
            <w:r w:rsidR="00674F38" w:rsidRPr="000B55A9">
              <w:rPr>
                <w:rFonts w:ascii="Times New Roman" w:hAnsi="Times New Roman" w:cs="Times New Roman"/>
                <w:i/>
                <w:sz w:val="24"/>
                <w:szCs w:val="24"/>
              </w:rPr>
              <w:t>euro</w:t>
            </w:r>
            <w:proofErr w:type="spellEnd"/>
            <w:r w:rsidR="00674F38" w:rsidRPr="000B55A9">
              <w:rPr>
                <w:rFonts w:ascii="Times New Roman" w:hAnsi="Times New Roman" w:cs="Times New Roman"/>
                <w:sz w:val="24"/>
                <w:szCs w:val="24"/>
              </w:rPr>
              <w:t xml:space="preserve"> par 1000 litriem naftas produktiem, kurus izmanto kā kurināmo neatkarīgi no biodegvielas piejaukuma.</w:t>
            </w:r>
          </w:p>
          <w:p w14:paraId="3D6822E4" w14:textId="7F451DE4" w:rsidR="00674F38" w:rsidRPr="000B55A9" w:rsidRDefault="00674F38" w:rsidP="00304B5F">
            <w:pPr>
              <w:pStyle w:val="ListParagraph"/>
              <w:numPr>
                <w:ilvl w:val="0"/>
                <w:numId w:val="9"/>
              </w:numPr>
              <w:tabs>
                <w:tab w:val="left" w:pos="250"/>
              </w:tabs>
              <w:ind w:left="0" w:firstLine="360"/>
              <w:jc w:val="both"/>
            </w:pPr>
            <w:r w:rsidRPr="000B55A9">
              <w:t xml:space="preserve">Savukārt, ja </w:t>
            </w:r>
            <w:r w:rsidR="00645E6F">
              <w:t xml:space="preserve">degvielu B100 </w:t>
            </w:r>
            <w:r w:rsidRPr="000B55A9">
              <w:t>realizē vai izmanto</w:t>
            </w:r>
            <w:r w:rsidR="0001650F" w:rsidRPr="000B55A9">
              <w:t xml:space="preserve"> kā kurināmo</w:t>
            </w:r>
            <w:r w:rsidR="00D22106" w:rsidRPr="000B55A9">
              <w:t xml:space="preserve"> un ja minētie produkti ir iezīmēti (marķēti) saskaņā ar šā likuma 28.pantu</w:t>
            </w:r>
            <w:r w:rsidR="0001650F" w:rsidRPr="000B55A9">
              <w:t xml:space="preserve">, likumprojekts paredz noteikt minimālo nodokļa likmi – 21 </w:t>
            </w:r>
            <w:proofErr w:type="spellStart"/>
            <w:r w:rsidR="0001650F" w:rsidRPr="000B55A9">
              <w:rPr>
                <w:i/>
              </w:rPr>
              <w:t>euro</w:t>
            </w:r>
            <w:proofErr w:type="spellEnd"/>
            <w:r w:rsidR="0001650F" w:rsidRPr="000B55A9">
              <w:t xml:space="preserve"> par 1000 litriem, kas atbilst minimālajam nodokļu līmenim kurināmajam saskaņā ar Direktīvu 2003/96/EK.</w:t>
            </w:r>
          </w:p>
          <w:p w14:paraId="206FBC6C" w14:textId="1A1AC35C" w:rsidR="0001650F" w:rsidRPr="000B55A9" w:rsidRDefault="0001650F" w:rsidP="009D39D6">
            <w:pPr>
              <w:pStyle w:val="ListParagraph"/>
              <w:numPr>
                <w:ilvl w:val="0"/>
                <w:numId w:val="9"/>
              </w:numPr>
              <w:tabs>
                <w:tab w:val="left" w:pos="250"/>
              </w:tabs>
              <w:ind w:left="0" w:firstLine="360"/>
              <w:jc w:val="both"/>
            </w:pPr>
            <w:r w:rsidRPr="000B55A9">
              <w:t xml:space="preserve">Ņemot vērā, ka degvielas tirgū tiek piedāvāta dīzeļdegviela ar </w:t>
            </w:r>
            <w:proofErr w:type="spellStart"/>
            <w:r w:rsidRPr="000B55A9">
              <w:t>hidrogenētās</w:t>
            </w:r>
            <w:proofErr w:type="spellEnd"/>
            <w:r w:rsidRPr="000B55A9">
              <w:t xml:space="preserve"> augu eļļas jeb </w:t>
            </w:r>
            <w:proofErr w:type="spellStart"/>
            <w:r w:rsidRPr="000B55A9">
              <w:t>parafin</w:t>
            </w:r>
            <w:r w:rsidR="0008771D" w:rsidRPr="000B55A9">
              <w:t>izē</w:t>
            </w:r>
            <w:r w:rsidRPr="000B55A9">
              <w:t>tās</w:t>
            </w:r>
            <w:proofErr w:type="spellEnd"/>
            <w:r w:rsidRPr="000B55A9">
              <w:t xml:space="preserve"> </w:t>
            </w:r>
            <w:r w:rsidRPr="000B55A9">
              <w:lastRenderedPageBreak/>
              <w:t>dīzeļdegvielas piejaukumu, juridiskās noteiktības dēļ ir precizētas normas likuma 14.panta 2.</w:t>
            </w:r>
            <w:r w:rsidRPr="000B55A9">
              <w:rPr>
                <w:vertAlign w:val="superscript"/>
              </w:rPr>
              <w:t>2</w:t>
            </w:r>
            <w:r w:rsidRPr="000B55A9">
              <w:t xml:space="preserve"> un ceturtajā daļā, lai šādiem degvielas sajaukumiem varētu piemērot tādas pašas akcīzes nodokļa likmes kā dīzeļdegvielai.</w:t>
            </w:r>
          </w:p>
          <w:p w14:paraId="2728671A" w14:textId="3F7B39DE" w:rsidR="006C30F5" w:rsidRPr="000B55A9" w:rsidRDefault="0008771D" w:rsidP="006C30F5">
            <w:pPr>
              <w:pStyle w:val="ListParagraph"/>
              <w:numPr>
                <w:ilvl w:val="0"/>
                <w:numId w:val="9"/>
              </w:numPr>
              <w:tabs>
                <w:tab w:val="left" w:pos="250"/>
              </w:tabs>
              <w:ind w:left="0" w:firstLine="360"/>
              <w:jc w:val="both"/>
            </w:pPr>
            <w:r w:rsidRPr="000B55A9">
              <w:t xml:space="preserve">Likumprojekts paredz </w:t>
            </w:r>
            <w:r w:rsidR="006E1B67" w:rsidRPr="000B55A9">
              <w:t xml:space="preserve">precizēt </w:t>
            </w:r>
            <w:r w:rsidR="00024BA6" w:rsidRPr="000B55A9">
              <w:t xml:space="preserve">likuma </w:t>
            </w:r>
            <w:r w:rsidRPr="000B55A9">
              <w:t>14.panta 5.</w:t>
            </w:r>
            <w:r w:rsidRPr="000B55A9">
              <w:rPr>
                <w:vertAlign w:val="superscript"/>
              </w:rPr>
              <w:t>1</w:t>
            </w:r>
            <w:r w:rsidRPr="000B55A9">
              <w:t xml:space="preserve"> </w:t>
            </w:r>
            <w:r w:rsidR="006E1B67" w:rsidRPr="000B55A9">
              <w:t>daļu, izslēdzot vārdus “no dalībvalsts”, kā arī izslēgt</w:t>
            </w:r>
            <w:r w:rsidRPr="000B55A9">
              <w:t xml:space="preserve"> septīto daļu, jo atbilstoši likumprojektā paredzētajiem grozījumiem šā panta otrajā, trešajā, un piektajā daļā, minētās daļas zaudē aktualitāti</w:t>
            </w:r>
            <w:r w:rsidR="00D22D4A" w:rsidRPr="000B55A9">
              <w:t xml:space="preserve">, jo </w:t>
            </w:r>
            <w:r w:rsidR="001A27A2" w:rsidRPr="000B55A9">
              <w:t xml:space="preserve">nodokļa likmi varēs piemērot tādā pašā apmērā gan no dalībvalsts ievestiem, gan no citām valstīm importētajiem produktiem </w:t>
            </w:r>
            <w:r w:rsidRPr="000B55A9">
              <w:t xml:space="preserve">. </w:t>
            </w:r>
          </w:p>
          <w:p w14:paraId="525BF7DE" w14:textId="2EF1C97B" w:rsidR="006C30F5" w:rsidRDefault="006C30F5" w:rsidP="006C30F5">
            <w:pPr>
              <w:pStyle w:val="ListParagraph"/>
              <w:numPr>
                <w:ilvl w:val="0"/>
                <w:numId w:val="9"/>
              </w:numPr>
              <w:tabs>
                <w:tab w:val="left" w:pos="250"/>
              </w:tabs>
              <w:ind w:left="0" w:firstLine="360"/>
              <w:jc w:val="both"/>
            </w:pPr>
            <w:r w:rsidRPr="000B55A9">
              <w:t>Likumprojektā ir paredzēts precizēt arī likuma 18.panta piektās daļas ievaddaļu un likuma pielikumu, ņemot vērā grozījumus, kas tiek veikti likuma 14.pantā.</w:t>
            </w:r>
          </w:p>
          <w:p w14:paraId="3F07F2FA" w14:textId="7CF6A87B" w:rsidR="00B54A51" w:rsidRPr="000B55A9" w:rsidRDefault="00B54A51" w:rsidP="00395D21">
            <w:pPr>
              <w:pStyle w:val="ListParagraph"/>
              <w:tabs>
                <w:tab w:val="left" w:pos="676"/>
              </w:tabs>
              <w:ind w:left="0" w:firstLine="392"/>
              <w:jc w:val="both"/>
            </w:pPr>
            <w:r w:rsidRPr="00B54A51">
              <w:rPr>
                <w:rFonts w:eastAsia="Calibri"/>
                <w:color w:val="000000"/>
              </w:rPr>
              <w:t xml:space="preserve">Ņemot vērā to, ka ar likumprojektu tiek </w:t>
            </w:r>
            <w:r>
              <w:rPr>
                <w:rFonts w:eastAsia="Calibri"/>
                <w:color w:val="000000"/>
              </w:rPr>
              <w:t>paredzē</w:t>
            </w:r>
            <w:r w:rsidRPr="00B54A51">
              <w:rPr>
                <w:rFonts w:eastAsia="Calibri"/>
                <w:color w:val="000000"/>
              </w:rPr>
              <w:t>tas vienotas akcīzes likmes, kas ir noteiktas ievērojot Direktīvas 2003/96/EK I pielikuma A tabulā un</w:t>
            </w:r>
            <w:r w:rsidR="007B4A86">
              <w:rPr>
                <w:rFonts w:eastAsia="Calibri"/>
                <w:color w:val="000000"/>
              </w:rPr>
              <w:t xml:space="preserve"> </w:t>
            </w:r>
            <w:r w:rsidRPr="00B54A51">
              <w:rPr>
                <w:rFonts w:eastAsia="Calibri"/>
                <w:color w:val="000000"/>
              </w:rPr>
              <w:t xml:space="preserve">I pielikuma C tabulā noteiktos minimālos nodokļu līmeņus, kā arī akcīzes likmi nosaka </w:t>
            </w:r>
            <w:r w:rsidRPr="00B54A51">
              <w:t xml:space="preserve">neatkarīgi no biodegvielas piejaukuma veida (biodīzeļdegvielai, kas pilnībā iegūta no biomasas, un </w:t>
            </w:r>
            <w:proofErr w:type="spellStart"/>
            <w:r w:rsidRPr="00B54A51">
              <w:t>parafinizētai</w:t>
            </w:r>
            <w:proofErr w:type="spellEnd"/>
            <w:r w:rsidRPr="00B54A51">
              <w:t xml:space="preserve"> dīzeļdegvielai, kas iegūta no biomasas), tādā veidā neradot selektīvu ekonomisko priekšrocību kādam no uzņēmumiem, pasākums nekvalificējas kā komercdarbības atbalsts.</w:t>
            </w:r>
          </w:p>
        </w:tc>
      </w:tr>
      <w:tr w:rsidR="0038587F" w:rsidRPr="000B55A9" w14:paraId="5ADA2985"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5CEC5A4C" w14:textId="77777777" w:rsidR="0038587F" w:rsidRPr="000B55A9"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14:paraId="7251094C" w14:textId="77777777" w:rsidR="0038587F" w:rsidRPr="000B55A9" w:rsidRDefault="0038587F" w:rsidP="0038587F">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Projekta izstrādē iesaistītās institūcijas un publiskas personas kapitālsabiedrības</w:t>
            </w:r>
          </w:p>
        </w:tc>
        <w:tc>
          <w:tcPr>
            <w:tcW w:w="2994" w:type="pct"/>
            <w:tcBorders>
              <w:top w:val="outset" w:sz="6" w:space="0" w:color="414142"/>
              <w:left w:val="outset" w:sz="6" w:space="0" w:color="414142"/>
              <w:bottom w:val="outset" w:sz="6" w:space="0" w:color="414142"/>
              <w:right w:val="outset" w:sz="6" w:space="0" w:color="414142"/>
            </w:tcBorders>
            <w:hideMark/>
          </w:tcPr>
          <w:p w14:paraId="29DE93D5" w14:textId="24D39F93" w:rsidR="0038587F" w:rsidRPr="000B55A9" w:rsidRDefault="005C5F58" w:rsidP="00755236">
            <w:pPr>
              <w:pStyle w:val="CommentText"/>
              <w:jc w:val="both"/>
              <w:rPr>
                <w:sz w:val="24"/>
                <w:szCs w:val="24"/>
              </w:rPr>
            </w:pPr>
            <w:r w:rsidRPr="000B55A9">
              <w:rPr>
                <w:sz w:val="24"/>
                <w:szCs w:val="24"/>
              </w:rPr>
              <w:t>Finanšu ministrija</w:t>
            </w:r>
            <w:r w:rsidR="00326578">
              <w:rPr>
                <w:sz w:val="24"/>
                <w:szCs w:val="24"/>
              </w:rPr>
              <w:t>, Ekonomikas ministrija</w:t>
            </w:r>
            <w:r w:rsidR="00314D44" w:rsidRPr="000B55A9">
              <w:rPr>
                <w:sz w:val="24"/>
                <w:szCs w:val="24"/>
              </w:rPr>
              <w:t xml:space="preserve"> un </w:t>
            </w:r>
            <w:r w:rsidR="00DB24C6" w:rsidRPr="000B55A9">
              <w:rPr>
                <w:sz w:val="24"/>
                <w:szCs w:val="24"/>
              </w:rPr>
              <w:t>Valsts ieņēmumu dienests</w:t>
            </w:r>
            <w:r w:rsidR="0066605C" w:rsidRPr="000B55A9">
              <w:rPr>
                <w:sz w:val="24"/>
                <w:szCs w:val="24"/>
              </w:rPr>
              <w:t>.</w:t>
            </w:r>
          </w:p>
        </w:tc>
      </w:tr>
      <w:tr w:rsidR="00341B12" w:rsidRPr="000B55A9" w14:paraId="08A1870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7E77B6AB" w14:textId="77777777" w:rsidR="0038587F" w:rsidRPr="000B55A9"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51A7B8C7" w14:textId="77777777" w:rsidR="0038587F" w:rsidRPr="000B55A9" w:rsidRDefault="0038587F" w:rsidP="0038587F">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2A689179" w14:textId="77777777" w:rsidR="0038587F" w:rsidRPr="000B55A9" w:rsidRDefault="00CE5C10" w:rsidP="00947ACC">
            <w:pPr>
              <w:pStyle w:val="CommentText"/>
              <w:ind w:firstLine="13"/>
              <w:jc w:val="both"/>
              <w:rPr>
                <w:sz w:val="24"/>
                <w:szCs w:val="24"/>
              </w:rPr>
            </w:pPr>
            <w:r w:rsidRPr="000B55A9">
              <w:rPr>
                <w:sz w:val="24"/>
                <w:szCs w:val="24"/>
              </w:rPr>
              <w:t>Nav.</w:t>
            </w:r>
          </w:p>
        </w:tc>
      </w:tr>
    </w:tbl>
    <w:p w14:paraId="37C5061C" w14:textId="77777777" w:rsidR="00543AA6" w:rsidRPr="000B55A9" w:rsidRDefault="00543AA6" w:rsidP="00543AA6">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0B55A9" w14:paraId="2DE79C23"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C88245C" w14:textId="77777777"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B55A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0B55A9" w14:paraId="47AC55D2" w14:textId="77777777" w:rsidTr="000A2CD9">
        <w:tc>
          <w:tcPr>
            <w:tcW w:w="341" w:type="pct"/>
            <w:tcBorders>
              <w:top w:val="outset" w:sz="6" w:space="0" w:color="414142"/>
              <w:left w:val="outset" w:sz="6" w:space="0" w:color="414142"/>
              <w:bottom w:val="outset" w:sz="6" w:space="0" w:color="414142"/>
              <w:right w:val="single" w:sz="4" w:space="0" w:color="auto"/>
            </w:tcBorders>
            <w:hideMark/>
          </w:tcPr>
          <w:p w14:paraId="295DC5D4" w14:textId="77777777" w:rsidR="00117DB1" w:rsidRPr="000B55A9"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B55A9">
              <w:rPr>
                <w:rFonts w:ascii="Times New Roman" w:eastAsia="Times New Roman" w:hAnsi="Times New Roman" w:cs="Times New Roman"/>
                <w:color w:val="414142"/>
                <w:sz w:val="24"/>
                <w:szCs w:val="24"/>
                <w:lang w:eastAsia="lv-LV"/>
              </w:rPr>
              <w:t>1.</w:t>
            </w:r>
          </w:p>
        </w:tc>
        <w:tc>
          <w:tcPr>
            <w:tcW w:w="1665" w:type="pct"/>
            <w:tcBorders>
              <w:top w:val="single" w:sz="4" w:space="0" w:color="auto"/>
              <w:left w:val="single" w:sz="4" w:space="0" w:color="auto"/>
              <w:bottom w:val="single" w:sz="4" w:space="0" w:color="auto"/>
              <w:right w:val="single" w:sz="4" w:space="0" w:color="auto"/>
            </w:tcBorders>
            <w:hideMark/>
          </w:tcPr>
          <w:p w14:paraId="0D7B2B10" w14:textId="77777777" w:rsidR="00117DB1" w:rsidRPr="000B55A9" w:rsidRDefault="00117DB1" w:rsidP="00117DB1">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 xml:space="preserve">Sabiedrības </w:t>
            </w:r>
            <w:proofErr w:type="spellStart"/>
            <w:r w:rsidRPr="000B55A9">
              <w:rPr>
                <w:rFonts w:ascii="Times New Roman" w:eastAsia="Times New Roman" w:hAnsi="Times New Roman" w:cs="Times New Roman"/>
                <w:sz w:val="24"/>
                <w:szCs w:val="24"/>
                <w:lang w:eastAsia="lv-LV"/>
              </w:rPr>
              <w:t>mērķgrupas</w:t>
            </w:r>
            <w:proofErr w:type="spellEnd"/>
            <w:r w:rsidRPr="000B55A9">
              <w:rPr>
                <w:rFonts w:ascii="Times New Roman" w:eastAsia="Times New Roman" w:hAnsi="Times New Roman" w:cs="Times New Roman"/>
                <w:sz w:val="24"/>
                <w:szCs w:val="24"/>
                <w:lang w:eastAsia="lv-LV"/>
              </w:rPr>
              <w:t>, kuras tiesiskais regulējums ietekmē vai varētu ietekmēt</w:t>
            </w:r>
          </w:p>
        </w:tc>
        <w:tc>
          <w:tcPr>
            <w:tcW w:w="2994" w:type="pct"/>
            <w:tcBorders>
              <w:top w:val="outset" w:sz="6" w:space="0" w:color="414142"/>
              <w:left w:val="single" w:sz="4" w:space="0" w:color="auto"/>
              <w:bottom w:val="outset" w:sz="6" w:space="0" w:color="414142"/>
              <w:right w:val="outset" w:sz="6" w:space="0" w:color="414142"/>
            </w:tcBorders>
            <w:hideMark/>
          </w:tcPr>
          <w:p w14:paraId="58BFE1D0" w14:textId="77777777" w:rsidR="00F96D99" w:rsidRPr="000B55A9" w:rsidRDefault="00F96D99" w:rsidP="00F96D99">
            <w:pPr>
              <w:spacing w:after="0" w:line="240" w:lineRule="auto"/>
              <w:ind w:right="113" w:firstLine="396"/>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Likumprojekta pieņemšana attiecas uz komersantiem un personām, kas atbilstoši likumā noteiktajām prasībām ir akcīzes nodokļa maksātāji.</w:t>
            </w:r>
          </w:p>
          <w:p w14:paraId="492FBE82" w14:textId="3EACFDE1" w:rsidR="00117DB1" w:rsidRPr="000B55A9" w:rsidRDefault="00755236" w:rsidP="00DB24C6">
            <w:pPr>
              <w:spacing w:after="0" w:line="240" w:lineRule="auto"/>
              <w:ind w:right="119" w:firstLine="392"/>
              <w:jc w:val="both"/>
              <w:rPr>
                <w:rFonts w:ascii="Times New Roman" w:hAnsi="Times New Roman" w:cs="Times New Roman"/>
                <w:sz w:val="24"/>
                <w:szCs w:val="24"/>
              </w:rPr>
            </w:pPr>
            <w:r w:rsidRPr="000B55A9">
              <w:rPr>
                <w:rFonts w:ascii="Times New Roman" w:eastAsia="Times New Roman" w:hAnsi="Times New Roman" w:cs="Times New Roman"/>
                <w:sz w:val="24"/>
                <w:szCs w:val="24"/>
                <w:lang w:eastAsia="lv-LV"/>
              </w:rPr>
              <w:t>L</w:t>
            </w:r>
            <w:r w:rsidR="00A1411D" w:rsidRPr="000B55A9">
              <w:rPr>
                <w:rFonts w:ascii="Times New Roman" w:eastAsia="Times New Roman" w:hAnsi="Times New Roman" w:cs="Times New Roman"/>
                <w:sz w:val="24"/>
                <w:szCs w:val="24"/>
                <w:lang w:eastAsia="lv-LV"/>
              </w:rPr>
              <w:t>ikump</w:t>
            </w:r>
            <w:r w:rsidR="00947ACC" w:rsidRPr="000B55A9">
              <w:rPr>
                <w:rFonts w:ascii="Times New Roman" w:eastAsia="Times New Roman" w:hAnsi="Times New Roman" w:cs="Times New Roman"/>
                <w:sz w:val="24"/>
                <w:szCs w:val="24"/>
                <w:lang w:eastAsia="lv-LV"/>
              </w:rPr>
              <w:t>rojekts attiecas uz komersantiem, kas veic darbības ar naftas produktiem.</w:t>
            </w:r>
          </w:p>
        </w:tc>
      </w:tr>
      <w:tr w:rsidR="00543AA6" w:rsidRPr="000B55A9" w14:paraId="2F539AE6"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396535E7" w14:textId="77777777"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2.</w:t>
            </w:r>
          </w:p>
        </w:tc>
        <w:tc>
          <w:tcPr>
            <w:tcW w:w="1665" w:type="pct"/>
            <w:tcBorders>
              <w:top w:val="outset" w:sz="6" w:space="0" w:color="414142"/>
              <w:left w:val="outset" w:sz="6" w:space="0" w:color="414142"/>
              <w:bottom w:val="outset" w:sz="6" w:space="0" w:color="414142"/>
              <w:right w:val="outset" w:sz="6" w:space="0" w:color="414142"/>
            </w:tcBorders>
            <w:hideMark/>
          </w:tcPr>
          <w:p w14:paraId="7AD1A5DF" w14:textId="0DE2EAD2" w:rsidR="009B0004" w:rsidRPr="000B55A9" w:rsidRDefault="00543AA6"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Tiesiskā regulējuma ietekme uz tautsaimniecību un administratīvo slogu</w:t>
            </w:r>
          </w:p>
          <w:p w14:paraId="2B472E98" w14:textId="77777777" w:rsidR="009B0004" w:rsidRPr="000B55A9" w:rsidRDefault="009B0004" w:rsidP="009B0004">
            <w:pPr>
              <w:rPr>
                <w:rFonts w:ascii="Times New Roman" w:eastAsia="Times New Roman" w:hAnsi="Times New Roman" w:cs="Times New Roman"/>
                <w:sz w:val="24"/>
                <w:szCs w:val="24"/>
                <w:lang w:eastAsia="lv-LV"/>
              </w:rPr>
            </w:pPr>
          </w:p>
          <w:p w14:paraId="55572FF0" w14:textId="0CD6E621" w:rsidR="00543AA6" w:rsidRPr="000B55A9" w:rsidRDefault="00543AA6" w:rsidP="009B0004">
            <w:pPr>
              <w:ind w:firstLine="720"/>
              <w:rPr>
                <w:rFonts w:ascii="Times New Roman" w:eastAsia="Times New Roman" w:hAnsi="Times New Roman" w:cs="Times New Roman"/>
                <w:sz w:val="24"/>
                <w:szCs w:val="24"/>
                <w:lang w:eastAsia="lv-LV"/>
              </w:rPr>
            </w:pPr>
          </w:p>
        </w:tc>
        <w:tc>
          <w:tcPr>
            <w:tcW w:w="2994" w:type="pct"/>
            <w:tcBorders>
              <w:top w:val="outset" w:sz="6" w:space="0" w:color="414142"/>
              <w:left w:val="outset" w:sz="6" w:space="0" w:color="414142"/>
              <w:bottom w:val="outset" w:sz="6" w:space="0" w:color="414142"/>
              <w:right w:val="outset" w:sz="6" w:space="0" w:color="414142"/>
            </w:tcBorders>
            <w:hideMark/>
          </w:tcPr>
          <w:p w14:paraId="7C2DE3C7" w14:textId="1C09F049" w:rsidR="00561F10" w:rsidRPr="000B55A9" w:rsidRDefault="005C150F" w:rsidP="00395D21">
            <w:pPr>
              <w:pStyle w:val="ListParagraph"/>
              <w:tabs>
                <w:tab w:val="left" w:pos="817"/>
              </w:tabs>
              <w:ind w:left="0" w:firstLine="392"/>
              <w:jc w:val="both"/>
            </w:pPr>
            <w:r w:rsidRPr="000B55A9">
              <w:t>Likumprojekt</w:t>
            </w:r>
            <w:r w:rsidR="00657D2C" w:rsidRPr="000B55A9">
              <w:t xml:space="preserve">s </w:t>
            </w:r>
            <w:r w:rsidR="00DB24C6" w:rsidRPr="000B55A9">
              <w:t xml:space="preserve">paredz samazināt administratīvo slogu </w:t>
            </w:r>
            <w:r w:rsidR="00561F10" w:rsidRPr="000B55A9">
              <w:t xml:space="preserve">komersantiem un </w:t>
            </w:r>
            <w:r w:rsidR="00DB24C6" w:rsidRPr="000B55A9">
              <w:t>Valsts ieņ</w:t>
            </w:r>
            <w:r w:rsidR="00561F10" w:rsidRPr="000B55A9">
              <w:t>ēmumu dienestam, jo:</w:t>
            </w:r>
          </w:p>
          <w:p w14:paraId="5A340CF3" w14:textId="77777777" w:rsidR="00561F10" w:rsidRPr="000B55A9" w:rsidRDefault="00DB24C6" w:rsidP="00561F10">
            <w:pPr>
              <w:pStyle w:val="ListParagraph"/>
              <w:numPr>
                <w:ilvl w:val="0"/>
                <w:numId w:val="8"/>
              </w:numPr>
              <w:ind w:left="0" w:firstLine="360"/>
              <w:jc w:val="both"/>
            </w:pPr>
            <w:r w:rsidRPr="000B55A9">
              <w:t xml:space="preserve">būs noteikta vienota likme naftas produktiem, kurus izmanto par kurināmo neatkarīgi no piejauktā biodegvielas </w:t>
            </w:r>
            <w:r w:rsidR="00561F10" w:rsidRPr="000B55A9">
              <w:t>daudzuma;</w:t>
            </w:r>
          </w:p>
          <w:p w14:paraId="57D55CBD" w14:textId="69A5F6C0" w:rsidR="000B00F2" w:rsidRPr="000B55A9" w:rsidRDefault="00561F10" w:rsidP="00645E6F">
            <w:pPr>
              <w:pStyle w:val="ListParagraph"/>
              <w:numPr>
                <w:ilvl w:val="0"/>
                <w:numId w:val="8"/>
              </w:numPr>
              <w:ind w:left="0" w:firstLine="360"/>
              <w:jc w:val="both"/>
            </w:pPr>
            <w:r w:rsidRPr="000B55A9">
              <w:t xml:space="preserve">biodegvielu saturošiem produktiem (biodīzeļdegvielai, kas pilnībā iegūta no </w:t>
            </w:r>
            <w:r w:rsidR="00645E6F">
              <w:t>biomasas</w:t>
            </w:r>
            <w:r w:rsidRPr="000B55A9">
              <w:t xml:space="preserve">, un </w:t>
            </w:r>
            <w:proofErr w:type="spellStart"/>
            <w:r w:rsidRPr="000B55A9">
              <w:t>parafinizētai</w:t>
            </w:r>
            <w:proofErr w:type="spellEnd"/>
            <w:r w:rsidRPr="000B55A9">
              <w:t xml:space="preserve"> dīzeļdegvielai</w:t>
            </w:r>
            <w:r w:rsidR="003F6220" w:rsidRPr="000B55A9">
              <w:t>, kas iegūta no biomasas</w:t>
            </w:r>
            <w:r w:rsidRPr="000B55A9">
              <w:t>), kurus izmanto kā degvielu tiek piemērota vien</w:t>
            </w:r>
            <w:r w:rsidR="00393FB2" w:rsidRPr="000B55A9">
              <w:t>ād</w:t>
            </w:r>
            <w:r w:rsidRPr="000B55A9">
              <w:t xml:space="preserve">a </w:t>
            </w:r>
            <w:r w:rsidR="00393FB2" w:rsidRPr="000B55A9">
              <w:t xml:space="preserve">akcīzes nodokļa </w:t>
            </w:r>
            <w:r w:rsidRPr="000B55A9">
              <w:t>likme</w:t>
            </w:r>
            <w:r w:rsidR="00393FB2" w:rsidRPr="000B55A9">
              <w:t xml:space="preserve">, savukārt minētajiem produktiem, </w:t>
            </w:r>
            <w:r w:rsidR="00393FB2" w:rsidRPr="000B55A9">
              <w:lastRenderedPageBreak/>
              <w:t>ja tie ir marķēti un tiek izmantoti kā kurināmais tiek piemērota vienāda samazinātā likme</w:t>
            </w:r>
            <w:r w:rsidRPr="000B55A9">
              <w:t>.</w:t>
            </w:r>
          </w:p>
        </w:tc>
      </w:tr>
      <w:tr w:rsidR="00543AA6" w:rsidRPr="000B55A9" w14:paraId="0A0A3B02"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356A3409" w14:textId="77777777"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14:paraId="465B05E0" w14:textId="77777777" w:rsidR="00543AA6" w:rsidRPr="000B55A9" w:rsidRDefault="00543AA6"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Administratīvo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2CFD3C97" w14:textId="7592DE77" w:rsidR="00543AA6" w:rsidRPr="000B55A9" w:rsidRDefault="008057B9" w:rsidP="008057B9">
            <w:pPr>
              <w:spacing w:after="0" w:line="240" w:lineRule="auto"/>
              <w:ind w:right="119"/>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Projekts šo jomu neskar.</w:t>
            </w:r>
          </w:p>
        </w:tc>
      </w:tr>
      <w:tr w:rsidR="00543AA6" w:rsidRPr="000B55A9" w14:paraId="4A666674"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45868083" w14:textId="77777777"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53FCF1B0" w14:textId="77777777" w:rsidR="00543AA6" w:rsidRPr="000B55A9" w:rsidRDefault="00543AA6"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Atbilstības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29D0CD72" w14:textId="7567E0F9" w:rsidR="00543AA6" w:rsidRPr="000B55A9" w:rsidRDefault="0069728C"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Projekts šo jomu neskar.</w:t>
            </w:r>
          </w:p>
        </w:tc>
      </w:tr>
      <w:tr w:rsidR="00543AA6" w:rsidRPr="000B55A9" w14:paraId="336D61E9"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55755A63" w14:textId="77777777"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5.</w:t>
            </w:r>
          </w:p>
        </w:tc>
        <w:tc>
          <w:tcPr>
            <w:tcW w:w="1665" w:type="pct"/>
            <w:tcBorders>
              <w:top w:val="outset" w:sz="6" w:space="0" w:color="414142"/>
              <w:left w:val="outset" w:sz="6" w:space="0" w:color="414142"/>
              <w:bottom w:val="outset" w:sz="6" w:space="0" w:color="414142"/>
              <w:right w:val="outset" w:sz="6" w:space="0" w:color="414142"/>
            </w:tcBorders>
            <w:hideMark/>
          </w:tcPr>
          <w:p w14:paraId="12197789" w14:textId="77777777" w:rsidR="00543AA6" w:rsidRPr="000B55A9" w:rsidRDefault="00543AA6"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760B8800" w14:textId="77777777" w:rsidR="00543AA6" w:rsidRPr="000B55A9" w:rsidRDefault="008515AE"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Nav.</w:t>
            </w:r>
          </w:p>
        </w:tc>
      </w:tr>
    </w:tbl>
    <w:p w14:paraId="0651EF81" w14:textId="5696ECC0" w:rsidR="00543AA6" w:rsidRPr="000B55A9" w:rsidRDefault="00543AA6" w:rsidP="00543AA6">
      <w:pPr>
        <w:spacing w:after="0" w:line="240" w:lineRule="auto"/>
        <w:rPr>
          <w:rFonts w:ascii="Times New Roman" w:eastAsia="Times New Roman" w:hAnsi="Times New Roman" w:cs="Times New Roman"/>
          <w:sz w:val="24"/>
          <w:szCs w:val="24"/>
          <w:lang w:eastAsia="lv-LV"/>
        </w:rPr>
      </w:pPr>
    </w:p>
    <w:tbl>
      <w:tblPr>
        <w:tblStyle w:val="TableGrid"/>
        <w:tblW w:w="5143" w:type="pct"/>
        <w:tblLayout w:type="fixed"/>
        <w:tblLook w:val="04A0" w:firstRow="1" w:lastRow="0" w:firstColumn="1" w:lastColumn="0" w:noHBand="0" w:noVBand="1"/>
      </w:tblPr>
      <w:tblGrid>
        <w:gridCol w:w="1696"/>
        <w:gridCol w:w="851"/>
        <w:gridCol w:w="992"/>
        <w:gridCol w:w="1276"/>
        <w:gridCol w:w="1134"/>
        <w:gridCol w:w="992"/>
        <w:gridCol w:w="1276"/>
        <w:gridCol w:w="1150"/>
      </w:tblGrid>
      <w:tr w:rsidR="00497E68" w:rsidRPr="000B55A9" w14:paraId="39CC9C3C" w14:textId="77777777" w:rsidTr="00520DA7">
        <w:trPr>
          <w:trHeight w:val="267"/>
        </w:trPr>
        <w:tc>
          <w:tcPr>
            <w:tcW w:w="9367" w:type="dxa"/>
            <w:gridSpan w:val="8"/>
            <w:hideMark/>
          </w:tcPr>
          <w:p w14:paraId="0840D233" w14:textId="77777777" w:rsidR="00497E68" w:rsidRPr="000B55A9" w:rsidRDefault="00497E68" w:rsidP="00520DA7">
            <w:pPr>
              <w:jc w:val="center"/>
              <w:rPr>
                <w:rFonts w:eastAsia="Times New Roman" w:cs="Times New Roman"/>
                <w:b/>
                <w:bCs/>
                <w:iCs/>
                <w:sz w:val="24"/>
                <w:szCs w:val="24"/>
                <w:lang w:eastAsia="lv-LV"/>
              </w:rPr>
            </w:pPr>
            <w:r w:rsidRPr="000B55A9">
              <w:rPr>
                <w:rFonts w:eastAsia="Times New Roman" w:cs="Times New Roman"/>
                <w:b/>
                <w:bCs/>
                <w:iCs/>
                <w:sz w:val="24"/>
                <w:szCs w:val="24"/>
                <w:lang w:eastAsia="lv-LV"/>
              </w:rPr>
              <w:t>III. Tiesību akta projekta ietekme uz valsts budžetu un pašvaldību budžetiem</w:t>
            </w:r>
          </w:p>
        </w:tc>
      </w:tr>
      <w:tr w:rsidR="00497E68" w:rsidRPr="000B55A9" w14:paraId="7FD23119" w14:textId="77777777" w:rsidTr="00520DA7">
        <w:trPr>
          <w:trHeight w:val="252"/>
        </w:trPr>
        <w:tc>
          <w:tcPr>
            <w:tcW w:w="1696" w:type="dxa"/>
            <w:vMerge w:val="restart"/>
          </w:tcPr>
          <w:p w14:paraId="79927BFD" w14:textId="77777777" w:rsidR="00497E68" w:rsidRPr="000B55A9" w:rsidRDefault="00497E68" w:rsidP="00520DA7">
            <w:pPr>
              <w:rPr>
                <w:rFonts w:eastAsia="Times New Roman" w:cs="Times New Roman"/>
                <w:bCs/>
                <w:iCs/>
                <w:sz w:val="24"/>
                <w:szCs w:val="24"/>
                <w:lang w:eastAsia="lv-LV"/>
              </w:rPr>
            </w:pPr>
            <w:r w:rsidRPr="000B55A9">
              <w:rPr>
                <w:rFonts w:eastAsia="Times New Roman" w:cs="Times New Roman"/>
                <w:bCs/>
                <w:iCs/>
                <w:sz w:val="24"/>
                <w:szCs w:val="24"/>
                <w:lang w:eastAsia="lv-LV"/>
              </w:rPr>
              <w:t>Rādītāji</w:t>
            </w:r>
          </w:p>
        </w:tc>
        <w:tc>
          <w:tcPr>
            <w:tcW w:w="1843" w:type="dxa"/>
            <w:gridSpan w:val="2"/>
            <w:vMerge w:val="restart"/>
            <w:hideMark/>
          </w:tcPr>
          <w:p w14:paraId="03ABA315" w14:textId="77777777" w:rsidR="00497E68" w:rsidRPr="000B55A9" w:rsidRDefault="00497E68" w:rsidP="00520DA7">
            <w:pPr>
              <w:jc w:val="center"/>
              <w:rPr>
                <w:rFonts w:eastAsia="Times New Roman" w:cs="Times New Roman"/>
                <w:b/>
                <w:bCs/>
                <w:iCs/>
                <w:sz w:val="24"/>
                <w:szCs w:val="24"/>
                <w:lang w:eastAsia="lv-LV"/>
              </w:rPr>
            </w:pPr>
            <w:r w:rsidRPr="000B55A9">
              <w:rPr>
                <w:rFonts w:eastAsia="Times New Roman" w:cs="Times New Roman"/>
                <w:b/>
                <w:bCs/>
                <w:iCs/>
                <w:sz w:val="24"/>
                <w:szCs w:val="24"/>
                <w:lang w:eastAsia="lv-LV"/>
              </w:rPr>
              <w:t>201</w:t>
            </w:r>
            <w:r>
              <w:rPr>
                <w:rFonts w:eastAsia="Times New Roman" w:cs="Times New Roman"/>
                <w:b/>
                <w:bCs/>
                <w:iCs/>
                <w:sz w:val="24"/>
                <w:szCs w:val="24"/>
                <w:lang w:eastAsia="lv-LV"/>
              </w:rPr>
              <w:t>9</w:t>
            </w:r>
          </w:p>
        </w:tc>
        <w:tc>
          <w:tcPr>
            <w:tcW w:w="5828" w:type="dxa"/>
            <w:gridSpan w:val="5"/>
            <w:hideMark/>
          </w:tcPr>
          <w:p w14:paraId="6A9C0E01"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Turpmākie trīs gadi (</w:t>
            </w:r>
            <w:proofErr w:type="spellStart"/>
            <w:r w:rsidRPr="000B55A9">
              <w:rPr>
                <w:rFonts w:eastAsia="Times New Roman" w:cs="Times New Roman"/>
                <w:i/>
                <w:iCs/>
                <w:sz w:val="24"/>
                <w:szCs w:val="24"/>
                <w:lang w:eastAsia="lv-LV"/>
              </w:rPr>
              <w:t>euro</w:t>
            </w:r>
            <w:proofErr w:type="spellEnd"/>
            <w:r w:rsidRPr="000B55A9">
              <w:rPr>
                <w:rFonts w:eastAsia="Times New Roman" w:cs="Times New Roman"/>
                <w:iCs/>
                <w:sz w:val="24"/>
                <w:szCs w:val="24"/>
                <w:lang w:eastAsia="lv-LV"/>
              </w:rPr>
              <w:t>)</w:t>
            </w:r>
          </w:p>
        </w:tc>
      </w:tr>
      <w:tr w:rsidR="00497E68" w:rsidRPr="000B55A9" w14:paraId="731FC24A" w14:textId="77777777" w:rsidTr="00520DA7">
        <w:trPr>
          <w:trHeight w:val="282"/>
        </w:trPr>
        <w:tc>
          <w:tcPr>
            <w:tcW w:w="1696" w:type="dxa"/>
            <w:vMerge/>
            <w:hideMark/>
          </w:tcPr>
          <w:p w14:paraId="3DB28C23" w14:textId="77777777" w:rsidR="00497E68" w:rsidRPr="000B55A9" w:rsidRDefault="00497E68" w:rsidP="00520DA7">
            <w:pPr>
              <w:rPr>
                <w:rFonts w:eastAsia="Times New Roman" w:cs="Times New Roman"/>
                <w:bCs/>
                <w:iCs/>
                <w:sz w:val="24"/>
                <w:szCs w:val="24"/>
                <w:lang w:eastAsia="lv-LV"/>
              </w:rPr>
            </w:pPr>
          </w:p>
        </w:tc>
        <w:tc>
          <w:tcPr>
            <w:tcW w:w="1843" w:type="dxa"/>
            <w:gridSpan w:val="2"/>
            <w:vMerge/>
            <w:hideMark/>
          </w:tcPr>
          <w:p w14:paraId="05B6DE87" w14:textId="77777777" w:rsidR="00497E68" w:rsidRPr="000B55A9" w:rsidRDefault="00497E68" w:rsidP="00520DA7">
            <w:pPr>
              <w:rPr>
                <w:rFonts w:eastAsia="Times New Roman" w:cs="Times New Roman"/>
                <w:bCs/>
                <w:iCs/>
                <w:sz w:val="24"/>
                <w:szCs w:val="24"/>
                <w:lang w:eastAsia="lv-LV"/>
              </w:rPr>
            </w:pPr>
          </w:p>
        </w:tc>
        <w:tc>
          <w:tcPr>
            <w:tcW w:w="2410" w:type="dxa"/>
            <w:gridSpan w:val="2"/>
            <w:hideMark/>
          </w:tcPr>
          <w:p w14:paraId="5383A347" w14:textId="77777777" w:rsidR="00497E68" w:rsidRPr="000B55A9" w:rsidRDefault="00497E68" w:rsidP="00520DA7">
            <w:pPr>
              <w:jc w:val="center"/>
              <w:rPr>
                <w:rFonts w:eastAsia="Times New Roman" w:cs="Times New Roman"/>
                <w:b/>
                <w:bCs/>
                <w:iCs/>
                <w:sz w:val="24"/>
                <w:szCs w:val="24"/>
                <w:lang w:eastAsia="lv-LV"/>
              </w:rPr>
            </w:pPr>
            <w:r w:rsidRPr="000B55A9">
              <w:rPr>
                <w:rFonts w:eastAsia="Times New Roman" w:cs="Times New Roman"/>
                <w:b/>
                <w:bCs/>
                <w:iCs/>
                <w:sz w:val="24"/>
                <w:szCs w:val="24"/>
                <w:lang w:eastAsia="lv-LV"/>
              </w:rPr>
              <w:t>20</w:t>
            </w:r>
            <w:r>
              <w:rPr>
                <w:rFonts w:eastAsia="Times New Roman" w:cs="Times New Roman"/>
                <w:b/>
                <w:bCs/>
                <w:iCs/>
                <w:sz w:val="24"/>
                <w:szCs w:val="24"/>
                <w:lang w:eastAsia="lv-LV"/>
              </w:rPr>
              <w:t>20</w:t>
            </w:r>
          </w:p>
        </w:tc>
        <w:tc>
          <w:tcPr>
            <w:tcW w:w="2268" w:type="dxa"/>
            <w:gridSpan w:val="2"/>
            <w:hideMark/>
          </w:tcPr>
          <w:p w14:paraId="7C1BCA82" w14:textId="77777777" w:rsidR="00497E68" w:rsidRPr="000B55A9" w:rsidRDefault="00497E68" w:rsidP="00520DA7">
            <w:pPr>
              <w:jc w:val="center"/>
              <w:rPr>
                <w:rFonts w:eastAsia="Times New Roman" w:cs="Times New Roman"/>
                <w:b/>
                <w:bCs/>
                <w:iCs/>
                <w:sz w:val="24"/>
                <w:szCs w:val="24"/>
                <w:lang w:eastAsia="lv-LV"/>
              </w:rPr>
            </w:pPr>
            <w:r w:rsidRPr="000B55A9">
              <w:rPr>
                <w:rFonts w:eastAsia="Times New Roman" w:cs="Times New Roman"/>
                <w:b/>
                <w:bCs/>
                <w:iCs/>
                <w:sz w:val="24"/>
                <w:szCs w:val="24"/>
                <w:lang w:eastAsia="lv-LV"/>
              </w:rPr>
              <w:t>202</w:t>
            </w:r>
            <w:r>
              <w:rPr>
                <w:rFonts w:eastAsia="Times New Roman" w:cs="Times New Roman"/>
                <w:b/>
                <w:bCs/>
                <w:iCs/>
                <w:sz w:val="24"/>
                <w:szCs w:val="24"/>
                <w:lang w:eastAsia="lv-LV"/>
              </w:rPr>
              <w:t>1</w:t>
            </w:r>
          </w:p>
        </w:tc>
        <w:tc>
          <w:tcPr>
            <w:tcW w:w="1150" w:type="dxa"/>
            <w:hideMark/>
          </w:tcPr>
          <w:p w14:paraId="5134D6C2" w14:textId="77777777" w:rsidR="00497E68" w:rsidRPr="000B55A9" w:rsidRDefault="00497E68" w:rsidP="00520DA7">
            <w:pPr>
              <w:jc w:val="center"/>
              <w:rPr>
                <w:rFonts w:eastAsia="Times New Roman" w:cs="Times New Roman"/>
                <w:b/>
                <w:bCs/>
                <w:iCs/>
                <w:sz w:val="24"/>
                <w:szCs w:val="24"/>
                <w:lang w:eastAsia="lv-LV"/>
              </w:rPr>
            </w:pPr>
            <w:r w:rsidRPr="000B55A9">
              <w:rPr>
                <w:rFonts w:eastAsia="Times New Roman" w:cs="Times New Roman"/>
                <w:b/>
                <w:bCs/>
                <w:iCs/>
                <w:sz w:val="24"/>
                <w:szCs w:val="24"/>
                <w:lang w:eastAsia="lv-LV"/>
              </w:rPr>
              <w:t>202</w:t>
            </w:r>
            <w:r>
              <w:rPr>
                <w:rFonts w:eastAsia="Times New Roman" w:cs="Times New Roman"/>
                <w:b/>
                <w:bCs/>
                <w:iCs/>
                <w:sz w:val="24"/>
                <w:szCs w:val="24"/>
                <w:lang w:eastAsia="lv-LV"/>
              </w:rPr>
              <w:t>2</w:t>
            </w:r>
          </w:p>
        </w:tc>
      </w:tr>
      <w:tr w:rsidR="00497E68" w:rsidRPr="000B55A9" w14:paraId="5B4C169E" w14:textId="77777777" w:rsidTr="00520DA7">
        <w:trPr>
          <w:trHeight w:val="2363"/>
        </w:trPr>
        <w:tc>
          <w:tcPr>
            <w:tcW w:w="1696" w:type="dxa"/>
            <w:vMerge/>
            <w:hideMark/>
          </w:tcPr>
          <w:p w14:paraId="246D8DB7" w14:textId="77777777" w:rsidR="00497E68" w:rsidRPr="000B55A9" w:rsidRDefault="00497E68" w:rsidP="00520DA7">
            <w:pPr>
              <w:rPr>
                <w:rFonts w:eastAsia="Times New Roman" w:cs="Times New Roman"/>
                <w:b/>
                <w:bCs/>
                <w:iCs/>
                <w:sz w:val="24"/>
                <w:szCs w:val="24"/>
                <w:lang w:eastAsia="lv-LV"/>
              </w:rPr>
            </w:pPr>
          </w:p>
        </w:tc>
        <w:tc>
          <w:tcPr>
            <w:tcW w:w="851" w:type="dxa"/>
            <w:hideMark/>
          </w:tcPr>
          <w:p w14:paraId="19E270A3" w14:textId="77777777" w:rsidR="00497E68" w:rsidRPr="000B55A9" w:rsidRDefault="00497E68" w:rsidP="00B009DF">
            <w:pPr>
              <w:ind w:left="-113" w:right="-107"/>
              <w:rPr>
                <w:rFonts w:eastAsia="Times New Roman" w:cs="Times New Roman"/>
                <w:iCs/>
                <w:sz w:val="24"/>
                <w:szCs w:val="24"/>
                <w:lang w:eastAsia="lv-LV"/>
              </w:rPr>
            </w:pPr>
            <w:r w:rsidRPr="000B55A9">
              <w:rPr>
                <w:rFonts w:eastAsia="Times New Roman" w:cs="Times New Roman"/>
                <w:iCs/>
                <w:sz w:val="24"/>
                <w:szCs w:val="24"/>
                <w:lang w:eastAsia="lv-LV"/>
              </w:rPr>
              <w:t xml:space="preserve">saskaņā ar valsts budžetu </w:t>
            </w:r>
            <w:proofErr w:type="spellStart"/>
            <w:r w:rsidRPr="000B55A9">
              <w:rPr>
                <w:rFonts w:eastAsia="Times New Roman" w:cs="Times New Roman"/>
                <w:iCs/>
                <w:sz w:val="24"/>
                <w:szCs w:val="24"/>
                <w:lang w:eastAsia="lv-LV"/>
              </w:rPr>
              <w:t>kārtē-jam</w:t>
            </w:r>
            <w:proofErr w:type="spellEnd"/>
            <w:r w:rsidRPr="000B55A9">
              <w:rPr>
                <w:rFonts w:eastAsia="Times New Roman" w:cs="Times New Roman"/>
                <w:iCs/>
                <w:sz w:val="24"/>
                <w:szCs w:val="24"/>
                <w:lang w:eastAsia="lv-LV"/>
              </w:rPr>
              <w:t xml:space="preserve"> gadam</w:t>
            </w:r>
          </w:p>
        </w:tc>
        <w:tc>
          <w:tcPr>
            <w:tcW w:w="992" w:type="dxa"/>
            <w:hideMark/>
          </w:tcPr>
          <w:p w14:paraId="1F07D7D0" w14:textId="77777777" w:rsidR="00497E68" w:rsidRPr="000B55A9" w:rsidRDefault="00497E68" w:rsidP="00B009DF">
            <w:pPr>
              <w:ind w:left="-102"/>
              <w:rPr>
                <w:rFonts w:eastAsia="Times New Roman" w:cs="Times New Roman"/>
                <w:iCs/>
                <w:sz w:val="24"/>
                <w:szCs w:val="24"/>
                <w:lang w:eastAsia="lv-LV"/>
              </w:rPr>
            </w:pPr>
            <w:r w:rsidRPr="000B55A9">
              <w:rPr>
                <w:rFonts w:eastAsia="Times New Roman" w:cs="Times New Roman"/>
                <w:iCs/>
                <w:sz w:val="24"/>
                <w:szCs w:val="24"/>
                <w:lang w:eastAsia="lv-LV"/>
              </w:rPr>
              <w:t>izmaiņas kārtējā gadā, salīdzi-</w:t>
            </w:r>
            <w:proofErr w:type="spellStart"/>
            <w:r w:rsidRPr="000B55A9">
              <w:rPr>
                <w:rFonts w:eastAsia="Times New Roman" w:cs="Times New Roman"/>
                <w:iCs/>
                <w:sz w:val="24"/>
                <w:szCs w:val="24"/>
                <w:lang w:eastAsia="lv-LV"/>
              </w:rPr>
              <w:t>not</w:t>
            </w:r>
            <w:proofErr w:type="spellEnd"/>
            <w:r w:rsidRPr="000B55A9">
              <w:rPr>
                <w:rFonts w:eastAsia="Times New Roman" w:cs="Times New Roman"/>
                <w:iCs/>
                <w:sz w:val="24"/>
                <w:szCs w:val="24"/>
                <w:lang w:eastAsia="lv-LV"/>
              </w:rPr>
              <w:t xml:space="preserve"> ar valsts budžetu kārtējam gadam</w:t>
            </w:r>
          </w:p>
        </w:tc>
        <w:tc>
          <w:tcPr>
            <w:tcW w:w="1276" w:type="dxa"/>
            <w:hideMark/>
          </w:tcPr>
          <w:p w14:paraId="0AEEFBB1" w14:textId="77777777" w:rsidR="00497E68" w:rsidRPr="000B55A9" w:rsidRDefault="00497E68" w:rsidP="00B009DF">
            <w:pPr>
              <w:ind w:left="-100"/>
              <w:rPr>
                <w:rFonts w:eastAsia="Times New Roman" w:cs="Times New Roman"/>
                <w:iCs/>
                <w:sz w:val="24"/>
                <w:szCs w:val="24"/>
                <w:lang w:eastAsia="lv-LV"/>
              </w:rPr>
            </w:pPr>
            <w:r w:rsidRPr="000B55A9">
              <w:rPr>
                <w:rFonts w:eastAsia="Times New Roman" w:cs="Times New Roman"/>
                <w:iCs/>
                <w:sz w:val="24"/>
                <w:szCs w:val="24"/>
                <w:lang w:eastAsia="lv-LV"/>
              </w:rPr>
              <w:t>saskaņā ar vidēja termiņa budžeta ietvaru</w:t>
            </w:r>
          </w:p>
        </w:tc>
        <w:tc>
          <w:tcPr>
            <w:tcW w:w="1134" w:type="dxa"/>
            <w:hideMark/>
          </w:tcPr>
          <w:p w14:paraId="0D3A6077" w14:textId="77777777" w:rsidR="00497E68" w:rsidRPr="000B55A9" w:rsidRDefault="00497E68" w:rsidP="00B009DF">
            <w:pPr>
              <w:ind w:left="-114"/>
              <w:rPr>
                <w:rFonts w:eastAsia="Times New Roman" w:cs="Times New Roman"/>
                <w:iCs/>
                <w:sz w:val="24"/>
                <w:szCs w:val="24"/>
                <w:lang w:eastAsia="lv-LV"/>
              </w:rPr>
            </w:pPr>
            <w:r w:rsidRPr="000B55A9">
              <w:rPr>
                <w:rFonts w:eastAsia="Times New Roman" w:cs="Times New Roman"/>
                <w:iCs/>
                <w:sz w:val="24"/>
                <w:szCs w:val="24"/>
                <w:lang w:eastAsia="lv-LV"/>
              </w:rPr>
              <w:t xml:space="preserve">izmaiņas, salīdzinot ar vidēja termiņa budžeta ietvaru </w:t>
            </w:r>
          </w:p>
        </w:tc>
        <w:tc>
          <w:tcPr>
            <w:tcW w:w="992" w:type="dxa"/>
            <w:hideMark/>
          </w:tcPr>
          <w:p w14:paraId="13935A53" w14:textId="77777777" w:rsidR="00497E68" w:rsidRPr="000B55A9" w:rsidRDefault="00497E68" w:rsidP="00B009DF">
            <w:pPr>
              <w:ind w:left="-105"/>
              <w:rPr>
                <w:rFonts w:eastAsia="Times New Roman" w:cs="Times New Roman"/>
                <w:iCs/>
                <w:sz w:val="24"/>
                <w:szCs w:val="24"/>
                <w:lang w:eastAsia="lv-LV"/>
              </w:rPr>
            </w:pPr>
            <w:r w:rsidRPr="000B55A9">
              <w:rPr>
                <w:rFonts w:eastAsia="Times New Roman" w:cs="Times New Roman"/>
                <w:iCs/>
                <w:sz w:val="24"/>
                <w:szCs w:val="24"/>
                <w:lang w:eastAsia="lv-LV"/>
              </w:rPr>
              <w:t>saskaņā ar vidēja termiņa budžeta ietvaru</w:t>
            </w:r>
          </w:p>
        </w:tc>
        <w:tc>
          <w:tcPr>
            <w:tcW w:w="1276" w:type="dxa"/>
            <w:hideMark/>
          </w:tcPr>
          <w:p w14:paraId="16FCD242" w14:textId="77777777" w:rsidR="00497E68" w:rsidRPr="000B55A9" w:rsidRDefault="00497E68" w:rsidP="00B009DF">
            <w:pPr>
              <w:ind w:left="-103"/>
              <w:rPr>
                <w:rFonts w:eastAsia="Times New Roman" w:cs="Times New Roman"/>
                <w:iCs/>
                <w:sz w:val="24"/>
                <w:szCs w:val="24"/>
                <w:lang w:eastAsia="lv-LV"/>
              </w:rPr>
            </w:pPr>
            <w:r w:rsidRPr="000B55A9">
              <w:rPr>
                <w:rFonts w:eastAsia="Times New Roman" w:cs="Times New Roman"/>
                <w:iCs/>
                <w:sz w:val="24"/>
                <w:szCs w:val="24"/>
                <w:lang w:eastAsia="lv-LV"/>
              </w:rPr>
              <w:t xml:space="preserve">izmaiņas, salīdzinot ar vidēja termiņa budžeta ietvaru </w:t>
            </w:r>
          </w:p>
          <w:p w14:paraId="7C1AF8FA" w14:textId="77777777" w:rsidR="00497E68" w:rsidRPr="000B55A9" w:rsidRDefault="00497E68" w:rsidP="00520DA7">
            <w:pPr>
              <w:rPr>
                <w:rFonts w:eastAsia="Times New Roman" w:cs="Times New Roman"/>
                <w:iCs/>
                <w:sz w:val="24"/>
                <w:szCs w:val="24"/>
                <w:lang w:eastAsia="lv-LV"/>
              </w:rPr>
            </w:pPr>
          </w:p>
        </w:tc>
        <w:tc>
          <w:tcPr>
            <w:tcW w:w="1150" w:type="dxa"/>
            <w:hideMark/>
          </w:tcPr>
          <w:p w14:paraId="31CE8835" w14:textId="77777777" w:rsidR="00497E68" w:rsidRPr="000B55A9" w:rsidRDefault="00497E68" w:rsidP="00B009DF">
            <w:pPr>
              <w:ind w:left="-102"/>
              <w:rPr>
                <w:rFonts w:eastAsia="Times New Roman" w:cs="Times New Roman"/>
                <w:iCs/>
                <w:sz w:val="24"/>
                <w:szCs w:val="24"/>
                <w:lang w:eastAsia="lv-LV"/>
              </w:rPr>
            </w:pPr>
            <w:r w:rsidRPr="000B55A9">
              <w:rPr>
                <w:rFonts w:eastAsia="Times New Roman" w:cs="Times New Roman"/>
                <w:iCs/>
                <w:sz w:val="24"/>
                <w:szCs w:val="24"/>
                <w:lang w:eastAsia="lv-LV"/>
              </w:rPr>
              <w:t xml:space="preserve">izmaiņas, salīdzinot ar vidēja termiņa budžeta ietvaru </w:t>
            </w:r>
            <w:r w:rsidRPr="000B55A9">
              <w:rPr>
                <w:rFonts w:eastAsia="Times New Roman" w:cs="Times New Roman"/>
                <w:iCs/>
                <w:sz w:val="24"/>
                <w:szCs w:val="24"/>
                <w:lang w:eastAsia="lv-LV"/>
              </w:rPr>
              <w:br/>
            </w:r>
          </w:p>
        </w:tc>
      </w:tr>
      <w:tr w:rsidR="00497E68" w:rsidRPr="000B55A9" w14:paraId="2911B9FB" w14:textId="77777777" w:rsidTr="00520DA7">
        <w:trPr>
          <w:trHeight w:val="252"/>
        </w:trPr>
        <w:tc>
          <w:tcPr>
            <w:tcW w:w="1696" w:type="dxa"/>
            <w:hideMark/>
          </w:tcPr>
          <w:p w14:paraId="110CA28A"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1</w:t>
            </w:r>
          </w:p>
        </w:tc>
        <w:tc>
          <w:tcPr>
            <w:tcW w:w="851" w:type="dxa"/>
            <w:hideMark/>
          </w:tcPr>
          <w:p w14:paraId="2CC43444"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2</w:t>
            </w:r>
          </w:p>
        </w:tc>
        <w:tc>
          <w:tcPr>
            <w:tcW w:w="992" w:type="dxa"/>
            <w:hideMark/>
          </w:tcPr>
          <w:p w14:paraId="7E15EE04"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3</w:t>
            </w:r>
          </w:p>
        </w:tc>
        <w:tc>
          <w:tcPr>
            <w:tcW w:w="1276" w:type="dxa"/>
            <w:hideMark/>
          </w:tcPr>
          <w:p w14:paraId="2A58FD13"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4</w:t>
            </w:r>
          </w:p>
        </w:tc>
        <w:tc>
          <w:tcPr>
            <w:tcW w:w="1134" w:type="dxa"/>
            <w:hideMark/>
          </w:tcPr>
          <w:p w14:paraId="32F191DA"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5</w:t>
            </w:r>
          </w:p>
        </w:tc>
        <w:tc>
          <w:tcPr>
            <w:tcW w:w="992" w:type="dxa"/>
            <w:hideMark/>
          </w:tcPr>
          <w:p w14:paraId="78752AC3"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6</w:t>
            </w:r>
          </w:p>
        </w:tc>
        <w:tc>
          <w:tcPr>
            <w:tcW w:w="1276" w:type="dxa"/>
            <w:hideMark/>
          </w:tcPr>
          <w:p w14:paraId="41F6817C"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7</w:t>
            </w:r>
          </w:p>
        </w:tc>
        <w:tc>
          <w:tcPr>
            <w:tcW w:w="1150" w:type="dxa"/>
            <w:hideMark/>
          </w:tcPr>
          <w:p w14:paraId="28D25B9F"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8</w:t>
            </w:r>
          </w:p>
        </w:tc>
      </w:tr>
      <w:tr w:rsidR="00497E68" w:rsidRPr="000B55A9" w14:paraId="34D6C71A" w14:textId="77777777" w:rsidTr="00520DA7">
        <w:trPr>
          <w:trHeight w:val="520"/>
        </w:trPr>
        <w:tc>
          <w:tcPr>
            <w:tcW w:w="1696" w:type="dxa"/>
            <w:hideMark/>
          </w:tcPr>
          <w:p w14:paraId="28189625" w14:textId="77777777" w:rsidR="00497E68" w:rsidRPr="000B55A9" w:rsidRDefault="00497E68" w:rsidP="00520DA7">
            <w:pPr>
              <w:rPr>
                <w:rFonts w:eastAsia="Times New Roman" w:cs="Times New Roman"/>
                <w:b/>
                <w:iCs/>
                <w:sz w:val="24"/>
                <w:szCs w:val="24"/>
                <w:lang w:eastAsia="lv-LV"/>
              </w:rPr>
            </w:pPr>
            <w:r w:rsidRPr="000B55A9">
              <w:rPr>
                <w:rFonts w:eastAsia="Times New Roman" w:cs="Times New Roman"/>
                <w:b/>
                <w:iCs/>
                <w:sz w:val="24"/>
                <w:szCs w:val="24"/>
                <w:lang w:eastAsia="lv-LV"/>
              </w:rPr>
              <w:t>1. Budžeta ieņēmumi</w:t>
            </w:r>
          </w:p>
        </w:tc>
        <w:tc>
          <w:tcPr>
            <w:tcW w:w="851" w:type="dxa"/>
            <w:hideMark/>
          </w:tcPr>
          <w:p w14:paraId="5244D99D" w14:textId="77777777" w:rsidR="00497E68" w:rsidRPr="000B55A9" w:rsidRDefault="00497E68" w:rsidP="00520DA7">
            <w:pPr>
              <w:rPr>
                <w:rFonts w:eastAsia="Times New Roman" w:cs="Times New Roman"/>
                <w:b/>
                <w:iCs/>
                <w:sz w:val="24"/>
                <w:szCs w:val="24"/>
                <w:lang w:eastAsia="lv-LV"/>
              </w:rPr>
            </w:pPr>
            <w:r w:rsidRPr="000B55A9">
              <w:rPr>
                <w:rFonts w:eastAsia="Times New Roman" w:cs="Times New Roman"/>
                <w:b/>
                <w:iCs/>
                <w:sz w:val="24"/>
                <w:szCs w:val="24"/>
                <w:lang w:eastAsia="lv-LV"/>
              </w:rPr>
              <w:t>0</w:t>
            </w:r>
          </w:p>
        </w:tc>
        <w:tc>
          <w:tcPr>
            <w:tcW w:w="992" w:type="dxa"/>
            <w:hideMark/>
          </w:tcPr>
          <w:p w14:paraId="365D4383" w14:textId="77777777" w:rsidR="00497E68" w:rsidRPr="000B55A9" w:rsidRDefault="00497E68" w:rsidP="00520DA7">
            <w:pPr>
              <w:rPr>
                <w:rFonts w:eastAsia="Times New Roman" w:cs="Times New Roman"/>
                <w:b/>
                <w:iCs/>
                <w:sz w:val="24"/>
                <w:szCs w:val="24"/>
                <w:lang w:eastAsia="lv-LV"/>
              </w:rPr>
            </w:pPr>
            <w:r w:rsidRPr="000B55A9">
              <w:rPr>
                <w:rFonts w:eastAsia="Times New Roman" w:cs="Times New Roman"/>
                <w:b/>
                <w:iCs/>
                <w:sz w:val="24"/>
                <w:szCs w:val="24"/>
                <w:lang w:eastAsia="lv-LV"/>
              </w:rPr>
              <w:t>0</w:t>
            </w:r>
          </w:p>
        </w:tc>
        <w:tc>
          <w:tcPr>
            <w:tcW w:w="1276" w:type="dxa"/>
            <w:hideMark/>
          </w:tcPr>
          <w:p w14:paraId="32F3CC83" w14:textId="77777777" w:rsidR="00497E68" w:rsidRPr="000B55A9" w:rsidRDefault="00497E68" w:rsidP="00520DA7">
            <w:pPr>
              <w:rPr>
                <w:rFonts w:eastAsia="Times New Roman" w:cs="Times New Roman"/>
                <w:b/>
                <w:iCs/>
                <w:sz w:val="24"/>
                <w:szCs w:val="24"/>
                <w:lang w:eastAsia="lv-LV"/>
              </w:rPr>
            </w:pPr>
            <w:r>
              <w:rPr>
                <w:rFonts w:cs="Times New Roman"/>
                <w:b/>
                <w:sz w:val="24"/>
                <w:szCs w:val="24"/>
              </w:rPr>
              <w:t>0</w:t>
            </w:r>
          </w:p>
        </w:tc>
        <w:tc>
          <w:tcPr>
            <w:tcW w:w="1134" w:type="dxa"/>
          </w:tcPr>
          <w:p w14:paraId="4DF981D9" w14:textId="77777777" w:rsidR="00497E68" w:rsidRPr="000B55A9" w:rsidRDefault="00497E68" w:rsidP="00520DA7">
            <w:pPr>
              <w:rPr>
                <w:rFonts w:eastAsia="Times New Roman" w:cs="Times New Roman"/>
                <w:b/>
                <w:iCs/>
                <w:sz w:val="24"/>
                <w:szCs w:val="24"/>
                <w:lang w:eastAsia="lv-LV"/>
              </w:rPr>
            </w:pPr>
            <w:r w:rsidRPr="000B55A9">
              <w:rPr>
                <w:rFonts w:eastAsia="Times New Roman" w:cs="Times New Roman"/>
                <w:b/>
                <w:iCs/>
                <w:sz w:val="24"/>
                <w:szCs w:val="24"/>
                <w:lang w:eastAsia="lv-LV"/>
              </w:rPr>
              <w:t>+7</w:t>
            </w:r>
            <w:r>
              <w:rPr>
                <w:rFonts w:eastAsia="Times New Roman" w:cs="Times New Roman"/>
                <w:b/>
                <w:iCs/>
                <w:sz w:val="24"/>
                <w:szCs w:val="24"/>
                <w:lang w:eastAsia="lv-LV"/>
              </w:rPr>
              <w:t>37 0</w:t>
            </w:r>
            <w:r w:rsidRPr="000B55A9">
              <w:rPr>
                <w:rFonts w:eastAsia="Times New Roman" w:cs="Times New Roman"/>
                <w:b/>
                <w:iCs/>
                <w:sz w:val="24"/>
                <w:szCs w:val="24"/>
                <w:lang w:eastAsia="lv-LV"/>
              </w:rPr>
              <w:t>00</w:t>
            </w:r>
          </w:p>
        </w:tc>
        <w:tc>
          <w:tcPr>
            <w:tcW w:w="992" w:type="dxa"/>
          </w:tcPr>
          <w:p w14:paraId="77F74DE0" w14:textId="77777777" w:rsidR="00497E68" w:rsidRPr="000B55A9" w:rsidRDefault="00497E68" w:rsidP="00520DA7">
            <w:pPr>
              <w:rPr>
                <w:rFonts w:eastAsia="Times New Roman" w:cs="Times New Roman"/>
                <w:b/>
                <w:iCs/>
                <w:sz w:val="24"/>
                <w:szCs w:val="24"/>
                <w:lang w:eastAsia="lv-LV"/>
              </w:rPr>
            </w:pPr>
            <w:r>
              <w:rPr>
                <w:rFonts w:cs="Times New Roman"/>
                <w:b/>
                <w:sz w:val="24"/>
                <w:szCs w:val="24"/>
              </w:rPr>
              <w:t>0</w:t>
            </w:r>
          </w:p>
        </w:tc>
        <w:tc>
          <w:tcPr>
            <w:tcW w:w="1276" w:type="dxa"/>
          </w:tcPr>
          <w:p w14:paraId="657387BA" w14:textId="77777777" w:rsidR="00497E68" w:rsidRPr="000B55A9" w:rsidRDefault="00497E68" w:rsidP="00520DA7">
            <w:pPr>
              <w:rPr>
                <w:rFonts w:eastAsia="Times New Roman" w:cs="Times New Roman"/>
                <w:b/>
                <w:iCs/>
                <w:sz w:val="24"/>
                <w:szCs w:val="24"/>
                <w:highlight w:val="yellow"/>
                <w:lang w:eastAsia="lv-LV"/>
              </w:rPr>
            </w:pPr>
            <w:r w:rsidRPr="000B55A9">
              <w:rPr>
                <w:rFonts w:eastAsia="Times New Roman" w:cs="Times New Roman"/>
                <w:b/>
                <w:iCs/>
                <w:sz w:val="24"/>
                <w:szCs w:val="24"/>
                <w:lang w:eastAsia="lv-LV"/>
              </w:rPr>
              <w:t>+</w:t>
            </w:r>
            <w:r>
              <w:rPr>
                <w:rFonts w:eastAsia="Times New Roman" w:cs="Times New Roman"/>
                <w:b/>
                <w:iCs/>
                <w:sz w:val="24"/>
                <w:szCs w:val="24"/>
                <w:lang w:eastAsia="lv-LV"/>
              </w:rPr>
              <w:t>803 6</w:t>
            </w:r>
            <w:r w:rsidRPr="000B55A9">
              <w:rPr>
                <w:rFonts w:eastAsia="Times New Roman" w:cs="Times New Roman"/>
                <w:b/>
                <w:iCs/>
                <w:sz w:val="24"/>
                <w:szCs w:val="24"/>
                <w:lang w:eastAsia="lv-LV"/>
              </w:rPr>
              <w:t>00</w:t>
            </w:r>
          </w:p>
        </w:tc>
        <w:tc>
          <w:tcPr>
            <w:tcW w:w="1150" w:type="dxa"/>
          </w:tcPr>
          <w:p w14:paraId="1C2AE66E" w14:textId="77777777" w:rsidR="00497E68" w:rsidRPr="000B55A9" w:rsidRDefault="00497E68" w:rsidP="00520DA7">
            <w:pPr>
              <w:rPr>
                <w:rFonts w:eastAsia="Times New Roman" w:cs="Times New Roman"/>
                <w:b/>
                <w:iCs/>
                <w:sz w:val="24"/>
                <w:szCs w:val="24"/>
                <w:highlight w:val="yellow"/>
                <w:lang w:eastAsia="lv-LV"/>
              </w:rPr>
            </w:pPr>
            <w:r w:rsidRPr="000B55A9">
              <w:rPr>
                <w:rFonts w:eastAsia="Times New Roman" w:cs="Times New Roman"/>
                <w:b/>
                <w:iCs/>
                <w:sz w:val="24"/>
                <w:szCs w:val="24"/>
                <w:lang w:eastAsia="lv-LV"/>
              </w:rPr>
              <w:t>+</w:t>
            </w:r>
            <w:r>
              <w:rPr>
                <w:rFonts w:eastAsia="Times New Roman" w:cs="Times New Roman"/>
                <w:b/>
                <w:iCs/>
                <w:sz w:val="24"/>
                <w:szCs w:val="24"/>
                <w:lang w:eastAsia="lv-LV"/>
              </w:rPr>
              <w:t>803 6</w:t>
            </w:r>
            <w:r w:rsidRPr="000B55A9">
              <w:rPr>
                <w:rFonts w:eastAsia="Times New Roman" w:cs="Times New Roman"/>
                <w:b/>
                <w:iCs/>
                <w:sz w:val="24"/>
                <w:szCs w:val="24"/>
                <w:lang w:eastAsia="lv-LV"/>
              </w:rPr>
              <w:t>00</w:t>
            </w:r>
          </w:p>
        </w:tc>
      </w:tr>
      <w:tr w:rsidR="00497E68" w:rsidRPr="000B55A9" w14:paraId="7D716069" w14:textId="77777777" w:rsidTr="00520DA7">
        <w:trPr>
          <w:trHeight w:val="1828"/>
        </w:trPr>
        <w:tc>
          <w:tcPr>
            <w:tcW w:w="1696" w:type="dxa"/>
            <w:hideMark/>
          </w:tcPr>
          <w:p w14:paraId="2EA112AD"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1.1. valsts pamatbudžets, tai skaitā ieņēmumi no maksas pakalpojumiem un citi pašu ieņēmumi, t.sk.,</w:t>
            </w:r>
          </w:p>
        </w:tc>
        <w:tc>
          <w:tcPr>
            <w:tcW w:w="851" w:type="dxa"/>
            <w:hideMark/>
          </w:tcPr>
          <w:p w14:paraId="745655B4"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hideMark/>
          </w:tcPr>
          <w:p w14:paraId="2F22D8F2"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tcPr>
          <w:p w14:paraId="66E98DCF" w14:textId="77777777" w:rsidR="00497E68" w:rsidRPr="000B55A9" w:rsidRDefault="00497E68" w:rsidP="00520DA7">
            <w:pPr>
              <w:rPr>
                <w:rFonts w:eastAsia="Times New Roman" w:cs="Times New Roman"/>
                <w:iCs/>
                <w:sz w:val="24"/>
                <w:szCs w:val="24"/>
                <w:lang w:eastAsia="lv-LV"/>
              </w:rPr>
            </w:pPr>
            <w:r>
              <w:rPr>
                <w:rFonts w:cs="Times New Roman"/>
                <w:sz w:val="24"/>
                <w:szCs w:val="24"/>
              </w:rPr>
              <w:t>0</w:t>
            </w:r>
          </w:p>
        </w:tc>
        <w:tc>
          <w:tcPr>
            <w:tcW w:w="1134" w:type="dxa"/>
          </w:tcPr>
          <w:p w14:paraId="28F22C7F"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+7</w:t>
            </w:r>
            <w:r>
              <w:rPr>
                <w:rFonts w:eastAsia="Times New Roman" w:cs="Times New Roman"/>
                <w:iCs/>
                <w:sz w:val="24"/>
                <w:szCs w:val="24"/>
                <w:lang w:eastAsia="lv-LV"/>
              </w:rPr>
              <w:t>37 0</w:t>
            </w:r>
            <w:r w:rsidRPr="000B55A9">
              <w:rPr>
                <w:rFonts w:eastAsia="Times New Roman" w:cs="Times New Roman"/>
                <w:iCs/>
                <w:sz w:val="24"/>
                <w:szCs w:val="24"/>
                <w:lang w:eastAsia="lv-LV"/>
              </w:rPr>
              <w:t>00</w:t>
            </w:r>
          </w:p>
        </w:tc>
        <w:tc>
          <w:tcPr>
            <w:tcW w:w="992" w:type="dxa"/>
          </w:tcPr>
          <w:p w14:paraId="6DA1C5FF" w14:textId="77777777" w:rsidR="00497E68" w:rsidRPr="000B55A9" w:rsidRDefault="00497E68" w:rsidP="00520DA7">
            <w:pPr>
              <w:rPr>
                <w:rFonts w:eastAsia="Times New Roman" w:cs="Times New Roman"/>
                <w:iCs/>
                <w:sz w:val="24"/>
                <w:szCs w:val="24"/>
                <w:lang w:eastAsia="lv-LV"/>
              </w:rPr>
            </w:pPr>
            <w:r>
              <w:rPr>
                <w:rFonts w:cs="Times New Roman"/>
                <w:sz w:val="24"/>
                <w:szCs w:val="24"/>
              </w:rPr>
              <w:t>0</w:t>
            </w:r>
          </w:p>
        </w:tc>
        <w:tc>
          <w:tcPr>
            <w:tcW w:w="1276" w:type="dxa"/>
          </w:tcPr>
          <w:p w14:paraId="7235BAE0" w14:textId="77777777" w:rsidR="00497E68" w:rsidRPr="000B55A9" w:rsidRDefault="00497E68" w:rsidP="00520DA7">
            <w:pPr>
              <w:rPr>
                <w:rFonts w:eastAsia="Times New Roman" w:cs="Times New Roman"/>
                <w:iCs/>
                <w:sz w:val="24"/>
                <w:szCs w:val="24"/>
                <w:highlight w:val="yellow"/>
                <w:lang w:eastAsia="lv-LV"/>
              </w:rPr>
            </w:pPr>
            <w:r w:rsidRPr="000B55A9">
              <w:rPr>
                <w:rFonts w:eastAsia="Times New Roman" w:cs="Times New Roman"/>
                <w:iCs/>
                <w:sz w:val="24"/>
                <w:szCs w:val="24"/>
                <w:lang w:eastAsia="lv-LV"/>
              </w:rPr>
              <w:t>+</w:t>
            </w:r>
            <w:r>
              <w:rPr>
                <w:rFonts w:eastAsia="Times New Roman" w:cs="Times New Roman"/>
                <w:iCs/>
                <w:sz w:val="24"/>
                <w:szCs w:val="24"/>
                <w:lang w:eastAsia="lv-LV"/>
              </w:rPr>
              <w:t>803 6</w:t>
            </w:r>
            <w:r w:rsidRPr="000B55A9">
              <w:rPr>
                <w:rFonts w:eastAsia="Times New Roman" w:cs="Times New Roman"/>
                <w:iCs/>
                <w:sz w:val="24"/>
                <w:szCs w:val="24"/>
                <w:lang w:eastAsia="lv-LV"/>
              </w:rPr>
              <w:t>00</w:t>
            </w:r>
          </w:p>
        </w:tc>
        <w:tc>
          <w:tcPr>
            <w:tcW w:w="1150" w:type="dxa"/>
          </w:tcPr>
          <w:p w14:paraId="124F0B4E" w14:textId="77777777" w:rsidR="00497E68" w:rsidRPr="000B55A9" w:rsidRDefault="00497E68" w:rsidP="00520DA7">
            <w:pPr>
              <w:rPr>
                <w:rFonts w:eastAsia="Times New Roman" w:cs="Times New Roman"/>
                <w:iCs/>
                <w:sz w:val="24"/>
                <w:szCs w:val="24"/>
                <w:highlight w:val="yellow"/>
                <w:lang w:eastAsia="lv-LV"/>
              </w:rPr>
            </w:pPr>
            <w:r w:rsidRPr="000B55A9">
              <w:rPr>
                <w:rFonts w:eastAsia="Times New Roman" w:cs="Times New Roman"/>
                <w:iCs/>
                <w:sz w:val="24"/>
                <w:szCs w:val="24"/>
                <w:lang w:eastAsia="lv-LV"/>
              </w:rPr>
              <w:t>+</w:t>
            </w:r>
            <w:r>
              <w:rPr>
                <w:rFonts w:eastAsia="Times New Roman" w:cs="Times New Roman"/>
                <w:iCs/>
                <w:sz w:val="24"/>
                <w:szCs w:val="24"/>
                <w:lang w:eastAsia="lv-LV"/>
              </w:rPr>
              <w:t>803 6</w:t>
            </w:r>
            <w:r w:rsidRPr="000B55A9">
              <w:rPr>
                <w:rFonts w:eastAsia="Times New Roman" w:cs="Times New Roman"/>
                <w:iCs/>
                <w:sz w:val="24"/>
                <w:szCs w:val="24"/>
                <w:lang w:eastAsia="lv-LV"/>
              </w:rPr>
              <w:t>00</w:t>
            </w:r>
          </w:p>
        </w:tc>
      </w:tr>
      <w:tr w:rsidR="00497E68" w:rsidRPr="000B55A9" w14:paraId="31B4251D" w14:textId="77777777" w:rsidTr="00520DA7">
        <w:trPr>
          <w:trHeight w:val="520"/>
        </w:trPr>
        <w:tc>
          <w:tcPr>
            <w:tcW w:w="1696" w:type="dxa"/>
          </w:tcPr>
          <w:p w14:paraId="018C9B60" w14:textId="77777777" w:rsidR="00497E68" w:rsidRPr="000B55A9" w:rsidRDefault="00497E68" w:rsidP="00520DA7">
            <w:pPr>
              <w:jc w:val="right"/>
              <w:rPr>
                <w:rFonts w:eastAsia="Times New Roman" w:cs="Times New Roman"/>
                <w:i/>
                <w:iCs/>
                <w:sz w:val="24"/>
                <w:szCs w:val="24"/>
                <w:lang w:eastAsia="lv-LV"/>
              </w:rPr>
            </w:pPr>
            <w:r w:rsidRPr="000B55A9">
              <w:rPr>
                <w:rFonts w:eastAsia="Times New Roman" w:cs="Times New Roman"/>
                <w:i/>
                <w:sz w:val="24"/>
                <w:szCs w:val="24"/>
                <w:lang w:eastAsia="lv-LV"/>
              </w:rPr>
              <w:t>akcīzes nodoklis</w:t>
            </w:r>
          </w:p>
        </w:tc>
        <w:tc>
          <w:tcPr>
            <w:tcW w:w="851" w:type="dxa"/>
          </w:tcPr>
          <w:p w14:paraId="0A3175D7"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tcPr>
          <w:p w14:paraId="268262EB"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tcPr>
          <w:p w14:paraId="73199DFC" w14:textId="77777777" w:rsidR="00497E68" w:rsidRPr="000B55A9" w:rsidRDefault="00497E68" w:rsidP="00520DA7">
            <w:pPr>
              <w:rPr>
                <w:rFonts w:eastAsia="Times New Roman" w:cs="Times New Roman"/>
                <w:iCs/>
                <w:sz w:val="24"/>
                <w:szCs w:val="24"/>
                <w:lang w:eastAsia="lv-LV"/>
              </w:rPr>
            </w:pPr>
            <w:r>
              <w:rPr>
                <w:rFonts w:eastAsia="Times New Roman" w:cs="Times New Roman"/>
                <w:iCs/>
                <w:sz w:val="24"/>
                <w:szCs w:val="24"/>
                <w:lang w:eastAsia="lv-LV"/>
              </w:rPr>
              <w:t>0</w:t>
            </w:r>
          </w:p>
        </w:tc>
        <w:tc>
          <w:tcPr>
            <w:tcW w:w="1134" w:type="dxa"/>
          </w:tcPr>
          <w:p w14:paraId="38CEAF1E"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w:t>
            </w:r>
            <w:r>
              <w:rPr>
                <w:rFonts w:eastAsia="Times New Roman" w:cs="Times New Roman"/>
                <w:iCs/>
                <w:sz w:val="24"/>
                <w:szCs w:val="24"/>
                <w:lang w:eastAsia="lv-LV"/>
              </w:rPr>
              <w:t>609 0</w:t>
            </w:r>
            <w:r w:rsidRPr="000B55A9">
              <w:rPr>
                <w:rFonts w:eastAsia="Times New Roman" w:cs="Times New Roman"/>
                <w:iCs/>
                <w:sz w:val="24"/>
                <w:szCs w:val="24"/>
                <w:lang w:eastAsia="lv-LV"/>
              </w:rPr>
              <w:t>00</w:t>
            </w:r>
          </w:p>
        </w:tc>
        <w:tc>
          <w:tcPr>
            <w:tcW w:w="992" w:type="dxa"/>
          </w:tcPr>
          <w:p w14:paraId="6C20D69B" w14:textId="77777777" w:rsidR="00497E68" w:rsidRPr="000B55A9" w:rsidRDefault="00497E68" w:rsidP="00520DA7">
            <w:pPr>
              <w:rPr>
                <w:rFonts w:eastAsia="Times New Roman" w:cs="Times New Roman"/>
                <w:iCs/>
                <w:sz w:val="24"/>
                <w:szCs w:val="24"/>
                <w:lang w:eastAsia="lv-LV"/>
              </w:rPr>
            </w:pPr>
            <w:r>
              <w:rPr>
                <w:rFonts w:cs="Times New Roman"/>
                <w:sz w:val="24"/>
                <w:szCs w:val="24"/>
              </w:rPr>
              <w:t>0</w:t>
            </w:r>
          </w:p>
        </w:tc>
        <w:tc>
          <w:tcPr>
            <w:tcW w:w="1276" w:type="dxa"/>
          </w:tcPr>
          <w:p w14:paraId="42D5E7CD" w14:textId="77777777" w:rsidR="00497E68" w:rsidRPr="000B55A9" w:rsidRDefault="00497E68" w:rsidP="00520DA7">
            <w:pPr>
              <w:rPr>
                <w:rFonts w:eastAsia="Times New Roman" w:cs="Times New Roman"/>
                <w:iCs/>
                <w:sz w:val="24"/>
                <w:szCs w:val="24"/>
                <w:highlight w:val="yellow"/>
                <w:lang w:eastAsia="lv-LV"/>
              </w:rPr>
            </w:pPr>
            <w:r w:rsidRPr="000B55A9">
              <w:rPr>
                <w:rFonts w:eastAsia="Times New Roman" w:cs="Times New Roman"/>
                <w:iCs/>
                <w:sz w:val="24"/>
                <w:szCs w:val="24"/>
                <w:lang w:eastAsia="lv-LV"/>
              </w:rPr>
              <w:t>+6</w:t>
            </w:r>
            <w:r>
              <w:rPr>
                <w:rFonts w:eastAsia="Times New Roman" w:cs="Times New Roman"/>
                <w:iCs/>
                <w:sz w:val="24"/>
                <w:szCs w:val="24"/>
                <w:lang w:eastAsia="lv-LV"/>
              </w:rPr>
              <w:t>64 2</w:t>
            </w:r>
            <w:r w:rsidRPr="000B55A9">
              <w:rPr>
                <w:rFonts w:eastAsia="Times New Roman" w:cs="Times New Roman"/>
                <w:iCs/>
                <w:sz w:val="24"/>
                <w:szCs w:val="24"/>
                <w:lang w:eastAsia="lv-LV"/>
              </w:rPr>
              <w:t>00</w:t>
            </w:r>
          </w:p>
        </w:tc>
        <w:tc>
          <w:tcPr>
            <w:tcW w:w="1150" w:type="dxa"/>
          </w:tcPr>
          <w:p w14:paraId="232A881A" w14:textId="77777777" w:rsidR="00497E68" w:rsidRPr="000B55A9" w:rsidRDefault="00497E68" w:rsidP="00520DA7">
            <w:pPr>
              <w:rPr>
                <w:rFonts w:eastAsia="Times New Roman" w:cs="Times New Roman"/>
                <w:iCs/>
                <w:sz w:val="24"/>
                <w:szCs w:val="24"/>
                <w:highlight w:val="yellow"/>
                <w:lang w:eastAsia="lv-LV"/>
              </w:rPr>
            </w:pPr>
            <w:r w:rsidRPr="000B55A9">
              <w:rPr>
                <w:rFonts w:eastAsia="Times New Roman" w:cs="Times New Roman"/>
                <w:iCs/>
                <w:sz w:val="24"/>
                <w:szCs w:val="24"/>
                <w:lang w:eastAsia="lv-LV"/>
              </w:rPr>
              <w:t>+6</w:t>
            </w:r>
            <w:r>
              <w:rPr>
                <w:rFonts w:eastAsia="Times New Roman" w:cs="Times New Roman"/>
                <w:iCs/>
                <w:sz w:val="24"/>
                <w:szCs w:val="24"/>
                <w:lang w:eastAsia="lv-LV"/>
              </w:rPr>
              <w:t>64 2</w:t>
            </w:r>
            <w:r w:rsidRPr="000B55A9">
              <w:rPr>
                <w:rFonts w:eastAsia="Times New Roman" w:cs="Times New Roman"/>
                <w:iCs/>
                <w:sz w:val="24"/>
                <w:szCs w:val="24"/>
                <w:lang w:eastAsia="lv-LV"/>
              </w:rPr>
              <w:t>00</w:t>
            </w:r>
          </w:p>
        </w:tc>
      </w:tr>
      <w:tr w:rsidR="00497E68" w:rsidRPr="000B55A9" w14:paraId="4FA76045" w14:textId="77777777" w:rsidTr="00520DA7">
        <w:trPr>
          <w:trHeight w:val="520"/>
        </w:trPr>
        <w:tc>
          <w:tcPr>
            <w:tcW w:w="1696" w:type="dxa"/>
          </w:tcPr>
          <w:p w14:paraId="670090F1" w14:textId="77777777" w:rsidR="00497E68" w:rsidRPr="000B55A9" w:rsidRDefault="00497E68" w:rsidP="00520DA7">
            <w:pPr>
              <w:jc w:val="right"/>
              <w:rPr>
                <w:rFonts w:eastAsia="Times New Roman" w:cs="Times New Roman"/>
                <w:i/>
                <w:iCs/>
                <w:sz w:val="24"/>
                <w:szCs w:val="24"/>
                <w:lang w:eastAsia="lv-LV"/>
              </w:rPr>
            </w:pPr>
            <w:r w:rsidRPr="000B55A9">
              <w:rPr>
                <w:rFonts w:eastAsia="Times New Roman" w:cs="Times New Roman"/>
                <w:i/>
                <w:sz w:val="24"/>
                <w:szCs w:val="24"/>
                <w:lang w:eastAsia="lv-LV"/>
              </w:rPr>
              <w:t>pievienotās vērtības nodoklis</w:t>
            </w:r>
          </w:p>
        </w:tc>
        <w:tc>
          <w:tcPr>
            <w:tcW w:w="851" w:type="dxa"/>
          </w:tcPr>
          <w:p w14:paraId="1BC54B5D"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tcPr>
          <w:p w14:paraId="7AE8F224"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tcPr>
          <w:p w14:paraId="559E5A98" w14:textId="77777777" w:rsidR="00497E68" w:rsidRPr="000B55A9" w:rsidRDefault="00497E68" w:rsidP="00520DA7">
            <w:pPr>
              <w:rPr>
                <w:rFonts w:cs="Times New Roman"/>
                <w:sz w:val="24"/>
                <w:szCs w:val="24"/>
              </w:rPr>
            </w:pPr>
            <w:r>
              <w:rPr>
                <w:rFonts w:cs="Times New Roman"/>
                <w:sz w:val="24"/>
                <w:szCs w:val="24"/>
              </w:rPr>
              <w:t>0</w:t>
            </w:r>
          </w:p>
        </w:tc>
        <w:tc>
          <w:tcPr>
            <w:tcW w:w="1134" w:type="dxa"/>
          </w:tcPr>
          <w:p w14:paraId="37065B73"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+12</w:t>
            </w:r>
            <w:r>
              <w:rPr>
                <w:rFonts w:eastAsia="Times New Roman" w:cs="Times New Roman"/>
                <w:iCs/>
                <w:sz w:val="24"/>
                <w:szCs w:val="24"/>
                <w:lang w:eastAsia="lv-LV"/>
              </w:rPr>
              <w:t>8 </w:t>
            </w:r>
            <w:r w:rsidRPr="000B55A9">
              <w:rPr>
                <w:rFonts w:eastAsia="Times New Roman" w:cs="Times New Roman"/>
                <w:iCs/>
                <w:sz w:val="24"/>
                <w:szCs w:val="24"/>
                <w:lang w:eastAsia="lv-LV"/>
              </w:rPr>
              <w:t>000</w:t>
            </w:r>
          </w:p>
        </w:tc>
        <w:tc>
          <w:tcPr>
            <w:tcW w:w="992" w:type="dxa"/>
          </w:tcPr>
          <w:p w14:paraId="09EF29A4" w14:textId="77777777" w:rsidR="00497E68" w:rsidRPr="000B55A9" w:rsidRDefault="00497E68" w:rsidP="00520DA7">
            <w:pPr>
              <w:rPr>
                <w:rFonts w:cs="Times New Roman"/>
                <w:sz w:val="24"/>
                <w:szCs w:val="24"/>
              </w:rPr>
            </w:pPr>
            <w:r>
              <w:rPr>
                <w:rFonts w:cs="Times New Roman"/>
                <w:sz w:val="24"/>
                <w:szCs w:val="24"/>
              </w:rPr>
              <w:t>0</w:t>
            </w:r>
          </w:p>
        </w:tc>
        <w:tc>
          <w:tcPr>
            <w:tcW w:w="1276" w:type="dxa"/>
          </w:tcPr>
          <w:p w14:paraId="371D2A68" w14:textId="77777777" w:rsidR="00497E68" w:rsidRPr="000B55A9" w:rsidRDefault="00497E68" w:rsidP="00520DA7">
            <w:pPr>
              <w:rPr>
                <w:rFonts w:eastAsia="Times New Roman" w:cs="Times New Roman"/>
                <w:iCs/>
                <w:sz w:val="24"/>
                <w:szCs w:val="24"/>
                <w:highlight w:val="yellow"/>
                <w:lang w:eastAsia="lv-LV"/>
              </w:rPr>
            </w:pPr>
            <w:r w:rsidRPr="000B55A9">
              <w:rPr>
                <w:rFonts w:eastAsia="Times New Roman" w:cs="Times New Roman"/>
                <w:iCs/>
                <w:sz w:val="24"/>
                <w:szCs w:val="24"/>
                <w:lang w:eastAsia="lv-LV"/>
              </w:rPr>
              <w:t>+1</w:t>
            </w:r>
            <w:r>
              <w:rPr>
                <w:rFonts w:eastAsia="Times New Roman" w:cs="Times New Roman"/>
                <w:iCs/>
                <w:sz w:val="24"/>
                <w:szCs w:val="24"/>
                <w:lang w:eastAsia="lv-LV"/>
              </w:rPr>
              <w:t>39 4</w:t>
            </w:r>
            <w:r w:rsidRPr="000B55A9">
              <w:rPr>
                <w:rFonts w:eastAsia="Times New Roman" w:cs="Times New Roman"/>
                <w:iCs/>
                <w:sz w:val="24"/>
                <w:szCs w:val="24"/>
                <w:lang w:eastAsia="lv-LV"/>
              </w:rPr>
              <w:t>00</w:t>
            </w:r>
          </w:p>
        </w:tc>
        <w:tc>
          <w:tcPr>
            <w:tcW w:w="1150" w:type="dxa"/>
          </w:tcPr>
          <w:p w14:paraId="74F0A99A" w14:textId="77777777" w:rsidR="00497E68" w:rsidRPr="000B55A9" w:rsidRDefault="00497E68" w:rsidP="00520DA7">
            <w:pPr>
              <w:rPr>
                <w:rFonts w:eastAsia="Times New Roman" w:cs="Times New Roman"/>
                <w:iCs/>
                <w:sz w:val="24"/>
                <w:szCs w:val="24"/>
                <w:highlight w:val="yellow"/>
                <w:lang w:eastAsia="lv-LV"/>
              </w:rPr>
            </w:pPr>
            <w:r w:rsidRPr="000B55A9">
              <w:rPr>
                <w:rFonts w:eastAsia="Times New Roman" w:cs="Times New Roman"/>
                <w:iCs/>
                <w:sz w:val="24"/>
                <w:szCs w:val="24"/>
                <w:lang w:eastAsia="lv-LV"/>
              </w:rPr>
              <w:t>+1</w:t>
            </w:r>
            <w:r>
              <w:rPr>
                <w:rFonts w:eastAsia="Times New Roman" w:cs="Times New Roman"/>
                <w:iCs/>
                <w:sz w:val="24"/>
                <w:szCs w:val="24"/>
                <w:lang w:eastAsia="lv-LV"/>
              </w:rPr>
              <w:t>39 4</w:t>
            </w:r>
            <w:r w:rsidRPr="000B55A9">
              <w:rPr>
                <w:rFonts w:eastAsia="Times New Roman" w:cs="Times New Roman"/>
                <w:iCs/>
                <w:sz w:val="24"/>
                <w:szCs w:val="24"/>
                <w:lang w:eastAsia="lv-LV"/>
              </w:rPr>
              <w:t>00</w:t>
            </w:r>
          </w:p>
        </w:tc>
      </w:tr>
      <w:tr w:rsidR="00497E68" w:rsidRPr="000B55A9" w14:paraId="2144C432" w14:textId="77777777" w:rsidTr="00520DA7">
        <w:trPr>
          <w:trHeight w:val="520"/>
        </w:trPr>
        <w:tc>
          <w:tcPr>
            <w:tcW w:w="1696" w:type="dxa"/>
            <w:hideMark/>
          </w:tcPr>
          <w:p w14:paraId="6325237C"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1.2. valsts speciālais budžets</w:t>
            </w:r>
          </w:p>
        </w:tc>
        <w:tc>
          <w:tcPr>
            <w:tcW w:w="851" w:type="dxa"/>
            <w:hideMark/>
          </w:tcPr>
          <w:p w14:paraId="22CF45E2"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hideMark/>
          </w:tcPr>
          <w:p w14:paraId="04B8AFEB"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hideMark/>
          </w:tcPr>
          <w:p w14:paraId="3C41826B"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34" w:type="dxa"/>
            <w:hideMark/>
          </w:tcPr>
          <w:p w14:paraId="3835179E"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tcPr>
          <w:p w14:paraId="67D7CC95"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tcPr>
          <w:p w14:paraId="5CD05535"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50" w:type="dxa"/>
          </w:tcPr>
          <w:p w14:paraId="3F61AD5E"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r>
      <w:tr w:rsidR="00497E68" w:rsidRPr="000B55A9" w14:paraId="65E43D15" w14:textId="77777777" w:rsidTr="00520DA7">
        <w:trPr>
          <w:trHeight w:val="520"/>
        </w:trPr>
        <w:tc>
          <w:tcPr>
            <w:tcW w:w="1696" w:type="dxa"/>
            <w:hideMark/>
          </w:tcPr>
          <w:p w14:paraId="66276BDB"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1.3. pašvaldību budžets, t.sk.,</w:t>
            </w:r>
          </w:p>
        </w:tc>
        <w:tc>
          <w:tcPr>
            <w:tcW w:w="851" w:type="dxa"/>
            <w:hideMark/>
          </w:tcPr>
          <w:p w14:paraId="1161AB85"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hideMark/>
          </w:tcPr>
          <w:p w14:paraId="6AFDC390"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hideMark/>
          </w:tcPr>
          <w:p w14:paraId="244458A3"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34" w:type="dxa"/>
            <w:hideMark/>
          </w:tcPr>
          <w:p w14:paraId="6D09194A"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tcPr>
          <w:p w14:paraId="111C0EF1"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tcPr>
          <w:p w14:paraId="7C75EC1E"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50" w:type="dxa"/>
          </w:tcPr>
          <w:p w14:paraId="52F0406B"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r>
      <w:tr w:rsidR="00497E68" w:rsidRPr="000B55A9" w14:paraId="365E0FDC" w14:textId="77777777" w:rsidTr="00520DA7">
        <w:trPr>
          <w:trHeight w:val="520"/>
        </w:trPr>
        <w:tc>
          <w:tcPr>
            <w:tcW w:w="1696" w:type="dxa"/>
            <w:hideMark/>
          </w:tcPr>
          <w:p w14:paraId="00084445" w14:textId="77777777" w:rsidR="00497E68" w:rsidRPr="000B55A9" w:rsidRDefault="00497E68" w:rsidP="00520DA7">
            <w:pPr>
              <w:rPr>
                <w:rFonts w:eastAsia="Times New Roman" w:cs="Times New Roman"/>
                <w:b/>
                <w:iCs/>
                <w:sz w:val="24"/>
                <w:szCs w:val="24"/>
                <w:lang w:eastAsia="lv-LV"/>
              </w:rPr>
            </w:pPr>
            <w:r w:rsidRPr="000B55A9">
              <w:rPr>
                <w:rFonts w:eastAsia="Times New Roman" w:cs="Times New Roman"/>
                <w:b/>
                <w:iCs/>
                <w:sz w:val="24"/>
                <w:szCs w:val="24"/>
                <w:lang w:eastAsia="lv-LV"/>
              </w:rPr>
              <w:t>2. Budžeta izdevumi</w:t>
            </w:r>
          </w:p>
        </w:tc>
        <w:tc>
          <w:tcPr>
            <w:tcW w:w="851" w:type="dxa"/>
            <w:hideMark/>
          </w:tcPr>
          <w:p w14:paraId="582FC549"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hideMark/>
          </w:tcPr>
          <w:p w14:paraId="3BB06088"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hideMark/>
          </w:tcPr>
          <w:p w14:paraId="78740ECE"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34" w:type="dxa"/>
          </w:tcPr>
          <w:p w14:paraId="1768E708"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tcPr>
          <w:p w14:paraId="2E73CA7D"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tcPr>
          <w:p w14:paraId="2B2BFA2C"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50" w:type="dxa"/>
          </w:tcPr>
          <w:p w14:paraId="51293EE1"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r>
      <w:tr w:rsidR="00497E68" w:rsidRPr="000B55A9" w14:paraId="50FC72F9" w14:textId="77777777" w:rsidTr="00520DA7">
        <w:trPr>
          <w:trHeight w:val="520"/>
        </w:trPr>
        <w:tc>
          <w:tcPr>
            <w:tcW w:w="1696" w:type="dxa"/>
            <w:hideMark/>
          </w:tcPr>
          <w:p w14:paraId="519347C2"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2.1. valsts pamatbudžets</w:t>
            </w:r>
          </w:p>
        </w:tc>
        <w:tc>
          <w:tcPr>
            <w:tcW w:w="851" w:type="dxa"/>
            <w:hideMark/>
          </w:tcPr>
          <w:p w14:paraId="1A34B957"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hideMark/>
          </w:tcPr>
          <w:p w14:paraId="73B70C9A"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hideMark/>
          </w:tcPr>
          <w:p w14:paraId="506B7385"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34" w:type="dxa"/>
          </w:tcPr>
          <w:p w14:paraId="453B8DA8"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tcPr>
          <w:p w14:paraId="18B645CB"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tcPr>
          <w:p w14:paraId="23A03578"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50" w:type="dxa"/>
          </w:tcPr>
          <w:p w14:paraId="54300353"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r>
      <w:tr w:rsidR="00497E68" w:rsidRPr="000B55A9" w14:paraId="6BE535EE" w14:textId="77777777" w:rsidTr="00520DA7">
        <w:trPr>
          <w:trHeight w:val="520"/>
        </w:trPr>
        <w:tc>
          <w:tcPr>
            <w:tcW w:w="1696" w:type="dxa"/>
            <w:hideMark/>
          </w:tcPr>
          <w:p w14:paraId="7FD3A2E7"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lastRenderedPageBreak/>
              <w:t>2.2. valsts speciālais budžets</w:t>
            </w:r>
          </w:p>
        </w:tc>
        <w:tc>
          <w:tcPr>
            <w:tcW w:w="851" w:type="dxa"/>
            <w:hideMark/>
          </w:tcPr>
          <w:p w14:paraId="751D800F"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hideMark/>
          </w:tcPr>
          <w:p w14:paraId="07C6C14E"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hideMark/>
          </w:tcPr>
          <w:p w14:paraId="6EF27891"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34" w:type="dxa"/>
          </w:tcPr>
          <w:p w14:paraId="67084B75"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tcPr>
          <w:p w14:paraId="4443C037"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tcPr>
          <w:p w14:paraId="7631C95B"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50" w:type="dxa"/>
          </w:tcPr>
          <w:p w14:paraId="6F069DEB"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r>
      <w:tr w:rsidR="00497E68" w:rsidRPr="000B55A9" w14:paraId="6A784BAA" w14:textId="77777777" w:rsidTr="00520DA7">
        <w:trPr>
          <w:trHeight w:val="520"/>
        </w:trPr>
        <w:tc>
          <w:tcPr>
            <w:tcW w:w="1696" w:type="dxa"/>
            <w:hideMark/>
          </w:tcPr>
          <w:p w14:paraId="5352EB83"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2.3. pašvaldību budžets</w:t>
            </w:r>
          </w:p>
        </w:tc>
        <w:tc>
          <w:tcPr>
            <w:tcW w:w="851" w:type="dxa"/>
            <w:hideMark/>
          </w:tcPr>
          <w:p w14:paraId="2F21EAC4"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hideMark/>
          </w:tcPr>
          <w:p w14:paraId="43382371"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hideMark/>
          </w:tcPr>
          <w:p w14:paraId="5BB46F67"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34" w:type="dxa"/>
          </w:tcPr>
          <w:p w14:paraId="3422BBF4"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tcPr>
          <w:p w14:paraId="33914AF2"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tcPr>
          <w:p w14:paraId="67F4EE71"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50" w:type="dxa"/>
          </w:tcPr>
          <w:p w14:paraId="3A6C5EA9"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r>
      <w:tr w:rsidR="00497E68" w:rsidRPr="000B55A9" w14:paraId="56733D28" w14:textId="77777777" w:rsidTr="00520DA7">
        <w:trPr>
          <w:trHeight w:val="520"/>
        </w:trPr>
        <w:tc>
          <w:tcPr>
            <w:tcW w:w="1696" w:type="dxa"/>
            <w:hideMark/>
          </w:tcPr>
          <w:p w14:paraId="23FBA388" w14:textId="77777777" w:rsidR="00497E68" w:rsidRPr="000B55A9" w:rsidRDefault="00497E68" w:rsidP="00520DA7">
            <w:pPr>
              <w:rPr>
                <w:rFonts w:eastAsia="Times New Roman" w:cs="Times New Roman"/>
                <w:b/>
                <w:iCs/>
                <w:sz w:val="24"/>
                <w:szCs w:val="24"/>
                <w:lang w:eastAsia="lv-LV"/>
              </w:rPr>
            </w:pPr>
            <w:r w:rsidRPr="000B55A9">
              <w:rPr>
                <w:rFonts w:eastAsia="Times New Roman" w:cs="Times New Roman"/>
                <w:b/>
                <w:iCs/>
                <w:sz w:val="24"/>
                <w:szCs w:val="24"/>
                <w:lang w:eastAsia="lv-LV"/>
              </w:rPr>
              <w:t>3. Finansiālā ietekme</w:t>
            </w:r>
          </w:p>
        </w:tc>
        <w:tc>
          <w:tcPr>
            <w:tcW w:w="851" w:type="dxa"/>
            <w:hideMark/>
          </w:tcPr>
          <w:p w14:paraId="07BD6C08" w14:textId="77777777" w:rsidR="00497E68" w:rsidRPr="000B55A9" w:rsidRDefault="00497E68" w:rsidP="00520DA7">
            <w:pPr>
              <w:rPr>
                <w:rFonts w:eastAsia="Times New Roman" w:cs="Times New Roman"/>
                <w:b/>
                <w:iCs/>
                <w:sz w:val="24"/>
                <w:szCs w:val="24"/>
                <w:lang w:eastAsia="lv-LV"/>
              </w:rPr>
            </w:pPr>
            <w:r w:rsidRPr="000B55A9">
              <w:rPr>
                <w:rFonts w:eastAsia="Times New Roman" w:cs="Times New Roman"/>
                <w:b/>
                <w:iCs/>
                <w:sz w:val="24"/>
                <w:szCs w:val="24"/>
                <w:lang w:eastAsia="lv-LV"/>
              </w:rPr>
              <w:t>0</w:t>
            </w:r>
          </w:p>
        </w:tc>
        <w:tc>
          <w:tcPr>
            <w:tcW w:w="992" w:type="dxa"/>
            <w:hideMark/>
          </w:tcPr>
          <w:p w14:paraId="08E6174C" w14:textId="77777777" w:rsidR="00497E68" w:rsidRPr="000B55A9" w:rsidRDefault="00497E68" w:rsidP="00520DA7">
            <w:pPr>
              <w:rPr>
                <w:rFonts w:eastAsia="Times New Roman" w:cs="Times New Roman"/>
                <w:b/>
                <w:iCs/>
                <w:sz w:val="24"/>
                <w:szCs w:val="24"/>
                <w:lang w:eastAsia="lv-LV"/>
              </w:rPr>
            </w:pPr>
            <w:r w:rsidRPr="000B55A9">
              <w:rPr>
                <w:rFonts w:eastAsia="Times New Roman" w:cs="Times New Roman"/>
                <w:b/>
                <w:iCs/>
                <w:sz w:val="24"/>
                <w:szCs w:val="24"/>
                <w:lang w:eastAsia="lv-LV"/>
              </w:rPr>
              <w:t>0</w:t>
            </w:r>
          </w:p>
        </w:tc>
        <w:tc>
          <w:tcPr>
            <w:tcW w:w="1276" w:type="dxa"/>
            <w:hideMark/>
          </w:tcPr>
          <w:p w14:paraId="7E186E69" w14:textId="77777777" w:rsidR="00497E68" w:rsidRPr="000B55A9" w:rsidRDefault="00497E68" w:rsidP="00520DA7">
            <w:pPr>
              <w:rPr>
                <w:rFonts w:eastAsia="Times New Roman" w:cs="Times New Roman"/>
                <w:b/>
                <w:iCs/>
                <w:sz w:val="24"/>
                <w:szCs w:val="24"/>
                <w:lang w:eastAsia="lv-LV"/>
              </w:rPr>
            </w:pPr>
            <w:r w:rsidRPr="000B55A9">
              <w:rPr>
                <w:rFonts w:eastAsia="Times New Roman" w:cs="Times New Roman"/>
                <w:b/>
                <w:iCs/>
                <w:sz w:val="24"/>
                <w:szCs w:val="24"/>
                <w:lang w:eastAsia="lv-LV"/>
              </w:rPr>
              <w:t>0</w:t>
            </w:r>
          </w:p>
        </w:tc>
        <w:tc>
          <w:tcPr>
            <w:tcW w:w="1134" w:type="dxa"/>
          </w:tcPr>
          <w:p w14:paraId="0A50AE01" w14:textId="77777777" w:rsidR="00497E68" w:rsidRPr="000B55A9" w:rsidRDefault="00497E68" w:rsidP="00520DA7">
            <w:pPr>
              <w:rPr>
                <w:rFonts w:eastAsia="Times New Roman" w:cs="Times New Roman"/>
                <w:b/>
                <w:iCs/>
                <w:sz w:val="24"/>
                <w:szCs w:val="24"/>
                <w:lang w:eastAsia="lv-LV"/>
              </w:rPr>
            </w:pPr>
            <w:r w:rsidRPr="000B55A9">
              <w:rPr>
                <w:rFonts w:eastAsia="Times New Roman" w:cs="Times New Roman"/>
                <w:b/>
                <w:iCs/>
                <w:sz w:val="24"/>
                <w:szCs w:val="24"/>
                <w:lang w:eastAsia="lv-LV"/>
              </w:rPr>
              <w:t>+7</w:t>
            </w:r>
            <w:r>
              <w:rPr>
                <w:rFonts w:eastAsia="Times New Roman" w:cs="Times New Roman"/>
                <w:b/>
                <w:iCs/>
                <w:sz w:val="24"/>
                <w:szCs w:val="24"/>
                <w:lang w:eastAsia="lv-LV"/>
              </w:rPr>
              <w:t>37 0</w:t>
            </w:r>
            <w:r w:rsidRPr="000B55A9">
              <w:rPr>
                <w:rFonts w:eastAsia="Times New Roman" w:cs="Times New Roman"/>
                <w:b/>
                <w:iCs/>
                <w:sz w:val="24"/>
                <w:szCs w:val="24"/>
                <w:lang w:eastAsia="lv-LV"/>
              </w:rPr>
              <w:t>00</w:t>
            </w:r>
          </w:p>
        </w:tc>
        <w:tc>
          <w:tcPr>
            <w:tcW w:w="992" w:type="dxa"/>
          </w:tcPr>
          <w:p w14:paraId="54301994"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tcPr>
          <w:p w14:paraId="54522BF7" w14:textId="77777777" w:rsidR="00497E68" w:rsidRPr="006A518E" w:rsidRDefault="00497E68" w:rsidP="00520DA7">
            <w:pPr>
              <w:rPr>
                <w:rFonts w:eastAsia="Times New Roman" w:cs="Times New Roman"/>
                <w:b/>
                <w:iCs/>
                <w:sz w:val="24"/>
                <w:szCs w:val="24"/>
                <w:lang w:eastAsia="lv-LV"/>
              </w:rPr>
            </w:pPr>
            <w:r w:rsidRPr="000B55A9">
              <w:rPr>
                <w:rFonts w:eastAsia="Times New Roman" w:cs="Times New Roman"/>
                <w:b/>
                <w:iCs/>
                <w:sz w:val="24"/>
                <w:szCs w:val="24"/>
                <w:lang w:eastAsia="lv-LV"/>
              </w:rPr>
              <w:t>+</w:t>
            </w:r>
            <w:r>
              <w:rPr>
                <w:rFonts w:eastAsia="Times New Roman" w:cs="Times New Roman"/>
                <w:b/>
                <w:iCs/>
                <w:sz w:val="24"/>
                <w:szCs w:val="24"/>
                <w:lang w:eastAsia="lv-LV"/>
              </w:rPr>
              <w:t>803  6</w:t>
            </w:r>
            <w:r w:rsidRPr="000B55A9">
              <w:rPr>
                <w:rFonts w:eastAsia="Times New Roman" w:cs="Times New Roman"/>
                <w:b/>
                <w:iCs/>
                <w:sz w:val="24"/>
                <w:szCs w:val="24"/>
                <w:lang w:eastAsia="lv-LV"/>
              </w:rPr>
              <w:t>00</w:t>
            </w:r>
          </w:p>
        </w:tc>
        <w:tc>
          <w:tcPr>
            <w:tcW w:w="1150" w:type="dxa"/>
          </w:tcPr>
          <w:p w14:paraId="6F6D7D77"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b/>
                <w:iCs/>
                <w:sz w:val="24"/>
                <w:szCs w:val="24"/>
                <w:lang w:eastAsia="lv-LV"/>
              </w:rPr>
              <w:t>+</w:t>
            </w:r>
            <w:r>
              <w:rPr>
                <w:rFonts w:eastAsia="Times New Roman" w:cs="Times New Roman"/>
                <w:b/>
                <w:iCs/>
                <w:sz w:val="24"/>
                <w:szCs w:val="24"/>
                <w:lang w:eastAsia="lv-LV"/>
              </w:rPr>
              <w:t>803 6</w:t>
            </w:r>
            <w:r w:rsidRPr="000B55A9">
              <w:rPr>
                <w:rFonts w:eastAsia="Times New Roman" w:cs="Times New Roman"/>
                <w:b/>
                <w:iCs/>
                <w:sz w:val="24"/>
                <w:szCs w:val="24"/>
                <w:lang w:eastAsia="lv-LV"/>
              </w:rPr>
              <w:t>00</w:t>
            </w:r>
          </w:p>
        </w:tc>
      </w:tr>
      <w:tr w:rsidR="00497E68" w:rsidRPr="000B55A9" w14:paraId="599BF063" w14:textId="77777777" w:rsidTr="00520DA7">
        <w:trPr>
          <w:trHeight w:val="520"/>
        </w:trPr>
        <w:tc>
          <w:tcPr>
            <w:tcW w:w="1696" w:type="dxa"/>
            <w:hideMark/>
          </w:tcPr>
          <w:p w14:paraId="1DFE1C59"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3.1. valsts pamatbudžets</w:t>
            </w:r>
          </w:p>
        </w:tc>
        <w:tc>
          <w:tcPr>
            <w:tcW w:w="851" w:type="dxa"/>
            <w:hideMark/>
          </w:tcPr>
          <w:p w14:paraId="38923CA1"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hideMark/>
          </w:tcPr>
          <w:p w14:paraId="5D2CAC1A"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hideMark/>
          </w:tcPr>
          <w:p w14:paraId="15D34374"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34" w:type="dxa"/>
          </w:tcPr>
          <w:p w14:paraId="64CF8318"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w:t>
            </w:r>
            <w:r>
              <w:rPr>
                <w:rFonts w:eastAsia="Times New Roman" w:cs="Times New Roman"/>
                <w:iCs/>
                <w:sz w:val="24"/>
                <w:szCs w:val="24"/>
                <w:lang w:eastAsia="lv-LV"/>
              </w:rPr>
              <w:t>737 0</w:t>
            </w:r>
            <w:r w:rsidRPr="000B55A9">
              <w:rPr>
                <w:rFonts w:eastAsia="Times New Roman" w:cs="Times New Roman"/>
                <w:iCs/>
                <w:sz w:val="24"/>
                <w:szCs w:val="24"/>
                <w:lang w:eastAsia="lv-LV"/>
              </w:rPr>
              <w:t>00</w:t>
            </w:r>
          </w:p>
        </w:tc>
        <w:tc>
          <w:tcPr>
            <w:tcW w:w="992" w:type="dxa"/>
          </w:tcPr>
          <w:p w14:paraId="07E51447"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tcPr>
          <w:p w14:paraId="7A479220"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w:t>
            </w:r>
            <w:r>
              <w:rPr>
                <w:rFonts w:eastAsia="Times New Roman" w:cs="Times New Roman"/>
                <w:iCs/>
                <w:sz w:val="24"/>
                <w:szCs w:val="24"/>
                <w:lang w:eastAsia="lv-LV"/>
              </w:rPr>
              <w:t>803 6</w:t>
            </w:r>
            <w:r w:rsidRPr="000B55A9">
              <w:rPr>
                <w:rFonts w:eastAsia="Times New Roman" w:cs="Times New Roman"/>
                <w:iCs/>
                <w:sz w:val="24"/>
                <w:szCs w:val="24"/>
                <w:lang w:eastAsia="lv-LV"/>
              </w:rPr>
              <w:t>00</w:t>
            </w:r>
          </w:p>
        </w:tc>
        <w:tc>
          <w:tcPr>
            <w:tcW w:w="1150" w:type="dxa"/>
          </w:tcPr>
          <w:p w14:paraId="26BDC785"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w:t>
            </w:r>
            <w:r>
              <w:rPr>
                <w:rFonts w:eastAsia="Times New Roman" w:cs="Times New Roman"/>
                <w:iCs/>
                <w:sz w:val="24"/>
                <w:szCs w:val="24"/>
                <w:lang w:eastAsia="lv-LV"/>
              </w:rPr>
              <w:t>803 6</w:t>
            </w:r>
            <w:r w:rsidRPr="000B55A9">
              <w:rPr>
                <w:rFonts w:eastAsia="Times New Roman" w:cs="Times New Roman"/>
                <w:iCs/>
                <w:sz w:val="24"/>
                <w:szCs w:val="24"/>
                <w:lang w:eastAsia="lv-LV"/>
              </w:rPr>
              <w:t>00</w:t>
            </w:r>
          </w:p>
        </w:tc>
      </w:tr>
      <w:tr w:rsidR="00497E68" w:rsidRPr="000B55A9" w14:paraId="3508D29E" w14:textId="77777777" w:rsidTr="00520DA7">
        <w:trPr>
          <w:trHeight w:val="505"/>
        </w:trPr>
        <w:tc>
          <w:tcPr>
            <w:tcW w:w="1696" w:type="dxa"/>
            <w:hideMark/>
          </w:tcPr>
          <w:p w14:paraId="4E61F336"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3.2. speciālais budžets</w:t>
            </w:r>
          </w:p>
        </w:tc>
        <w:tc>
          <w:tcPr>
            <w:tcW w:w="851" w:type="dxa"/>
            <w:hideMark/>
          </w:tcPr>
          <w:p w14:paraId="1EBC3204"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hideMark/>
          </w:tcPr>
          <w:p w14:paraId="34D77D4C"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hideMark/>
          </w:tcPr>
          <w:p w14:paraId="49EEAF24"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34" w:type="dxa"/>
          </w:tcPr>
          <w:p w14:paraId="64C1CC72"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tcPr>
          <w:p w14:paraId="79CD1F7B"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tcPr>
          <w:p w14:paraId="4D3DAB5E"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50" w:type="dxa"/>
          </w:tcPr>
          <w:p w14:paraId="51E40E63"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r>
      <w:tr w:rsidR="00497E68" w:rsidRPr="000B55A9" w14:paraId="7504CFB4" w14:textId="77777777" w:rsidTr="00520DA7">
        <w:trPr>
          <w:trHeight w:val="520"/>
        </w:trPr>
        <w:tc>
          <w:tcPr>
            <w:tcW w:w="1696" w:type="dxa"/>
            <w:hideMark/>
          </w:tcPr>
          <w:p w14:paraId="2E84CB65"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3.3. pašvaldību budžets</w:t>
            </w:r>
          </w:p>
        </w:tc>
        <w:tc>
          <w:tcPr>
            <w:tcW w:w="851" w:type="dxa"/>
            <w:hideMark/>
          </w:tcPr>
          <w:p w14:paraId="377BACEC"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hideMark/>
          </w:tcPr>
          <w:p w14:paraId="1EA59B4D"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hideMark/>
          </w:tcPr>
          <w:p w14:paraId="524389FA"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34" w:type="dxa"/>
            <w:hideMark/>
          </w:tcPr>
          <w:p w14:paraId="04110DB9"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hideMark/>
          </w:tcPr>
          <w:p w14:paraId="1D4813C7"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tcPr>
          <w:p w14:paraId="712B7B27"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50" w:type="dxa"/>
          </w:tcPr>
          <w:p w14:paraId="2C207A69"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r>
      <w:tr w:rsidR="00497E68" w:rsidRPr="000B55A9" w14:paraId="0005CA8A" w14:textId="77777777" w:rsidTr="00520DA7">
        <w:trPr>
          <w:trHeight w:val="520"/>
        </w:trPr>
        <w:tc>
          <w:tcPr>
            <w:tcW w:w="1696" w:type="dxa"/>
            <w:hideMark/>
          </w:tcPr>
          <w:p w14:paraId="54A12A1F"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4. Finanšu līdzekļi papildu izdevumu finansēšanai (kompensējošu izdevumu samazinājumu norāda ar "+" zīmi)</w:t>
            </w:r>
          </w:p>
        </w:tc>
        <w:tc>
          <w:tcPr>
            <w:tcW w:w="851" w:type="dxa"/>
            <w:hideMark/>
          </w:tcPr>
          <w:p w14:paraId="45D9B94F"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hideMark/>
          </w:tcPr>
          <w:p w14:paraId="4CA6E191"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hideMark/>
          </w:tcPr>
          <w:p w14:paraId="392857A9"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34" w:type="dxa"/>
          </w:tcPr>
          <w:p w14:paraId="5BB7BC05"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tcPr>
          <w:p w14:paraId="32B4EC8D"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tcPr>
          <w:p w14:paraId="61E3A3CE"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50" w:type="dxa"/>
          </w:tcPr>
          <w:p w14:paraId="750FF3B8"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r>
      <w:tr w:rsidR="00497E68" w:rsidRPr="000B55A9" w14:paraId="74B475C2" w14:textId="77777777" w:rsidTr="00520DA7">
        <w:trPr>
          <w:trHeight w:val="520"/>
        </w:trPr>
        <w:tc>
          <w:tcPr>
            <w:tcW w:w="1696" w:type="dxa"/>
            <w:hideMark/>
          </w:tcPr>
          <w:p w14:paraId="7937CACC"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5. Precizēta finansiālā ietekme</w:t>
            </w:r>
          </w:p>
        </w:tc>
        <w:tc>
          <w:tcPr>
            <w:tcW w:w="851" w:type="dxa"/>
            <w:vMerge w:val="restart"/>
            <w:hideMark/>
          </w:tcPr>
          <w:p w14:paraId="6C6BFCED" w14:textId="77777777" w:rsidR="00497E68" w:rsidRPr="000B55A9" w:rsidRDefault="00497E68" w:rsidP="00520DA7">
            <w:pPr>
              <w:rPr>
                <w:rFonts w:eastAsia="Times New Roman" w:cs="Times New Roman"/>
                <w:iCs/>
                <w:sz w:val="24"/>
                <w:szCs w:val="24"/>
                <w:lang w:eastAsia="lv-LV"/>
              </w:rPr>
            </w:pPr>
          </w:p>
        </w:tc>
        <w:tc>
          <w:tcPr>
            <w:tcW w:w="992" w:type="dxa"/>
            <w:hideMark/>
          </w:tcPr>
          <w:p w14:paraId="05D311CD" w14:textId="77777777" w:rsidR="00497E68" w:rsidRPr="000B55A9" w:rsidRDefault="00497E68" w:rsidP="00520DA7">
            <w:pPr>
              <w:jc w:val="cente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vMerge w:val="restart"/>
            <w:hideMark/>
          </w:tcPr>
          <w:p w14:paraId="0D5EA923" w14:textId="77777777" w:rsidR="00497E68" w:rsidRPr="000B55A9" w:rsidRDefault="00497E68" w:rsidP="00520DA7">
            <w:pPr>
              <w:jc w:val="center"/>
              <w:rPr>
                <w:rFonts w:eastAsia="Times New Roman" w:cs="Times New Roman"/>
                <w:iCs/>
                <w:sz w:val="24"/>
                <w:szCs w:val="24"/>
                <w:lang w:eastAsia="lv-LV"/>
              </w:rPr>
            </w:pPr>
          </w:p>
        </w:tc>
        <w:tc>
          <w:tcPr>
            <w:tcW w:w="1134" w:type="dxa"/>
          </w:tcPr>
          <w:p w14:paraId="038B5805" w14:textId="77777777" w:rsidR="00497E68" w:rsidRPr="000B55A9" w:rsidRDefault="00497E68" w:rsidP="00520DA7">
            <w:pPr>
              <w:jc w:val="cente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vMerge w:val="restart"/>
          </w:tcPr>
          <w:p w14:paraId="13BC630E" w14:textId="77777777" w:rsidR="00497E68" w:rsidRPr="000B55A9" w:rsidRDefault="00497E68" w:rsidP="00520DA7">
            <w:pPr>
              <w:rPr>
                <w:rFonts w:eastAsia="Times New Roman" w:cs="Times New Roman"/>
                <w:iCs/>
                <w:sz w:val="24"/>
                <w:szCs w:val="24"/>
                <w:lang w:eastAsia="lv-LV"/>
              </w:rPr>
            </w:pPr>
          </w:p>
        </w:tc>
        <w:tc>
          <w:tcPr>
            <w:tcW w:w="1276" w:type="dxa"/>
          </w:tcPr>
          <w:p w14:paraId="3D30BC25"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50" w:type="dxa"/>
          </w:tcPr>
          <w:p w14:paraId="11AEA9CA"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r>
      <w:tr w:rsidR="00497E68" w:rsidRPr="000B55A9" w14:paraId="2BEAE215" w14:textId="77777777" w:rsidTr="00520DA7">
        <w:trPr>
          <w:trHeight w:val="520"/>
        </w:trPr>
        <w:tc>
          <w:tcPr>
            <w:tcW w:w="1696" w:type="dxa"/>
            <w:hideMark/>
          </w:tcPr>
          <w:p w14:paraId="4A168957"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5.1. valsts pamatbudžets</w:t>
            </w:r>
          </w:p>
        </w:tc>
        <w:tc>
          <w:tcPr>
            <w:tcW w:w="851" w:type="dxa"/>
            <w:vMerge/>
            <w:hideMark/>
          </w:tcPr>
          <w:p w14:paraId="5D9F9DCE" w14:textId="77777777" w:rsidR="00497E68" w:rsidRPr="000B55A9" w:rsidRDefault="00497E68" w:rsidP="00520DA7">
            <w:pPr>
              <w:rPr>
                <w:rFonts w:eastAsia="Times New Roman" w:cs="Times New Roman"/>
                <w:iCs/>
                <w:sz w:val="24"/>
                <w:szCs w:val="24"/>
                <w:lang w:eastAsia="lv-LV"/>
              </w:rPr>
            </w:pPr>
          </w:p>
        </w:tc>
        <w:tc>
          <w:tcPr>
            <w:tcW w:w="992" w:type="dxa"/>
            <w:hideMark/>
          </w:tcPr>
          <w:p w14:paraId="4F75C173" w14:textId="77777777" w:rsidR="00497E68" w:rsidRPr="000B55A9" w:rsidRDefault="00497E68" w:rsidP="00520DA7">
            <w:pPr>
              <w:jc w:val="cente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vMerge/>
            <w:hideMark/>
          </w:tcPr>
          <w:p w14:paraId="738B3BE8" w14:textId="77777777" w:rsidR="00497E68" w:rsidRPr="000B55A9" w:rsidRDefault="00497E68" w:rsidP="00520DA7">
            <w:pPr>
              <w:jc w:val="center"/>
              <w:rPr>
                <w:rFonts w:eastAsia="Times New Roman" w:cs="Times New Roman"/>
                <w:iCs/>
                <w:sz w:val="24"/>
                <w:szCs w:val="24"/>
                <w:lang w:eastAsia="lv-LV"/>
              </w:rPr>
            </w:pPr>
          </w:p>
        </w:tc>
        <w:tc>
          <w:tcPr>
            <w:tcW w:w="1134" w:type="dxa"/>
          </w:tcPr>
          <w:p w14:paraId="3F861909" w14:textId="77777777" w:rsidR="00497E68" w:rsidRPr="000B55A9" w:rsidRDefault="00497E68" w:rsidP="00520DA7">
            <w:pPr>
              <w:jc w:val="cente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vMerge/>
          </w:tcPr>
          <w:p w14:paraId="167B3B86" w14:textId="77777777" w:rsidR="00497E68" w:rsidRPr="000B55A9" w:rsidRDefault="00497E68" w:rsidP="00520DA7">
            <w:pPr>
              <w:rPr>
                <w:rFonts w:eastAsia="Times New Roman" w:cs="Times New Roman"/>
                <w:iCs/>
                <w:sz w:val="24"/>
                <w:szCs w:val="24"/>
                <w:lang w:eastAsia="lv-LV"/>
              </w:rPr>
            </w:pPr>
          </w:p>
        </w:tc>
        <w:tc>
          <w:tcPr>
            <w:tcW w:w="1276" w:type="dxa"/>
          </w:tcPr>
          <w:p w14:paraId="10A74193"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50" w:type="dxa"/>
          </w:tcPr>
          <w:p w14:paraId="7B8B5939"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r>
      <w:tr w:rsidR="00497E68" w:rsidRPr="000B55A9" w14:paraId="0992AB8B" w14:textId="77777777" w:rsidTr="00520DA7">
        <w:trPr>
          <w:trHeight w:val="520"/>
        </w:trPr>
        <w:tc>
          <w:tcPr>
            <w:tcW w:w="1696" w:type="dxa"/>
            <w:hideMark/>
          </w:tcPr>
          <w:p w14:paraId="6CF01B90"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5.2. speciālais budžets</w:t>
            </w:r>
          </w:p>
        </w:tc>
        <w:tc>
          <w:tcPr>
            <w:tcW w:w="851" w:type="dxa"/>
            <w:vMerge/>
            <w:hideMark/>
          </w:tcPr>
          <w:p w14:paraId="525E5EA5" w14:textId="77777777" w:rsidR="00497E68" w:rsidRPr="000B55A9" w:rsidRDefault="00497E68" w:rsidP="00520DA7">
            <w:pPr>
              <w:rPr>
                <w:rFonts w:eastAsia="Times New Roman" w:cs="Times New Roman"/>
                <w:iCs/>
                <w:sz w:val="24"/>
                <w:szCs w:val="24"/>
                <w:lang w:eastAsia="lv-LV"/>
              </w:rPr>
            </w:pPr>
          </w:p>
        </w:tc>
        <w:tc>
          <w:tcPr>
            <w:tcW w:w="992" w:type="dxa"/>
            <w:hideMark/>
          </w:tcPr>
          <w:p w14:paraId="0961B92F" w14:textId="77777777" w:rsidR="00497E68" w:rsidRPr="000B55A9" w:rsidRDefault="00497E68" w:rsidP="00520DA7">
            <w:pPr>
              <w:jc w:val="cente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vMerge/>
            <w:hideMark/>
          </w:tcPr>
          <w:p w14:paraId="050A005E" w14:textId="77777777" w:rsidR="00497E68" w:rsidRPr="000B55A9" w:rsidRDefault="00497E68" w:rsidP="00520DA7">
            <w:pPr>
              <w:jc w:val="center"/>
              <w:rPr>
                <w:rFonts w:eastAsia="Times New Roman" w:cs="Times New Roman"/>
                <w:iCs/>
                <w:sz w:val="24"/>
                <w:szCs w:val="24"/>
                <w:lang w:eastAsia="lv-LV"/>
              </w:rPr>
            </w:pPr>
          </w:p>
        </w:tc>
        <w:tc>
          <w:tcPr>
            <w:tcW w:w="1134" w:type="dxa"/>
          </w:tcPr>
          <w:p w14:paraId="6BBCC3C7" w14:textId="77777777" w:rsidR="00497E68" w:rsidRPr="000B55A9" w:rsidRDefault="00497E68" w:rsidP="00520DA7">
            <w:pPr>
              <w:jc w:val="cente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vMerge/>
          </w:tcPr>
          <w:p w14:paraId="43AF9AE2" w14:textId="77777777" w:rsidR="00497E68" w:rsidRPr="000B55A9" w:rsidRDefault="00497E68" w:rsidP="00520DA7">
            <w:pPr>
              <w:rPr>
                <w:rFonts w:eastAsia="Times New Roman" w:cs="Times New Roman"/>
                <w:iCs/>
                <w:sz w:val="24"/>
                <w:szCs w:val="24"/>
                <w:lang w:eastAsia="lv-LV"/>
              </w:rPr>
            </w:pPr>
          </w:p>
        </w:tc>
        <w:tc>
          <w:tcPr>
            <w:tcW w:w="1276" w:type="dxa"/>
          </w:tcPr>
          <w:p w14:paraId="42D5B807"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50" w:type="dxa"/>
          </w:tcPr>
          <w:p w14:paraId="1C01BBE9"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r>
      <w:tr w:rsidR="00497E68" w:rsidRPr="000B55A9" w14:paraId="79E957DE" w14:textId="77777777" w:rsidTr="00520DA7">
        <w:trPr>
          <w:trHeight w:val="520"/>
        </w:trPr>
        <w:tc>
          <w:tcPr>
            <w:tcW w:w="1696" w:type="dxa"/>
            <w:hideMark/>
          </w:tcPr>
          <w:p w14:paraId="5ACBBB6D"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5.3. pašvaldību budžets</w:t>
            </w:r>
          </w:p>
        </w:tc>
        <w:tc>
          <w:tcPr>
            <w:tcW w:w="851" w:type="dxa"/>
            <w:vMerge/>
            <w:hideMark/>
          </w:tcPr>
          <w:p w14:paraId="54E22CD2" w14:textId="77777777" w:rsidR="00497E68" w:rsidRPr="000B55A9" w:rsidRDefault="00497E68" w:rsidP="00520DA7">
            <w:pPr>
              <w:rPr>
                <w:rFonts w:eastAsia="Times New Roman" w:cs="Times New Roman"/>
                <w:iCs/>
                <w:sz w:val="24"/>
                <w:szCs w:val="24"/>
                <w:lang w:eastAsia="lv-LV"/>
              </w:rPr>
            </w:pPr>
          </w:p>
        </w:tc>
        <w:tc>
          <w:tcPr>
            <w:tcW w:w="992" w:type="dxa"/>
            <w:hideMark/>
          </w:tcPr>
          <w:p w14:paraId="03DE6788" w14:textId="77777777" w:rsidR="00497E68" w:rsidRPr="000B55A9" w:rsidRDefault="00497E68" w:rsidP="00520DA7">
            <w:pPr>
              <w:jc w:val="cente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276" w:type="dxa"/>
            <w:vMerge/>
            <w:hideMark/>
          </w:tcPr>
          <w:p w14:paraId="06368DD3" w14:textId="77777777" w:rsidR="00497E68" w:rsidRPr="000B55A9" w:rsidRDefault="00497E68" w:rsidP="00520DA7">
            <w:pPr>
              <w:jc w:val="center"/>
              <w:rPr>
                <w:rFonts w:eastAsia="Times New Roman" w:cs="Times New Roman"/>
                <w:iCs/>
                <w:sz w:val="24"/>
                <w:szCs w:val="24"/>
                <w:lang w:eastAsia="lv-LV"/>
              </w:rPr>
            </w:pPr>
          </w:p>
        </w:tc>
        <w:tc>
          <w:tcPr>
            <w:tcW w:w="1134" w:type="dxa"/>
          </w:tcPr>
          <w:p w14:paraId="75EB7AB7" w14:textId="77777777" w:rsidR="00497E68" w:rsidRPr="000B55A9" w:rsidRDefault="00497E68" w:rsidP="00520DA7">
            <w:pPr>
              <w:jc w:val="cente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992" w:type="dxa"/>
            <w:vMerge/>
          </w:tcPr>
          <w:p w14:paraId="65CFBEFB" w14:textId="77777777" w:rsidR="00497E68" w:rsidRPr="000B55A9" w:rsidRDefault="00497E68" w:rsidP="00520DA7">
            <w:pPr>
              <w:rPr>
                <w:rFonts w:eastAsia="Times New Roman" w:cs="Times New Roman"/>
                <w:iCs/>
                <w:sz w:val="24"/>
                <w:szCs w:val="24"/>
                <w:lang w:eastAsia="lv-LV"/>
              </w:rPr>
            </w:pPr>
          </w:p>
        </w:tc>
        <w:tc>
          <w:tcPr>
            <w:tcW w:w="1276" w:type="dxa"/>
          </w:tcPr>
          <w:p w14:paraId="6DDE90CD"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c>
          <w:tcPr>
            <w:tcW w:w="1150" w:type="dxa"/>
          </w:tcPr>
          <w:p w14:paraId="0E65FEB6"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0</w:t>
            </w:r>
          </w:p>
        </w:tc>
      </w:tr>
      <w:tr w:rsidR="00497E68" w:rsidRPr="000B55A9" w14:paraId="3506875E" w14:textId="77777777" w:rsidTr="00520DA7">
        <w:trPr>
          <w:trHeight w:val="2720"/>
        </w:trPr>
        <w:tc>
          <w:tcPr>
            <w:tcW w:w="1696" w:type="dxa"/>
            <w:hideMark/>
          </w:tcPr>
          <w:p w14:paraId="07DCD1FE"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6. Detalizēts ieņēmumu un izdevumu aprēķins (ja nepieciešams, detalizētu ieņēmumu un izdevumu aprēķinu var pievienot anotācijas pielikumā)</w:t>
            </w:r>
          </w:p>
        </w:tc>
        <w:tc>
          <w:tcPr>
            <w:tcW w:w="7671" w:type="dxa"/>
            <w:gridSpan w:val="7"/>
            <w:vMerge w:val="restart"/>
          </w:tcPr>
          <w:p w14:paraId="3D70B7F1" w14:textId="77777777" w:rsidR="00497E68" w:rsidRPr="002E1357" w:rsidRDefault="00497E68" w:rsidP="00520DA7">
            <w:pPr>
              <w:tabs>
                <w:tab w:val="left" w:pos="473"/>
              </w:tabs>
              <w:ind w:right="111"/>
              <w:jc w:val="both"/>
              <w:rPr>
                <w:rFonts w:cs="Times New Roman"/>
                <w:sz w:val="20"/>
                <w:szCs w:val="24"/>
              </w:rPr>
            </w:pPr>
          </w:p>
          <w:p w14:paraId="284D7B02" w14:textId="77777777" w:rsidR="00497E68" w:rsidRPr="000B55A9" w:rsidRDefault="00497E68" w:rsidP="00520DA7">
            <w:pPr>
              <w:pStyle w:val="ListParagraph"/>
              <w:numPr>
                <w:ilvl w:val="0"/>
                <w:numId w:val="12"/>
              </w:numPr>
              <w:tabs>
                <w:tab w:val="left" w:pos="301"/>
              </w:tabs>
              <w:ind w:right="111"/>
              <w:jc w:val="both"/>
              <w:rPr>
                <w:u w:val="single"/>
              </w:rPr>
            </w:pPr>
            <w:r w:rsidRPr="000B55A9">
              <w:rPr>
                <w:u w:val="single"/>
              </w:rPr>
              <w:t>Par akcīzes nodokļa  likmju paaugstināšanu naftas produktiem, ko izmanto kā kurināmo</w:t>
            </w:r>
          </w:p>
          <w:p w14:paraId="3F74C921" w14:textId="77777777" w:rsidR="00497E68" w:rsidRPr="002E1357" w:rsidRDefault="00497E68" w:rsidP="00520DA7">
            <w:pPr>
              <w:pStyle w:val="ListParagraph"/>
              <w:tabs>
                <w:tab w:val="left" w:pos="301"/>
              </w:tabs>
              <w:ind w:left="18" w:right="111"/>
              <w:jc w:val="both"/>
              <w:rPr>
                <w:sz w:val="20"/>
              </w:rPr>
            </w:pPr>
          </w:p>
          <w:p w14:paraId="7E54C2D0" w14:textId="77777777" w:rsidR="00497E68" w:rsidRPr="000B55A9" w:rsidRDefault="00497E68" w:rsidP="00520DA7">
            <w:pPr>
              <w:tabs>
                <w:tab w:val="left" w:pos="301"/>
              </w:tabs>
              <w:spacing w:after="160" w:line="259" w:lineRule="auto"/>
              <w:ind w:left="18" w:right="111"/>
              <w:jc w:val="both"/>
              <w:rPr>
                <w:rFonts w:cs="Times New Roman"/>
                <w:sz w:val="24"/>
                <w:szCs w:val="24"/>
              </w:rPr>
            </w:pPr>
            <w:r w:rsidRPr="000B55A9">
              <w:rPr>
                <w:rFonts w:cs="Times New Roman"/>
                <w:sz w:val="24"/>
                <w:szCs w:val="24"/>
              </w:rPr>
              <w:t>Spēkā esošās un likumprojektā plānotās akcīzes nodokļa likmes:</w:t>
            </w:r>
          </w:p>
          <w:tbl>
            <w:tblPr>
              <w:tblW w:w="7531" w:type="dxa"/>
              <w:tblLayout w:type="fixed"/>
              <w:tblLook w:val="04A0" w:firstRow="1" w:lastRow="0" w:firstColumn="1" w:lastColumn="0" w:noHBand="0" w:noVBand="1"/>
            </w:tblPr>
            <w:tblGrid>
              <w:gridCol w:w="4471"/>
              <w:gridCol w:w="1276"/>
              <w:gridCol w:w="1784"/>
            </w:tblGrid>
            <w:tr w:rsidR="00497E68" w:rsidRPr="000B55A9" w14:paraId="7FEE69F7" w14:textId="77777777" w:rsidTr="006927E2">
              <w:trPr>
                <w:trHeight w:val="694"/>
              </w:trPr>
              <w:tc>
                <w:tcPr>
                  <w:tcW w:w="44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C29EE0" w14:textId="77777777" w:rsidR="00497E68" w:rsidRPr="000B55A9" w:rsidRDefault="00497E68" w:rsidP="00520DA7">
                  <w:pPr>
                    <w:spacing w:after="0" w:line="240" w:lineRule="auto"/>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 xml:space="preserve">Naftas produkta veids, </w:t>
                  </w:r>
                </w:p>
                <w:p w14:paraId="0955ADDA" w14:textId="77777777" w:rsidR="00497E68" w:rsidRPr="000B55A9" w:rsidRDefault="00497E68" w:rsidP="00520DA7">
                  <w:pPr>
                    <w:spacing w:after="0" w:line="240" w:lineRule="auto"/>
                    <w:rPr>
                      <w:rFonts w:ascii="Times New Roman" w:eastAsia="Times New Roman" w:hAnsi="Times New Roman" w:cs="Times New Roman"/>
                      <w:color w:val="000000"/>
                      <w:sz w:val="24"/>
                      <w:szCs w:val="24"/>
                      <w:lang w:eastAsia="lv-LV"/>
                    </w:rPr>
                  </w:pPr>
                  <w:proofErr w:type="spellStart"/>
                  <w:r w:rsidRPr="000B55A9">
                    <w:rPr>
                      <w:rFonts w:ascii="Times New Roman" w:eastAsia="Times New Roman" w:hAnsi="Times New Roman" w:cs="Times New Roman"/>
                      <w:bCs/>
                      <w:i/>
                      <w:color w:val="000000"/>
                      <w:sz w:val="24"/>
                      <w:szCs w:val="24"/>
                      <w:lang w:eastAsia="lv-LV"/>
                    </w:rPr>
                    <w:t>euro</w:t>
                  </w:r>
                  <w:proofErr w:type="spellEnd"/>
                  <w:r w:rsidRPr="000B55A9">
                    <w:rPr>
                      <w:rFonts w:ascii="Times New Roman" w:eastAsia="Times New Roman" w:hAnsi="Times New Roman" w:cs="Times New Roman"/>
                      <w:color w:val="000000"/>
                      <w:sz w:val="24"/>
                      <w:szCs w:val="24"/>
                      <w:lang w:eastAsia="lv-LV"/>
                    </w:rPr>
                    <w:t xml:space="preserve"> par 1 000 litriem</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6FB39B2"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Spēkā esošās likmes  201</w:t>
                  </w:r>
                  <w:r>
                    <w:rPr>
                      <w:rFonts w:ascii="Times New Roman" w:eastAsia="Times New Roman" w:hAnsi="Times New Roman" w:cs="Times New Roman"/>
                      <w:color w:val="000000"/>
                      <w:sz w:val="24"/>
                      <w:szCs w:val="24"/>
                      <w:lang w:eastAsia="lv-LV"/>
                    </w:rPr>
                    <w:t>9</w:t>
                  </w:r>
                  <w:r w:rsidRPr="000B55A9">
                    <w:rPr>
                      <w:rFonts w:ascii="Times New Roman" w:eastAsia="Times New Roman" w:hAnsi="Times New Roman" w:cs="Times New Roman"/>
                      <w:color w:val="000000"/>
                      <w:sz w:val="24"/>
                      <w:szCs w:val="24"/>
                      <w:lang w:eastAsia="lv-LV"/>
                    </w:rPr>
                    <w:t>.g.</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5EE12FAA"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Likumprojektā paredzētās likmes ar 01.01.20</w:t>
                  </w:r>
                  <w:r>
                    <w:rPr>
                      <w:rFonts w:ascii="Times New Roman" w:eastAsia="Times New Roman" w:hAnsi="Times New Roman" w:cs="Times New Roman"/>
                      <w:color w:val="000000"/>
                      <w:sz w:val="24"/>
                      <w:szCs w:val="24"/>
                      <w:lang w:eastAsia="lv-LV"/>
                    </w:rPr>
                    <w:t>20</w:t>
                  </w:r>
                  <w:r w:rsidRPr="000B55A9">
                    <w:rPr>
                      <w:rFonts w:ascii="Times New Roman" w:eastAsia="Times New Roman" w:hAnsi="Times New Roman" w:cs="Times New Roman"/>
                      <w:color w:val="000000"/>
                      <w:sz w:val="24"/>
                      <w:szCs w:val="24"/>
                      <w:lang w:eastAsia="lv-LV"/>
                    </w:rPr>
                    <w:t>.</w:t>
                  </w:r>
                </w:p>
              </w:tc>
            </w:tr>
            <w:tr w:rsidR="00497E68" w:rsidRPr="000B55A9" w14:paraId="0D6CC5FA" w14:textId="77777777" w:rsidTr="006927E2">
              <w:trPr>
                <w:trHeight w:val="308"/>
              </w:trPr>
              <w:tc>
                <w:tcPr>
                  <w:tcW w:w="4471" w:type="dxa"/>
                  <w:tcBorders>
                    <w:top w:val="nil"/>
                    <w:left w:val="single" w:sz="8" w:space="0" w:color="auto"/>
                    <w:bottom w:val="single" w:sz="8" w:space="0" w:color="auto"/>
                    <w:right w:val="single" w:sz="8" w:space="0" w:color="auto"/>
                  </w:tcBorders>
                  <w:shd w:val="clear" w:color="auto" w:fill="auto"/>
                  <w:vAlign w:val="center"/>
                  <w:hideMark/>
                </w:tcPr>
                <w:p w14:paraId="7864276E" w14:textId="77777777" w:rsidR="00497E68" w:rsidRPr="000B55A9" w:rsidRDefault="00497E68" w:rsidP="00520DA7">
                  <w:pPr>
                    <w:spacing w:after="0" w:line="240" w:lineRule="auto"/>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Naftas produkti, kas marķēti un tiek izmantoti kā kurināmais</w:t>
                  </w:r>
                </w:p>
              </w:tc>
              <w:tc>
                <w:tcPr>
                  <w:tcW w:w="1276" w:type="dxa"/>
                  <w:tcBorders>
                    <w:top w:val="nil"/>
                    <w:left w:val="nil"/>
                    <w:bottom w:val="single" w:sz="8" w:space="0" w:color="auto"/>
                    <w:right w:val="single" w:sz="8" w:space="0" w:color="auto"/>
                  </w:tcBorders>
                  <w:shd w:val="clear" w:color="auto" w:fill="auto"/>
                  <w:vAlign w:val="center"/>
                  <w:hideMark/>
                </w:tcPr>
                <w:p w14:paraId="3549AD29"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56,91</w:t>
                  </w:r>
                </w:p>
              </w:tc>
              <w:tc>
                <w:tcPr>
                  <w:tcW w:w="1784" w:type="dxa"/>
                  <w:tcBorders>
                    <w:top w:val="nil"/>
                    <w:left w:val="nil"/>
                    <w:bottom w:val="single" w:sz="8" w:space="0" w:color="auto"/>
                    <w:right w:val="single" w:sz="8" w:space="0" w:color="auto"/>
                  </w:tcBorders>
                  <w:shd w:val="clear" w:color="auto" w:fill="auto"/>
                  <w:vAlign w:val="center"/>
                  <w:hideMark/>
                </w:tcPr>
                <w:p w14:paraId="6684BDA8"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60</w:t>
                  </w:r>
                </w:p>
              </w:tc>
            </w:tr>
            <w:tr w:rsidR="00497E68" w:rsidRPr="000B55A9" w14:paraId="478ACA9C" w14:textId="77777777" w:rsidTr="006927E2">
              <w:trPr>
                <w:trHeight w:val="372"/>
              </w:trPr>
              <w:tc>
                <w:tcPr>
                  <w:tcW w:w="4471" w:type="dxa"/>
                  <w:tcBorders>
                    <w:top w:val="nil"/>
                    <w:left w:val="single" w:sz="8" w:space="0" w:color="auto"/>
                    <w:bottom w:val="single" w:sz="8" w:space="0" w:color="auto"/>
                    <w:right w:val="single" w:sz="8" w:space="0" w:color="auto"/>
                  </w:tcBorders>
                  <w:shd w:val="clear" w:color="auto" w:fill="auto"/>
                  <w:vAlign w:val="center"/>
                  <w:hideMark/>
                </w:tcPr>
                <w:p w14:paraId="20F3C989" w14:textId="77777777" w:rsidR="00497E68" w:rsidRPr="000B55A9" w:rsidRDefault="00497E68" w:rsidP="00520DA7">
                  <w:pPr>
                    <w:spacing w:after="0" w:line="240" w:lineRule="auto"/>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Naftas produkti, kas marķēti un satur biodegvielu vismaz 5% un izmantoti kā kurināmais</w:t>
                  </w:r>
                </w:p>
              </w:tc>
              <w:tc>
                <w:tcPr>
                  <w:tcW w:w="1276" w:type="dxa"/>
                  <w:tcBorders>
                    <w:top w:val="nil"/>
                    <w:left w:val="nil"/>
                    <w:bottom w:val="single" w:sz="8" w:space="0" w:color="auto"/>
                    <w:right w:val="single" w:sz="8" w:space="0" w:color="auto"/>
                  </w:tcBorders>
                  <w:shd w:val="clear" w:color="auto" w:fill="auto"/>
                  <w:vAlign w:val="center"/>
                  <w:hideMark/>
                </w:tcPr>
                <w:p w14:paraId="43874BB6"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21,34</w:t>
                  </w:r>
                </w:p>
              </w:tc>
              <w:tc>
                <w:tcPr>
                  <w:tcW w:w="1784" w:type="dxa"/>
                  <w:tcBorders>
                    <w:top w:val="nil"/>
                    <w:left w:val="nil"/>
                    <w:bottom w:val="single" w:sz="8" w:space="0" w:color="auto"/>
                    <w:right w:val="single" w:sz="8" w:space="0" w:color="auto"/>
                  </w:tcBorders>
                  <w:shd w:val="clear" w:color="auto" w:fill="auto"/>
                  <w:vAlign w:val="center"/>
                  <w:hideMark/>
                </w:tcPr>
                <w:p w14:paraId="38704EC6"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60</w:t>
                  </w:r>
                </w:p>
              </w:tc>
            </w:tr>
            <w:tr w:rsidR="00497E68" w:rsidRPr="000B55A9" w14:paraId="4C5D5608" w14:textId="77777777" w:rsidTr="006927E2">
              <w:trPr>
                <w:trHeight w:val="372"/>
              </w:trPr>
              <w:tc>
                <w:tcPr>
                  <w:tcW w:w="4471" w:type="dxa"/>
                  <w:tcBorders>
                    <w:top w:val="nil"/>
                    <w:left w:val="single" w:sz="8" w:space="0" w:color="auto"/>
                    <w:bottom w:val="single" w:sz="8" w:space="0" w:color="auto"/>
                    <w:right w:val="single" w:sz="8" w:space="0" w:color="auto"/>
                  </w:tcBorders>
                  <w:shd w:val="clear" w:color="auto" w:fill="FFFFFF" w:themeFill="background1"/>
                  <w:vAlign w:val="center"/>
                  <w:hideMark/>
                </w:tcPr>
                <w:p w14:paraId="328BA3DB" w14:textId="77777777" w:rsidR="00497E68" w:rsidRPr="000B55A9" w:rsidRDefault="00497E68" w:rsidP="00520DA7">
                  <w:pPr>
                    <w:spacing w:after="0" w:line="240" w:lineRule="auto"/>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sz w:val="24"/>
                      <w:szCs w:val="24"/>
                      <w:lang w:eastAsia="lv-LV"/>
                    </w:rPr>
                    <w:t>Rapšu sēklu eļļa un biodīzeļdegviela, kas iegūta no rapšu sēklu eļļas, ko izmanto kā kurināmo</w:t>
                  </w:r>
                </w:p>
              </w:tc>
              <w:tc>
                <w:tcPr>
                  <w:tcW w:w="1276" w:type="dxa"/>
                  <w:tcBorders>
                    <w:top w:val="nil"/>
                    <w:left w:val="nil"/>
                    <w:bottom w:val="single" w:sz="8" w:space="0" w:color="auto"/>
                    <w:right w:val="single" w:sz="8" w:space="0" w:color="auto"/>
                  </w:tcBorders>
                  <w:shd w:val="clear" w:color="auto" w:fill="FFFFFF" w:themeFill="background1"/>
                  <w:vAlign w:val="center"/>
                  <w:hideMark/>
                </w:tcPr>
                <w:p w14:paraId="3219D297"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0</w:t>
                  </w:r>
                </w:p>
              </w:tc>
              <w:tc>
                <w:tcPr>
                  <w:tcW w:w="1784" w:type="dxa"/>
                  <w:tcBorders>
                    <w:top w:val="nil"/>
                    <w:left w:val="nil"/>
                    <w:bottom w:val="single" w:sz="8" w:space="0" w:color="auto"/>
                    <w:right w:val="single" w:sz="8" w:space="0" w:color="auto"/>
                  </w:tcBorders>
                  <w:shd w:val="clear" w:color="auto" w:fill="FFFFFF" w:themeFill="background1"/>
                  <w:vAlign w:val="center"/>
                  <w:hideMark/>
                </w:tcPr>
                <w:p w14:paraId="23B0B004"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21</w:t>
                  </w:r>
                </w:p>
              </w:tc>
            </w:tr>
            <w:tr w:rsidR="00497E68" w:rsidRPr="000B55A9" w14:paraId="0D30A39F" w14:textId="77777777" w:rsidTr="006927E2">
              <w:trPr>
                <w:trHeight w:val="327"/>
              </w:trPr>
              <w:tc>
                <w:tcPr>
                  <w:tcW w:w="4471" w:type="dxa"/>
                  <w:tcBorders>
                    <w:top w:val="nil"/>
                    <w:left w:val="single" w:sz="8" w:space="0" w:color="auto"/>
                    <w:bottom w:val="single" w:sz="8" w:space="0" w:color="auto"/>
                    <w:right w:val="single" w:sz="8" w:space="0" w:color="auto"/>
                  </w:tcBorders>
                  <w:shd w:val="clear" w:color="auto" w:fill="FFFFFF" w:themeFill="background1"/>
                  <w:vAlign w:val="center"/>
                  <w:hideMark/>
                </w:tcPr>
                <w:p w14:paraId="33BA3CCF" w14:textId="77777777" w:rsidR="00497E68" w:rsidRPr="000B55A9" w:rsidRDefault="00497E68" w:rsidP="00520DA7">
                  <w:pPr>
                    <w:spacing w:after="0" w:line="240" w:lineRule="auto"/>
                    <w:rPr>
                      <w:rFonts w:ascii="Times New Roman" w:eastAsia="Times New Roman" w:hAnsi="Times New Roman" w:cs="Times New Roman"/>
                      <w:color w:val="000000"/>
                      <w:sz w:val="24"/>
                      <w:szCs w:val="24"/>
                      <w:lang w:eastAsia="lv-LV"/>
                    </w:rPr>
                  </w:pPr>
                  <w:proofErr w:type="spellStart"/>
                  <w:r w:rsidRPr="000B55A9">
                    <w:rPr>
                      <w:rFonts w:ascii="Times New Roman" w:eastAsia="Times New Roman" w:hAnsi="Times New Roman" w:cs="Times New Roman"/>
                      <w:color w:val="000000"/>
                      <w:sz w:val="24"/>
                      <w:szCs w:val="24"/>
                      <w:lang w:eastAsia="lv-LV"/>
                    </w:rPr>
                    <w:lastRenderedPageBreak/>
                    <w:t>Parafinizēta</w:t>
                  </w:r>
                  <w:proofErr w:type="spellEnd"/>
                  <w:r w:rsidRPr="000B55A9">
                    <w:rPr>
                      <w:rFonts w:ascii="Times New Roman" w:eastAsia="Times New Roman" w:hAnsi="Times New Roman" w:cs="Times New Roman"/>
                      <w:color w:val="000000"/>
                      <w:sz w:val="24"/>
                      <w:szCs w:val="24"/>
                      <w:lang w:eastAsia="lv-LV"/>
                    </w:rPr>
                    <w:t xml:space="preserve"> dīzeļdegviela, kas iegūta no biomasas, ko izmanto kā kurināmo</w:t>
                  </w:r>
                </w:p>
              </w:tc>
              <w:tc>
                <w:tcPr>
                  <w:tcW w:w="1276" w:type="dxa"/>
                  <w:tcBorders>
                    <w:top w:val="nil"/>
                    <w:left w:val="nil"/>
                    <w:bottom w:val="single" w:sz="8" w:space="0" w:color="auto"/>
                    <w:right w:val="single" w:sz="8" w:space="0" w:color="auto"/>
                  </w:tcBorders>
                  <w:shd w:val="clear" w:color="auto" w:fill="FFFFFF" w:themeFill="background1"/>
                  <w:vAlign w:val="center"/>
                  <w:hideMark/>
                </w:tcPr>
                <w:p w14:paraId="0ABBAB1E"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56,91</w:t>
                  </w:r>
                </w:p>
              </w:tc>
              <w:tc>
                <w:tcPr>
                  <w:tcW w:w="1784" w:type="dxa"/>
                  <w:tcBorders>
                    <w:top w:val="nil"/>
                    <w:left w:val="nil"/>
                    <w:bottom w:val="single" w:sz="8" w:space="0" w:color="auto"/>
                    <w:right w:val="single" w:sz="8" w:space="0" w:color="auto"/>
                  </w:tcBorders>
                  <w:shd w:val="clear" w:color="auto" w:fill="FFFFFF" w:themeFill="background1"/>
                  <w:vAlign w:val="center"/>
                  <w:hideMark/>
                </w:tcPr>
                <w:p w14:paraId="5CA0502D"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21</w:t>
                  </w:r>
                </w:p>
              </w:tc>
            </w:tr>
          </w:tbl>
          <w:p w14:paraId="1E01B300" w14:textId="77777777" w:rsidR="00497E68" w:rsidRPr="000B55A9" w:rsidRDefault="00497E68" w:rsidP="00520DA7">
            <w:pPr>
              <w:pStyle w:val="ListParagraph"/>
              <w:tabs>
                <w:tab w:val="left" w:pos="301"/>
              </w:tabs>
              <w:ind w:left="18" w:right="111"/>
              <w:jc w:val="both"/>
            </w:pPr>
          </w:p>
          <w:p w14:paraId="423CCF3B" w14:textId="77777777" w:rsidR="00497E68" w:rsidRPr="000B55A9" w:rsidRDefault="00497E68" w:rsidP="00520DA7">
            <w:pPr>
              <w:tabs>
                <w:tab w:val="left" w:pos="473"/>
              </w:tabs>
              <w:ind w:right="111"/>
              <w:jc w:val="both"/>
              <w:rPr>
                <w:rFonts w:eastAsia="Times New Roman" w:cs="Times New Roman"/>
                <w:color w:val="000000"/>
                <w:sz w:val="24"/>
                <w:szCs w:val="24"/>
                <w:lang w:eastAsia="lv-LV"/>
              </w:rPr>
            </w:pPr>
            <w:r w:rsidRPr="000B55A9">
              <w:rPr>
                <w:rFonts w:eastAsia="Times New Roman" w:cs="Times New Roman"/>
                <w:color w:val="000000"/>
                <w:sz w:val="24"/>
                <w:szCs w:val="24"/>
                <w:lang w:eastAsia="lv-LV"/>
              </w:rPr>
              <w:t xml:space="preserve">Rapšu sēklu eļļa un biodīzeļdegviela, kas iegūta no rapšu sēklu eļļas, ko izmanto kā kurināmo, akcīzes nodokļa deklarācijās tiek uzskaitīta kopā ar rapšu sēklu eļļu un biodīzeļdegvielu, kas iegūta no rapšu sēklu eļļas, ko izmanto kā degvielu (degviela B100), savukārt </w:t>
            </w:r>
            <w:proofErr w:type="spellStart"/>
            <w:r w:rsidRPr="000B55A9">
              <w:rPr>
                <w:rFonts w:cs="Times New Roman"/>
                <w:sz w:val="24"/>
                <w:szCs w:val="24"/>
              </w:rPr>
              <w:t>p</w:t>
            </w:r>
            <w:r w:rsidRPr="000B55A9">
              <w:rPr>
                <w:rFonts w:eastAsia="Times New Roman" w:cs="Times New Roman"/>
                <w:color w:val="000000"/>
                <w:sz w:val="24"/>
                <w:szCs w:val="24"/>
                <w:lang w:eastAsia="lv-LV"/>
              </w:rPr>
              <w:t>arafinizētā</w:t>
            </w:r>
            <w:proofErr w:type="spellEnd"/>
            <w:r w:rsidRPr="000B55A9">
              <w:rPr>
                <w:rFonts w:eastAsia="Times New Roman" w:cs="Times New Roman"/>
                <w:color w:val="000000"/>
                <w:sz w:val="24"/>
                <w:szCs w:val="24"/>
                <w:lang w:eastAsia="lv-LV"/>
              </w:rPr>
              <w:t xml:space="preserve"> dīzeļdegviela, kas iegūta no biomasas, ko izmanto kā kurināmo, netiek atsevišķi uzskaitīta, līdz </w:t>
            </w:r>
            <w:r w:rsidRPr="000B55A9">
              <w:rPr>
                <w:rFonts w:eastAsia="Times New Roman" w:cs="Times New Roman"/>
                <w:sz w:val="24"/>
                <w:szCs w:val="24"/>
                <w:lang w:eastAsia="lv-LV"/>
              </w:rPr>
              <w:t>ar to nav zināms patēriņam nodotais minēto produktu apjoms un fiskālā ietekme no to likmju izmaiņām nav nosakāma.</w:t>
            </w:r>
          </w:p>
          <w:p w14:paraId="31E6E82C" w14:textId="77777777" w:rsidR="00497E68" w:rsidRPr="000B55A9" w:rsidRDefault="00497E68" w:rsidP="00520DA7">
            <w:pPr>
              <w:tabs>
                <w:tab w:val="left" w:pos="473"/>
              </w:tabs>
              <w:ind w:right="111"/>
              <w:jc w:val="both"/>
              <w:rPr>
                <w:rFonts w:cs="Times New Roman"/>
                <w:sz w:val="24"/>
                <w:szCs w:val="24"/>
              </w:rPr>
            </w:pPr>
          </w:p>
          <w:p w14:paraId="02659C61" w14:textId="77777777" w:rsidR="00497E68" w:rsidRPr="000B55A9" w:rsidRDefault="00497E68" w:rsidP="00520DA7">
            <w:pPr>
              <w:tabs>
                <w:tab w:val="left" w:pos="473"/>
              </w:tabs>
              <w:ind w:right="111"/>
              <w:jc w:val="both"/>
              <w:rPr>
                <w:rFonts w:cs="Times New Roman"/>
                <w:sz w:val="24"/>
                <w:szCs w:val="24"/>
              </w:rPr>
            </w:pPr>
            <w:r w:rsidRPr="000B55A9">
              <w:rPr>
                <w:rFonts w:cs="Times New Roman"/>
                <w:sz w:val="24"/>
                <w:szCs w:val="24"/>
              </w:rPr>
              <w:t xml:space="preserve">Saskaņā ar Valsts ieņēmumu dienesta sniegto informāciju </w:t>
            </w:r>
            <w:r>
              <w:rPr>
                <w:rFonts w:cs="Times New Roman"/>
                <w:sz w:val="24"/>
                <w:szCs w:val="24"/>
              </w:rPr>
              <w:t xml:space="preserve">2016. – </w:t>
            </w:r>
            <w:r w:rsidRPr="000B55A9">
              <w:rPr>
                <w:rFonts w:cs="Times New Roman"/>
                <w:sz w:val="24"/>
                <w:szCs w:val="24"/>
              </w:rPr>
              <w:t>201</w:t>
            </w:r>
            <w:r>
              <w:rPr>
                <w:rFonts w:cs="Times New Roman"/>
                <w:sz w:val="24"/>
                <w:szCs w:val="24"/>
              </w:rPr>
              <w:t>8</w:t>
            </w:r>
            <w:r w:rsidRPr="000B55A9">
              <w:rPr>
                <w:rFonts w:cs="Times New Roman"/>
                <w:sz w:val="24"/>
                <w:szCs w:val="24"/>
              </w:rPr>
              <w:t xml:space="preserve">. gadā patēriņam </w:t>
            </w:r>
            <w:r>
              <w:rPr>
                <w:rFonts w:cs="Times New Roman"/>
                <w:sz w:val="24"/>
                <w:szCs w:val="24"/>
              </w:rPr>
              <w:t xml:space="preserve">vidēji gadā </w:t>
            </w:r>
            <w:r w:rsidRPr="000B55A9">
              <w:rPr>
                <w:rFonts w:cs="Times New Roman"/>
                <w:sz w:val="24"/>
                <w:szCs w:val="24"/>
              </w:rPr>
              <w:t>nodoti:</w:t>
            </w:r>
          </w:p>
          <w:p w14:paraId="0F2CF827" w14:textId="77777777" w:rsidR="00497E68" w:rsidRPr="000B55A9" w:rsidRDefault="00497E68" w:rsidP="00520DA7">
            <w:pPr>
              <w:pStyle w:val="ListParagraph"/>
              <w:numPr>
                <w:ilvl w:val="0"/>
                <w:numId w:val="10"/>
              </w:numPr>
              <w:tabs>
                <w:tab w:val="left" w:pos="473"/>
              </w:tabs>
              <w:ind w:right="111"/>
              <w:jc w:val="both"/>
            </w:pPr>
            <w:r w:rsidRPr="000B55A9">
              <w:t>2</w:t>
            </w:r>
            <w:r>
              <w:t>0</w:t>
            </w:r>
            <w:r w:rsidRPr="000B55A9">
              <w:t> </w:t>
            </w:r>
            <w:r>
              <w:t>387</w:t>
            </w:r>
            <w:r w:rsidRPr="000B55A9">
              <w:t>,</w:t>
            </w:r>
            <w:r>
              <w:t>5</w:t>
            </w:r>
            <w:r w:rsidRPr="000B55A9">
              <w:t xml:space="preserve"> tūkst. litri naftas produktu, kas marķēti un tiek izmantoti kā kurināmais; </w:t>
            </w:r>
          </w:p>
          <w:p w14:paraId="4B38AB83" w14:textId="77777777" w:rsidR="00497E68" w:rsidRPr="000B55A9" w:rsidRDefault="00497E68" w:rsidP="00520DA7">
            <w:pPr>
              <w:pStyle w:val="ListParagraph"/>
              <w:numPr>
                <w:ilvl w:val="0"/>
                <w:numId w:val="10"/>
              </w:numPr>
              <w:tabs>
                <w:tab w:val="left" w:pos="473"/>
              </w:tabs>
              <w:ind w:right="111"/>
              <w:jc w:val="both"/>
              <w:rPr>
                <w:color w:val="000000"/>
              </w:rPr>
            </w:pPr>
            <w:r w:rsidRPr="000B55A9">
              <w:t>13 </w:t>
            </w:r>
            <w:r>
              <w:t>256</w:t>
            </w:r>
            <w:r w:rsidRPr="000B55A9">
              <w:t>,</w:t>
            </w:r>
            <w:r>
              <w:t>2</w:t>
            </w:r>
            <w:r w:rsidRPr="000B55A9">
              <w:t xml:space="preserve"> tūkst. litri naftas produktu, kas marķēti un </w:t>
            </w:r>
            <w:r w:rsidRPr="000B55A9">
              <w:rPr>
                <w:color w:val="000000"/>
              </w:rPr>
              <w:t xml:space="preserve">satur biodegvielu vismaz 5% un izmantoti kā kurināmais. </w:t>
            </w:r>
          </w:p>
          <w:p w14:paraId="5818AC09" w14:textId="77777777" w:rsidR="00497E68" w:rsidRPr="000B55A9" w:rsidRDefault="00497E68" w:rsidP="00520DA7">
            <w:pPr>
              <w:pStyle w:val="ListParagraph"/>
              <w:tabs>
                <w:tab w:val="left" w:pos="473"/>
              </w:tabs>
              <w:ind w:right="111"/>
              <w:jc w:val="both"/>
              <w:rPr>
                <w:color w:val="000000"/>
              </w:rPr>
            </w:pPr>
          </w:p>
          <w:p w14:paraId="458CC13E" w14:textId="77777777" w:rsidR="00497E68" w:rsidRPr="000B55A9" w:rsidRDefault="00497E68" w:rsidP="00520DA7">
            <w:pPr>
              <w:tabs>
                <w:tab w:val="left" w:pos="473"/>
              </w:tabs>
              <w:ind w:right="111"/>
              <w:jc w:val="both"/>
              <w:rPr>
                <w:rFonts w:eastAsia="Times New Roman" w:cs="Times New Roman"/>
                <w:color w:val="000000"/>
                <w:sz w:val="24"/>
                <w:szCs w:val="24"/>
                <w:lang w:eastAsia="lv-LV"/>
              </w:rPr>
            </w:pPr>
            <w:r w:rsidRPr="000B55A9">
              <w:rPr>
                <w:rFonts w:eastAsia="Times New Roman" w:cs="Times New Roman"/>
                <w:color w:val="000000"/>
                <w:sz w:val="24"/>
                <w:szCs w:val="24"/>
                <w:lang w:eastAsia="lv-LV"/>
              </w:rPr>
              <w:t>Fiskālā ietekme no akcīzes nodokļa likmju paaugstināšanas naftas produktiem, kas marķēti un tiek izmantoti kā kurināmais, un naftas produktiem, kas marķēti un satur biodegvielu vismaz 5% un tiek izmantoti kā kurināmais:</w:t>
            </w:r>
          </w:p>
          <w:p w14:paraId="43DE378C" w14:textId="77777777" w:rsidR="00497E68" w:rsidRPr="002E1357" w:rsidRDefault="00497E68" w:rsidP="00520DA7">
            <w:pPr>
              <w:tabs>
                <w:tab w:val="left" w:pos="473"/>
              </w:tabs>
              <w:ind w:right="111"/>
              <w:jc w:val="both"/>
              <w:rPr>
                <w:rFonts w:eastAsia="Times New Roman" w:cs="Times New Roman"/>
                <w:color w:val="000000"/>
                <w:sz w:val="20"/>
                <w:szCs w:val="24"/>
                <w:lang w:eastAsia="lv-LV"/>
              </w:rPr>
            </w:pPr>
          </w:p>
          <w:tbl>
            <w:tblPr>
              <w:tblW w:w="6677" w:type="dxa"/>
              <w:tblLayout w:type="fixed"/>
              <w:tblLook w:val="04A0" w:firstRow="1" w:lastRow="0" w:firstColumn="1" w:lastColumn="0" w:noHBand="0" w:noVBand="1"/>
            </w:tblPr>
            <w:tblGrid>
              <w:gridCol w:w="2821"/>
              <w:gridCol w:w="1468"/>
              <w:gridCol w:w="1194"/>
              <w:gridCol w:w="1194"/>
            </w:tblGrid>
            <w:tr w:rsidR="00497E68" w:rsidRPr="000B55A9" w14:paraId="6800875B" w14:textId="77777777" w:rsidTr="00520DA7">
              <w:trPr>
                <w:trHeight w:val="62"/>
              </w:trPr>
              <w:tc>
                <w:tcPr>
                  <w:tcW w:w="282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F05CF66" w14:textId="77777777" w:rsidR="00497E68" w:rsidRPr="000B55A9" w:rsidRDefault="00497E68" w:rsidP="00520DA7">
                  <w:pPr>
                    <w:spacing w:after="0" w:line="240" w:lineRule="auto"/>
                    <w:rPr>
                      <w:rFonts w:ascii="Times New Roman" w:eastAsia="Times New Roman" w:hAnsi="Times New Roman" w:cs="Times New Roman"/>
                      <w:i/>
                      <w:iCs/>
                      <w:color w:val="000000"/>
                      <w:sz w:val="24"/>
                      <w:szCs w:val="24"/>
                      <w:lang w:eastAsia="lv-LV"/>
                    </w:rPr>
                  </w:pPr>
                  <w:proofErr w:type="spellStart"/>
                  <w:r w:rsidRPr="000B55A9">
                    <w:rPr>
                      <w:rFonts w:ascii="Times New Roman" w:eastAsia="Times New Roman" w:hAnsi="Times New Roman" w:cs="Times New Roman"/>
                      <w:i/>
                      <w:iCs/>
                      <w:color w:val="000000"/>
                      <w:sz w:val="24"/>
                      <w:szCs w:val="24"/>
                      <w:lang w:eastAsia="lv-LV"/>
                    </w:rPr>
                    <w:t>euro</w:t>
                  </w:r>
                  <w:proofErr w:type="spellEnd"/>
                </w:p>
              </w:tc>
              <w:tc>
                <w:tcPr>
                  <w:tcW w:w="1468"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5CF25837" w14:textId="4D52D0CA" w:rsidR="00497E68" w:rsidRPr="000B55A9" w:rsidRDefault="00497E68" w:rsidP="008E44AD">
                  <w:pPr>
                    <w:spacing w:after="0" w:line="240" w:lineRule="auto"/>
                    <w:jc w:val="center"/>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20</w:t>
                  </w:r>
                  <w:r w:rsidR="008E44AD">
                    <w:rPr>
                      <w:rFonts w:ascii="Times New Roman" w:eastAsia="Times New Roman" w:hAnsi="Times New Roman" w:cs="Times New Roman"/>
                      <w:b/>
                      <w:color w:val="000000"/>
                      <w:sz w:val="24"/>
                      <w:szCs w:val="24"/>
                      <w:lang w:eastAsia="lv-LV"/>
                    </w:rPr>
                    <w:t>20</w:t>
                  </w:r>
                </w:p>
              </w:tc>
              <w:tc>
                <w:tcPr>
                  <w:tcW w:w="119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582F1FDA" w14:textId="09C9433B" w:rsidR="00497E68" w:rsidRPr="000B55A9" w:rsidRDefault="00497E68" w:rsidP="008E44AD">
                  <w:pPr>
                    <w:spacing w:after="0" w:line="240" w:lineRule="auto"/>
                    <w:jc w:val="center"/>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202</w:t>
                  </w:r>
                  <w:r w:rsidR="008E44AD">
                    <w:rPr>
                      <w:rFonts w:ascii="Times New Roman" w:eastAsia="Times New Roman" w:hAnsi="Times New Roman" w:cs="Times New Roman"/>
                      <w:b/>
                      <w:color w:val="000000"/>
                      <w:sz w:val="24"/>
                      <w:szCs w:val="24"/>
                      <w:lang w:eastAsia="lv-LV"/>
                    </w:rPr>
                    <w:t>1</w:t>
                  </w:r>
                </w:p>
              </w:tc>
              <w:tc>
                <w:tcPr>
                  <w:tcW w:w="119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22E5E14A" w14:textId="154BA5D8" w:rsidR="00497E68" w:rsidRPr="000B55A9" w:rsidRDefault="00497E68" w:rsidP="008E44AD">
                  <w:pPr>
                    <w:spacing w:after="0" w:line="240" w:lineRule="auto"/>
                    <w:jc w:val="center"/>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202</w:t>
                  </w:r>
                  <w:r w:rsidR="008E44AD">
                    <w:rPr>
                      <w:rFonts w:ascii="Times New Roman" w:eastAsia="Times New Roman" w:hAnsi="Times New Roman" w:cs="Times New Roman"/>
                      <w:b/>
                      <w:color w:val="000000"/>
                      <w:sz w:val="24"/>
                      <w:szCs w:val="24"/>
                      <w:lang w:eastAsia="lv-LV"/>
                    </w:rPr>
                    <w:t>2</w:t>
                  </w:r>
                </w:p>
              </w:tc>
            </w:tr>
            <w:tr w:rsidR="00497E68" w:rsidRPr="000B55A9" w14:paraId="540F3F11" w14:textId="77777777" w:rsidTr="00520DA7">
              <w:trPr>
                <w:trHeight w:val="181"/>
              </w:trPr>
              <w:tc>
                <w:tcPr>
                  <w:tcW w:w="2821" w:type="dxa"/>
                  <w:tcBorders>
                    <w:top w:val="nil"/>
                    <w:left w:val="single" w:sz="4" w:space="0" w:color="auto"/>
                    <w:bottom w:val="single" w:sz="4" w:space="0" w:color="auto"/>
                    <w:right w:val="single" w:sz="4" w:space="0" w:color="auto"/>
                  </w:tcBorders>
                  <w:shd w:val="clear" w:color="auto" w:fill="auto"/>
                  <w:noWrap/>
                  <w:vAlign w:val="bottom"/>
                  <w:hideMark/>
                </w:tcPr>
                <w:p w14:paraId="7755A617" w14:textId="77777777" w:rsidR="00497E68" w:rsidRPr="000B55A9" w:rsidRDefault="00497E68" w:rsidP="00520DA7">
                  <w:pPr>
                    <w:spacing w:after="0" w:line="240" w:lineRule="auto"/>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 xml:space="preserve">KOPĀ, t.sk., </w:t>
                  </w:r>
                </w:p>
              </w:tc>
              <w:tc>
                <w:tcPr>
                  <w:tcW w:w="1468" w:type="dxa"/>
                  <w:tcBorders>
                    <w:top w:val="nil"/>
                    <w:left w:val="nil"/>
                    <w:bottom w:val="single" w:sz="4" w:space="0" w:color="auto"/>
                    <w:right w:val="single" w:sz="4" w:space="0" w:color="auto"/>
                  </w:tcBorders>
                  <w:shd w:val="clear" w:color="auto" w:fill="auto"/>
                  <w:noWrap/>
                  <w:vAlign w:val="bottom"/>
                  <w:hideMark/>
                </w:tcPr>
                <w:p w14:paraId="2BD1C01C" w14:textId="77777777" w:rsidR="00497E68" w:rsidRPr="000B55A9" w:rsidRDefault="00497E68" w:rsidP="00520DA7">
                  <w:pPr>
                    <w:spacing w:after="0" w:line="240" w:lineRule="auto"/>
                    <w:jc w:val="center"/>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+6</w:t>
                  </w:r>
                  <w:r>
                    <w:rPr>
                      <w:rFonts w:ascii="Times New Roman" w:eastAsia="Times New Roman" w:hAnsi="Times New Roman" w:cs="Times New Roman"/>
                      <w:b/>
                      <w:color w:val="000000"/>
                      <w:sz w:val="24"/>
                      <w:szCs w:val="24"/>
                      <w:lang w:eastAsia="lv-LV"/>
                    </w:rPr>
                    <w:t>38</w:t>
                  </w:r>
                  <w:r w:rsidRPr="000B55A9">
                    <w:rPr>
                      <w:rFonts w:ascii="Times New Roman" w:eastAsia="Times New Roman" w:hAnsi="Times New Roman" w:cs="Times New Roman"/>
                      <w:b/>
                      <w:color w:val="000000"/>
                      <w:sz w:val="24"/>
                      <w:szCs w:val="24"/>
                      <w:lang w:eastAsia="lv-LV"/>
                    </w:rPr>
                    <w:t xml:space="preserve"> </w:t>
                  </w:r>
                  <w:r>
                    <w:rPr>
                      <w:rFonts w:ascii="Times New Roman" w:eastAsia="Times New Roman" w:hAnsi="Times New Roman" w:cs="Times New Roman"/>
                      <w:b/>
                      <w:color w:val="000000"/>
                      <w:sz w:val="24"/>
                      <w:szCs w:val="24"/>
                      <w:lang w:eastAsia="lv-LV"/>
                    </w:rPr>
                    <w:t>6</w:t>
                  </w:r>
                  <w:r w:rsidRPr="000B55A9">
                    <w:rPr>
                      <w:rFonts w:ascii="Times New Roman" w:eastAsia="Times New Roman" w:hAnsi="Times New Roman" w:cs="Times New Roman"/>
                      <w:b/>
                      <w:color w:val="000000"/>
                      <w:sz w:val="24"/>
                      <w:szCs w:val="24"/>
                      <w:lang w:eastAsia="lv-LV"/>
                    </w:rPr>
                    <w:t>00</w:t>
                  </w:r>
                </w:p>
              </w:tc>
              <w:tc>
                <w:tcPr>
                  <w:tcW w:w="1194" w:type="dxa"/>
                  <w:tcBorders>
                    <w:top w:val="nil"/>
                    <w:left w:val="nil"/>
                    <w:bottom w:val="single" w:sz="4" w:space="0" w:color="auto"/>
                    <w:right w:val="single" w:sz="4" w:space="0" w:color="auto"/>
                  </w:tcBorders>
                  <w:shd w:val="clear" w:color="auto" w:fill="auto"/>
                  <w:noWrap/>
                  <w:vAlign w:val="bottom"/>
                  <w:hideMark/>
                </w:tcPr>
                <w:p w14:paraId="28C3C079" w14:textId="77777777" w:rsidR="00497E68" w:rsidRPr="000B55A9" w:rsidRDefault="00497E68" w:rsidP="00520DA7">
                  <w:pPr>
                    <w:spacing w:after="0" w:line="240" w:lineRule="auto"/>
                    <w:jc w:val="center"/>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w:t>
                  </w:r>
                  <w:r>
                    <w:rPr>
                      <w:rFonts w:ascii="Times New Roman" w:eastAsia="Times New Roman" w:hAnsi="Times New Roman" w:cs="Times New Roman"/>
                      <w:b/>
                      <w:color w:val="000000"/>
                      <w:sz w:val="24"/>
                      <w:szCs w:val="24"/>
                      <w:lang w:eastAsia="lv-LV"/>
                    </w:rPr>
                    <w:t>696</w:t>
                  </w:r>
                  <w:r w:rsidRPr="000B55A9">
                    <w:rPr>
                      <w:rFonts w:ascii="Times New Roman" w:eastAsia="Times New Roman" w:hAnsi="Times New Roman" w:cs="Times New Roman"/>
                      <w:b/>
                      <w:color w:val="000000"/>
                      <w:sz w:val="24"/>
                      <w:szCs w:val="24"/>
                      <w:lang w:eastAsia="lv-LV"/>
                    </w:rPr>
                    <w:t xml:space="preserve"> </w:t>
                  </w:r>
                  <w:r>
                    <w:rPr>
                      <w:rFonts w:ascii="Times New Roman" w:eastAsia="Times New Roman" w:hAnsi="Times New Roman" w:cs="Times New Roman"/>
                      <w:b/>
                      <w:color w:val="000000"/>
                      <w:sz w:val="24"/>
                      <w:szCs w:val="24"/>
                      <w:lang w:eastAsia="lv-LV"/>
                    </w:rPr>
                    <w:t>3</w:t>
                  </w:r>
                  <w:r w:rsidRPr="000B55A9">
                    <w:rPr>
                      <w:rFonts w:ascii="Times New Roman" w:eastAsia="Times New Roman" w:hAnsi="Times New Roman" w:cs="Times New Roman"/>
                      <w:b/>
                      <w:color w:val="000000"/>
                      <w:sz w:val="24"/>
                      <w:szCs w:val="24"/>
                      <w:lang w:eastAsia="lv-LV"/>
                    </w:rPr>
                    <w:t>00</w:t>
                  </w:r>
                </w:p>
              </w:tc>
              <w:tc>
                <w:tcPr>
                  <w:tcW w:w="1194" w:type="dxa"/>
                  <w:tcBorders>
                    <w:top w:val="nil"/>
                    <w:left w:val="nil"/>
                    <w:bottom w:val="single" w:sz="4" w:space="0" w:color="auto"/>
                    <w:right w:val="single" w:sz="4" w:space="0" w:color="auto"/>
                  </w:tcBorders>
                  <w:shd w:val="clear" w:color="auto" w:fill="auto"/>
                  <w:noWrap/>
                  <w:vAlign w:val="bottom"/>
                  <w:hideMark/>
                </w:tcPr>
                <w:p w14:paraId="78BBB4AD" w14:textId="77777777" w:rsidR="00497E68" w:rsidRPr="000B55A9" w:rsidRDefault="00497E68" w:rsidP="00520DA7">
                  <w:pPr>
                    <w:spacing w:after="0" w:line="240" w:lineRule="auto"/>
                    <w:jc w:val="center"/>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w:t>
                  </w:r>
                  <w:r>
                    <w:rPr>
                      <w:rFonts w:ascii="Times New Roman" w:eastAsia="Times New Roman" w:hAnsi="Times New Roman" w:cs="Times New Roman"/>
                      <w:b/>
                      <w:color w:val="000000"/>
                      <w:sz w:val="24"/>
                      <w:szCs w:val="24"/>
                      <w:lang w:eastAsia="lv-LV"/>
                    </w:rPr>
                    <w:t>696</w:t>
                  </w:r>
                  <w:r w:rsidRPr="000B55A9">
                    <w:rPr>
                      <w:rFonts w:ascii="Times New Roman" w:eastAsia="Times New Roman" w:hAnsi="Times New Roman" w:cs="Times New Roman"/>
                      <w:b/>
                      <w:color w:val="000000"/>
                      <w:sz w:val="24"/>
                      <w:szCs w:val="24"/>
                      <w:lang w:eastAsia="lv-LV"/>
                    </w:rPr>
                    <w:t xml:space="preserve"> </w:t>
                  </w:r>
                  <w:r>
                    <w:rPr>
                      <w:rFonts w:ascii="Times New Roman" w:eastAsia="Times New Roman" w:hAnsi="Times New Roman" w:cs="Times New Roman"/>
                      <w:b/>
                      <w:color w:val="000000"/>
                      <w:sz w:val="24"/>
                      <w:szCs w:val="24"/>
                      <w:lang w:eastAsia="lv-LV"/>
                    </w:rPr>
                    <w:t>3</w:t>
                  </w:r>
                  <w:r w:rsidRPr="000B55A9">
                    <w:rPr>
                      <w:rFonts w:ascii="Times New Roman" w:eastAsia="Times New Roman" w:hAnsi="Times New Roman" w:cs="Times New Roman"/>
                      <w:b/>
                      <w:color w:val="000000"/>
                      <w:sz w:val="24"/>
                      <w:szCs w:val="24"/>
                      <w:lang w:eastAsia="lv-LV"/>
                    </w:rPr>
                    <w:t>00</w:t>
                  </w:r>
                </w:p>
              </w:tc>
            </w:tr>
            <w:tr w:rsidR="00497E68" w:rsidRPr="000B55A9" w14:paraId="79AA87BB" w14:textId="77777777" w:rsidTr="00520DA7">
              <w:trPr>
                <w:trHeight w:val="125"/>
              </w:trPr>
              <w:tc>
                <w:tcPr>
                  <w:tcW w:w="2821" w:type="dxa"/>
                  <w:tcBorders>
                    <w:top w:val="nil"/>
                    <w:left w:val="single" w:sz="4" w:space="0" w:color="auto"/>
                    <w:bottom w:val="single" w:sz="4" w:space="0" w:color="auto"/>
                    <w:right w:val="single" w:sz="4" w:space="0" w:color="auto"/>
                  </w:tcBorders>
                  <w:shd w:val="clear" w:color="auto" w:fill="auto"/>
                  <w:noWrap/>
                  <w:vAlign w:val="center"/>
                  <w:hideMark/>
                </w:tcPr>
                <w:p w14:paraId="67F35081" w14:textId="77777777" w:rsidR="00497E68" w:rsidRPr="000B55A9" w:rsidRDefault="00497E68" w:rsidP="00520DA7">
                  <w:pPr>
                    <w:spacing w:after="0" w:line="240" w:lineRule="auto"/>
                    <w:jc w:val="right"/>
                    <w:rPr>
                      <w:rFonts w:ascii="Times New Roman" w:eastAsia="Times New Roman" w:hAnsi="Times New Roman" w:cs="Times New Roman"/>
                      <w:i/>
                      <w:iCs/>
                      <w:color w:val="000000"/>
                      <w:sz w:val="24"/>
                      <w:szCs w:val="24"/>
                      <w:lang w:eastAsia="lv-LV"/>
                    </w:rPr>
                  </w:pPr>
                  <w:r w:rsidRPr="000B55A9">
                    <w:rPr>
                      <w:rFonts w:ascii="Times New Roman" w:eastAsia="Times New Roman" w:hAnsi="Times New Roman" w:cs="Times New Roman"/>
                      <w:i/>
                      <w:iCs/>
                      <w:color w:val="000000"/>
                      <w:sz w:val="24"/>
                      <w:szCs w:val="24"/>
                      <w:lang w:eastAsia="lv-LV"/>
                    </w:rPr>
                    <w:t>Akcīzes nodoklis</w:t>
                  </w:r>
                </w:p>
              </w:tc>
              <w:tc>
                <w:tcPr>
                  <w:tcW w:w="1468" w:type="dxa"/>
                  <w:tcBorders>
                    <w:top w:val="nil"/>
                    <w:left w:val="nil"/>
                    <w:bottom w:val="single" w:sz="4" w:space="0" w:color="auto"/>
                    <w:right w:val="single" w:sz="4" w:space="0" w:color="auto"/>
                  </w:tcBorders>
                  <w:shd w:val="clear" w:color="auto" w:fill="auto"/>
                  <w:noWrap/>
                  <w:vAlign w:val="bottom"/>
                  <w:hideMark/>
                </w:tcPr>
                <w:p w14:paraId="7C646330" w14:textId="77777777" w:rsidR="00497E68" w:rsidRPr="000B55A9" w:rsidRDefault="00497E68" w:rsidP="00520DA7">
                  <w:pPr>
                    <w:spacing w:after="0" w:line="240" w:lineRule="auto"/>
                    <w:jc w:val="center"/>
                    <w:rPr>
                      <w:rFonts w:ascii="Times New Roman" w:eastAsia="Times New Roman" w:hAnsi="Times New Roman" w:cs="Times New Roman"/>
                      <w:i/>
                      <w:color w:val="000000"/>
                      <w:sz w:val="24"/>
                      <w:szCs w:val="24"/>
                      <w:lang w:eastAsia="lv-LV"/>
                    </w:rPr>
                  </w:pPr>
                  <w:r w:rsidRPr="000B55A9">
                    <w:rPr>
                      <w:rFonts w:ascii="Times New Roman" w:eastAsia="Times New Roman" w:hAnsi="Times New Roman" w:cs="Times New Roman"/>
                      <w:i/>
                      <w:color w:val="000000"/>
                      <w:sz w:val="24"/>
                      <w:szCs w:val="24"/>
                      <w:lang w:eastAsia="lv-LV"/>
                    </w:rPr>
                    <w:t>+5</w:t>
                  </w:r>
                  <w:r>
                    <w:rPr>
                      <w:rFonts w:ascii="Times New Roman" w:eastAsia="Times New Roman" w:hAnsi="Times New Roman" w:cs="Times New Roman"/>
                      <w:i/>
                      <w:color w:val="000000"/>
                      <w:sz w:val="24"/>
                      <w:szCs w:val="24"/>
                      <w:lang w:eastAsia="lv-LV"/>
                    </w:rPr>
                    <w:t>27</w:t>
                  </w:r>
                  <w:r w:rsidRPr="000B55A9">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6</w:t>
                  </w:r>
                  <w:r w:rsidRPr="000B55A9">
                    <w:rPr>
                      <w:rFonts w:ascii="Times New Roman" w:eastAsia="Times New Roman" w:hAnsi="Times New Roman" w:cs="Times New Roman"/>
                      <w:i/>
                      <w:color w:val="000000"/>
                      <w:sz w:val="24"/>
                      <w:szCs w:val="24"/>
                      <w:lang w:eastAsia="lv-LV"/>
                    </w:rPr>
                    <w:t>00</w:t>
                  </w:r>
                </w:p>
              </w:tc>
              <w:tc>
                <w:tcPr>
                  <w:tcW w:w="1194" w:type="dxa"/>
                  <w:tcBorders>
                    <w:top w:val="nil"/>
                    <w:left w:val="nil"/>
                    <w:bottom w:val="single" w:sz="4" w:space="0" w:color="auto"/>
                    <w:right w:val="single" w:sz="4" w:space="0" w:color="auto"/>
                  </w:tcBorders>
                  <w:shd w:val="clear" w:color="auto" w:fill="auto"/>
                  <w:noWrap/>
                  <w:vAlign w:val="bottom"/>
                  <w:hideMark/>
                </w:tcPr>
                <w:p w14:paraId="323E3215" w14:textId="77777777" w:rsidR="00497E68" w:rsidRPr="000B55A9" w:rsidRDefault="00497E68" w:rsidP="00520DA7">
                  <w:pPr>
                    <w:spacing w:after="0" w:line="240" w:lineRule="auto"/>
                    <w:jc w:val="center"/>
                    <w:rPr>
                      <w:rFonts w:ascii="Times New Roman" w:eastAsia="Times New Roman" w:hAnsi="Times New Roman" w:cs="Times New Roman"/>
                      <w:i/>
                      <w:color w:val="000000"/>
                      <w:sz w:val="24"/>
                      <w:szCs w:val="24"/>
                      <w:lang w:eastAsia="lv-LV"/>
                    </w:rPr>
                  </w:pPr>
                  <w:r w:rsidRPr="000B55A9">
                    <w:rPr>
                      <w:rFonts w:ascii="Times New Roman" w:eastAsia="Times New Roman" w:hAnsi="Times New Roman" w:cs="Times New Roman"/>
                      <w:i/>
                      <w:color w:val="000000"/>
                      <w:sz w:val="24"/>
                      <w:szCs w:val="24"/>
                      <w:lang w:eastAsia="lv-LV"/>
                    </w:rPr>
                    <w:t>+5</w:t>
                  </w:r>
                  <w:r>
                    <w:rPr>
                      <w:rFonts w:ascii="Times New Roman" w:eastAsia="Times New Roman" w:hAnsi="Times New Roman" w:cs="Times New Roman"/>
                      <w:i/>
                      <w:color w:val="000000"/>
                      <w:sz w:val="24"/>
                      <w:szCs w:val="24"/>
                      <w:lang w:eastAsia="lv-LV"/>
                    </w:rPr>
                    <w:t>75</w:t>
                  </w:r>
                  <w:r w:rsidRPr="000B55A9">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5</w:t>
                  </w:r>
                  <w:r w:rsidRPr="000B55A9">
                    <w:rPr>
                      <w:rFonts w:ascii="Times New Roman" w:eastAsia="Times New Roman" w:hAnsi="Times New Roman" w:cs="Times New Roman"/>
                      <w:i/>
                      <w:color w:val="000000"/>
                      <w:sz w:val="24"/>
                      <w:szCs w:val="24"/>
                      <w:lang w:eastAsia="lv-LV"/>
                    </w:rPr>
                    <w:t>00</w:t>
                  </w:r>
                </w:p>
              </w:tc>
              <w:tc>
                <w:tcPr>
                  <w:tcW w:w="1194" w:type="dxa"/>
                  <w:tcBorders>
                    <w:top w:val="nil"/>
                    <w:left w:val="nil"/>
                    <w:bottom w:val="single" w:sz="4" w:space="0" w:color="auto"/>
                    <w:right w:val="single" w:sz="4" w:space="0" w:color="auto"/>
                  </w:tcBorders>
                  <w:shd w:val="clear" w:color="auto" w:fill="auto"/>
                  <w:noWrap/>
                  <w:vAlign w:val="bottom"/>
                  <w:hideMark/>
                </w:tcPr>
                <w:p w14:paraId="17141D08" w14:textId="77777777" w:rsidR="00497E68" w:rsidRPr="000B55A9" w:rsidRDefault="00497E68" w:rsidP="00520DA7">
                  <w:pPr>
                    <w:spacing w:after="0" w:line="240" w:lineRule="auto"/>
                    <w:jc w:val="center"/>
                    <w:rPr>
                      <w:rFonts w:ascii="Times New Roman" w:eastAsia="Times New Roman" w:hAnsi="Times New Roman" w:cs="Times New Roman"/>
                      <w:i/>
                      <w:color w:val="000000"/>
                      <w:sz w:val="24"/>
                      <w:szCs w:val="24"/>
                      <w:lang w:eastAsia="lv-LV"/>
                    </w:rPr>
                  </w:pPr>
                  <w:r w:rsidRPr="000B55A9">
                    <w:rPr>
                      <w:rFonts w:ascii="Times New Roman" w:eastAsia="Times New Roman" w:hAnsi="Times New Roman" w:cs="Times New Roman"/>
                      <w:i/>
                      <w:color w:val="000000"/>
                      <w:sz w:val="24"/>
                      <w:szCs w:val="24"/>
                      <w:lang w:eastAsia="lv-LV"/>
                    </w:rPr>
                    <w:t>+5</w:t>
                  </w:r>
                  <w:r>
                    <w:rPr>
                      <w:rFonts w:ascii="Times New Roman" w:eastAsia="Times New Roman" w:hAnsi="Times New Roman" w:cs="Times New Roman"/>
                      <w:i/>
                      <w:color w:val="000000"/>
                      <w:sz w:val="24"/>
                      <w:szCs w:val="24"/>
                      <w:lang w:eastAsia="lv-LV"/>
                    </w:rPr>
                    <w:t>75</w:t>
                  </w:r>
                  <w:r w:rsidRPr="000B55A9">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5</w:t>
                  </w:r>
                  <w:r w:rsidRPr="000B55A9">
                    <w:rPr>
                      <w:rFonts w:ascii="Times New Roman" w:eastAsia="Times New Roman" w:hAnsi="Times New Roman" w:cs="Times New Roman"/>
                      <w:i/>
                      <w:color w:val="000000"/>
                      <w:sz w:val="24"/>
                      <w:szCs w:val="24"/>
                      <w:lang w:eastAsia="lv-LV"/>
                    </w:rPr>
                    <w:t>00</w:t>
                  </w:r>
                </w:p>
              </w:tc>
            </w:tr>
            <w:tr w:rsidR="00497E68" w:rsidRPr="000B55A9" w14:paraId="2DAC4B9B" w14:textId="77777777" w:rsidTr="00520DA7">
              <w:trPr>
                <w:trHeight w:val="173"/>
              </w:trPr>
              <w:tc>
                <w:tcPr>
                  <w:tcW w:w="2821" w:type="dxa"/>
                  <w:tcBorders>
                    <w:top w:val="nil"/>
                    <w:left w:val="single" w:sz="4" w:space="0" w:color="auto"/>
                    <w:bottom w:val="single" w:sz="4" w:space="0" w:color="auto"/>
                    <w:right w:val="single" w:sz="4" w:space="0" w:color="auto"/>
                  </w:tcBorders>
                  <w:shd w:val="clear" w:color="auto" w:fill="auto"/>
                  <w:noWrap/>
                  <w:vAlign w:val="center"/>
                  <w:hideMark/>
                </w:tcPr>
                <w:p w14:paraId="1E260A3F" w14:textId="77777777" w:rsidR="00497E68" w:rsidRPr="000B55A9" w:rsidRDefault="00497E68" w:rsidP="00520DA7">
                  <w:pPr>
                    <w:spacing w:after="0" w:line="240" w:lineRule="auto"/>
                    <w:jc w:val="right"/>
                    <w:rPr>
                      <w:rFonts w:ascii="Times New Roman" w:eastAsia="Times New Roman" w:hAnsi="Times New Roman" w:cs="Times New Roman"/>
                      <w:i/>
                      <w:iCs/>
                      <w:color w:val="000000"/>
                      <w:sz w:val="24"/>
                      <w:szCs w:val="24"/>
                      <w:lang w:eastAsia="lv-LV"/>
                    </w:rPr>
                  </w:pPr>
                  <w:r w:rsidRPr="000B55A9">
                    <w:rPr>
                      <w:rFonts w:ascii="Times New Roman" w:eastAsia="Times New Roman" w:hAnsi="Times New Roman" w:cs="Times New Roman"/>
                      <w:i/>
                      <w:iCs/>
                      <w:color w:val="000000"/>
                      <w:sz w:val="24"/>
                      <w:szCs w:val="24"/>
                      <w:lang w:eastAsia="lv-LV"/>
                    </w:rPr>
                    <w:t>Pievienotās vērtības nodoklis</w:t>
                  </w:r>
                </w:p>
              </w:tc>
              <w:tc>
                <w:tcPr>
                  <w:tcW w:w="1468" w:type="dxa"/>
                  <w:tcBorders>
                    <w:top w:val="nil"/>
                    <w:left w:val="nil"/>
                    <w:bottom w:val="single" w:sz="4" w:space="0" w:color="auto"/>
                    <w:right w:val="single" w:sz="4" w:space="0" w:color="auto"/>
                  </w:tcBorders>
                  <w:shd w:val="clear" w:color="auto" w:fill="auto"/>
                  <w:noWrap/>
                  <w:vAlign w:val="bottom"/>
                  <w:hideMark/>
                </w:tcPr>
                <w:p w14:paraId="3463C95C" w14:textId="77777777" w:rsidR="00497E68" w:rsidRPr="000B55A9" w:rsidRDefault="00497E68" w:rsidP="00520DA7">
                  <w:pPr>
                    <w:spacing w:after="0" w:line="240" w:lineRule="auto"/>
                    <w:jc w:val="center"/>
                    <w:rPr>
                      <w:rFonts w:ascii="Times New Roman" w:eastAsia="Times New Roman" w:hAnsi="Times New Roman" w:cs="Times New Roman"/>
                      <w:i/>
                      <w:color w:val="000000"/>
                      <w:sz w:val="24"/>
                      <w:szCs w:val="24"/>
                      <w:lang w:eastAsia="lv-LV"/>
                    </w:rPr>
                  </w:pPr>
                  <w:r w:rsidRPr="000B55A9">
                    <w:rPr>
                      <w:rFonts w:ascii="Times New Roman" w:eastAsia="Times New Roman" w:hAnsi="Times New Roman" w:cs="Times New Roman"/>
                      <w:i/>
                      <w:color w:val="000000"/>
                      <w:sz w:val="24"/>
                      <w:szCs w:val="24"/>
                      <w:lang w:eastAsia="lv-LV"/>
                    </w:rPr>
                    <w:t>+11</w:t>
                  </w:r>
                  <w:r>
                    <w:rPr>
                      <w:rFonts w:ascii="Times New Roman" w:eastAsia="Times New Roman" w:hAnsi="Times New Roman" w:cs="Times New Roman"/>
                      <w:i/>
                      <w:color w:val="000000"/>
                      <w:sz w:val="24"/>
                      <w:szCs w:val="24"/>
                      <w:lang w:eastAsia="lv-LV"/>
                    </w:rPr>
                    <w:t>1</w:t>
                  </w:r>
                  <w:r w:rsidRPr="000B55A9">
                    <w:rPr>
                      <w:rFonts w:ascii="Times New Roman" w:eastAsia="Times New Roman" w:hAnsi="Times New Roman" w:cs="Times New Roman"/>
                      <w:i/>
                      <w:color w:val="000000"/>
                      <w:sz w:val="24"/>
                      <w:szCs w:val="24"/>
                      <w:lang w:eastAsia="lv-LV"/>
                    </w:rPr>
                    <w:t xml:space="preserve"> 000</w:t>
                  </w:r>
                </w:p>
              </w:tc>
              <w:tc>
                <w:tcPr>
                  <w:tcW w:w="1194" w:type="dxa"/>
                  <w:tcBorders>
                    <w:top w:val="nil"/>
                    <w:left w:val="nil"/>
                    <w:bottom w:val="single" w:sz="4" w:space="0" w:color="auto"/>
                    <w:right w:val="single" w:sz="4" w:space="0" w:color="auto"/>
                  </w:tcBorders>
                  <w:shd w:val="clear" w:color="auto" w:fill="auto"/>
                  <w:noWrap/>
                  <w:vAlign w:val="bottom"/>
                  <w:hideMark/>
                </w:tcPr>
                <w:p w14:paraId="7330AA48" w14:textId="77777777" w:rsidR="00497E68" w:rsidRPr="000B55A9" w:rsidRDefault="00497E68" w:rsidP="00520DA7">
                  <w:pPr>
                    <w:spacing w:after="0" w:line="240" w:lineRule="auto"/>
                    <w:jc w:val="center"/>
                    <w:rPr>
                      <w:rFonts w:ascii="Times New Roman" w:eastAsia="Times New Roman" w:hAnsi="Times New Roman" w:cs="Times New Roman"/>
                      <w:i/>
                      <w:color w:val="000000"/>
                      <w:sz w:val="24"/>
                      <w:szCs w:val="24"/>
                      <w:lang w:eastAsia="lv-LV"/>
                    </w:rPr>
                  </w:pPr>
                  <w:r w:rsidRPr="000B55A9">
                    <w:rPr>
                      <w:rFonts w:ascii="Times New Roman" w:eastAsia="Times New Roman" w:hAnsi="Times New Roman" w:cs="Times New Roman"/>
                      <w:i/>
                      <w:color w:val="000000"/>
                      <w:sz w:val="24"/>
                      <w:szCs w:val="24"/>
                      <w:lang w:eastAsia="lv-LV"/>
                    </w:rPr>
                    <w:t>+12</w:t>
                  </w:r>
                  <w:r>
                    <w:rPr>
                      <w:rFonts w:ascii="Times New Roman" w:eastAsia="Times New Roman" w:hAnsi="Times New Roman" w:cs="Times New Roman"/>
                      <w:i/>
                      <w:color w:val="000000"/>
                      <w:sz w:val="24"/>
                      <w:szCs w:val="24"/>
                      <w:lang w:eastAsia="lv-LV"/>
                    </w:rPr>
                    <w:t>0</w:t>
                  </w:r>
                  <w:r w:rsidRPr="000B55A9">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8</w:t>
                  </w:r>
                  <w:r w:rsidRPr="000B55A9">
                    <w:rPr>
                      <w:rFonts w:ascii="Times New Roman" w:eastAsia="Times New Roman" w:hAnsi="Times New Roman" w:cs="Times New Roman"/>
                      <w:i/>
                      <w:color w:val="000000"/>
                      <w:sz w:val="24"/>
                      <w:szCs w:val="24"/>
                      <w:lang w:eastAsia="lv-LV"/>
                    </w:rPr>
                    <w:t>00</w:t>
                  </w:r>
                </w:p>
              </w:tc>
              <w:tc>
                <w:tcPr>
                  <w:tcW w:w="1194" w:type="dxa"/>
                  <w:tcBorders>
                    <w:top w:val="nil"/>
                    <w:left w:val="nil"/>
                    <w:bottom w:val="single" w:sz="4" w:space="0" w:color="auto"/>
                    <w:right w:val="single" w:sz="4" w:space="0" w:color="auto"/>
                  </w:tcBorders>
                  <w:shd w:val="clear" w:color="auto" w:fill="auto"/>
                  <w:noWrap/>
                  <w:vAlign w:val="bottom"/>
                  <w:hideMark/>
                </w:tcPr>
                <w:p w14:paraId="2D018085" w14:textId="77777777" w:rsidR="00497E68" w:rsidRPr="000B55A9" w:rsidRDefault="00497E68" w:rsidP="00520DA7">
                  <w:pPr>
                    <w:spacing w:after="0" w:line="240" w:lineRule="auto"/>
                    <w:jc w:val="center"/>
                    <w:rPr>
                      <w:rFonts w:ascii="Times New Roman" w:eastAsia="Times New Roman" w:hAnsi="Times New Roman" w:cs="Times New Roman"/>
                      <w:i/>
                      <w:color w:val="000000"/>
                      <w:sz w:val="24"/>
                      <w:szCs w:val="24"/>
                      <w:lang w:eastAsia="lv-LV"/>
                    </w:rPr>
                  </w:pPr>
                  <w:r w:rsidRPr="000B55A9">
                    <w:rPr>
                      <w:rFonts w:ascii="Times New Roman" w:eastAsia="Times New Roman" w:hAnsi="Times New Roman" w:cs="Times New Roman"/>
                      <w:i/>
                      <w:color w:val="000000"/>
                      <w:sz w:val="24"/>
                      <w:szCs w:val="24"/>
                      <w:lang w:eastAsia="lv-LV"/>
                    </w:rPr>
                    <w:t>+12</w:t>
                  </w:r>
                  <w:r>
                    <w:rPr>
                      <w:rFonts w:ascii="Times New Roman" w:eastAsia="Times New Roman" w:hAnsi="Times New Roman" w:cs="Times New Roman"/>
                      <w:i/>
                      <w:color w:val="000000"/>
                      <w:sz w:val="24"/>
                      <w:szCs w:val="24"/>
                      <w:lang w:eastAsia="lv-LV"/>
                    </w:rPr>
                    <w:t>0</w:t>
                  </w:r>
                  <w:r w:rsidRPr="000B55A9">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8</w:t>
                  </w:r>
                  <w:r w:rsidRPr="000B55A9">
                    <w:rPr>
                      <w:rFonts w:ascii="Times New Roman" w:eastAsia="Times New Roman" w:hAnsi="Times New Roman" w:cs="Times New Roman"/>
                      <w:i/>
                      <w:color w:val="000000"/>
                      <w:sz w:val="24"/>
                      <w:szCs w:val="24"/>
                      <w:lang w:eastAsia="lv-LV"/>
                    </w:rPr>
                    <w:t>00</w:t>
                  </w:r>
                </w:p>
              </w:tc>
            </w:tr>
          </w:tbl>
          <w:p w14:paraId="45DD3241" w14:textId="77777777" w:rsidR="00497E68" w:rsidRPr="002E1357" w:rsidRDefault="00497E68" w:rsidP="00520DA7">
            <w:pPr>
              <w:tabs>
                <w:tab w:val="left" w:pos="473"/>
              </w:tabs>
              <w:ind w:right="111"/>
              <w:jc w:val="both"/>
              <w:rPr>
                <w:rFonts w:eastAsia="Times New Roman" w:cs="Times New Roman"/>
                <w:color w:val="000000"/>
                <w:sz w:val="20"/>
                <w:szCs w:val="24"/>
                <w:lang w:eastAsia="lv-LV"/>
              </w:rPr>
            </w:pPr>
          </w:p>
          <w:p w14:paraId="51DDC340" w14:textId="77777777" w:rsidR="00497E68" w:rsidRPr="000B55A9" w:rsidRDefault="00497E68" w:rsidP="00520DA7">
            <w:pPr>
              <w:tabs>
                <w:tab w:val="left" w:pos="473"/>
              </w:tabs>
              <w:ind w:right="111"/>
              <w:jc w:val="both"/>
              <w:rPr>
                <w:rFonts w:eastAsia="Times New Roman" w:cs="Times New Roman"/>
                <w:color w:val="000000"/>
                <w:sz w:val="24"/>
                <w:szCs w:val="24"/>
                <w:lang w:eastAsia="lv-LV"/>
              </w:rPr>
            </w:pPr>
            <w:r w:rsidRPr="000B55A9">
              <w:rPr>
                <w:rFonts w:eastAsia="Times New Roman" w:cs="Times New Roman"/>
                <w:color w:val="000000"/>
                <w:sz w:val="24"/>
                <w:szCs w:val="24"/>
                <w:lang w:eastAsia="lv-LV"/>
              </w:rPr>
              <w:t xml:space="preserve">Aprēķinos izmantota iepriekš minētā informācija par naftas produktu, ko izmanto kā kurināmo, </w:t>
            </w:r>
            <w:r>
              <w:rPr>
                <w:rFonts w:eastAsia="Times New Roman" w:cs="Times New Roman"/>
                <w:color w:val="000000"/>
                <w:sz w:val="24"/>
                <w:szCs w:val="24"/>
                <w:lang w:eastAsia="lv-LV"/>
              </w:rPr>
              <w:t xml:space="preserve">vidējo </w:t>
            </w:r>
            <w:r w:rsidRPr="000B55A9">
              <w:rPr>
                <w:rFonts w:eastAsia="Times New Roman" w:cs="Times New Roman"/>
                <w:color w:val="000000"/>
                <w:sz w:val="24"/>
                <w:szCs w:val="24"/>
                <w:lang w:eastAsia="lv-LV"/>
              </w:rPr>
              <w:t>patēriņu 201</w:t>
            </w:r>
            <w:r>
              <w:rPr>
                <w:rFonts w:eastAsia="Times New Roman" w:cs="Times New Roman"/>
                <w:color w:val="000000"/>
                <w:sz w:val="24"/>
                <w:szCs w:val="24"/>
                <w:lang w:eastAsia="lv-LV"/>
              </w:rPr>
              <w:t>6. – 2018</w:t>
            </w:r>
            <w:r w:rsidRPr="000B55A9">
              <w:rPr>
                <w:rFonts w:eastAsia="Times New Roman" w:cs="Times New Roman"/>
                <w:color w:val="000000"/>
                <w:sz w:val="24"/>
                <w:szCs w:val="24"/>
                <w:lang w:eastAsia="lv-LV"/>
              </w:rPr>
              <w:t xml:space="preserve">.gadā. </w:t>
            </w:r>
          </w:p>
          <w:p w14:paraId="44EA0254" w14:textId="77777777" w:rsidR="00497E68" w:rsidRPr="000B55A9" w:rsidRDefault="00497E68" w:rsidP="00520DA7">
            <w:pPr>
              <w:tabs>
                <w:tab w:val="left" w:pos="473"/>
              </w:tabs>
              <w:ind w:right="111"/>
              <w:jc w:val="both"/>
              <w:rPr>
                <w:rFonts w:eastAsia="Times New Roman" w:cs="Times New Roman"/>
                <w:color w:val="000000"/>
                <w:sz w:val="24"/>
                <w:szCs w:val="24"/>
                <w:lang w:eastAsia="lv-LV"/>
              </w:rPr>
            </w:pPr>
          </w:p>
          <w:p w14:paraId="606827BB" w14:textId="77777777" w:rsidR="00497E68" w:rsidRPr="000B55A9" w:rsidRDefault="00497E68" w:rsidP="00520DA7">
            <w:pPr>
              <w:pStyle w:val="ListParagraph"/>
              <w:numPr>
                <w:ilvl w:val="0"/>
                <w:numId w:val="12"/>
              </w:numPr>
              <w:tabs>
                <w:tab w:val="left" w:pos="301"/>
              </w:tabs>
              <w:ind w:left="18" w:right="111" w:firstLine="0"/>
              <w:jc w:val="both"/>
              <w:rPr>
                <w:u w:val="single"/>
              </w:rPr>
            </w:pPr>
            <w:r w:rsidRPr="000B55A9">
              <w:rPr>
                <w:u w:val="single"/>
              </w:rPr>
              <w:t>Par akcīzes nodokļa  likmju paaugstināšanu naftas produktiem, ko izmanto kā degvielu</w:t>
            </w:r>
          </w:p>
          <w:p w14:paraId="16C91B42" w14:textId="77777777" w:rsidR="00497E68" w:rsidRPr="000B55A9" w:rsidRDefault="00497E68" w:rsidP="00520DA7">
            <w:pPr>
              <w:pStyle w:val="ListParagraph"/>
              <w:tabs>
                <w:tab w:val="left" w:pos="301"/>
              </w:tabs>
              <w:ind w:left="18" w:right="111"/>
              <w:jc w:val="both"/>
              <w:rPr>
                <w:u w:val="single"/>
              </w:rPr>
            </w:pPr>
          </w:p>
          <w:p w14:paraId="3C278327" w14:textId="77777777" w:rsidR="00497E68" w:rsidRPr="000B55A9" w:rsidRDefault="00497E68" w:rsidP="00520DA7">
            <w:pPr>
              <w:tabs>
                <w:tab w:val="left" w:pos="301"/>
              </w:tabs>
              <w:ind w:left="18" w:right="111"/>
              <w:jc w:val="both"/>
              <w:rPr>
                <w:rFonts w:cs="Times New Roman"/>
                <w:sz w:val="24"/>
                <w:szCs w:val="24"/>
              </w:rPr>
            </w:pPr>
            <w:r w:rsidRPr="000B55A9">
              <w:rPr>
                <w:rFonts w:cs="Times New Roman"/>
                <w:sz w:val="24"/>
                <w:szCs w:val="24"/>
              </w:rPr>
              <w:t>Spēkā esošās un likumprojektā plānotās akcīzes nodokļa likmes:</w:t>
            </w:r>
          </w:p>
          <w:p w14:paraId="52DF3048" w14:textId="77777777" w:rsidR="00497E68" w:rsidRPr="000B55A9" w:rsidRDefault="00497E68" w:rsidP="00520DA7">
            <w:pPr>
              <w:tabs>
                <w:tab w:val="left" w:pos="301"/>
              </w:tabs>
              <w:ind w:left="18" w:right="111"/>
              <w:jc w:val="both"/>
              <w:rPr>
                <w:rFonts w:cs="Times New Roman"/>
                <w:sz w:val="24"/>
                <w:szCs w:val="24"/>
              </w:rPr>
            </w:pPr>
          </w:p>
          <w:tbl>
            <w:tblPr>
              <w:tblW w:w="7389" w:type="dxa"/>
              <w:tblLayout w:type="fixed"/>
              <w:tblLook w:val="04A0" w:firstRow="1" w:lastRow="0" w:firstColumn="1" w:lastColumn="0" w:noHBand="0" w:noVBand="1"/>
            </w:tblPr>
            <w:tblGrid>
              <w:gridCol w:w="4329"/>
              <w:gridCol w:w="1276"/>
              <w:gridCol w:w="1784"/>
            </w:tblGrid>
            <w:tr w:rsidR="00497E68" w:rsidRPr="000B55A9" w14:paraId="5D39C4BB" w14:textId="77777777" w:rsidTr="006927E2">
              <w:trPr>
                <w:trHeight w:val="843"/>
              </w:trPr>
              <w:tc>
                <w:tcPr>
                  <w:tcW w:w="43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4C0E13" w14:textId="77777777" w:rsidR="00497E68" w:rsidRPr="000B55A9" w:rsidRDefault="00497E68" w:rsidP="00520DA7">
                  <w:pPr>
                    <w:spacing w:after="0" w:line="240" w:lineRule="auto"/>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 xml:space="preserve">Naftas produkta veids, </w:t>
                  </w:r>
                </w:p>
                <w:p w14:paraId="1BC4D987" w14:textId="77777777" w:rsidR="00497E68" w:rsidRPr="000B55A9" w:rsidRDefault="00497E68" w:rsidP="00520DA7">
                  <w:pPr>
                    <w:spacing w:after="0" w:line="240" w:lineRule="auto"/>
                    <w:rPr>
                      <w:rFonts w:ascii="Times New Roman" w:eastAsia="Times New Roman" w:hAnsi="Times New Roman" w:cs="Times New Roman"/>
                      <w:color w:val="000000"/>
                      <w:sz w:val="24"/>
                      <w:szCs w:val="24"/>
                      <w:lang w:eastAsia="lv-LV"/>
                    </w:rPr>
                  </w:pPr>
                  <w:proofErr w:type="spellStart"/>
                  <w:r w:rsidRPr="000B55A9">
                    <w:rPr>
                      <w:rFonts w:ascii="Times New Roman" w:eastAsia="Times New Roman" w:hAnsi="Times New Roman" w:cs="Times New Roman"/>
                      <w:bCs/>
                      <w:i/>
                      <w:color w:val="000000"/>
                      <w:sz w:val="24"/>
                      <w:szCs w:val="24"/>
                      <w:lang w:eastAsia="lv-LV"/>
                    </w:rPr>
                    <w:t>euro</w:t>
                  </w:r>
                  <w:proofErr w:type="spellEnd"/>
                  <w:r w:rsidRPr="000B55A9">
                    <w:rPr>
                      <w:rFonts w:ascii="Times New Roman" w:eastAsia="Times New Roman" w:hAnsi="Times New Roman" w:cs="Times New Roman"/>
                      <w:color w:val="000000"/>
                      <w:sz w:val="24"/>
                      <w:szCs w:val="24"/>
                      <w:lang w:eastAsia="lv-LV"/>
                    </w:rPr>
                    <w:t xml:space="preserve"> par 1 000 litriem</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9D5B9"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Spēkā esošās likmes  201</w:t>
                  </w:r>
                  <w:r>
                    <w:rPr>
                      <w:rFonts w:ascii="Times New Roman" w:eastAsia="Times New Roman" w:hAnsi="Times New Roman" w:cs="Times New Roman"/>
                      <w:color w:val="000000"/>
                      <w:sz w:val="24"/>
                      <w:szCs w:val="24"/>
                      <w:lang w:eastAsia="lv-LV"/>
                    </w:rPr>
                    <w:t>9</w:t>
                  </w:r>
                  <w:r w:rsidRPr="000B55A9">
                    <w:rPr>
                      <w:rFonts w:ascii="Times New Roman" w:eastAsia="Times New Roman" w:hAnsi="Times New Roman" w:cs="Times New Roman"/>
                      <w:color w:val="000000"/>
                      <w:sz w:val="24"/>
                      <w:szCs w:val="24"/>
                      <w:lang w:eastAsia="lv-LV"/>
                    </w:rPr>
                    <w:t>.g.</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64E9178F"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Likumprojektā paredzētās likmes ar 01.01.20</w:t>
                  </w:r>
                  <w:r>
                    <w:rPr>
                      <w:rFonts w:ascii="Times New Roman" w:eastAsia="Times New Roman" w:hAnsi="Times New Roman" w:cs="Times New Roman"/>
                      <w:color w:val="000000"/>
                      <w:sz w:val="24"/>
                      <w:szCs w:val="24"/>
                      <w:lang w:eastAsia="lv-LV"/>
                    </w:rPr>
                    <w:t>20</w:t>
                  </w:r>
                  <w:r w:rsidRPr="000B55A9">
                    <w:rPr>
                      <w:rFonts w:ascii="Times New Roman" w:eastAsia="Times New Roman" w:hAnsi="Times New Roman" w:cs="Times New Roman"/>
                      <w:color w:val="000000"/>
                      <w:sz w:val="24"/>
                      <w:szCs w:val="24"/>
                      <w:lang w:eastAsia="lv-LV"/>
                    </w:rPr>
                    <w:t>.</w:t>
                  </w:r>
                </w:p>
              </w:tc>
            </w:tr>
            <w:tr w:rsidR="00497E68" w:rsidRPr="000B55A9" w14:paraId="55BE95C4" w14:textId="77777777" w:rsidTr="006927E2">
              <w:trPr>
                <w:trHeight w:val="374"/>
              </w:trPr>
              <w:tc>
                <w:tcPr>
                  <w:tcW w:w="4329" w:type="dxa"/>
                  <w:tcBorders>
                    <w:top w:val="nil"/>
                    <w:left w:val="single" w:sz="8" w:space="0" w:color="auto"/>
                    <w:bottom w:val="single" w:sz="8" w:space="0" w:color="auto"/>
                    <w:right w:val="single" w:sz="8" w:space="0" w:color="auto"/>
                  </w:tcBorders>
                  <w:shd w:val="clear" w:color="auto" w:fill="auto"/>
                  <w:vAlign w:val="center"/>
                </w:tcPr>
                <w:p w14:paraId="0C3D1679" w14:textId="77777777" w:rsidR="00497E68" w:rsidRPr="000B55A9" w:rsidRDefault="00497E68" w:rsidP="00520DA7">
                  <w:pPr>
                    <w:spacing w:after="0" w:line="240" w:lineRule="auto"/>
                    <w:rPr>
                      <w:rFonts w:ascii="Times New Roman" w:eastAsia="Times New Roman" w:hAnsi="Times New Roman" w:cs="Times New Roman"/>
                      <w:sz w:val="24"/>
                      <w:szCs w:val="24"/>
                      <w:lang w:eastAsia="lv-LV"/>
                    </w:rPr>
                  </w:pPr>
                  <w:proofErr w:type="spellStart"/>
                  <w:r w:rsidRPr="000B55A9">
                    <w:rPr>
                      <w:rFonts w:ascii="Times New Roman" w:hAnsi="Times New Roman" w:cs="Times New Roman"/>
                      <w:sz w:val="24"/>
                      <w:szCs w:val="24"/>
                    </w:rPr>
                    <w:t>Biobenzīns</w:t>
                  </w:r>
                  <w:proofErr w:type="spellEnd"/>
                  <w:r w:rsidRPr="000B55A9">
                    <w:rPr>
                      <w:rFonts w:ascii="Times New Roman" w:hAnsi="Times New Roman" w:cs="Times New Roman"/>
                      <w:sz w:val="24"/>
                      <w:szCs w:val="24"/>
                    </w:rPr>
                    <w:t xml:space="preserve">  (degviela E85)</w:t>
                  </w:r>
                </w:p>
              </w:tc>
              <w:tc>
                <w:tcPr>
                  <w:tcW w:w="1276" w:type="dxa"/>
                  <w:tcBorders>
                    <w:top w:val="nil"/>
                    <w:left w:val="nil"/>
                    <w:bottom w:val="single" w:sz="8" w:space="0" w:color="auto"/>
                    <w:right w:val="single" w:sz="8" w:space="0" w:color="auto"/>
                  </w:tcBorders>
                  <w:shd w:val="clear" w:color="auto" w:fill="auto"/>
                  <w:vAlign w:val="center"/>
                </w:tcPr>
                <w:p w14:paraId="1E93DFF3"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hAnsi="Times New Roman" w:cs="Times New Roman"/>
                      <w:color w:val="000000"/>
                      <w:sz w:val="24"/>
                      <w:szCs w:val="24"/>
                    </w:rPr>
                    <w:t>142,8</w:t>
                  </w:r>
                </w:p>
              </w:tc>
              <w:tc>
                <w:tcPr>
                  <w:tcW w:w="1784" w:type="dxa"/>
                  <w:tcBorders>
                    <w:top w:val="nil"/>
                    <w:left w:val="nil"/>
                    <w:bottom w:val="single" w:sz="8" w:space="0" w:color="auto"/>
                    <w:right w:val="single" w:sz="8" w:space="0" w:color="auto"/>
                  </w:tcBorders>
                  <w:shd w:val="clear" w:color="auto" w:fill="auto"/>
                  <w:vAlign w:val="center"/>
                </w:tcPr>
                <w:p w14:paraId="2A032566"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hAnsi="Times New Roman" w:cs="Times New Roman"/>
                      <w:color w:val="000000"/>
                      <w:sz w:val="24"/>
                      <w:szCs w:val="24"/>
                    </w:rPr>
                    <w:t>360</w:t>
                  </w:r>
                </w:p>
              </w:tc>
            </w:tr>
            <w:tr w:rsidR="00497E68" w:rsidRPr="000B55A9" w14:paraId="5B4137F4" w14:textId="77777777" w:rsidTr="006927E2">
              <w:trPr>
                <w:trHeight w:val="452"/>
              </w:trPr>
              <w:tc>
                <w:tcPr>
                  <w:tcW w:w="4329" w:type="dxa"/>
                  <w:tcBorders>
                    <w:top w:val="nil"/>
                    <w:left w:val="single" w:sz="8" w:space="0" w:color="auto"/>
                    <w:bottom w:val="single" w:sz="8" w:space="0" w:color="auto"/>
                    <w:right w:val="single" w:sz="8" w:space="0" w:color="auto"/>
                  </w:tcBorders>
                  <w:shd w:val="clear" w:color="auto" w:fill="auto"/>
                  <w:vAlign w:val="center"/>
                </w:tcPr>
                <w:p w14:paraId="0B8466A2" w14:textId="77777777" w:rsidR="00497E68" w:rsidRPr="000B55A9" w:rsidRDefault="00497E68" w:rsidP="00520DA7">
                  <w:pPr>
                    <w:spacing w:after="0" w:line="240" w:lineRule="auto"/>
                    <w:rPr>
                      <w:rFonts w:ascii="Times New Roman" w:eastAsia="Times New Roman" w:hAnsi="Times New Roman" w:cs="Times New Roman"/>
                      <w:sz w:val="24"/>
                      <w:szCs w:val="24"/>
                      <w:lang w:eastAsia="lv-LV"/>
                    </w:rPr>
                  </w:pPr>
                  <w:r w:rsidRPr="000B55A9">
                    <w:rPr>
                      <w:rFonts w:ascii="Times New Roman" w:hAnsi="Times New Roman" w:cs="Times New Roman"/>
                      <w:sz w:val="24"/>
                      <w:szCs w:val="24"/>
                    </w:rPr>
                    <w:t xml:space="preserve">Rapšu sēklu eļļa un biodīzeļdegviela, kas iegūta no rapšu sēklu eļļas, ko izmanto kā degvielu  </w:t>
                  </w:r>
                  <w:r w:rsidRPr="000B55A9">
                    <w:rPr>
                      <w:rFonts w:ascii="Times New Roman" w:eastAsia="Times New Roman" w:hAnsi="Times New Roman" w:cs="Times New Roman"/>
                      <w:sz w:val="24"/>
                      <w:szCs w:val="24"/>
                      <w:lang w:eastAsia="lv-LV"/>
                    </w:rPr>
                    <w:t>(degviela B100)</w:t>
                  </w:r>
                </w:p>
              </w:tc>
              <w:tc>
                <w:tcPr>
                  <w:tcW w:w="1276" w:type="dxa"/>
                  <w:tcBorders>
                    <w:top w:val="nil"/>
                    <w:left w:val="nil"/>
                    <w:bottom w:val="single" w:sz="8" w:space="0" w:color="auto"/>
                    <w:right w:val="single" w:sz="8" w:space="0" w:color="auto"/>
                  </w:tcBorders>
                  <w:shd w:val="clear" w:color="auto" w:fill="auto"/>
                  <w:vAlign w:val="center"/>
                </w:tcPr>
                <w:p w14:paraId="716213F0"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hAnsi="Times New Roman" w:cs="Times New Roman"/>
                      <w:color w:val="000000"/>
                      <w:sz w:val="24"/>
                      <w:szCs w:val="24"/>
                    </w:rPr>
                    <w:t>0</w:t>
                  </w:r>
                </w:p>
              </w:tc>
              <w:tc>
                <w:tcPr>
                  <w:tcW w:w="1784" w:type="dxa"/>
                  <w:tcBorders>
                    <w:top w:val="nil"/>
                    <w:left w:val="nil"/>
                    <w:bottom w:val="single" w:sz="8" w:space="0" w:color="auto"/>
                    <w:right w:val="single" w:sz="8" w:space="0" w:color="auto"/>
                  </w:tcBorders>
                  <w:shd w:val="clear" w:color="auto" w:fill="auto"/>
                  <w:vAlign w:val="center"/>
                </w:tcPr>
                <w:p w14:paraId="5AA3DC24"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hAnsi="Times New Roman" w:cs="Times New Roman"/>
                      <w:color w:val="000000"/>
                      <w:sz w:val="24"/>
                      <w:szCs w:val="24"/>
                    </w:rPr>
                    <w:t>330</w:t>
                  </w:r>
                </w:p>
              </w:tc>
            </w:tr>
            <w:tr w:rsidR="00497E68" w:rsidRPr="000B55A9" w14:paraId="350227A1" w14:textId="77777777" w:rsidTr="006927E2">
              <w:trPr>
                <w:trHeight w:val="452"/>
              </w:trPr>
              <w:tc>
                <w:tcPr>
                  <w:tcW w:w="4329" w:type="dxa"/>
                  <w:tcBorders>
                    <w:top w:val="nil"/>
                    <w:left w:val="single" w:sz="8" w:space="0" w:color="auto"/>
                    <w:bottom w:val="single" w:sz="8" w:space="0" w:color="auto"/>
                    <w:right w:val="single" w:sz="8" w:space="0" w:color="auto"/>
                  </w:tcBorders>
                  <w:shd w:val="clear" w:color="auto" w:fill="FFFFFF" w:themeFill="background1"/>
                  <w:vAlign w:val="center"/>
                </w:tcPr>
                <w:p w14:paraId="700C748A" w14:textId="77777777" w:rsidR="00497E68" w:rsidRPr="000B55A9" w:rsidRDefault="00497E68" w:rsidP="00520DA7">
                  <w:pPr>
                    <w:spacing w:after="0" w:line="240" w:lineRule="auto"/>
                    <w:rPr>
                      <w:rFonts w:ascii="Times New Roman" w:eastAsia="Times New Roman" w:hAnsi="Times New Roman" w:cs="Times New Roman"/>
                      <w:sz w:val="24"/>
                      <w:szCs w:val="24"/>
                      <w:lang w:eastAsia="lv-LV"/>
                    </w:rPr>
                  </w:pPr>
                  <w:proofErr w:type="spellStart"/>
                  <w:r w:rsidRPr="000B55A9">
                    <w:rPr>
                      <w:rFonts w:ascii="Times New Roman" w:hAnsi="Times New Roman" w:cs="Times New Roman"/>
                      <w:sz w:val="24"/>
                      <w:szCs w:val="24"/>
                    </w:rPr>
                    <w:t>Parafinizēta</w:t>
                  </w:r>
                  <w:proofErr w:type="spellEnd"/>
                  <w:r w:rsidRPr="000B55A9">
                    <w:rPr>
                      <w:rFonts w:ascii="Times New Roman" w:hAnsi="Times New Roman" w:cs="Times New Roman"/>
                      <w:sz w:val="24"/>
                      <w:szCs w:val="24"/>
                    </w:rPr>
                    <w:t xml:space="preserve"> dīzeļdegviela, kas iegūta no biomasas, ko izmanto kā degvielu</w:t>
                  </w:r>
                </w:p>
              </w:tc>
              <w:tc>
                <w:tcPr>
                  <w:tcW w:w="1276" w:type="dxa"/>
                  <w:tcBorders>
                    <w:top w:val="nil"/>
                    <w:left w:val="nil"/>
                    <w:bottom w:val="single" w:sz="8" w:space="0" w:color="auto"/>
                    <w:right w:val="single" w:sz="8" w:space="0" w:color="auto"/>
                  </w:tcBorders>
                  <w:shd w:val="clear" w:color="auto" w:fill="FFFFFF" w:themeFill="background1"/>
                  <w:vAlign w:val="center"/>
                </w:tcPr>
                <w:p w14:paraId="28DFB75D"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hAnsi="Times New Roman" w:cs="Times New Roman"/>
                      <w:color w:val="000000"/>
                      <w:sz w:val="24"/>
                      <w:szCs w:val="24"/>
                    </w:rPr>
                    <w:t>372</w:t>
                  </w:r>
                </w:p>
              </w:tc>
              <w:tc>
                <w:tcPr>
                  <w:tcW w:w="1784" w:type="dxa"/>
                  <w:tcBorders>
                    <w:top w:val="nil"/>
                    <w:left w:val="nil"/>
                    <w:bottom w:val="single" w:sz="8" w:space="0" w:color="auto"/>
                    <w:right w:val="single" w:sz="8" w:space="0" w:color="auto"/>
                  </w:tcBorders>
                  <w:shd w:val="clear" w:color="auto" w:fill="FFFFFF" w:themeFill="background1"/>
                  <w:vAlign w:val="center"/>
                </w:tcPr>
                <w:p w14:paraId="298A2D8C" w14:textId="77777777" w:rsidR="00497E68" w:rsidRPr="000B55A9" w:rsidRDefault="00497E68" w:rsidP="00520DA7">
                  <w:pPr>
                    <w:spacing w:after="0" w:line="240" w:lineRule="auto"/>
                    <w:jc w:val="center"/>
                    <w:rPr>
                      <w:rFonts w:ascii="Times New Roman" w:eastAsia="Times New Roman" w:hAnsi="Times New Roman" w:cs="Times New Roman"/>
                      <w:color w:val="000000"/>
                      <w:sz w:val="24"/>
                      <w:szCs w:val="24"/>
                      <w:lang w:eastAsia="lv-LV"/>
                    </w:rPr>
                  </w:pPr>
                  <w:r w:rsidRPr="000B55A9">
                    <w:rPr>
                      <w:rFonts w:ascii="Times New Roman" w:hAnsi="Times New Roman" w:cs="Times New Roman"/>
                      <w:color w:val="000000"/>
                      <w:sz w:val="24"/>
                      <w:szCs w:val="24"/>
                    </w:rPr>
                    <w:t>330</w:t>
                  </w:r>
                </w:p>
              </w:tc>
            </w:tr>
          </w:tbl>
          <w:p w14:paraId="2EB7282D" w14:textId="77777777" w:rsidR="00497E68" w:rsidRPr="000B55A9" w:rsidRDefault="00497E68" w:rsidP="00520DA7">
            <w:pPr>
              <w:tabs>
                <w:tab w:val="left" w:pos="473"/>
              </w:tabs>
              <w:ind w:right="111"/>
              <w:jc w:val="both"/>
              <w:rPr>
                <w:rFonts w:eastAsia="Times New Roman" w:cs="Times New Roman"/>
                <w:color w:val="000000"/>
                <w:sz w:val="24"/>
                <w:szCs w:val="24"/>
                <w:lang w:eastAsia="lv-LV"/>
              </w:rPr>
            </w:pPr>
          </w:p>
          <w:p w14:paraId="438D1446" w14:textId="77777777" w:rsidR="00497E68" w:rsidRPr="000B55A9" w:rsidRDefault="00497E68" w:rsidP="00520DA7">
            <w:pPr>
              <w:tabs>
                <w:tab w:val="left" w:pos="473"/>
              </w:tabs>
              <w:ind w:right="111"/>
              <w:jc w:val="both"/>
              <w:rPr>
                <w:rFonts w:eastAsia="Times New Roman" w:cs="Times New Roman"/>
                <w:color w:val="000000"/>
                <w:sz w:val="24"/>
                <w:szCs w:val="24"/>
                <w:lang w:eastAsia="lv-LV"/>
              </w:rPr>
            </w:pPr>
            <w:r w:rsidRPr="000B55A9">
              <w:rPr>
                <w:rFonts w:eastAsia="Times New Roman" w:cs="Times New Roman"/>
                <w:color w:val="000000"/>
                <w:sz w:val="24"/>
                <w:szCs w:val="24"/>
                <w:lang w:eastAsia="lv-LV"/>
              </w:rPr>
              <w:lastRenderedPageBreak/>
              <w:t>Ņemot vērā to, ka rapšu sēklu eļļa, un biodīzeļdegviela, kas iegūta no rapšu sēklu eļļas, lielākoties tiek izmantota kā degviela</w:t>
            </w:r>
            <w:r w:rsidRPr="000B55A9">
              <w:rPr>
                <w:rFonts w:eastAsia="Times New Roman" w:cs="Times New Roman"/>
                <w:sz w:val="24"/>
                <w:szCs w:val="24"/>
                <w:lang w:eastAsia="lv-LV"/>
              </w:rPr>
              <w:t xml:space="preserve">, fiskālās ietekmes aprēķinos izmantoti dati par </w:t>
            </w:r>
            <w:r>
              <w:rPr>
                <w:rFonts w:eastAsia="Times New Roman" w:cs="Times New Roman"/>
                <w:sz w:val="24"/>
                <w:szCs w:val="24"/>
                <w:lang w:eastAsia="lv-LV"/>
              </w:rPr>
              <w:t>vidējo 2016.-2018.</w:t>
            </w:r>
            <w:r w:rsidRPr="000B55A9">
              <w:rPr>
                <w:rFonts w:eastAsia="Times New Roman" w:cs="Times New Roman"/>
                <w:sz w:val="24"/>
                <w:szCs w:val="24"/>
                <w:lang w:eastAsia="lv-LV"/>
              </w:rPr>
              <w:t>gadā patēriņam nodot</w:t>
            </w:r>
            <w:r>
              <w:rPr>
                <w:rFonts w:eastAsia="Times New Roman" w:cs="Times New Roman"/>
                <w:sz w:val="24"/>
                <w:szCs w:val="24"/>
                <w:lang w:eastAsia="lv-LV"/>
              </w:rPr>
              <w:t>ās</w:t>
            </w:r>
            <w:r w:rsidRPr="000B55A9">
              <w:rPr>
                <w:rFonts w:eastAsia="Times New Roman" w:cs="Times New Roman"/>
                <w:sz w:val="24"/>
                <w:szCs w:val="24"/>
                <w:lang w:eastAsia="lv-LV"/>
              </w:rPr>
              <w:t xml:space="preserve"> </w:t>
            </w:r>
            <w:r w:rsidRPr="000B55A9">
              <w:rPr>
                <w:rFonts w:cs="Times New Roman"/>
                <w:sz w:val="24"/>
                <w:szCs w:val="24"/>
              </w:rPr>
              <w:t>rapšu sēklu eļļ</w:t>
            </w:r>
            <w:r>
              <w:rPr>
                <w:rFonts w:cs="Times New Roman"/>
                <w:sz w:val="24"/>
                <w:szCs w:val="24"/>
              </w:rPr>
              <w:t>as</w:t>
            </w:r>
            <w:r w:rsidRPr="000B55A9">
              <w:rPr>
                <w:rFonts w:cs="Times New Roman"/>
                <w:sz w:val="24"/>
                <w:szCs w:val="24"/>
              </w:rPr>
              <w:t>, un biodīzeļdegviel</w:t>
            </w:r>
            <w:r>
              <w:rPr>
                <w:rFonts w:cs="Times New Roman"/>
                <w:sz w:val="24"/>
                <w:szCs w:val="24"/>
              </w:rPr>
              <w:t>as</w:t>
            </w:r>
            <w:r w:rsidRPr="000B55A9">
              <w:rPr>
                <w:rFonts w:cs="Times New Roman"/>
                <w:sz w:val="24"/>
                <w:szCs w:val="24"/>
              </w:rPr>
              <w:t xml:space="preserve">, kas iegūta no rapšu sēklu eļļas, un </w:t>
            </w:r>
            <w:r w:rsidRPr="000B55A9">
              <w:rPr>
                <w:rFonts w:cs="Times New Roman"/>
                <w:sz w:val="24"/>
                <w:szCs w:val="24"/>
                <w:u w:val="single"/>
              </w:rPr>
              <w:t>ko izmanto kā kurināmo vai degvielu</w:t>
            </w:r>
            <w:r w:rsidRPr="006A518E">
              <w:rPr>
                <w:rFonts w:cs="Times New Roman"/>
                <w:sz w:val="24"/>
                <w:szCs w:val="24"/>
              </w:rPr>
              <w:t>, apjomu.</w:t>
            </w:r>
            <w:r w:rsidRPr="009D19C1">
              <w:rPr>
                <w:rFonts w:eastAsia="Times New Roman" w:cs="Times New Roman"/>
                <w:color w:val="000000"/>
                <w:sz w:val="24"/>
                <w:szCs w:val="24"/>
                <w:lang w:eastAsia="lv-LV"/>
              </w:rPr>
              <w:t xml:space="preserve">  </w:t>
            </w:r>
          </w:p>
          <w:p w14:paraId="164F97AD" w14:textId="77777777" w:rsidR="00497E68" w:rsidRPr="002E1357" w:rsidRDefault="00497E68" w:rsidP="00520DA7">
            <w:pPr>
              <w:tabs>
                <w:tab w:val="left" w:pos="473"/>
              </w:tabs>
              <w:ind w:right="111"/>
              <w:jc w:val="both"/>
              <w:rPr>
                <w:rFonts w:eastAsia="Times New Roman" w:cs="Times New Roman"/>
                <w:color w:val="000000"/>
                <w:sz w:val="20"/>
                <w:szCs w:val="24"/>
                <w:lang w:eastAsia="lv-LV"/>
              </w:rPr>
            </w:pPr>
          </w:p>
          <w:p w14:paraId="067A7DF3" w14:textId="77777777" w:rsidR="00497E68" w:rsidRPr="000B55A9" w:rsidRDefault="00497E68" w:rsidP="00520DA7">
            <w:pPr>
              <w:tabs>
                <w:tab w:val="left" w:pos="473"/>
              </w:tabs>
              <w:ind w:right="111"/>
              <w:jc w:val="both"/>
              <w:rPr>
                <w:rFonts w:cs="Times New Roman"/>
                <w:sz w:val="24"/>
                <w:szCs w:val="24"/>
              </w:rPr>
            </w:pPr>
            <w:r w:rsidRPr="000B55A9">
              <w:rPr>
                <w:rFonts w:eastAsia="Times New Roman" w:cs="Times New Roman"/>
                <w:color w:val="000000"/>
                <w:sz w:val="24"/>
                <w:szCs w:val="24"/>
                <w:lang w:eastAsia="lv-LV"/>
              </w:rPr>
              <w:t xml:space="preserve">Savukārt </w:t>
            </w:r>
            <w:proofErr w:type="spellStart"/>
            <w:r w:rsidRPr="000B55A9">
              <w:rPr>
                <w:rFonts w:cs="Times New Roman"/>
                <w:sz w:val="24"/>
                <w:szCs w:val="24"/>
              </w:rPr>
              <w:t>p</w:t>
            </w:r>
            <w:r w:rsidRPr="000B55A9">
              <w:rPr>
                <w:rFonts w:eastAsia="Times New Roman" w:cs="Times New Roman"/>
                <w:color w:val="000000"/>
                <w:sz w:val="24"/>
                <w:szCs w:val="24"/>
                <w:lang w:eastAsia="lv-LV"/>
              </w:rPr>
              <w:t>arafinizētā</w:t>
            </w:r>
            <w:proofErr w:type="spellEnd"/>
            <w:r w:rsidRPr="000B55A9">
              <w:rPr>
                <w:rFonts w:eastAsia="Times New Roman" w:cs="Times New Roman"/>
                <w:color w:val="000000"/>
                <w:sz w:val="24"/>
                <w:szCs w:val="24"/>
                <w:lang w:eastAsia="lv-LV"/>
              </w:rPr>
              <w:t xml:space="preserve"> dīzeļdegviela, kas iegūta no biomasas, ko izmanto kā degvielu, netiek atsevišķi uzskaitīta, līdz </w:t>
            </w:r>
            <w:r w:rsidRPr="000B55A9">
              <w:rPr>
                <w:rFonts w:eastAsia="Times New Roman" w:cs="Times New Roman"/>
                <w:sz w:val="24"/>
                <w:szCs w:val="24"/>
                <w:lang w:eastAsia="lv-LV"/>
              </w:rPr>
              <w:t xml:space="preserve">ar to nav zināms patēriņam nodotais </w:t>
            </w:r>
            <w:proofErr w:type="spellStart"/>
            <w:r w:rsidRPr="000B55A9">
              <w:rPr>
                <w:rFonts w:eastAsia="Times New Roman" w:cs="Times New Roman"/>
                <w:sz w:val="24"/>
                <w:szCs w:val="24"/>
                <w:lang w:eastAsia="lv-LV"/>
              </w:rPr>
              <w:t>parafinizētās</w:t>
            </w:r>
            <w:proofErr w:type="spellEnd"/>
            <w:r w:rsidRPr="000B55A9">
              <w:rPr>
                <w:rFonts w:eastAsia="Times New Roman" w:cs="Times New Roman"/>
                <w:sz w:val="24"/>
                <w:szCs w:val="24"/>
                <w:lang w:eastAsia="lv-LV"/>
              </w:rPr>
              <w:t xml:space="preserve"> dīzeļdegvielas apjoms un fiskālā ietekme no likmes samazināšanas nav nosakāma.</w:t>
            </w:r>
          </w:p>
          <w:p w14:paraId="243E8C4D" w14:textId="77777777" w:rsidR="00497E68" w:rsidRPr="002E1357" w:rsidRDefault="00497E68" w:rsidP="00520DA7">
            <w:pPr>
              <w:tabs>
                <w:tab w:val="left" w:pos="301"/>
              </w:tabs>
              <w:ind w:left="18" w:right="111"/>
              <w:jc w:val="both"/>
              <w:rPr>
                <w:rFonts w:cs="Times New Roman"/>
                <w:sz w:val="20"/>
                <w:szCs w:val="24"/>
              </w:rPr>
            </w:pPr>
          </w:p>
          <w:p w14:paraId="0E992238" w14:textId="77777777" w:rsidR="00497E68" w:rsidRPr="000B55A9" w:rsidRDefault="00497E68" w:rsidP="00520DA7">
            <w:pPr>
              <w:tabs>
                <w:tab w:val="left" w:pos="473"/>
              </w:tabs>
              <w:ind w:right="111"/>
              <w:jc w:val="both"/>
              <w:rPr>
                <w:rFonts w:cs="Times New Roman"/>
                <w:sz w:val="24"/>
                <w:szCs w:val="24"/>
              </w:rPr>
            </w:pPr>
            <w:r w:rsidRPr="000B55A9">
              <w:rPr>
                <w:rFonts w:cs="Times New Roman"/>
                <w:sz w:val="24"/>
                <w:szCs w:val="24"/>
              </w:rPr>
              <w:t>Saskaņā ar Valsts ieņēmumu dienesta sniegto informāciju 201</w:t>
            </w:r>
            <w:r>
              <w:rPr>
                <w:rFonts w:cs="Times New Roman"/>
                <w:sz w:val="24"/>
                <w:szCs w:val="24"/>
              </w:rPr>
              <w:t>6.-2018.</w:t>
            </w:r>
            <w:r w:rsidRPr="000B55A9">
              <w:rPr>
                <w:rFonts w:cs="Times New Roman"/>
                <w:sz w:val="24"/>
                <w:szCs w:val="24"/>
              </w:rPr>
              <w:t xml:space="preserve"> gadā </w:t>
            </w:r>
            <w:r>
              <w:rPr>
                <w:rFonts w:cs="Times New Roman"/>
                <w:sz w:val="24"/>
                <w:szCs w:val="24"/>
              </w:rPr>
              <w:t xml:space="preserve">vidēji </w:t>
            </w:r>
            <w:r w:rsidRPr="000B55A9">
              <w:rPr>
                <w:rFonts w:cs="Times New Roman"/>
                <w:sz w:val="24"/>
                <w:szCs w:val="24"/>
              </w:rPr>
              <w:t>patēriņam nodoti:</w:t>
            </w:r>
          </w:p>
          <w:p w14:paraId="23C27352" w14:textId="77777777" w:rsidR="00497E68" w:rsidRPr="000B55A9" w:rsidRDefault="00497E68" w:rsidP="00520DA7">
            <w:pPr>
              <w:pStyle w:val="ListParagraph"/>
              <w:numPr>
                <w:ilvl w:val="0"/>
                <w:numId w:val="11"/>
              </w:numPr>
              <w:jc w:val="both"/>
            </w:pPr>
            <w:r>
              <w:t>63</w:t>
            </w:r>
            <w:r w:rsidRPr="000B55A9">
              <w:t>,</w:t>
            </w:r>
            <w:r>
              <w:t>6</w:t>
            </w:r>
            <w:r w:rsidRPr="000B55A9">
              <w:t xml:space="preserve"> tūkst. litri </w:t>
            </w:r>
            <w:proofErr w:type="spellStart"/>
            <w:r w:rsidRPr="000B55A9">
              <w:t>biobenzīna</w:t>
            </w:r>
            <w:proofErr w:type="spellEnd"/>
            <w:r w:rsidRPr="000B55A9">
              <w:t xml:space="preserve"> (degviela E85);</w:t>
            </w:r>
          </w:p>
          <w:p w14:paraId="75CED45F" w14:textId="77777777" w:rsidR="00497E68" w:rsidRPr="000B55A9" w:rsidRDefault="00497E68" w:rsidP="00520DA7">
            <w:pPr>
              <w:pStyle w:val="ListParagraph"/>
              <w:numPr>
                <w:ilvl w:val="0"/>
                <w:numId w:val="11"/>
              </w:numPr>
              <w:jc w:val="both"/>
            </w:pPr>
            <w:r>
              <w:t>226,9</w:t>
            </w:r>
            <w:r w:rsidRPr="000B55A9">
              <w:t xml:space="preserve"> tūkst. litri  rapšu sēklu eļļas, un biodīzeļdegvielas, kas iegūta no rapšu sēklu eļļas, ko izmanto kā </w:t>
            </w:r>
            <w:r w:rsidRPr="000B55A9">
              <w:rPr>
                <w:u w:val="single"/>
              </w:rPr>
              <w:t xml:space="preserve">kurināmo vai degvielu. </w:t>
            </w:r>
          </w:p>
          <w:p w14:paraId="1AB63A93" w14:textId="77777777" w:rsidR="00497E68" w:rsidRPr="000B55A9" w:rsidRDefault="00497E68" w:rsidP="00520DA7">
            <w:pPr>
              <w:tabs>
                <w:tab w:val="left" w:pos="473"/>
              </w:tabs>
              <w:ind w:right="111"/>
              <w:jc w:val="both"/>
              <w:rPr>
                <w:rFonts w:eastAsia="Times New Roman" w:cs="Times New Roman"/>
                <w:color w:val="000000"/>
                <w:sz w:val="24"/>
                <w:szCs w:val="24"/>
                <w:lang w:eastAsia="lv-LV"/>
              </w:rPr>
            </w:pPr>
          </w:p>
          <w:p w14:paraId="5BF1C8D5" w14:textId="77777777" w:rsidR="00497E68" w:rsidRPr="000B55A9" w:rsidRDefault="00497E68" w:rsidP="00520DA7">
            <w:pPr>
              <w:tabs>
                <w:tab w:val="left" w:pos="473"/>
              </w:tabs>
              <w:ind w:right="111"/>
              <w:jc w:val="both"/>
              <w:rPr>
                <w:rFonts w:eastAsia="Times New Roman" w:cs="Times New Roman"/>
                <w:color w:val="000000"/>
                <w:sz w:val="24"/>
                <w:szCs w:val="24"/>
                <w:lang w:eastAsia="lv-LV"/>
              </w:rPr>
            </w:pPr>
            <w:r w:rsidRPr="000B55A9">
              <w:rPr>
                <w:rFonts w:eastAsia="Times New Roman" w:cs="Times New Roman"/>
                <w:color w:val="000000"/>
                <w:sz w:val="24"/>
                <w:szCs w:val="24"/>
                <w:lang w:eastAsia="lv-LV"/>
              </w:rPr>
              <w:t xml:space="preserve">Fiskālā ietekme no akcīzes nodokļa likmju paaugstināšanas </w:t>
            </w:r>
            <w:proofErr w:type="spellStart"/>
            <w:r w:rsidRPr="000B55A9">
              <w:rPr>
                <w:rFonts w:eastAsia="Times New Roman" w:cs="Times New Roman"/>
                <w:color w:val="000000"/>
                <w:sz w:val="24"/>
                <w:szCs w:val="24"/>
                <w:lang w:eastAsia="lv-LV"/>
              </w:rPr>
              <w:t>biobenzīnam</w:t>
            </w:r>
            <w:proofErr w:type="spellEnd"/>
            <w:r w:rsidRPr="000B55A9">
              <w:rPr>
                <w:rFonts w:eastAsia="Times New Roman" w:cs="Times New Roman"/>
                <w:color w:val="000000"/>
                <w:sz w:val="24"/>
                <w:szCs w:val="24"/>
                <w:lang w:eastAsia="lv-LV"/>
              </w:rPr>
              <w:t xml:space="preserve"> </w:t>
            </w:r>
            <w:r w:rsidRPr="000B55A9">
              <w:rPr>
                <w:rFonts w:cs="Times New Roman"/>
                <w:sz w:val="24"/>
                <w:szCs w:val="24"/>
              </w:rPr>
              <w:t>(degvielai E85)</w:t>
            </w:r>
            <w:r w:rsidRPr="000B55A9">
              <w:rPr>
                <w:rFonts w:eastAsia="Times New Roman" w:cs="Times New Roman"/>
                <w:color w:val="000000"/>
                <w:sz w:val="24"/>
                <w:szCs w:val="24"/>
                <w:lang w:eastAsia="lv-LV"/>
              </w:rPr>
              <w:t xml:space="preserve"> un </w:t>
            </w:r>
            <w:r w:rsidRPr="000B55A9">
              <w:rPr>
                <w:rFonts w:cs="Times New Roman"/>
                <w:color w:val="000000"/>
                <w:sz w:val="24"/>
                <w:szCs w:val="24"/>
              </w:rPr>
              <w:t xml:space="preserve">rapšu </w:t>
            </w:r>
            <w:r w:rsidRPr="000B55A9">
              <w:rPr>
                <w:rFonts w:cs="Times New Roman"/>
                <w:sz w:val="24"/>
                <w:szCs w:val="24"/>
              </w:rPr>
              <w:t>sēklu eļļai, un biodīzeļdegviela, kas iegūta no rapšu sēklu eļļas, ko izmanto kā degvielu (</w:t>
            </w:r>
            <w:r w:rsidRPr="000B55A9">
              <w:rPr>
                <w:rFonts w:eastAsia="Times New Roman" w:cs="Times New Roman"/>
                <w:sz w:val="24"/>
                <w:szCs w:val="24"/>
                <w:lang w:eastAsia="lv-LV"/>
              </w:rPr>
              <w:t>degvielai B100)</w:t>
            </w:r>
            <w:r w:rsidRPr="000B55A9">
              <w:rPr>
                <w:rFonts w:eastAsia="Times New Roman" w:cs="Times New Roman"/>
                <w:color w:val="000000"/>
                <w:sz w:val="24"/>
                <w:szCs w:val="24"/>
                <w:lang w:eastAsia="lv-LV"/>
              </w:rPr>
              <w:t>:</w:t>
            </w:r>
          </w:p>
          <w:tbl>
            <w:tblPr>
              <w:tblW w:w="6897" w:type="dxa"/>
              <w:tblLayout w:type="fixed"/>
              <w:tblLook w:val="04A0" w:firstRow="1" w:lastRow="0" w:firstColumn="1" w:lastColumn="0" w:noHBand="0" w:noVBand="1"/>
            </w:tblPr>
            <w:tblGrid>
              <w:gridCol w:w="2913"/>
              <w:gridCol w:w="1516"/>
              <w:gridCol w:w="1234"/>
              <w:gridCol w:w="1234"/>
            </w:tblGrid>
            <w:tr w:rsidR="00497E68" w:rsidRPr="000B55A9" w14:paraId="2B07C05C" w14:textId="77777777" w:rsidTr="00520DA7">
              <w:trPr>
                <w:trHeight w:val="61"/>
              </w:trPr>
              <w:tc>
                <w:tcPr>
                  <w:tcW w:w="291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5B26C64" w14:textId="77777777" w:rsidR="00497E68" w:rsidRPr="000B55A9" w:rsidRDefault="00497E68" w:rsidP="00520DA7">
                  <w:pPr>
                    <w:spacing w:after="0" w:line="240" w:lineRule="auto"/>
                    <w:rPr>
                      <w:rFonts w:ascii="Times New Roman" w:eastAsia="Times New Roman" w:hAnsi="Times New Roman" w:cs="Times New Roman"/>
                      <w:i/>
                      <w:iCs/>
                      <w:color w:val="000000"/>
                      <w:sz w:val="24"/>
                      <w:szCs w:val="24"/>
                      <w:lang w:eastAsia="lv-LV"/>
                    </w:rPr>
                  </w:pPr>
                  <w:proofErr w:type="spellStart"/>
                  <w:r w:rsidRPr="000B55A9">
                    <w:rPr>
                      <w:rFonts w:ascii="Times New Roman" w:eastAsia="Times New Roman" w:hAnsi="Times New Roman" w:cs="Times New Roman"/>
                      <w:i/>
                      <w:iCs/>
                      <w:color w:val="000000"/>
                      <w:sz w:val="24"/>
                      <w:szCs w:val="24"/>
                      <w:lang w:eastAsia="lv-LV"/>
                    </w:rPr>
                    <w:t>euro</w:t>
                  </w:r>
                  <w:proofErr w:type="spellEnd"/>
                </w:p>
              </w:tc>
              <w:tc>
                <w:tcPr>
                  <w:tcW w:w="151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8F53071" w14:textId="047F4417" w:rsidR="00497E68" w:rsidRPr="000B55A9" w:rsidRDefault="00497E68" w:rsidP="008E44AD">
                  <w:pPr>
                    <w:spacing w:after="0" w:line="240" w:lineRule="auto"/>
                    <w:jc w:val="center"/>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20</w:t>
                  </w:r>
                  <w:r w:rsidR="008E44AD">
                    <w:rPr>
                      <w:rFonts w:ascii="Times New Roman" w:eastAsia="Times New Roman" w:hAnsi="Times New Roman" w:cs="Times New Roman"/>
                      <w:b/>
                      <w:color w:val="000000"/>
                      <w:sz w:val="24"/>
                      <w:szCs w:val="24"/>
                      <w:lang w:eastAsia="lv-LV"/>
                    </w:rPr>
                    <w:t>20</w:t>
                  </w:r>
                </w:p>
              </w:tc>
              <w:tc>
                <w:tcPr>
                  <w:tcW w:w="123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4150190C" w14:textId="3FC5E63A" w:rsidR="00497E68" w:rsidRPr="000B55A9" w:rsidRDefault="00497E68" w:rsidP="008E44AD">
                  <w:pPr>
                    <w:spacing w:after="0" w:line="240" w:lineRule="auto"/>
                    <w:jc w:val="center"/>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202</w:t>
                  </w:r>
                  <w:r w:rsidR="008E44AD">
                    <w:rPr>
                      <w:rFonts w:ascii="Times New Roman" w:eastAsia="Times New Roman" w:hAnsi="Times New Roman" w:cs="Times New Roman"/>
                      <w:b/>
                      <w:color w:val="000000"/>
                      <w:sz w:val="24"/>
                      <w:szCs w:val="24"/>
                      <w:lang w:eastAsia="lv-LV"/>
                    </w:rPr>
                    <w:t>1</w:t>
                  </w:r>
                </w:p>
              </w:tc>
              <w:tc>
                <w:tcPr>
                  <w:tcW w:w="123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8DDAB77" w14:textId="7DFCB366" w:rsidR="00497E68" w:rsidRPr="000B55A9" w:rsidRDefault="00497E68" w:rsidP="008E44AD">
                  <w:pPr>
                    <w:spacing w:after="0" w:line="240" w:lineRule="auto"/>
                    <w:jc w:val="center"/>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202</w:t>
                  </w:r>
                  <w:r w:rsidR="008E44AD">
                    <w:rPr>
                      <w:rFonts w:ascii="Times New Roman" w:eastAsia="Times New Roman" w:hAnsi="Times New Roman" w:cs="Times New Roman"/>
                      <w:b/>
                      <w:color w:val="000000"/>
                      <w:sz w:val="24"/>
                      <w:szCs w:val="24"/>
                      <w:lang w:eastAsia="lv-LV"/>
                    </w:rPr>
                    <w:t>2</w:t>
                  </w:r>
                </w:p>
              </w:tc>
            </w:tr>
            <w:tr w:rsidR="00497E68" w:rsidRPr="000B55A9" w14:paraId="500D1FCA" w14:textId="77777777" w:rsidTr="00520DA7">
              <w:trPr>
                <w:trHeight w:val="178"/>
              </w:trPr>
              <w:tc>
                <w:tcPr>
                  <w:tcW w:w="2913" w:type="dxa"/>
                  <w:tcBorders>
                    <w:top w:val="nil"/>
                    <w:left w:val="single" w:sz="4" w:space="0" w:color="auto"/>
                    <w:bottom w:val="single" w:sz="4" w:space="0" w:color="auto"/>
                    <w:right w:val="single" w:sz="4" w:space="0" w:color="auto"/>
                  </w:tcBorders>
                  <w:shd w:val="clear" w:color="auto" w:fill="auto"/>
                  <w:noWrap/>
                  <w:vAlign w:val="bottom"/>
                  <w:hideMark/>
                </w:tcPr>
                <w:p w14:paraId="636B51E0" w14:textId="77777777" w:rsidR="00497E68" w:rsidRPr="000B55A9" w:rsidRDefault="00497E68" w:rsidP="00520DA7">
                  <w:pPr>
                    <w:spacing w:after="0" w:line="240" w:lineRule="auto"/>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 xml:space="preserve">KOPĀ, t.sk., </w:t>
                  </w:r>
                </w:p>
              </w:tc>
              <w:tc>
                <w:tcPr>
                  <w:tcW w:w="1516" w:type="dxa"/>
                  <w:tcBorders>
                    <w:top w:val="nil"/>
                    <w:left w:val="nil"/>
                    <w:bottom w:val="single" w:sz="4" w:space="0" w:color="auto"/>
                    <w:right w:val="single" w:sz="4" w:space="0" w:color="auto"/>
                  </w:tcBorders>
                  <w:shd w:val="clear" w:color="auto" w:fill="auto"/>
                  <w:noWrap/>
                  <w:hideMark/>
                </w:tcPr>
                <w:p w14:paraId="2730F104" w14:textId="77777777" w:rsidR="00497E68" w:rsidRPr="000B55A9" w:rsidRDefault="00497E68" w:rsidP="00520DA7">
                  <w:pPr>
                    <w:spacing w:after="0" w:line="240" w:lineRule="auto"/>
                    <w:jc w:val="center"/>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w:t>
                  </w:r>
                  <w:r>
                    <w:rPr>
                      <w:rFonts w:ascii="Times New Roman" w:eastAsia="Times New Roman" w:hAnsi="Times New Roman" w:cs="Times New Roman"/>
                      <w:b/>
                      <w:color w:val="000000"/>
                      <w:sz w:val="24"/>
                      <w:szCs w:val="24"/>
                      <w:lang w:eastAsia="lv-LV"/>
                    </w:rPr>
                    <w:t>98</w:t>
                  </w:r>
                  <w:r w:rsidRPr="000B55A9">
                    <w:rPr>
                      <w:rFonts w:ascii="Times New Roman" w:eastAsia="Times New Roman" w:hAnsi="Times New Roman" w:cs="Times New Roman"/>
                      <w:b/>
                      <w:color w:val="000000"/>
                      <w:sz w:val="24"/>
                      <w:szCs w:val="24"/>
                      <w:lang w:eastAsia="lv-LV"/>
                    </w:rPr>
                    <w:t xml:space="preserve"> </w:t>
                  </w:r>
                  <w:r>
                    <w:rPr>
                      <w:rFonts w:ascii="Times New Roman" w:eastAsia="Times New Roman" w:hAnsi="Times New Roman" w:cs="Times New Roman"/>
                      <w:b/>
                      <w:color w:val="000000"/>
                      <w:sz w:val="24"/>
                      <w:szCs w:val="24"/>
                      <w:lang w:eastAsia="lv-LV"/>
                    </w:rPr>
                    <w:t>4</w:t>
                  </w:r>
                  <w:r w:rsidRPr="000B55A9">
                    <w:rPr>
                      <w:rFonts w:ascii="Times New Roman" w:eastAsia="Times New Roman" w:hAnsi="Times New Roman" w:cs="Times New Roman"/>
                      <w:b/>
                      <w:color w:val="000000"/>
                      <w:sz w:val="24"/>
                      <w:szCs w:val="24"/>
                      <w:lang w:eastAsia="lv-LV"/>
                    </w:rPr>
                    <w:t xml:space="preserve">00 </w:t>
                  </w:r>
                </w:p>
              </w:tc>
              <w:tc>
                <w:tcPr>
                  <w:tcW w:w="1234" w:type="dxa"/>
                  <w:tcBorders>
                    <w:top w:val="nil"/>
                    <w:left w:val="nil"/>
                    <w:bottom w:val="single" w:sz="4" w:space="0" w:color="auto"/>
                    <w:right w:val="single" w:sz="4" w:space="0" w:color="auto"/>
                  </w:tcBorders>
                  <w:shd w:val="clear" w:color="auto" w:fill="auto"/>
                  <w:noWrap/>
                  <w:hideMark/>
                </w:tcPr>
                <w:p w14:paraId="1B9AFCD9" w14:textId="77777777" w:rsidR="00497E68" w:rsidRPr="000B55A9" w:rsidRDefault="00497E68" w:rsidP="00520DA7">
                  <w:pPr>
                    <w:spacing w:after="0" w:line="240" w:lineRule="auto"/>
                    <w:jc w:val="center"/>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 xml:space="preserve">+ </w:t>
                  </w:r>
                  <w:r>
                    <w:rPr>
                      <w:rFonts w:ascii="Times New Roman" w:eastAsia="Times New Roman" w:hAnsi="Times New Roman" w:cs="Times New Roman"/>
                      <w:b/>
                      <w:color w:val="000000"/>
                      <w:sz w:val="24"/>
                      <w:szCs w:val="24"/>
                      <w:lang w:eastAsia="lv-LV"/>
                    </w:rPr>
                    <w:t>107</w:t>
                  </w:r>
                  <w:r w:rsidRPr="000B55A9">
                    <w:rPr>
                      <w:rFonts w:ascii="Times New Roman" w:eastAsia="Times New Roman" w:hAnsi="Times New Roman" w:cs="Times New Roman"/>
                      <w:b/>
                      <w:color w:val="000000"/>
                      <w:sz w:val="24"/>
                      <w:szCs w:val="24"/>
                      <w:lang w:eastAsia="lv-LV"/>
                    </w:rPr>
                    <w:t xml:space="preserve"> </w:t>
                  </w:r>
                  <w:r>
                    <w:rPr>
                      <w:rFonts w:ascii="Times New Roman" w:eastAsia="Times New Roman" w:hAnsi="Times New Roman" w:cs="Times New Roman"/>
                      <w:b/>
                      <w:color w:val="000000"/>
                      <w:sz w:val="24"/>
                      <w:szCs w:val="24"/>
                      <w:lang w:eastAsia="lv-LV"/>
                    </w:rPr>
                    <w:t>3</w:t>
                  </w:r>
                  <w:r w:rsidRPr="000B55A9">
                    <w:rPr>
                      <w:rFonts w:ascii="Times New Roman" w:eastAsia="Times New Roman" w:hAnsi="Times New Roman" w:cs="Times New Roman"/>
                      <w:b/>
                      <w:color w:val="000000"/>
                      <w:sz w:val="24"/>
                      <w:szCs w:val="24"/>
                      <w:lang w:eastAsia="lv-LV"/>
                    </w:rPr>
                    <w:t xml:space="preserve">00 </w:t>
                  </w:r>
                </w:p>
              </w:tc>
              <w:tc>
                <w:tcPr>
                  <w:tcW w:w="1234" w:type="dxa"/>
                  <w:tcBorders>
                    <w:top w:val="nil"/>
                    <w:left w:val="nil"/>
                    <w:bottom w:val="single" w:sz="4" w:space="0" w:color="auto"/>
                    <w:right w:val="single" w:sz="4" w:space="0" w:color="auto"/>
                  </w:tcBorders>
                  <w:shd w:val="clear" w:color="auto" w:fill="auto"/>
                  <w:noWrap/>
                  <w:hideMark/>
                </w:tcPr>
                <w:p w14:paraId="23E2D4DE" w14:textId="77777777" w:rsidR="00497E68" w:rsidRPr="000B55A9" w:rsidRDefault="00497E68" w:rsidP="00520DA7">
                  <w:pPr>
                    <w:spacing w:after="0" w:line="240" w:lineRule="auto"/>
                    <w:jc w:val="center"/>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 xml:space="preserve">+ </w:t>
                  </w:r>
                  <w:r>
                    <w:rPr>
                      <w:rFonts w:ascii="Times New Roman" w:eastAsia="Times New Roman" w:hAnsi="Times New Roman" w:cs="Times New Roman"/>
                      <w:b/>
                      <w:color w:val="000000"/>
                      <w:sz w:val="24"/>
                      <w:szCs w:val="24"/>
                      <w:lang w:eastAsia="lv-LV"/>
                    </w:rPr>
                    <w:t>107</w:t>
                  </w:r>
                  <w:r w:rsidRPr="000B55A9">
                    <w:rPr>
                      <w:rFonts w:ascii="Times New Roman" w:eastAsia="Times New Roman" w:hAnsi="Times New Roman" w:cs="Times New Roman"/>
                      <w:b/>
                      <w:color w:val="000000"/>
                      <w:sz w:val="24"/>
                      <w:szCs w:val="24"/>
                      <w:lang w:eastAsia="lv-LV"/>
                    </w:rPr>
                    <w:t xml:space="preserve"> </w:t>
                  </w:r>
                  <w:r>
                    <w:rPr>
                      <w:rFonts w:ascii="Times New Roman" w:eastAsia="Times New Roman" w:hAnsi="Times New Roman" w:cs="Times New Roman"/>
                      <w:b/>
                      <w:color w:val="000000"/>
                      <w:sz w:val="24"/>
                      <w:szCs w:val="24"/>
                      <w:lang w:eastAsia="lv-LV"/>
                    </w:rPr>
                    <w:t>3</w:t>
                  </w:r>
                  <w:r w:rsidRPr="000B55A9">
                    <w:rPr>
                      <w:rFonts w:ascii="Times New Roman" w:eastAsia="Times New Roman" w:hAnsi="Times New Roman" w:cs="Times New Roman"/>
                      <w:b/>
                      <w:color w:val="000000"/>
                      <w:sz w:val="24"/>
                      <w:szCs w:val="24"/>
                      <w:lang w:eastAsia="lv-LV"/>
                    </w:rPr>
                    <w:t xml:space="preserve">00 </w:t>
                  </w:r>
                </w:p>
              </w:tc>
            </w:tr>
            <w:tr w:rsidR="00497E68" w:rsidRPr="000B55A9" w14:paraId="1E6D462C" w14:textId="77777777" w:rsidTr="00520DA7">
              <w:trPr>
                <w:trHeight w:val="257"/>
              </w:trPr>
              <w:tc>
                <w:tcPr>
                  <w:tcW w:w="2913" w:type="dxa"/>
                  <w:tcBorders>
                    <w:top w:val="nil"/>
                    <w:left w:val="single" w:sz="4" w:space="0" w:color="auto"/>
                    <w:bottom w:val="single" w:sz="4" w:space="0" w:color="auto"/>
                    <w:right w:val="single" w:sz="4" w:space="0" w:color="auto"/>
                  </w:tcBorders>
                  <w:shd w:val="clear" w:color="auto" w:fill="auto"/>
                  <w:noWrap/>
                  <w:vAlign w:val="center"/>
                  <w:hideMark/>
                </w:tcPr>
                <w:p w14:paraId="22896BBD" w14:textId="77777777" w:rsidR="00497E68" w:rsidRPr="000B55A9" w:rsidRDefault="00497E68" w:rsidP="00520DA7">
                  <w:pPr>
                    <w:spacing w:after="0" w:line="240" w:lineRule="auto"/>
                    <w:jc w:val="right"/>
                    <w:rPr>
                      <w:rFonts w:ascii="Times New Roman" w:eastAsia="Times New Roman" w:hAnsi="Times New Roman" w:cs="Times New Roman"/>
                      <w:i/>
                      <w:iCs/>
                      <w:color w:val="000000"/>
                      <w:sz w:val="24"/>
                      <w:szCs w:val="24"/>
                      <w:lang w:eastAsia="lv-LV"/>
                    </w:rPr>
                  </w:pPr>
                  <w:r w:rsidRPr="000B55A9">
                    <w:rPr>
                      <w:rFonts w:ascii="Times New Roman" w:eastAsia="Times New Roman" w:hAnsi="Times New Roman" w:cs="Times New Roman"/>
                      <w:i/>
                      <w:iCs/>
                      <w:color w:val="000000"/>
                      <w:sz w:val="24"/>
                      <w:szCs w:val="24"/>
                      <w:lang w:eastAsia="lv-LV"/>
                    </w:rPr>
                    <w:t>Akcīzes nodoklis</w:t>
                  </w:r>
                </w:p>
              </w:tc>
              <w:tc>
                <w:tcPr>
                  <w:tcW w:w="1516" w:type="dxa"/>
                  <w:tcBorders>
                    <w:top w:val="nil"/>
                    <w:left w:val="nil"/>
                    <w:bottom w:val="single" w:sz="4" w:space="0" w:color="auto"/>
                    <w:right w:val="single" w:sz="4" w:space="0" w:color="auto"/>
                  </w:tcBorders>
                  <w:shd w:val="clear" w:color="auto" w:fill="auto"/>
                  <w:noWrap/>
                  <w:hideMark/>
                </w:tcPr>
                <w:p w14:paraId="0CF705F5" w14:textId="77777777" w:rsidR="00497E68" w:rsidRPr="000B55A9" w:rsidRDefault="00497E68" w:rsidP="00520DA7">
                  <w:pPr>
                    <w:spacing w:after="0" w:line="240" w:lineRule="auto"/>
                    <w:jc w:val="center"/>
                    <w:rPr>
                      <w:rFonts w:ascii="Times New Roman" w:eastAsia="Times New Roman" w:hAnsi="Times New Roman" w:cs="Times New Roman"/>
                      <w:i/>
                      <w:color w:val="000000"/>
                      <w:sz w:val="24"/>
                      <w:szCs w:val="24"/>
                      <w:lang w:eastAsia="lv-LV"/>
                    </w:rPr>
                  </w:pPr>
                  <w:r w:rsidRPr="000B55A9">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81</w:t>
                  </w:r>
                  <w:r w:rsidRPr="000B55A9">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4</w:t>
                  </w:r>
                  <w:r w:rsidRPr="000B55A9">
                    <w:rPr>
                      <w:rFonts w:ascii="Times New Roman" w:eastAsia="Times New Roman" w:hAnsi="Times New Roman" w:cs="Times New Roman"/>
                      <w:i/>
                      <w:color w:val="000000"/>
                      <w:sz w:val="24"/>
                      <w:szCs w:val="24"/>
                      <w:lang w:eastAsia="lv-LV"/>
                    </w:rPr>
                    <w:t xml:space="preserve">00 </w:t>
                  </w:r>
                </w:p>
              </w:tc>
              <w:tc>
                <w:tcPr>
                  <w:tcW w:w="1234" w:type="dxa"/>
                  <w:tcBorders>
                    <w:top w:val="nil"/>
                    <w:left w:val="nil"/>
                    <w:bottom w:val="single" w:sz="4" w:space="0" w:color="auto"/>
                    <w:right w:val="single" w:sz="4" w:space="0" w:color="auto"/>
                  </w:tcBorders>
                  <w:shd w:val="clear" w:color="auto" w:fill="auto"/>
                  <w:noWrap/>
                  <w:hideMark/>
                </w:tcPr>
                <w:p w14:paraId="7BAC48BD" w14:textId="77777777" w:rsidR="00497E68" w:rsidRPr="000B55A9" w:rsidRDefault="00497E68" w:rsidP="00520DA7">
                  <w:pPr>
                    <w:spacing w:after="0" w:line="240" w:lineRule="auto"/>
                    <w:jc w:val="center"/>
                    <w:rPr>
                      <w:rFonts w:ascii="Times New Roman" w:eastAsia="Times New Roman" w:hAnsi="Times New Roman" w:cs="Times New Roman"/>
                      <w:i/>
                      <w:color w:val="000000"/>
                      <w:sz w:val="24"/>
                      <w:szCs w:val="24"/>
                      <w:lang w:eastAsia="lv-LV"/>
                    </w:rPr>
                  </w:pPr>
                  <w:r w:rsidRPr="000B55A9">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88</w:t>
                  </w:r>
                  <w:r w:rsidRPr="000B55A9">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7</w:t>
                  </w:r>
                  <w:r w:rsidRPr="000B55A9">
                    <w:rPr>
                      <w:rFonts w:ascii="Times New Roman" w:eastAsia="Times New Roman" w:hAnsi="Times New Roman" w:cs="Times New Roman"/>
                      <w:i/>
                      <w:color w:val="000000"/>
                      <w:sz w:val="24"/>
                      <w:szCs w:val="24"/>
                      <w:lang w:eastAsia="lv-LV"/>
                    </w:rPr>
                    <w:t xml:space="preserve">00 </w:t>
                  </w:r>
                </w:p>
              </w:tc>
              <w:tc>
                <w:tcPr>
                  <w:tcW w:w="1234" w:type="dxa"/>
                  <w:tcBorders>
                    <w:top w:val="nil"/>
                    <w:left w:val="nil"/>
                    <w:bottom w:val="single" w:sz="4" w:space="0" w:color="auto"/>
                    <w:right w:val="single" w:sz="4" w:space="0" w:color="auto"/>
                  </w:tcBorders>
                  <w:shd w:val="clear" w:color="auto" w:fill="auto"/>
                  <w:noWrap/>
                  <w:hideMark/>
                </w:tcPr>
                <w:p w14:paraId="1B6F7878" w14:textId="77777777" w:rsidR="00497E68" w:rsidRPr="000B55A9" w:rsidRDefault="00497E68" w:rsidP="00520DA7">
                  <w:pPr>
                    <w:spacing w:after="0" w:line="240" w:lineRule="auto"/>
                    <w:jc w:val="center"/>
                    <w:rPr>
                      <w:rFonts w:ascii="Times New Roman" w:eastAsia="Times New Roman" w:hAnsi="Times New Roman" w:cs="Times New Roman"/>
                      <w:i/>
                      <w:color w:val="000000"/>
                      <w:sz w:val="24"/>
                      <w:szCs w:val="24"/>
                      <w:lang w:eastAsia="lv-LV"/>
                    </w:rPr>
                  </w:pPr>
                  <w:r w:rsidRPr="000B55A9">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88</w:t>
                  </w:r>
                  <w:r w:rsidRPr="000B55A9">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7</w:t>
                  </w:r>
                  <w:r w:rsidRPr="000B55A9">
                    <w:rPr>
                      <w:rFonts w:ascii="Times New Roman" w:eastAsia="Times New Roman" w:hAnsi="Times New Roman" w:cs="Times New Roman"/>
                      <w:i/>
                      <w:color w:val="000000"/>
                      <w:sz w:val="24"/>
                      <w:szCs w:val="24"/>
                      <w:lang w:eastAsia="lv-LV"/>
                    </w:rPr>
                    <w:t xml:space="preserve">00 </w:t>
                  </w:r>
                </w:p>
              </w:tc>
            </w:tr>
            <w:tr w:rsidR="00497E68" w:rsidRPr="000B55A9" w14:paraId="4428D5CB" w14:textId="77777777" w:rsidTr="00520DA7">
              <w:trPr>
                <w:trHeight w:val="117"/>
              </w:trPr>
              <w:tc>
                <w:tcPr>
                  <w:tcW w:w="2913" w:type="dxa"/>
                  <w:tcBorders>
                    <w:top w:val="nil"/>
                    <w:left w:val="single" w:sz="4" w:space="0" w:color="auto"/>
                    <w:bottom w:val="single" w:sz="4" w:space="0" w:color="auto"/>
                    <w:right w:val="single" w:sz="4" w:space="0" w:color="auto"/>
                  </w:tcBorders>
                  <w:shd w:val="clear" w:color="auto" w:fill="auto"/>
                  <w:noWrap/>
                  <w:vAlign w:val="center"/>
                  <w:hideMark/>
                </w:tcPr>
                <w:p w14:paraId="6129D0C3" w14:textId="77777777" w:rsidR="00497E68" w:rsidRPr="000B55A9" w:rsidRDefault="00497E68" w:rsidP="00520DA7">
                  <w:pPr>
                    <w:spacing w:after="0" w:line="240" w:lineRule="auto"/>
                    <w:jc w:val="right"/>
                    <w:rPr>
                      <w:rFonts w:ascii="Times New Roman" w:eastAsia="Times New Roman" w:hAnsi="Times New Roman" w:cs="Times New Roman"/>
                      <w:i/>
                      <w:iCs/>
                      <w:color w:val="000000"/>
                      <w:sz w:val="24"/>
                      <w:szCs w:val="24"/>
                      <w:lang w:eastAsia="lv-LV"/>
                    </w:rPr>
                  </w:pPr>
                  <w:r w:rsidRPr="000B55A9">
                    <w:rPr>
                      <w:rFonts w:ascii="Times New Roman" w:eastAsia="Times New Roman" w:hAnsi="Times New Roman" w:cs="Times New Roman"/>
                      <w:i/>
                      <w:iCs/>
                      <w:color w:val="000000"/>
                      <w:sz w:val="24"/>
                      <w:szCs w:val="24"/>
                      <w:lang w:eastAsia="lv-LV"/>
                    </w:rPr>
                    <w:t>Pievienotās vērtības nodoklis</w:t>
                  </w:r>
                </w:p>
              </w:tc>
              <w:tc>
                <w:tcPr>
                  <w:tcW w:w="1516" w:type="dxa"/>
                  <w:tcBorders>
                    <w:top w:val="nil"/>
                    <w:left w:val="nil"/>
                    <w:bottom w:val="single" w:sz="4" w:space="0" w:color="auto"/>
                    <w:right w:val="single" w:sz="4" w:space="0" w:color="auto"/>
                  </w:tcBorders>
                  <w:shd w:val="clear" w:color="auto" w:fill="auto"/>
                  <w:noWrap/>
                  <w:hideMark/>
                </w:tcPr>
                <w:p w14:paraId="1C3AAD52" w14:textId="77777777" w:rsidR="00497E68" w:rsidRPr="000B55A9" w:rsidRDefault="00497E68" w:rsidP="00520DA7">
                  <w:pPr>
                    <w:spacing w:after="0" w:line="240" w:lineRule="auto"/>
                    <w:jc w:val="center"/>
                    <w:rPr>
                      <w:rFonts w:ascii="Times New Roman" w:eastAsia="Times New Roman" w:hAnsi="Times New Roman" w:cs="Times New Roman"/>
                      <w:i/>
                      <w:color w:val="000000"/>
                      <w:sz w:val="24"/>
                      <w:szCs w:val="24"/>
                      <w:lang w:eastAsia="lv-LV"/>
                    </w:rPr>
                  </w:pPr>
                  <w:r w:rsidRPr="000B55A9">
                    <w:rPr>
                      <w:rFonts w:ascii="Times New Roman" w:eastAsia="Times New Roman" w:hAnsi="Times New Roman" w:cs="Times New Roman"/>
                      <w:i/>
                      <w:color w:val="000000"/>
                      <w:sz w:val="24"/>
                      <w:szCs w:val="24"/>
                      <w:lang w:eastAsia="lv-LV"/>
                    </w:rPr>
                    <w:t>+ 1</w:t>
                  </w:r>
                  <w:r>
                    <w:rPr>
                      <w:rFonts w:ascii="Times New Roman" w:eastAsia="Times New Roman" w:hAnsi="Times New Roman" w:cs="Times New Roman"/>
                      <w:i/>
                      <w:color w:val="000000"/>
                      <w:sz w:val="24"/>
                      <w:szCs w:val="24"/>
                      <w:lang w:eastAsia="lv-LV"/>
                    </w:rPr>
                    <w:t>7</w:t>
                  </w:r>
                  <w:r w:rsidRPr="000B55A9">
                    <w:rPr>
                      <w:rFonts w:ascii="Times New Roman" w:eastAsia="Times New Roman" w:hAnsi="Times New Roman" w:cs="Times New Roman"/>
                      <w:i/>
                      <w:color w:val="000000"/>
                      <w:sz w:val="24"/>
                      <w:szCs w:val="24"/>
                      <w:lang w:eastAsia="lv-LV"/>
                    </w:rPr>
                    <w:t xml:space="preserve"> 000 </w:t>
                  </w:r>
                </w:p>
              </w:tc>
              <w:tc>
                <w:tcPr>
                  <w:tcW w:w="1234" w:type="dxa"/>
                  <w:tcBorders>
                    <w:top w:val="nil"/>
                    <w:left w:val="nil"/>
                    <w:bottom w:val="single" w:sz="4" w:space="0" w:color="auto"/>
                    <w:right w:val="single" w:sz="4" w:space="0" w:color="auto"/>
                  </w:tcBorders>
                  <w:shd w:val="clear" w:color="auto" w:fill="auto"/>
                  <w:noWrap/>
                  <w:hideMark/>
                </w:tcPr>
                <w:p w14:paraId="1217EC86" w14:textId="77777777" w:rsidR="00497E68" w:rsidRPr="000B55A9" w:rsidRDefault="00497E68" w:rsidP="00520DA7">
                  <w:pPr>
                    <w:spacing w:after="0" w:line="240" w:lineRule="auto"/>
                    <w:jc w:val="center"/>
                    <w:rPr>
                      <w:rFonts w:ascii="Times New Roman" w:eastAsia="Times New Roman" w:hAnsi="Times New Roman" w:cs="Times New Roman"/>
                      <w:i/>
                      <w:color w:val="000000"/>
                      <w:sz w:val="24"/>
                      <w:szCs w:val="24"/>
                      <w:lang w:eastAsia="lv-LV"/>
                    </w:rPr>
                  </w:pPr>
                  <w:r w:rsidRPr="000B55A9">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18</w:t>
                  </w:r>
                  <w:r w:rsidRPr="000B55A9">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6</w:t>
                  </w:r>
                  <w:r w:rsidRPr="000B55A9">
                    <w:rPr>
                      <w:rFonts w:ascii="Times New Roman" w:eastAsia="Times New Roman" w:hAnsi="Times New Roman" w:cs="Times New Roman"/>
                      <w:i/>
                      <w:color w:val="000000"/>
                      <w:sz w:val="24"/>
                      <w:szCs w:val="24"/>
                      <w:lang w:eastAsia="lv-LV"/>
                    </w:rPr>
                    <w:t xml:space="preserve">00 </w:t>
                  </w:r>
                </w:p>
              </w:tc>
              <w:tc>
                <w:tcPr>
                  <w:tcW w:w="1234" w:type="dxa"/>
                  <w:tcBorders>
                    <w:top w:val="nil"/>
                    <w:left w:val="nil"/>
                    <w:bottom w:val="single" w:sz="4" w:space="0" w:color="auto"/>
                    <w:right w:val="single" w:sz="4" w:space="0" w:color="auto"/>
                  </w:tcBorders>
                  <w:shd w:val="clear" w:color="auto" w:fill="auto"/>
                  <w:noWrap/>
                  <w:hideMark/>
                </w:tcPr>
                <w:p w14:paraId="3AD979F7" w14:textId="77777777" w:rsidR="00497E68" w:rsidRPr="000B55A9" w:rsidRDefault="00497E68" w:rsidP="00520DA7">
                  <w:pPr>
                    <w:spacing w:after="0" w:line="240" w:lineRule="auto"/>
                    <w:jc w:val="center"/>
                    <w:rPr>
                      <w:rFonts w:ascii="Times New Roman" w:eastAsia="Times New Roman" w:hAnsi="Times New Roman" w:cs="Times New Roman"/>
                      <w:i/>
                      <w:color w:val="000000"/>
                      <w:sz w:val="24"/>
                      <w:szCs w:val="24"/>
                      <w:lang w:eastAsia="lv-LV"/>
                    </w:rPr>
                  </w:pPr>
                  <w:r w:rsidRPr="000B55A9">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18</w:t>
                  </w:r>
                  <w:r w:rsidRPr="000B55A9">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6</w:t>
                  </w:r>
                  <w:r w:rsidRPr="000B55A9">
                    <w:rPr>
                      <w:rFonts w:ascii="Times New Roman" w:eastAsia="Times New Roman" w:hAnsi="Times New Roman" w:cs="Times New Roman"/>
                      <w:i/>
                      <w:color w:val="000000"/>
                      <w:sz w:val="24"/>
                      <w:szCs w:val="24"/>
                      <w:lang w:eastAsia="lv-LV"/>
                    </w:rPr>
                    <w:t xml:space="preserve">00 </w:t>
                  </w:r>
                </w:p>
              </w:tc>
            </w:tr>
          </w:tbl>
          <w:p w14:paraId="6D9E9726" w14:textId="77777777" w:rsidR="00497E68" w:rsidRPr="002E1357" w:rsidRDefault="00497E68" w:rsidP="00520DA7">
            <w:pPr>
              <w:tabs>
                <w:tab w:val="left" w:pos="473"/>
              </w:tabs>
              <w:ind w:right="111"/>
              <w:jc w:val="both"/>
              <w:rPr>
                <w:rFonts w:eastAsia="Times New Roman" w:cs="Times New Roman"/>
                <w:color w:val="000000"/>
                <w:sz w:val="20"/>
                <w:szCs w:val="24"/>
                <w:lang w:eastAsia="lv-LV"/>
              </w:rPr>
            </w:pPr>
          </w:p>
          <w:p w14:paraId="781974CD" w14:textId="77777777" w:rsidR="00497E68" w:rsidRPr="000B55A9" w:rsidRDefault="00497E68" w:rsidP="00520DA7">
            <w:pPr>
              <w:tabs>
                <w:tab w:val="left" w:pos="473"/>
              </w:tabs>
              <w:ind w:right="111"/>
              <w:jc w:val="both"/>
              <w:rPr>
                <w:rFonts w:eastAsia="Times New Roman" w:cs="Times New Roman"/>
                <w:color w:val="000000"/>
                <w:sz w:val="24"/>
                <w:szCs w:val="24"/>
                <w:lang w:eastAsia="lv-LV"/>
              </w:rPr>
            </w:pPr>
            <w:r w:rsidRPr="000B55A9">
              <w:rPr>
                <w:rFonts w:eastAsia="Times New Roman" w:cs="Times New Roman"/>
                <w:color w:val="000000"/>
                <w:sz w:val="24"/>
                <w:szCs w:val="24"/>
                <w:lang w:eastAsia="lv-LV"/>
              </w:rPr>
              <w:t xml:space="preserve">Aprēķinos izmantota iepriekš minētā informācija par naftas produktu, ko izmanto par degvielu, </w:t>
            </w:r>
            <w:r>
              <w:rPr>
                <w:rFonts w:eastAsia="Times New Roman" w:cs="Times New Roman"/>
                <w:color w:val="000000"/>
                <w:sz w:val="24"/>
                <w:szCs w:val="24"/>
                <w:lang w:eastAsia="lv-LV"/>
              </w:rPr>
              <w:t xml:space="preserve">vidējo </w:t>
            </w:r>
            <w:r w:rsidRPr="000B55A9">
              <w:rPr>
                <w:rFonts w:eastAsia="Times New Roman" w:cs="Times New Roman"/>
                <w:color w:val="000000"/>
                <w:sz w:val="24"/>
                <w:szCs w:val="24"/>
                <w:lang w:eastAsia="lv-LV"/>
              </w:rPr>
              <w:t>patēriņu 201</w:t>
            </w:r>
            <w:r>
              <w:rPr>
                <w:rFonts w:eastAsia="Times New Roman" w:cs="Times New Roman"/>
                <w:color w:val="000000"/>
                <w:sz w:val="24"/>
                <w:szCs w:val="24"/>
                <w:lang w:eastAsia="lv-LV"/>
              </w:rPr>
              <w:t>6.-2018</w:t>
            </w:r>
            <w:r w:rsidRPr="000B55A9">
              <w:rPr>
                <w:rFonts w:eastAsia="Times New Roman" w:cs="Times New Roman"/>
                <w:color w:val="000000"/>
                <w:sz w:val="24"/>
                <w:szCs w:val="24"/>
                <w:lang w:eastAsia="lv-LV"/>
              </w:rPr>
              <w:t xml:space="preserve">.gadā. </w:t>
            </w:r>
          </w:p>
          <w:p w14:paraId="03A2E12D" w14:textId="77777777" w:rsidR="00497E68" w:rsidRPr="000B55A9" w:rsidRDefault="00497E68" w:rsidP="00520DA7">
            <w:pPr>
              <w:tabs>
                <w:tab w:val="left" w:pos="473"/>
              </w:tabs>
              <w:ind w:right="111"/>
              <w:jc w:val="both"/>
              <w:rPr>
                <w:rFonts w:eastAsia="Times New Roman" w:cs="Times New Roman"/>
                <w:color w:val="000000"/>
                <w:sz w:val="24"/>
                <w:szCs w:val="24"/>
                <w:lang w:eastAsia="lv-LV"/>
              </w:rPr>
            </w:pPr>
          </w:p>
          <w:p w14:paraId="1AA522D6" w14:textId="77777777" w:rsidR="00497E68" w:rsidRPr="000B55A9" w:rsidRDefault="00497E68" w:rsidP="00520DA7">
            <w:pPr>
              <w:tabs>
                <w:tab w:val="left" w:pos="473"/>
              </w:tabs>
              <w:ind w:right="111"/>
              <w:jc w:val="both"/>
              <w:rPr>
                <w:rFonts w:cs="Times New Roman"/>
                <w:b/>
                <w:sz w:val="24"/>
                <w:szCs w:val="24"/>
              </w:rPr>
            </w:pPr>
            <w:r w:rsidRPr="000B55A9">
              <w:rPr>
                <w:rFonts w:cs="Times New Roman"/>
                <w:b/>
                <w:sz w:val="24"/>
                <w:szCs w:val="24"/>
              </w:rPr>
              <w:t>Fiskālā ietekme no likmju paaugstināšanas iepriekš minētajiem naftas produktiem, ko izmanto kā kurināmo un ko izmanto kā degvielu, kopā:</w:t>
            </w:r>
          </w:p>
          <w:p w14:paraId="4C363B04" w14:textId="77777777" w:rsidR="00497E68" w:rsidRPr="000B55A9" w:rsidRDefault="00497E68" w:rsidP="00520DA7">
            <w:pPr>
              <w:tabs>
                <w:tab w:val="left" w:pos="473"/>
              </w:tabs>
              <w:ind w:right="111"/>
              <w:jc w:val="both"/>
              <w:rPr>
                <w:rFonts w:cs="Times New Roman"/>
                <w:sz w:val="24"/>
                <w:szCs w:val="24"/>
              </w:rPr>
            </w:pPr>
          </w:p>
          <w:tbl>
            <w:tblPr>
              <w:tblW w:w="6490" w:type="dxa"/>
              <w:tblLayout w:type="fixed"/>
              <w:tblLook w:val="04A0" w:firstRow="1" w:lastRow="0" w:firstColumn="1" w:lastColumn="0" w:noHBand="0" w:noVBand="1"/>
            </w:tblPr>
            <w:tblGrid>
              <w:gridCol w:w="2741"/>
              <w:gridCol w:w="1427"/>
              <w:gridCol w:w="1161"/>
              <w:gridCol w:w="1161"/>
            </w:tblGrid>
            <w:tr w:rsidR="00497E68" w:rsidRPr="000B55A9" w14:paraId="06A6F224" w14:textId="77777777" w:rsidTr="00520DA7">
              <w:trPr>
                <w:trHeight w:val="56"/>
              </w:trPr>
              <w:tc>
                <w:tcPr>
                  <w:tcW w:w="2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782E909" w14:textId="77777777" w:rsidR="00497E68" w:rsidRPr="000B55A9" w:rsidRDefault="00497E68" w:rsidP="00520DA7">
                  <w:pPr>
                    <w:spacing w:after="0" w:line="240" w:lineRule="auto"/>
                    <w:rPr>
                      <w:rFonts w:ascii="Times New Roman" w:eastAsia="Times New Roman" w:hAnsi="Times New Roman" w:cs="Times New Roman"/>
                      <w:i/>
                      <w:iCs/>
                      <w:color w:val="000000"/>
                      <w:sz w:val="24"/>
                      <w:szCs w:val="24"/>
                      <w:lang w:eastAsia="lv-LV"/>
                    </w:rPr>
                  </w:pPr>
                  <w:proofErr w:type="spellStart"/>
                  <w:r w:rsidRPr="000B55A9">
                    <w:rPr>
                      <w:rFonts w:ascii="Times New Roman" w:eastAsia="Times New Roman" w:hAnsi="Times New Roman" w:cs="Times New Roman"/>
                      <w:i/>
                      <w:iCs/>
                      <w:color w:val="000000"/>
                      <w:sz w:val="24"/>
                      <w:szCs w:val="24"/>
                      <w:lang w:eastAsia="lv-LV"/>
                    </w:rPr>
                    <w:t>euro</w:t>
                  </w:r>
                  <w:proofErr w:type="spellEnd"/>
                </w:p>
              </w:tc>
              <w:tc>
                <w:tcPr>
                  <w:tcW w:w="1427"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5432DD47" w14:textId="4C465975" w:rsidR="00497E68" w:rsidRPr="000B55A9" w:rsidRDefault="00497E68" w:rsidP="008E44AD">
                  <w:pPr>
                    <w:spacing w:after="0" w:line="240" w:lineRule="auto"/>
                    <w:jc w:val="center"/>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20</w:t>
                  </w:r>
                  <w:r w:rsidR="008E44AD">
                    <w:rPr>
                      <w:rFonts w:ascii="Times New Roman" w:eastAsia="Times New Roman" w:hAnsi="Times New Roman" w:cs="Times New Roman"/>
                      <w:b/>
                      <w:color w:val="000000"/>
                      <w:sz w:val="24"/>
                      <w:szCs w:val="24"/>
                      <w:lang w:eastAsia="lv-LV"/>
                    </w:rPr>
                    <w:t>20</w:t>
                  </w:r>
                </w:p>
              </w:tc>
              <w:tc>
                <w:tcPr>
                  <w:tcW w:w="116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E5FD2EC" w14:textId="46A3FB03" w:rsidR="00497E68" w:rsidRPr="000B55A9" w:rsidRDefault="00497E68" w:rsidP="008E44AD">
                  <w:pPr>
                    <w:spacing w:after="0" w:line="240" w:lineRule="auto"/>
                    <w:jc w:val="center"/>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202</w:t>
                  </w:r>
                  <w:r w:rsidR="008E44AD">
                    <w:rPr>
                      <w:rFonts w:ascii="Times New Roman" w:eastAsia="Times New Roman" w:hAnsi="Times New Roman" w:cs="Times New Roman"/>
                      <w:b/>
                      <w:color w:val="000000"/>
                      <w:sz w:val="24"/>
                      <w:szCs w:val="24"/>
                      <w:lang w:eastAsia="lv-LV"/>
                    </w:rPr>
                    <w:t>1</w:t>
                  </w:r>
                </w:p>
              </w:tc>
              <w:tc>
                <w:tcPr>
                  <w:tcW w:w="116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7D2B7150" w14:textId="13FEA9A4" w:rsidR="00497E68" w:rsidRPr="000B55A9" w:rsidRDefault="00497E68" w:rsidP="008E44AD">
                  <w:pPr>
                    <w:spacing w:after="0" w:line="240" w:lineRule="auto"/>
                    <w:jc w:val="center"/>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202</w:t>
                  </w:r>
                  <w:r w:rsidR="008E44AD">
                    <w:rPr>
                      <w:rFonts w:ascii="Times New Roman" w:eastAsia="Times New Roman" w:hAnsi="Times New Roman" w:cs="Times New Roman"/>
                      <w:b/>
                      <w:color w:val="000000"/>
                      <w:sz w:val="24"/>
                      <w:szCs w:val="24"/>
                      <w:lang w:eastAsia="lv-LV"/>
                    </w:rPr>
                    <w:t>2</w:t>
                  </w:r>
                </w:p>
              </w:tc>
            </w:tr>
            <w:tr w:rsidR="00497E68" w:rsidRPr="000B55A9" w14:paraId="65C31573" w14:textId="77777777" w:rsidTr="00520DA7">
              <w:trPr>
                <w:trHeight w:val="165"/>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14:paraId="4DA40E18" w14:textId="77777777" w:rsidR="00497E68" w:rsidRPr="000B55A9" w:rsidRDefault="00497E68" w:rsidP="00520DA7">
                  <w:pPr>
                    <w:spacing w:after="0" w:line="240" w:lineRule="auto"/>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color w:val="000000"/>
                      <w:sz w:val="24"/>
                      <w:szCs w:val="24"/>
                      <w:lang w:eastAsia="lv-LV"/>
                    </w:rPr>
                    <w:t xml:space="preserve">KOPĀ, t.sk., </w:t>
                  </w:r>
                </w:p>
              </w:tc>
              <w:tc>
                <w:tcPr>
                  <w:tcW w:w="1427" w:type="dxa"/>
                  <w:tcBorders>
                    <w:top w:val="nil"/>
                    <w:left w:val="nil"/>
                    <w:bottom w:val="single" w:sz="4" w:space="0" w:color="auto"/>
                    <w:right w:val="single" w:sz="4" w:space="0" w:color="auto"/>
                  </w:tcBorders>
                  <w:shd w:val="clear" w:color="auto" w:fill="auto"/>
                  <w:noWrap/>
                </w:tcPr>
                <w:p w14:paraId="29BD7F58" w14:textId="77777777" w:rsidR="00497E68" w:rsidRPr="000B55A9" w:rsidRDefault="00497E68" w:rsidP="00520DA7">
                  <w:pPr>
                    <w:spacing w:after="0" w:line="240" w:lineRule="auto"/>
                    <w:jc w:val="center"/>
                    <w:rPr>
                      <w:rFonts w:ascii="Times New Roman" w:hAnsi="Times New Roman" w:cs="Times New Roman"/>
                      <w:b/>
                      <w:color w:val="000000"/>
                      <w:sz w:val="24"/>
                      <w:szCs w:val="24"/>
                    </w:rPr>
                  </w:pPr>
                  <w:r w:rsidRPr="000B55A9">
                    <w:rPr>
                      <w:rFonts w:ascii="Times New Roman" w:hAnsi="Times New Roman" w:cs="Times New Roman"/>
                      <w:b/>
                      <w:color w:val="000000"/>
                      <w:sz w:val="24"/>
                      <w:szCs w:val="24"/>
                    </w:rPr>
                    <w:t>+</w:t>
                  </w:r>
                  <w:r>
                    <w:rPr>
                      <w:rFonts w:ascii="Times New Roman" w:hAnsi="Times New Roman" w:cs="Times New Roman"/>
                      <w:b/>
                      <w:color w:val="000000"/>
                      <w:sz w:val="24"/>
                      <w:szCs w:val="24"/>
                    </w:rPr>
                    <w:t>737 0</w:t>
                  </w:r>
                  <w:r w:rsidRPr="000B55A9">
                    <w:rPr>
                      <w:rFonts w:ascii="Times New Roman" w:hAnsi="Times New Roman" w:cs="Times New Roman"/>
                      <w:b/>
                      <w:color w:val="000000"/>
                      <w:sz w:val="24"/>
                      <w:szCs w:val="24"/>
                    </w:rPr>
                    <w:t xml:space="preserve">00 </w:t>
                  </w:r>
                </w:p>
              </w:tc>
              <w:tc>
                <w:tcPr>
                  <w:tcW w:w="1161" w:type="dxa"/>
                  <w:tcBorders>
                    <w:top w:val="nil"/>
                    <w:left w:val="nil"/>
                    <w:bottom w:val="single" w:sz="4" w:space="0" w:color="auto"/>
                    <w:right w:val="single" w:sz="4" w:space="0" w:color="auto"/>
                  </w:tcBorders>
                  <w:shd w:val="clear" w:color="auto" w:fill="auto"/>
                  <w:noWrap/>
                </w:tcPr>
                <w:p w14:paraId="65CB1787" w14:textId="77777777" w:rsidR="00497E68" w:rsidRPr="000B55A9" w:rsidRDefault="00497E68" w:rsidP="00520DA7">
                  <w:pPr>
                    <w:spacing w:after="0" w:line="240" w:lineRule="auto"/>
                    <w:jc w:val="center"/>
                    <w:rPr>
                      <w:rFonts w:ascii="Times New Roman" w:hAnsi="Times New Roman" w:cs="Times New Roman"/>
                      <w:b/>
                      <w:color w:val="000000"/>
                      <w:sz w:val="24"/>
                      <w:szCs w:val="24"/>
                    </w:rPr>
                  </w:pPr>
                  <w:r w:rsidRPr="000B55A9">
                    <w:rPr>
                      <w:rFonts w:ascii="Times New Roman" w:hAnsi="Times New Roman" w:cs="Times New Roman"/>
                      <w:b/>
                      <w:color w:val="000000"/>
                      <w:sz w:val="24"/>
                      <w:szCs w:val="24"/>
                    </w:rPr>
                    <w:t>+</w:t>
                  </w:r>
                  <w:r>
                    <w:rPr>
                      <w:rFonts w:ascii="Times New Roman" w:hAnsi="Times New Roman" w:cs="Times New Roman"/>
                      <w:b/>
                      <w:color w:val="000000"/>
                      <w:sz w:val="24"/>
                      <w:szCs w:val="24"/>
                    </w:rPr>
                    <w:t>803 6</w:t>
                  </w:r>
                  <w:r w:rsidRPr="000B55A9">
                    <w:rPr>
                      <w:rFonts w:ascii="Times New Roman" w:hAnsi="Times New Roman" w:cs="Times New Roman"/>
                      <w:b/>
                      <w:color w:val="000000"/>
                      <w:sz w:val="24"/>
                      <w:szCs w:val="24"/>
                    </w:rPr>
                    <w:t xml:space="preserve">00 </w:t>
                  </w:r>
                </w:p>
              </w:tc>
              <w:tc>
                <w:tcPr>
                  <w:tcW w:w="1161" w:type="dxa"/>
                  <w:tcBorders>
                    <w:top w:val="nil"/>
                    <w:left w:val="nil"/>
                    <w:bottom w:val="single" w:sz="4" w:space="0" w:color="auto"/>
                    <w:right w:val="single" w:sz="4" w:space="0" w:color="auto"/>
                  </w:tcBorders>
                  <w:shd w:val="clear" w:color="auto" w:fill="auto"/>
                  <w:noWrap/>
                </w:tcPr>
                <w:p w14:paraId="3B52779A" w14:textId="77777777" w:rsidR="00497E68" w:rsidRPr="000B55A9" w:rsidRDefault="00497E68" w:rsidP="00520DA7">
                  <w:pPr>
                    <w:spacing w:after="0" w:line="240" w:lineRule="auto"/>
                    <w:jc w:val="center"/>
                    <w:rPr>
                      <w:rFonts w:ascii="Times New Roman" w:hAnsi="Times New Roman" w:cs="Times New Roman"/>
                      <w:b/>
                      <w:color w:val="000000"/>
                      <w:sz w:val="24"/>
                      <w:szCs w:val="24"/>
                    </w:rPr>
                  </w:pPr>
                  <w:r w:rsidRPr="000B55A9">
                    <w:rPr>
                      <w:rFonts w:ascii="Times New Roman" w:hAnsi="Times New Roman" w:cs="Times New Roman"/>
                      <w:b/>
                      <w:color w:val="000000"/>
                      <w:sz w:val="24"/>
                      <w:szCs w:val="24"/>
                    </w:rPr>
                    <w:t>+</w:t>
                  </w:r>
                  <w:r>
                    <w:rPr>
                      <w:rFonts w:ascii="Times New Roman" w:hAnsi="Times New Roman" w:cs="Times New Roman"/>
                      <w:b/>
                      <w:color w:val="000000"/>
                      <w:sz w:val="24"/>
                      <w:szCs w:val="24"/>
                    </w:rPr>
                    <w:t>803 6</w:t>
                  </w:r>
                  <w:r w:rsidRPr="000B55A9">
                    <w:rPr>
                      <w:rFonts w:ascii="Times New Roman" w:hAnsi="Times New Roman" w:cs="Times New Roman"/>
                      <w:b/>
                      <w:color w:val="000000"/>
                      <w:sz w:val="24"/>
                      <w:szCs w:val="24"/>
                    </w:rPr>
                    <w:t xml:space="preserve">00 </w:t>
                  </w:r>
                </w:p>
              </w:tc>
            </w:tr>
            <w:tr w:rsidR="00497E68" w:rsidRPr="000B55A9" w14:paraId="2F8AE53A" w14:textId="77777777" w:rsidTr="00520DA7">
              <w:trPr>
                <w:trHeight w:val="299"/>
              </w:trPr>
              <w:tc>
                <w:tcPr>
                  <w:tcW w:w="2741" w:type="dxa"/>
                  <w:tcBorders>
                    <w:top w:val="nil"/>
                    <w:left w:val="single" w:sz="4" w:space="0" w:color="auto"/>
                    <w:bottom w:val="single" w:sz="4" w:space="0" w:color="auto"/>
                    <w:right w:val="single" w:sz="4" w:space="0" w:color="auto"/>
                  </w:tcBorders>
                  <w:shd w:val="clear" w:color="auto" w:fill="auto"/>
                  <w:noWrap/>
                  <w:vAlign w:val="center"/>
                  <w:hideMark/>
                </w:tcPr>
                <w:p w14:paraId="081ADA10" w14:textId="77777777" w:rsidR="00497E68" w:rsidRPr="000B55A9" w:rsidRDefault="00497E68" w:rsidP="00520DA7">
                  <w:pPr>
                    <w:spacing w:after="0" w:line="240" w:lineRule="auto"/>
                    <w:jc w:val="right"/>
                    <w:rPr>
                      <w:rFonts w:ascii="Times New Roman" w:eastAsia="Times New Roman" w:hAnsi="Times New Roman" w:cs="Times New Roman"/>
                      <w:b/>
                      <w:i/>
                      <w:iCs/>
                      <w:color w:val="000000"/>
                      <w:sz w:val="24"/>
                      <w:szCs w:val="24"/>
                      <w:lang w:eastAsia="lv-LV"/>
                    </w:rPr>
                  </w:pPr>
                  <w:r w:rsidRPr="000B55A9">
                    <w:rPr>
                      <w:rFonts w:ascii="Times New Roman" w:eastAsia="Times New Roman" w:hAnsi="Times New Roman" w:cs="Times New Roman"/>
                      <w:b/>
                      <w:i/>
                      <w:iCs/>
                      <w:color w:val="000000"/>
                      <w:sz w:val="24"/>
                      <w:szCs w:val="24"/>
                      <w:lang w:eastAsia="lv-LV"/>
                    </w:rPr>
                    <w:t>Akcīzes nodoklis</w:t>
                  </w:r>
                </w:p>
              </w:tc>
              <w:tc>
                <w:tcPr>
                  <w:tcW w:w="1427" w:type="dxa"/>
                  <w:tcBorders>
                    <w:top w:val="nil"/>
                    <w:left w:val="nil"/>
                    <w:bottom w:val="single" w:sz="4" w:space="0" w:color="auto"/>
                    <w:right w:val="single" w:sz="4" w:space="0" w:color="auto"/>
                  </w:tcBorders>
                  <w:shd w:val="clear" w:color="auto" w:fill="auto"/>
                  <w:noWrap/>
                  <w:vAlign w:val="bottom"/>
                </w:tcPr>
                <w:p w14:paraId="092C3FE7" w14:textId="77777777" w:rsidR="00497E68" w:rsidRPr="000B55A9" w:rsidRDefault="00497E68" w:rsidP="00520DA7">
                  <w:pPr>
                    <w:spacing w:after="0" w:line="240" w:lineRule="auto"/>
                    <w:jc w:val="center"/>
                    <w:rPr>
                      <w:rFonts w:ascii="Times New Roman" w:hAnsi="Times New Roman" w:cs="Times New Roman"/>
                      <w:b/>
                      <w:i/>
                      <w:color w:val="000000"/>
                      <w:sz w:val="24"/>
                      <w:szCs w:val="24"/>
                    </w:rPr>
                  </w:pPr>
                  <w:r w:rsidRPr="000B55A9">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609 0</w:t>
                  </w:r>
                  <w:r w:rsidRPr="000B55A9">
                    <w:rPr>
                      <w:rFonts w:ascii="Times New Roman" w:hAnsi="Times New Roman" w:cs="Times New Roman"/>
                      <w:b/>
                      <w:i/>
                      <w:color w:val="000000"/>
                      <w:sz w:val="24"/>
                      <w:szCs w:val="24"/>
                    </w:rPr>
                    <w:t xml:space="preserve">00 </w:t>
                  </w:r>
                </w:p>
              </w:tc>
              <w:tc>
                <w:tcPr>
                  <w:tcW w:w="1161" w:type="dxa"/>
                  <w:tcBorders>
                    <w:top w:val="nil"/>
                    <w:left w:val="nil"/>
                    <w:bottom w:val="single" w:sz="4" w:space="0" w:color="auto"/>
                    <w:right w:val="single" w:sz="4" w:space="0" w:color="auto"/>
                  </w:tcBorders>
                  <w:shd w:val="clear" w:color="auto" w:fill="auto"/>
                  <w:noWrap/>
                  <w:vAlign w:val="bottom"/>
                </w:tcPr>
                <w:p w14:paraId="019C3B37" w14:textId="77777777" w:rsidR="00497E68" w:rsidRPr="000B55A9" w:rsidRDefault="00497E68" w:rsidP="00520DA7">
                  <w:pPr>
                    <w:spacing w:after="0" w:line="240" w:lineRule="auto"/>
                    <w:jc w:val="center"/>
                    <w:rPr>
                      <w:rFonts w:ascii="Times New Roman" w:hAnsi="Times New Roman" w:cs="Times New Roman"/>
                      <w:b/>
                      <w:i/>
                      <w:color w:val="000000"/>
                      <w:sz w:val="24"/>
                      <w:szCs w:val="24"/>
                    </w:rPr>
                  </w:pPr>
                  <w:r w:rsidRPr="000B55A9">
                    <w:rPr>
                      <w:rFonts w:ascii="Times New Roman" w:hAnsi="Times New Roman" w:cs="Times New Roman"/>
                      <w:b/>
                      <w:i/>
                      <w:color w:val="000000"/>
                      <w:sz w:val="24"/>
                      <w:szCs w:val="24"/>
                    </w:rPr>
                    <w:t xml:space="preserve"> +6</w:t>
                  </w:r>
                  <w:r>
                    <w:rPr>
                      <w:rFonts w:ascii="Times New Roman" w:hAnsi="Times New Roman" w:cs="Times New Roman"/>
                      <w:b/>
                      <w:i/>
                      <w:color w:val="000000"/>
                      <w:sz w:val="24"/>
                      <w:szCs w:val="24"/>
                    </w:rPr>
                    <w:t>64 2</w:t>
                  </w:r>
                  <w:r w:rsidRPr="000B55A9">
                    <w:rPr>
                      <w:rFonts w:ascii="Times New Roman" w:hAnsi="Times New Roman" w:cs="Times New Roman"/>
                      <w:b/>
                      <w:i/>
                      <w:color w:val="000000"/>
                      <w:sz w:val="24"/>
                      <w:szCs w:val="24"/>
                    </w:rPr>
                    <w:t xml:space="preserve">00 </w:t>
                  </w:r>
                </w:p>
              </w:tc>
              <w:tc>
                <w:tcPr>
                  <w:tcW w:w="1161" w:type="dxa"/>
                  <w:tcBorders>
                    <w:top w:val="nil"/>
                    <w:left w:val="nil"/>
                    <w:bottom w:val="single" w:sz="4" w:space="0" w:color="auto"/>
                    <w:right w:val="single" w:sz="4" w:space="0" w:color="auto"/>
                  </w:tcBorders>
                  <w:shd w:val="clear" w:color="auto" w:fill="auto"/>
                  <w:noWrap/>
                  <w:vAlign w:val="bottom"/>
                </w:tcPr>
                <w:p w14:paraId="61986C98" w14:textId="77777777" w:rsidR="00497E68" w:rsidRPr="000B55A9" w:rsidRDefault="00497E68" w:rsidP="00520DA7">
                  <w:pPr>
                    <w:spacing w:after="0" w:line="240" w:lineRule="auto"/>
                    <w:jc w:val="center"/>
                    <w:rPr>
                      <w:rFonts w:ascii="Times New Roman" w:hAnsi="Times New Roman" w:cs="Times New Roman"/>
                      <w:b/>
                      <w:i/>
                      <w:color w:val="000000"/>
                      <w:sz w:val="24"/>
                      <w:szCs w:val="24"/>
                    </w:rPr>
                  </w:pPr>
                  <w:r w:rsidRPr="000B55A9">
                    <w:rPr>
                      <w:rFonts w:ascii="Times New Roman" w:hAnsi="Times New Roman" w:cs="Times New Roman"/>
                      <w:b/>
                      <w:i/>
                      <w:color w:val="000000"/>
                      <w:sz w:val="24"/>
                      <w:szCs w:val="24"/>
                    </w:rPr>
                    <w:t xml:space="preserve">  +6</w:t>
                  </w:r>
                  <w:r>
                    <w:rPr>
                      <w:rFonts w:ascii="Times New Roman" w:hAnsi="Times New Roman" w:cs="Times New Roman"/>
                      <w:b/>
                      <w:i/>
                      <w:color w:val="000000"/>
                      <w:sz w:val="24"/>
                      <w:szCs w:val="24"/>
                    </w:rPr>
                    <w:t>64 2</w:t>
                  </w:r>
                  <w:r w:rsidRPr="000B55A9">
                    <w:rPr>
                      <w:rFonts w:ascii="Times New Roman" w:hAnsi="Times New Roman" w:cs="Times New Roman"/>
                      <w:b/>
                      <w:i/>
                      <w:color w:val="000000"/>
                      <w:sz w:val="24"/>
                      <w:szCs w:val="24"/>
                    </w:rPr>
                    <w:t xml:space="preserve">00 </w:t>
                  </w:r>
                </w:p>
              </w:tc>
            </w:tr>
            <w:tr w:rsidR="00497E68" w:rsidRPr="000B55A9" w14:paraId="22653E31" w14:textId="77777777" w:rsidTr="00520DA7">
              <w:trPr>
                <w:trHeight w:val="299"/>
              </w:trPr>
              <w:tc>
                <w:tcPr>
                  <w:tcW w:w="2741" w:type="dxa"/>
                  <w:tcBorders>
                    <w:top w:val="nil"/>
                    <w:left w:val="single" w:sz="4" w:space="0" w:color="auto"/>
                    <w:bottom w:val="single" w:sz="4" w:space="0" w:color="auto"/>
                    <w:right w:val="single" w:sz="4" w:space="0" w:color="auto"/>
                  </w:tcBorders>
                  <w:shd w:val="clear" w:color="auto" w:fill="auto"/>
                  <w:noWrap/>
                  <w:vAlign w:val="center"/>
                  <w:hideMark/>
                </w:tcPr>
                <w:p w14:paraId="7E88B77C" w14:textId="77777777" w:rsidR="00497E68" w:rsidRPr="000B55A9" w:rsidRDefault="00497E68" w:rsidP="00520DA7">
                  <w:pPr>
                    <w:spacing w:after="0" w:line="240" w:lineRule="auto"/>
                    <w:jc w:val="right"/>
                    <w:rPr>
                      <w:rFonts w:ascii="Times New Roman" w:eastAsia="Times New Roman" w:hAnsi="Times New Roman" w:cs="Times New Roman"/>
                      <w:b/>
                      <w:i/>
                      <w:iCs/>
                      <w:color w:val="000000"/>
                      <w:sz w:val="24"/>
                      <w:szCs w:val="24"/>
                      <w:lang w:eastAsia="lv-LV"/>
                    </w:rPr>
                  </w:pPr>
                  <w:r w:rsidRPr="000B55A9">
                    <w:rPr>
                      <w:rFonts w:ascii="Times New Roman" w:eastAsia="Times New Roman" w:hAnsi="Times New Roman" w:cs="Times New Roman"/>
                      <w:b/>
                      <w:i/>
                      <w:iCs/>
                      <w:color w:val="000000"/>
                      <w:sz w:val="24"/>
                      <w:szCs w:val="24"/>
                      <w:lang w:eastAsia="lv-LV"/>
                    </w:rPr>
                    <w:t>Pievienotās vērtības nodoklis</w:t>
                  </w:r>
                </w:p>
              </w:tc>
              <w:tc>
                <w:tcPr>
                  <w:tcW w:w="1427" w:type="dxa"/>
                  <w:tcBorders>
                    <w:top w:val="nil"/>
                    <w:left w:val="nil"/>
                    <w:bottom w:val="single" w:sz="4" w:space="0" w:color="auto"/>
                    <w:right w:val="single" w:sz="4" w:space="0" w:color="auto"/>
                  </w:tcBorders>
                  <w:shd w:val="clear" w:color="auto" w:fill="auto"/>
                  <w:noWrap/>
                  <w:vAlign w:val="bottom"/>
                </w:tcPr>
                <w:p w14:paraId="5DF412F2" w14:textId="77777777" w:rsidR="00497E68" w:rsidRPr="000B55A9" w:rsidRDefault="00497E68" w:rsidP="00520DA7">
                  <w:pPr>
                    <w:spacing w:after="0" w:line="240" w:lineRule="auto"/>
                    <w:jc w:val="center"/>
                    <w:rPr>
                      <w:rFonts w:ascii="Times New Roman" w:eastAsia="Times New Roman" w:hAnsi="Times New Roman" w:cs="Times New Roman"/>
                      <w:b/>
                      <w:i/>
                      <w:color w:val="000000"/>
                      <w:sz w:val="24"/>
                      <w:szCs w:val="24"/>
                      <w:lang w:eastAsia="lv-LV"/>
                    </w:rPr>
                  </w:pPr>
                  <w:r w:rsidRPr="000B55A9">
                    <w:rPr>
                      <w:rFonts w:ascii="Times New Roman" w:hAnsi="Times New Roman" w:cs="Times New Roman"/>
                      <w:b/>
                      <w:i/>
                      <w:color w:val="000000"/>
                      <w:sz w:val="24"/>
                      <w:szCs w:val="24"/>
                    </w:rPr>
                    <w:t xml:space="preserve">   +12</w:t>
                  </w:r>
                  <w:r>
                    <w:rPr>
                      <w:rFonts w:ascii="Times New Roman" w:hAnsi="Times New Roman" w:cs="Times New Roman"/>
                      <w:b/>
                      <w:i/>
                      <w:color w:val="000000"/>
                      <w:sz w:val="24"/>
                      <w:szCs w:val="24"/>
                    </w:rPr>
                    <w:t>8 </w:t>
                  </w:r>
                  <w:r w:rsidRPr="000B55A9">
                    <w:rPr>
                      <w:rFonts w:ascii="Times New Roman" w:hAnsi="Times New Roman" w:cs="Times New Roman"/>
                      <w:b/>
                      <w:i/>
                      <w:color w:val="000000"/>
                      <w:sz w:val="24"/>
                      <w:szCs w:val="24"/>
                    </w:rPr>
                    <w:t xml:space="preserve">000 </w:t>
                  </w:r>
                </w:p>
              </w:tc>
              <w:tc>
                <w:tcPr>
                  <w:tcW w:w="1161" w:type="dxa"/>
                  <w:tcBorders>
                    <w:top w:val="nil"/>
                    <w:left w:val="nil"/>
                    <w:bottom w:val="single" w:sz="4" w:space="0" w:color="auto"/>
                    <w:right w:val="single" w:sz="4" w:space="0" w:color="auto"/>
                  </w:tcBorders>
                  <w:shd w:val="clear" w:color="auto" w:fill="auto"/>
                  <w:noWrap/>
                  <w:vAlign w:val="bottom"/>
                </w:tcPr>
                <w:p w14:paraId="7787B457" w14:textId="77777777" w:rsidR="00497E68" w:rsidRPr="000B55A9" w:rsidRDefault="00497E68" w:rsidP="00520DA7">
                  <w:pPr>
                    <w:spacing w:after="0" w:line="240" w:lineRule="auto"/>
                    <w:jc w:val="center"/>
                    <w:rPr>
                      <w:rFonts w:ascii="Times New Roman" w:eastAsia="Times New Roman" w:hAnsi="Times New Roman" w:cs="Times New Roman"/>
                      <w:b/>
                      <w:i/>
                      <w:color w:val="000000"/>
                      <w:sz w:val="24"/>
                      <w:szCs w:val="24"/>
                      <w:lang w:eastAsia="lv-LV"/>
                    </w:rPr>
                  </w:pPr>
                  <w:r w:rsidRPr="000B55A9">
                    <w:rPr>
                      <w:rFonts w:ascii="Times New Roman" w:hAnsi="Times New Roman" w:cs="Times New Roman"/>
                      <w:b/>
                      <w:i/>
                      <w:color w:val="000000"/>
                      <w:sz w:val="24"/>
                      <w:szCs w:val="24"/>
                    </w:rPr>
                    <w:t xml:space="preserve">  +1</w:t>
                  </w:r>
                  <w:r>
                    <w:rPr>
                      <w:rFonts w:ascii="Times New Roman" w:hAnsi="Times New Roman" w:cs="Times New Roman"/>
                      <w:b/>
                      <w:i/>
                      <w:color w:val="000000"/>
                      <w:sz w:val="24"/>
                      <w:szCs w:val="24"/>
                    </w:rPr>
                    <w:t>39 4</w:t>
                  </w:r>
                  <w:r w:rsidRPr="000B55A9">
                    <w:rPr>
                      <w:rFonts w:ascii="Times New Roman" w:hAnsi="Times New Roman" w:cs="Times New Roman"/>
                      <w:b/>
                      <w:i/>
                      <w:color w:val="000000"/>
                      <w:sz w:val="24"/>
                      <w:szCs w:val="24"/>
                    </w:rPr>
                    <w:t xml:space="preserve">00 </w:t>
                  </w:r>
                </w:p>
              </w:tc>
              <w:tc>
                <w:tcPr>
                  <w:tcW w:w="1161" w:type="dxa"/>
                  <w:tcBorders>
                    <w:top w:val="nil"/>
                    <w:left w:val="nil"/>
                    <w:bottom w:val="single" w:sz="4" w:space="0" w:color="auto"/>
                    <w:right w:val="single" w:sz="4" w:space="0" w:color="auto"/>
                  </w:tcBorders>
                  <w:shd w:val="clear" w:color="auto" w:fill="auto"/>
                  <w:noWrap/>
                  <w:vAlign w:val="bottom"/>
                </w:tcPr>
                <w:p w14:paraId="2C1E530F" w14:textId="77777777" w:rsidR="00497E68" w:rsidRPr="000B55A9" w:rsidRDefault="00497E68" w:rsidP="00520DA7">
                  <w:pPr>
                    <w:spacing w:after="0" w:line="240" w:lineRule="auto"/>
                    <w:jc w:val="center"/>
                    <w:rPr>
                      <w:rFonts w:ascii="Times New Roman" w:eastAsia="Times New Roman" w:hAnsi="Times New Roman" w:cs="Times New Roman"/>
                      <w:b/>
                      <w:i/>
                      <w:color w:val="000000"/>
                      <w:sz w:val="24"/>
                      <w:szCs w:val="24"/>
                      <w:lang w:eastAsia="lv-LV"/>
                    </w:rPr>
                  </w:pPr>
                  <w:r w:rsidRPr="000B55A9">
                    <w:rPr>
                      <w:rFonts w:ascii="Times New Roman" w:hAnsi="Times New Roman" w:cs="Times New Roman"/>
                      <w:b/>
                      <w:i/>
                      <w:color w:val="000000"/>
                      <w:sz w:val="24"/>
                      <w:szCs w:val="24"/>
                    </w:rPr>
                    <w:t xml:space="preserve">  +1</w:t>
                  </w:r>
                  <w:r>
                    <w:rPr>
                      <w:rFonts w:ascii="Times New Roman" w:hAnsi="Times New Roman" w:cs="Times New Roman"/>
                      <w:b/>
                      <w:i/>
                      <w:color w:val="000000"/>
                      <w:sz w:val="24"/>
                      <w:szCs w:val="24"/>
                    </w:rPr>
                    <w:t>39 4</w:t>
                  </w:r>
                  <w:r w:rsidRPr="000B55A9">
                    <w:rPr>
                      <w:rFonts w:ascii="Times New Roman" w:hAnsi="Times New Roman" w:cs="Times New Roman"/>
                      <w:b/>
                      <w:i/>
                      <w:color w:val="000000"/>
                      <w:sz w:val="24"/>
                      <w:szCs w:val="24"/>
                    </w:rPr>
                    <w:t xml:space="preserve">00 </w:t>
                  </w:r>
                </w:p>
              </w:tc>
            </w:tr>
          </w:tbl>
          <w:p w14:paraId="714D1409" w14:textId="7ED7D768" w:rsidR="005D1ECC" w:rsidRPr="000B55A9" w:rsidRDefault="005D1ECC" w:rsidP="00520DA7">
            <w:pPr>
              <w:jc w:val="both"/>
              <w:rPr>
                <w:rFonts w:eastAsia="Times New Roman" w:cs="Times New Roman"/>
                <w:iCs/>
                <w:sz w:val="24"/>
                <w:szCs w:val="24"/>
                <w:lang w:eastAsia="lv-LV"/>
              </w:rPr>
            </w:pPr>
          </w:p>
        </w:tc>
      </w:tr>
      <w:tr w:rsidR="00497E68" w:rsidRPr="000B55A9" w14:paraId="341F6B26" w14:textId="77777777" w:rsidTr="00520DA7">
        <w:trPr>
          <w:trHeight w:val="817"/>
        </w:trPr>
        <w:tc>
          <w:tcPr>
            <w:tcW w:w="1696" w:type="dxa"/>
            <w:hideMark/>
          </w:tcPr>
          <w:p w14:paraId="568402C7"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6.1. detalizēts ieņēmumu aprēķins</w:t>
            </w:r>
          </w:p>
        </w:tc>
        <w:tc>
          <w:tcPr>
            <w:tcW w:w="7671" w:type="dxa"/>
            <w:gridSpan w:val="7"/>
            <w:vMerge/>
          </w:tcPr>
          <w:p w14:paraId="216B8022" w14:textId="77777777" w:rsidR="00497E68" w:rsidRPr="000B55A9" w:rsidRDefault="00497E68" w:rsidP="00520DA7">
            <w:pPr>
              <w:rPr>
                <w:rFonts w:eastAsia="Times New Roman" w:cs="Times New Roman"/>
                <w:iCs/>
                <w:sz w:val="24"/>
                <w:szCs w:val="24"/>
                <w:lang w:eastAsia="lv-LV"/>
              </w:rPr>
            </w:pPr>
          </w:p>
        </w:tc>
      </w:tr>
      <w:tr w:rsidR="00497E68" w:rsidRPr="000B55A9" w14:paraId="205E4B80" w14:textId="77777777" w:rsidTr="00520DA7">
        <w:trPr>
          <w:trHeight w:val="550"/>
        </w:trPr>
        <w:tc>
          <w:tcPr>
            <w:tcW w:w="1696" w:type="dxa"/>
            <w:hideMark/>
          </w:tcPr>
          <w:p w14:paraId="345E5FA1"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6.2. detalizēts izdevumu aprēķins</w:t>
            </w:r>
          </w:p>
        </w:tc>
        <w:tc>
          <w:tcPr>
            <w:tcW w:w="7671" w:type="dxa"/>
            <w:gridSpan w:val="7"/>
            <w:vMerge/>
          </w:tcPr>
          <w:p w14:paraId="238780A0" w14:textId="77777777" w:rsidR="00497E68" w:rsidRPr="000B55A9" w:rsidRDefault="00497E68" w:rsidP="00520DA7">
            <w:pPr>
              <w:rPr>
                <w:rFonts w:eastAsia="Times New Roman" w:cs="Times New Roman"/>
                <w:iCs/>
                <w:sz w:val="24"/>
                <w:szCs w:val="24"/>
                <w:lang w:eastAsia="lv-LV"/>
              </w:rPr>
            </w:pPr>
          </w:p>
        </w:tc>
      </w:tr>
      <w:tr w:rsidR="00497E68" w:rsidRPr="000B55A9" w14:paraId="7D837082" w14:textId="77777777" w:rsidTr="00520DA7">
        <w:trPr>
          <w:trHeight w:val="535"/>
        </w:trPr>
        <w:tc>
          <w:tcPr>
            <w:tcW w:w="1696" w:type="dxa"/>
            <w:hideMark/>
          </w:tcPr>
          <w:p w14:paraId="5C832B04"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lastRenderedPageBreak/>
              <w:t>7. Amata vietu skaita izmaiņas</w:t>
            </w:r>
          </w:p>
        </w:tc>
        <w:tc>
          <w:tcPr>
            <w:tcW w:w="7671" w:type="dxa"/>
            <w:gridSpan w:val="7"/>
          </w:tcPr>
          <w:p w14:paraId="2F16172A" w14:textId="77777777" w:rsidR="00497E68" w:rsidRPr="000B55A9" w:rsidRDefault="00497E68" w:rsidP="00520DA7">
            <w:pPr>
              <w:jc w:val="both"/>
              <w:rPr>
                <w:rFonts w:eastAsia="Times New Roman" w:cs="Times New Roman"/>
                <w:iCs/>
                <w:sz w:val="24"/>
                <w:szCs w:val="24"/>
                <w:lang w:eastAsia="lv-LV"/>
              </w:rPr>
            </w:pPr>
            <w:r w:rsidRPr="000B55A9">
              <w:rPr>
                <w:rFonts w:eastAsia="Times New Roman" w:cs="Times New Roman"/>
                <w:iCs/>
                <w:sz w:val="24"/>
                <w:szCs w:val="24"/>
                <w:lang w:eastAsia="lv-LV"/>
              </w:rPr>
              <w:t>Nav.</w:t>
            </w:r>
          </w:p>
        </w:tc>
      </w:tr>
      <w:tr w:rsidR="00497E68" w:rsidRPr="000B55A9" w14:paraId="1871D9A8" w14:textId="77777777" w:rsidTr="00520DA7">
        <w:trPr>
          <w:trHeight w:val="267"/>
        </w:trPr>
        <w:tc>
          <w:tcPr>
            <w:tcW w:w="1696" w:type="dxa"/>
            <w:hideMark/>
          </w:tcPr>
          <w:p w14:paraId="36802BA8" w14:textId="77777777" w:rsidR="00497E68" w:rsidRPr="000B55A9" w:rsidRDefault="00497E68" w:rsidP="00520DA7">
            <w:pPr>
              <w:rPr>
                <w:rFonts w:eastAsia="Times New Roman" w:cs="Times New Roman"/>
                <w:iCs/>
                <w:sz w:val="24"/>
                <w:szCs w:val="24"/>
                <w:lang w:eastAsia="lv-LV"/>
              </w:rPr>
            </w:pPr>
            <w:r w:rsidRPr="000B55A9">
              <w:rPr>
                <w:rFonts w:eastAsia="Times New Roman" w:cs="Times New Roman"/>
                <w:iCs/>
                <w:sz w:val="24"/>
                <w:szCs w:val="24"/>
                <w:lang w:eastAsia="lv-LV"/>
              </w:rPr>
              <w:t>8. Cita informācija</w:t>
            </w:r>
          </w:p>
        </w:tc>
        <w:tc>
          <w:tcPr>
            <w:tcW w:w="7671" w:type="dxa"/>
            <w:gridSpan w:val="7"/>
          </w:tcPr>
          <w:p w14:paraId="6E178C64" w14:textId="77777777" w:rsidR="00497E68" w:rsidRPr="000B55A9" w:rsidRDefault="00497E68" w:rsidP="00520DA7">
            <w:pPr>
              <w:jc w:val="both"/>
              <w:rPr>
                <w:rFonts w:eastAsia="Times New Roman" w:cs="Times New Roman"/>
                <w:iCs/>
                <w:sz w:val="24"/>
                <w:szCs w:val="24"/>
                <w:lang w:eastAsia="lv-LV"/>
              </w:rPr>
            </w:pPr>
            <w:r w:rsidRPr="000B55A9">
              <w:rPr>
                <w:rFonts w:eastAsia="Times New Roman" w:cs="Times New Roman"/>
                <w:iCs/>
                <w:sz w:val="24"/>
                <w:szCs w:val="24"/>
                <w:lang w:eastAsia="lv-LV"/>
              </w:rPr>
              <w:t>Nav.</w:t>
            </w:r>
          </w:p>
        </w:tc>
      </w:tr>
    </w:tbl>
    <w:p w14:paraId="0126321F" w14:textId="77777777" w:rsidR="00100490" w:rsidRPr="000B55A9" w:rsidRDefault="00100490" w:rsidP="00543AA6">
      <w:pPr>
        <w:spacing w:after="0" w:line="240" w:lineRule="auto"/>
        <w:rPr>
          <w:rFonts w:ascii="Times New Roman" w:eastAsia="Times New Roman" w:hAnsi="Times New Roman" w:cs="Times New Roman"/>
          <w:sz w:val="24"/>
          <w:szCs w:val="24"/>
          <w:lang w:eastAsia="lv-LV"/>
        </w:rPr>
      </w:pPr>
    </w:p>
    <w:tbl>
      <w:tblPr>
        <w:tblW w:w="506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404"/>
        <w:gridCol w:w="5392"/>
      </w:tblGrid>
      <w:tr w:rsidR="00543AA6" w:rsidRPr="000B55A9" w14:paraId="116D25D6" w14:textId="77777777" w:rsidTr="0010049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08DF5A" w14:textId="77777777"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0B55A9">
              <w:rPr>
                <w:rFonts w:ascii="Times New Roman" w:eastAsia="Times New Roman" w:hAnsi="Times New Roman" w:cs="Times New Roman"/>
                <w:b/>
                <w:bCs/>
                <w:sz w:val="24"/>
                <w:szCs w:val="24"/>
                <w:lang w:eastAsia="lv-LV"/>
              </w:rPr>
              <w:t>IV. Tiesību akta projekta ietekme uz spēkā esošo tiesību normu sistēmu</w:t>
            </w:r>
          </w:p>
        </w:tc>
      </w:tr>
      <w:tr w:rsidR="00100490" w:rsidRPr="000B55A9" w14:paraId="4E19D607"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55C3A3B5" w14:textId="77777777" w:rsidR="00100490" w:rsidRPr="000B55A9" w:rsidRDefault="00100490" w:rsidP="0069728C">
            <w:pPr>
              <w:pStyle w:val="naiskr"/>
            </w:pPr>
            <w:r w:rsidRPr="000B55A9">
              <w:t>1.</w:t>
            </w:r>
          </w:p>
        </w:tc>
        <w:tc>
          <w:tcPr>
            <w:tcW w:w="1847" w:type="pct"/>
          </w:tcPr>
          <w:p w14:paraId="4D6C4965" w14:textId="77777777" w:rsidR="00100490" w:rsidRPr="000B55A9" w:rsidRDefault="00100490" w:rsidP="0069728C">
            <w:pPr>
              <w:pStyle w:val="naiskr"/>
            </w:pPr>
            <w:r w:rsidRPr="000B55A9">
              <w:rPr>
                <w:iCs/>
              </w:rPr>
              <w:t>Saistītie tiesību aktu projekti</w:t>
            </w:r>
          </w:p>
        </w:tc>
        <w:tc>
          <w:tcPr>
            <w:tcW w:w="2926" w:type="pct"/>
          </w:tcPr>
          <w:p w14:paraId="1CBE10D4" w14:textId="43936E45" w:rsidR="00A32CAE" w:rsidRPr="000B55A9" w:rsidRDefault="00277C7E" w:rsidP="00A32CAE">
            <w:pPr>
              <w:pStyle w:val="ListParagraph"/>
              <w:ind w:left="360"/>
              <w:jc w:val="both"/>
            </w:pPr>
            <w:r w:rsidRPr="000B55A9">
              <w:t>Saistībā ar likumprojekta virzību ir nepieciešams:</w:t>
            </w:r>
          </w:p>
          <w:p w14:paraId="57894574" w14:textId="77CC2B05" w:rsidR="00D77A92" w:rsidRPr="000B55A9" w:rsidRDefault="00277C7E" w:rsidP="00D77A92">
            <w:pPr>
              <w:pStyle w:val="ListParagraph"/>
              <w:numPr>
                <w:ilvl w:val="0"/>
                <w:numId w:val="6"/>
              </w:numPr>
              <w:ind w:left="0" w:firstLine="360"/>
              <w:jc w:val="both"/>
            </w:pPr>
            <w:r w:rsidRPr="000B55A9">
              <w:t>s</w:t>
            </w:r>
            <w:r w:rsidR="00D77A92" w:rsidRPr="000B55A9">
              <w:t xml:space="preserve">agatavot grozījumus Ministru kabineta 2010.gada 30.marta noteikumos Nr.300 “Noteikumi par akcīzes nodokļa deklarācijas veidlapām un to aizpildīšanas kārtību”, precizējot naftas produktu </w:t>
            </w:r>
            <w:r w:rsidR="00D77A92" w:rsidRPr="000B55A9">
              <w:lastRenderedPageBreak/>
              <w:t>akcīzes nodokļa deklarāciju ar atbil</w:t>
            </w:r>
            <w:r w:rsidR="006B76B2" w:rsidRPr="000B55A9">
              <w:t>st</w:t>
            </w:r>
            <w:r w:rsidR="00D77A92" w:rsidRPr="000B55A9">
              <w:t>ošiem naftas produktu veidiem. Par Ministru kabineta noteikum</w:t>
            </w:r>
            <w:r w:rsidR="002E1357">
              <w:t>u projekta izstrādi ir atbildīga Finanšu ministrija</w:t>
            </w:r>
            <w:r w:rsidR="00D77A92" w:rsidRPr="000B55A9">
              <w:t xml:space="preserve"> </w:t>
            </w:r>
            <w:r w:rsidR="002E1357">
              <w:t>(</w:t>
            </w:r>
            <w:r w:rsidR="00D77A92" w:rsidRPr="000B55A9">
              <w:t>Valsts ieņēmumu dienests</w:t>
            </w:r>
            <w:r w:rsidR="002E1357">
              <w:t>)</w:t>
            </w:r>
            <w:r w:rsidR="00D77A92" w:rsidRPr="000B55A9">
              <w:t>;</w:t>
            </w:r>
          </w:p>
          <w:p w14:paraId="4C9B43FC" w14:textId="168E686F" w:rsidR="00395D21" w:rsidRDefault="00277C7E" w:rsidP="00B54A51">
            <w:pPr>
              <w:pStyle w:val="ListParagraph"/>
              <w:numPr>
                <w:ilvl w:val="0"/>
                <w:numId w:val="6"/>
              </w:numPr>
              <w:tabs>
                <w:tab w:val="left" w:pos="257"/>
              </w:tabs>
              <w:ind w:left="-28" w:firstLine="427"/>
              <w:jc w:val="both"/>
            </w:pPr>
            <w:r w:rsidRPr="000B55A9">
              <w:t>s</w:t>
            </w:r>
            <w:r w:rsidR="002953DF" w:rsidRPr="000B55A9">
              <w:t xml:space="preserve">agatavot grozījumus Ministru kabineta Ministru kabineta </w:t>
            </w:r>
            <w:r w:rsidR="00F36DCF" w:rsidRPr="001353CA">
              <w:t>2019.gada 12.februāra</w:t>
            </w:r>
            <w:r w:rsidR="002953DF" w:rsidRPr="001353CA">
              <w:t xml:space="preserve"> noteikumos Nr.</w:t>
            </w:r>
            <w:r w:rsidR="00F36DCF" w:rsidRPr="001353CA">
              <w:t>72</w:t>
            </w:r>
            <w:r w:rsidR="001F6664" w:rsidRPr="001353CA">
              <w:t xml:space="preserve"> “</w:t>
            </w:r>
            <w:r w:rsidR="002953DF" w:rsidRPr="001353CA">
              <w:t>Noteikumi par a</w:t>
            </w:r>
            <w:r w:rsidR="00AC43F0" w:rsidRPr="001353CA">
              <w:t>kcīzes nodokļa nodrošinājumiem”</w:t>
            </w:r>
            <w:r w:rsidR="002953DF" w:rsidRPr="001353CA">
              <w:t xml:space="preserve">, </w:t>
            </w:r>
            <w:r w:rsidR="00E569C1">
              <w:t xml:space="preserve">lai </w:t>
            </w:r>
            <w:r w:rsidR="00E569C1" w:rsidRPr="00E569C1">
              <w:t xml:space="preserve">apstiprinātam noliktavas turētājam par biodīzeļdegvielu, kas </w:t>
            </w:r>
            <w:r w:rsidR="001353CA">
              <w:t xml:space="preserve">pilnībā </w:t>
            </w:r>
            <w:r w:rsidR="00E569C1" w:rsidRPr="00E569C1">
              <w:t xml:space="preserve">iegūta no </w:t>
            </w:r>
            <w:r w:rsidR="001353CA">
              <w:t>biomasas</w:t>
            </w:r>
            <w:r w:rsidR="00E569C1" w:rsidRPr="00E569C1">
              <w:t xml:space="preserve"> un kuru pārvieto atliktās nodokļa maksāšanas režīmā, piemērot</w:t>
            </w:r>
            <w:r w:rsidR="00E569C1">
              <w:t>u</w:t>
            </w:r>
            <w:r w:rsidR="00E569C1" w:rsidRPr="00E569C1">
              <w:t xml:space="preserve"> nodrošinājuma samazinājumu 100 procentu apmērā, ja pārvietošana notik</w:t>
            </w:r>
            <w:r w:rsidR="00E569C1">
              <w:t>s</w:t>
            </w:r>
            <w:r w:rsidR="00E569C1" w:rsidRPr="00E569C1">
              <w:t xml:space="preserve"> pa jūru un uz Eiropas Savienības dalībvalsti, ar kuru </w:t>
            </w:r>
            <w:r w:rsidR="00C336B0">
              <w:t>ir panākta sasvstarpēja vi</w:t>
            </w:r>
            <w:r w:rsidR="008E44AD">
              <w:t>e</w:t>
            </w:r>
            <w:r w:rsidR="00C336B0">
              <w:t>nošanās</w:t>
            </w:r>
            <w:r w:rsidR="00E569C1" w:rsidRPr="00E569C1">
              <w:t>.</w:t>
            </w:r>
            <w:r w:rsidR="00E569C1">
              <w:t xml:space="preserve"> </w:t>
            </w:r>
            <w:r w:rsidR="00A32CAE" w:rsidRPr="000B55A9">
              <w:t>Par Ministru kabineta noteikumu projekta izstrādi ir atbildīg</w:t>
            </w:r>
            <w:r w:rsidR="002E1357">
              <w:t>a Finanšu ministrija</w:t>
            </w:r>
            <w:r w:rsidR="00A32CAE" w:rsidRPr="000B55A9">
              <w:t xml:space="preserve"> </w:t>
            </w:r>
            <w:r w:rsidR="002E1357">
              <w:t>(</w:t>
            </w:r>
            <w:r w:rsidR="00A32CAE" w:rsidRPr="000B55A9">
              <w:t>Valsts ieņēmumu dienests</w:t>
            </w:r>
            <w:r w:rsidR="002E1357">
              <w:t>)</w:t>
            </w:r>
            <w:r w:rsidR="00395D21">
              <w:t>;</w:t>
            </w:r>
          </w:p>
          <w:p w14:paraId="4E487E15" w14:textId="1C094844" w:rsidR="005912C7" w:rsidRPr="00395D21" w:rsidRDefault="00395D21" w:rsidP="00395D21">
            <w:pPr>
              <w:pStyle w:val="ListParagraph"/>
              <w:numPr>
                <w:ilvl w:val="0"/>
                <w:numId w:val="6"/>
              </w:numPr>
              <w:tabs>
                <w:tab w:val="left" w:pos="257"/>
              </w:tabs>
              <w:ind w:left="-28" w:firstLine="427"/>
              <w:jc w:val="both"/>
            </w:pPr>
            <w:r w:rsidRPr="00395D21">
              <w:t>sagatavot grozījumus Ministru kabineta 2017.gada 21.jūlija rīkojumā Nr. 379 “Par konceptuālo ziņojumu “Par atjaunojamo energoresursu izmantošanu transporta sektorā””, svītrojot tā 4.punktu</w:t>
            </w:r>
            <w:r w:rsidR="00277C7E" w:rsidRPr="00395D21">
              <w:t>.</w:t>
            </w:r>
            <w:r w:rsidRPr="000B55A9">
              <w:t xml:space="preserve"> Par Ministru kabineta </w:t>
            </w:r>
            <w:r>
              <w:t>rīkojuma</w:t>
            </w:r>
            <w:r w:rsidRPr="000B55A9">
              <w:t xml:space="preserve"> projekta izstrādi ir atbildīg</w:t>
            </w:r>
            <w:r>
              <w:t>a</w:t>
            </w:r>
            <w:r w:rsidRPr="000B55A9">
              <w:t xml:space="preserve"> </w:t>
            </w:r>
            <w:r>
              <w:t>Ekonomikas ministrija.</w:t>
            </w:r>
          </w:p>
        </w:tc>
      </w:tr>
      <w:tr w:rsidR="00100490" w:rsidRPr="000B55A9" w14:paraId="25ABBA37"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5034A1AF" w14:textId="77777777" w:rsidR="00100490" w:rsidRPr="000B55A9" w:rsidRDefault="00100490" w:rsidP="0069728C">
            <w:pPr>
              <w:snapToGrid w:val="0"/>
              <w:rPr>
                <w:rFonts w:ascii="Times New Roman" w:hAnsi="Times New Roman" w:cs="Times New Roman"/>
                <w:color w:val="000000"/>
                <w:sz w:val="24"/>
                <w:szCs w:val="24"/>
              </w:rPr>
            </w:pPr>
            <w:r w:rsidRPr="000B55A9">
              <w:rPr>
                <w:rFonts w:ascii="Times New Roman" w:hAnsi="Times New Roman" w:cs="Times New Roman"/>
                <w:color w:val="000000"/>
                <w:sz w:val="24"/>
                <w:szCs w:val="24"/>
              </w:rPr>
              <w:lastRenderedPageBreak/>
              <w:t>2.</w:t>
            </w:r>
          </w:p>
        </w:tc>
        <w:tc>
          <w:tcPr>
            <w:tcW w:w="1847" w:type="pct"/>
          </w:tcPr>
          <w:p w14:paraId="0E2B99EF" w14:textId="77777777" w:rsidR="00100490" w:rsidRPr="000B55A9" w:rsidRDefault="00100490" w:rsidP="0069728C">
            <w:pPr>
              <w:snapToGrid w:val="0"/>
              <w:rPr>
                <w:rFonts w:ascii="Times New Roman" w:hAnsi="Times New Roman" w:cs="Times New Roman"/>
                <w:color w:val="000000"/>
                <w:sz w:val="24"/>
                <w:szCs w:val="24"/>
              </w:rPr>
            </w:pPr>
            <w:r w:rsidRPr="000B55A9">
              <w:rPr>
                <w:rFonts w:ascii="Times New Roman" w:eastAsia="Times New Roman" w:hAnsi="Times New Roman" w:cs="Times New Roman"/>
                <w:iCs/>
                <w:sz w:val="24"/>
                <w:szCs w:val="24"/>
                <w:lang w:eastAsia="lv-LV"/>
              </w:rPr>
              <w:t>Atbildīgā institūcija</w:t>
            </w:r>
          </w:p>
        </w:tc>
        <w:tc>
          <w:tcPr>
            <w:tcW w:w="2926" w:type="pct"/>
          </w:tcPr>
          <w:p w14:paraId="39BD13C2" w14:textId="5980E3AD" w:rsidR="00EB7EA5" w:rsidRPr="000B55A9" w:rsidRDefault="00EB7EA5" w:rsidP="002E1357">
            <w:pPr>
              <w:snapToGrid w:val="0"/>
              <w:rPr>
                <w:rFonts w:ascii="Times New Roman" w:hAnsi="Times New Roman" w:cs="Times New Roman"/>
                <w:color w:val="000000"/>
                <w:sz w:val="24"/>
                <w:szCs w:val="24"/>
              </w:rPr>
            </w:pPr>
            <w:r w:rsidRPr="000B55A9">
              <w:rPr>
                <w:rFonts w:ascii="Times New Roman" w:hAnsi="Times New Roman" w:cs="Times New Roman"/>
                <w:color w:val="000000"/>
                <w:sz w:val="24"/>
                <w:szCs w:val="24"/>
              </w:rPr>
              <w:t>Finanšu ministrija</w:t>
            </w:r>
            <w:r w:rsidR="002E1357">
              <w:rPr>
                <w:rFonts w:ascii="Times New Roman" w:hAnsi="Times New Roman" w:cs="Times New Roman"/>
                <w:color w:val="000000"/>
                <w:sz w:val="24"/>
                <w:szCs w:val="24"/>
              </w:rPr>
              <w:t xml:space="preserve"> un Ekonomikas ministrija</w:t>
            </w:r>
            <w:r w:rsidR="0071341A" w:rsidRPr="000B55A9">
              <w:rPr>
                <w:rFonts w:ascii="Times New Roman" w:hAnsi="Times New Roman" w:cs="Times New Roman"/>
                <w:color w:val="000000"/>
                <w:sz w:val="24"/>
                <w:szCs w:val="24"/>
              </w:rPr>
              <w:t>.</w:t>
            </w:r>
          </w:p>
        </w:tc>
      </w:tr>
      <w:tr w:rsidR="00100490" w:rsidRPr="000B55A9" w14:paraId="01C79638"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4813A76C" w14:textId="77777777" w:rsidR="00100490" w:rsidRPr="000B55A9" w:rsidRDefault="00100490" w:rsidP="0069728C">
            <w:pPr>
              <w:snapToGrid w:val="0"/>
              <w:rPr>
                <w:rFonts w:ascii="Times New Roman" w:hAnsi="Times New Roman" w:cs="Times New Roman"/>
                <w:color w:val="000000"/>
                <w:sz w:val="24"/>
                <w:szCs w:val="24"/>
              </w:rPr>
            </w:pPr>
            <w:r w:rsidRPr="000B55A9">
              <w:rPr>
                <w:rFonts w:ascii="Times New Roman" w:hAnsi="Times New Roman" w:cs="Times New Roman"/>
                <w:color w:val="000000"/>
                <w:sz w:val="24"/>
                <w:szCs w:val="24"/>
              </w:rPr>
              <w:t>3.</w:t>
            </w:r>
          </w:p>
        </w:tc>
        <w:tc>
          <w:tcPr>
            <w:tcW w:w="1847" w:type="pct"/>
          </w:tcPr>
          <w:p w14:paraId="350AB31A" w14:textId="77777777" w:rsidR="00100490" w:rsidRPr="000B55A9" w:rsidRDefault="00100490" w:rsidP="0069728C">
            <w:pPr>
              <w:snapToGrid w:val="0"/>
              <w:rPr>
                <w:rFonts w:ascii="Times New Roman" w:hAnsi="Times New Roman" w:cs="Times New Roman"/>
                <w:color w:val="000000"/>
                <w:sz w:val="24"/>
                <w:szCs w:val="24"/>
              </w:rPr>
            </w:pPr>
            <w:r w:rsidRPr="000B55A9">
              <w:rPr>
                <w:rFonts w:ascii="Times New Roman" w:hAnsi="Times New Roman" w:cs="Times New Roman"/>
                <w:sz w:val="24"/>
                <w:szCs w:val="24"/>
              </w:rPr>
              <w:t>Cita informācija</w:t>
            </w:r>
          </w:p>
        </w:tc>
        <w:tc>
          <w:tcPr>
            <w:tcW w:w="2926" w:type="pct"/>
          </w:tcPr>
          <w:p w14:paraId="7685B041" w14:textId="2D2E9CCE" w:rsidR="00100490" w:rsidRPr="000B55A9" w:rsidRDefault="00100490" w:rsidP="0069728C">
            <w:pPr>
              <w:ind w:right="112"/>
              <w:jc w:val="both"/>
              <w:rPr>
                <w:rFonts w:ascii="Times New Roman" w:hAnsi="Times New Roman" w:cs="Times New Roman"/>
                <w:sz w:val="24"/>
                <w:szCs w:val="24"/>
              </w:rPr>
            </w:pPr>
            <w:r w:rsidRPr="000B55A9">
              <w:rPr>
                <w:rFonts w:ascii="Times New Roman" w:hAnsi="Times New Roman" w:cs="Times New Roman"/>
                <w:sz w:val="24"/>
                <w:szCs w:val="24"/>
              </w:rPr>
              <w:t>Nav</w:t>
            </w:r>
            <w:r w:rsidR="0071341A" w:rsidRPr="000B55A9">
              <w:rPr>
                <w:rFonts w:ascii="Times New Roman" w:hAnsi="Times New Roman" w:cs="Times New Roman"/>
                <w:sz w:val="24"/>
                <w:szCs w:val="24"/>
              </w:rPr>
              <w:t>.</w:t>
            </w:r>
          </w:p>
        </w:tc>
      </w:tr>
    </w:tbl>
    <w:p w14:paraId="3F2AB0A5" w14:textId="77777777" w:rsidR="00100490" w:rsidRPr="000B55A9" w:rsidRDefault="00100490" w:rsidP="00543AA6">
      <w:pPr>
        <w:spacing w:after="0" w:line="240" w:lineRule="auto"/>
        <w:rPr>
          <w:rFonts w:ascii="Times New Roman" w:eastAsia="Times New Roman" w:hAnsi="Times New Roman" w:cs="Times New Roman"/>
          <w:sz w:val="24"/>
          <w:szCs w:val="24"/>
          <w:lang w:eastAsia="lv-LV"/>
        </w:rPr>
      </w:pPr>
    </w:p>
    <w:tbl>
      <w:tblPr>
        <w:tblW w:w="5040" w:type="pct"/>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428"/>
        <w:gridCol w:w="2023"/>
        <w:gridCol w:w="1370"/>
        <w:gridCol w:w="1107"/>
        <w:gridCol w:w="1700"/>
        <w:gridCol w:w="2552"/>
      </w:tblGrid>
      <w:tr w:rsidR="00304B5F" w:rsidRPr="000B55A9" w14:paraId="17EFD61C" w14:textId="77777777" w:rsidTr="0069728C">
        <w:tc>
          <w:tcPr>
            <w:tcW w:w="5000" w:type="pct"/>
            <w:gridSpan w:val="6"/>
          </w:tcPr>
          <w:p w14:paraId="6C51C497" w14:textId="77777777" w:rsidR="00304B5F" w:rsidRPr="000B55A9" w:rsidRDefault="00304B5F" w:rsidP="0069728C">
            <w:pPr>
              <w:snapToGrid w:val="0"/>
              <w:spacing w:after="0" w:line="240" w:lineRule="auto"/>
              <w:ind w:left="222"/>
              <w:jc w:val="center"/>
              <w:rPr>
                <w:rFonts w:ascii="Times New Roman" w:eastAsia="Times New Roman" w:hAnsi="Times New Roman" w:cs="Times New Roman"/>
                <w:b/>
                <w:color w:val="000000"/>
                <w:sz w:val="24"/>
                <w:szCs w:val="24"/>
                <w:lang w:eastAsia="lv-LV"/>
              </w:rPr>
            </w:pPr>
            <w:r w:rsidRPr="000B55A9">
              <w:rPr>
                <w:rFonts w:ascii="Times New Roman" w:eastAsia="Times New Roman" w:hAnsi="Times New Roman" w:cs="Times New Roman"/>
                <w:b/>
                <w:sz w:val="24"/>
                <w:szCs w:val="24"/>
                <w:lang w:eastAsia="lv-LV"/>
              </w:rPr>
              <w:t>V. Tiesību akta projekta atbilstība Latvijas Republikas starptautiskajām saistībām</w:t>
            </w:r>
          </w:p>
        </w:tc>
      </w:tr>
      <w:tr w:rsidR="00304B5F" w:rsidRPr="000B55A9" w14:paraId="75F535AB" w14:textId="77777777" w:rsidTr="0069728C">
        <w:tc>
          <w:tcPr>
            <w:tcW w:w="233" w:type="pct"/>
          </w:tcPr>
          <w:p w14:paraId="66F5B062" w14:textId="77777777" w:rsidR="00304B5F" w:rsidRPr="000B55A9" w:rsidRDefault="00304B5F" w:rsidP="0069728C">
            <w:pPr>
              <w:spacing w:before="75" w:after="75"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1.</w:t>
            </w:r>
          </w:p>
        </w:tc>
        <w:tc>
          <w:tcPr>
            <w:tcW w:w="1848" w:type="pct"/>
            <w:gridSpan w:val="2"/>
          </w:tcPr>
          <w:p w14:paraId="7A7C92FD" w14:textId="77777777" w:rsidR="00304B5F" w:rsidRPr="000B55A9" w:rsidRDefault="00304B5F" w:rsidP="0069728C">
            <w:pPr>
              <w:spacing w:before="75" w:after="75"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Saistības pret Eiropas Savienību</w:t>
            </w:r>
          </w:p>
        </w:tc>
        <w:tc>
          <w:tcPr>
            <w:tcW w:w="2919" w:type="pct"/>
            <w:gridSpan w:val="3"/>
          </w:tcPr>
          <w:p w14:paraId="181FE9A0" w14:textId="77777777" w:rsidR="00304B5F" w:rsidRPr="000B55A9" w:rsidRDefault="00304B5F" w:rsidP="0069728C">
            <w:pPr>
              <w:autoSpaceDE w:val="0"/>
              <w:autoSpaceDN w:val="0"/>
              <w:adjustRightInd w:val="0"/>
              <w:spacing w:after="0" w:line="240" w:lineRule="auto"/>
              <w:ind w:right="112"/>
              <w:jc w:val="both"/>
              <w:rPr>
                <w:rFonts w:ascii="Times New Roman" w:eastAsia="Calibri" w:hAnsi="Times New Roman" w:cs="Times New Roman"/>
                <w:color w:val="000000"/>
                <w:sz w:val="24"/>
                <w:szCs w:val="24"/>
              </w:rPr>
            </w:pPr>
            <w:r w:rsidRPr="000B55A9">
              <w:rPr>
                <w:rFonts w:ascii="Times New Roman" w:eastAsia="Calibri" w:hAnsi="Times New Roman" w:cs="Times New Roman"/>
                <w:color w:val="000000"/>
                <w:sz w:val="24"/>
                <w:szCs w:val="24"/>
              </w:rPr>
              <w:t xml:space="preserve">Direktīvas 2003/96/EK 7.panta 1.punkts nosaka, ka no 2004.gada 1.janvāra un no 2010.gada 1.janvāra minimālais nodokļu līmenis </w:t>
            </w:r>
            <w:proofErr w:type="spellStart"/>
            <w:r w:rsidRPr="000B55A9">
              <w:rPr>
                <w:rFonts w:ascii="Times New Roman" w:eastAsia="Calibri" w:hAnsi="Times New Roman" w:cs="Times New Roman"/>
                <w:color w:val="000000"/>
                <w:sz w:val="24"/>
                <w:szCs w:val="24"/>
              </w:rPr>
              <w:t>motordegvielām</w:t>
            </w:r>
            <w:proofErr w:type="spellEnd"/>
            <w:r w:rsidRPr="000B55A9">
              <w:rPr>
                <w:rFonts w:ascii="Times New Roman" w:eastAsia="Calibri" w:hAnsi="Times New Roman" w:cs="Times New Roman"/>
                <w:color w:val="000000"/>
                <w:sz w:val="24"/>
                <w:szCs w:val="24"/>
              </w:rPr>
              <w:t xml:space="preserve"> tiek noteikts tā, kā norādīts I pielikuma A tabulā.</w:t>
            </w:r>
          </w:p>
          <w:p w14:paraId="424897D2" w14:textId="69DFF42D" w:rsidR="00304B5F" w:rsidRPr="000B55A9" w:rsidRDefault="00304B5F" w:rsidP="00304B5F">
            <w:pPr>
              <w:autoSpaceDE w:val="0"/>
              <w:autoSpaceDN w:val="0"/>
              <w:adjustRightInd w:val="0"/>
              <w:spacing w:after="0" w:line="240" w:lineRule="auto"/>
              <w:ind w:right="112"/>
              <w:jc w:val="both"/>
              <w:rPr>
                <w:rFonts w:ascii="Times New Roman" w:eastAsia="Calibri" w:hAnsi="Times New Roman" w:cs="Times New Roman"/>
                <w:color w:val="000000"/>
                <w:sz w:val="24"/>
                <w:szCs w:val="24"/>
              </w:rPr>
            </w:pPr>
            <w:r w:rsidRPr="000B55A9">
              <w:rPr>
                <w:rFonts w:ascii="Times New Roman" w:eastAsia="Calibri" w:hAnsi="Times New Roman" w:cs="Times New Roman"/>
                <w:color w:val="000000"/>
                <w:sz w:val="24"/>
                <w:szCs w:val="24"/>
              </w:rPr>
              <w:t>Direktīvas 2003/96/EK 9.panta 1.punkts nosaka, ka no 2004.gada 1.janvāra kurināmajam piemērojamos minimālos nodokļu līmeņus nosaka tā, kā norādīts I pielikuma C tabulā.</w:t>
            </w:r>
          </w:p>
        </w:tc>
      </w:tr>
      <w:tr w:rsidR="00304B5F" w:rsidRPr="000B55A9" w14:paraId="52E655B4" w14:textId="77777777" w:rsidTr="0069728C">
        <w:tc>
          <w:tcPr>
            <w:tcW w:w="233" w:type="pct"/>
          </w:tcPr>
          <w:p w14:paraId="5B18CDEA" w14:textId="77777777" w:rsidR="00304B5F" w:rsidRPr="000B55A9" w:rsidRDefault="00304B5F" w:rsidP="0069728C">
            <w:pPr>
              <w:snapToGrid w:val="0"/>
              <w:spacing w:after="0" w:line="240" w:lineRule="auto"/>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2.</w:t>
            </w:r>
          </w:p>
        </w:tc>
        <w:tc>
          <w:tcPr>
            <w:tcW w:w="1848" w:type="pct"/>
            <w:gridSpan w:val="2"/>
          </w:tcPr>
          <w:p w14:paraId="61A08051" w14:textId="77777777" w:rsidR="00304B5F" w:rsidRPr="000B55A9" w:rsidRDefault="00304B5F" w:rsidP="0069728C">
            <w:pPr>
              <w:snapToGrid w:val="0"/>
              <w:spacing w:after="0" w:line="240" w:lineRule="auto"/>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sz w:val="24"/>
                <w:szCs w:val="24"/>
                <w:lang w:eastAsia="lv-LV"/>
              </w:rPr>
              <w:t>Citas starptautiskās saistības</w:t>
            </w:r>
          </w:p>
        </w:tc>
        <w:tc>
          <w:tcPr>
            <w:tcW w:w="2919" w:type="pct"/>
            <w:gridSpan w:val="3"/>
          </w:tcPr>
          <w:p w14:paraId="65679C5C" w14:textId="77777777" w:rsidR="00304B5F" w:rsidRPr="000B55A9" w:rsidRDefault="00304B5F" w:rsidP="0069728C">
            <w:pPr>
              <w:snapToGrid w:val="0"/>
              <w:spacing w:after="0" w:line="240" w:lineRule="auto"/>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Projekts šo jomu neskar.</w:t>
            </w:r>
          </w:p>
        </w:tc>
      </w:tr>
      <w:tr w:rsidR="00304B5F" w:rsidRPr="000B55A9" w14:paraId="04275349" w14:textId="77777777" w:rsidTr="0069728C">
        <w:tc>
          <w:tcPr>
            <w:tcW w:w="233" w:type="pct"/>
          </w:tcPr>
          <w:p w14:paraId="6972C3E3" w14:textId="77777777" w:rsidR="00304B5F" w:rsidRPr="000B55A9" w:rsidRDefault="00304B5F" w:rsidP="0069728C">
            <w:pPr>
              <w:snapToGrid w:val="0"/>
              <w:spacing w:after="0" w:line="240" w:lineRule="auto"/>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color w:val="000000"/>
                <w:sz w:val="24"/>
                <w:szCs w:val="24"/>
                <w:lang w:eastAsia="lv-LV"/>
              </w:rPr>
              <w:t>3.</w:t>
            </w:r>
          </w:p>
        </w:tc>
        <w:tc>
          <w:tcPr>
            <w:tcW w:w="1848" w:type="pct"/>
            <w:gridSpan w:val="2"/>
          </w:tcPr>
          <w:p w14:paraId="72D1D213" w14:textId="77777777" w:rsidR="00304B5F" w:rsidRPr="000B55A9" w:rsidRDefault="00304B5F" w:rsidP="0069728C">
            <w:pPr>
              <w:snapToGrid w:val="0"/>
              <w:spacing w:after="0" w:line="240" w:lineRule="auto"/>
              <w:rPr>
                <w:rFonts w:ascii="Times New Roman" w:eastAsia="Times New Roman" w:hAnsi="Times New Roman" w:cs="Times New Roman"/>
                <w:color w:val="000000"/>
                <w:sz w:val="24"/>
                <w:szCs w:val="24"/>
                <w:lang w:eastAsia="lv-LV"/>
              </w:rPr>
            </w:pPr>
            <w:r w:rsidRPr="000B55A9">
              <w:rPr>
                <w:rFonts w:ascii="Times New Roman" w:eastAsia="Times New Roman" w:hAnsi="Times New Roman" w:cs="Times New Roman"/>
                <w:sz w:val="24"/>
                <w:szCs w:val="24"/>
                <w:lang w:eastAsia="lv-LV"/>
              </w:rPr>
              <w:t>Cita informācija</w:t>
            </w:r>
          </w:p>
        </w:tc>
        <w:tc>
          <w:tcPr>
            <w:tcW w:w="2919" w:type="pct"/>
            <w:gridSpan w:val="3"/>
          </w:tcPr>
          <w:p w14:paraId="76751158" w14:textId="77777777" w:rsidR="00304B5F" w:rsidRPr="000B55A9" w:rsidRDefault="00304B5F" w:rsidP="0069728C">
            <w:pPr>
              <w:spacing w:after="0" w:line="240" w:lineRule="auto"/>
              <w:ind w:right="112"/>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 xml:space="preserve">Nav. </w:t>
            </w:r>
          </w:p>
        </w:tc>
      </w:tr>
      <w:tr w:rsidR="00304B5F" w:rsidRPr="000B55A9" w14:paraId="2C0E76BA" w14:textId="77777777" w:rsidTr="0069728C">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blCellSpacing w:w="15" w:type="dxa"/>
        </w:trPr>
        <w:tc>
          <w:tcPr>
            <w:tcW w:w="5000" w:type="pct"/>
            <w:gridSpan w:val="6"/>
            <w:tcBorders>
              <w:top w:val="single" w:sz="2" w:space="0" w:color="auto"/>
              <w:bottom w:val="nil"/>
            </w:tcBorders>
            <w:vAlign w:val="center"/>
            <w:hideMark/>
          </w:tcPr>
          <w:p w14:paraId="73B2C3CD" w14:textId="77777777" w:rsidR="00304B5F" w:rsidRPr="000B55A9" w:rsidRDefault="00304B5F" w:rsidP="0069728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B55A9">
              <w:rPr>
                <w:rFonts w:ascii="Times New Roman" w:eastAsia="Times New Roman" w:hAnsi="Times New Roman" w:cs="Times New Roman"/>
                <w:b/>
                <w:bCs/>
                <w:sz w:val="24"/>
                <w:szCs w:val="24"/>
                <w:lang w:eastAsia="lv-LV"/>
              </w:rPr>
              <w:t>1.tabula</w:t>
            </w:r>
            <w:r w:rsidRPr="000B55A9">
              <w:rPr>
                <w:rFonts w:ascii="Times New Roman" w:eastAsia="Times New Roman" w:hAnsi="Times New Roman" w:cs="Times New Roman"/>
                <w:b/>
                <w:bCs/>
                <w:sz w:val="24"/>
                <w:szCs w:val="24"/>
                <w:lang w:eastAsia="lv-LV"/>
              </w:rPr>
              <w:br/>
              <w:t>Tiesību akta projekta atbilstība ES tiesību aktiem</w:t>
            </w:r>
          </w:p>
        </w:tc>
      </w:tr>
      <w:tr w:rsidR="00304B5F" w:rsidRPr="000B55A9" w14:paraId="2C94B23E" w14:textId="77777777" w:rsidTr="0069728C">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blCellSpacing w:w="15" w:type="dxa"/>
        </w:trPr>
        <w:tc>
          <w:tcPr>
            <w:tcW w:w="1335" w:type="pct"/>
            <w:gridSpan w:val="2"/>
            <w:tcBorders>
              <w:top w:val="single" w:sz="2" w:space="0" w:color="auto"/>
              <w:bottom w:val="single" w:sz="2" w:space="0" w:color="auto"/>
              <w:right w:val="nil"/>
            </w:tcBorders>
            <w:vAlign w:val="center"/>
            <w:hideMark/>
          </w:tcPr>
          <w:p w14:paraId="41ED7CBC" w14:textId="77777777" w:rsidR="00304B5F" w:rsidRPr="000B55A9" w:rsidRDefault="00304B5F" w:rsidP="0069728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Attiecīgā ES tiesību akta datums, numurs un nosaukums</w:t>
            </w:r>
          </w:p>
        </w:tc>
        <w:tc>
          <w:tcPr>
            <w:tcW w:w="3665" w:type="pct"/>
            <w:gridSpan w:val="4"/>
            <w:vAlign w:val="center"/>
            <w:hideMark/>
          </w:tcPr>
          <w:p w14:paraId="4ED716DB" w14:textId="77777777" w:rsidR="00304B5F" w:rsidRPr="000B55A9" w:rsidRDefault="00304B5F" w:rsidP="0069728C">
            <w:pPr>
              <w:tabs>
                <w:tab w:val="left" w:pos="6431"/>
              </w:tabs>
              <w:spacing w:after="0" w:line="240" w:lineRule="auto"/>
              <w:ind w:right="82"/>
              <w:jc w:val="both"/>
              <w:rPr>
                <w:rFonts w:ascii="Times New Roman" w:eastAsia="Times New Roman" w:hAnsi="Times New Roman" w:cs="Times New Roman"/>
                <w:sz w:val="24"/>
                <w:szCs w:val="24"/>
                <w:lang w:eastAsia="lv-LV"/>
              </w:rPr>
            </w:pPr>
            <w:r w:rsidRPr="000B55A9">
              <w:rPr>
                <w:rFonts w:ascii="Times New Roman" w:eastAsia="Calibri" w:hAnsi="Times New Roman" w:cs="Times New Roman"/>
                <w:sz w:val="24"/>
                <w:szCs w:val="24"/>
              </w:rPr>
              <w:t xml:space="preserve">Padomes 2003.gada 27.oktobra Direktīva 2003/96/EK, kas pārkārto Kopienas noteikumus par nodokļu uzlikšanu </w:t>
            </w:r>
            <w:proofErr w:type="spellStart"/>
            <w:r w:rsidRPr="000B55A9">
              <w:rPr>
                <w:rFonts w:ascii="Times New Roman" w:eastAsia="Calibri" w:hAnsi="Times New Roman" w:cs="Times New Roman"/>
                <w:sz w:val="24"/>
                <w:szCs w:val="24"/>
              </w:rPr>
              <w:t>energoproduktiem</w:t>
            </w:r>
            <w:proofErr w:type="spellEnd"/>
            <w:r w:rsidRPr="000B55A9">
              <w:rPr>
                <w:rFonts w:ascii="Times New Roman" w:eastAsia="Calibri" w:hAnsi="Times New Roman" w:cs="Times New Roman"/>
                <w:sz w:val="24"/>
                <w:szCs w:val="24"/>
              </w:rPr>
              <w:t xml:space="preserve"> un elektroenerģijai</w:t>
            </w:r>
          </w:p>
        </w:tc>
      </w:tr>
      <w:tr w:rsidR="00304B5F" w:rsidRPr="000B55A9" w14:paraId="37DA8765" w14:textId="77777777" w:rsidTr="0069728C">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blCellSpacing w:w="15" w:type="dxa"/>
        </w:trPr>
        <w:tc>
          <w:tcPr>
            <w:tcW w:w="1335" w:type="pct"/>
            <w:gridSpan w:val="2"/>
            <w:tcBorders>
              <w:top w:val="nil"/>
              <w:bottom w:val="single" w:sz="2" w:space="0" w:color="auto"/>
              <w:right w:val="nil"/>
            </w:tcBorders>
            <w:vAlign w:val="center"/>
            <w:hideMark/>
          </w:tcPr>
          <w:p w14:paraId="5F86B077" w14:textId="77777777" w:rsidR="00304B5F" w:rsidRPr="000B55A9" w:rsidRDefault="00304B5F" w:rsidP="0069728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A</w:t>
            </w:r>
          </w:p>
        </w:tc>
        <w:tc>
          <w:tcPr>
            <w:tcW w:w="1349" w:type="pct"/>
            <w:gridSpan w:val="2"/>
            <w:tcBorders>
              <w:top w:val="nil"/>
              <w:bottom w:val="single" w:sz="2" w:space="0" w:color="auto"/>
              <w:right w:val="nil"/>
            </w:tcBorders>
            <w:vAlign w:val="center"/>
            <w:hideMark/>
          </w:tcPr>
          <w:p w14:paraId="4D2CAB0F" w14:textId="77777777" w:rsidR="00304B5F" w:rsidRPr="000B55A9" w:rsidRDefault="00304B5F" w:rsidP="0069728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B</w:t>
            </w:r>
          </w:p>
        </w:tc>
        <w:tc>
          <w:tcPr>
            <w:tcW w:w="926" w:type="pct"/>
            <w:tcBorders>
              <w:top w:val="nil"/>
              <w:bottom w:val="single" w:sz="2" w:space="0" w:color="auto"/>
              <w:right w:val="nil"/>
            </w:tcBorders>
            <w:vAlign w:val="center"/>
            <w:hideMark/>
          </w:tcPr>
          <w:p w14:paraId="45AB3285" w14:textId="77777777" w:rsidR="00304B5F" w:rsidRPr="000B55A9" w:rsidRDefault="00304B5F" w:rsidP="0069728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C</w:t>
            </w:r>
          </w:p>
        </w:tc>
        <w:tc>
          <w:tcPr>
            <w:tcW w:w="1390" w:type="pct"/>
            <w:tcBorders>
              <w:top w:val="nil"/>
              <w:bottom w:val="single" w:sz="2" w:space="0" w:color="auto"/>
            </w:tcBorders>
            <w:vAlign w:val="center"/>
            <w:hideMark/>
          </w:tcPr>
          <w:p w14:paraId="53BDEA83" w14:textId="77777777" w:rsidR="00304B5F" w:rsidRPr="000B55A9" w:rsidRDefault="00304B5F" w:rsidP="0069728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D</w:t>
            </w:r>
          </w:p>
        </w:tc>
      </w:tr>
      <w:tr w:rsidR="00304B5F" w:rsidRPr="000B55A9" w14:paraId="6A007C87" w14:textId="77777777" w:rsidTr="0069728C">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rHeight w:val="723"/>
          <w:tblCellSpacing w:w="15" w:type="dxa"/>
        </w:trPr>
        <w:tc>
          <w:tcPr>
            <w:tcW w:w="1335" w:type="pct"/>
            <w:gridSpan w:val="2"/>
            <w:tcBorders>
              <w:top w:val="single" w:sz="4" w:space="0" w:color="auto"/>
              <w:left w:val="single" w:sz="4" w:space="0" w:color="auto"/>
              <w:bottom w:val="single" w:sz="4" w:space="0" w:color="auto"/>
              <w:right w:val="single" w:sz="4" w:space="0" w:color="auto"/>
            </w:tcBorders>
          </w:tcPr>
          <w:p w14:paraId="5589056E" w14:textId="77777777" w:rsidR="00304B5F" w:rsidRPr="000B55A9" w:rsidRDefault="00304B5F" w:rsidP="0069728C">
            <w:pPr>
              <w:tabs>
                <w:tab w:val="left" w:pos="9072"/>
              </w:tabs>
              <w:spacing w:after="0" w:line="240" w:lineRule="auto"/>
              <w:jc w:val="both"/>
              <w:rPr>
                <w:rFonts w:ascii="Times New Roman" w:eastAsia="Times New Roman" w:hAnsi="Times New Roman" w:cs="Times New Roman"/>
                <w:sz w:val="24"/>
                <w:szCs w:val="24"/>
                <w:lang w:eastAsia="lv-LV"/>
              </w:rPr>
            </w:pPr>
            <w:r w:rsidRPr="000B55A9">
              <w:rPr>
                <w:rFonts w:ascii="Times New Roman" w:eastAsia="Calibri" w:hAnsi="Times New Roman" w:cs="Times New Roman"/>
                <w:bCs/>
                <w:sz w:val="24"/>
                <w:szCs w:val="24"/>
              </w:rPr>
              <w:t xml:space="preserve">Direktīvas </w:t>
            </w:r>
            <w:r w:rsidRPr="000B55A9">
              <w:rPr>
                <w:rFonts w:ascii="Times New Roman" w:eastAsia="Calibri" w:hAnsi="Times New Roman" w:cs="Times New Roman"/>
                <w:sz w:val="24"/>
                <w:szCs w:val="24"/>
              </w:rPr>
              <w:t>2003/96/EK 7.panta 1.punkts un I pielikuma A tabula</w:t>
            </w:r>
          </w:p>
        </w:tc>
        <w:tc>
          <w:tcPr>
            <w:tcW w:w="1349" w:type="pct"/>
            <w:gridSpan w:val="2"/>
            <w:tcBorders>
              <w:top w:val="single" w:sz="4" w:space="0" w:color="auto"/>
              <w:left w:val="single" w:sz="4" w:space="0" w:color="auto"/>
              <w:bottom w:val="single" w:sz="4" w:space="0" w:color="auto"/>
              <w:right w:val="single" w:sz="4" w:space="0" w:color="auto"/>
            </w:tcBorders>
          </w:tcPr>
          <w:p w14:paraId="04A241B4" w14:textId="77777777" w:rsidR="00304B5F" w:rsidRPr="000B55A9" w:rsidRDefault="00304B5F" w:rsidP="0069728C">
            <w:pPr>
              <w:spacing w:before="100" w:beforeAutospacing="1" w:after="100" w:afterAutospacing="1"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Likumprojekta 1.panta trešā un piektā daļa</w:t>
            </w:r>
          </w:p>
        </w:tc>
        <w:tc>
          <w:tcPr>
            <w:tcW w:w="926" w:type="pct"/>
            <w:tcBorders>
              <w:top w:val="single" w:sz="4" w:space="0" w:color="auto"/>
              <w:left w:val="single" w:sz="4" w:space="0" w:color="auto"/>
              <w:bottom w:val="single" w:sz="4" w:space="0" w:color="auto"/>
              <w:right w:val="single" w:sz="4" w:space="0" w:color="auto"/>
            </w:tcBorders>
          </w:tcPr>
          <w:p w14:paraId="5FBF49B7" w14:textId="77777777" w:rsidR="00304B5F" w:rsidRPr="000B55A9" w:rsidRDefault="00304B5F" w:rsidP="0069728C">
            <w:pPr>
              <w:spacing w:before="100" w:beforeAutospacing="1" w:after="100" w:afterAutospacing="1"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Ieviests pilnībā</w:t>
            </w:r>
          </w:p>
          <w:p w14:paraId="487BDB94" w14:textId="77777777" w:rsidR="00304B5F" w:rsidRPr="000B55A9" w:rsidRDefault="00304B5F" w:rsidP="0069728C">
            <w:pPr>
              <w:spacing w:before="100" w:beforeAutospacing="1" w:after="100" w:afterAutospacing="1" w:line="240" w:lineRule="auto"/>
              <w:rPr>
                <w:rFonts w:ascii="Times New Roman" w:eastAsia="Times New Roman" w:hAnsi="Times New Roman" w:cs="Times New Roman"/>
                <w:sz w:val="24"/>
                <w:szCs w:val="24"/>
                <w:lang w:eastAsia="lv-LV"/>
              </w:rPr>
            </w:pPr>
          </w:p>
        </w:tc>
        <w:tc>
          <w:tcPr>
            <w:tcW w:w="1390" w:type="pct"/>
            <w:tcBorders>
              <w:top w:val="single" w:sz="4" w:space="0" w:color="auto"/>
              <w:left w:val="single" w:sz="4" w:space="0" w:color="auto"/>
              <w:bottom w:val="single" w:sz="4" w:space="0" w:color="auto"/>
              <w:right w:val="single" w:sz="4" w:space="0" w:color="auto"/>
            </w:tcBorders>
          </w:tcPr>
          <w:p w14:paraId="52A39E65" w14:textId="77777777" w:rsidR="00304B5F" w:rsidRPr="000B55A9" w:rsidRDefault="00304B5F" w:rsidP="0069728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Likumprojekts neparedz stingrākas prasības</w:t>
            </w:r>
          </w:p>
        </w:tc>
      </w:tr>
      <w:tr w:rsidR="00304B5F" w:rsidRPr="000B55A9" w14:paraId="29FA0704" w14:textId="77777777" w:rsidTr="0069728C">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rHeight w:val="723"/>
          <w:tblCellSpacing w:w="15" w:type="dxa"/>
        </w:trPr>
        <w:tc>
          <w:tcPr>
            <w:tcW w:w="1335" w:type="pct"/>
            <w:gridSpan w:val="2"/>
            <w:tcBorders>
              <w:top w:val="single" w:sz="4" w:space="0" w:color="auto"/>
              <w:left w:val="single" w:sz="4" w:space="0" w:color="auto"/>
              <w:bottom w:val="single" w:sz="4" w:space="0" w:color="auto"/>
              <w:right w:val="single" w:sz="4" w:space="0" w:color="auto"/>
            </w:tcBorders>
            <w:hideMark/>
          </w:tcPr>
          <w:p w14:paraId="2FB64034" w14:textId="77777777" w:rsidR="00304B5F" w:rsidRPr="000B55A9" w:rsidRDefault="00304B5F" w:rsidP="0069728C">
            <w:pPr>
              <w:tabs>
                <w:tab w:val="left" w:pos="9072"/>
              </w:tabs>
              <w:spacing w:after="0" w:line="240" w:lineRule="auto"/>
              <w:jc w:val="both"/>
              <w:rPr>
                <w:rFonts w:ascii="Times New Roman" w:eastAsia="Times New Roman" w:hAnsi="Times New Roman" w:cs="Times New Roman"/>
                <w:sz w:val="24"/>
                <w:szCs w:val="24"/>
                <w:lang w:eastAsia="lv-LV"/>
              </w:rPr>
            </w:pPr>
            <w:r w:rsidRPr="000B55A9">
              <w:rPr>
                <w:rFonts w:ascii="Times New Roman" w:eastAsia="Calibri" w:hAnsi="Times New Roman" w:cs="Times New Roman"/>
                <w:bCs/>
                <w:sz w:val="24"/>
                <w:szCs w:val="24"/>
              </w:rPr>
              <w:lastRenderedPageBreak/>
              <w:t>Direktīvas 2003/96/EK 9.panta 1.punkts un I pielikuma C tabula</w:t>
            </w:r>
          </w:p>
        </w:tc>
        <w:tc>
          <w:tcPr>
            <w:tcW w:w="1349" w:type="pct"/>
            <w:gridSpan w:val="2"/>
            <w:tcBorders>
              <w:top w:val="single" w:sz="4" w:space="0" w:color="auto"/>
              <w:left w:val="single" w:sz="4" w:space="0" w:color="auto"/>
              <w:bottom w:val="single" w:sz="4" w:space="0" w:color="auto"/>
              <w:right w:val="single" w:sz="4" w:space="0" w:color="auto"/>
            </w:tcBorders>
            <w:hideMark/>
          </w:tcPr>
          <w:p w14:paraId="7DC9D9B6" w14:textId="77777777" w:rsidR="00304B5F" w:rsidRPr="000B55A9" w:rsidRDefault="00304B5F" w:rsidP="0069728C">
            <w:pPr>
              <w:spacing w:before="100" w:beforeAutospacing="1" w:after="100" w:afterAutospacing="1"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Likumprojekta 1.panta pirmā daļa</w:t>
            </w:r>
          </w:p>
        </w:tc>
        <w:tc>
          <w:tcPr>
            <w:tcW w:w="926" w:type="pct"/>
            <w:tcBorders>
              <w:top w:val="single" w:sz="4" w:space="0" w:color="auto"/>
              <w:left w:val="single" w:sz="4" w:space="0" w:color="auto"/>
              <w:bottom w:val="single" w:sz="4" w:space="0" w:color="auto"/>
              <w:right w:val="single" w:sz="4" w:space="0" w:color="auto"/>
            </w:tcBorders>
            <w:hideMark/>
          </w:tcPr>
          <w:p w14:paraId="43B21E9E" w14:textId="77777777" w:rsidR="00304B5F" w:rsidRPr="000B55A9" w:rsidRDefault="00304B5F" w:rsidP="0069728C">
            <w:pPr>
              <w:spacing w:before="100" w:beforeAutospacing="1" w:after="100" w:afterAutospacing="1"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Ieviests pilnībā</w:t>
            </w:r>
          </w:p>
          <w:p w14:paraId="234D64D9" w14:textId="77777777" w:rsidR="00304B5F" w:rsidRPr="000B55A9" w:rsidRDefault="00304B5F" w:rsidP="0069728C">
            <w:pPr>
              <w:spacing w:before="100" w:beforeAutospacing="1" w:after="100" w:afterAutospacing="1" w:line="240" w:lineRule="auto"/>
              <w:rPr>
                <w:rFonts w:ascii="Times New Roman" w:eastAsia="Times New Roman" w:hAnsi="Times New Roman" w:cs="Times New Roman"/>
                <w:sz w:val="24"/>
                <w:szCs w:val="24"/>
                <w:lang w:eastAsia="lv-LV"/>
              </w:rPr>
            </w:pPr>
          </w:p>
        </w:tc>
        <w:tc>
          <w:tcPr>
            <w:tcW w:w="1390" w:type="pct"/>
            <w:tcBorders>
              <w:top w:val="single" w:sz="4" w:space="0" w:color="auto"/>
              <w:left w:val="single" w:sz="4" w:space="0" w:color="auto"/>
              <w:bottom w:val="single" w:sz="4" w:space="0" w:color="auto"/>
              <w:right w:val="single" w:sz="4" w:space="0" w:color="auto"/>
            </w:tcBorders>
            <w:hideMark/>
          </w:tcPr>
          <w:p w14:paraId="6B229D50" w14:textId="77777777" w:rsidR="00304B5F" w:rsidRPr="000B55A9" w:rsidRDefault="00304B5F" w:rsidP="0069728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Likumprojekts neparedz stingrākas prasības</w:t>
            </w:r>
          </w:p>
        </w:tc>
      </w:tr>
      <w:tr w:rsidR="00304B5F" w:rsidRPr="000B55A9" w14:paraId="0E0D821C" w14:textId="77777777" w:rsidTr="0069728C">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blCellSpacing w:w="15" w:type="dxa"/>
        </w:trPr>
        <w:tc>
          <w:tcPr>
            <w:tcW w:w="1335" w:type="pct"/>
            <w:gridSpan w:val="2"/>
            <w:tcBorders>
              <w:top w:val="single" w:sz="2" w:space="0" w:color="auto"/>
              <w:bottom w:val="single" w:sz="2" w:space="0" w:color="auto"/>
              <w:right w:val="nil"/>
            </w:tcBorders>
            <w:vAlign w:val="center"/>
            <w:hideMark/>
          </w:tcPr>
          <w:p w14:paraId="77EBEF27" w14:textId="77777777" w:rsidR="00304B5F" w:rsidRPr="000B55A9" w:rsidRDefault="00304B5F" w:rsidP="0069728C">
            <w:pPr>
              <w:spacing w:before="100" w:beforeAutospacing="1" w:after="100" w:afterAutospacing="1"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14:paraId="3142AF0B" w14:textId="77777777" w:rsidR="00304B5F" w:rsidRPr="000B55A9" w:rsidRDefault="00304B5F" w:rsidP="0069728C">
            <w:pPr>
              <w:spacing w:before="100" w:beforeAutospacing="1" w:after="100" w:afterAutospacing="1"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Kādēļ?</w:t>
            </w:r>
          </w:p>
        </w:tc>
        <w:tc>
          <w:tcPr>
            <w:tcW w:w="3665" w:type="pct"/>
            <w:gridSpan w:val="4"/>
            <w:tcBorders>
              <w:top w:val="single" w:sz="2" w:space="0" w:color="auto"/>
              <w:bottom w:val="nil"/>
            </w:tcBorders>
            <w:hideMark/>
          </w:tcPr>
          <w:p w14:paraId="664206D8" w14:textId="77777777" w:rsidR="00304B5F" w:rsidRPr="000B55A9" w:rsidRDefault="00304B5F" w:rsidP="0069728C">
            <w:pPr>
              <w:spacing w:before="100" w:beforeAutospacing="1" w:after="100" w:afterAutospacing="1"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Projekts šo jomu neskar.</w:t>
            </w:r>
          </w:p>
        </w:tc>
      </w:tr>
      <w:tr w:rsidR="00304B5F" w:rsidRPr="000B55A9" w14:paraId="63132E5E" w14:textId="77777777" w:rsidTr="0069728C">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blCellSpacing w:w="15" w:type="dxa"/>
        </w:trPr>
        <w:tc>
          <w:tcPr>
            <w:tcW w:w="1335" w:type="pct"/>
            <w:gridSpan w:val="2"/>
            <w:tcBorders>
              <w:top w:val="single" w:sz="2" w:space="0" w:color="auto"/>
              <w:bottom w:val="nil"/>
              <w:right w:val="nil"/>
            </w:tcBorders>
            <w:vAlign w:val="center"/>
            <w:hideMark/>
          </w:tcPr>
          <w:p w14:paraId="37452664" w14:textId="77777777" w:rsidR="00304B5F" w:rsidRPr="000B55A9" w:rsidRDefault="00304B5F" w:rsidP="00326578">
            <w:pPr>
              <w:spacing w:before="100" w:beforeAutospacing="1" w:after="100" w:afterAutospacing="1" w:line="240" w:lineRule="auto"/>
              <w:ind w:firstLine="90"/>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65" w:type="pct"/>
            <w:gridSpan w:val="4"/>
            <w:tcBorders>
              <w:top w:val="single" w:sz="2" w:space="0" w:color="auto"/>
              <w:bottom w:val="nil"/>
            </w:tcBorders>
            <w:hideMark/>
          </w:tcPr>
          <w:p w14:paraId="72DEA956" w14:textId="77777777" w:rsidR="00304B5F" w:rsidRPr="000B55A9" w:rsidRDefault="00304B5F" w:rsidP="0069728C">
            <w:pPr>
              <w:spacing w:before="100" w:beforeAutospacing="1" w:after="100" w:afterAutospacing="1"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Projekts šo jomu neskar.</w:t>
            </w:r>
          </w:p>
        </w:tc>
      </w:tr>
      <w:tr w:rsidR="00304B5F" w:rsidRPr="000B55A9" w14:paraId="56A6194E" w14:textId="77777777" w:rsidTr="0069728C">
        <w:tblPrEx>
          <w:tblCellSpacing w:w="1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Ex>
        <w:trPr>
          <w:tblCellSpacing w:w="15" w:type="dxa"/>
        </w:trPr>
        <w:tc>
          <w:tcPr>
            <w:tcW w:w="1335" w:type="pct"/>
            <w:gridSpan w:val="2"/>
            <w:hideMark/>
          </w:tcPr>
          <w:p w14:paraId="71E6BC2A" w14:textId="77777777" w:rsidR="00304B5F" w:rsidRPr="000B55A9" w:rsidRDefault="00304B5F" w:rsidP="0069728C">
            <w:pPr>
              <w:spacing w:before="100" w:beforeAutospacing="1" w:after="100" w:afterAutospacing="1"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Cita informācija</w:t>
            </w:r>
          </w:p>
        </w:tc>
        <w:tc>
          <w:tcPr>
            <w:tcW w:w="3665" w:type="pct"/>
            <w:gridSpan w:val="4"/>
            <w:hideMark/>
          </w:tcPr>
          <w:p w14:paraId="3BCD864D" w14:textId="77777777" w:rsidR="00304B5F" w:rsidRPr="000B55A9" w:rsidRDefault="00304B5F" w:rsidP="0069728C">
            <w:pPr>
              <w:spacing w:before="100" w:beforeAutospacing="1" w:after="100" w:afterAutospacing="1"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Nav</w:t>
            </w:r>
          </w:p>
        </w:tc>
      </w:tr>
    </w:tbl>
    <w:p w14:paraId="19B04E75" w14:textId="46E3DF96" w:rsidR="00C51A1B" w:rsidRPr="000B55A9" w:rsidRDefault="00C51A1B" w:rsidP="0046788D">
      <w:pPr>
        <w:spacing w:after="0" w:line="240" w:lineRule="auto"/>
        <w:rPr>
          <w:rFonts w:ascii="Times New Roman" w:eastAsia="Times New Roman" w:hAnsi="Times New Roman" w:cs="Times New Roman"/>
          <w:sz w:val="24"/>
          <w:szCs w:val="24"/>
          <w:lang w:eastAsia="lv-LV"/>
        </w:rPr>
      </w:pPr>
    </w:p>
    <w:tbl>
      <w:tblPr>
        <w:tblW w:w="505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0"/>
        <w:gridCol w:w="2585"/>
        <w:gridCol w:w="6089"/>
      </w:tblGrid>
      <w:tr w:rsidR="00C51A1B" w:rsidRPr="000B55A9" w14:paraId="41CACDFB" w14:textId="77777777" w:rsidTr="001353C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4CC6EFD" w14:textId="5339507F" w:rsidR="00C51A1B" w:rsidRPr="001353CA" w:rsidRDefault="00C51A1B" w:rsidP="001353CA">
            <w:pPr>
              <w:spacing w:after="0" w:line="240" w:lineRule="auto"/>
              <w:jc w:val="center"/>
              <w:rPr>
                <w:rFonts w:ascii="Times New Roman" w:eastAsia="Times New Roman" w:hAnsi="Times New Roman" w:cs="Times New Roman"/>
                <w:sz w:val="24"/>
                <w:szCs w:val="24"/>
                <w:lang w:eastAsia="lv-LV"/>
              </w:rPr>
            </w:pPr>
            <w:r w:rsidRPr="000B55A9">
              <w:rPr>
                <w:rFonts w:ascii="Times New Roman" w:hAnsi="Times New Roman" w:cs="Times New Roman"/>
                <w:b/>
                <w:bCs/>
                <w:sz w:val="24"/>
                <w:szCs w:val="24"/>
              </w:rPr>
              <w:t>2. tabula</w:t>
            </w:r>
            <w:r w:rsidRPr="000B55A9">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0B55A9">
              <w:rPr>
                <w:rFonts w:ascii="Times New Roman" w:hAnsi="Times New Roman" w:cs="Times New Roman"/>
                <w:b/>
                <w:bCs/>
                <w:sz w:val="24"/>
                <w:szCs w:val="24"/>
              </w:rPr>
              <w:br/>
              <w:t>Pasākumi šo saistību izpildei</w:t>
            </w:r>
          </w:p>
        </w:tc>
      </w:tr>
      <w:tr w:rsidR="00C51A1B" w:rsidRPr="000B55A9" w14:paraId="54C1B15E" w14:textId="77777777" w:rsidTr="001353CA">
        <w:tc>
          <w:tcPr>
            <w:tcW w:w="5000" w:type="pct"/>
            <w:gridSpan w:val="3"/>
            <w:tcBorders>
              <w:top w:val="single" w:sz="4" w:space="0" w:color="auto"/>
              <w:left w:val="single" w:sz="4" w:space="0" w:color="auto"/>
              <w:bottom w:val="single" w:sz="4" w:space="0" w:color="auto"/>
              <w:right w:val="single" w:sz="4" w:space="0" w:color="auto"/>
            </w:tcBorders>
            <w:vAlign w:val="center"/>
          </w:tcPr>
          <w:p w14:paraId="7161ECAE" w14:textId="1774BBBC" w:rsidR="001353CA" w:rsidRPr="001353CA" w:rsidRDefault="007E0F52" w:rsidP="001353CA">
            <w:pPr>
              <w:spacing w:after="0" w:line="240" w:lineRule="auto"/>
              <w:jc w:val="center"/>
              <w:rPr>
                <w:rFonts w:ascii="Times New Roman" w:eastAsia="Times New Roman" w:hAnsi="Times New Roman" w:cs="Times New Roman"/>
                <w:bCs/>
                <w:sz w:val="24"/>
                <w:szCs w:val="24"/>
                <w:lang w:eastAsia="lv-LV"/>
              </w:rPr>
            </w:pPr>
            <w:r w:rsidRPr="000B55A9">
              <w:rPr>
                <w:rFonts w:ascii="Times New Roman" w:eastAsia="Times New Roman" w:hAnsi="Times New Roman" w:cs="Times New Roman"/>
                <w:bCs/>
                <w:sz w:val="24"/>
                <w:szCs w:val="24"/>
                <w:lang w:eastAsia="lv-LV"/>
              </w:rPr>
              <w:t>Projekts šo jomu neskar.</w:t>
            </w:r>
          </w:p>
        </w:tc>
      </w:tr>
      <w:tr w:rsidR="001353CA" w:rsidRPr="000B55A9" w14:paraId="3DC6A203" w14:textId="77777777" w:rsidTr="001353CA">
        <w:tc>
          <w:tcPr>
            <w:tcW w:w="5000" w:type="pct"/>
            <w:gridSpan w:val="3"/>
            <w:tcBorders>
              <w:top w:val="single" w:sz="4" w:space="0" w:color="auto"/>
              <w:left w:val="nil"/>
              <w:bottom w:val="single" w:sz="4" w:space="0" w:color="auto"/>
              <w:right w:val="nil"/>
            </w:tcBorders>
            <w:vAlign w:val="center"/>
          </w:tcPr>
          <w:p w14:paraId="5B4D4115" w14:textId="77777777" w:rsidR="001353CA" w:rsidRPr="000B55A9" w:rsidRDefault="001353CA" w:rsidP="007E0F52">
            <w:pPr>
              <w:spacing w:after="0" w:line="240" w:lineRule="auto"/>
              <w:jc w:val="center"/>
              <w:rPr>
                <w:rFonts w:ascii="Times New Roman" w:eastAsia="Times New Roman" w:hAnsi="Times New Roman" w:cs="Times New Roman"/>
                <w:bCs/>
                <w:sz w:val="24"/>
                <w:szCs w:val="24"/>
                <w:lang w:eastAsia="lv-LV"/>
              </w:rPr>
            </w:pPr>
          </w:p>
        </w:tc>
      </w:tr>
      <w:tr w:rsidR="00543AA6" w:rsidRPr="000B55A9" w14:paraId="1462312E" w14:textId="77777777" w:rsidTr="001353C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612A575" w14:textId="77777777"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B55A9">
              <w:rPr>
                <w:rFonts w:ascii="Times New Roman" w:eastAsia="Times New Roman" w:hAnsi="Times New Roman" w:cs="Times New Roman"/>
                <w:b/>
                <w:bCs/>
                <w:sz w:val="24"/>
                <w:szCs w:val="24"/>
                <w:lang w:eastAsia="lv-LV"/>
              </w:rPr>
              <w:t>VI. Sabiedrības līdzdalība un komunikācijas aktivitātes</w:t>
            </w:r>
          </w:p>
        </w:tc>
      </w:tr>
      <w:tr w:rsidR="00543AA6" w:rsidRPr="000B55A9" w14:paraId="5CA32147" w14:textId="77777777" w:rsidTr="001657A2">
        <w:trPr>
          <w:trHeight w:val="1165"/>
        </w:trPr>
        <w:tc>
          <w:tcPr>
            <w:tcW w:w="293" w:type="pct"/>
            <w:tcBorders>
              <w:top w:val="single" w:sz="4" w:space="0" w:color="auto"/>
              <w:left w:val="outset" w:sz="6" w:space="0" w:color="414142"/>
              <w:bottom w:val="outset" w:sz="6" w:space="0" w:color="414142"/>
              <w:right w:val="outset" w:sz="6" w:space="0" w:color="414142"/>
            </w:tcBorders>
            <w:hideMark/>
          </w:tcPr>
          <w:p w14:paraId="1605639E" w14:textId="77777777" w:rsidR="00543AA6" w:rsidRPr="000B55A9"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1.</w:t>
            </w:r>
          </w:p>
        </w:tc>
        <w:tc>
          <w:tcPr>
            <w:tcW w:w="1403" w:type="pct"/>
            <w:tcBorders>
              <w:top w:val="single" w:sz="4" w:space="0" w:color="auto"/>
              <w:left w:val="outset" w:sz="6" w:space="0" w:color="414142"/>
              <w:bottom w:val="outset" w:sz="6" w:space="0" w:color="414142"/>
              <w:right w:val="outset" w:sz="6" w:space="0" w:color="414142"/>
            </w:tcBorders>
            <w:hideMark/>
          </w:tcPr>
          <w:p w14:paraId="67CB56D3" w14:textId="77777777" w:rsidR="00543AA6" w:rsidRPr="000B55A9" w:rsidRDefault="00543AA6"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Plānotās sabiedrības līdzdalības un komunikācijas aktivitātes saistībā ar projektu</w:t>
            </w:r>
          </w:p>
        </w:tc>
        <w:tc>
          <w:tcPr>
            <w:tcW w:w="3304" w:type="pct"/>
            <w:tcBorders>
              <w:top w:val="single" w:sz="4" w:space="0" w:color="auto"/>
              <w:left w:val="outset" w:sz="6" w:space="0" w:color="414142"/>
              <w:bottom w:val="outset" w:sz="6" w:space="0" w:color="414142"/>
              <w:right w:val="outset" w:sz="6" w:space="0" w:color="414142"/>
            </w:tcBorders>
            <w:hideMark/>
          </w:tcPr>
          <w:p w14:paraId="7ECEBFDB" w14:textId="449B64C4" w:rsidR="00827E4A" w:rsidRPr="000B55A9" w:rsidRDefault="00020D8F">
            <w:pPr>
              <w:tabs>
                <w:tab w:val="left" w:pos="3997"/>
              </w:tabs>
              <w:spacing w:after="0" w:line="240" w:lineRule="auto"/>
              <w:ind w:right="111"/>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Informācija par likumprojekt</w:t>
            </w:r>
            <w:r w:rsidR="00827E4A" w:rsidRPr="000B55A9">
              <w:rPr>
                <w:rFonts w:ascii="Times New Roman" w:eastAsia="Times New Roman" w:hAnsi="Times New Roman" w:cs="Times New Roman"/>
                <w:sz w:val="24"/>
                <w:szCs w:val="24"/>
                <w:lang w:eastAsia="lv-LV"/>
              </w:rPr>
              <w:t>a izstrādi</w:t>
            </w:r>
            <w:r w:rsidRPr="000B55A9">
              <w:rPr>
                <w:rFonts w:ascii="Times New Roman" w:eastAsia="Times New Roman" w:hAnsi="Times New Roman" w:cs="Times New Roman"/>
                <w:sz w:val="24"/>
                <w:szCs w:val="24"/>
                <w:lang w:eastAsia="lv-LV"/>
              </w:rPr>
              <w:t xml:space="preserve"> </w:t>
            </w:r>
            <w:r w:rsidR="000A2CD9" w:rsidRPr="000B55A9">
              <w:rPr>
                <w:rFonts w:ascii="Times New Roman" w:eastAsia="Times New Roman" w:hAnsi="Times New Roman" w:cs="Times New Roman"/>
                <w:sz w:val="24"/>
                <w:szCs w:val="24"/>
                <w:lang w:eastAsia="lv-LV"/>
              </w:rPr>
              <w:t>ir</w:t>
            </w:r>
            <w:r w:rsidRPr="000B55A9">
              <w:rPr>
                <w:rFonts w:ascii="Times New Roman" w:eastAsia="Times New Roman" w:hAnsi="Times New Roman" w:cs="Times New Roman"/>
                <w:sz w:val="24"/>
                <w:szCs w:val="24"/>
                <w:lang w:eastAsia="lv-LV"/>
              </w:rPr>
              <w:t xml:space="preserve"> </w:t>
            </w:r>
            <w:r w:rsidR="00827E4A" w:rsidRPr="000B55A9">
              <w:rPr>
                <w:rFonts w:ascii="Times New Roman" w:eastAsia="Times New Roman" w:hAnsi="Times New Roman" w:cs="Times New Roman"/>
                <w:sz w:val="24"/>
                <w:szCs w:val="24"/>
                <w:lang w:eastAsia="lv-LV"/>
              </w:rPr>
              <w:t xml:space="preserve">publicēta </w:t>
            </w:r>
            <w:r w:rsidR="00717D3B" w:rsidRPr="000B55A9">
              <w:rPr>
                <w:rFonts w:ascii="Times New Roman" w:eastAsia="Times New Roman" w:hAnsi="Times New Roman" w:cs="Times New Roman"/>
                <w:sz w:val="24"/>
                <w:szCs w:val="24"/>
                <w:lang w:eastAsia="lv-LV"/>
              </w:rPr>
              <w:t xml:space="preserve">Finanšu ministrijas </w:t>
            </w:r>
            <w:r w:rsidR="00827E4A" w:rsidRPr="000B55A9">
              <w:rPr>
                <w:rFonts w:ascii="Times New Roman" w:eastAsia="Times New Roman" w:hAnsi="Times New Roman" w:cs="Times New Roman"/>
                <w:sz w:val="24"/>
                <w:szCs w:val="24"/>
                <w:lang w:eastAsia="lv-LV"/>
              </w:rPr>
              <w:t xml:space="preserve">tīmekļvietnē sadaļā </w:t>
            </w:r>
            <w:r w:rsidR="00827E4A" w:rsidRPr="000B55A9">
              <w:rPr>
                <w:rFonts w:ascii="Times New Roman" w:hAnsi="Times New Roman" w:cs="Times New Roman"/>
                <w:iCs/>
                <w:sz w:val="24"/>
                <w:szCs w:val="24"/>
              </w:rPr>
              <w:t>“Sabiedrības līdzdalība” – “Tiesību aktu projekti” – “Nodokļu politika”. L</w:t>
            </w:r>
            <w:r w:rsidR="00827E4A" w:rsidRPr="000B55A9">
              <w:rPr>
                <w:rFonts w:ascii="Times New Roman" w:hAnsi="Times New Roman" w:cs="Times New Roman"/>
                <w:iCs/>
                <w:spacing w:val="-2"/>
                <w:sz w:val="24"/>
                <w:szCs w:val="24"/>
              </w:rPr>
              <w:t xml:space="preserve">īdz ar to sabiedrības pārstāvji varēja līdzdarboties </w:t>
            </w:r>
            <w:r w:rsidR="0000191A" w:rsidRPr="000B55A9">
              <w:rPr>
                <w:rFonts w:ascii="Times New Roman" w:hAnsi="Times New Roman" w:cs="Times New Roman"/>
                <w:iCs/>
                <w:spacing w:val="-2"/>
                <w:sz w:val="24"/>
                <w:szCs w:val="24"/>
              </w:rPr>
              <w:t>likum</w:t>
            </w:r>
            <w:r w:rsidR="00827E4A" w:rsidRPr="000B55A9">
              <w:rPr>
                <w:rFonts w:ascii="Times New Roman" w:hAnsi="Times New Roman" w:cs="Times New Roman"/>
                <w:iCs/>
                <w:spacing w:val="-2"/>
                <w:sz w:val="24"/>
                <w:szCs w:val="24"/>
              </w:rPr>
              <w:t xml:space="preserve">projekta izstrādē, </w:t>
            </w:r>
            <w:proofErr w:type="spellStart"/>
            <w:r w:rsidR="00827E4A" w:rsidRPr="000B55A9">
              <w:rPr>
                <w:rFonts w:ascii="Times New Roman" w:hAnsi="Times New Roman" w:cs="Times New Roman"/>
                <w:iCs/>
                <w:spacing w:val="-2"/>
                <w:sz w:val="24"/>
                <w:szCs w:val="24"/>
              </w:rPr>
              <w:t>rakstveidā</w:t>
            </w:r>
            <w:proofErr w:type="spellEnd"/>
            <w:r w:rsidR="00827E4A" w:rsidRPr="000B55A9">
              <w:rPr>
                <w:rFonts w:ascii="Times New Roman" w:hAnsi="Times New Roman" w:cs="Times New Roman"/>
                <w:iCs/>
                <w:spacing w:val="-2"/>
                <w:sz w:val="24"/>
                <w:szCs w:val="24"/>
              </w:rPr>
              <w:t xml:space="preserve"> sniedzot viedokļus par projektu</w:t>
            </w:r>
            <w:r w:rsidR="00827E4A" w:rsidRPr="000B55A9">
              <w:rPr>
                <w:i/>
                <w:iCs/>
                <w:spacing w:val="-2"/>
                <w:sz w:val="24"/>
                <w:szCs w:val="24"/>
              </w:rPr>
              <w:t>.</w:t>
            </w:r>
          </w:p>
        </w:tc>
      </w:tr>
      <w:tr w:rsidR="00543AA6" w:rsidRPr="000B55A9" w14:paraId="395AEA98" w14:textId="77777777" w:rsidTr="00C51A1B">
        <w:tc>
          <w:tcPr>
            <w:tcW w:w="293" w:type="pct"/>
            <w:tcBorders>
              <w:top w:val="outset" w:sz="6" w:space="0" w:color="414142"/>
              <w:left w:val="outset" w:sz="6" w:space="0" w:color="414142"/>
              <w:bottom w:val="outset" w:sz="6" w:space="0" w:color="414142"/>
              <w:right w:val="outset" w:sz="6" w:space="0" w:color="414142"/>
            </w:tcBorders>
            <w:hideMark/>
          </w:tcPr>
          <w:p w14:paraId="79409035" w14:textId="77777777" w:rsidR="00543AA6" w:rsidRPr="000B55A9"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2.</w:t>
            </w:r>
          </w:p>
        </w:tc>
        <w:tc>
          <w:tcPr>
            <w:tcW w:w="1403" w:type="pct"/>
            <w:tcBorders>
              <w:top w:val="outset" w:sz="6" w:space="0" w:color="414142"/>
              <w:left w:val="outset" w:sz="6" w:space="0" w:color="414142"/>
              <w:bottom w:val="outset" w:sz="6" w:space="0" w:color="414142"/>
              <w:right w:val="outset" w:sz="6" w:space="0" w:color="414142"/>
            </w:tcBorders>
            <w:hideMark/>
          </w:tcPr>
          <w:p w14:paraId="3CE94547" w14:textId="77777777" w:rsidR="00543AA6" w:rsidRPr="000B55A9" w:rsidRDefault="00543AA6"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Sabiedrības līdzdalība projekta izstrādē</w:t>
            </w:r>
          </w:p>
        </w:tc>
        <w:tc>
          <w:tcPr>
            <w:tcW w:w="3304" w:type="pct"/>
            <w:tcBorders>
              <w:top w:val="outset" w:sz="6" w:space="0" w:color="414142"/>
              <w:left w:val="outset" w:sz="6" w:space="0" w:color="414142"/>
              <w:bottom w:val="outset" w:sz="6" w:space="0" w:color="414142"/>
              <w:right w:val="outset" w:sz="6" w:space="0" w:color="414142"/>
            </w:tcBorders>
            <w:hideMark/>
          </w:tcPr>
          <w:p w14:paraId="6D66D8EA" w14:textId="648B323F" w:rsidR="0000191A" w:rsidRPr="000B55A9" w:rsidRDefault="0000191A" w:rsidP="0000191A">
            <w:pPr>
              <w:pStyle w:val="NormalWeb"/>
              <w:spacing w:line="252" w:lineRule="auto"/>
              <w:jc w:val="both"/>
              <w:rPr>
                <w:rFonts w:ascii="Calibri" w:hAnsi="Calibri" w:cs="Calibri"/>
              </w:rPr>
            </w:pPr>
            <w:r w:rsidRPr="000B55A9">
              <w:rPr>
                <w:iCs/>
                <w:spacing w:val="-2"/>
              </w:rPr>
              <w:t xml:space="preserve">Sabiedrības pārstāvji varēja līdzdarboties likumprojekta izstrādē, </w:t>
            </w:r>
            <w:proofErr w:type="spellStart"/>
            <w:r w:rsidRPr="000B55A9">
              <w:rPr>
                <w:iCs/>
                <w:spacing w:val="-2"/>
              </w:rPr>
              <w:t>rakstveidā</w:t>
            </w:r>
            <w:proofErr w:type="spellEnd"/>
            <w:r w:rsidRPr="000B55A9">
              <w:rPr>
                <w:iCs/>
                <w:spacing w:val="-2"/>
              </w:rPr>
              <w:t xml:space="preserve"> sniedzot viedokļus par likumprojektu, kas </w:t>
            </w:r>
            <w:r w:rsidRPr="000B55A9">
              <w:rPr>
                <w:iCs/>
              </w:rPr>
              <w:t>2018.gada 11.oktobrī publicēts Finanšu ministrijas tīmekļvietnē sadaļā “Sabiedrības līdzdalība” – “Tiesību aktu projekti” – “Nodokļu politika”, adrese:</w:t>
            </w:r>
          </w:p>
          <w:p w14:paraId="7E587B17" w14:textId="77777777" w:rsidR="0000191A" w:rsidRPr="000B55A9" w:rsidRDefault="0000191A" w:rsidP="0000191A">
            <w:pPr>
              <w:tabs>
                <w:tab w:val="left" w:pos="3997"/>
              </w:tabs>
              <w:spacing w:after="0" w:line="240" w:lineRule="auto"/>
              <w:ind w:right="111"/>
              <w:jc w:val="both"/>
              <w:rPr>
                <w:rFonts w:ascii="Times New Roman" w:eastAsia="Times New Roman" w:hAnsi="Times New Roman" w:cs="Times New Roman"/>
                <w:color w:val="1F4E79" w:themeColor="accent5" w:themeShade="80"/>
                <w:sz w:val="24"/>
                <w:szCs w:val="24"/>
                <w:u w:val="single"/>
                <w:lang w:eastAsia="lv-LV"/>
              </w:rPr>
            </w:pPr>
            <w:r w:rsidRPr="000B55A9">
              <w:rPr>
                <w:rFonts w:ascii="Times New Roman" w:eastAsia="Times New Roman" w:hAnsi="Times New Roman" w:cs="Times New Roman"/>
                <w:color w:val="1F4E79" w:themeColor="accent5" w:themeShade="80"/>
                <w:sz w:val="24"/>
                <w:szCs w:val="24"/>
                <w:u w:val="single"/>
                <w:lang w:eastAsia="lv-LV"/>
              </w:rPr>
              <w:t>http://www.fm.gov.lv/lv/sabiedribas_lidzdaliba/tiesibu_aktu_</w:t>
            </w:r>
          </w:p>
          <w:p w14:paraId="64213B21" w14:textId="3381FB53" w:rsidR="00543AA6" w:rsidRPr="000B55A9" w:rsidRDefault="0000191A" w:rsidP="001657A2">
            <w:pPr>
              <w:tabs>
                <w:tab w:val="left" w:pos="3997"/>
              </w:tabs>
              <w:spacing w:after="0" w:line="240" w:lineRule="auto"/>
              <w:ind w:right="111"/>
              <w:jc w:val="both"/>
              <w:rPr>
                <w:rFonts w:ascii="Times New Roman" w:hAnsi="Times New Roman" w:cs="Times New Roman"/>
                <w:sz w:val="24"/>
                <w:szCs w:val="24"/>
              </w:rPr>
            </w:pPr>
            <w:r w:rsidRPr="000B55A9">
              <w:rPr>
                <w:rFonts w:ascii="Times New Roman" w:eastAsia="Times New Roman" w:hAnsi="Times New Roman" w:cs="Times New Roman"/>
                <w:color w:val="1F4E79" w:themeColor="accent5" w:themeShade="80"/>
                <w:sz w:val="24"/>
                <w:szCs w:val="24"/>
                <w:u w:val="single"/>
                <w:lang w:eastAsia="lv-LV"/>
              </w:rPr>
              <w:t>projekti/nodoklu_politika#project517</w:t>
            </w:r>
            <w:r w:rsidRPr="000B55A9">
              <w:rPr>
                <w:rFonts w:ascii="Times New Roman" w:eastAsia="Times New Roman" w:hAnsi="Times New Roman" w:cs="Times New Roman"/>
                <w:color w:val="1F4E79" w:themeColor="accent5" w:themeShade="80"/>
                <w:sz w:val="24"/>
                <w:szCs w:val="24"/>
                <w:lang w:eastAsia="lv-LV"/>
              </w:rPr>
              <w:t xml:space="preserve"> .</w:t>
            </w:r>
          </w:p>
          <w:p w14:paraId="65C7B440" w14:textId="7C665C06" w:rsidR="00F24D9B" w:rsidRPr="000B55A9" w:rsidRDefault="00F24D9B" w:rsidP="001D11AF">
            <w:pPr>
              <w:tabs>
                <w:tab w:val="left" w:pos="3997"/>
              </w:tabs>
              <w:spacing w:after="0" w:line="240" w:lineRule="auto"/>
              <w:ind w:right="111"/>
              <w:jc w:val="both"/>
              <w:rPr>
                <w:rFonts w:ascii="Times New Roman" w:eastAsia="Times New Roman" w:hAnsi="Times New Roman" w:cs="Times New Roman"/>
                <w:color w:val="1F4E79" w:themeColor="accent5" w:themeShade="80"/>
                <w:sz w:val="24"/>
                <w:szCs w:val="24"/>
                <w:lang w:eastAsia="lv-LV"/>
              </w:rPr>
            </w:pPr>
            <w:r w:rsidRPr="000B55A9">
              <w:rPr>
                <w:rFonts w:ascii="Times New Roman" w:hAnsi="Times New Roman" w:cs="Times New Roman"/>
                <w:sz w:val="24"/>
                <w:szCs w:val="24"/>
              </w:rPr>
              <w:lastRenderedPageBreak/>
              <w:t>Projekta izstrādes gaitā ir iesaistīta Latvijas Biodegvielu un bioenerģijas asociācija (turpmāk – LBBA), kas izteica viedokli</w:t>
            </w:r>
            <w:r w:rsidR="00C63A62" w:rsidRPr="000B55A9">
              <w:rPr>
                <w:rFonts w:ascii="Times New Roman" w:hAnsi="Times New Roman" w:cs="Times New Roman"/>
                <w:sz w:val="24"/>
                <w:szCs w:val="24"/>
              </w:rPr>
              <w:t xml:space="preserve"> 2018.gada 1.novembra vēstulē Nr.18/10</w:t>
            </w:r>
            <w:r w:rsidRPr="000B55A9">
              <w:rPr>
                <w:rFonts w:ascii="Times New Roman" w:hAnsi="Times New Roman" w:cs="Times New Roman"/>
                <w:sz w:val="24"/>
                <w:szCs w:val="24"/>
              </w:rPr>
              <w:t>.</w:t>
            </w:r>
          </w:p>
        </w:tc>
      </w:tr>
      <w:tr w:rsidR="00543AA6" w:rsidRPr="000B55A9" w14:paraId="43E9FA74" w14:textId="77777777" w:rsidTr="00C51A1B">
        <w:tc>
          <w:tcPr>
            <w:tcW w:w="293" w:type="pct"/>
            <w:tcBorders>
              <w:top w:val="outset" w:sz="6" w:space="0" w:color="414142"/>
              <w:left w:val="outset" w:sz="6" w:space="0" w:color="414142"/>
              <w:bottom w:val="outset" w:sz="6" w:space="0" w:color="414142"/>
              <w:right w:val="outset" w:sz="6" w:space="0" w:color="414142"/>
            </w:tcBorders>
            <w:hideMark/>
          </w:tcPr>
          <w:p w14:paraId="6FE69FE8" w14:textId="77777777" w:rsidR="00543AA6" w:rsidRPr="000B55A9"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lastRenderedPageBreak/>
              <w:t>3.</w:t>
            </w:r>
          </w:p>
        </w:tc>
        <w:tc>
          <w:tcPr>
            <w:tcW w:w="1403" w:type="pct"/>
            <w:tcBorders>
              <w:top w:val="outset" w:sz="6" w:space="0" w:color="414142"/>
              <w:left w:val="outset" w:sz="6" w:space="0" w:color="414142"/>
              <w:bottom w:val="outset" w:sz="6" w:space="0" w:color="414142"/>
              <w:right w:val="outset" w:sz="6" w:space="0" w:color="414142"/>
            </w:tcBorders>
            <w:hideMark/>
          </w:tcPr>
          <w:p w14:paraId="7D918D8D" w14:textId="77777777" w:rsidR="00543AA6" w:rsidRPr="000B55A9" w:rsidRDefault="00543AA6"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Sabiedrības līdzdalības rezultāti</w:t>
            </w:r>
          </w:p>
        </w:tc>
        <w:tc>
          <w:tcPr>
            <w:tcW w:w="3304" w:type="pct"/>
            <w:tcBorders>
              <w:top w:val="outset" w:sz="6" w:space="0" w:color="414142"/>
              <w:left w:val="outset" w:sz="6" w:space="0" w:color="414142"/>
              <w:bottom w:val="outset" w:sz="6" w:space="0" w:color="414142"/>
              <w:right w:val="outset" w:sz="6" w:space="0" w:color="414142"/>
            </w:tcBorders>
            <w:hideMark/>
          </w:tcPr>
          <w:p w14:paraId="4B7AAC0D" w14:textId="59CC551E" w:rsidR="00543AA6" w:rsidRPr="000B55A9" w:rsidRDefault="00F24D9B" w:rsidP="00303060">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 xml:space="preserve"> </w:t>
            </w:r>
            <w:r w:rsidR="00B0349E" w:rsidRPr="000B55A9">
              <w:rPr>
                <w:rFonts w:ascii="Times New Roman" w:eastAsia="Times New Roman" w:hAnsi="Times New Roman" w:cs="Times New Roman"/>
                <w:sz w:val="24"/>
                <w:szCs w:val="24"/>
                <w:lang w:eastAsia="lv-LV"/>
              </w:rPr>
              <w:t>LBBA iebilst pret samazināto nodokļa likmju atcel</w:t>
            </w:r>
            <w:r w:rsidRPr="000B55A9">
              <w:rPr>
                <w:rFonts w:ascii="Times New Roman" w:eastAsia="Times New Roman" w:hAnsi="Times New Roman" w:cs="Times New Roman"/>
                <w:sz w:val="24"/>
                <w:szCs w:val="24"/>
                <w:lang w:eastAsia="lv-LV"/>
              </w:rPr>
              <w:t>šanu</w:t>
            </w:r>
            <w:r w:rsidR="00B0349E" w:rsidRPr="000B55A9">
              <w:rPr>
                <w:rFonts w:ascii="Times New Roman" w:eastAsia="Times New Roman" w:hAnsi="Times New Roman" w:cs="Times New Roman"/>
                <w:sz w:val="24"/>
                <w:szCs w:val="24"/>
                <w:lang w:eastAsia="lv-LV"/>
              </w:rPr>
              <w:t xml:space="preserve"> degvielām E</w:t>
            </w:r>
            <w:r w:rsidRPr="000B55A9">
              <w:rPr>
                <w:rFonts w:ascii="Times New Roman" w:eastAsia="Times New Roman" w:hAnsi="Times New Roman" w:cs="Times New Roman"/>
                <w:sz w:val="24"/>
                <w:szCs w:val="24"/>
                <w:lang w:eastAsia="lv-LV"/>
              </w:rPr>
              <w:t>85 un B100</w:t>
            </w:r>
            <w:r w:rsidR="00B0349E" w:rsidRPr="000B55A9">
              <w:rPr>
                <w:rFonts w:ascii="Times New Roman" w:eastAsia="Times New Roman" w:hAnsi="Times New Roman" w:cs="Times New Roman"/>
                <w:sz w:val="24"/>
                <w:szCs w:val="24"/>
                <w:lang w:eastAsia="lv-LV"/>
              </w:rPr>
              <w:t>, kā arī likmes paaugstināša</w:t>
            </w:r>
            <w:r w:rsidRPr="000B55A9">
              <w:rPr>
                <w:rFonts w:ascii="Times New Roman" w:eastAsia="Times New Roman" w:hAnsi="Times New Roman" w:cs="Times New Roman"/>
                <w:sz w:val="24"/>
                <w:szCs w:val="24"/>
                <w:lang w:eastAsia="lv-LV"/>
              </w:rPr>
              <w:t>na</w:t>
            </w:r>
            <w:r w:rsidR="00B0349E" w:rsidRPr="000B55A9">
              <w:rPr>
                <w:rFonts w:ascii="Times New Roman" w:eastAsia="Times New Roman" w:hAnsi="Times New Roman" w:cs="Times New Roman"/>
                <w:sz w:val="24"/>
                <w:szCs w:val="24"/>
                <w:lang w:eastAsia="lv-LV"/>
              </w:rPr>
              <w:t>i</w:t>
            </w:r>
            <w:r w:rsidRPr="000B55A9">
              <w:rPr>
                <w:rFonts w:ascii="Times New Roman" w:eastAsia="Times New Roman" w:hAnsi="Times New Roman" w:cs="Times New Roman"/>
                <w:sz w:val="24"/>
                <w:szCs w:val="24"/>
                <w:lang w:eastAsia="lv-LV"/>
              </w:rPr>
              <w:t xml:space="preserve"> </w:t>
            </w:r>
            <w:r w:rsidR="00B0349E" w:rsidRPr="000B55A9">
              <w:rPr>
                <w:rFonts w:ascii="Times New Roman" w:eastAsia="Times New Roman" w:hAnsi="Times New Roman" w:cs="Times New Roman"/>
                <w:sz w:val="24"/>
                <w:szCs w:val="24"/>
                <w:lang w:eastAsia="lv-LV"/>
              </w:rPr>
              <w:t xml:space="preserve">marķētai dīzeļdegvielai, kurai ir pievienota biodegviela. </w:t>
            </w:r>
            <w:r w:rsidR="00303060" w:rsidRPr="000B55A9">
              <w:rPr>
                <w:rFonts w:ascii="Times New Roman" w:eastAsia="Times New Roman" w:hAnsi="Times New Roman" w:cs="Times New Roman"/>
                <w:sz w:val="24"/>
                <w:szCs w:val="24"/>
                <w:lang w:eastAsia="lv-LV"/>
              </w:rPr>
              <w:t>Izteiktie iebildumi par likumprojektu nav ņemti</w:t>
            </w:r>
            <w:r w:rsidR="008E44AD">
              <w:rPr>
                <w:rFonts w:ascii="Times New Roman" w:eastAsia="Times New Roman" w:hAnsi="Times New Roman" w:cs="Times New Roman"/>
                <w:sz w:val="24"/>
                <w:szCs w:val="24"/>
                <w:lang w:eastAsia="lv-LV"/>
              </w:rPr>
              <w:t xml:space="preserve"> vērā, jo saskaņā ar </w:t>
            </w:r>
            <w:r w:rsidRPr="000B55A9">
              <w:rPr>
                <w:rFonts w:ascii="Times New Roman" w:eastAsia="Times New Roman" w:hAnsi="Times New Roman" w:cs="Times New Roman"/>
                <w:sz w:val="24"/>
                <w:szCs w:val="24"/>
                <w:lang w:eastAsia="lv-LV"/>
              </w:rPr>
              <w:t>Ministru kabineta 2017.gada 21.jūlija rīkojuma Nr.379 “Par konceptuālo ziņojumu “Par atjaunojamo energoresursu izmantošanu transp</w:t>
            </w:r>
            <w:r w:rsidR="00303060" w:rsidRPr="000B55A9">
              <w:rPr>
                <w:rFonts w:ascii="Times New Roman" w:eastAsia="Times New Roman" w:hAnsi="Times New Roman" w:cs="Times New Roman"/>
                <w:sz w:val="24"/>
                <w:szCs w:val="24"/>
                <w:lang w:eastAsia="lv-LV"/>
              </w:rPr>
              <w:t>orta sektorā”” 3.punktā doto uzdevumu, kas paredz ar 2019.gadu</w:t>
            </w:r>
            <w:r w:rsidRPr="000B55A9">
              <w:rPr>
                <w:rFonts w:ascii="Times New Roman" w:eastAsia="Times New Roman" w:hAnsi="Times New Roman" w:cs="Times New Roman"/>
                <w:sz w:val="24"/>
                <w:szCs w:val="24"/>
                <w:lang w:eastAsia="lv-LV"/>
              </w:rPr>
              <w:t xml:space="preserve"> atcelt samazinātās akcīzes nodokļa likmes degvielai E85 un B100</w:t>
            </w:r>
            <w:r w:rsidR="00B0349E" w:rsidRPr="000B55A9">
              <w:rPr>
                <w:rFonts w:ascii="Times New Roman" w:eastAsia="Times New Roman" w:hAnsi="Times New Roman" w:cs="Times New Roman"/>
                <w:sz w:val="24"/>
                <w:szCs w:val="24"/>
                <w:lang w:eastAsia="lv-LV"/>
              </w:rPr>
              <w:t xml:space="preserve">, </w:t>
            </w:r>
            <w:r w:rsidR="00303060" w:rsidRPr="000B55A9">
              <w:rPr>
                <w:rFonts w:ascii="Times New Roman" w:eastAsia="Times New Roman" w:hAnsi="Times New Roman" w:cs="Times New Roman"/>
                <w:sz w:val="24"/>
                <w:szCs w:val="24"/>
                <w:lang w:eastAsia="lv-LV"/>
              </w:rPr>
              <w:t xml:space="preserve">Finanšu </w:t>
            </w:r>
            <w:r w:rsidR="00C63A62" w:rsidRPr="000B55A9">
              <w:rPr>
                <w:rFonts w:ascii="Times New Roman" w:eastAsia="Times New Roman" w:hAnsi="Times New Roman" w:cs="Times New Roman"/>
                <w:sz w:val="24"/>
                <w:szCs w:val="24"/>
                <w:lang w:eastAsia="lv-LV"/>
              </w:rPr>
              <w:t>ministrijai</w:t>
            </w:r>
            <w:r w:rsidR="00303060" w:rsidRPr="000B55A9">
              <w:rPr>
                <w:rFonts w:ascii="Times New Roman" w:eastAsia="Times New Roman" w:hAnsi="Times New Roman" w:cs="Times New Roman"/>
                <w:sz w:val="24"/>
                <w:szCs w:val="24"/>
                <w:lang w:eastAsia="lv-LV"/>
              </w:rPr>
              <w:t xml:space="preserve"> ir </w:t>
            </w:r>
            <w:r w:rsidR="00C63A62" w:rsidRPr="000B55A9">
              <w:rPr>
                <w:rFonts w:ascii="Times New Roman" w:eastAsia="Times New Roman" w:hAnsi="Times New Roman" w:cs="Times New Roman"/>
                <w:sz w:val="24"/>
                <w:szCs w:val="24"/>
                <w:lang w:eastAsia="lv-LV"/>
              </w:rPr>
              <w:t>jāiesniedz</w:t>
            </w:r>
            <w:r w:rsidR="00303060" w:rsidRPr="000B55A9">
              <w:rPr>
                <w:rFonts w:ascii="Times New Roman" w:eastAsia="Times New Roman" w:hAnsi="Times New Roman" w:cs="Times New Roman"/>
                <w:sz w:val="24"/>
                <w:szCs w:val="24"/>
                <w:lang w:eastAsia="lv-LV"/>
              </w:rPr>
              <w:t xml:space="preserve"> att</w:t>
            </w:r>
            <w:r w:rsidR="00C63A62" w:rsidRPr="000B55A9">
              <w:rPr>
                <w:rFonts w:ascii="Times New Roman" w:eastAsia="Times New Roman" w:hAnsi="Times New Roman" w:cs="Times New Roman"/>
                <w:sz w:val="24"/>
                <w:szCs w:val="24"/>
                <w:lang w:eastAsia="lv-LV"/>
              </w:rPr>
              <w:t>iecīgais likumprojekts, kas paredz minētā uzdevuma izpildi</w:t>
            </w:r>
            <w:r w:rsidR="00C51A1B" w:rsidRPr="000B55A9">
              <w:rPr>
                <w:rFonts w:ascii="Times New Roman" w:eastAsia="Times New Roman" w:hAnsi="Times New Roman" w:cs="Times New Roman"/>
                <w:sz w:val="24"/>
                <w:szCs w:val="24"/>
                <w:lang w:eastAsia="lv-LV"/>
              </w:rPr>
              <w:t>.</w:t>
            </w:r>
          </w:p>
          <w:p w14:paraId="53F0473E" w14:textId="78E88FF0" w:rsidR="00C63A62" w:rsidRPr="000B55A9" w:rsidRDefault="0091656F" w:rsidP="001353CA">
            <w:pPr>
              <w:spacing w:after="0" w:line="240" w:lineRule="auto"/>
              <w:jc w:val="both"/>
              <w:rPr>
                <w:rFonts w:ascii="Times New Roman" w:eastAsia="Times New Roman" w:hAnsi="Times New Roman" w:cs="Times New Roman"/>
                <w:sz w:val="24"/>
                <w:szCs w:val="24"/>
                <w:lang w:eastAsia="lv-LV"/>
              </w:rPr>
            </w:pPr>
            <w:r w:rsidRPr="001353CA">
              <w:rPr>
                <w:rFonts w:ascii="Times New Roman" w:eastAsia="Times New Roman" w:hAnsi="Times New Roman" w:cs="Times New Roman"/>
                <w:sz w:val="24"/>
                <w:szCs w:val="24"/>
                <w:lang w:eastAsia="lv-LV"/>
              </w:rPr>
              <w:t>Savukārt</w:t>
            </w:r>
            <w:r w:rsidR="00C63A62" w:rsidRPr="001353CA">
              <w:rPr>
                <w:rFonts w:ascii="Times New Roman" w:eastAsia="Times New Roman" w:hAnsi="Times New Roman" w:cs="Times New Roman"/>
                <w:sz w:val="24"/>
                <w:szCs w:val="24"/>
                <w:lang w:eastAsia="lv-LV"/>
              </w:rPr>
              <w:t xml:space="preserve"> izteikt</w:t>
            </w:r>
            <w:r w:rsidRPr="001353CA">
              <w:rPr>
                <w:rFonts w:ascii="Times New Roman" w:eastAsia="Times New Roman" w:hAnsi="Times New Roman" w:cs="Times New Roman"/>
                <w:sz w:val="24"/>
                <w:szCs w:val="24"/>
                <w:lang w:eastAsia="lv-LV"/>
              </w:rPr>
              <w:t>ais</w:t>
            </w:r>
            <w:r w:rsidR="00C63A62" w:rsidRPr="001353CA">
              <w:rPr>
                <w:rFonts w:ascii="Times New Roman" w:eastAsia="Times New Roman" w:hAnsi="Times New Roman" w:cs="Times New Roman"/>
                <w:sz w:val="24"/>
                <w:szCs w:val="24"/>
                <w:lang w:eastAsia="lv-LV"/>
              </w:rPr>
              <w:t xml:space="preserve"> iebildum</w:t>
            </w:r>
            <w:r w:rsidRPr="001353CA">
              <w:rPr>
                <w:rFonts w:ascii="Times New Roman" w:eastAsia="Times New Roman" w:hAnsi="Times New Roman" w:cs="Times New Roman"/>
                <w:sz w:val="24"/>
                <w:szCs w:val="24"/>
                <w:lang w:eastAsia="lv-LV"/>
              </w:rPr>
              <w:t>s</w:t>
            </w:r>
            <w:r w:rsidR="00C63A62" w:rsidRPr="001353CA">
              <w:rPr>
                <w:rFonts w:ascii="Times New Roman" w:eastAsia="Times New Roman" w:hAnsi="Times New Roman" w:cs="Times New Roman"/>
                <w:sz w:val="24"/>
                <w:szCs w:val="24"/>
                <w:lang w:eastAsia="lv-LV"/>
              </w:rPr>
              <w:t xml:space="preserve"> par finansiālā sloga palielināšanos biodegvielu ražotājiem akcīzes nodokļa nodrošinājuma iesniegšanai</w:t>
            </w:r>
            <w:r w:rsidRPr="001353CA">
              <w:rPr>
                <w:rFonts w:ascii="Times New Roman" w:eastAsia="Times New Roman" w:hAnsi="Times New Roman" w:cs="Times New Roman"/>
                <w:sz w:val="24"/>
                <w:szCs w:val="24"/>
                <w:lang w:eastAsia="lv-LV"/>
              </w:rPr>
              <w:t xml:space="preserve"> </w:t>
            </w:r>
            <w:r w:rsidR="008E44AD" w:rsidRPr="001353CA">
              <w:rPr>
                <w:rFonts w:ascii="Times New Roman" w:eastAsia="Times New Roman" w:hAnsi="Times New Roman" w:cs="Times New Roman"/>
                <w:sz w:val="24"/>
                <w:szCs w:val="24"/>
                <w:lang w:eastAsia="lv-LV"/>
              </w:rPr>
              <w:t xml:space="preserve">tiks ņemts vērā pēc likumprojekta izskatīšanas Saeimā 2.lasījumā, kad tiks </w:t>
            </w:r>
            <w:r w:rsidRPr="001353CA">
              <w:rPr>
                <w:rFonts w:ascii="Times New Roman" w:eastAsia="Times New Roman" w:hAnsi="Times New Roman" w:cs="Times New Roman"/>
                <w:sz w:val="24"/>
                <w:szCs w:val="24"/>
                <w:lang w:eastAsia="lv-LV"/>
              </w:rPr>
              <w:t>sagatavoti atbilstoši grozījumi Ministru kabineta 201</w:t>
            </w:r>
            <w:r w:rsidR="008E44AD" w:rsidRPr="001353CA">
              <w:rPr>
                <w:rFonts w:ascii="Times New Roman" w:eastAsia="Times New Roman" w:hAnsi="Times New Roman" w:cs="Times New Roman"/>
                <w:sz w:val="24"/>
                <w:szCs w:val="24"/>
                <w:lang w:eastAsia="lv-LV"/>
              </w:rPr>
              <w:t>9</w:t>
            </w:r>
            <w:r w:rsidRPr="001353CA">
              <w:rPr>
                <w:rFonts w:ascii="Times New Roman" w:eastAsia="Times New Roman" w:hAnsi="Times New Roman" w:cs="Times New Roman"/>
                <w:sz w:val="24"/>
                <w:szCs w:val="24"/>
                <w:lang w:eastAsia="lv-LV"/>
              </w:rPr>
              <w:t xml:space="preserve">.gada </w:t>
            </w:r>
            <w:r w:rsidR="008E44AD" w:rsidRPr="001353CA">
              <w:rPr>
                <w:rFonts w:ascii="Times New Roman" w:eastAsia="Times New Roman" w:hAnsi="Times New Roman" w:cs="Times New Roman"/>
                <w:sz w:val="24"/>
                <w:szCs w:val="24"/>
                <w:lang w:eastAsia="lv-LV"/>
              </w:rPr>
              <w:t>12.febru</w:t>
            </w:r>
            <w:r w:rsidRPr="001353CA">
              <w:rPr>
                <w:rFonts w:ascii="Times New Roman" w:eastAsia="Times New Roman" w:hAnsi="Times New Roman" w:cs="Times New Roman"/>
                <w:sz w:val="24"/>
                <w:szCs w:val="24"/>
                <w:lang w:eastAsia="lv-LV"/>
              </w:rPr>
              <w:t>āra noteikumos Nr.</w:t>
            </w:r>
            <w:r w:rsidR="008E44AD" w:rsidRPr="001353CA">
              <w:rPr>
                <w:rFonts w:ascii="Times New Roman" w:eastAsia="Times New Roman" w:hAnsi="Times New Roman" w:cs="Times New Roman"/>
                <w:sz w:val="24"/>
                <w:szCs w:val="24"/>
                <w:lang w:eastAsia="lv-LV"/>
              </w:rPr>
              <w:t>72</w:t>
            </w:r>
            <w:r w:rsidR="001353CA" w:rsidRPr="001353CA">
              <w:rPr>
                <w:rFonts w:ascii="Times New Roman" w:eastAsia="Times New Roman" w:hAnsi="Times New Roman" w:cs="Times New Roman"/>
                <w:sz w:val="24"/>
                <w:szCs w:val="24"/>
                <w:lang w:eastAsia="lv-LV"/>
              </w:rPr>
              <w:t xml:space="preserve"> “</w:t>
            </w:r>
            <w:r w:rsidRPr="001353CA">
              <w:rPr>
                <w:rFonts w:ascii="Times New Roman" w:eastAsia="Times New Roman" w:hAnsi="Times New Roman" w:cs="Times New Roman"/>
                <w:sz w:val="24"/>
                <w:szCs w:val="24"/>
                <w:lang w:eastAsia="lv-LV"/>
              </w:rPr>
              <w:t>Noteikumi par akcīzes nodokļa nodrošinājumiem”.</w:t>
            </w:r>
            <w:r w:rsidRPr="000B55A9">
              <w:rPr>
                <w:rFonts w:ascii="Times New Roman" w:eastAsia="Times New Roman" w:hAnsi="Times New Roman" w:cs="Times New Roman"/>
                <w:sz w:val="24"/>
                <w:szCs w:val="24"/>
                <w:lang w:eastAsia="lv-LV"/>
              </w:rPr>
              <w:t xml:space="preserve"> Minētie grozījumi paredz</w:t>
            </w:r>
            <w:r w:rsidR="008E44AD">
              <w:rPr>
                <w:rFonts w:ascii="Times New Roman" w:eastAsia="Times New Roman" w:hAnsi="Times New Roman" w:cs="Times New Roman"/>
                <w:sz w:val="24"/>
                <w:szCs w:val="24"/>
                <w:lang w:eastAsia="lv-LV"/>
              </w:rPr>
              <w:t>ēs</w:t>
            </w:r>
            <w:r w:rsidRPr="000B55A9">
              <w:rPr>
                <w:rFonts w:ascii="Times New Roman" w:eastAsia="Times New Roman" w:hAnsi="Times New Roman" w:cs="Times New Roman"/>
                <w:sz w:val="24"/>
                <w:szCs w:val="24"/>
                <w:lang w:eastAsia="lv-LV"/>
              </w:rPr>
              <w:t xml:space="preserve">, ka apstiprinātam noliktavas turētājam par biodīzeļdegvielu, kas </w:t>
            </w:r>
            <w:r w:rsidR="001353CA">
              <w:rPr>
                <w:rFonts w:ascii="Times New Roman" w:eastAsia="Times New Roman" w:hAnsi="Times New Roman" w:cs="Times New Roman"/>
                <w:sz w:val="24"/>
                <w:szCs w:val="24"/>
                <w:lang w:eastAsia="lv-LV"/>
              </w:rPr>
              <w:t xml:space="preserve">pilnībā </w:t>
            </w:r>
            <w:r w:rsidRPr="000B55A9">
              <w:rPr>
                <w:rFonts w:ascii="Times New Roman" w:eastAsia="Times New Roman" w:hAnsi="Times New Roman" w:cs="Times New Roman"/>
                <w:sz w:val="24"/>
                <w:szCs w:val="24"/>
                <w:lang w:eastAsia="lv-LV"/>
              </w:rPr>
              <w:t xml:space="preserve">iegūta no </w:t>
            </w:r>
            <w:r w:rsidR="001353CA">
              <w:rPr>
                <w:rFonts w:ascii="Times New Roman" w:eastAsia="Times New Roman" w:hAnsi="Times New Roman" w:cs="Times New Roman"/>
                <w:sz w:val="24"/>
                <w:szCs w:val="24"/>
                <w:lang w:eastAsia="lv-LV"/>
              </w:rPr>
              <w:t>biomasas</w:t>
            </w:r>
            <w:r w:rsidRPr="000B55A9">
              <w:rPr>
                <w:rFonts w:ascii="Times New Roman" w:eastAsia="Times New Roman" w:hAnsi="Times New Roman" w:cs="Times New Roman"/>
                <w:sz w:val="24"/>
                <w:szCs w:val="24"/>
                <w:lang w:eastAsia="lv-LV"/>
              </w:rPr>
              <w:t xml:space="preserve"> un kuru pārvieto atliktās nodokļa maksāšanas režīmā, piemērot nodrošinājuma samazinājumu 100 procentu apmērā, ja pārvietošana notiek pa jūru un uz Eiropas Savienības dalībvalsti, ar kuru noslēgts starpvalstu līgums.</w:t>
            </w:r>
          </w:p>
        </w:tc>
      </w:tr>
      <w:tr w:rsidR="00543AA6" w:rsidRPr="000B55A9" w14:paraId="58BBBE3A" w14:textId="77777777" w:rsidTr="00C51A1B">
        <w:tc>
          <w:tcPr>
            <w:tcW w:w="293" w:type="pct"/>
            <w:tcBorders>
              <w:top w:val="outset" w:sz="6" w:space="0" w:color="414142"/>
              <w:left w:val="outset" w:sz="6" w:space="0" w:color="414142"/>
              <w:bottom w:val="outset" w:sz="6" w:space="0" w:color="414142"/>
              <w:right w:val="outset" w:sz="6" w:space="0" w:color="414142"/>
            </w:tcBorders>
            <w:hideMark/>
          </w:tcPr>
          <w:p w14:paraId="023A0152" w14:textId="77777777" w:rsidR="00543AA6" w:rsidRPr="000B55A9" w:rsidRDefault="00543AA6" w:rsidP="00993C84">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4.</w:t>
            </w:r>
          </w:p>
        </w:tc>
        <w:tc>
          <w:tcPr>
            <w:tcW w:w="1403" w:type="pct"/>
            <w:tcBorders>
              <w:top w:val="outset" w:sz="6" w:space="0" w:color="414142"/>
              <w:left w:val="outset" w:sz="6" w:space="0" w:color="414142"/>
              <w:bottom w:val="outset" w:sz="6" w:space="0" w:color="414142"/>
              <w:right w:val="outset" w:sz="6" w:space="0" w:color="414142"/>
            </w:tcBorders>
            <w:hideMark/>
          </w:tcPr>
          <w:p w14:paraId="06515DB7" w14:textId="77777777" w:rsidR="00543AA6" w:rsidRPr="000B55A9" w:rsidRDefault="00543AA6" w:rsidP="00993C84">
            <w:pPr>
              <w:spacing w:after="0" w:line="240" w:lineRule="auto"/>
              <w:jc w:val="both"/>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Cita informācija</w:t>
            </w:r>
          </w:p>
        </w:tc>
        <w:tc>
          <w:tcPr>
            <w:tcW w:w="3304" w:type="pct"/>
            <w:tcBorders>
              <w:top w:val="outset" w:sz="6" w:space="0" w:color="414142"/>
              <w:left w:val="outset" w:sz="6" w:space="0" w:color="414142"/>
              <w:bottom w:val="outset" w:sz="6" w:space="0" w:color="414142"/>
              <w:right w:val="outset" w:sz="6" w:space="0" w:color="414142"/>
            </w:tcBorders>
            <w:hideMark/>
          </w:tcPr>
          <w:p w14:paraId="7A84EE6D" w14:textId="5A9407DF" w:rsidR="00543AA6" w:rsidRPr="000B55A9" w:rsidRDefault="00F024A9" w:rsidP="00F024A9">
            <w:pPr>
              <w:jc w:val="both"/>
              <w:rPr>
                <w:rFonts w:ascii="Times New Roman" w:hAnsi="Times New Roman" w:cs="Times New Roman"/>
                <w:sz w:val="24"/>
                <w:szCs w:val="24"/>
              </w:rPr>
            </w:pPr>
            <w:r w:rsidRPr="000B55A9">
              <w:rPr>
                <w:rFonts w:ascii="Times New Roman" w:hAnsi="Times New Roman" w:cs="Times New Roman"/>
                <w:sz w:val="24"/>
                <w:szCs w:val="24"/>
              </w:rPr>
              <w:t>Nav.</w:t>
            </w:r>
            <w:r w:rsidR="00305748" w:rsidRPr="000B55A9">
              <w:rPr>
                <w:rFonts w:ascii="Times New Roman" w:hAnsi="Times New Roman" w:cs="Times New Roman"/>
                <w:sz w:val="24"/>
                <w:szCs w:val="24"/>
              </w:rPr>
              <w:t xml:space="preserve"> </w:t>
            </w:r>
          </w:p>
        </w:tc>
      </w:tr>
    </w:tbl>
    <w:p w14:paraId="357DA4B1" w14:textId="77777777" w:rsidR="00543AA6" w:rsidRPr="000B55A9" w:rsidRDefault="00543AA6" w:rsidP="00543AA6">
      <w:pPr>
        <w:spacing w:after="0" w:line="240" w:lineRule="auto"/>
        <w:rPr>
          <w:rFonts w:ascii="Times New Roman" w:eastAsia="Times New Roman" w:hAnsi="Times New Roman" w:cs="Times New Roman"/>
          <w:sz w:val="24"/>
          <w:szCs w:val="24"/>
          <w:lang w:eastAsia="lv-LV"/>
        </w:rPr>
      </w:pPr>
    </w:p>
    <w:tbl>
      <w:tblPr>
        <w:tblW w:w="505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5"/>
        <w:gridCol w:w="3035"/>
        <w:gridCol w:w="5587"/>
      </w:tblGrid>
      <w:tr w:rsidR="00993C84" w:rsidRPr="000B55A9" w14:paraId="6CDB8BF3" w14:textId="77777777" w:rsidTr="005E105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023EA2D" w14:textId="77777777"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B55A9">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0B55A9" w14:paraId="4D46A7C7" w14:textId="77777777" w:rsidTr="005E1055">
        <w:tc>
          <w:tcPr>
            <w:tcW w:w="318" w:type="pct"/>
            <w:tcBorders>
              <w:top w:val="outset" w:sz="6" w:space="0" w:color="414142"/>
              <w:left w:val="outset" w:sz="6" w:space="0" w:color="414142"/>
              <w:bottom w:val="outset" w:sz="6" w:space="0" w:color="414142"/>
              <w:right w:val="outset" w:sz="6" w:space="0" w:color="414142"/>
            </w:tcBorders>
            <w:hideMark/>
          </w:tcPr>
          <w:p w14:paraId="3D94CDAF" w14:textId="77777777"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1.</w:t>
            </w:r>
          </w:p>
        </w:tc>
        <w:tc>
          <w:tcPr>
            <w:tcW w:w="1648" w:type="pct"/>
            <w:tcBorders>
              <w:top w:val="outset" w:sz="6" w:space="0" w:color="414142"/>
              <w:left w:val="outset" w:sz="6" w:space="0" w:color="414142"/>
              <w:bottom w:val="outset" w:sz="6" w:space="0" w:color="414142"/>
              <w:right w:val="outset" w:sz="6" w:space="0" w:color="414142"/>
            </w:tcBorders>
            <w:hideMark/>
          </w:tcPr>
          <w:p w14:paraId="10A37557" w14:textId="77777777" w:rsidR="00543AA6" w:rsidRPr="000B55A9" w:rsidRDefault="00543AA6" w:rsidP="00993C84">
            <w:pPr>
              <w:spacing w:after="0"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Projekta izpildē iesaistītās institūcijas</w:t>
            </w:r>
          </w:p>
        </w:tc>
        <w:tc>
          <w:tcPr>
            <w:tcW w:w="3034" w:type="pct"/>
            <w:tcBorders>
              <w:top w:val="outset" w:sz="6" w:space="0" w:color="414142"/>
              <w:left w:val="outset" w:sz="6" w:space="0" w:color="414142"/>
              <w:bottom w:val="outset" w:sz="6" w:space="0" w:color="414142"/>
              <w:right w:val="outset" w:sz="6" w:space="0" w:color="414142"/>
            </w:tcBorders>
            <w:hideMark/>
          </w:tcPr>
          <w:p w14:paraId="69D93803" w14:textId="567EF588" w:rsidR="00543AA6" w:rsidRPr="000B55A9" w:rsidRDefault="00D77A92" w:rsidP="003D0556">
            <w:pPr>
              <w:spacing w:after="0" w:line="240" w:lineRule="auto"/>
              <w:rPr>
                <w:sz w:val="24"/>
                <w:szCs w:val="24"/>
              </w:rPr>
            </w:pPr>
            <w:r w:rsidRPr="000B55A9">
              <w:rPr>
                <w:rFonts w:ascii="Times New Roman" w:eastAsia="Times New Roman" w:hAnsi="Times New Roman" w:cs="Times New Roman"/>
                <w:sz w:val="24"/>
                <w:szCs w:val="24"/>
                <w:lang w:eastAsia="lv-LV"/>
              </w:rPr>
              <w:t>Valsts ieņēmumu dien</w:t>
            </w:r>
            <w:r w:rsidR="003D0556" w:rsidRPr="000B55A9">
              <w:rPr>
                <w:rFonts w:ascii="Times New Roman" w:eastAsia="Times New Roman" w:hAnsi="Times New Roman" w:cs="Times New Roman"/>
                <w:sz w:val="24"/>
                <w:szCs w:val="24"/>
                <w:lang w:eastAsia="lv-LV"/>
              </w:rPr>
              <w:t>e</w:t>
            </w:r>
            <w:r w:rsidRPr="000B55A9">
              <w:rPr>
                <w:rFonts w:ascii="Times New Roman" w:eastAsia="Times New Roman" w:hAnsi="Times New Roman" w:cs="Times New Roman"/>
                <w:sz w:val="24"/>
                <w:szCs w:val="24"/>
                <w:lang w:eastAsia="lv-LV"/>
              </w:rPr>
              <w:t>sts</w:t>
            </w:r>
            <w:r w:rsidR="00326578">
              <w:rPr>
                <w:rFonts w:ascii="Times New Roman" w:eastAsia="Times New Roman" w:hAnsi="Times New Roman" w:cs="Times New Roman"/>
                <w:sz w:val="24"/>
                <w:szCs w:val="24"/>
                <w:lang w:eastAsia="lv-LV"/>
              </w:rPr>
              <w:t xml:space="preserve"> un Ekonomikas ministrija</w:t>
            </w:r>
            <w:r w:rsidRPr="000B55A9">
              <w:rPr>
                <w:rFonts w:ascii="Times New Roman" w:eastAsia="Times New Roman" w:hAnsi="Times New Roman" w:cs="Times New Roman"/>
                <w:sz w:val="24"/>
                <w:szCs w:val="24"/>
                <w:lang w:eastAsia="lv-LV"/>
              </w:rPr>
              <w:t>.</w:t>
            </w:r>
          </w:p>
        </w:tc>
      </w:tr>
      <w:tr w:rsidR="00993C84" w:rsidRPr="000B55A9" w14:paraId="03FCAF07" w14:textId="77777777" w:rsidTr="005E1055">
        <w:tc>
          <w:tcPr>
            <w:tcW w:w="318" w:type="pct"/>
            <w:tcBorders>
              <w:top w:val="outset" w:sz="6" w:space="0" w:color="414142"/>
              <w:left w:val="outset" w:sz="6" w:space="0" w:color="414142"/>
              <w:bottom w:val="outset" w:sz="6" w:space="0" w:color="414142"/>
              <w:right w:val="outset" w:sz="6" w:space="0" w:color="414142"/>
            </w:tcBorders>
            <w:hideMark/>
          </w:tcPr>
          <w:p w14:paraId="2A9F4B38" w14:textId="77777777"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2.</w:t>
            </w:r>
          </w:p>
        </w:tc>
        <w:tc>
          <w:tcPr>
            <w:tcW w:w="1648" w:type="pct"/>
            <w:tcBorders>
              <w:top w:val="outset" w:sz="6" w:space="0" w:color="414142"/>
              <w:left w:val="outset" w:sz="6" w:space="0" w:color="414142"/>
              <w:bottom w:val="outset" w:sz="6" w:space="0" w:color="414142"/>
              <w:right w:val="outset" w:sz="6" w:space="0" w:color="414142"/>
            </w:tcBorders>
            <w:hideMark/>
          </w:tcPr>
          <w:p w14:paraId="3C157996" w14:textId="77777777" w:rsidR="00543AA6" w:rsidRPr="000B55A9" w:rsidRDefault="00543AA6" w:rsidP="00993C84">
            <w:pPr>
              <w:spacing w:after="0"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Projekta izpildes ietekme uz pārvaldes funkcijām un institucionālo struktūru.</w:t>
            </w:r>
            <w:r w:rsidRPr="000B55A9">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34" w:type="pct"/>
            <w:tcBorders>
              <w:top w:val="outset" w:sz="6" w:space="0" w:color="414142"/>
              <w:left w:val="outset" w:sz="6" w:space="0" w:color="414142"/>
              <w:bottom w:val="outset" w:sz="6" w:space="0" w:color="414142"/>
              <w:right w:val="outset" w:sz="6" w:space="0" w:color="414142"/>
            </w:tcBorders>
            <w:hideMark/>
          </w:tcPr>
          <w:p w14:paraId="1EE64BF5" w14:textId="77777777" w:rsidR="00543AA6" w:rsidRPr="000B55A9" w:rsidRDefault="00993C84" w:rsidP="00993C84">
            <w:pPr>
              <w:spacing w:after="0"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Projekts šo jomu neskar.</w:t>
            </w:r>
          </w:p>
        </w:tc>
      </w:tr>
      <w:tr w:rsidR="00993C84" w:rsidRPr="000B55A9" w14:paraId="69296A6B" w14:textId="77777777" w:rsidTr="005E1055">
        <w:tc>
          <w:tcPr>
            <w:tcW w:w="318" w:type="pct"/>
            <w:tcBorders>
              <w:top w:val="outset" w:sz="6" w:space="0" w:color="414142"/>
              <w:left w:val="outset" w:sz="6" w:space="0" w:color="414142"/>
              <w:bottom w:val="outset" w:sz="6" w:space="0" w:color="414142"/>
              <w:right w:val="outset" w:sz="6" w:space="0" w:color="414142"/>
            </w:tcBorders>
            <w:hideMark/>
          </w:tcPr>
          <w:p w14:paraId="0FD35BCA" w14:textId="77777777" w:rsidR="00543AA6" w:rsidRPr="000B55A9"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3.</w:t>
            </w:r>
          </w:p>
        </w:tc>
        <w:tc>
          <w:tcPr>
            <w:tcW w:w="1648" w:type="pct"/>
            <w:tcBorders>
              <w:top w:val="outset" w:sz="6" w:space="0" w:color="414142"/>
              <w:left w:val="outset" w:sz="6" w:space="0" w:color="414142"/>
              <w:bottom w:val="outset" w:sz="6" w:space="0" w:color="414142"/>
              <w:right w:val="outset" w:sz="6" w:space="0" w:color="414142"/>
            </w:tcBorders>
            <w:hideMark/>
          </w:tcPr>
          <w:p w14:paraId="3A75095C" w14:textId="77777777" w:rsidR="00543AA6" w:rsidRPr="000B55A9" w:rsidRDefault="00543AA6" w:rsidP="00993C84">
            <w:pPr>
              <w:spacing w:after="0"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Cita informācija</w:t>
            </w:r>
          </w:p>
        </w:tc>
        <w:tc>
          <w:tcPr>
            <w:tcW w:w="3034" w:type="pct"/>
            <w:tcBorders>
              <w:top w:val="outset" w:sz="6" w:space="0" w:color="414142"/>
              <w:left w:val="outset" w:sz="6" w:space="0" w:color="414142"/>
              <w:bottom w:val="outset" w:sz="6" w:space="0" w:color="414142"/>
              <w:right w:val="outset" w:sz="6" w:space="0" w:color="414142"/>
            </w:tcBorders>
            <w:hideMark/>
          </w:tcPr>
          <w:p w14:paraId="36F4D202" w14:textId="2A85B2C9" w:rsidR="00543AA6" w:rsidRPr="000B55A9" w:rsidRDefault="00993C84" w:rsidP="00993C84">
            <w:pPr>
              <w:spacing w:after="0" w:line="240" w:lineRule="auto"/>
              <w:rPr>
                <w:rFonts w:ascii="Times New Roman" w:eastAsia="Times New Roman" w:hAnsi="Times New Roman" w:cs="Times New Roman"/>
                <w:sz w:val="24"/>
                <w:szCs w:val="24"/>
                <w:lang w:eastAsia="lv-LV"/>
              </w:rPr>
            </w:pPr>
            <w:r w:rsidRPr="000B55A9">
              <w:rPr>
                <w:rFonts w:ascii="Times New Roman" w:eastAsia="Times New Roman" w:hAnsi="Times New Roman" w:cs="Times New Roman"/>
                <w:sz w:val="24"/>
                <w:szCs w:val="24"/>
                <w:lang w:eastAsia="lv-LV"/>
              </w:rPr>
              <w:t>Nav</w:t>
            </w:r>
            <w:r w:rsidR="001E55A0" w:rsidRPr="000B55A9">
              <w:rPr>
                <w:rFonts w:ascii="Times New Roman" w:eastAsia="Times New Roman" w:hAnsi="Times New Roman" w:cs="Times New Roman"/>
                <w:sz w:val="24"/>
                <w:szCs w:val="24"/>
                <w:lang w:eastAsia="lv-LV"/>
              </w:rPr>
              <w:t>.</w:t>
            </w:r>
          </w:p>
        </w:tc>
      </w:tr>
    </w:tbl>
    <w:p w14:paraId="53C3B886" w14:textId="18215400" w:rsidR="000B5181" w:rsidRPr="000B55A9" w:rsidRDefault="000B5181" w:rsidP="001E55A0">
      <w:pPr>
        <w:spacing w:after="0" w:line="240" w:lineRule="auto"/>
        <w:rPr>
          <w:rFonts w:ascii="Times New Roman" w:eastAsia="Times New Roman" w:hAnsi="Times New Roman" w:cs="Times New Roman"/>
          <w:bCs/>
          <w:iCs/>
          <w:kern w:val="1"/>
          <w:sz w:val="24"/>
          <w:szCs w:val="24"/>
          <w:lang w:eastAsia="ar-SA"/>
        </w:rPr>
      </w:pPr>
    </w:p>
    <w:p w14:paraId="59EA381B" w14:textId="77777777" w:rsidR="000B5181" w:rsidRPr="000B55A9" w:rsidRDefault="000B5181" w:rsidP="001E55A0">
      <w:pPr>
        <w:spacing w:after="0" w:line="240" w:lineRule="auto"/>
        <w:rPr>
          <w:rFonts w:ascii="Times New Roman" w:eastAsia="Times New Roman" w:hAnsi="Times New Roman" w:cs="Times New Roman"/>
          <w:bCs/>
          <w:iCs/>
          <w:kern w:val="1"/>
          <w:sz w:val="24"/>
          <w:szCs w:val="24"/>
          <w:lang w:eastAsia="ar-SA"/>
        </w:rPr>
      </w:pPr>
    </w:p>
    <w:p w14:paraId="6EA7230D" w14:textId="24F6C371" w:rsidR="001E55A0" w:rsidRPr="001F6664" w:rsidRDefault="001E55A0" w:rsidP="001E55A0">
      <w:pPr>
        <w:spacing w:after="0" w:line="240" w:lineRule="auto"/>
        <w:rPr>
          <w:rFonts w:ascii="Times New Roman" w:eastAsia="Times New Roman" w:hAnsi="Times New Roman" w:cs="Times New Roman"/>
          <w:bCs/>
          <w:iCs/>
          <w:kern w:val="1"/>
          <w:sz w:val="28"/>
          <w:szCs w:val="26"/>
          <w:lang w:eastAsia="ar-SA"/>
        </w:rPr>
      </w:pPr>
      <w:r w:rsidRPr="001F6664">
        <w:rPr>
          <w:rFonts w:ascii="Times New Roman" w:eastAsia="Times New Roman" w:hAnsi="Times New Roman" w:cs="Times New Roman"/>
          <w:bCs/>
          <w:iCs/>
          <w:kern w:val="1"/>
          <w:sz w:val="28"/>
          <w:szCs w:val="26"/>
          <w:lang w:eastAsia="ar-SA"/>
        </w:rPr>
        <w:t>Finanšu ministr</w:t>
      </w:r>
      <w:r w:rsidR="001F6664" w:rsidRPr="001F6664">
        <w:rPr>
          <w:rFonts w:ascii="Times New Roman" w:eastAsia="Times New Roman" w:hAnsi="Times New Roman" w:cs="Times New Roman"/>
          <w:bCs/>
          <w:iCs/>
          <w:kern w:val="1"/>
          <w:sz w:val="28"/>
          <w:szCs w:val="26"/>
          <w:lang w:eastAsia="ar-SA"/>
        </w:rPr>
        <w:t>s</w:t>
      </w:r>
      <w:r w:rsidR="001F6664" w:rsidRPr="001F6664">
        <w:rPr>
          <w:rFonts w:ascii="Times New Roman" w:eastAsia="Times New Roman" w:hAnsi="Times New Roman" w:cs="Times New Roman"/>
          <w:bCs/>
          <w:iCs/>
          <w:kern w:val="1"/>
          <w:sz w:val="28"/>
          <w:szCs w:val="26"/>
          <w:lang w:eastAsia="ar-SA"/>
        </w:rPr>
        <w:tab/>
      </w:r>
      <w:r w:rsidR="001F6664" w:rsidRPr="001F6664">
        <w:rPr>
          <w:rFonts w:ascii="Times New Roman" w:eastAsia="Times New Roman" w:hAnsi="Times New Roman" w:cs="Times New Roman"/>
          <w:bCs/>
          <w:iCs/>
          <w:kern w:val="1"/>
          <w:sz w:val="28"/>
          <w:szCs w:val="26"/>
          <w:lang w:eastAsia="ar-SA"/>
        </w:rPr>
        <w:tab/>
      </w:r>
      <w:r w:rsidR="001F6664" w:rsidRPr="001F6664">
        <w:rPr>
          <w:rFonts w:ascii="Times New Roman" w:eastAsia="Times New Roman" w:hAnsi="Times New Roman" w:cs="Times New Roman"/>
          <w:bCs/>
          <w:iCs/>
          <w:kern w:val="1"/>
          <w:sz w:val="28"/>
          <w:szCs w:val="26"/>
          <w:lang w:eastAsia="ar-SA"/>
        </w:rPr>
        <w:tab/>
      </w:r>
      <w:r w:rsidR="001F6664" w:rsidRPr="001F6664">
        <w:rPr>
          <w:rFonts w:ascii="Times New Roman" w:eastAsia="Times New Roman" w:hAnsi="Times New Roman" w:cs="Times New Roman"/>
          <w:bCs/>
          <w:iCs/>
          <w:kern w:val="1"/>
          <w:sz w:val="28"/>
          <w:szCs w:val="26"/>
          <w:lang w:eastAsia="ar-SA"/>
        </w:rPr>
        <w:tab/>
      </w:r>
      <w:r w:rsidR="001F6664" w:rsidRPr="001F6664">
        <w:rPr>
          <w:rFonts w:ascii="Times New Roman" w:eastAsia="Times New Roman" w:hAnsi="Times New Roman" w:cs="Times New Roman"/>
          <w:bCs/>
          <w:iCs/>
          <w:kern w:val="1"/>
          <w:sz w:val="28"/>
          <w:szCs w:val="26"/>
          <w:lang w:eastAsia="ar-SA"/>
        </w:rPr>
        <w:tab/>
      </w:r>
      <w:r w:rsidR="001F6664" w:rsidRPr="001F6664">
        <w:rPr>
          <w:rFonts w:ascii="Times New Roman" w:eastAsia="Times New Roman" w:hAnsi="Times New Roman" w:cs="Times New Roman"/>
          <w:bCs/>
          <w:iCs/>
          <w:kern w:val="1"/>
          <w:sz w:val="28"/>
          <w:szCs w:val="26"/>
          <w:lang w:eastAsia="ar-SA"/>
        </w:rPr>
        <w:tab/>
      </w:r>
      <w:r w:rsidR="001F6664" w:rsidRPr="001F6664">
        <w:rPr>
          <w:rFonts w:ascii="Times New Roman" w:eastAsia="Times New Roman" w:hAnsi="Times New Roman" w:cs="Times New Roman"/>
          <w:bCs/>
          <w:iCs/>
          <w:kern w:val="1"/>
          <w:sz w:val="28"/>
          <w:szCs w:val="26"/>
          <w:lang w:eastAsia="ar-SA"/>
        </w:rPr>
        <w:tab/>
      </w:r>
      <w:r w:rsidR="001F6664" w:rsidRPr="001F6664">
        <w:rPr>
          <w:rFonts w:ascii="Times New Roman" w:eastAsia="Times New Roman" w:hAnsi="Times New Roman" w:cs="Times New Roman"/>
          <w:bCs/>
          <w:iCs/>
          <w:kern w:val="1"/>
          <w:sz w:val="28"/>
          <w:szCs w:val="26"/>
          <w:lang w:eastAsia="ar-SA"/>
        </w:rPr>
        <w:tab/>
      </w:r>
      <w:proofErr w:type="spellStart"/>
      <w:r w:rsidR="001F6664" w:rsidRPr="001F6664">
        <w:rPr>
          <w:rFonts w:ascii="Times New Roman" w:eastAsia="Times New Roman" w:hAnsi="Times New Roman" w:cs="Times New Roman"/>
          <w:bCs/>
          <w:iCs/>
          <w:kern w:val="1"/>
          <w:sz w:val="28"/>
          <w:szCs w:val="26"/>
          <w:lang w:eastAsia="ar-SA"/>
        </w:rPr>
        <w:t>J</w:t>
      </w:r>
      <w:r w:rsidR="00C5548F" w:rsidRPr="001F6664">
        <w:rPr>
          <w:rFonts w:ascii="Times New Roman" w:eastAsia="Times New Roman" w:hAnsi="Times New Roman" w:cs="Times New Roman"/>
          <w:bCs/>
          <w:iCs/>
          <w:kern w:val="1"/>
          <w:sz w:val="28"/>
          <w:szCs w:val="26"/>
          <w:lang w:eastAsia="ar-SA"/>
        </w:rPr>
        <w:t>.</w:t>
      </w:r>
      <w:r w:rsidR="001F6664" w:rsidRPr="001F6664">
        <w:rPr>
          <w:rFonts w:ascii="Times New Roman" w:eastAsia="Times New Roman" w:hAnsi="Times New Roman" w:cs="Times New Roman"/>
          <w:bCs/>
          <w:iCs/>
          <w:kern w:val="1"/>
          <w:sz w:val="28"/>
          <w:szCs w:val="26"/>
          <w:lang w:eastAsia="ar-SA"/>
        </w:rPr>
        <w:t>Reirs</w:t>
      </w:r>
      <w:proofErr w:type="spellEnd"/>
    </w:p>
    <w:p w14:paraId="031173BD" w14:textId="5984899A" w:rsidR="001657A2" w:rsidRDefault="001657A2" w:rsidP="001E55A0">
      <w:pPr>
        <w:spacing w:after="0" w:line="240" w:lineRule="auto"/>
        <w:rPr>
          <w:rFonts w:ascii="Times New Roman" w:eastAsia="Times New Roman" w:hAnsi="Times New Roman" w:cs="Times New Roman"/>
          <w:bCs/>
          <w:iCs/>
          <w:kern w:val="1"/>
          <w:sz w:val="20"/>
          <w:szCs w:val="24"/>
          <w:lang w:eastAsia="ar-SA"/>
        </w:rPr>
      </w:pPr>
    </w:p>
    <w:p w14:paraId="4C9FC777" w14:textId="29488B31" w:rsidR="00326578" w:rsidRDefault="00326578" w:rsidP="001E55A0">
      <w:pPr>
        <w:spacing w:after="0" w:line="240" w:lineRule="auto"/>
        <w:rPr>
          <w:rFonts w:ascii="Times New Roman" w:eastAsia="Times New Roman" w:hAnsi="Times New Roman" w:cs="Times New Roman"/>
          <w:bCs/>
          <w:iCs/>
          <w:kern w:val="1"/>
          <w:sz w:val="20"/>
          <w:szCs w:val="24"/>
          <w:lang w:eastAsia="ar-SA"/>
        </w:rPr>
      </w:pPr>
    </w:p>
    <w:p w14:paraId="5F109B5C" w14:textId="77777777" w:rsidR="00326578" w:rsidRPr="000B55A9" w:rsidRDefault="00326578" w:rsidP="001E55A0">
      <w:pPr>
        <w:spacing w:after="0" w:line="240" w:lineRule="auto"/>
        <w:rPr>
          <w:rFonts w:ascii="Times New Roman" w:eastAsia="Times New Roman" w:hAnsi="Times New Roman" w:cs="Times New Roman"/>
          <w:bCs/>
          <w:iCs/>
          <w:kern w:val="1"/>
          <w:sz w:val="20"/>
          <w:szCs w:val="24"/>
          <w:lang w:eastAsia="ar-SA"/>
        </w:rPr>
      </w:pPr>
    </w:p>
    <w:p w14:paraId="4EA03585" w14:textId="06584310" w:rsidR="001E55A0" w:rsidRPr="000B55A9" w:rsidRDefault="006E1B67" w:rsidP="001E55A0">
      <w:pPr>
        <w:spacing w:after="0" w:line="240" w:lineRule="auto"/>
        <w:rPr>
          <w:rFonts w:ascii="Times New Roman" w:eastAsia="Times New Roman" w:hAnsi="Times New Roman" w:cs="Times New Roman"/>
          <w:bCs/>
          <w:iCs/>
          <w:kern w:val="1"/>
          <w:sz w:val="20"/>
          <w:szCs w:val="24"/>
          <w:lang w:eastAsia="ar-SA"/>
        </w:rPr>
      </w:pPr>
      <w:r w:rsidRPr="000B55A9">
        <w:rPr>
          <w:rFonts w:ascii="Times New Roman" w:eastAsia="Times New Roman" w:hAnsi="Times New Roman" w:cs="Times New Roman"/>
          <w:bCs/>
          <w:iCs/>
          <w:kern w:val="1"/>
          <w:sz w:val="20"/>
          <w:szCs w:val="24"/>
          <w:lang w:eastAsia="ar-SA"/>
        </w:rPr>
        <w:t>Lukss, 67083846</w:t>
      </w:r>
    </w:p>
    <w:p w14:paraId="6419F83B" w14:textId="4CFEB449" w:rsidR="001E55A0" w:rsidRPr="000B55A9" w:rsidRDefault="00395D21" w:rsidP="001E55A0">
      <w:pPr>
        <w:spacing w:after="0" w:line="240" w:lineRule="auto"/>
        <w:rPr>
          <w:rFonts w:ascii="Times New Roman" w:hAnsi="Times New Roman" w:cs="Times New Roman"/>
          <w:sz w:val="20"/>
          <w:szCs w:val="24"/>
        </w:rPr>
      </w:pPr>
      <w:hyperlink r:id="rId8" w:history="1">
        <w:r w:rsidR="006E1B67" w:rsidRPr="000B55A9">
          <w:rPr>
            <w:rStyle w:val="Hyperlink"/>
            <w:rFonts w:ascii="Times New Roman" w:eastAsia="Times New Roman" w:hAnsi="Times New Roman" w:cs="Times New Roman"/>
            <w:bCs/>
            <w:iCs/>
            <w:kern w:val="1"/>
            <w:sz w:val="20"/>
            <w:szCs w:val="24"/>
            <w:lang w:eastAsia="ar-SA"/>
          </w:rPr>
          <w:t>Juris.Lukss@fm.gov.lv</w:t>
        </w:r>
      </w:hyperlink>
      <w:r w:rsidR="001E55A0" w:rsidRPr="000B55A9">
        <w:rPr>
          <w:rFonts w:ascii="Times New Roman" w:eastAsia="Times New Roman" w:hAnsi="Times New Roman" w:cs="Times New Roman"/>
          <w:bCs/>
          <w:iCs/>
          <w:kern w:val="1"/>
          <w:sz w:val="20"/>
          <w:szCs w:val="24"/>
          <w:lang w:eastAsia="ar-SA"/>
        </w:rPr>
        <w:t xml:space="preserve"> </w:t>
      </w:r>
    </w:p>
    <w:sectPr w:rsidR="001E55A0" w:rsidRPr="000B55A9" w:rsidSect="00FF6FDC">
      <w:headerReference w:type="default" r:id="rId9"/>
      <w:footerReference w:type="default" r:id="rId10"/>
      <w:footerReference w:type="first" r:id="rId11"/>
      <w:pgSz w:w="11906" w:h="16838"/>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58E1C" w14:textId="77777777" w:rsidR="00395D21" w:rsidRDefault="00395D21" w:rsidP="0038587F">
      <w:pPr>
        <w:spacing w:after="0" w:line="240" w:lineRule="auto"/>
      </w:pPr>
      <w:r>
        <w:separator/>
      </w:r>
    </w:p>
  </w:endnote>
  <w:endnote w:type="continuationSeparator" w:id="0">
    <w:p w14:paraId="3297FA7F" w14:textId="77777777" w:rsidR="00395D21" w:rsidRDefault="00395D21"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F4A2" w14:textId="6582C900" w:rsidR="00395D21" w:rsidRPr="001E55A0" w:rsidRDefault="00395D21" w:rsidP="001E55A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4728B1">
      <w:rPr>
        <w:rFonts w:ascii="Times New Roman" w:hAnsi="Times New Roman" w:cs="Times New Roman"/>
        <w:noProof/>
        <w:sz w:val="20"/>
        <w:szCs w:val="20"/>
      </w:rPr>
      <w:t>FMAnot_300519_bio_AN.docx</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14:paraId="53A19A50" w14:textId="77777777" w:rsidR="00395D21" w:rsidRPr="001E55A0" w:rsidRDefault="00395D21" w:rsidP="001E5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8144" w14:textId="15BD0F3F" w:rsidR="00395D21" w:rsidRPr="001E55A0" w:rsidRDefault="00395D21" w:rsidP="00A37C16">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4728B1">
      <w:rPr>
        <w:rFonts w:ascii="Times New Roman" w:hAnsi="Times New Roman" w:cs="Times New Roman"/>
        <w:noProof/>
        <w:sz w:val="20"/>
        <w:szCs w:val="20"/>
      </w:rPr>
      <w:t>FMAnot_300519_bio_AN.docx</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p>
  <w:p w14:paraId="58CAD509" w14:textId="77777777" w:rsidR="00395D21" w:rsidRPr="001E55A0" w:rsidRDefault="00395D21" w:rsidP="00A37C16">
    <w:pPr>
      <w:pStyle w:val="Footer"/>
    </w:pPr>
  </w:p>
  <w:p w14:paraId="2734DB8E" w14:textId="77777777" w:rsidR="00395D21" w:rsidRDefault="00395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6C5AB" w14:textId="77777777" w:rsidR="00395D21" w:rsidRDefault="00395D21" w:rsidP="0038587F">
      <w:pPr>
        <w:spacing w:after="0" w:line="240" w:lineRule="auto"/>
      </w:pPr>
      <w:r>
        <w:separator/>
      </w:r>
    </w:p>
  </w:footnote>
  <w:footnote w:type="continuationSeparator" w:id="0">
    <w:p w14:paraId="5580C830" w14:textId="77777777" w:rsidR="00395D21" w:rsidRDefault="00395D21" w:rsidP="0038587F">
      <w:pPr>
        <w:spacing w:after="0" w:line="240" w:lineRule="auto"/>
      </w:pPr>
      <w:r>
        <w:continuationSeparator/>
      </w:r>
    </w:p>
  </w:footnote>
  <w:footnote w:id="1">
    <w:p w14:paraId="41CB0FEF" w14:textId="2B24699E" w:rsidR="00395D21" w:rsidRDefault="00395D21" w:rsidP="00304B5F">
      <w:pPr>
        <w:pStyle w:val="FootnoteText"/>
        <w:jc w:val="both"/>
      </w:pPr>
      <w:r>
        <w:rPr>
          <w:rStyle w:val="FootnoteReference"/>
        </w:rPr>
        <w:footnoteRef/>
      </w:r>
      <w:r>
        <w:t xml:space="preserve"> </w:t>
      </w:r>
      <w:r w:rsidRPr="00304B5F">
        <w:t xml:space="preserve">Padomes 2003.gada 27.oktobra Direktīva 2003/96/EK, kas pārkārto Kopienas noteikumus par nodokļu uzlikšanu </w:t>
      </w:r>
      <w:proofErr w:type="spellStart"/>
      <w:r w:rsidRPr="00304B5F">
        <w:t>energoproduktiem</w:t>
      </w:r>
      <w:proofErr w:type="spellEnd"/>
      <w:r w:rsidRPr="00304B5F">
        <w:t xml:space="preserve"> un elektroenerģijai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746177"/>
      <w:docPartObj>
        <w:docPartGallery w:val="Page Numbers (Top of Page)"/>
        <w:docPartUnique/>
      </w:docPartObj>
    </w:sdtPr>
    <w:sdtEndPr>
      <w:rPr>
        <w:noProof/>
      </w:rPr>
    </w:sdtEndPr>
    <w:sdtContent>
      <w:p w14:paraId="39B0A1B3" w14:textId="0E737DF8" w:rsidR="00395D21" w:rsidRDefault="00395D21">
        <w:pPr>
          <w:pStyle w:val="Header"/>
          <w:jc w:val="center"/>
        </w:pPr>
        <w:r>
          <w:fldChar w:fldCharType="begin"/>
        </w:r>
        <w:r>
          <w:instrText xml:space="preserve"> PAGE   \* MERGEFORMAT </w:instrText>
        </w:r>
        <w:r>
          <w:fldChar w:fldCharType="separate"/>
        </w:r>
        <w:r w:rsidR="00434C2B">
          <w:rPr>
            <w:noProof/>
          </w:rPr>
          <w:t>11</w:t>
        </w:r>
        <w:r>
          <w:rPr>
            <w:noProof/>
          </w:rPr>
          <w:fldChar w:fldCharType="end"/>
        </w:r>
      </w:p>
    </w:sdtContent>
  </w:sdt>
  <w:p w14:paraId="16DCFCEC" w14:textId="77777777" w:rsidR="00395D21" w:rsidRDefault="00395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2" w15:restartNumberingAfterBreak="0">
    <w:nsid w:val="1E4A3E39"/>
    <w:multiLevelType w:val="hybridMultilevel"/>
    <w:tmpl w:val="70EEF77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24395A62"/>
    <w:multiLevelType w:val="hybridMultilevel"/>
    <w:tmpl w:val="2A0ED07A"/>
    <w:lvl w:ilvl="0" w:tplc="96BA09B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39540E"/>
    <w:multiLevelType w:val="hybridMultilevel"/>
    <w:tmpl w:val="34285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FC2841"/>
    <w:multiLevelType w:val="hybridMultilevel"/>
    <w:tmpl w:val="F5E2A02E"/>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B256A8"/>
    <w:multiLevelType w:val="hybridMultilevel"/>
    <w:tmpl w:val="4D6814F6"/>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E84F36"/>
    <w:multiLevelType w:val="hybridMultilevel"/>
    <w:tmpl w:val="5588D1EC"/>
    <w:lvl w:ilvl="0" w:tplc="0A64F30A">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8" w15:restartNumberingAfterBreak="0">
    <w:nsid w:val="42296306"/>
    <w:multiLevelType w:val="hybridMultilevel"/>
    <w:tmpl w:val="7BC0EF8C"/>
    <w:lvl w:ilvl="0" w:tplc="CBECD202">
      <w:start w:val="1"/>
      <w:numFmt w:val="decimal"/>
      <w:lvlText w:val="%1."/>
      <w:lvlJc w:val="left"/>
      <w:pPr>
        <w:ind w:left="1080" w:hanging="360"/>
      </w:pPr>
      <w:rPr>
        <w:rFonts w:ascii="Times New Roman" w:eastAsia="Times New Roman" w:hAnsi="Times New Roman" w:cs="Times New Roman"/>
      </w:rPr>
    </w:lvl>
    <w:lvl w:ilvl="1" w:tplc="40E2A0F0" w:tentative="1">
      <w:start w:val="1"/>
      <w:numFmt w:val="lowerLetter"/>
      <w:lvlText w:val="%2."/>
      <w:lvlJc w:val="left"/>
      <w:pPr>
        <w:ind w:left="1800" w:hanging="360"/>
      </w:pPr>
    </w:lvl>
    <w:lvl w:ilvl="2" w:tplc="C81ED98E" w:tentative="1">
      <w:start w:val="1"/>
      <w:numFmt w:val="lowerRoman"/>
      <w:lvlText w:val="%3."/>
      <w:lvlJc w:val="right"/>
      <w:pPr>
        <w:ind w:left="2520" w:hanging="180"/>
      </w:pPr>
    </w:lvl>
    <w:lvl w:ilvl="3" w:tplc="DFA67182" w:tentative="1">
      <w:start w:val="1"/>
      <w:numFmt w:val="decimal"/>
      <w:lvlText w:val="%4."/>
      <w:lvlJc w:val="left"/>
      <w:pPr>
        <w:ind w:left="3240" w:hanging="360"/>
      </w:pPr>
    </w:lvl>
    <w:lvl w:ilvl="4" w:tplc="279E1D7E" w:tentative="1">
      <w:start w:val="1"/>
      <w:numFmt w:val="lowerLetter"/>
      <w:lvlText w:val="%5."/>
      <w:lvlJc w:val="left"/>
      <w:pPr>
        <w:ind w:left="3960" w:hanging="360"/>
      </w:pPr>
    </w:lvl>
    <w:lvl w:ilvl="5" w:tplc="CA0A9488" w:tentative="1">
      <w:start w:val="1"/>
      <w:numFmt w:val="lowerRoman"/>
      <w:lvlText w:val="%6."/>
      <w:lvlJc w:val="right"/>
      <w:pPr>
        <w:ind w:left="4680" w:hanging="180"/>
      </w:pPr>
    </w:lvl>
    <w:lvl w:ilvl="6" w:tplc="97D08FAC" w:tentative="1">
      <w:start w:val="1"/>
      <w:numFmt w:val="decimal"/>
      <w:lvlText w:val="%7."/>
      <w:lvlJc w:val="left"/>
      <w:pPr>
        <w:ind w:left="5400" w:hanging="360"/>
      </w:pPr>
    </w:lvl>
    <w:lvl w:ilvl="7" w:tplc="2C04D938" w:tentative="1">
      <w:start w:val="1"/>
      <w:numFmt w:val="lowerLetter"/>
      <w:lvlText w:val="%8."/>
      <w:lvlJc w:val="left"/>
      <w:pPr>
        <w:ind w:left="6120" w:hanging="360"/>
      </w:pPr>
    </w:lvl>
    <w:lvl w:ilvl="8" w:tplc="E11A584C" w:tentative="1">
      <w:start w:val="1"/>
      <w:numFmt w:val="lowerRoman"/>
      <w:lvlText w:val="%9."/>
      <w:lvlJc w:val="right"/>
      <w:pPr>
        <w:ind w:left="6840" w:hanging="180"/>
      </w:pPr>
    </w:lvl>
  </w:abstractNum>
  <w:abstractNum w:abstractNumId="9"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D1C1443"/>
    <w:multiLevelType w:val="hybridMultilevel"/>
    <w:tmpl w:val="F2C4E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1174BF1"/>
    <w:multiLevelType w:val="hybridMultilevel"/>
    <w:tmpl w:val="84BEC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10"/>
  </w:num>
  <w:num w:numId="6">
    <w:abstractNumId w:val="4"/>
  </w:num>
  <w:num w:numId="7">
    <w:abstractNumId w:val="11"/>
  </w:num>
  <w:num w:numId="8">
    <w:abstractNumId w:val="9"/>
  </w:num>
  <w:num w:numId="9">
    <w:abstractNumId w:val="3"/>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91A"/>
    <w:rsid w:val="00001B2F"/>
    <w:rsid w:val="00007226"/>
    <w:rsid w:val="00010538"/>
    <w:rsid w:val="000140C9"/>
    <w:rsid w:val="0001650F"/>
    <w:rsid w:val="00020D8F"/>
    <w:rsid w:val="000237E7"/>
    <w:rsid w:val="00024BA6"/>
    <w:rsid w:val="0002779D"/>
    <w:rsid w:val="0004450E"/>
    <w:rsid w:val="000477A9"/>
    <w:rsid w:val="00050A47"/>
    <w:rsid w:val="0005206D"/>
    <w:rsid w:val="0005435B"/>
    <w:rsid w:val="000545F8"/>
    <w:rsid w:val="00063BB2"/>
    <w:rsid w:val="00070A7B"/>
    <w:rsid w:val="00073F8B"/>
    <w:rsid w:val="00076AFF"/>
    <w:rsid w:val="0008771D"/>
    <w:rsid w:val="0009400F"/>
    <w:rsid w:val="00095DCA"/>
    <w:rsid w:val="000A2CD9"/>
    <w:rsid w:val="000B00F2"/>
    <w:rsid w:val="000B5181"/>
    <w:rsid w:val="000B55A9"/>
    <w:rsid w:val="000D5C87"/>
    <w:rsid w:val="000D799C"/>
    <w:rsid w:val="00100490"/>
    <w:rsid w:val="00116BE4"/>
    <w:rsid w:val="00117DB1"/>
    <w:rsid w:val="001353CA"/>
    <w:rsid w:val="00136FBC"/>
    <w:rsid w:val="001512D9"/>
    <w:rsid w:val="00161F62"/>
    <w:rsid w:val="001657A2"/>
    <w:rsid w:val="001720AB"/>
    <w:rsid w:val="001A27A2"/>
    <w:rsid w:val="001A3612"/>
    <w:rsid w:val="001B4F32"/>
    <w:rsid w:val="001D0219"/>
    <w:rsid w:val="001D11AF"/>
    <w:rsid w:val="001D2D93"/>
    <w:rsid w:val="001E1E5E"/>
    <w:rsid w:val="001E55A0"/>
    <w:rsid w:val="001E6E39"/>
    <w:rsid w:val="001F6664"/>
    <w:rsid w:val="00211310"/>
    <w:rsid w:val="00215D2F"/>
    <w:rsid w:val="00225A7E"/>
    <w:rsid w:val="00225B81"/>
    <w:rsid w:val="00225C49"/>
    <w:rsid w:val="00233623"/>
    <w:rsid w:val="00237C32"/>
    <w:rsid w:val="002402A8"/>
    <w:rsid w:val="00242A6B"/>
    <w:rsid w:val="002613F1"/>
    <w:rsid w:val="00277C7E"/>
    <w:rsid w:val="00284ABA"/>
    <w:rsid w:val="002953DF"/>
    <w:rsid w:val="002A2C2B"/>
    <w:rsid w:val="002B0D50"/>
    <w:rsid w:val="002B32AC"/>
    <w:rsid w:val="002C3EC3"/>
    <w:rsid w:val="002C4DFB"/>
    <w:rsid w:val="002D20CA"/>
    <w:rsid w:val="002D3205"/>
    <w:rsid w:val="002D7BDE"/>
    <w:rsid w:val="002E1357"/>
    <w:rsid w:val="002E1E5A"/>
    <w:rsid w:val="002E7FA9"/>
    <w:rsid w:val="002F71AE"/>
    <w:rsid w:val="003008DF"/>
    <w:rsid w:val="00303060"/>
    <w:rsid w:val="003041AE"/>
    <w:rsid w:val="00304B5F"/>
    <w:rsid w:val="00305748"/>
    <w:rsid w:val="00314D44"/>
    <w:rsid w:val="0032034C"/>
    <w:rsid w:val="00324CC7"/>
    <w:rsid w:val="00326578"/>
    <w:rsid w:val="00341B12"/>
    <w:rsid w:val="00347C04"/>
    <w:rsid w:val="00352677"/>
    <w:rsid w:val="00352EC9"/>
    <w:rsid w:val="0036308E"/>
    <w:rsid w:val="00363135"/>
    <w:rsid w:val="00371E07"/>
    <w:rsid w:val="0038587F"/>
    <w:rsid w:val="00390AD2"/>
    <w:rsid w:val="00393CF5"/>
    <w:rsid w:val="00393FB2"/>
    <w:rsid w:val="00395D21"/>
    <w:rsid w:val="003A0E22"/>
    <w:rsid w:val="003A4187"/>
    <w:rsid w:val="003A4AFD"/>
    <w:rsid w:val="003A6BA5"/>
    <w:rsid w:val="003C05D3"/>
    <w:rsid w:val="003C3D2D"/>
    <w:rsid w:val="003D0556"/>
    <w:rsid w:val="003D3672"/>
    <w:rsid w:val="003D6685"/>
    <w:rsid w:val="003E45C9"/>
    <w:rsid w:val="003F2F71"/>
    <w:rsid w:val="003F351D"/>
    <w:rsid w:val="003F6220"/>
    <w:rsid w:val="00400E7B"/>
    <w:rsid w:val="00401CF8"/>
    <w:rsid w:val="0040747B"/>
    <w:rsid w:val="0041039E"/>
    <w:rsid w:val="00423A8B"/>
    <w:rsid w:val="00431A76"/>
    <w:rsid w:val="00434C2B"/>
    <w:rsid w:val="00445F17"/>
    <w:rsid w:val="00446E4E"/>
    <w:rsid w:val="004475CF"/>
    <w:rsid w:val="00451550"/>
    <w:rsid w:val="00464FEF"/>
    <w:rsid w:val="0046788D"/>
    <w:rsid w:val="004728B1"/>
    <w:rsid w:val="00497E68"/>
    <w:rsid w:val="004A6A56"/>
    <w:rsid w:val="004B0C47"/>
    <w:rsid w:val="004C7E1B"/>
    <w:rsid w:val="004D074C"/>
    <w:rsid w:val="004D21D1"/>
    <w:rsid w:val="004E5B07"/>
    <w:rsid w:val="004F291F"/>
    <w:rsid w:val="004F5EB0"/>
    <w:rsid w:val="005116C7"/>
    <w:rsid w:val="00513672"/>
    <w:rsid w:val="005163EE"/>
    <w:rsid w:val="00517530"/>
    <w:rsid w:val="00520DA7"/>
    <w:rsid w:val="005300BA"/>
    <w:rsid w:val="00537006"/>
    <w:rsid w:val="00543AA6"/>
    <w:rsid w:val="00545879"/>
    <w:rsid w:val="00557C67"/>
    <w:rsid w:val="00561F10"/>
    <w:rsid w:val="00562FD1"/>
    <w:rsid w:val="00563C06"/>
    <w:rsid w:val="00567C60"/>
    <w:rsid w:val="0057055B"/>
    <w:rsid w:val="00573CC8"/>
    <w:rsid w:val="0058402A"/>
    <w:rsid w:val="0058711A"/>
    <w:rsid w:val="005912C7"/>
    <w:rsid w:val="005B0489"/>
    <w:rsid w:val="005C150F"/>
    <w:rsid w:val="005C5F58"/>
    <w:rsid w:val="005D1ECC"/>
    <w:rsid w:val="005D2B4D"/>
    <w:rsid w:val="005D3204"/>
    <w:rsid w:val="005E1055"/>
    <w:rsid w:val="005E4584"/>
    <w:rsid w:val="005F0E61"/>
    <w:rsid w:val="006138E5"/>
    <w:rsid w:val="00621683"/>
    <w:rsid w:val="00623952"/>
    <w:rsid w:val="00632934"/>
    <w:rsid w:val="00643667"/>
    <w:rsid w:val="0064583A"/>
    <w:rsid w:val="00645E6F"/>
    <w:rsid w:val="00657D2C"/>
    <w:rsid w:val="0066605C"/>
    <w:rsid w:val="006668C5"/>
    <w:rsid w:val="00672615"/>
    <w:rsid w:val="00674F38"/>
    <w:rsid w:val="00681091"/>
    <w:rsid w:val="00683116"/>
    <w:rsid w:val="0068595F"/>
    <w:rsid w:val="006927E2"/>
    <w:rsid w:val="0069728C"/>
    <w:rsid w:val="006B5174"/>
    <w:rsid w:val="006B76B2"/>
    <w:rsid w:val="006C30F5"/>
    <w:rsid w:val="006D167B"/>
    <w:rsid w:val="006E1B67"/>
    <w:rsid w:val="006E2A7B"/>
    <w:rsid w:val="006E6727"/>
    <w:rsid w:val="006F6B68"/>
    <w:rsid w:val="0070135C"/>
    <w:rsid w:val="007014BA"/>
    <w:rsid w:val="00702141"/>
    <w:rsid w:val="007053D9"/>
    <w:rsid w:val="00710D5F"/>
    <w:rsid w:val="0071341A"/>
    <w:rsid w:val="00717D3B"/>
    <w:rsid w:val="007240FB"/>
    <w:rsid w:val="00732F5D"/>
    <w:rsid w:val="00755236"/>
    <w:rsid w:val="007604A0"/>
    <w:rsid w:val="0076511A"/>
    <w:rsid w:val="00786D90"/>
    <w:rsid w:val="007928E4"/>
    <w:rsid w:val="007A01E4"/>
    <w:rsid w:val="007A3D50"/>
    <w:rsid w:val="007A7D0B"/>
    <w:rsid w:val="007B2D66"/>
    <w:rsid w:val="007B4A86"/>
    <w:rsid w:val="007B530F"/>
    <w:rsid w:val="007B56A4"/>
    <w:rsid w:val="007B7F60"/>
    <w:rsid w:val="007E0F52"/>
    <w:rsid w:val="007F3757"/>
    <w:rsid w:val="007F595B"/>
    <w:rsid w:val="008057B9"/>
    <w:rsid w:val="00805BBF"/>
    <w:rsid w:val="00817716"/>
    <w:rsid w:val="00821295"/>
    <w:rsid w:val="00827E4A"/>
    <w:rsid w:val="0083388E"/>
    <w:rsid w:val="00833A87"/>
    <w:rsid w:val="008515AE"/>
    <w:rsid w:val="00855843"/>
    <w:rsid w:val="00862955"/>
    <w:rsid w:val="00877666"/>
    <w:rsid w:val="008860AD"/>
    <w:rsid w:val="008863A7"/>
    <w:rsid w:val="008A262A"/>
    <w:rsid w:val="008A5134"/>
    <w:rsid w:val="008B3F77"/>
    <w:rsid w:val="008B50F9"/>
    <w:rsid w:val="008C6BFF"/>
    <w:rsid w:val="008D1AC7"/>
    <w:rsid w:val="008E1547"/>
    <w:rsid w:val="008E2326"/>
    <w:rsid w:val="008E44AD"/>
    <w:rsid w:val="008F4435"/>
    <w:rsid w:val="0091656F"/>
    <w:rsid w:val="00947ACC"/>
    <w:rsid w:val="00953904"/>
    <w:rsid w:val="00972692"/>
    <w:rsid w:val="0098223B"/>
    <w:rsid w:val="009849F4"/>
    <w:rsid w:val="00987E75"/>
    <w:rsid w:val="00993C84"/>
    <w:rsid w:val="009B0004"/>
    <w:rsid w:val="009C0391"/>
    <w:rsid w:val="009C5E94"/>
    <w:rsid w:val="009D39D6"/>
    <w:rsid w:val="009F2884"/>
    <w:rsid w:val="009F7F07"/>
    <w:rsid w:val="00A1411D"/>
    <w:rsid w:val="00A15EBA"/>
    <w:rsid w:val="00A2560B"/>
    <w:rsid w:val="00A2637F"/>
    <w:rsid w:val="00A27364"/>
    <w:rsid w:val="00A27B82"/>
    <w:rsid w:val="00A31DD8"/>
    <w:rsid w:val="00A32CAE"/>
    <w:rsid w:val="00A37C16"/>
    <w:rsid w:val="00A425AD"/>
    <w:rsid w:val="00A42BAF"/>
    <w:rsid w:val="00A43ED4"/>
    <w:rsid w:val="00A549AF"/>
    <w:rsid w:val="00A67D53"/>
    <w:rsid w:val="00A811E8"/>
    <w:rsid w:val="00A81909"/>
    <w:rsid w:val="00A85636"/>
    <w:rsid w:val="00AB34A8"/>
    <w:rsid w:val="00AB4BB9"/>
    <w:rsid w:val="00AB5399"/>
    <w:rsid w:val="00AC1E02"/>
    <w:rsid w:val="00AC43F0"/>
    <w:rsid w:val="00AC5DDC"/>
    <w:rsid w:val="00AE33FC"/>
    <w:rsid w:val="00AF751C"/>
    <w:rsid w:val="00B009DF"/>
    <w:rsid w:val="00B0349E"/>
    <w:rsid w:val="00B22306"/>
    <w:rsid w:val="00B25D7D"/>
    <w:rsid w:val="00B31534"/>
    <w:rsid w:val="00B341E2"/>
    <w:rsid w:val="00B45963"/>
    <w:rsid w:val="00B54A51"/>
    <w:rsid w:val="00B574D6"/>
    <w:rsid w:val="00B90037"/>
    <w:rsid w:val="00BB39A3"/>
    <w:rsid w:val="00BD5725"/>
    <w:rsid w:val="00BE2E6F"/>
    <w:rsid w:val="00BE4F58"/>
    <w:rsid w:val="00BF55EB"/>
    <w:rsid w:val="00C13E2D"/>
    <w:rsid w:val="00C23854"/>
    <w:rsid w:val="00C268CF"/>
    <w:rsid w:val="00C30D53"/>
    <w:rsid w:val="00C336B0"/>
    <w:rsid w:val="00C4797A"/>
    <w:rsid w:val="00C51A1B"/>
    <w:rsid w:val="00C54B44"/>
    <w:rsid w:val="00C5548F"/>
    <w:rsid w:val="00C63A62"/>
    <w:rsid w:val="00C72854"/>
    <w:rsid w:val="00CA04F2"/>
    <w:rsid w:val="00CA5D27"/>
    <w:rsid w:val="00CA7897"/>
    <w:rsid w:val="00CB5CB9"/>
    <w:rsid w:val="00CC00FF"/>
    <w:rsid w:val="00CC28CF"/>
    <w:rsid w:val="00CE5C10"/>
    <w:rsid w:val="00CE7434"/>
    <w:rsid w:val="00CF0378"/>
    <w:rsid w:val="00D02A5B"/>
    <w:rsid w:val="00D124BE"/>
    <w:rsid w:val="00D16290"/>
    <w:rsid w:val="00D17B64"/>
    <w:rsid w:val="00D22106"/>
    <w:rsid w:val="00D22A85"/>
    <w:rsid w:val="00D22D4A"/>
    <w:rsid w:val="00D3202C"/>
    <w:rsid w:val="00D32D93"/>
    <w:rsid w:val="00D3310E"/>
    <w:rsid w:val="00D35A7B"/>
    <w:rsid w:val="00D4403B"/>
    <w:rsid w:val="00D5130B"/>
    <w:rsid w:val="00D51CC0"/>
    <w:rsid w:val="00D61F55"/>
    <w:rsid w:val="00D66185"/>
    <w:rsid w:val="00D77A92"/>
    <w:rsid w:val="00D92D55"/>
    <w:rsid w:val="00D94D64"/>
    <w:rsid w:val="00D974A2"/>
    <w:rsid w:val="00DA7BF3"/>
    <w:rsid w:val="00DB24C6"/>
    <w:rsid w:val="00DB5811"/>
    <w:rsid w:val="00DC2B43"/>
    <w:rsid w:val="00DC7C13"/>
    <w:rsid w:val="00DE1D04"/>
    <w:rsid w:val="00DF3CAE"/>
    <w:rsid w:val="00DF52B2"/>
    <w:rsid w:val="00DF69DF"/>
    <w:rsid w:val="00DF6C43"/>
    <w:rsid w:val="00DF7313"/>
    <w:rsid w:val="00E031B1"/>
    <w:rsid w:val="00E1456F"/>
    <w:rsid w:val="00E14E5A"/>
    <w:rsid w:val="00E24B3B"/>
    <w:rsid w:val="00E32350"/>
    <w:rsid w:val="00E41115"/>
    <w:rsid w:val="00E55A00"/>
    <w:rsid w:val="00E569C1"/>
    <w:rsid w:val="00E660F2"/>
    <w:rsid w:val="00E729F4"/>
    <w:rsid w:val="00E94F42"/>
    <w:rsid w:val="00EA39F0"/>
    <w:rsid w:val="00EB5073"/>
    <w:rsid w:val="00EB7EA5"/>
    <w:rsid w:val="00EC3364"/>
    <w:rsid w:val="00ED38F0"/>
    <w:rsid w:val="00EF4861"/>
    <w:rsid w:val="00F000C8"/>
    <w:rsid w:val="00F024A9"/>
    <w:rsid w:val="00F04C98"/>
    <w:rsid w:val="00F11AFB"/>
    <w:rsid w:val="00F20837"/>
    <w:rsid w:val="00F24D9B"/>
    <w:rsid w:val="00F32E4D"/>
    <w:rsid w:val="00F36DCF"/>
    <w:rsid w:val="00F53AA3"/>
    <w:rsid w:val="00F57B0E"/>
    <w:rsid w:val="00F63D4F"/>
    <w:rsid w:val="00F76F11"/>
    <w:rsid w:val="00F771A3"/>
    <w:rsid w:val="00F8371A"/>
    <w:rsid w:val="00F909CA"/>
    <w:rsid w:val="00F94094"/>
    <w:rsid w:val="00F96D99"/>
    <w:rsid w:val="00F97077"/>
    <w:rsid w:val="00FA72BF"/>
    <w:rsid w:val="00FB2FBA"/>
    <w:rsid w:val="00FB334F"/>
    <w:rsid w:val="00FC1EEA"/>
    <w:rsid w:val="00FC3377"/>
    <w:rsid w:val="00FD5AAC"/>
    <w:rsid w:val="00FD7606"/>
    <w:rsid w:val="00FE1361"/>
    <w:rsid w:val="00FE40C2"/>
    <w:rsid w:val="00FE5EE4"/>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FD24B79"/>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 w:type="paragraph" w:customStyle="1" w:styleId="tv2132">
    <w:name w:val="tv2132"/>
    <w:basedOn w:val="Normal"/>
    <w:rsid w:val="00451550"/>
    <w:pPr>
      <w:spacing w:after="0" w:line="360" w:lineRule="auto"/>
      <w:ind w:firstLine="300"/>
    </w:pPr>
    <w:rPr>
      <w:rFonts w:ascii="Times New Roman" w:hAnsi="Times New Roman" w:cs="Times New Roman"/>
      <w:color w:val="414142"/>
      <w:sz w:val="20"/>
      <w:szCs w:val="20"/>
      <w:lang w:eastAsia="lv-LV"/>
    </w:rPr>
  </w:style>
  <w:style w:type="paragraph" w:customStyle="1" w:styleId="naiskr">
    <w:name w:val="naiskr"/>
    <w:basedOn w:val="Normal"/>
    <w:rsid w:val="00DC2B43"/>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DC2B43"/>
  </w:style>
  <w:style w:type="table" w:styleId="TableGrid">
    <w:name w:val="Table Grid"/>
    <w:basedOn w:val="TableNormal"/>
    <w:uiPriority w:val="39"/>
    <w:rsid w:val="005F0E6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91A"/>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66333">
      <w:bodyDiv w:val="1"/>
      <w:marLeft w:val="0"/>
      <w:marRight w:val="0"/>
      <w:marTop w:val="0"/>
      <w:marBottom w:val="0"/>
      <w:divBdr>
        <w:top w:val="none" w:sz="0" w:space="0" w:color="auto"/>
        <w:left w:val="none" w:sz="0" w:space="0" w:color="auto"/>
        <w:bottom w:val="none" w:sz="0" w:space="0" w:color="auto"/>
        <w:right w:val="none" w:sz="0" w:space="0" w:color="auto"/>
      </w:divBdr>
    </w:div>
    <w:div w:id="1289242620">
      <w:bodyDiv w:val="1"/>
      <w:marLeft w:val="0"/>
      <w:marRight w:val="0"/>
      <w:marTop w:val="0"/>
      <w:marBottom w:val="0"/>
      <w:divBdr>
        <w:top w:val="none" w:sz="0" w:space="0" w:color="auto"/>
        <w:left w:val="none" w:sz="0" w:space="0" w:color="auto"/>
        <w:bottom w:val="none" w:sz="0" w:space="0" w:color="auto"/>
        <w:right w:val="none" w:sz="0" w:space="0" w:color="auto"/>
      </w:divBdr>
    </w:div>
    <w:div w:id="15653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Luks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A608-FD21-4340-A824-E674F9DA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14064</Words>
  <Characters>8017</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Likumprojekta "Grozījumi likumā "Par akcīzes nodokli"" sākotnējās ietekmes novērtējuma ziņojums (anotācija)</vt:lpstr>
    </vt:vector>
  </TitlesOfParts>
  <Company>Finanšu ministrija</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sākotnējās ietekmes novērtējuma ziņojums (anotācija)</dc:title>
  <dc:subject>likumprojekta anotācija</dc:subject>
  <dc:creator>juris.lukss@fm.gov.lv</dc:creator>
  <cp:keywords/>
  <dc:description>Juris.Lukss@fm.gov.lv
Tālr.Nr. 67083846</dc:description>
  <cp:lastModifiedBy>Juris Lukss</cp:lastModifiedBy>
  <cp:revision>5</cp:revision>
  <cp:lastPrinted>2019-05-30T09:07:00Z</cp:lastPrinted>
  <dcterms:created xsi:type="dcterms:W3CDTF">2019-05-30T07:41:00Z</dcterms:created>
  <dcterms:modified xsi:type="dcterms:W3CDTF">2019-05-30T14:05:00Z</dcterms:modified>
</cp:coreProperties>
</file>