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53DA" w14:textId="77777777" w:rsidR="008E2E49" w:rsidRPr="005A4D04" w:rsidRDefault="008E2E49" w:rsidP="008E2E49">
      <w:pPr>
        <w:pStyle w:val="naislab"/>
        <w:spacing w:before="0" w:after="0"/>
        <w:ind w:firstLine="720"/>
      </w:pPr>
      <w:r w:rsidRPr="005A4D04">
        <w:t>4.pielikums</w:t>
      </w:r>
    </w:p>
    <w:p w14:paraId="00DE7A5C" w14:textId="77777777" w:rsidR="008E2E49" w:rsidRPr="005A4D04" w:rsidRDefault="008E2E49" w:rsidP="008E2E49">
      <w:pPr>
        <w:pStyle w:val="naislab"/>
        <w:spacing w:before="0" w:after="0"/>
        <w:ind w:firstLine="720"/>
      </w:pPr>
      <w:r w:rsidRPr="005A4D04">
        <w:t>Ministru kabineta</w:t>
      </w:r>
    </w:p>
    <w:p w14:paraId="7208DCAF" w14:textId="77777777" w:rsidR="008E2E49" w:rsidRPr="005A4D04" w:rsidRDefault="008E2E49" w:rsidP="008E2E49">
      <w:pPr>
        <w:pStyle w:val="naislab"/>
        <w:spacing w:before="0" w:after="0"/>
        <w:ind w:firstLine="720"/>
      </w:pPr>
      <w:r w:rsidRPr="005A4D04">
        <w:t>2009.gada 7.aprīļa</w:t>
      </w:r>
    </w:p>
    <w:p w14:paraId="5907076E" w14:textId="77777777" w:rsidR="008E2E49" w:rsidRPr="005A4D04" w:rsidRDefault="008E2E49" w:rsidP="008E2E49">
      <w:pPr>
        <w:pStyle w:val="naislab"/>
        <w:spacing w:before="0" w:after="0"/>
        <w:ind w:firstLine="720"/>
      </w:pPr>
      <w:r w:rsidRPr="005A4D04">
        <w:t>noteikumiem Nr.300</w:t>
      </w:r>
    </w:p>
    <w:p w14:paraId="7DB4F4E1" w14:textId="77777777" w:rsidR="008E2E49" w:rsidRPr="00712B66" w:rsidRDefault="008E2E49" w:rsidP="008E2E49">
      <w:pPr>
        <w:pStyle w:val="naislab"/>
        <w:spacing w:before="0" w:after="0"/>
        <w:ind w:firstLine="720"/>
        <w:rPr>
          <w:sz w:val="28"/>
          <w:szCs w:val="28"/>
        </w:rPr>
      </w:pPr>
      <w:r w:rsidRPr="00712B66">
        <w:rPr>
          <w:sz w:val="28"/>
          <w:szCs w:val="28"/>
        </w:rPr>
        <w:t> </w:t>
      </w:r>
    </w:p>
    <w:p w14:paraId="2223477D" w14:textId="77777777" w:rsidR="008E2E49" w:rsidRPr="00810B6F" w:rsidRDefault="008E2E49" w:rsidP="008E2E49">
      <w:pPr>
        <w:pStyle w:val="naisnod"/>
        <w:spacing w:before="0" w:after="0"/>
        <w:ind w:firstLine="720"/>
      </w:pPr>
      <w:r w:rsidRPr="00810B6F">
        <w:t>Izziņa par atzinumos sniegtajiem iebildumiem</w:t>
      </w:r>
    </w:p>
    <w:tbl>
      <w:tblPr>
        <w:tblW w:w="0" w:type="auto"/>
        <w:jc w:val="center"/>
        <w:tblLook w:val="00A0" w:firstRow="1" w:lastRow="0" w:firstColumn="1" w:lastColumn="0" w:noHBand="0" w:noVBand="0"/>
      </w:tblPr>
      <w:tblGrid>
        <w:gridCol w:w="12268"/>
      </w:tblGrid>
      <w:tr w:rsidR="008E2E49" w:rsidRPr="00810B6F" w14:paraId="73367DAF" w14:textId="77777777" w:rsidTr="00935D50">
        <w:trPr>
          <w:jc w:val="center"/>
        </w:trPr>
        <w:tc>
          <w:tcPr>
            <w:tcW w:w="12268" w:type="dxa"/>
            <w:tcBorders>
              <w:bottom w:val="single" w:sz="6" w:space="0" w:color="000000"/>
            </w:tcBorders>
          </w:tcPr>
          <w:p w14:paraId="3E7A41AE" w14:textId="5AD2BD38" w:rsidR="008E2E49" w:rsidRPr="00100123" w:rsidRDefault="003467BB" w:rsidP="008A6881">
            <w:pPr>
              <w:ind w:firstLine="720"/>
              <w:jc w:val="center"/>
              <w:rPr>
                <w:b/>
                <w:bCs/>
              </w:rPr>
            </w:pPr>
            <w:r>
              <w:rPr>
                <w:b/>
              </w:rPr>
              <w:t>l</w:t>
            </w:r>
            <w:r w:rsidR="006366E7">
              <w:rPr>
                <w:b/>
              </w:rPr>
              <w:t>ikum</w:t>
            </w:r>
            <w:r w:rsidR="008E2E49" w:rsidRPr="00810B6F">
              <w:rPr>
                <w:b/>
              </w:rPr>
              <w:t>projekt</w:t>
            </w:r>
            <w:r w:rsidR="00A42F3D">
              <w:rPr>
                <w:b/>
              </w:rPr>
              <w:t>am</w:t>
            </w:r>
            <w:r w:rsidR="008E2E49" w:rsidRPr="00810B6F">
              <w:rPr>
                <w:b/>
              </w:rPr>
              <w:t xml:space="preserve"> </w:t>
            </w:r>
            <w:r w:rsidR="00552C29">
              <w:rPr>
                <w:b/>
                <w:bCs/>
              </w:rPr>
              <w:t>“</w:t>
            </w:r>
            <w:r w:rsidR="008A6881">
              <w:rPr>
                <w:b/>
                <w:bCs/>
              </w:rPr>
              <w:t>Grozījumi Kredītu reģistra likumā</w:t>
            </w:r>
            <w:r w:rsidR="008E2E49" w:rsidRPr="00810B6F">
              <w:rPr>
                <w:b/>
                <w:bCs/>
              </w:rPr>
              <w:t>”</w:t>
            </w:r>
          </w:p>
        </w:tc>
      </w:tr>
    </w:tbl>
    <w:p w14:paraId="0C809BBD" w14:textId="77777777" w:rsidR="008E2E49" w:rsidRPr="00712B66" w:rsidRDefault="008E2E49" w:rsidP="004D51F9">
      <w:pPr>
        <w:pStyle w:val="naisc"/>
        <w:spacing w:before="0" w:after="0"/>
        <w:ind w:firstLine="1080"/>
      </w:pPr>
      <w:r w:rsidRPr="00712B66">
        <w:t>(dokumenta veids un nosaukums)</w:t>
      </w:r>
    </w:p>
    <w:p w14:paraId="3CE34A32" w14:textId="77777777" w:rsidR="008E2E49" w:rsidRPr="00712B66" w:rsidRDefault="008E2E49" w:rsidP="00BA048B">
      <w:pPr>
        <w:pStyle w:val="naisf"/>
        <w:spacing w:before="0" w:after="0"/>
        <w:ind w:firstLine="0"/>
      </w:pPr>
    </w:p>
    <w:p w14:paraId="76A24444" w14:textId="77777777"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14:paraId="4A21D851" w14:textId="77777777" w:rsidR="008E2E49" w:rsidRPr="00712B66" w:rsidRDefault="008E2E49" w:rsidP="00BA048B">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712B66" w14:paraId="3926D183" w14:textId="77777777" w:rsidTr="00935D50">
        <w:tc>
          <w:tcPr>
            <w:tcW w:w="708" w:type="dxa"/>
            <w:tcBorders>
              <w:top w:val="single" w:sz="6" w:space="0" w:color="000000"/>
              <w:left w:val="single" w:sz="6" w:space="0" w:color="000000"/>
              <w:bottom w:val="single" w:sz="6" w:space="0" w:color="000000"/>
              <w:right w:val="single" w:sz="6" w:space="0" w:color="000000"/>
            </w:tcBorders>
            <w:vAlign w:val="center"/>
          </w:tcPr>
          <w:p w14:paraId="0F747FC2" w14:textId="77777777" w:rsidR="008E2E49" w:rsidRPr="00712B66" w:rsidRDefault="008E2E49" w:rsidP="00935D50">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355F146" w14:textId="77777777" w:rsidR="008E2E49" w:rsidRPr="00712B66" w:rsidRDefault="008E2E49" w:rsidP="00935D50">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315BBF6" w14:textId="77777777" w:rsidR="008E2E49" w:rsidRPr="00712B66" w:rsidRDefault="008E2E49" w:rsidP="00935D5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3D88251" w14:textId="77777777" w:rsidR="008E2E49" w:rsidRPr="00712B66" w:rsidRDefault="008E2E49" w:rsidP="00935D50">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40C2EDF" w14:textId="77777777" w:rsidR="008E2E49" w:rsidRPr="00712B66" w:rsidRDefault="008E2E49" w:rsidP="00935D50">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26F0BDC" w14:textId="77777777" w:rsidR="008E2E49" w:rsidRPr="00712B66" w:rsidRDefault="008E2E49" w:rsidP="00935D50">
            <w:pPr>
              <w:jc w:val="center"/>
            </w:pPr>
            <w:r w:rsidRPr="00712B66">
              <w:t>Projekta attiecīgā punkta (panta) galīgā redakcija</w:t>
            </w:r>
          </w:p>
        </w:tc>
      </w:tr>
      <w:tr w:rsidR="008E2E49" w:rsidRPr="008A36C9" w14:paraId="0FA83BA3" w14:textId="77777777" w:rsidTr="00935D50">
        <w:tc>
          <w:tcPr>
            <w:tcW w:w="708" w:type="dxa"/>
            <w:tcBorders>
              <w:top w:val="single" w:sz="6" w:space="0" w:color="000000"/>
              <w:left w:val="single" w:sz="6" w:space="0" w:color="000000"/>
              <w:bottom w:val="single" w:sz="6" w:space="0" w:color="000000"/>
              <w:right w:val="single" w:sz="6" w:space="0" w:color="000000"/>
            </w:tcBorders>
          </w:tcPr>
          <w:p w14:paraId="21405938" w14:textId="77777777" w:rsidR="008E2E49" w:rsidRPr="008A36C9" w:rsidRDefault="008E2E49" w:rsidP="00935D50">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CAB8FE3" w14:textId="77777777" w:rsidR="008E2E49" w:rsidRPr="008A36C9" w:rsidRDefault="008E2E49" w:rsidP="00315855">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CBBC970" w14:textId="77777777" w:rsidR="008E2E49" w:rsidRPr="008A36C9" w:rsidRDefault="008E2E49" w:rsidP="00315855">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B2B9C96" w14:textId="77777777" w:rsidR="008E2E49" w:rsidRPr="008A36C9" w:rsidRDefault="008E2E49" w:rsidP="00315855">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3230A9A" w14:textId="77777777" w:rsidR="008E2E49" w:rsidRPr="008A36C9" w:rsidRDefault="008E2E49" w:rsidP="00935D50">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25A5CD5" w14:textId="77777777" w:rsidR="008E2E49" w:rsidRPr="008A36C9" w:rsidRDefault="008E2E49" w:rsidP="00935D50">
            <w:pPr>
              <w:jc w:val="center"/>
              <w:rPr>
                <w:sz w:val="20"/>
                <w:szCs w:val="20"/>
              </w:rPr>
            </w:pPr>
            <w:r w:rsidRPr="008A36C9">
              <w:rPr>
                <w:sz w:val="20"/>
                <w:szCs w:val="20"/>
              </w:rPr>
              <w:t>6</w:t>
            </w:r>
          </w:p>
        </w:tc>
      </w:tr>
      <w:tr w:rsidR="00977CF3" w:rsidRPr="00712B66" w14:paraId="262BFA71" w14:textId="77777777" w:rsidTr="00315855">
        <w:trPr>
          <w:trHeight w:val="206"/>
        </w:trPr>
        <w:tc>
          <w:tcPr>
            <w:tcW w:w="708" w:type="dxa"/>
            <w:tcBorders>
              <w:top w:val="single" w:sz="4" w:space="0" w:color="auto"/>
              <w:left w:val="single" w:sz="4" w:space="0" w:color="auto"/>
              <w:bottom w:val="single" w:sz="4" w:space="0" w:color="auto"/>
              <w:right w:val="single" w:sz="6" w:space="0" w:color="000000"/>
            </w:tcBorders>
          </w:tcPr>
          <w:p w14:paraId="572C2199" w14:textId="4774DAEE" w:rsidR="00977CF3" w:rsidRDefault="00682586" w:rsidP="00977CF3">
            <w:pPr>
              <w:contextualSpacing/>
              <w:jc w:val="center"/>
              <w:rPr>
                <w:sz w:val="20"/>
                <w:szCs w:val="20"/>
              </w:rPr>
            </w:pPr>
            <w:r>
              <w:rPr>
                <w:sz w:val="20"/>
                <w:szCs w:val="20"/>
              </w:rPr>
              <w:t>-</w:t>
            </w:r>
          </w:p>
        </w:tc>
        <w:tc>
          <w:tcPr>
            <w:tcW w:w="3086" w:type="dxa"/>
            <w:tcBorders>
              <w:top w:val="single" w:sz="4" w:space="0" w:color="auto"/>
              <w:left w:val="single" w:sz="6" w:space="0" w:color="000000"/>
              <w:bottom w:val="single" w:sz="4" w:space="0" w:color="auto"/>
              <w:right w:val="single" w:sz="6" w:space="0" w:color="000000"/>
            </w:tcBorders>
          </w:tcPr>
          <w:p w14:paraId="5311DB33" w14:textId="73721747" w:rsidR="00977CF3" w:rsidRPr="00276D6F" w:rsidRDefault="00682586" w:rsidP="00682586">
            <w:pPr>
              <w:pStyle w:val="naisc"/>
              <w:spacing w:before="0" w:after="0"/>
              <w:contextualSpacing/>
              <w:rPr>
                <w:sz w:val="20"/>
                <w:szCs w:val="20"/>
              </w:rPr>
            </w:pPr>
            <w:r>
              <w:rPr>
                <w:sz w:val="20"/>
                <w:szCs w:val="20"/>
              </w:rPr>
              <w:t>-</w:t>
            </w:r>
          </w:p>
        </w:tc>
        <w:tc>
          <w:tcPr>
            <w:tcW w:w="3118" w:type="dxa"/>
            <w:tcBorders>
              <w:top w:val="single" w:sz="4" w:space="0" w:color="auto"/>
              <w:left w:val="single" w:sz="6" w:space="0" w:color="000000"/>
              <w:bottom w:val="single" w:sz="4" w:space="0" w:color="auto"/>
              <w:right w:val="single" w:sz="6" w:space="0" w:color="000000"/>
            </w:tcBorders>
          </w:tcPr>
          <w:p w14:paraId="6F130D97" w14:textId="2D6971A3" w:rsidR="00977CF3" w:rsidRDefault="00682586" w:rsidP="00682586">
            <w:pPr>
              <w:pStyle w:val="naisc"/>
              <w:spacing w:before="0" w:after="0"/>
              <w:contextualSpacing/>
              <w:rPr>
                <w:b/>
                <w:color w:val="000000" w:themeColor="text1"/>
                <w:sz w:val="20"/>
                <w:szCs w:val="20"/>
              </w:rPr>
            </w:pPr>
            <w:r>
              <w:rPr>
                <w:b/>
                <w:color w:val="000000" w:themeColor="text1"/>
                <w:sz w:val="20"/>
                <w:szCs w:val="20"/>
              </w:rPr>
              <w:t>-</w:t>
            </w:r>
          </w:p>
        </w:tc>
        <w:tc>
          <w:tcPr>
            <w:tcW w:w="2977" w:type="dxa"/>
            <w:tcBorders>
              <w:top w:val="single" w:sz="4" w:space="0" w:color="auto"/>
              <w:left w:val="single" w:sz="6" w:space="0" w:color="000000"/>
              <w:bottom w:val="single" w:sz="4" w:space="0" w:color="auto"/>
              <w:right w:val="single" w:sz="6" w:space="0" w:color="000000"/>
            </w:tcBorders>
          </w:tcPr>
          <w:p w14:paraId="48FD406F" w14:textId="4055FA41" w:rsidR="00977CF3" w:rsidRDefault="00682586" w:rsidP="00682586">
            <w:pPr>
              <w:pStyle w:val="naisc"/>
              <w:spacing w:before="0" w:after="0"/>
              <w:contextualSpacing/>
              <w:rPr>
                <w:sz w:val="20"/>
                <w:szCs w:val="20"/>
              </w:rPr>
            </w:pPr>
            <w:r>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369DAF6D" w14:textId="6A7E6799" w:rsidR="00977CF3" w:rsidRDefault="00682586" w:rsidP="00A55A8A">
            <w:pPr>
              <w:contextualSpacing/>
              <w:jc w:val="center"/>
            </w:pPr>
            <w:r>
              <w:t>-</w:t>
            </w:r>
          </w:p>
        </w:tc>
        <w:tc>
          <w:tcPr>
            <w:tcW w:w="1920" w:type="dxa"/>
            <w:tcBorders>
              <w:top w:val="single" w:sz="4" w:space="0" w:color="auto"/>
              <w:left w:val="single" w:sz="4" w:space="0" w:color="auto"/>
              <w:bottom w:val="single" w:sz="4" w:space="0" w:color="auto"/>
            </w:tcBorders>
          </w:tcPr>
          <w:p w14:paraId="5A5FBEEA" w14:textId="6DD26E25" w:rsidR="00977CF3" w:rsidRDefault="00682586" w:rsidP="00682586">
            <w:pPr>
              <w:pStyle w:val="naisc"/>
              <w:spacing w:before="0" w:after="0"/>
              <w:contextualSpacing/>
              <w:rPr>
                <w:sz w:val="20"/>
                <w:szCs w:val="20"/>
              </w:rPr>
            </w:pPr>
            <w:r>
              <w:rPr>
                <w:sz w:val="20"/>
                <w:szCs w:val="20"/>
              </w:rPr>
              <w:t>-</w:t>
            </w:r>
          </w:p>
        </w:tc>
      </w:tr>
    </w:tbl>
    <w:p w14:paraId="2CE20D4D" w14:textId="77777777" w:rsidR="00276D6F" w:rsidRPr="00712B66" w:rsidRDefault="00276D6F" w:rsidP="008E2E49">
      <w:pPr>
        <w:pStyle w:val="naisf"/>
        <w:spacing w:before="0" w:after="0"/>
        <w:ind w:firstLine="0"/>
      </w:pPr>
    </w:p>
    <w:p w14:paraId="77A50635" w14:textId="2A44BC62"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14:paraId="10EC18F1" w14:textId="77777777"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E2E49" w:rsidRPr="00712B66" w14:paraId="6DDCFF3E" w14:textId="77777777" w:rsidTr="00935D50">
        <w:tc>
          <w:tcPr>
            <w:tcW w:w="6345" w:type="dxa"/>
          </w:tcPr>
          <w:p w14:paraId="4C85886D" w14:textId="77777777" w:rsidR="008E2E49" w:rsidRPr="00712B66" w:rsidRDefault="008E2E49" w:rsidP="00935D50">
            <w:pPr>
              <w:pStyle w:val="naisf"/>
              <w:spacing w:before="0" w:after="0"/>
              <w:ind w:firstLine="0"/>
            </w:pPr>
            <w:r w:rsidRPr="00712B66">
              <w:t>Datums</w:t>
            </w:r>
          </w:p>
        </w:tc>
        <w:tc>
          <w:tcPr>
            <w:tcW w:w="6237" w:type="dxa"/>
            <w:tcBorders>
              <w:bottom w:val="single" w:sz="4" w:space="0" w:color="auto"/>
            </w:tcBorders>
          </w:tcPr>
          <w:p w14:paraId="39CFA440" w14:textId="7502369B" w:rsidR="008E2E49" w:rsidRPr="00712B66" w:rsidRDefault="00EC4C0E" w:rsidP="00DA5AA1">
            <w:pPr>
              <w:pStyle w:val="NormalWeb"/>
              <w:spacing w:before="0" w:beforeAutospacing="0" w:after="0" w:afterAutospacing="0"/>
              <w:jc w:val="both"/>
            </w:pPr>
            <w:r w:rsidRPr="00CE5808">
              <w:rPr>
                <w:color w:val="000000" w:themeColor="text1"/>
              </w:rPr>
              <w:t>2019</w:t>
            </w:r>
            <w:r w:rsidR="008B1EB0" w:rsidRPr="00CE5808">
              <w:rPr>
                <w:color w:val="000000" w:themeColor="text1"/>
              </w:rPr>
              <w:t>.</w:t>
            </w:r>
            <w:r w:rsidR="006718CA">
              <w:rPr>
                <w:color w:val="000000" w:themeColor="text1"/>
              </w:rPr>
              <w:t> </w:t>
            </w:r>
            <w:r w:rsidR="008B1EB0" w:rsidRPr="00CE5808">
              <w:rPr>
                <w:color w:val="000000" w:themeColor="text1"/>
              </w:rPr>
              <w:t xml:space="preserve">gada </w:t>
            </w:r>
            <w:r w:rsidR="006718CA">
              <w:rPr>
                <w:color w:val="000000" w:themeColor="text1"/>
              </w:rPr>
              <w:t>23</w:t>
            </w:r>
            <w:r w:rsidR="00E2744E" w:rsidRPr="00CE5808">
              <w:rPr>
                <w:color w:val="000000" w:themeColor="text1"/>
              </w:rPr>
              <w:t>.</w:t>
            </w:r>
            <w:r w:rsidR="006718CA">
              <w:rPr>
                <w:color w:val="000000" w:themeColor="text1"/>
              </w:rPr>
              <w:t> </w:t>
            </w:r>
            <w:r w:rsidR="00CE5808" w:rsidRPr="00CE5808">
              <w:rPr>
                <w:color w:val="000000" w:themeColor="text1"/>
              </w:rPr>
              <w:t>maijs</w:t>
            </w:r>
            <w:r w:rsidR="00421E32" w:rsidRPr="00CE5808">
              <w:rPr>
                <w:color w:val="000000" w:themeColor="text1"/>
              </w:rPr>
              <w:t xml:space="preserve"> </w:t>
            </w:r>
            <w:r w:rsidR="006718CA">
              <w:rPr>
                <w:color w:val="000000" w:themeColor="text1"/>
              </w:rPr>
              <w:t>VSS</w:t>
            </w:r>
            <w:r w:rsidR="009B24AF">
              <w:rPr>
                <w:color w:val="000000" w:themeColor="text1"/>
              </w:rPr>
              <w:t> - </w:t>
            </w:r>
            <w:r w:rsidR="006718CA">
              <w:rPr>
                <w:color w:val="000000" w:themeColor="text1"/>
              </w:rPr>
              <w:t>442</w:t>
            </w:r>
            <w:r w:rsidR="006E3C6A">
              <w:rPr>
                <w:color w:val="000000" w:themeColor="text1"/>
              </w:rPr>
              <w:t>, 2019. gada 25. jūnijs</w:t>
            </w:r>
            <w:r w:rsidR="00DA5AA1">
              <w:rPr>
                <w:color w:val="000000" w:themeColor="text1"/>
              </w:rPr>
              <w:t>, 2019. gada</w:t>
            </w:r>
            <w:r w:rsidR="006718CA">
              <w:rPr>
                <w:color w:val="000000" w:themeColor="text1"/>
              </w:rPr>
              <w:t xml:space="preserve"> </w:t>
            </w:r>
            <w:r w:rsidR="00DA5AA1">
              <w:rPr>
                <w:color w:val="000000" w:themeColor="text1"/>
              </w:rPr>
              <w:t xml:space="preserve">5. jūlijs - </w:t>
            </w:r>
            <w:r w:rsidR="00421E32" w:rsidRPr="00CE5808">
              <w:rPr>
                <w:color w:val="000000" w:themeColor="text1"/>
              </w:rPr>
              <w:t xml:space="preserve">elektroniskā saskaņošana pirms virzības </w:t>
            </w:r>
            <w:r w:rsidR="006E3C6A">
              <w:rPr>
                <w:color w:val="000000" w:themeColor="text1"/>
              </w:rPr>
              <w:t xml:space="preserve">uz </w:t>
            </w:r>
            <w:r w:rsidR="00421E32" w:rsidRPr="00CE5808">
              <w:rPr>
                <w:color w:val="000000" w:themeColor="text1"/>
              </w:rPr>
              <w:t>Ministru kabinet</w:t>
            </w:r>
            <w:r w:rsidR="006E3C6A">
              <w:rPr>
                <w:color w:val="000000" w:themeColor="text1"/>
              </w:rPr>
              <w:t>u</w:t>
            </w:r>
            <w:r w:rsidR="007C2AC1">
              <w:rPr>
                <w:color w:val="000000" w:themeColor="text1"/>
              </w:rPr>
              <w:t>, 2019. gada 5. jūlij</w:t>
            </w:r>
            <w:r w:rsidR="003775F4">
              <w:rPr>
                <w:color w:val="000000" w:themeColor="text1"/>
              </w:rPr>
              <w:t>s</w:t>
            </w:r>
            <w:r w:rsidR="007C2AC1">
              <w:rPr>
                <w:color w:val="000000" w:themeColor="text1"/>
              </w:rPr>
              <w:t xml:space="preserve"> starpinstitūciju sanāksme.</w:t>
            </w:r>
          </w:p>
        </w:tc>
      </w:tr>
      <w:tr w:rsidR="008E2E49" w:rsidRPr="00712B66" w14:paraId="6C2CDD3B" w14:textId="77777777" w:rsidTr="00935D50">
        <w:tc>
          <w:tcPr>
            <w:tcW w:w="6345" w:type="dxa"/>
          </w:tcPr>
          <w:p w14:paraId="5238DF1D" w14:textId="77777777" w:rsidR="008E2E49" w:rsidRPr="00712B66" w:rsidRDefault="008E2E49" w:rsidP="00935D50">
            <w:pPr>
              <w:pStyle w:val="naisf"/>
              <w:spacing w:before="0" w:after="0"/>
              <w:ind w:firstLine="0"/>
            </w:pPr>
          </w:p>
        </w:tc>
        <w:tc>
          <w:tcPr>
            <w:tcW w:w="6237" w:type="dxa"/>
            <w:tcBorders>
              <w:top w:val="single" w:sz="4" w:space="0" w:color="auto"/>
            </w:tcBorders>
          </w:tcPr>
          <w:p w14:paraId="6AD44375" w14:textId="77777777" w:rsidR="008E2E49" w:rsidRPr="00712B66" w:rsidRDefault="008E2E49" w:rsidP="00EB58A7">
            <w:pPr>
              <w:pStyle w:val="NormalWeb"/>
              <w:spacing w:before="0" w:beforeAutospacing="0" w:after="0" w:afterAutospacing="0"/>
            </w:pPr>
          </w:p>
        </w:tc>
      </w:tr>
      <w:tr w:rsidR="008E2E49" w:rsidRPr="00712B66" w14:paraId="4FBB5F18" w14:textId="77777777" w:rsidTr="00935D50">
        <w:tc>
          <w:tcPr>
            <w:tcW w:w="6345" w:type="dxa"/>
          </w:tcPr>
          <w:p w14:paraId="103018D9" w14:textId="77777777" w:rsidR="008E2E49" w:rsidRPr="00712B66" w:rsidRDefault="008E2E49" w:rsidP="00935D50">
            <w:pPr>
              <w:pStyle w:val="naiskr"/>
              <w:spacing w:before="0" w:after="0"/>
            </w:pPr>
            <w:r>
              <w:t>Saskaņošanas d</w:t>
            </w:r>
            <w:r w:rsidRPr="00712B66">
              <w:t>alībnieki</w:t>
            </w:r>
          </w:p>
        </w:tc>
        <w:tc>
          <w:tcPr>
            <w:tcW w:w="6237" w:type="dxa"/>
          </w:tcPr>
          <w:p w14:paraId="2035EC6A" w14:textId="41DBCB8C" w:rsidR="008E2E49" w:rsidRPr="00712B66" w:rsidRDefault="00EB58A7" w:rsidP="00EE770C">
            <w:pPr>
              <w:pStyle w:val="NormalWeb"/>
              <w:jc w:val="both"/>
            </w:pPr>
            <w:r w:rsidRPr="00EB58A7">
              <w:rPr>
                <w:color w:val="000000" w:themeColor="text1"/>
              </w:rPr>
              <w:t xml:space="preserve">Tieslietu ministrija, Ekonomikas ministrija, </w:t>
            </w:r>
            <w:r w:rsidR="00EE770C">
              <w:rPr>
                <w:color w:val="000000" w:themeColor="text1"/>
              </w:rPr>
              <w:t>Iekšlietu ministrija, Vides aizsardzības un reģionālās attīstības ministrija, Latvijas Banka, Finanšu un kapitāla tirgus komisija, Latvijas Finanšu nozares asociācija, Latvijas Darba devēju konfederācija</w:t>
            </w:r>
          </w:p>
        </w:tc>
      </w:tr>
    </w:tbl>
    <w:p w14:paraId="623C0B96" w14:textId="77777777" w:rsidR="008E2E49" w:rsidRDefault="008E2E49" w:rsidP="008E2E49"/>
    <w:tbl>
      <w:tblPr>
        <w:tblW w:w="12582" w:type="dxa"/>
        <w:tblLook w:val="00A0" w:firstRow="1" w:lastRow="0" w:firstColumn="1" w:lastColumn="0" w:noHBand="0" w:noVBand="0"/>
      </w:tblPr>
      <w:tblGrid>
        <w:gridCol w:w="6708"/>
        <w:gridCol w:w="840"/>
        <w:gridCol w:w="5034"/>
      </w:tblGrid>
      <w:tr w:rsidR="008E2E49" w:rsidRPr="00712B66" w14:paraId="712BA7ED" w14:textId="77777777" w:rsidTr="00935D50">
        <w:trPr>
          <w:trHeight w:val="285"/>
        </w:trPr>
        <w:tc>
          <w:tcPr>
            <w:tcW w:w="6708" w:type="dxa"/>
          </w:tcPr>
          <w:p w14:paraId="34955A9A" w14:textId="77777777" w:rsidR="008E2E49" w:rsidRPr="00712B66" w:rsidRDefault="008E2E49" w:rsidP="00935D50">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60C18901" w14:textId="77777777" w:rsidR="008E2E49" w:rsidRPr="00712B66" w:rsidRDefault="008E2E49" w:rsidP="00935D50">
            <w:pPr>
              <w:pStyle w:val="naiskr"/>
              <w:spacing w:before="0" w:after="0"/>
              <w:ind w:firstLine="720"/>
            </w:pPr>
          </w:p>
        </w:tc>
        <w:tc>
          <w:tcPr>
            <w:tcW w:w="5034" w:type="dxa"/>
          </w:tcPr>
          <w:p w14:paraId="7BB1DB01" w14:textId="450400C2" w:rsidR="008E2E49" w:rsidRPr="00D269F5" w:rsidRDefault="003A0A55" w:rsidP="00DE1861">
            <w:pPr>
              <w:pStyle w:val="naiskr"/>
              <w:spacing w:before="0" w:after="0"/>
              <w:jc w:val="both"/>
              <w:rPr>
                <w:color w:val="FF0000"/>
              </w:rPr>
            </w:pPr>
            <w:r w:rsidRPr="003A0A55">
              <w:rPr>
                <w:color w:val="000000" w:themeColor="text1"/>
              </w:rPr>
              <w:t>Tieslietu ministrija</w:t>
            </w:r>
            <w:r w:rsidR="00653966">
              <w:rPr>
                <w:color w:val="000000" w:themeColor="text1"/>
              </w:rPr>
              <w:t>,</w:t>
            </w:r>
            <w:r w:rsidR="00615CD9">
              <w:rPr>
                <w:color w:val="000000" w:themeColor="text1"/>
              </w:rPr>
              <w:t xml:space="preserve"> </w:t>
            </w:r>
            <w:r w:rsidR="00615CD9" w:rsidRPr="00615CD9">
              <w:rPr>
                <w:color w:val="000000" w:themeColor="text1"/>
              </w:rPr>
              <w:t>Vides aizsardzības un reģionālās attīstības ministrija</w:t>
            </w:r>
          </w:p>
        </w:tc>
      </w:tr>
      <w:tr w:rsidR="008E2E49" w:rsidRPr="00712B66" w14:paraId="5C54C091" w14:textId="77777777" w:rsidTr="00935D50">
        <w:trPr>
          <w:trHeight w:val="465"/>
        </w:trPr>
        <w:tc>
          <w:tcPr>
            <w:tcW w:w="12582" w:type="dxa"/>
            <w:gridSpan w:val="3"/>
          </w:tcPr>
          <w:p w14:paraId="32D624F6" w14:textId="77777777" w:rsidR="008E2E49" w:rsidRPr="00712B66" w:rsidRDefault="008E2E49" w:rsidP="00935D50">
            <w:pPr>
              <w:pStyle w:val="naisc"/>
              <w:spacing w:before="0" w:after="0"/>
              <w:jc w:val="left"/>
            </w:pPr>
          </w:p>
        </w:tc>
      </w:tr>
      <w:tr w:rsidR="008E2E49" w:rsidRPr="00712B66" w14:paraId="06F11ED9" w14:textId="77777777" w:rsidTr="00935D50">
        <w:tc>
          <w:tcPr>
            <w:tcW w:w="6708" w:type="dxa"/>
          </w:tcPr>
          <w:p w14:paraId="3A6C544A" w14:textId="77777777" w:rsidR="008E2E49" w:rsidRPr="00712B66" w:rsidRDefault="008E2E49" w:rsidP="00935D50">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68EA7E03" w14:textId="0C7FC116" w:rsidR="008E2E49" w:rsidRPr="00712B66" w:rsidRDefault="00DE1861" w:rsidP="00DE1861">
            <w:pPr>
              <w:pStyle w:val="naiskr"/>
              <w:spacing w:before="0" w:after="0"/>
              <w:jc w:val="both"/>
            </w:pPr>
            <w:r>
              <w:t>Latvijas Darba devēju konfederācija</w:t>
            </w:r>
          </w:p>
        </w:tc>
      </w:tr>
    </w:tbl>
    <w:p w14:paraId="32F24AA9" w14:textId="77777777" w:rsidR="00017127" w:rsidRPr="00017127" w:rsidRDefault="00017127" w:rsidP="00017127"/>
    <w:p w14:paraId="0763E45C" w14:textId="0AEFF763" w:rsidR="008E2E49" w:rsidRPr="00712B66" w:rsidRDefault="008E2E49" w:rsidP="00017127">
      <w:pPr>
        <w:jc w:val="center"/>
        <w:rPr>
          <w:b/>
        </w:rPr>
      </w:pPr>
      <w:r w:rsidRPr="00712B66">
        <w:rPr>
          <w:b/>
        </w:rPr>
        <w:t>II. Jautājumi, par kuriem saskaņošanā vienošan</w:t>
      </w:r>
      <w:r>
        <w:rPr>
          <w:b/>
        </w:rPr>
        <w:t>ā</w:t>
      </w:r>
      <w:r w:rsidRPr="00712B66">
        <w:rPr>
          <w:b/>
        </w:rPr>
        <w:t>s ir panākta</w:t>
      </w:r>
    </w:p>
    <w:p w14:paraId="1E3C5A7E" w14:textId="77777777" w:rsidR="008E2E49" w:rsidRPr="00712B66" w:rsidRDefault="008E2E49" w:rsidP="00703243">
      <w:pPr>
        <w:pStyle w:val="naisf"/>
        <w:spacing w:before="0" w:after="0"/>
        <w:ind w:firstLine="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712B66" w14:paraId="7B4FE279" w14:textId="77777777" w:rsidTr="00D5294E">
        <w:tc>
          <w:tcPr>
            <w:tcW w:w="559" w:type="dxa"/>
            <w:tcBorders>
              <w:top w:val="single" w:sz="6" w:space="0" w:color="000000"/>
              <w:left w:val="single" w:sz="6" w:space="0" w:color="000000"/>
              <w:bottom w:val="single" w:sz="6" w:space="0" w:color="000000"/>
              <w:right w:val="single" w:sz="6" w:space="0" w:color="000000"/>
            </w:tcBorders>
            <w:vAlign w:val="center"/>
          </w:tcPr>
          <w:p w14:paraId="0C6848AD" w14:textId="77777777" w:rsidR="008E2E49" w:rsidRPr="00712B66" w:rsidRDefault="008E2E49" w:rsidP="00935D50">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17B8D178" w14:textId="77777777" w:rsidR="008E2E49" w:rsidRPr="00712B66" w:rsidRDefault="008E2E49" w:rsidP="00935D50">
            <w:pPr>
              <w:pStyle w:val="naisc"/>
              <w:spacing w:before="0" w:after="0"/>
              <w:ind w:firstLine="12"/>
            </w:pPr>
            <w:r w:rsidRPr="00712B66">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8489A0C" w14:textId="77777777" w:rsidR="008E2E49" w:rsidRPr="00712B66" w:rsidRDefault="008E2E49" w:rsidP="00935D50">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44A93B5" w14:textId="77777777" w:rsidR="008E2E49" w:rsidRPr="00712B66" w:rsidRDefault="008E2E49" w:rsidP="00935D50">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3C1135F6" w14:textId="77777777" w:rsidR="008E2E49" w:rsidRPr="00712B66" w:rsidRDefault="008E2E49" w:rsidP="00935D50">
            <w:pPr>
              <w:jc w:val="center"/>
            </w:pPr>
            <w:r w:rsidRPr="00712B66">
              <w:t>Projekta attiecīgā punkta (panta) galīgā redakcija</w:t>
            </w:r>
          </w:p>
        </w:tc>
      </w:tr>
      <w:tr w:rsidR="008E2E49" w:rsidRPr="003B71E0" w14:paraId="4EE17C6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42B0406E" w14:textId="77777777" w:rsidR="008E2E49" w:rsidRPr="003B71E0" w:rsidRDefault="008E2E49" w:rsidP="004E5150">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7EA49B31" w14:textId="77777777" w:rsidR="008E2E49" w:rsidRPr="003B71E0" w:rsidRDefault="008E2E49" w:rsidP="004E5150">
            <w:pPr>
              <w:pStyle w:val="naisc"/>
              <w:spacing w:before="0" w:after="0"/>
              <w:ind w:firstLine="720"/>
              <w:rPr>
                <w:sz w:val="20"/>
                <w:szCs w:val="20"/>
              </w:rPr>
            </w:pPr>
            <w:r>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E2A1D6" w14:textId="77777777" w:rsidR="008E2E49" w:rsidRPr="003B71E0" w:rsidRDefault="008E2E49" w:rsidP="004E5150">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0674C1D" w14:textId="77777777" w:rsidR="008E2E49" w:rsidRPr="003B71E0" w:rsidRDefault="008E2E49" w:rsidP="004E5150">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14:paraId="65DF9EF1" w14:textId="77777777" w:rsidR="008E2E49" w:rsidRPr="003B71E0" w:rsidRDefault="008E2E49" w:rsidP="004E5150">
            <w:pPr>
              <w:jc w:val="center"/>
              <w:rPr>
                <w:sz w:val="20"/>
                <w:szCs w:val="20"/>
              </w:rPr>
            </w:pPr>
            <w:r w:rsidRPr="003B71E0">
              <w:rPr>
                <w:sz w:val="20"/>
                <w:szCs w:val="20"/>
              </w:rPr>
              <w:t>5</w:t>
            </w:r>
          </w:p>
        </w:tc>
      </w:tr>
      <w:tr w:rsidR="00F14F62" w:rsidRPr="003B71E0" w14:paraId="239BBAA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6E21DA7A" w14:textId="112060AB" w:rsidR="00F14F62" w:rsidRPr="003B71E0" w:rsidRDefault="008E7408" w:rsidP="004E5150">
            <w:pPr>
              <w:pStyle w:val="naisc"/>
              <w:spacing w:before="0" w:after="0"/>
              <w:rPr>
                <w:sz w:val="20"/>
                <w:szCs w:val="20"/>
              </w:rPr>
            </w:pPr>
            <w:r>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23C76193" w14:textId="1FA9874D" w:rsidR="00070434" w:rsidRPr="0027512E" w:rsidRDefault="0027512E" w:rsidP="00273490">
            <w:pPr>
              <w:pStyle w:val="NoSpacing"/>
              <w:jc w:val="both"/>
              <w:rPr>
                <w:rFonts w:ascii="Times New Roman" w:hAnsi="Times New Roman"/>
                <w:b/>
                <w:sz w:val="20"/>
                <w:szCs w:val="20"/>
              </w:rPr>
            </w:pPr>
            <w:r>
              <w:rPr>
                <w:rFonts w:ascii="Times New Roman" w:hAnsi="Times New Roman"/>
                <w:b/>
                <w:sz w:val="20"/>
                <w:szCs w:val="20"/>
              </w:rPr>
              <w:t>Atzinums uz 23</w:t>
            </w:r>
            <w:r w:rsidR="003708A5" w:rsidRPr="003708A5">
              <w:rPr>
                <w:rFonts w:ascii="Times New Roman" w:hAnsi="Times New Roman"/>
                <w:b/>
                <w:sz w:val="20"/>
                <w:szCs w:val="20"/>
              </w:rPr>
              <w:t>.05.2019.</w:t>
            </w:r>
          </w:p>
        </w:tc>
        <w:tc>
          <w:tcPr>
            <w:tcW w:w="3260" w:type="dxa"/>
            <w:tcBorders>
              <w:top w:val="single" w:sz="6" w:space="0" w:color="000000"/>
              <w:left w:val="single" w:sz="6" w:space="0" w:color="000000"/>
              <w:bottom w:val="single" w:sz="6" w:space="0" w:color="000000"/>
              <w:right w:val="single" w:sz="6" w:space="0" w:color="000000"/>
            </w:tcBorders>
          </w:tcPr>
          <w:p w14:paraId="4490E712" w14:textId="53518661" w:rsidR="008A446D" w:rsidRDefault="008E7408" w:rsidP="005E5C19">
            <w:pPr>
              <w:pStyle w:val="naisc"/>
              <w:spacing w:before="0" w:after="0"/>
              <w:contextualSpacing/>
              <w:rPr>
                <w:b/>
                <w:sz w:val="20"/>
                <w:szCs w:val="20"/>
              </w:rPr>
            </w:pPr>
            <w:r w:rsidRPr="008955D3">
              <w:rPr>
                <w:b/>
                <w:sz w:val="20"/>
                <w:szCs w:val="20"/>
              </w:rPr>
              <w:t>Tieslietu ministrija</w:t>
            </w:r>
          </w:p>
          <w:p w14:paraId="32F70391" w14:textId="7920D2B6" w:rsidR="008955D3" w:rsidRPr="008955D3" w:rsidRDefault="0027512E" w:rsidP="0027512E">
            <w:pPr>
              <w:pStyle w:val="Heading3"/>
              <w:shd w:val="clear" w:color="auto" w:fill="FFFFFF"/>
              <w:spacing w:before="0" w:beforeAutospacing="0" w:after="0" w:afterAutospacing="0"/>
              <w:jc w:val="both"/>
              <w:rPr>
                <w:sz w:val="20"/>
                <w:szCs w:val="20"/>
              </w:rPr>
            </w:pPr>
            <w:r w:rsidRPr="0027512E">
              <w:rPr>
                <w:b w:val="0"/>
                <w:sz w:val="20"/>
                <w:szCs w:val="20"/>
              </w:rPr>
              <w:t>Saskaņā ar Ministru kabineta 2009. gada 15. decembra instrukcijas Nr.19 „Tiesību akta projekta sākotnējās ietekmes izvērtēšanas kārtība” (turpmāk- MK instrukcija) 13. punktu anotācijas I sadaļas 1. punktā „Pamatojums” norāda atsauci uz Deklarāciju par Ministru kabineta iecerēto darbību, attīstības plānošanas dokumentiem vai tiesību aktiem, no kuriem izriet nepieciešamība izstrādāt projektu vai kuru īstenošanu veicinās projekts. Tieslietu ministrijas ieskatā anotācijas I sadaļas 1. punktā minētais pamatojums nenorāda uz nepieciešamību izstrādāt vai īstenot projektu atbilstoši MK instrukcijā noteiktajam. Ņemot vērā minēto,</w:t>
            </w:r>
            <w:bookmarkStart w:id="0" w:name="_GoBack"/>
            <w:bookmarkEnd w:id="0"/>
            <w:r w:rsidRPr="0027512E">
              <w:rPr>
                <w:b w:val="0"/>
                <w:sz w:val="20"/>
                <w:szCs w:val="20"/>
              </w:rPr>
              <w:t xml:space="preserve"> </w:t>
            </w:r>
            <w:r w:rsidRPr="0027512E">
              <w:rPr>
                <w:b w:val="0"/>
                <w:sz w:val="20"/>
                <w:szCs w:val="20"/>
              </w:rPr>
              <w:lastRenderedPageBreak/>
              <w:t>lūdzam precizēt anotācijas I sadaļas 1. punktu.</w:t>
            </w:r>
          </w:p>
        </w:tc>
        <w:tc>
          <w:tcPr>
            <w:tcW w:w="3544" w:type="dxa"/>
            <w:gridSpan w:val="2"/>
            <w:tcBorders>
              <w:top w:val="single" w:sz="6" w:space="0" w:color="000000"/>
              <w:left w:val="single" w:sz="6" w:space="0" w:color="000000"/>
              <w:bottom w:val="single" w:sz="6" w:space="0" w:color="000000"/>
              <w:right w:val="single" w:sz="6" w:space="0" w:color="000000"/>
            </w:tcBorders>
          </w:tcPr>
          <w:p w14:paraId="2D2387C0" w14:textId="77777777" w:rsidR="0027512E" w:rsidRDefault="008E7408" w:rsidP="0027512E">
            <w:pPr>
              <w:pStyle w:val="naisc"/>
              <w:spacing w:before="0" w:after="0"/>
              <w:rPr>
                <w:b/>
                <w:sz w:val="20"/>
                <w:szCs w:val="20"/>
              </w:rPr>
            </w:pPr>
            <w:r w:rsidRPr="008E7408">
              <w:rPr>
                <w:b/>
                <w:sz w:val="20"/>
                <w:szCs w:val="20"/>
              </w:rPr>
              <w:lastRenderedPageBreak/>
              <w:t>Iebildums ņemts vērā</w:t>
            </w:r>
          </w:p>
          <w:p w14:paraId="4950B03C" w14:textId="3EDC8693" w:rsidR="00DA0E6E" w:rsidRPr="0027512E" w:rsidRDefault="0027512E" w:rsidP="0027512E">
            <w:pPr>
              <w:pStyle w:val="naisc"/>
              <w:spacing w:before="0" w:after="0"/>
              <w:jc w:val="both"/>
              <w:rPr>
                <w:b/>
                <w:sz w:val="20"/>
                <w:szCs w:val="20"/>
              </w:rPr>
            </w:pPr>
            <w:r>
              <w:rPr>
                <w:sz w:val="20"/>
                <w:szCs w:val="20"/>
              </w:rPr>
              <w:t>Papildināta anotācija.</w:t>
            </w:r>
          </w:p>
        </w:tc>
        <w:tc>
          <w:tcPr>
            <w:tcW w:w="3969" w:type="dxa"/>
            <w:tcBorders>
              <w:top w:val="single" w:sz="4" w:space="0" w:color="auto"/>
              <w:left w:val="single" w:sz="4" w:space="0" w:color="auto"/>
              <w:bottom w:val="single" w:sz="4" w:space="0" w:color="auto"/>
            </w:tcBorders>
          </w:tcPr>
          <w:p w14:paraId="3785D07A" w14:textId="3207B23D" w:rsidR="00F14F62" w:rsidRPr="00273490" w:rsidRDefault="00F14F62" w:rsidP="00BF7EC5">
            <w:pPr>
              <w:pStyle w:val="NoSpacing"/>
              <w:jc w:val="both"/>
              <w:rPr>
                <w:rFonts w:ascii="Times New Roman" w:hAnsi="Times New Roman"/>
                <w:sz w:val="20"/>
                <w:szCs w:val="20"/>
              </w:rPr>
            </w:pPr>
          </w:p>
        </w:tc>
      </w:tr>
      <w:tr w:rsidR="008111BD" w:rsidRPr="009504CA" w14:paraId="08F73A33" w14:textId="77777777" w:rsidTr="00D5294E">
        <w:tc>
          <w:tcPr>
            <w:tcW w:w="559" w:type="dxa"/>
            <w:tcBorders>
              <w:top w:val="single" w:sz="6" w:space="0" w:color="000000"/>
              <w:left w:val="single" w:sz="6" w:space="0" w:color="000000"/>
              <w:bottom w:val="single" w:sz="6" w:space="0" w:color="000000"/>
              <w:right w:val="single" w:sz="6" w:space="0" w:color="000000"/>
            </w:tcBorders>
          </w:tcPr>
          <w:p w14:paraId="2BF588AC" w14:textId="018912C4" w:rsidR="008111BD" w:rsidRDefault="008111BD" w:rsidP="008111BD">
            <w:pPr>
              <w:pStyle w:val="naisc"/>
              <w:spacing w:before="0" w:after="0"/>
              <w:rPr>
                <w:sz w:val="20"/>
                <w:szCs w:val="20"/>
              </w:rPr>
            </w:pPr>
            <w:r>
              <w:rPr>
                <w:sz w:val="20"/>
                <w:szCs w:val="20"/>
              </w:rPr>
              <w:t>2.</w:t>
            </w:r>
          </w:p>
        </w:tc>
        <w:tc>
          <w:tcPr>
            <w:tcW w:w="2977" w:type="dxa"/>
            <w:gridSpan w:val="2"/>
            <w:tcBorders>
              <w:top w:val="single" w:sz="6" w:space="0" w:color="000000"/>
              <w:left w:val="single" w:sz="6" w:space="0" w:color="000000"/>
              <w:bottom w:val="single" w:sz="6" w:space="0" w:color="000000"/>
              <w:right w:val="single" w:sz="6" w:space="0" w:color="000000"/>
            </w:tcBorders>
          </w:tcPr>
          <w:p w14:paraId="0588FD8A" w14:textId="34C51137" w:rsidR="008111BD" w:rsidRDefault="00D94246" w:rsidP="00D94246">
            <w:pPr>
              <w:pStyle w:val="naisc"/>
              <w:spacing w:before="0" w:after="0"/>
              <w:jc w:val="both"/>
              <w:rPr>
                <w:sz w:val="20"/>
                <w:szCs w:val="20"/>
              </w:rPr>
            </w:pPr>
            <w:r>
              <w:rPr>
                <w:b/>
                <w:sz w:val="20"/>
                <w:szCs w:val="20"/>
              </w:rPr>
              <w:t>Atzinums uz 2</w:t>
            </w:r>
            <w:r w:rsidR="007D1FB1">
              <w:rPr>
                <w:b/>
                <w:sz w:val="20"/>
                <w:szCs w:val="20"/>
              </w:rPr>
              <w:t>3.05</w:t>
            </w:r>
            <w:r w:rsidR="007D1FB1" w:rsidRPr="00CF1E45">
              <w:rPr>
                <w:b/>
                <w:sz w:val="20"/>
                <w:szCs w:val="20"/>
              </w:rPr>
              <w:t>.2019.</w:t>
            </w:r>
          </w:p>
        </w:tc>
        <w:tc>
          <w:tcPr>
            <w:tcW w:w="3260" w:type="dxa"/>
            <w:tcBorders>
              <w:top w:val="single" w:sz="6" w:space="0" w:color="000000"/>
              <w:left w:val="single" w:sz="6" w:space="0" w:color="000000"/>
              <w:bottom w:val="single" w:sz="6" w:space="0" w:color="000000"/>
              <w:right w:val="single" w:sz="6" w:space="0" w:color="000000"/>
            </w:tcBorders>
          </w:tcPr>
          <w:p w14:paraId="476BE6D3" w14:textId="77777777" w:rsidR="008111BD" w:rsidRPr="009504CA" w:rsidRDefault="008111BD" w:rsidP="008111BD">
            <w:pPr>
              <w:pStyle w:val="naisc"/>
              <w:spacing w:before="0" w:after="0"/>
              <w:contextualSpacing/>
              <w:rPr>
                <w:b/>
                <w:sz w:val="20"/>
                <w:szCs w:val="20"/>
              </w:rPr>
            </w:pPr>
            <w:r w:rsidRPr="009504CA">
              <w:rPr>
                <w:b/>
                <w:sz w:val="20"/>
                <w:szCs w:val="20"/>
              </w:rPr>
              <w:t>Tieslietu ministrija</w:t>
            </w:r>
          </w:p>
          <w:p w14:paraId="73733C72" w14:textId="5A6565D3" w:rsidR="009D1E2C" w:rsidRPr="000C739E" w:rsidRDefault="000C739E" w:rsidP="009D1E2C">
            <w:pPr>
              <w:spacing w:after="5" w:line="268" w:lineRule="auto"/>
              <w:ind w:right="48"/>
              <w:jc w:val="both"/>
              <w:rPr>
                <w:sz w:val="20"/>
                <w:szCs w:val="20"/>
              </w:rPr>
            </w:pPr>
            <w:r w:rsidRPr="000C739E">
              <w:rPr>
                <w:sz w:val="20"/>
                <w:szCs w:val="20"/>
              </w:rPr>
              <w:t>Likumprojekta 1. pants paredz izmantot tehnoloģisku risinājumu, kas cita starpā nodrošina pieteikumā ietvertās informācijas nemainīgumu. Saskaņā ar 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d) apakšpunktu personas datiem ir jābūt precīziem un atjauninātiem, un ir jāveic visi saprātīgi pasākumi, lai nodrošinātu, ka neprecīzi personas dati, ņemot vērā nolūkus, kādos tie tiek apstrādāti, bez kavēšanās tiktu dzēsti vai laboti. Ņemot vērā minēto, lūdzam sākotnējās ietekmes novērtējuma ziņojumā (anotācijā) (turpmāk – anotācija)   ietvert papildu skaidrojumu, vai likumprojekta 1. pantā ir ievērots Datu regulā minētais datu precizitātes princips.</w:t>
            </w:r>
          </w:p>
        </w:tc>
        <w:tc>
          <w:tcPr>
            <w:tcW w:w="3544" w:type="dxa"/>
            <w:gridSpan w:val="2"/>
            <w:tcBorders>
              <w:top w:val="single" w:sz="6" w:space="0" w:color="000000"/>
              <w:left w:val="single" w:sz="6" w:space="0" w:color="000000"/>
              <w:bottom w:val="single" w:sz="6" w:space="0" w:color="000000"/>
              <w:right w:val="single" w:sz="6" w:space="0" w:color="000000"/>
            </w:tcBorders>
          </w:tcPr>
          <w:p w14:paraId="0B81E839" w14:textId="396552E7" w:rsidR="008F3C9E" w:rsidRDefault="008F3C9E" w:rsidP="008F3C9E">
            <w:pPr>
              <w:pStyle w:val="naisc"/>
              <w:spacing w:before="0" w:after="0"/>
              <w:rPr>
                <w:b/>
                <w:sz w:val="20"/>
                <w:szCs w:val="20"/>
              </w:rPr>
            </w:pPr>
            <w:r w:rsidRPr="008E7408">
              <w:rPr>
                <w:b/>
                <w:sz w:val="20"/>
                <w:szCs w:val="20"/>
              </w:rPr>
              <w:t>Iebildums ņemts vērā</w:t>
            </w:r>
          </w:p>
          <w:p w14:paraId="26E2CCCA" w14:textId="7733CBFC" w:rsidR="008111BD" w:rsidRPr="009504CA" w:rsidRDefault="00D94246" w:rsidP="008746D9">
            <w:pPr>
              <w:pStyle w:val="naisc"/>
              <w:spacing w:before="0" w:after="0"/>
              <w:jc w:val="both"/>
              <w:rPr>
                <w:sz w:val="20"/>
                <w:szCs w:val="20"/>
              </w:rPr>
            </w:pPr>
            <w:r w:rsidRPr="00D94246">
              <w:rPr>
                <w:sz w:val="20"/>
                <w:szCs w:val="20"/>
              </w:rPr>
              <w:t>Papildināta anotācija.</w:t>
            </w:r>
          </w:p>
        </w:tc>
        <w:tc>
          <w:tcPr>
            <w:tcW w:w="3969" w:type="dxa"/>
            <w:tcBorders>
              <w:top w:val="single" w:sz="4" w:space="0" w:color="auto"/>
              <w:left w:val="single" w:sz="4" w:space="0" w:color="auto"/>
              <w:bottom w:val="single" w:sz="4" w:space="0" w:color="auto"/>
            </w:tcBorders>
          </w:tcPr>
          <w:p w14:paraId="65D72019" w14:textId="71AC125E" w:rsidR="008111BD" w:rsidRPr="00D94246" w:rsidRDefault="008111BD" w:rsidP="00A9408E">
            <w:pPr>
              <w:pStyle w:val="NoSpacing"/>
              <w:jc w:val="both"/>
              <w:rPr>
                <w:rFonts w:ascii="Times New Roman" w:hAnsi="Times New Roman"/>
                <w:sz w:val="26"/>
                <w:szCs w:val="26"/>
              </w:rPr>
            </w:pPr>
          </w:p>
        </w:tc>
      </w:tr>
      <w:tr w:rsidR="008111BD" w:rsidRPr="00704F07" w14:paraId="1DB742D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00EC9EC4" w14:textId="5683BC2D" w:rsidR="008111BD" w:rsidRDefault="008111BD" w:rsidP="008111BD">
            <w:pPr>
              <w:pStyle w:val="naisc"/>
              <w:spacing w:before="0" w:after="0"/>
              <w:rPr>
                <w:sz w:val="20"/>
                <w:szCs w:val="20"/>
              </w:rPr>
            </w:pPr>
            <w:r>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14:paraId="10936F51" w14:textId="0BF2B4D8" w:rsidR="008111BD" w:rsidRPr="002D12A1" w:rsidRDefault="002D12A1" w:rsidP="002D12A1">
            <w:pPr>
              <w:pStyle w:val="naisc"/>
              <w:spacing w:before="0" w:after="0"/>
              <w:jc w:val="both"/>
              <w:rPr>
                <w:b/>
                <w:sz w:val="20"/>
                <w:szCs w:val="20"/>
              </w:rPr>
            </w:pPr>
            <w:r>
              <w:rPr>
                <w:b/>
                <w:sz w:val="20"/>
                <w:szCs w:val="20"/>
              </w:rPr>
              <w:t>Atzinums uz 2</w:t>
            </w:r>
            <w:r w:rsidR="007D1FB1">
              <w:rPr>
                <w:b/>
                <w:sz w:val="20"/>
                <w:szCs w:val="20"/>
              </w:rPr>
              <w:t>3.05</w:t>
            </w:r>
            <w:r w:rsidR="007D1FB1" w:rsidRPr="00CF1E45">
              <w:rPr>
                <w:b/>
                <w:sz w:val="20"/>
                <w:szCs w:val="20"/>
              </w:rPr>
              <w:t>.2019.</w:t>
            </w:r>
          </w:p>
        </w:tc>
        <w:tc>
          <w:tcPr>
            <w:tcW w:w="3260" w:type="dxa"/>
            <w:tcBorders>
              <w:top w:val="single" w:sz="6" w:space="0" w:color="000000"/>
              <w:left w:val="single" w:sz="6" w:space="0" w:color="000000"/>
              <w:bottom w:val="single" w:sz="6" w:space="0" w:color="000000"/>
              <w:right w:val="single" w:sz="6" w:space="0" w:color="000000"/>
            </w:tcBorders>
          </w:tcPr>
          <w:p w14:paraId="1718614D" w14:textId="77777777" w:rsidR="00A47C85" w:rsidRPr="00704F07" w:rsidRDefault="00A47C85" w:rsidP="00A47C85">
            <w:pPr>
              <w:pStyle w:val="naisc"/>
              <w:spacing w:before="0" w:after="0"/>
              <w:contextualSpacing/>
              <w:rPr>
                <w:b/>
                <w:sz w:val="20"/>
                <w:szCs w:val="20"/>
              </w:rPr>
            </w:pPr>
            <w:r w:rsidRPr="00704F07">
              <w:rPr>
                <w:b/>
                <w:sz w:val="20"/>
                <w:szCs w:val="20"/>
              </w:rPr>
              <w:t>Tieslietu ministrija</w:t>
            </w:r>
          </w:p>
          <w:p w14:paraId="03222D0E" w14:textId="542E1B45" w:rsidR="008111BD" w:rsidRPr="00704F07" w:rsidRDefault="002D12A1" w:rsidP="002D12A1">
            <w:pPr>
              <w:spacing w:after="5" w:line="260" w:lineRule="auto"/>
              <w:ind w:right="56"/>
              <w:jc w:val="both"/>
              <w:rPr>
                <w:color w:val="000000"/>
                <w:sz w:val="20"/>
                <w:szCs w:val="20"/>
              </w:rPr>
            </w:pPr>
            <w:r w:rsidRPr="002D12A1">
              <w:rPr>
                <w:color w:val="000000"/>
                <w:sz w:val="20"/>
                <w:szCs w:val="20"/>
              </w:rPr>
              <w:t xml:space="preserve">Saskaņā ar anotācijas I sadaļas 2. punktu personas identificēšanu cita starpā var veikt, izmantojot piekļuvi oficiālās elektroniskās adreses kontam saskaņā ar Oficiālās elektroniskās adreses likumu. </w:t>
            </w:r>
            <w:r w:rsidRPr="002D12A1">
              <w:rPr>
                <w:color w:val="000000"/>
                <w:sz w:val="20"/>
                <w:szCs w:val="20"/>
              </w:rPr>
              <w:lastRenderedPageBreak/>
              <w:t>Norādām, ka atbilstoši Oficiālās elektroniskās adreses likuma pārejas noteikumu 3. punktam reģistros reģistrēts tiesību subjekts oficiālās elektroniskās adreses kontu aktivizē no 2019. gada 1. janvāra līdz 2019. gada 31. decembrim, un oficiālās elektroniskās adreses izmantošana reģistros reģistrētam tiesību subjektam ir obligāta no 2020. gada 1. janvāra. Ievērojot minēto, lūdzam anotācijā precizēt personas identifikācijas procedūru līdz 2020. gada 1. janvārim.</w:t>
            </w:r>
          </w:p>
        </w:tc>
        <w:tc>
          <w:tcPr>
            <w:tcW w:w="3544" w:type="dxa"/>
            <w:gridSpan w:val="2"/>
            <w:tcBorders>
              <w:top w:val="single" w:sz="6" w:space="0" w:color="000000"/>
              <w:left w:val="single" w:sz="6" w:space="0" w:color="000000"/>
              <w:bottom w:val="single" w:sz="6" w:space="0" w:color="000000"/>
              <w:right w:val="single" w:sz="6" w:space="0" w:color="000000"/>
            </w:tcBorders>
          </w:tcPr>
          <w:p w14:paraId="538CA86C" w14:textId="1920B7A1" w:rsidR="00977D17" w:rsidRDefault="00977D17" w:rsidP="00977D17">
            <w:pPr>
              <w:pStyle w:val="naisc"/>
              <w:spacing w:before="0" w:after="0"/>
              <w:rPr>
                <w:b/>
                <w:sz w:val="20"/>
                <w:szCs w:val="20"/>
              </w:rPr>
            </w:pPr>
            <w:r w:rsidRPr="008E7408">
              <w:rPr>
                <w:b/>
                <w:sz w:val="20"/>
                <w:szCs w:val="20"/>
              </w:rPr>
              <w:lastRenderedPageBreak/>
              <w:t>Iebildums ņemts vērā</w:t>
            </w:r>
          </w:p>
          <w:p w14:paraId="51271AA9" w14:textId="50124D05" w:rsidR="008111BD" w:rsidRPr="00704F07" w:rsidRDefault="0039007A" w:rsidP="0039007A">
            <w:pPr>
              <w:pStyle w:val="naisc"/>
              <w:spacing w:before="0" w:after="0"/>
              <w:jc w:val="left"/>
              <w:rPr>
                <w:sz w:val="20"/>
                <w:szCs w:val="20"/>
              </w:rPr>
            </w:pPr>
            <w:r w:rsidRPr="0039007A">
              <w:rPr>
                <w:sz w:val="20"/>
                <w:szCs w:val="20"/>
              </w:rPr>
              <w:t>Papildināta anotācija.</w:t>
            </w:r>
          </w:p>
        </w:tc>
        <w:tc>
          <w:tcPr>
            <w:tcW w:w="3969" w:type="dxa"/>
            <w:tcBorders>
              <w:top w:val="single" w:sz="4" w:space="0" w:color="auto"/>
              <w:left w:val="single" w:sz="4" w:space="0" w:color="auto"/>
              <w:bottom w:val="single" w:sz="4" w:space="0" w:color="auto"/>
            </w:tcBorders>
          </w:tcPr>
          <w:p w14:paraId="643699CD" w14:textId="42C8266D" w:rsidR="008111BD" w:rsidRPr="002D12A1" w:rsidRDefault="008111BD" w:rsidP="00E53F1A">
            <w:pPr>
              <w:pStyle w:val="NoSpacing"/>
              <w:jc w:val="both"/>
              <w:rPr>
                <w:rFonts w:ascii="Times New Roman" w:hAnsi="Times New Roman"/>
                <w:sz w:val="20"/>
                <w:szCs w:val="20"/>
              </w:rPr>
            </w:pPr>
          </w:p>
        </w:tc>
      </w:tr>
      <w:tr w:rsidR="001E4331" w:rsidRPr="00704F07" w14:paraId="1E91001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B529F33" w14:textId="5311AB38" w:rsidR="001E4331" w:rsidRDefault="00513BD5" w:rsidP="001E4331">
            <w:pPr>
              <w:pStyle w:val="naisc"/>
              <w:spacing w:before="0" w:after="0"/>
              <w:rPr>
                <w:sz w:val="20"/>
                <w:szCs w:val="20"/>
              </w:rPr>
            </w:pPr>
            <w:r>
              <w:rPr>
                <w:sz w:val="20"/>
                <w:szCs w:val="20"/>
              </w:rPr>
              <w:t>4</w:t>
            </w:r>
            <w:r w:rsidR="001E4331">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E3EA3B9" w14:textId="77777777" w:rsidR="001E4331" w:rsidRDefault="001E4331" w:rsidP="001E4331">
            <w:pPr>
              <w:pStyle w:val="naisc"/>
              <w:spacing w:before="0" w:after="0"/>
              <w:contextualSpacing/>
              <w:jc w:val="both"/>
              <w:rPr>
                <w:b/>
                <w:sz w:val="20"/>
                <w:szCs w:val="20"/>
              </w:rPr>
            </w:pPr>
            <w:r w:rsidRPr="00FE6DFD">
              <w:rPr>
                <w:b/>
                <w:sz w:val="20"/>
                <w:szCs w:val="20"/>
              </w:rPr>
              <w:t>Atzinums uz 23.05.2019.</w:t>
            </w:r>
          </w:p>
          <w:p w14:paraId="141B9C58" w14:textId="77777777" w:rsidR="001E4331" w:rsidRDefault="001E4331" w:rsidP="001E4331">
            <w:pPr>
              <w:pStyle w:val="naisc"/>
              <w:spacing w:before="0" w:after="0"/>
              <w:contextualSpacing/>
              <w:jc w:val="both"/>
              <w:rPr>
                <w:sz w:val="20"/>
                <w:szCs w:val="20"/>
              </w:rPr>
            </w:pPr>
            <w:r>
              <w:rPr>
                <w:b/>
                <w:sz w:val="20"/>
                <w:szCs w:val="20"/>
              </w:rPr>
              <w:t>“</w:t>
            </w:r>
            <w:r w:rsidRPr="005F6258">
              <w:rPr>
                <w:b/>
                <w:sz w:val="20"/>
                <w:szCs w:val="20"/>
              </w:rPr>
              <w:t>1. pants</w:t>
            </w:r>
            <w:r w:rsidRPr="005F6258">
              <w:rPr>
                <w:sz w:val="20"/>
                <w:szCs w:val="20"/>
              </w:rPr>
              <w:t xml:space="preserve"> 1. pantā:</w:t>
            </w:r>
          </w:p>
          <w:p w14:paraId="02498EED" w14:textId="77777777" w:rsidR="001E4331" w:rsidRPr="005F6258" w:rsidRDefault="001E4331" w:rsidP="001E4331">
            <w:pPr>
              <w:pStyle w:val="naisc"/>
              <w:spacing w:before="0" w:after="0"/>
              <w:contextualSpacing/>
              <w:jc w:val="both"/>
              <w:rPr>
                <w:sz w:val="20"/>
                <w:szCs w:val="20"/>
              </w:rPr>
            </w:pPr>
          </w:p>
          <w:p w14:paraId="5AFCBAFD" w14:textId="77777777" w:rsidR="001E4331" w:rsidRPr="005F6258" w:rsidRDefault="001E4331" w:rsidP="001E4331">
            <w:pPr>
              <w:pStyle w:val="naisc"/>
              <w:spacing w:before="0" w:after="0"/>
              <w:contextualSpacing/>
              <w:jc w:val="both"/>
              <w:rPr>
                <w:sz w:val="20"/>
                <w:szCs w:val="20"/>
              </w:rPr>
            </w:pPr>
            <w:r w:rsidRPr="005F6258">
              <w:rPr>
                <w:sz w:val="20"/>
                <w:szCs w:val="20"/>
              </w:rPr>
              <w:t>aizstāt 7. punkta “a” apakšpunktā vārdus “vai veidā, par kuru reģistra dalībnieks vai Valsts kase un iespējamais klients iepriekš rakstveidā vienojušies” ar vārdiem “vai izmantojot tehnoloģisku risinājumu, kas nodrošina pieteikumā ietvertās informācijas nemainīgumu un sniedz pārliecību par personas identitāti”;</w:t>
            </w:r>
          </w:p>
          <w:p w14:paraId="2C9E7227" w14:textId="77777777" w:rsidR="001E4331" w:rsidRPr="005F6258" w:rsidRDefault="001E4331" w:rsidP="001E4331">
            <w:pPr>
              <w:pStyle w:val="naisc"/>
              <w:spacing w:before="0" w:after="0"/>
              <w:contextualSpacing/>
              <w:jc w:val="both"/>
              <w:rPr>
                <w:sz w:val="20"/>
                <w:szCs w:val="20"/>
              </w:rPr>
            </w:pPr>
          </w:p>
          <w:p w14:paraId="558DFE69" w14:textId="77777777" w:rsidR="001E4331" w:rsidRDefault="001E4331" w:rsidP="001E4331">
            <w:pPr>
              <w:pStyle w:val="naisc"/>
              <w:spacing w:before="0" w:after="0"/>
              <w:contextualSpacing/>
              <w:jc w:val="both"/>
              <w:rPr>
                <w:sz w:val="20"/>
                <w:szCs w:val="20"/>
              </w:rPr>
            </w:pPr>
            <w:r w:rsidRPr="005F6258">
              <w:rPr>
                <w:sz w:val="20"/>
                <w:szCs w:val="20"/>
              </w:rPr>
              <w:t>aizstāt 10. punkta “a” apakšpunktā vārdus “vai veidā, par kuru reģistra dalībnieks vai Valsts kase un iespējamais klienta galvinieks iepriekš rakstveidā vienojušies” ar vārdiem “vai izmantojot tehnoloģisku risinājumu, kas nodrošina pieteikumā ietvertās informācijas nemainīgumu un sniedz pārliecību par personas identitāti”.</w:t>
            </w:r>
            <w:r>
              <w:rPr>
                <w:sz w:val="20"/>
                <w:szCs w:val="20"/>
              </w:rPr>
              <w:t>”</w:t>
            </w:r>
          </w:p>
          <w:p w14:paraId="4365DD7B" w14:textId="77777777" w:rsidR="001E4331" w:rsidRDefault="001E4331" w:rsidP="001E4331">
            <w:pPr>
              <w:pStyle w:val="naisc"/>
              <w:spacing w:before="0" w:after="0"/>
              <w:contextualSpacing/>
              <w:jc w:val="both"/>
              <w:rPr>
                <w:sz w:val="20"/>
                <w:szCs w:val="20"/>
              </w:rPr>
            </w:pPr>
          </w:p>
          <w:p w14:paraId="35EEA1A2" w14:textId="77777777" w:rsidR="001E4331" w:rsidRDefault="001E4331" w:rsidP="001E4331">
            <w:pPr>
              <w:pStyle w:val="naisc"/>
              <w:spacing w:before="0" w:after="0"/>
              <w:contextualSpacing/>
              <w:jc w:val="both"/>
              <w:rPr>
                <w:sz w:val="20"/>
                <w:szCs w:val="20"/>
              </w:rPr>
            </w:pPr>
          </w:p>
          <w:p w14:paraId="1EBB978C" w14:textId="77777777" w:rsidR="001E4331" w:rsidRDefault="001E4331" w:rsidP="001E4331">
            <w:pPr>
              <w:pStyle w:val="naisc"/>
              <w:spacing w:before="0" w:after="0"/>
              <w:contextualSpacing/>
              <w:jc w:val="both"/>
              <w:rPr>
                <w:sz w:val="20"/>
                <w:szCs w:val="20"/>
              </w:rPr>
            </w:pPr>
          </w:p>
          <w:p w14:paraId="1DB1AB94" w14:textId="77777777" w:rsidR="001E4331" w:rsidRDefault="001E4331" w:rsidP="001E4331">
            <w:pPr>
              <w:pStyle w:val="naisc"/>
              <w:spacing w:before="0" w:after="0"/>
              <w:contextualSpacing/>
              <w:jc w:val="both"/>
              <w:rPr>
                <w:sz w:val="20"/>
                <w:szCs w:val="20"/>
              </w:rPr>
            </w:pPr>
          </w:p>
          <w:p w14:paraId="44101ED0" w14:textId="77777777" w:rsidR="001E4331" w:rsidRDefault="001E4331" w:rsidP="001E4331">
            <w:pPr>
              <w:pStyle w:val="naisc"/>
              <w:spacing w:before="0" w:after="0"/>
              <w:contextualSpacing/>
              <w:jc w:val="both"/>
              <w:rPr>
                <w:sz w:val="20"/>
                <w:szCs w:val="20"/>
              </w:rPr>
            </w:pPr>
          </w:p>
          <w:p w14:paraId="397AE76E" w14:textId="77777777" w:rsidR="001E4331" w:rsidRDefault="001E4331" w:rsidP="001E4331">
            <w:pPr>
              <w:pStyle w:val="naisc"/>
              <w:spacing w:before="0" w:after="0"/>
              <w:contextualSpacing/>
              <w:jc w:val="both"/>
              <w:rPr>
                <w:sz w:val="20"/>
                <w:szCs w:val="20"/>
              </w:rPr>
            </w:pPr>
          </w:p>
          <w:p w14:paraId="3B0D46F2" w14:textId="77777777" w:rsidR="001E4331" w:rsidRDefault="001E4331" w:rsidP="001E4331">
            <w:pPr>
              <w:pStyle w:val="naisc"/>
              <w:spacing w:before="0" w:after="0"/>
              <w:contextualSpacing/>
              <w:jc w:val="both"/>
              <w:rPr>
                <w:sz w:val="20"/>
                <w:szCs w:val="20"/>
              </w:rPr>
            </w:pPr>
          </w:p>
          <w:p w14:paraId="07677F8B" w14:textId="77777777" w:rsidR="001E4331" w:rsidRDefault="001E4331" w:rsidP="001E4331">
            <w:pPr>
              <w:pStyle w:val="naisc"/>
              <w:spacing w:before="0" w:after="0"/>
              <w:contextualSpacing/>
              <w:jc w:val="both"/>
              <w:rPr>
                <w:sz w:val="20"/>
                <w:szCs w:val="20"/>
              </w:rPr>
            </w:pPr>
          </w:p>
          <w:p w14:paraId="2894B1DE" w14:textId="77777777" w:rsidR="001E4331" w:rsidRDefault="001E4331" w:rsidP="001E4331">
            <w:pPr>
              <w:pStyle w:val="naisc"/>
              <w:spacing w:before="0" w:after="0"/>
              <w:contextualSpacing/>
              <w:jc w:val="both"/>
              <w:rPr>
                <w:sz w:val="20"/>
                <w:szCs w:val="20"/>
              </w:rPr>
            </w:pPr>
          </w:p>
          <w:p w14:paraId="6B78583B" w14:textId="77777777" w:rsidR="001E4331" w:rsidRDefault="001E4331" w:rsidP="001E4331">
            <w:pPr>
              <w:pStyle w:val="naisc"/>
              <w:spacing w:before="0" w:after="0"/>
              <w:contextualSpacing/>
              <w:jc w:val="both"/>
              <w:rPr>
                <w:sz w:val="20"/>
                <w:szCs w:val="20"/>
              </w:rPr>
            </w:pPr>
          </w:p>
          <w:p w14:paraId="02DDAD53" w14:textId="77777777" w:rsidR="001E4331" w:rsidRDefault="001E4331" w:rsidP="001E4331">
            <w:pPr>
              <w:pStyle w:val="naisc"/>
              <w:spacing w:before="0" w:after="0"/>
              <w:contextualSpacing/>
              <w:jc w:val="both"/>
              <w:rPr>
                <w:sz w:val="20"/>
                <w:szCs w:val="20"/>
              </w:rPr>
            </w:pPr>
          </w:p>
          <w:p w14:paraId="0D4EED32" w14:textId="77777777" w:rsidR="001E4331" w:rsidRDefault="001E4331" w:rsidP="001E4331">
            <w:pPr>
              <w:pStyle w:val="naisc"/>
              <w:spacing w:before="0" w:after="0"/>
              <w:contextualSpacing/>
              <w:jc w:val="both"/>
              <w:rPr>
                <w:sz w:val="20"/>
                <w:szCs w:val="20"/>
              </w:rPr>
            </w:pPr>
          </w:p>
          <w:p w14:paraId="27EE58CE" w14:textId="77777777" w:rsidR="001E4331" w:rsidRDefault="001E4331" w:rsidP="001E4331">
            <w:pPr>
              <w:pStyle w:val="naisc"/>
              <w:spacing w:before="0" w:after="0"/>
              <w:contextualSpacing/>
              <w:jc w:val="both"/>
              <w:rPr>
                <w:sz w:val="20"/>
                <w:szCs w:val="20"/>
              </w:rPr>
            </w:pPr>
          </w:p>
          <w:p w14:paraId="7DD1A5CC" w14:textId="77777777" w:rsidR="001E4331" w:rsidRDefault="001E4331" w:rsidP="001E4331">
            <w:pPr>
              <w:pStyle w:val="naisc"/>
              <w:spacing w:before="0" w:after="0"/>
              <w:contextualSpacing/>
              <w:jc w:val="both"/>
              <w:rPr>
                <w:sz w:val="20"/>
                <w:szCs w:val="20"/>
              </w:rPr>
            </w:pPr>
          </w:p>
          <w:p w14:paraId="6ED2854B" w14:textId="77777777" w:rsidR="001E4331" w:rsidRDefault="001E4331" w:rsidP="001E4331">
            <w:pPr>
              <w:pStyle w:val="naisc"/>
              <w:spacing w:before="0" w:after="0"/>
              <w:contextualSpacing/>
              <w:jc w:val="both"/>
              <w:rPr>
                <w:sz w:val="20"/>
                <w:szCs w:val="20"/>
              </w:rPr>
            </w:pPr>
          </w:p>
          <w:p w14:paraId="1D509259" w14:textId="77777777" w:rsidR="001E4331" w:rsidRDefault="001E4331" w:rsidP="001E4331">
            <w:pPr>
              <w:pStyle w:val="naisc"/>
              <w:spacing w:before="0" w:after="0"/>
              <w:contextualSpacing/>
              <w:jc w:val="both"/>
              <w:rPr>
                <w:sz w:val="20"/>
                <w:szCs w:val="20"/>
              </w:rPr>
            </w:pPr>
          </w:p>
          <w:p w14:paraId="370B1CCD" w14:textId="77777777" w:rsidR="001E4331" w:rsidRDefault="001E4331" w:rsidP="001E4331">
            <w:pPr>
              <w:pStyle w:val="naisc"/>
              <w:spacing w:before="0" w:after="0"/>
              <w:contextualSpacing/>
              <w:jc w:val="both"/>
              <w:rPr>
                <w:sz w:val="20"/>
                <w:szCs w:val="20"/>
              </w:rPr>
            </w:pPr>
          </w:p>
          <w:p w14:paraId="405CAE5A" w14:textId="77777777" w:rsidR="001E4331" w:rsidRDefault="001E4331" w:rsidP="001E4331">
            <w:pPr>
              <w:pStyle w:val="naisc"/>
              <w:spacing w:before="0" w:after="0"/>
              <w:contextualSpacing/>
              <w:jc w:val="both"/>
              <w:rPr>
                <w:sz w:val="20"/>
                <w:szCs w:val="20"/>
              </w:rPr>
            </w:pPr>
          </w:p>
          <w:p w14:paraId="3E999048" w14:textId="77777777" w:rsidR="001E4331" w:rsidRDefault="001E4331" w:rsidP="001E4331">
            <w:pPr>
              <w:pStyle w:val="naisc"/>
              <w:spacing w:before="0" w:after="0"/>
              <w:contextualSpacing/>
              <w:jc w:val="both"/>
              <w:rPr>
                <w:sz w:val="20"/>
                <w:szCs w:val="20"/>
              </w:rPr>
            </w:pPr>
          </w:p>
          <w:p w14:paraId="2440EEFA" w14:textId="77777777" w:rsidR="001E4331" w:rsidRDefault="001E4331" w:rsidP="001E4331">
            <w:pPr>
              <w:pStyle w:val="naisc"/>
              <w:spacing w:before="0" w:after="0"/>
              <w:contextualSpacing/>
              <w:jc w:val="both"/>
              <w:rPr>
                <w:sz w:val="20"/>
                <w:szCs w:val="20"/>
              </w:rPr>
            </w:pPr>
          </w:p>
          <w:p w14:paraId="6A1CB7F9" w14:textId="77777777" w:rsidR="001E4331" w:rsidRDefault="001E4331" w:rsidP="001E4331">
            <w:pPr>
              <w:pStyle w:val="naisc"/>
              <w:spacing w:before="0" w:after="0"/>
              <w:contextualSpacing/>
              <w:jc w:val="both"/>
              <w:rPr>
                <w:sz w:val="20"/>
                <w:szCs w:val="20"/>
              </w:rPr>
            </w:pPr>
          </w:p>
          <w:p w14:paraId="6ACAAC69" w14:textId="77777777" w:rsidR="001E4331" w:rsidRDefault="001E4331" w:rsidP="001E4331">
            <w:pPr>
              <w:pStyle w:val="naisc"/>
              <w:spacing w:before="0" w:after="0"/>
              <w:contextualSpacing/>
              <w:jc w:val="both"/>
              <w:rPr>
                <w:sz w:val="20"/>
                <w:szCs w:val="20"/>
              </w:rPr>
            </w:pPr>
          </w:p>
          <w:p w14:paraId="7C4539FE" w14:textId="77777777" w:rsidR="001E4331" w:rsidRDefault="001E4331" w:rsidP="001E4331">
            <w:pPr>
              <w:pStyle w:val="naisc"/>
              <w:spacing w:before="0" w:after="0"/>
              <w:contextualSpacing/>
              <w:jc w:val="both"/>
              <w:rPr>
                <w:sz w:val="20"/>
                <w:szCs w:val="20"/>
              </w:rPr>
            </w:pPr>
          </w:p>
          <w:p w14:paraId="06CEBD3D" w14:textId="77777777" w:rsidR="001E4331" w:rsidRDefault="001E4331" w:rsidP="001E4331">
            <w:pPr>
              <w:pStyle w:val="naisc"/>
              <w:spacing w:before="0" w:after="0"/>
              <w:contextualSpacing/>
              <w:jc w:val="both"/>
              <w:rPr>
                <w:sz w:val="20"/>
                <w:szCs w:val="20"/>
              </w:rPr>
            </w:pPr>
          </w:p>
          <w:p w14:paraId="443E794B" w14:textId="77777777" w:rsidR="001E4331" w:rsidRDefault="001E4331" w:rsidP="001E4331">
            <w:pPr>
              <w:pStyle w:val="naisc"/>
              <w:spacing w:before="0" w:after="0"/>
              <w:contextualSpacing/>
              <w:jc w:val="both"/>
              <w:rPr>
                <w:sz w:val="20"/>
                <w:szCs w:val="20"/>
              </w:rPr>
            </w:pPr>
          </w:p>
          <w:p w14:paraId="2BC00B90" w14:textId="77777777" w:rsidR="001E4331" w:rsidRDefault="001E4331" w:rsidP="001E4331">
            <w:pPr>
              <w:pStyle w:val="naisc"/>
              <w:spacing w:before="0" w:after="0"/>
              <w:contextualSpacing/>
              <w:jc w:val="both"/>
              <w:rPr>
                <w:sz w:val="20"/>
                <w:szCs w:val="20"/>
              </w:rPr>
            </w:pPr>
          </w:p>
          <w:p w14:paraId="01885A93" w14:textId="77777777" w:rsidR="001E4331" w:rsidRDefault="001E4331" w:rsidP="001E4331">
            <w:pPr>
              <w:pStyle w:val="naisc"/>
              <w:spacing w:before="0" w:after="0"/>
              <w:contextualSpacing/>
              <w:jc w:val="both"/>
              <w:rPr>
                <w:sz w:val="20"/>
                <w:szCs w:val="20"/>
              </w:rPr>
            </w:pPr>
          </w:p>
          <w:p w14:paraId="670762E9" w14:textId="77777777" w:rsidR="001E4331" w:rsidRDefault="001E4331" w:rsidP="001E4331">
            <w:pPr>
              <w:pStyle w:val="naisc"/>
              <w:spacing w:before="0" w:after="0"/>
              <w:contextualSpacing/>
              <w:jc w:val="both"/>
              <w:rPr>
                <w:sz w:val="20"/>
                <w:szCs w:val="20"/>
              </w:rPr>
            </w:pPr>
          </w:p>
          <w:p w14:paraId="216A769D" w14:textId="77777777" w:rsidR="001E4331" w:rsidRDefault="001E4331" w:rsidP="001E4331">
            <w:pPr>
              <w:pStyle w:val="naisc"/>
              <w:spacing w:before="0" w:after="0"/>
              <w:contextualSpacing/>
              <w:jc w:val="both"/>
              <w:rPr>
                <w:sz w:val="20"/>
                <w:szCs w:val="20"/>
              </w:rPr>
            </w:pPr>
          </w:p>
          <w:p w14:paraId="0C552E8B" w14:textId="77777777" w:rsidR="001E4331" w:rsidRDefault="001E4331" w:rsidP="001E4331">
            <w:pPr>
              <w:pStyle w:val="naisc"/>
              <w:spacing w:before="0" w:after="0"/>
              <w:contextualSpacing/>
              <w:jc w:val="both"/>
              <w:rPr>
                <w:sz w:val="20"/>
                <w:szCs w:val="20"/>
              </w:rPr>
            </w:pPr>
          </w:p>
          <w:p w14:paraId="3AE7453E" w14:textId="77777777" w:rsidR="001E4331" w:rsidRDefault="001E4331" w:rsidP="001E4331">
            <w:pPr>
              <w:pStyle w:val="naisc"/>
              <w:spacing w:before="0" w:after="0"/>
              <w:contextualSpacing/>
              <w:jc w:val="both"/>
              <w:rPr>
                <w:sz w:val="20"/>
                <w:szCs w:val="20"/>
              </w:rPr>
            </w:pPr>
          </w:p>
          <w:p w14:paraId="55581E95" w14:textId="77777777" w:rsidR="001E4331" w:rsidRDefault="001E4331" w:rsidP="001E4331">
            <w:pPr>
              <w:pStyle w:val="naisc"/>
              <w:spacing w:before="0" w:after="0"/>
              <w:contextualSpacing/>
              <w:jc w:val="both"/>
              <w:rPr>
                <w:sz w:val="20"/>
                <w:szCs w:val="20"/>
              </w:rPr>
            </w:pPr>
          </w:p>
          <w:p w14:paraId="309A29C6" w14:textId="77777777" w:rsidR="001E4331" w:rsidRDefault="001E4331" w:rsidP="001E4331">
            <w:pPr>
              <w:pStyle w:val="naisc"/>
              <w:spacing w:before="0" w:after="0"/>
              <w:contextualSpacing/>
              <w:jc w:val="both"/>
              <w:rPr>
                <w:sz w:val="20"/>
                <w:szCs w:val="20"/>
              </w:rPr>
            </w:pPr>
          </w:p>
          <w:p w14:paraId="25415D22" w14:textId="77777777" w:rsidR="001E4331" w:rsidRDefault="001E4331" w:rsidP="001E4331">
            <w:pPr>
              <w:pStyle w:val="naisc"/>
              <w:spacing w:before="0" w:after="0"/>
              <w:contextualSpacing/>
              <w:jc w:val="both"/>
              <w:rPr>
                <w:sz w:val="20"/>
                <w:szCs w:val="20"/>
              </w:rPr>
            </w:pPr>
          </w:p>
          <w:p w14:paraId="579EB0C6" w14:textId="77777777" w:rsidR="001E4331" w:rsidRDefault="001E4331" w:rsidP="001E4331">
            <w:pPr>
              <w:pStyle w:val="naisc"/>
              <w:spacing w:before="0" w:after="0"/>
              <w:contextualSpacing/>
              <w:jc w:val="both"/>
              <w:rPr>
                <w:sz w:val="20"/>
                <w:szCs w:val="20"/>
              </w:rPr>
            </w:pPr>
          </w:p>
          <w:p w14:paraId="7DF08A72" w14:textId="77777777" w:rsidR="001E4331" w:rsidRDefault="001E4331" w:rsidP="001E4331">
            <w:pPr>
              <w:pStyle w:val="naisc"/>
              <w:spacing w:before="0" w:after="0"/>
              <w:contextualSpacing/>
              <w:jc w:val="both"/>
              <w:rPr>
                <w:sz w:val="20"/>
                <w:szCs w:val="20"/>
              </w:rPr>
            </w:pPr>
          </w:p>
          <w:p w14:paraId="0FFC348C" w14:textId="77777777" w:rsidR="001E4331" w:rsidRDefault="001E4331" w:rsidP="001E4331">
            <w:pPr>
              <w:pStyle w:val="naisc"/>
              <w:spacing w:before="0" w:after="0"/>
              <w:contextualSpacing/>
              <w:jc w:val="both"/>
              <w:rPr>
                <w:sz w:val="20"/>
                <w:szCs w:val="20"/>
              </w:rPr>
            </w:pPr>
          </w:p>
          <w:p w14:paraId="59789F85" w14:textId="77777777" w:rsidR="001E4331" w:rsidRDefault="001E4331" w:rsidP="001E4331">
            <w:pPr>
              <w:pStyle w:val="naisc"/>
              <w:spacing w:before="0" w:after="0"/>
              <w:contextualSpacing/>
              <w:jc w:val="both"/>
              <w:rPr>
                <w:sz w:val="20"/>
                <w:szCs w:val="20"/>
              </w:rPr>
            </w:pPr>
          </w:p>
          <w:p w14:paraId="038CA828" w14:textId="77777777" w:rsidR="001E4331" w:rsidRDefault="001E4331" w:rsidP="001E4331">
            <w:pPr>
              <w:pStyle w:val="naisc"/>
              <w:spacing w:before="0" w:after="0"/>
              <w:contextualSpacing/>
              <w:jc w:val="both"/>
              <w:rPr>
                <w:sz w:val="20"/>
                <w:szCs w:val="20"/>
              </w:rPr>
            </w:pPr>
          </w:p>
          <w:p w14:paraId="461BBD27" w14:textId="77777777" w:rsidR="001E4331" w:rsidRDefault="001E4331" w:rsidP="001E4331">
            <w:pPr>
              <w:pStyle w:val="naisc"/>
              <w:spacing w:before="0" w:after="0"/>
              <w:contextualSpacing/>
              <w:jc w:val="both"/>
              <w:rPr>
                <w:sz w:val="20"/>
                <w:szCs w:val="20"/>
              </w:rPr>
            </w:pPr>
          </w:p>
          <w:p w14:paraId="31346AF8" w14:textId="77777777" w:rsidR="001E4331" w:rsidRDefault="001E4331" w:rsidP="001E4331">
            <w:pPr>
              <w:pStyle w:val="naisc"/>
              <w:spacing w:before="0" w:after="0"/>
              <w:contextualSpacing/>
              <w:jc w:val="both"/>
              <w:rPr>
                <w:sz w:val="20"/>
                <w:szCs w:val="20"/>
              </w:rPr>
            </w:pPr>
          </w:p>
          <w:p w14:paraId="42F871DA" w14:textId="77777777" w:rsidR="001E4331" w:rsidRDefault="001E4331" w:rsidP="001E4331">
            <w:pPr>
              <w:pStyle w:val="naisc"/>
              <w:spacing w:before="0" w:after="0"/>
              <w:contextualSpacing/>
              <w:jc w:val="both"/>
              <w:rPr>
                <w:sz w:val="20"/>
                <w:szCs w:val="20"/>
              </w:rPr>
            </w:pPr>
          </w:p>
          <w:p w14:paraId="50349628" w14:textId="77777777" w:rsidR="001E4331" w:rsidRDefault="001E4331" w:rsidP="001E4331">
            <w:pPr>
              <w:pStyle w:val="naisc"/>
              <w:spacing w:before="0" w:after="0"/>
              <w:contextualSpacing/>
              <w:jc w:val="both"/>
              <w:rPr>
                <w:sz w:val="20"/>
                <w:szCs w:val="20"/>
              </w:rPr>
            </w:pPr>
          </w:p>
          <w:p w14:paraId="0C714DD5" w14:textId="77777777" w:rsidR="001E4331" w:rsidRDefault="001E4331" w:rsidP="001E4331">
            <w:pPr>
              <w:pStyle w:val="naisc"/>
              <w:spacing w:before="0" w:after="0"/>
              <w:contextualSpacing/>
              <w:jc w:val="both"/>
              <w:rPr>
                <w:sz w:val="20"/>
                <w:szCs w:val="20"/>
              </w:rPr>
            </w:pPr>
          </w:p>
          <w:p w14:paraId="71C39AED" w14:textId="77777777" w:rsidR="001E4331" w:rsidRDefault="001E4331" w:rsidP="001E4331">
            <w:pPr>
              <w:pStyle w:val="naisc"/>
              <w:spacing w:before="0" w:after="0"/>
              <w:contextualSpacing/>
              <w:jc w:val="both"/>
              <w:rPr>
                <w:sz w:val="20"/>
                <w:szCs w:val="20"/>
              </w:rPr>
            </w:pPr>
          </w:p>
          <w:p w14:paraId="781B58ED" w14:textId="77777777" w:rsidR="001E4331" w:rsidRDefault="001E4331" w:rsidP="001E4331">
            <w:pPr>
              <w:pStyle w:val="naisc"/>
              <w:spacing w:before="0" w:after="0"/>
              <w:contextualSpacing/>
              <w:jc w:val="both"/>
              <w:rPr>
                <w:sz w:val="20"/>
                <w:szCs w:val="20"/>
              </w:rPr>
            </w:pPr>
          </w:p>
          <w:p w14:paraId="4C2F6C6A" w14:textId="77777777" w:rsidR="001E4331" w:rsidRDefault="001E4331" w:rsidP="001E4331">
            <w:pPr>
              <w:pStyle w:val="naisc"/>
              <w:spacing w:before="0" w:after="0"/>
              <w:contextualSpacing/>
              <w:jc w:val="both"/>
              <w:rPr>
                <w:sz w:val="20"/>
                <w:szCs w:val="20"/>
              </w:rPr>
            </w:pPr>
          </w:p>
          <w:p w14:paraId="525F0323" w14:textId="77777777" w:rsidR="001E4331" w:rsidRDefault="001E4331" w:rsidP="001E4331">
            <w:pPr>
              <w:pStyle w:val="naisc"/>
              <w:spacing w:before="0" w:after="0"/>
              <w:contextualSpacing/>
              <w:jc w:val="both"/>
              <w:rPr>
                <w:sz w:val="20"/>
                <w:szCs w:val="20"/>
              </w:rPr>
            </w:pPr>
          </w:p>
          <w:p w14:paraId="22082D62" w14:textId="77777777" w:rsidR="001E4331" w:rsidRDefault="001E4331" w:rsidP="001E4331">
            <w:pPr>
              <w:pStyle w:val="naisc"/>
              <w:spacing w:before="0" w:after="0"/>
              <w:contextualSpacing/>
              <w:jc w:val="both"/>
              <w:rPr>
                <w:sz w:val="20"/>
                <w:szCs w:val="20"/>
              </w:rPr>
            </w:pPr>
          </w:p>
          <w:p w14:paraId="2EC1D002" w14:textId="77777777" w:rsidR="001E4331" w:rsidRDefault="001E4331" w:rsidP="001E4331">
            <w:pPr>
              <w:pStyle w:val="naisc"/>
              <w:spacing w:before="0" w:after="0"/>
              <w:contextualSpacing/>
              <w:jc w:val="both"/>
              <w:rPr>
                <w:sz w:val="20"/>
                <w:szCs w:val="20"/>
              </w:rPr>
            </w:pPr>
          </w:p>
          <w:p w14:paraId="5C55BA89" w14:textId="77777777" w:rsidR="001E4331" w:rsidRDefault="001E4331" w:rsidP="001E4331">
            <w:pPr>
              <w:pStyle w:val="naisc"/>
              <w:spacing w:before="0" w:after="0"/>
              <w:contextualSpacing/>
              <w:jc w:val="both"/>
              <w:rPr>
                <w:sz w:val="20"/>
                <w:szCs w:val="20"/>
              </w:rPr>
            </w:pPr>
          </w:p>
          <w:p w14:paraId="5FE2037E" w14:textId="77777777" w:rsidR="001E4331" w:rsidRDefault="001E4331" w:rsidP="001E4331">
            <w:pPr>
              <w:pStyle w:val="naisc"/>
              <w:spacing w:before="0" w:after="0"/>
              <w:contextualSpacing/>
              <w:jc w:val="both"/>
              <w:rPr>
                <w:sz w:val="20"/>
                <w:szCs w:val="20"/>
              </w:rPr>
            </w:pPr>
          </w:p>
          <w:p w14:paraId="7CACDDEC" w14:textId="77777777" w:rsidR="001E4331" w:rsidRDefault="001E4331" w:rsidP="001E4331">
            <w:pPr>
              <w:pStyle w:val="naisc"/>
              <w:spacing w:before="0" w:after="0"/>
              <w:contextualSpacing/>
              <w:jc w:val="both"/>
              <w:rPr>
                <w:sz w:val="20"/>
                <w:szCs w:val="20"/>
              </w:rPr>
            </w:pPr>
          </w:p>
          <w:p w14:paraId="0ECAAF2F" w14:textId="77777777" w:rsidR="001E4331" w:rsidRDefault="001E4331" w:rsidP="001E4331">
            <w:pPr>
              <w:pStyle w:val="naisc"/>
              <w:spacing w:before="0" w:after="0"/>
              <w:contextualSpacing/>
              <w:jc w:val="both"/>
              <w:rPr>
                <w:sz w:val="20"/>
                <w:szCs w:val="20"/>
              </w:rPr>
            </w:pPr>
          </w:p>
          <w:p w14:paraId="10AF48B6" w14:textId="77777777" w:rsidR="001E4331" w:rsidRDefault="001E4331" w:rsidP="001E4331">
            <w:pPr>
              <w:pStyle w:val="naisc"/>
              <w:spacing w:before="0" w:after="0"/>
              <w:contextualSpacing/>
              <w:jc w:val="both"/>
              <w:rPr>
                <w:sz w:val="20"/>
                <w:szCs w:val="20"/>
              </w:rPr>
            </w:pPr>
          </w:p>
          <w:p w14:paraId="2F852F28" w14:textId="77777777" w:rsidR="001E4331" w:rsidRDefault="001E4331" w:rsidP="001E4331">
            <w:pPr>
              <w:pStyle w:val="naisc"/>
              <w:spacing w:before="0" w:after="0"/>
              <w:contextualSpacing/>
              <w:jc w:val="both"/>
              <w:rPr>
                <w:sz w:val="20"/>
                <w:szCs w:val="20"/>
              </w:rPr>
            </w:pPr>
          </w:p>
          <w:p w14:paraId="236EDE7C" w14:textId="77777777" w:rsidR="001E4331" w:rsidRDefault="001E4331" w:rsidP="001E4331">
            <w:pPr>
              <w:pStyle w:val="naisc"/>
              <w:spacing w:before="0" w:after="0"/>
              <w:contextualSpacing/>
              <w:jc w:val="both"/>
              <w:rPr>
                <w:b/>
                <w:sz w:val="20"/>
                <w:szCs w:val="20"/>
              </w:rPr>
            </w:pPr>
            <w:r>
              <w:rPr>
                <w:b/>
                <w:sz w:val="20"/>
                <w:szCs w:val="20"/>
              </w:rPr>
              <w:t>Atzinums uz 25.06</w:t>
            </w:r>
            <w:r w:rsidRPr="00FE6DFD">
              <w:rPr>
                <w:b/>
                <w:sz w:val="20"/>
                <w:szCs w:val="20"/>
              </w:rPr>
              <w:t>.2019.</w:t>
            </w:r>
          </w:p>
          <w:p w14:paraId="6F5A036D" w14:textId="77777777" w:rsidR="001E4331" w:rsidRDefault="001E4331" w:rsidP="001E4331">
            <w:pPr>
              <w:pStyle w:val="naisc"/>
              <w:spacing w:before="0" w:after="0"/>
              <w:contextualSpacing/>
              <w:jc w:val="both"/>
              <w:rPr>
                <w:sz w:val="20"/>
                <w:szCs w:val="20"/>
              </w:rPr>
            </w:pPr>
          </w:p>
          <w:p w14:paraId="6B425844" w14:textId="77777777" w:rsidR="001E4331" w:rsidRDefault="001E4331" w:rsidP="001E4331">
            <w:pPr>
              <w:pStyle w:val="naisc"/>
              <w:spacing w:before="0" w:after="0"/>
              <w:contextualSpacing/>
              <w:jc w:val="both"/>
              <w:rPr>
                <w:sz w:val="20"/>
                <w:szCs w:val="20"/>
              </w:rPr>
            </w:pPr>
          </w:p>
          <w:p w14:paraId="6B4129A7" w14:textId="77777777" w:rsidR="001E4331" w:rsidRDefault="001E4331" w:rsidP="001E4331">
            <w:pPr>
              <w:pStyle w:val="naisc"/>
              <w:spacing w:before="0" w:after="0"/>
              <w:contextualSpacing/>
              <w:jc w:val="both"/>
              <w:rPr>
                <w:sz w:val="20"/>
                <w:szCs w:val="20"/>
              </w:rPr>
            </w:pPr>
          </w:p>
          <w:p w14:paraId="4BB23993" w14:textId="77777777" w:rsidR="001E4331" w:rsidRDefault="001E4331" w:rsidP="001E4331">
            <w:pPr>
              <w:pStyle w:val="naisc"/>
              <w:spacing w:before="0" w:after="0"/>
              <w:jc w:val="both"/>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DE7DCBC" w14:textId="77777777" w:rsidR="001E4331" w:rsidRPr="00B26C38" w:rsidRDefault="001E4331" w:rsidP="001E4331">
            <w:pPr>
              <w:ind w:left="-17" w:right="45"/>
              <w:jc w:val="center"/>
              <w:rPr>
                <w:b/>
                <w:color w:val="000000"/>
                <w:sz w:val="20"/>
                <w:szCs w:val="20"/>
              </w:rPr>
            </w:pPr>
            <w:r w:rsidRPr="00B26C38">
              <w:rPr>
                <w:b/>
                <w:color w:val="000000"/>
                <w:sz w:val="20"/>
                <w:szCs w:val="20"/>
              </w:rPr>
              <w:lastRenderedPageBreak/>
              <w:t>Vides aizsardzības un reģionālās attīstības ministrija</w:t>
            </w:r>
          </w:p>
          <w:p w14:paraId="030BF5E3" w14:textId="77777777" w:rsidR="001E4331" w:rsidRPr="00B26C38" w:rsidRDefault="001E4331" w:rsidP="001E4331">
            <w:pPr>
              <w:pStyle w:val="BodyText"/>
              <w:ind w:left="0"/>
              <w:contextualSpacing/>
              <w:jc w:val="both"/>
              <w:rPr>
                <w:sz w:val="20"/>
                <w:szCs w:val="20"/>
                <w:lang w:val="lv-LV" w:eastAsia="lv-LV"/>
              </w:rPr>
            </w:pPr>
            <w:r w:rsidRPr="00B26C38">
              <w:rPr>
                <w:sz w:val="20"/>
                <w:szCs w:val="20"/>
                <w:lang w:val="lv-LV"/>
              </w:rPr>
              <w:t>Saskaņā ar Kredītu reģistra likuma 3. panta pirmo daļu Kredītu reģistrs (turpmāk – reģistrs) ir valsts informācijas sistēma, un tās pārzinis ir Latvijas Banka. Lai noregulētu reģistra iespējamo klientu un iespējamo klienta galvinieku tiesības, projektā piedāvāts veikt minēto personu identifikāciju pieteikuma iesniegšanas procesā</w:t>
            </w:r>
            <w:r w:rsidRPr="00B26C38">
              <w:rPr>
                <w:spacing w:val="-1"/>
                <w:sz w:val="20"/>
                <w:szCs w:val="20"/>
                <w:lang w:val="lv-LV"/>
              </w:rPr>
              <w:t xml:space="preserve">, </w:t>
            </w:r>
            <w:r w:rsidRPr="00B26C38">
              <w:rPr>
                <w:spacing w:val="-1"/>
                <w:sz w:val="20"/>
                <w:szCs w:val="20"/>
                <w:u w:val="single"/>
                <w:lang w:val="lv-LV"/>
              </w:rPr>
              <w:t>izmantojot tehnoloģisku risinājumu, kas nodrošina pieteikumā ietvertās informācijas nemainīgumu un sniedz pārliecību par personas identitāti</w:t>
            </w:r>
            <w:r w:rsidRPr="00B26C38">
              <w:rPr>
                <w:spacing w:val="-1"/>
                <w:sz w:val="20"/>
                <w:szCs w:val="20"/>
                <w:lang w:val="lv-LV"/>
              </w:rPr>
              <w:t xml:space="preserve">. </w:t>
            </w:r>
            <w:r w:rsidRPr="00B26C38">
              <w:rPr>
                <w:sz w:val="20"/>
                <w:szCs w:val="20"/>
                <w:lang w:val="lv-LV" w:eastAsia="lv-LV"/>
              </w:rPr>
              <w:t xml:space="preserve">Vienlaikus no projekta anotācijas (I. sadaļas 2.punkts) izriet, ka attālināta identificēšana (valsts noteiktie tehnoloģiskie risinājumi, kurus izmantojot var veikt personas, kura nav personīgi piedalījusies identifikācijas procedūrā klātienē, identifikāciju) ir iespējama saskaņā ar Ministru kabineta 2018. gada 3. jūlija </w:t>
            </w:r>
            <w:r w:rsidRPr="00B26C38">
              <w:rPr>
                <w:sz w:val="20"/>
                <w:szCs w:val="20"/>
                <w:lang w:val="lv-LV" w:eastAsia="lv-LV"/>
              </w:rPr>
              <w:lastRenderedPageBreak/>
              <w:t>noteikumiem Nr. 392 "Kārtība, kādā Noziedzīgi iegūtu līdzekļu legalizācijas un terorisma finansēšanas novēršanas likuma subjekts veic klienta neklātienes identifikāciju".</w:t>
            </w:r>
          </w:p>
          <w:p w14:paraId="7CE4B3EB" w14:textId="77777777" w:rsidR="001E4331" w:rsidRPr="00B26C38" w:rsidRDefault="001E4331" w:rsidP="001E4331">
            <w:pPr>
              <w:jc w:val="both"/>
              <w:rPr>
                <w:sz w:val="20"/>
                <w:szCs w:val="20"/>
              </w:rPr>
            </w:pPr>
            <w:r w:rsidRPr="00B26C38">
              <w:rPr>
                <w:sz w:val="20"/>
                <w:szCs w:val="20"/>
              </w:rPr>
              <w:t>Ministrija vērš uzmanību, ka Noziedzīgi iegūtu līdzekļu legalizācijas un terorisma finansēšanas novēršanas likuma subjektu loks aptver tostarp privātpersonas administratīvā procesa izpratnē, tādēļ attālinātās identifikācijas prasības minēto subjektu klientiem ietver arī tādus identifikācijas veidus kā, piemēram, videoidentifikāciju, personu apliecinošā dokumenta fotouzņēmuma un pašportreta elektroniska fotouzņēmuma salīdzināšanu u.c., kas nav atzīstams par pietiekami drošu personas elektroniskās identifikācijas līdzekli Fizisko personu elektroniskās identifikācijas likuma izpratnē, piešķirot tiesības iesniegt pieteikumu un tikt identificētam, lai kļūtu par valsts informācijas sistēmas (reģistra) iespējamo klientu vai iespējamo klienta galvinieku.</w:t>
            </w:r>
          </w:p>
          <w:p w14:paraId="6CD72FE3" w14:textId="77777777" w:rsidR="001E4331" w:rsidRPr="00B26C38" w:rsidRDefault="001E4331" w:rsidP="001E4331">
            <w:pPr>
              <w:jc w:val="both"/>
              <w:rPr>
                <w:sz w:val="20"/>
                <w:szCs w:val="20"/>
                <w:u w:val="single"/>
              </w:rPr>
            </w:pPr>
            <w:r w:rsidRPr="00B26C38">
              <w:rPr>
                <w:sz w:val="20"/>
                <w:szCs w:val="20"/>
              </w:rPr>
              <w:t xml:space="preserve">Ņemot vērā iepriekš minēto, Ministrija lūdz aizstāt projekta 1. pantā minēto formulējumu ar atsauci uz kārtību, ka </w:t>
            </w:r>
            <w:r w:rsidRPr="00B26C38">
              <w:rPr>
                <w:sz w:val="20"/>
                <w:szCs w:val="20"/>
                <w:u w:val="single"/>
              </w:rPr>
              <w:t xml:space="preserve">piekļuve reģistram tiek nodrošināta ar Fizisko personu elektroniskās identifikācijas likumā paredzētajiem elektroniskās identifikācijas līdzekļiem vai Eiropas Parlamenta un Padomes 2014. gada 23. jūlija Regulas (ES) Nr. 910/2014 </w:t>
            </w:r>
            <w:r w:rsidRPr="00B26C38">
              <w:rPr>
                <w:sz w:val="20"/>
                <w:szCs w:val="20"/>
                <w:u w:val="single"/>
              </w:rPr>
              <w:lastRenderedPageBreak/>
              <w:t>par elektronisko identifikāciju un uzticamības pakalpojumiem elektronisko darījumu veikšanai iekšējā tirgū un ar ko atceļ Direktīvu 1999/93/EK (eIDAS regula), īstenošanas regulas Nr.1502 līdzekļiem ar augstu vai būtisku līmeni.</w:t>
            </w:r>
          </w:p>
          <w:p w14:paraId="16550F6E" w14:textId="77777777" w:rsidR="001E4331" w:rsidRDefault="001E4331" w:rsidP="001E4331">
            <w:pPr>
              <w:pStyle w:val="naisc"/>
              <w:spacing w:before="0" w:after="0"/>
              <w:contextualSpacing/>
              <w:jc w:val="both"/>
              <w:rPr>
                <w:sz w:val="20"/>
                <w:szCs w:val="20"/>
              </w:rPr>
            </w:pPr>
            <w:r w:rsidRPr="00B26C38">
              <w:rPr>
                <w:sz w:val="20"/>
                <w:szCs w:val="20"/>
              </w:rPr>
              <w:t>Tādējādi reģistra pakalpojumu saņēmēju (iespējamo klientu un iespējamo klienta galvinieku) tiesības netiktu ierobežotas un vienlaikus tiktu nodrošināti vienoti piekļuves principi un prasības ikvienam Eiropas Savienības dalībvalsts iedzīvotājam.</w:t>
            </w:r>
          </w:p>
          <w:p w14:paraId="583D9B18" w14:textId="77777777" w:rsidR="001E4331" w:rsidRDefault="001E4331" w:rsidP="001E4331">
            <w:pPr>
              <w:pStyle w:val="naisc"/>
              <w:spacing w:before="0" w:after="0"/>
              <w:contextualSpacing/>
              <w:jc w:val="both"/>
              <w:rPr>
                <w:sz w:val="20"/>
                <w:szCs w:val="20"/>
              </w:rPr>
            </w:pPr>
          </w:p>
          <w:p w14:paraId="49C13D87" w14:textId="77777777" w:rsidR="001E4331" w:rsidRPr="0017767F" w:rsidRDefault="001E4331" w:rsidP="001E4331">
            <w:pPr>
              <w:pStyle w:val="naisc"/>
              <w:contextualSpacing/>
              <w:jc w:val="both"/>
              <w:rPr>
                <w:sz w:val="20"/>
                <w:szCs w:val="20"/>
              </w:rPr>
            </w:pPr>
            <w:r w:rsidRPr="0017767F">
              <w:rPr>
                <w:sz w:val="20"/>
                <w:szCs w:val="20"/>
              </w:rPr>
              <w:t>Projektā piedāvāts grozīt Kredītu reģistra likuma 1. panta 7. un 10.punktu, piešķirot tiesības kļūt par iespējamo Kredītu reģistra dalībnieka vai Valsts kases klientu vai klienta galvinieku, iesniedzot rakstveida pieteikumu vai izmantojot tehnoloģisku risinājumu, kas nodrošina pieteikumā ietvertās informācijas nemainīgumu un sniedz pārliecību par personas identitāti.</w:t>
            </w:r>
          </w:p>
          <w:p w14:paraId="0F579246" w14:textId="156233EB" w:rsidR="001E4331" w:rsidRPr="00704F07" w:rsidRDefault="001E4331" w:rsidP="00513BD5">
            <w:pPr>
              <w:pStyle w:val="naisc"/>
              <w:spacing w:before="0" w:after="0"/>
              <w:contextualSpacing/>
              <w:jc w:val="both"/>
              <w:rPr>
                <w:b/>
                <w:sz w:val="20"/>
                <w:szCs w:val="20"/>
              </w:rPr>
            </w:pPr>
            <w:r w:rsidRPr="0017767F">
              <w:rPr>
                <w:sz w:val="20"/>
                <w:szCs w:val="20"/>
              </w:rPr>
              <w:t xml:space="preserve">Ministrijas ieskatā piedāvātais tiesību normu grozījumu formulējums ir tiesiski nenoteikts un pārāk plaši interpretējams, tādēļ uzturam piedāvājumu izmantot spēkā esošo normatīvo aktu fizisko personu elektroniskās identifikācijas jomā terminoloģiju un paredzēt, ka par iespējamo klientu vai iespējamo klienta galvinieku var kļūt, izmantojot Fizisko personu elektroniskās identifikācijas likumā paredzētos elektroniskās identifikācijas līdzekļus </w:t>
            </w:r>
            <w:r w:rsidRPr="0017767F">
              <w:rPr>
                <w:sz w:val="20"/>
                <w:szCs w:val="20"/>
              </w:rPr>
              <w:lastRenderedPageBreak/>
              <w:t>vai Eiropas Parlamenta un Padomes 2014. gada 23. jūlija Regulas (ES) Nr. 910/2014 par elektronisko identifikāciju un uzticamības pakalpojumiem elektronisko darījumu veikšanai iekšējā tirgū un ar ko atceļ Direktīvu 1999/93/EK (eIDAS regula), īstenošanas regulas Nr.1502 līdzekļus ar augstu vai būtisku līmeni.</w:t>
            </w:r>
          </w:p>
        </w:tc>
        <w:tc>
          <w:tcPr>
            <w:tcW w:w="3544" w:type="dxa"/>
            <w:gridSpan w:val="2"/>
            <w:tcBorders>
              <w:top w:val="single" w:sz="6" w:space="0" w:color="000000"/>
              <w:left w:val="single" w:sz="6" w:space="0" w:color="000000"/>
              <w:bottom w:val="single" w:sz="6" w:space="0" w:color="000000"/>
              <w:right w:val="single" w:sz="6" w:space="0" w:color="000000"/>
            </w:tcBorders>
          </w:tcPr>
          <w:p w14:paraId="736E89F9" w14:textId="77777777" w:rsidR="001E4331" w:rsidRDefault="001E4331" w:rsidP="001E4331">
            <w:pPr>
              <w:pStyle w:val="naisc"/>
              <w:spacing w:before="0" w:after="0"/>
              <w:rPr>
                <w:b/>
                <w:sz w:val="20"/>
                <w:szCs w:val="20"/>
              </w:rPr>
            </w:pPr>
            <w:r w:rsidRPr="00AE1C61">
              <w:rPr>
                <w:b/>
                <w:sz w:val="20"/>
                <w:szCs w:val="20"/>
              </w:rPr>
              <w:lastRenderedPageBreak/>
              <w:t>Iebildums</w:t>
            </w:r>
            <w:r>
              <w:rPr>
                <w:b/>
                <w:sz w:val="20"/>
                <w:szCs w:val="20"/>
              </w:rPr>
              <w:t xml:space="preserve"> </w:t>
            </w:r>
            <w:r w:rsidRPr="00AE1C61">
              <w:rPr>
                <w:b/>
                <w:sz w:val="20"/>
                <w:szCs w:val="20"/>
              </w:rPr>
              <w:t>ņemts vērā</w:t>
            </w:r>
            <w:r>
              <w:rPr>
                <w:b/>
                <w:sz w:val="20"/>
                <w:szCs w:val="20"/>
              </w:rPr>
              <w:t xml:space="preserve"> daļēji</w:t>
            </w:r>
          </w:p>
          <w:p w14:paraId="72AFF9DC" w14:textId="77777777" w:rsidR="001E4331" w:rsidRDefault="001E4331" w:rsidP="001E4331">
            <w:pPr>
              <w:pStyle w:val="naisc"/>
              <w:spacing w:before="0" w:after="0"/>
              <w:jc w:val="both"/>
              <w:rPr>
                <w:sz w:val="20"/>
                <w:szCs w:val="20"/>
              </w:rPr>
            </w:pPr>
            <w:r>
              <w:rPr>
                <w:sz w:val="20"/>
                <w:szCs w:val="20"/>
              </w:rPr>
              <w:t>Ierosinātie grozījumi konkrētajā gadījumā attiecas tikai uz to personu identifikāciju, kuras vēršas pie Kredītu reģistra dalībniekiem vai Valsts kases kā finanšu pakalpojumu sniedzējiem ar pieteikumu kļūt par šo finanšu pakalpojumu sniedzēju klientiem vai klienta galviniekiem.</w:t>
            </w:r>
          </w:p>
          <w:p w14:paraId="6411560B" w14:textId="77777777" w:rsidR="001E4331" w:rsidRDefault="001E4331" w:rsidP="001E4331">
            <w:pPr>
              <w:pStyle w:val="naisc"/>
              <w:spacing w:before="0" w:after="0"/>
              <w:jc w:val="both"/>
              <w:rPr>
                <w:sz w:val="20"/>
                <w:szCs w:val="20"/>
              </w:rPr>
            </w:pPr>
            <w:r>
              <w:rPr>
                <w:sz w:val="20"/>
                <w:szCs w:val="20"/>
              </w:rPr>
              <w:t>Attiecīgās normas neregulē kārtību, kādā fiziskas un juridiskas personas var izmantot tiesības pieprasīt un saņemt Kredītu reģistrā iekļautās ziņas.</w:t>
            </w:r>
          </w:p>
          <w:p w14:paraId="081EDE35" w14:textId="77777777" w:rsidR="001E4331" w:rsidRDefault="001E4331" w:rsidP="001E4331">
            <w:pPr>
              <w:pStyle w:val="naisc"/>
              <w:spacing w:before="0" w:after="0"/>
              <w:jc w:val="both"/>
              <w:rPr>
                <w:sz w:val="20"/>
                <w:szCs w:val="20"/>
              </w:rPr>
            </w:pPr>
            <w:r>
              <w:rPr>
                <w:sz w:val="20"/>
                <w:szCs w:val="20"/>
              </w:rPr>
              <w:t>Šādas kārtības normatīvais regulējums pastāv un saskaņā ar Kredītu reģistra likuma 17. pantu to ir noteikusi Latvijas Banka 2018. gada 18. janvāra noteikumos Nr. 160 "Kredītu reģistra noteikumi" (</w:t>
            </w:r>
            <w:hyperlink r:id="rId8" w:history="1">
              <w:r w:rsidRPr="000F09E2">
                <w:rPr>
                  <w:rStyle w:val="Hyperlink"/>
                  <w:sz w:val="20"/>
                  <w:szCs w:val="20"/>
                </w:rPr>
                <w:t>https://likumi.lv/ta/id/296597</w:t>
              </w:r>
            </w:hyperlink>
            <w:r>
              <w:rPr>
                <w:sz w:val="20"/>
                <w:szCs w:val="20"/>
              </w:rPr>
              <w:t>).</w:t>
            </w:r>
          </w:p>
          <w:p w14:paraId="233F548C" w14:textId="77777777" w:rsidR="001E4331" w:rsidRPr="00EC4052" w:rsidRDefault="001E4331" w:rsidP="001E4331">
            <w:pPr>
              <w:pStyle w:val="naisc"/>
              <w:spacing w:before="0" w:after="0"/>
              <w:jc w:val="both"/>
              <w:rPr>
                <w:sz w:val="20"/>
                <w:szCs w:val="20"/>
              </w:rPr>
            </w:pPr>
            <w:r>
              <w:rPr>
                <w:sz w:val="20"/>
                <w:szCs w:val="20"/>
              </w:rPr>
              <w:t>Attiecībā uz Kredītu reģistrā iekļauto ziņu izsniegšanu interneta vietnē minēto Latvijas Bankas noteikumu 354.4. punktā ir noteikts, ka k</w:t>
            </w:r>
            <w:r w:rsidRPr="00EC4052">
              <w:rPr>
                <w:sz w:val="20"/>
                <w:szCs w:val="20"/>
              </w:rPr>
              <w:t xml:space="preserve">lients vai klienta galvinieks </w:t>
            </w:r>
            <w:r>
              <w:rPr>
                <w:sz w:val="20"/>
                <w:szCs w:val="20"/>
              </w:rPr>
              <w:t xml:space="preserve">Kredītu </w:t>
            </w:r>
            <w:r w:rsidRPr="00EC4052">
              <w:rPr>
                <w:sz w:val="20"/>
                <w:szCs w:val="20"/>
              </w:rPr>
              <w:t>reģistrā</w:t>
            </w:r>
            <w:r>
              <w:rPr>
                <w:sz w:val="20"/>
                <w:szCs w:val="20"/>
              </w:rPr>
              <w:t xml:space="preserve"> </w:t>
            </w:r>
            <w:r w:rsidRPr="00EC4052">
              <w:rPr>
                <w:sz w:val="20"/>
                <w:szCs w:val="20"/>
              </w:rPr>
              <w:t>iekļautās ziņas var saņemt</w:t>
            </w:r>
            <w:r>
              <w:rPr>
                <w:sz w:val="20"/>
                <w:szCs w:val="20"/>
              </w:rPr>
              <w:t xml:space="preserve"> in</w:t>
            </w:r>
            <w:r w:rsidRPr="00EC4052">
              <w:rPr>
                <w:sz w:val="20"/>
                <w:szCs w:val="20"/>
              </w:rPr>
              <w:t xml:space="preserve">teraktīvi, autentificējoties </w:t>
            </w:r>
            <w:r>
              <w:rPr>
                <w:sz w:val="20"/>
                <w:szCs w:val="20"/>
              </w:rPr>
              <w:t xml:space="preserve">Kredītu </w:t>
            </w:r>
            <w:r w:rsidRPr="00EC4052">
              <w:rPr>
                <w:sz w:val="20"/>
                <w:szCs w:val="20"/>
              </w:rPr>
              <w:t xml:space="preserve">reģistra elektroniskās </w:t>
            </w:r>
            <w:r w:rsidRPr="00EC4052">
              <w:rPr>
                <w:sz w:val="20"/>
                <w:szCs w:val="20"/>
              </w:rPr>
              <w:lastRenderedPageBreak/>
              <w:t>apkalpošanas interneta vietnē (adrese: https://manidati.kreg.lv) ar klientam vai klienta galviniekam, kas ir fiziskā persona, vai juridiskās personas, kura ir klients vai klienta galvinieks, pārstāvim Latvijā izsniegtu šādu elektroniskās identifikācijas līdzekli:</w:t>
            </w:r>
          </w:p>
          <w:p w14:paraId="4F9B48AA" w14:textId="77777777" w:rsidR="001E4331" w:rsidRPr="00EC4052" w:rsidRDefault="001E4331" w:rsidP="001E4331">
            <w:pPr>
              <w:pStyle w:val="naisc"/>
              <w:spacing w:before="0" w:after="0"/>
              <w:jc w:val="both"/>
              <w:rPr>
                <w:sz w:val="20"/>
                <w:szCs w:val="20"/>
              </w:rPr>
            </w:pPr>
            <w:r w:rsidRPr="00EC4052">
              <w:rPr>
                <w:sz w:val="20"/>
                <w:szCs w:val="20"/>
              </w:rPr>
              <w:t>354.4.1. personas apliecību;</w:t>
            </w:r>
          </w:p>
          <w:p w14:paraId="133F7861" w14:textId="77777777" w:rsidR="001E4331" w:rsidRDefault="001E4331" w:rsidP="001E4331">
            <w:pPr>
              <w:pStyle w:val="naisc"/>
              <w:spacing w:before="0" w:after="0"/>
              <w:jc w:val="both"/>
              <w:rPr>
                <w:sz w:val="20"/>
                <w:szCs w:val="20"/>
              </w:rPr>
            </w:pPr>
            <w:r w:rsidRPr="00EC4052">
              <w:rPr>
                <w:sz w:val="20"/>
                <w:szCs w:val="20"/>
              </w:rPr>
              <w:t>354.4.2. Fizisko personu elektroniskās identifikācijas likumā paredzēto citu kvalificētu vai kvalificētu paaugstinātas drošības elektroniskās identifikācijas līdzekli, kura pieņemšanu nodrošina Latvijas Banka;</w:t>
            </w:r>
          </w:p>
          <w:p w14:paraId="04F9D3D2" w14:textId="77777777" w:rsidR="001E4331" w:rsidRDefault="001E4331" w:rsidP="001E4331">
            <w:pPr>
              <w:pStyle w:val="naisc"/>
              <w:spacing w:before="0" w:after="0"/>
              <w:jc w:val="both"/>
              <w:rPr>
                <w:sz w:val="20"/>
                <w:szCs w:val="20"/>
              </w:rPr>
            </w:pPr>
            <w:r w:rsidRPr="00EC4052">
              <w:rPr>
                <w:sz w:val="20"/>
                <w:szCs w:val="20"/>
              </w:rPr>
              <w:t>354.4.3. Eiropas Komisijai paziņotu un Eiropas Savienības Oficiālajā Vēstnesī publicētu elektroniskās identifikācijas līdzekli, kas atbilst būtiskam vai augstam uzticamības līmenim Eiropas Parlamenta un Padomes 2014. gada 23. jūlija Regulas Nr. 910/2014/ES par elektronisko identifikāciju un uzticamības pakalpojumiem elektronisko darījumu veikšanai iekšējā tirgū un ar ko atceļ Direktīvu 1999/93/EK, izpratnē, kura pieņemšanu nodrošina Latvijas Banka.</w:t>
            </w:r>
          </w:p>
          <w:p w14:paraId="7F3FC3B3" w14:textId="77777777" w:rsidR="001E4331" w:rsidRDefault="001E4331" w:rsidP="001E4331">
            <w:pPr>
              <w:pStyle w:val="naisc"/>
              <w:spacing w:before="0" w:after="0"/>
              <w:contextualSpacing/>
              <w:jc w:val="both"/>
              <w:rPr>
                <w:sz w:val="20"/>
                <w:szCs w:val="20"/>
              </w:rPr>
            </w:pPr>
            <w:r>
              <w:rPr>
                <w:sz w:val="20"/>
                <w:szCs w:val="20"/>
              </w:rPr>
              <w:t>Tādējādi attiecīgais Latvijas Bankas noteiktais regulējums par Kredītu reģistrā iekļauto ziņu izsniegšanu fiziskām personām, kas ir Kredītu reģistra dalībnieku vai Valsts kases klienti vai klienta galvinieki, jau nodrošina tādu kārtību, kāda attiecībā uz konkrēto jautājumu ir ierosināta Vides aizsardzības un reģionālās attīstības ministrijas atzinumā.</w:t>
            </w:r>
          </w:p>
          <w:p w14:paraId="4C43B4DE" w14:textId="77777777" w:rsidR="001E4331" w:rsidRDefault="001E4331" w:rsidP="001E4331">
            <w:pPr>
              <w:pStyle w:val="naisc"/>
              <w:spacing w:before="0" w:after="0"/>
              <w:contextualSpacing/>
              <w:jc w:val="both"/>
              <w:rPr>
                <w:sz w:val="20"/>
                <w:szCs w:val="20"/>
              </w:rPr>
            </w:pPr>
          </w:p>
          <w:p w14:paraId="5C7E98D1" w14:textId="77777777" w:rsidR="001E4331" w:rsidRDefault="001E4331" w:rsidP="001E4331">
            <w:pPr>
              <w:pStyle w:val="naisc"/>
              <w:spacing w:before="0" w:after="0"/>
              <w:contextualSpacing/>
              <w:jc w:val="both"/>
              <w:rPr>
                <w:sz w:val="20"/>
                <w:szCs w:val="20"/>
              </w:rPr>
            </w:pPr>
          </w:p>
          <w:p w14:paraId="7FB9608A" w14:textId="77777777" w:rsidR="001E4331" w:rsidRDefault="001E4331" w:rsidP="001E4331">
            <w:pPr>
              <w:pStyle w:val="naisc"/>
              <w:spacing w:before="0" w:after="0"/>
              <w:contextualSpacing/>
              <w:jc w:val="both"/>
              <w:rPr>
                <w:sz w:val="20"/>
                <w:szCs w:val="20"/>
              </w:rPr>
            </w:pPr>
          </w:p>
          <w:p w14:paraId="05B98D71" w14:textId="77777777" w:rsidR="001E4331" w:rsidRDefault="001E4331" w:rsidP="001E4331">
            <w:pPr>
              <w:pStyle w:val="naisc"/>
              <w:spacing w:before="0" w:after="0"/>
              <w:contextualSpacing/>
              <w:jc w:val="both"/>
              <w:rPr>
                <w:sz w:val="20"/>
                <w:szCs w:val="20"/>
              </w:rPr>
            </w:pPr>
          </w:p>
          <w:p w14:paraId="3A73CC8B" w14:textId="77777777" w:rsidR="001E4331" w:rsidRDefault="001E4331" w:rsidP="001E4331">
            <w:pPr>
              <w:pStyle w:val="naisc"/>
              <w:spacing w:before="0" w:after="0"/>
              <w:contextualSpacing/>
              <w:jc w:val="both"/>
              <w:rPr>
                <w:sz w:val="20"/>
                <w:szCs w:val="20"/>
              </w:rPr>
            </w:pPr>
          </w:p>
          <w:p w14:paraId="077AB595" w14:textId="77777777" w:rsidR="001E4331" w:rsidRDefault="001E4331" w:rsidP="001E4331">
            <w:pPr>
              <w:pStyle w:val="naisc"/>
              <w:spacing w:before="0" w:after="0"/>
              <w:contextualSpacing/>
              <w:jc w:val="both"/>
              <w:rPr>
                <w:sz w:val="20"/>
                <w:szCs w:val="20"/>
              </w:rPr>
            </w:pPr>
          </w:p>
          <w:p w14:paraId="0994DABE" w14:textId="77777777" w:rsidR="001E4331" w:rsidRDefault="001E4331" w:rsidP="001E4331">
            <w:pPr>
              <w:pStyle w:val="naisc"/>
              <w:spacing w:before="0" w:after="0"/>
              <w:contextualSpacing/>
              <w:jc w:val="both"/>
              <w:rPr>
                <w:sz w:val="20"/>
                <w:szCs w:val="20"/>
              </w:rPr>
            </w:pPr>
          </w:p>
          <w:p w14:paraId="2E9854AF" w14:textId="77777777" w:rsidR="001E4331" w:rsidRDefault="001E4331" w:rsidP="001E4331">
            <w:pPr>
              <w:pStyle w:val="naisc"/>
              <w:spacing w:before="0" w:after="0"/>
              <w:contextualSpacing/>
              <w:jc w:val="both"/>
              <w:rPr>
                <w:sz w:val="20"/>
                <w:szCs w:val="20"/>
              </w:rPr>
            </w:pPr>
          </w:p>
          <w:p w14:paraId="24F5971E" w14:textId="77777777" w:rsidR="001E4331" w:rsidRDefault="001E4331" w:rsidP="001E4331">
            <w:pPr>
              <w:pStyle w:val="naisc"/>
              <w:spacing w:before="0" w:after="0"/>
              <w:contextualSpacing/>
              <w:jc w:val="both"/>
              <w:rPr>
                <w:sz w:val="20"/>
                <w:szCs w:val="20"/>
              </w:rPr>
            </w:pPr>
          </w:p>
          <w:p w14:paraId="7CB30FB2" w14:textId="77777777" w:rsidR="001E4331" w:rsidRDefault="001E4331" w:rsidP="001E4331">
            <w:pPr>
              <w:pStyle w:val="naisc"/>
              <w:spacing w:before="0" w:after="0"/>
              <w:contextualSpacing/>
              <w:jc w:val="both"/>
              <w:rPr>
                <w:sz w:val="20"/>
                <w:szCs w:val="20"/>
              </w:rPr>
            </w:pPr>
          </w:p>
          <w:p w14:paraId="7C6E0989" w14:textId="77777777" w:rsidR="001E4331" w:rsidRDefault="001E4331" w:rsidP="001E4331">
            <w:pPr>
              <w:pStyle w:val="naisc"/>
              <w:spacing w:before="0" w:after="0"/>
              <w:contextualSpacing/>
              <w:jc w:val="both"/>
              <w:rPr>
                <w:sz w:val="20"/>
                <w:szCs w:val="20"/>
              </w:rPr>
            </w:pPr>
          </w:p>
          <w:p w14:paraId="2470BFF0" w14:textId="77777777" w:rsidR="001E4331" w:rsidRDefault="001E4331" w:rsidP="001E4331">
            <w:pPr>
              <w:pStyle w:val="naisc"/>
              <w:spacing w:before="0" w:after="0"/>
              <w:contextualSpacing/>
              <w:jc w:val="both"/>
              <w:rPr>
                <w:sz w:val="20"/>
                <w:szCs w:val="20"/>
              </w:rPr>
            </w:pPr>
          </w:p>
          <w:p w14:paraId="148014B6" w14:textId="77777777" w:rsidR="001E4331" w:rsidRDefault="001E4331" w:rsidP="001E4331">
            <w:pPr>
              <w:pStyle w:val="naisc"/>
              <w:spacing w:before="0" w:after="0"/>
              <w:contextualSpacing/>
              <w:jc w:val="both"/>
              <w:rPr>
                <w:sz w:val="20"/>
                <w:szCs w:val="20"/>
              </w:rPr>
            </w:pPr>
          </w:p>
          <w:p w14:paraId="10A73847" w14:textId="77777777" w:rsidR="001E4331" w:rsidRDefault="001E4331" w:rsidP="001E4331">
            <w:pPr>
              <w:pStyle w:val="naisc"/>
              <w:spacing w:before="0" w:after="0"/>
              <w:contextualSpacing/>
              <w:jc w:val="both"/>
              <w:rPr>
                <w:sz w:val="20"/>
                <w:szCs w:val="20"/>
              </w:rPr>
            </w:pPr>
          </w:p>
          <w:p w14:paraId="7A26AB12" w14:textId="77777777" w:rsidR="001E4331" w:rsidRDefault="001E4331" w:rsidP="001E4331">
            <w:pPr>
              <w:pStyle w:val="naisc"/>
              <w:spacing w:before="0" w:after="0"/>
              <w:contextualSpacing/>
              <w:jc w:val="both"/>
              <w:rPr>
                <w:sz w:val="20"/>
                <w:szCs w:val="20"/>
              </w:rPr>
            </w:pPr>
          </w:p>
          <w:p w14:paraId="387DC2FB" w14:textId="77777777" w:rsidR="001E4331" w:rsidRDefault="001E4331" w:rsidP="001E4331">
            <w:pPr>
              <w:pStyle w:val="naisc"/>
              <w:spacing w:before="0" w:after="0"/>
              <w:contextualSpacing/>
              <w:jc w:val="both"/>
              <w:rPr>
                <w:sz w:val="20"/>
                <w:szCs w:val="20"/>
              </w:rPr>
            </w:pPr>
          </w:p>
          <w:p w14:paraId="4BADF152" w14:textId="77777777" w:rsidR="001E4331" w:rsidRDefault="001E4331" w:rsidP="001E4331">
            <w:pPr>
              <w:pStyle w:val="naisc"/>
              <w:spacing w:before="0" w:after="0"/>
              <w:contextualSpacing/>
              <w:jc w:val="both"/>
              <w:rPr>
                <w:sz w:val="20"/>
                <w:szCs w:val="20"/>
              </w:rPr>
            </w:pPr>
          </w:p>
          <w:p w14:paraId="6B0FC455" w14:textId="77777777" w:rsidR="001E4331" w:rsidRDefault="001E4331" w:rsidP="001E4331">
            <w:pPr>
              <w:pStyle w:val="naisc"/>
              <w:spacing w:before="0" w:after="0"/>
              <w:contextualSpacing/>
              <w:jc w:val="both"/>
              <w:rPr>
                <w:sz w:val="20"/>
                <w:szCs w:val="20"/>
              </w:rPr>
            </w:pPr>
          </w:p>
          <w:p w14:paraId="56EBE025" w14:textId="77777777" w:rsidR="001E4331" w:rsidRDefault="001E4331" w:rsidP="001E4331">
            <w:pPr>
              <w:pStyle w:val="naisc"/>
              <w:spacing w:before="0" w:after="0"/>
              <w:contextualSpacing/>
              <w:jc w:val="both"/>
              <w:rPr>
                <w:sz w:val="20"/>
                <w:szCs w:val="20"/>
              </w:rPr>
            </w:pPr>
          </w:p>
          <w:p w14:paraId="3202E19B" w14:textId="77777777" w:rsidR="001E4331" w:rsidRDefault="001E4331" w:rsidP="001E4331">
            <w:pPr>
              <w:pStyle w:val="naisc"/>
              <w:spacing w:before="0" w:after="0"/>
              <w:contextualSpacing/>
              <w:jc w:val="both"/>
              <w:rPr>
                <w:sz w:val="20"/>
                <w:szCs w:val="20"/>
              </w:rPr>
            </w:pPr>
          </w:p>
          <w:p w14:paraId="3395BBF2" w14:textId="77777777" w:rsidR="001E4331" w:rsidRDefault="001E4331" w:rsidP="001E4331">
            <w:pPr>
              <w:pStyle w:val="naisc"/>
              <w:spacing w:before="0" w:after="0"/>
              <w:contextualSpacing/>
              <w:jc w:val="both"/>
              <w:rPr>
                <w:sz w:val="20"/>
                <w:szCs w:val="20"/>
              </w:rPr>
            </w:pPr>
            <w:r w:rsidRPr="00297D89">
              <w:rPr>
                <w:sz w:val="20"/>
                <w:szCs w:val="20"/>
              </w:rPr>
              <w:t>Latvija, ieviešot AML 4. un 5. direktīvu, izvēlējās kā klienta neklātienes ID līdzekļus noteikt ne tikai eIDAS, bet vēl trīs. Tie paredzētu Noziedzīgi iegūtu līdzekļu legalizācijas un terorisma un proliferācijas finansēšanas novēršanas likumā  un MK noteikumos par neklātienes klienta identifikāciju, ko veic minētā likuma subjektus ML/TF/PF risku vadībai. Šīs metodes ir starptautiski izmantotas un tika pārņemtas Latvijā, lai nodrošinātu mūsu finanšu sektora konkurētspēju.</w:t>
            </w:r>
          </w:p>
          <w:p w14:paraId="1257F514" w14:textId="77777777" w:rsidR="001E4331" w:rsidRDefault="001E4331" w:rsidP="001E4331">
            <w:pPr>
              <w:pStyle w:val="naisc"/>
              <w:spacing w:before="0" w:after="0"/>
              <w:contextualSpacing/>
              <w:jc w:val="both"/>
              <w:rPr>
                <w:sz w:val="20"/>
                <w:szCs w:val="20"/>
              </w:rPr>
            </w:pPr>
            <w:r>
              <w:rPr>
                <w:sz w:val="20"/>
                <w:szCs w:val="20"/>
              </w:rPr>
              <w:t>A</w:t>
            </w:r>
            <w:r w:rsidRPr="00297D89">
              <w:rPr>
                <w:sz w:val="20"/>
                <w:szCs w:val="20"/>
              </w:rPr>
              <w:t>tšķirīga attieksme ir pretrunā ar to, kas notiek pārējā tirgū. Nebanku aizdevēji nav Kredītu reģistra dalībnieki, viņi ziņo tikai kredītinformācijas birojiem. Viņiem nav ierobežojuma izsniegt aizdevumus neklātienē identificētiem klientiem (var identificēt ar vēl vienkāršākām metodēm nekā tas ir bankām atļauts, proti, 1 centa maksājuma metodi).</w:t>
            </w:r>
          </w:p>
          <w:p w14:paraId="5361C2A7" w14:textId="77777777" w:rsidR="001E4331" w:rsidRDefault="001E4331" w:rsidP="001E4331">
            <w:pPr>
              <w:pStyle w:val="naisc"/>
              <w:spacing w:before="0" w:after="0"/>
              <w:jc w:val="both"/>
              <w:rPr>
                <w:sz w:val="20"/>
                <w:szCs w:val="20"/>
              </w:rPr>
            </w:pPr>
            <w:r w:rsidRPr="00297D89">
              <w:rPr>
                <w:sz w:val="20"/>
                <w:szCs w:val="20"/>
              </w:rPr>
              <w:t xml:space="preserve">Ja </w:t>
            </w:r>
            <w:r>
              <w:rPr>
                <w:sz w:val="20"/>
                <w:szCs w:val="20"/>
              </w:rPr>
              <w:t>s</w:t>
            </w:r>
            <w:r w:rsidRPr="00297D89">
              <w:rPr>
                <w:sz w:val="20"/>
                <w:szCs w:val="20"/>
              </w:rPr>
              <w:t xml:space="preserve">katāmies starptautiski, tad finanšu sektorā jaunu klientu piesaistei ir parasts </w:t>
            </w:r>
            <w:r w:rsidRPr="00297D89">
              <w:rPr>
                <w:sz w:val="20"/>
                <w:szCs w:val="20"/>
              </w:rPr>
              <w:lastRenderedPageBreak/>
              <w:t>izmantot metodes ārpus eIDAS un uzraugi to aktīvi atbalsta/regulē/skaidro. Latvijas finanšu sektoram ir būtiski piesaistīt klientus no citām ES valstīm, ņemot vērā būtisko kritumu NVS klientu segmentā.</w:t>
            </w:r>
          </w:p>
          <w:p w14:paraId="687557F5" w14:textId="77777777" w:rsidR="001E4331" w:rsidRDefault="001E4331" w:rsidP="001E4331">
            <w:pPr>
              <w:pStyle w:val="naisc"/>
              <w:spacing w:before="0" w:after="0"/>
              <w:jc w:val="both"/>
              <w:rPr>
                <w:sz w:val="20"/>
                <w:szCs w:val="20"/>
              </w:rPr>
            </w:pPr>
          </w:p>
          <w:p w14:paraId="74CD31B3" w14:textId="77777777" w:rsidR="001E4331" w:rsidRDefault="001E4331" w:rsidP="00BD414E">
            <w:pPr>
              <w:pStyle w:val="naisc"/>
              <w:spacing w:before="0" w:after="0"/>
              <w:jc w:val="both"/>
              <w:rPr>
                <w:sz w:val="20"/>
                <w:szCs w:val="20"/>
              </w:rPr>
            </w:pPr>
            <w:r>
              <w:rPr>
                <w:sz w:val="20"/>
                <w:szCs w:val="20"/>
              </w:rPr>
              <w:t>Vienošanās panākta 2019. gada 5. jūlija starpinstitūciju sanāksmē, skatīt papildināto 1. panta redakciju.</w:t>
            </w:r>
          </w:p>
          <w:p w14:paraId="2D93410D" w14:textId="2D793701" w:rsidR="00C17793" w:rsidRPr="00C17793" w:rsidRDefault="00C17793" w:rsidP="00C17793">
            <w:pPr>
              <w:pStyle w:val="naisc"/>
              <w:spacing w:before="0" w:after="0"/>
              <w:jc w:val="both"/>
              <w:rPr>
                <w:sz w:val="20"/>
                <w:szCs w:val="20"/>
              </w:rPr>
            </w:pPr>
            <w:r w:rsidRPr="00C17793">
              <w:rPr>
                <w:sz w:val="20"/>
                <w:szCs w:val="20"/>
              </w:rPr>
              <w:t>Papildināt</w:t>
            </w:r>
            <w:r>
              <w:rPr>
                <w:sz w:val="20"/>
                <w:szCs w:val="20"/>
              </w:rPr>
              <w:t>s</w:t>
            </w:r>
            <w:r w:rsidRPr="00C17793">
              <w:rPr>
                <w:sz w:val="20"/>
                <w:szCs w:val="20"/>
              </w:rPr>
              <w:t xml:space="preserve"> </w:t>
            </w:r>
            <w:r>
              <w:rPr>
                <w:sz w:val="20"/>
                <w:szCs w:val="20"/>
              </w:rPr>
              <w:t>likum</w:t>
            </w:r>
            <w:r w:rsidRPr="00C17793">
              <w:rPr>
                <w:sz w:val="20"/>
                <w:szCs w:val="20"/>
              </w:rPr>
              <w:t>projekta anotācijas I sadaļas 2.punkt</w:t>
            </w:r>
            <w:r>
              <w:rPr>
                <w:sz w:val="20"/>
                <w:szCs w:val="20"/>
              </w:rPr>
              <w:t>s</w:t>
            </w:r>
            <w:r w:rsidRPr="00C17793">
              <w:rPr>
                <w:sz w:val="20"/>
                <w:szCs w:val="20"/>
              </w:rPr>
              <w:t xml:space="preserve"> ar MK noteikumu par klienta neklātienes identifikāciju 7.punktā ietverto identifikācijas veidu uzskaitījumu</w:t>
            </w:r>
            <w:r>
              <w:rPr>
                <w:sz w:val="20"/>
                <w:szCs w:val="20"/>
              </w:rPr>
              <w:t>.</w:t>
            </w:r>
          </w:p>
        </w:tc>
        <w:tc>
          <w:tcPr>
            <w:tcW w:w="3969" w:type="dxa"/>
            <w:tcBorders>
              <w:top w:val="single" w:sz="4" w:space="0" w:color="auto"/>
              <w:left w:val="single" w:sz="4" w:space="0" w:color="auto"/>
              <w:bottom w:val="single" w:sz="4" w:space="0" w:color="auto"/>
            </w:tcBorders>
          </w:tcPr>
          <w:p w14:paraId="696E86A9" w14:textId="77777777" w:rsidR="001E4331" w:rsidRPr="00C377FC" w:rsidRDefault="001E4331" w:rsidP="001E4331">
            <w:pPr>
              <w:pStyle w:val="naisc"/>
              <w:spacing w:before="0" w:after="0"/>
              <w:contextualSpacing/>
              <w:jc w:val="both"/>
              <w:rPr>
                <w:i/>
                <w:sz w:val="20"/>
                <w:szCs w:val="20"/>
              </w:rPr>
            </w:pPr>
            <w:r w:rsidRPr="00C377FC">
              <w:rPr>
                <w:b/>
                <w:i/>
                <w:sz w:val="20"/>
                <w:szCs w:val="20"/>
              </w:rPr>
              <w:lastRenderedPageBreak/>
              <w:t>“1. pants</w:t>
            </w:r>
            <w:r w:rsidRPr="00C377FC">
              <w:rPr>
                <w:i/>
                <w:sz w:val="20"/>
                <w:szCs w:val="20"/>
              </w:rPr>
              <w:t xml:space="preserve"> 1. pantā:</w:t>
            </w:r>
          </w:p>
          <w:p w14:paraId="5030E952" w14:textId="77777777" w:rsidR="001E4331" w:rsidRPr="00C377FC" w:rsidRDefault="001E4331" w:rsidP="001E4331">
            <w:pPr>
              <w:pStyle w:val="naisc"/>
              <w:spacing w:before="0" w:after="0"/>
              <w:contextualSpacing/>
              <w:jc w:val="both"/>
              <w:rPr>
                <w:sz w:val="20"/>
                <w:szCs w:val="20"/>
              </w:rPr>
            </w:pPr>
          </w:p>
          <w:p w14:paraId="7F73C627" w14:textId="77777777" w:rsidR="001E4331" w:rsidRPr="0017767F" w:rsidRDefault="001E4331" w:rsidP="001E4331">
            <w:pPr>
              <w:contextualSpacing/>
              <w:jc w:val="both"/>
              <w:rPr>
                <w:i/>
                <w:sz w:val="20"/>
                <w:szCs w:val="20"/>
              </w:rPr>
            </w:pPr>
            <w:r w:rsidRPr="0017767F">
              <w:rPr>
                <w:i/>
                <w:sz w:val="20"/>
                <w:szCs w:val="20"/>
              </w:rPr>
              <w:t xml:space="preserve">aizstāt 7. punkta “a” apakšpunktā vārdus “vai veidā, par kuru reģistra dalībnieks vai Valsts kase un iespējamais klients iepriekš rakstveidā vienojušies” ar vārdiem “vai </w:t>
            </w:r>
            <w:r w:rsidRPr="0017767F">
              <w:rPr>
                <w:i/>
                <w:sz w:val="20"/>
                <w:szCs w:val="20"/>
                <w:u w:val="single"/>
              </w:rPr>
              <w:t>saskaņā ar normatīvajiem aktiem par personu neklātienes identifikāciju,</w:t>
            </w:r>
            <w:r w:rsidRPr="0017767F">
              <w:rPr>
                <w:i/>
                <w:sz w:val="20"/>
                <w:szCs w:val="20"/>
              </w:rPr>
              <w:t xml:space="preserve"> izmantojot tehnoloģisku risinājumu, kas nodrošina pieteikumā ietvertās informācijas nemainīgumu un sniedz pārliecību par personas identitāti";</w:t>
            </w:r>
          </w:p>
          <w:p w14:paraId="1785BE6E" w14:textId="77777777" w:rsidR="001E4331" w:rsidRPr="0017767F" w:rsidRDefault="001E4331" w:rsidP="001E4331">
            <w:pPr>
              <w:contextualSpacing/>
              <w:jc w:val="both"/>
              <w:rPr>
                <w:sz w:val="20"/>
                <w:szCs w:val="20"/>
              </w:rPr>
            </w:pPr>
          </w:p>
          <w:p w14:paraId="05335D5A" w14:textId="00E749F9" w:rsidR="001E4331" w:rsidRPr="00DF4A27" w:rsidRDefault="001E4331" w:rsidP="001E4331">
            <w:pPr>
              <w:pStyle w:val="NoSpacing"/>
              <w:jc w:val="both"/>
              <w:rPr>
                <w:rFonts w:ascii="Times New Roman" w:hAnsi="Times New Roman"/>
                <w:sz w:val="20"/>
                <w:szCs w:val="20"/>
              </w:rPr>
            </w:pPr>
            <w:r w:rsidRPr="00DF4A27">
              <w:rPr>
                <w:rFonts w:ascii="Times New Roman" w:hAnsi="Times New Roman"/>
                <w:i/>
                <w:sz w:val="20"/>
                <w:szCs w:val="20"/>
              </w:rPr>
              <w:t xml:space="preserve">aizstāt 10. punkta “a” apakšpunktā vārdus “vai veidā, par kuru reģistra dalībnieks vai Valsts kase un iespējamais klienta galvinieks iepriekš rakstveidā vienojušies” ar vārdiem “vai </w:t>
            </w:r>
            <w:r w:rsidRPr="00DF4A27">
              <w:rPr>
                <w:rFonts w:ascii="Times New Roman" w:hAnsi="Times New Roman"/>
                <w:i/>
                <w:sz w:val="20"/>
                <w:szCs w:val="20"/>
                <w:u w:val="single"/>
              </w:rPr>
              <w:t>saskaņā ar normatīvajiem aktiem par personu neklātienes identifikāciju,</w:t>
            </w:r>
            <w:r w:rsidRPr="00DF4A27">
              <w:rPr>
                <w:rFonts w:ascii="Times New Roman" w:hAnsi="Times New Roman"/>
                <w:i/>
                <w:sz w:val="20"/>
                <w:szCs w:val="20"/>
              </w:rPr>
              <w:t xml:space="preserve"> izmantojot tehnoloģisku risinājumu, kas nodrošina pieteikumā ietvertās informācijas nemainīgumu un sniedz pārliecību par personas identitāti".”</w:t>
            </w:r>
          </w:p>
        </w:tc>
      </w:tr>
      <w:tr w:rsidR="00513BD5" w:rsidRPr="00704F07" w14:paraId="3A1F9952"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10CF5AC" w14:textId="35C98078" w:rsidR="00513BD5" w:rsidRDefault="00513BD5" w:rsidP="00513BD5">
            <w:pPr>
              <w:pStyle w:val="naisc"/>
              <w:spacing w:before="0" w:after="0"/>
              <w:rPr>
                <w:sz w:val="20"/>
                <w:szCs w:val="20"/>
              </w:rPr>
            </w:pPr>
            <w:r>
              <w:rPr>
                <w:sz w:val="20"/>
                <w:szCs w:val="20"/>
              </w:rPr>
              <w:lastRenderedPageBreak/>
              <w:t>5.</w:t>
            </w:r>
          </w:p>
        </w:tc>
        <w:tc>
          <w:tcPr>
            <w:tcW w:w="2977" w:type="dxa"/>
            <w:gridSpan w:val="2"/>
            <w:tcBorders>
              <w:top w:val="single" w:sz="6" w:space="0" w:color="000000"/>
              <w:left w:val="single" w:sz="6" w:space="0" w:color="000000"/>
              <w:bottom w:val="single" w:sz="6" w:space="0" w:color="000000"/>
              <w:right w:val="single" w:sz="6" w:space="0" w:color="000000"/>
            </w:tcBorders>
          </w:tcPr>
          <w:p w14:paraId="1939B628" w14:textId="04170889" w:rsidR="00513BD5" w:rsidRDefault="00513BD5" w:rsidP="00513BD5">
            <w:pPr>
              <w:pStyle w:val="naisc"/>
              <w:spacing w:before="0" w:after="0"/>
              <w:jc w:val="both"/>
              <w:rPr>
                <w:b/>
                <w:sz w:val="20"/>
                <w:szCs w:val="20"/>
              </w:rPr>
            </w:pPr>
            <w:r w:rsidRPr="00BF3948">
              <w:rPr>
                <w:b/>
                <w:sz w:val="20"/>
                <w:szCs w:val="20"/>
              </w:rPr>
              <w:t>Atzinums uz 23.05.2019.</w:t>
            </w:r>
          </w:p>
        </w:tc>
        <w:tc>
          <w:tcPr>
            <w:tcW w:w="3260" w:type="dxa"/>
            <w:tcBorders>
              <w:top w:val="single" w:sz="6" w:space="0" w:color="000000"/>
              <w:left w:val="single" w:sz="6" w:space="0" w:color="000000"/>
              <w:bottom w:val="single" w:sz="6" w:space="0" w:color="000000"/>
              <w:right w:val="single" w:sz="6" w:space="0" w:color="000000"/>
            </w:tcBorders>
          </w:tcPr>
          <w:p w14:paraId="02AF2559" w14:textId="77777777" w:rsidR="00513BD5" w:rsidRPr="00AE1C61" w:rsidRDefault="00513BD5" w:rsidP="00513BD5">
            <w:pPr>
              <w:ind w:left="-17" w:right="45"/>
              <w:jc w:val="center"/>
              <w:rPr>
                <w:b/>
                <w:color w:val="000000"/>
                <w:sz w:val="20"/>
                <w:szCs w:val="20"/>
              </w:rPr>
            </w:pPr>
            <w:r w:rsidRPr="00AE1C61">
              <w:rPr>
                <w:b/>
                <w:color w:val="000000"/>
                <w:sz w:val="20"/>
                <w:szCs w:val="20"/>
              </w:rPr>
              <w:t>Vides aizsardzības un reģionālās attīstības ministrija</w:t>
            </w:r>
          </w:p>
          <w:p w14:paraId="560DDAF2" w14:textId="143875F1" w:rsidR="00513BD5" w:rsidRPr="00704F07" w:rsidRDefault="00513BD5" w:rsidP="00513BD5">
            <w:pPr>
              <w:pStyle w:val="naisc"/>
              <w:spacing w:before="0" w:after="0"/>
              <w:contextualSpacing/>
              <w:jc w:val="both"/>
              <w:rPr>
                <w:b/>
                <w:sz w:val="20"/>
                <w:szCs w:val="20"/>
              </w:rPr>
            </w:pPr>
            <w:r w:rsidRPr="008946D9">
              <w:rPr>
                <w:color w:val="000000"/>
                <w:sz w:val="20"/>
                <w:szCs w:val="20"/>
              </w:rPr>
              <w:t>Vienlaikus lūdzam precizēt projekta anotāciju, izslēdzot atsauci uz identifikāciju saskaņā ar Ministru kabineta 2018. gada 3. jūlija noteikumiem Nr. 392 "Kārtība, kādā Noziedzīgi iegūtu līdzekļu legalizācijas un terorisma finansēšanas novēršanas likuma subjekts veic klienta neklātienes identifikāciju". Ar minēto kārtību var tik regulēta privātpersonas (reģistra dalībnieka klienta) identifikācija, iesniedzot pieteikumu reģistra dalībniekam, bet šādas pašas identifikācijas prasības nevar tikt attiecināts uz reģistra dalībnieka klientu, tajā brīdī, kad tiek pausta griba kļūt par valsts informācijas sistēmas (reģistra) iespējamo klientu vai iespējamo klienta galvinieku.</w:t>
            </w:r>
          </w:p>
        </w:tc>
        <w:tc>
          <w:tcPr>
            <w:tcW w:w="3544" w:type="dxa"/>
            <w:gridSpan w:val="2"/>
            <w:tcBorders>
              <w:top w:val="single" w:sz="6" w:space="0" w:color="000000"/>
              <w:left w:val="single" w:sz="6" w:space="0" w:color="000000"/>
              <w:bottom w:val="single" w:sz="6" w:space="0" w:color="000000"/>
              <w:right w:val="single" w:sz="6" w:space="0" w:color="000000"/>
            </w:tcBorders>
          </w:tcPr>
          <w:p w14:paraId="55115147" w14:textId="77777777" w:rsidR="00513BD5" w:rsidRDefault="00513BD5" w:rsidP="00513BD5">
            <w:pPr>
              <w:pStyle w:val="naisc"/>
              <w:spacing w:before="0" w:after="0"/>
              <w:rPr>
                <w:b/>
                <w:sz w:val="20"/>
                <w:szCs w:val="20"/>
              </w:rPr>
            </w:pPr>
            <w:r w:rsidRPr="003004B7">
              <w:rPr>
                <w:b/>
                <w:sz w:val="20"/>
                <w:szCs w:val="20"/>
              </w:rPr>
              <w:t xml:space="preserve">Iebildums </w:t>
            </w:r>
            <w:r>
              <w:rPr>
                <w:b/>
                <w:sz w:val="20"/>
                <w:szCs w:val="20"/>
              </w:rPr>
              <w:t xml:space="preserve">nav </w:t>
            </w:r>
            <w:r w:rsidRPr="003004B7">
              <w:rPr>
                <w:b/>
                <w:sz w:val="20"/>
                <w:szCs w:val="20"/>
              </w:rPr>
              <w:t>ņemts vērā</w:t>
            </w:r>
          </w:p>
          <w:p w14:paraId="14680084" w14:textId="77777777" w:rsidR="00513BD5" w:rsidRDefault="00513BD5" w:rsidP="00513BD5">
            <w:pPr>
              <w:pStyle w:val="naisc"/>
              <w:spacing w:before="0" w:after="0"/>
              <w:jc w:val="both"/>
              <w:rPr>
                <w:sz w:val="20"/>
                <w:szCs w:val="20"/>
              </w:rPr>
            </w:pPr>
            <w:r>
              <w:rPr>
                <w:sz w:val="20"/>
                <w:szCs w:val="20"/>
              </w:rPr>
              <w:t>Atzinumā norādītais, ka "a</w:t>
            </w:r>
            <w:r w:rsidRPr="00EC4052">
              <w:rPr>
                <w:sz w:val="20"/>
                <w:szCs w:val="20"/>
              </w:rPr>
              <w:t xml:space="preserve">r minēto </w:t>
            </w:r>
            <w:r>
              <w:rPr>
                <w:sz w:val="20"/>
                <w:szCs w:val="20"/>
              </w:rPr>
              <w:t>[</w:t>
            </w:r>
            <w:r w:rsidRPr="00B559C5">
              <w:rPr>
                <w:sz w:val="20"/>
                <w:szCs w:val="20"/>
              </w:rPr>
              <w:t>Ministru kabineta 2018. gada 3. jūlija noteikum</w:t>
            </w:r>
            <w:r>
              <w:rPr>
                <w:sz w:val="20"/>
                <w:szCs w:val="20"/>
              </w:rPr>
              <w:t>os</w:t>
            </w:r>
            <w:r w:rsidRPr="00B559C5">
              <w:rPr>
                <w:sz w:val="20"/>
                <w:szCs w:val="20"/>
              </w:rPr>
              <w:t xml:space="preserve"> Nr. 392</w:t>
            </w:r>
            <w:r>
              <w:rPr>
                <w:sz w:val="20"/>
                <w:szCs w:val="20"/>
              </w:rPr>
              <w:t xml:space="preserve"> noteikto] </w:t>
            </w:r>
            <w:r w:rsidRPr="00EC4052">
              <w:rPr>
                <w:sz w:val="20"/>
                <w:szCs w:val="20"/>
              </w:rPr>
              <w:t>kārtību var tik regulēta privātpersonas (reģistra dalībnieka klienta) identifikācija, iesniedzot pieteikumu reģistra dalībniekam</w:t>
            </w:r>
            <w:r>
              <w:rPr>
                <w:sz w:val="20"/>
                <w:szCs w:val="20"/>
              </w:rPr>
              <w:t>" atbilst likumprojekta mērķim un anotācijā norādītajam pamatojumam.</w:t>
            </w:r>
          </w:p>
          <w:p w14:paraId="74E874C2" w14:textId="77777777" w:rsidR="00513BD5" w:rsidRDefault="00513BD5" w:rsidP="00513BD5">
            <w:pPr>
              <w:pStyle w:val="naisc"/>
              <w:spacing w:before="0" w:after="0"/>
              <w:jc w:val="both"/>
              <w:rPr>
                <w:sz w:val="20"/>
                <w:szCs w:val="20"/>
              </w:rPr>
            </w:pPr>
            <w:r>
              <w:rPr>
                <w:sz w:val="20"/>
                <w:szCs w:val="20"/>
              </w:rPr>
              <w:t>Savukārt atzinumā papildu norādītais, ka "</w:t>
            </w:r>
            <w:r w:rsidRPr="008946D9">
              <w:rPr>
                <w:color w:val="000000"/>
                <w:sz w:val="20"/>
                <w:szCs w:val="20"/>
              </w:rPr>
              <w:t>šādas pašas identifikācijas prasības nevar tikt attiecināts uz reģistra dalībnieka klientu, tajā brīdī, kad tiek pausta griba kļūt par valsts informācijas sistēmas (reģistra) iespējamo klientu vai iespējamo klienta galvinieku</w:t>
            </w:r>
            <w:r>
              <w:rPr>
                <w:color w:val="000000"/>
                <w:sz w:val="20"/>
                <w:szCs w:val="20"/>
              </w:rPr>
              <w:t xml:space="preserve">" nav attiecināms uz konkrēto regulējumu, kas paredzēts tikai gadījumiem,  </w:t>
            </w:r>
            <w:r>
              <w:rPr>
                <w:sz w:val="20"/>
                <w:szCs w:val="20"/>
              </w:rPr>
              <w:t xml:space="preserve">kad  persona vēršas pie Kredītu reģistra dalībniekiem vai Valsts kases ar pieteikumu kļūt par to klientiem vai klienta galviniekiem, nevis vēršas Kredītu reģistrā ar lūgumu izsniegt Kredītu reģistrā iekļautās ziņas, kam ir </w:t>
            </w:r>
            <w:r>
              <w:rPr>
                <w:sz w:val="20"/>
                <w:szCs w:val="20"/>
              </w:rPr>
              <w:lastRenderedPageBreak/>
              <w:t>atsevišķs Latvijas Bankas noteikts regulējums (skat. iepriekšējo punktu).</w:t>
            </w:r>
          </w:p>
          <w:p w14:paraId="14D42825" w14:textId="77777777" w:rsidR="00513BD5" w:rsidRDefault="00513BD5" w:rsidP="00513BD5">
            <w:pPr>
              <w:pStyle w:val="naisc"/>
              <w:spacing w:before="0" w:after="0"/>
              <w:jc w:val="left"/>
              <w:rPr>
                <w:sz w:val="20"/>
                <w:szCs w:val="20"/>
              </w:rPr>
            </w:pPr>
          </w:p>
          <w:p w14:paraId="6C955B84" w14:textId="2C9B21F7" w:rsidR="00465994" w:rsidRPr="008F2F6E" w:rsidRDefault="00513BD5" w:rsidP="008D733D">
            <w:pPr>
              <w:pStyle w:val="naisc"/>
              <w:spacing w:before="0" w:after="0"/>
              <w:jc w:val="both"/>
              <w:rPr>
                <w:sz w:val="20"/>
                <w:szCs w:val="20"/>
              </w:rPr>
            </w:pPr>
            <w:r>
              <w:rPr>
                <w:sz w:val="20"/>
                <w:szCs w:val="20"/>
              </w:rPr>
              <w:t>Vienošanās panākta 2019. gada 5. jūlija starpinstitūciju sanāksmē.</w:t>
            </w:r>
          </w:p>
        </w:tc>
        <w:tc>
          <w:tcPr>
            <w:tcW w:w="3969" w:type="dxa"/>
            <w:tcBorders>
              <w:top w:val="single" w:sz="4" w:space="0" w:color="auto"/>
              <w:left w:val="single" w:sz="4" w:space="0" w:color="auto"/>
              <w:bottom w:val="single" w:sz="4" w:space="0" w:color="auto"/>
            </w:tcBorders>
          </w:tcPr>
          <w:p w14:paraId="38E4BC7B" w14:textId="77777777" w:rsidR="00513BD5" w:rsidRPr="002D12A1" w:rsidRDefault="00513BD5" w:rsidP="00513BD5">
            <w:pPr>
              <w:pStyle w:val="NoSpacing"/>
              <w:jc w:val="both"/>
              <w:rPr>
                <w:rFonts w:ascii="Times New Roman" w:hAnsi="Times New Roman"/>
                <w:sz w:val="20"/>
                <w:szCs w:val="20"/>
              </w:rPr>
            </w:pPr>
          </w:p>
        </w:tc>
      </w:tr>
      <w:tr w:rsidR="008111BD" w:rsidRPr="003B71E0" w14:paraId="07410D08"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A0D4BF0" w14:textId="1FE4EA6B" w:rsidR="008111BD" w:rsidRDefault="00513BD5" w:rsidP="008111BD">
            <w:pPr>
              <w:pStyle w:val="naisc"/>
              <w:spacing w:before="0" w:after="0"/>
              <w:rPr>
                <w:sz w:val="20"/>
                <w:szCs w:val="20"/>
              </w:rPr>
            </w:pPr>
            <w:r>
              <w:rPr>
                <w:sz w:val="20"/>
                <w:szCs w:val="20"/>
              </w:rPr>
              <w:t>6</w:t>
            </w:r>
            <w:r w:rsidR="008111BD">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55AC692" w14:textId="08662C4E" w:rsidR="008111BD" w:rsidRPr="00FE6DFD" w:rsidRDefault="009D6D99" w:rsidP="009D6D99">
            <w:pPr>
              <w:pStyle w:val="naisc"/>
              <w:spacing w:before="0" w:after="0"/>
              <w:jc w:val="both"/>
              <w:rPr>
                <w:b/>
                <w:sz w:val="20"/>
                <w:szCs w:val="20"/>
              </w:rPr>
            </w:pPr>
            <w:r w:rsidRPr="00FE6DFD">
              <w:rPr>
                <w:b/>
                <w:sz w:val="20"/>
                <w:szCs w:val="20"/>
              </w:rPr>
              <w:t>Atzinums uz 2</w:t>
            </w:r>
            <w:r w:rsidR="007D1FB1" w:rsidRPr="00FE6DFD">
              <w:rPr>
                <w:b/>
                <w:sz w:val="20"/>
                <w:szCs w:val="20"/>
              </w:rPr>
              <w:t>3.05.2019.</w:t>
            </w:r>
          </w:p>
          <w:p w14:paraId="1B493A5F" w14:textId="1B68863E" w:rsidR="00FE6DFD" w:rsidRDefault="004279C0" w:rsidP="00FE6DFD">
            <w:pPr>
              <w:pStyle w:val="BodyText"/>
              <w:ind w:left="0"/>
              <w:contextualSpacing/>
              <w:jc w:val="both"/>
              <w:rPr>
                <w:rFonts w:cs="Times New Roman"/>
                <w:sz w:val="20"/>
                <w:szCs w:val="20"/>
                <w:lang w:val="lv-LV"/>
              </w:rPr>
            </w:pPr>
            <w:r w:rsidRPr="00FE6DFD">
              <w:rPr>
                <w:rFonts w:cs="Times New Roman"/>
                <w:sz w:val="20"/>
                <w:szCs w:val="20"/>
                <w:lang w:val="lv-LV"/>
              </w:rPr>
              <w:t>"</w:t>
            </w:r>
            <w:r w:rsidR="00FE6DFD" w:rsidRPr="00FE6DFD">
              <w:rPr>
                <w:rFonts w:cs="Times New Roman"/>
                <w:b/>
                <w:sz w:val="20"/>
                <w:szCs w:val="20"/>
                <w:lang w:val="lv-LV"/>
              </w:rPr>
              <w:t>2.</w:t>
            </w:r>
            <w:r w:rsidR="00FE6DFD">
              <w:rPr>
                <w:rFonts w:cs="Times New Roman"/>
                <w:b/>
                <w:sz w:val="20"/>
                <w:szCs w:val="20"/>
                <w:lang w:val="lv-LV"/>
              </w:rPr>
              <w:t> </w:t>
            </w:r>
            <w:r w:rsidR="00FE6DFD" w:rsidRPr="00FE6DFD">
              <w:rPr>
                <w:rFonts w:cs="Times New Roman"/>
                <w:b/>
                <w:sz w:val="20"/>
                <w:szCs w:val="20"/>
                <w:lang w:val="lv-LV"/>
              </w:rPr>
              <w:t>pants</w:t>
            </w:r>
            <w:r w:rsidR="00FE6DFD" w:rsidRPr="00FE6DFD">
              <w:rPr>
                <w:rFonts w:cs="Times New Roman"/>
                <w:sz w:val="20"/>
                <w:szCs w:val="20"/>
                <w:lang w:val="lv-LV"/>
              </w:rPr>
              <w:t xml:space="preserve"> Papildināt 15.</w:t>
            </w:r>
            <w:r w:rsidR="00FE6DFD">
              <w:rPr>
                <w:rFonts w:cs="Times New Roman"/>
                <w:sz w:val="20"/>
                <w:szCs w:val="20"/>
                <w:lang w:val="lv-LV"/>
              </w:rPr>
              <w:t> </w:t>
            </w:r>
            <w:r w:rsidR="00FE6DFD" w:rsidRPr="00FE6DFD">
              <w:rPr>
                <w:rFonts w:cs="Times New Roman"/>
                <w:sz w:val="20"/>
                <w:szCs w:val="20"/>
                <w:lang w:val="lv-LV"/>
              </w:rPr>
              <w:t>panta pirmo daļu ar 5.</w:t>
            </w:r>
            <w:r w:rsidR="00FE6DFD" w:rsidRPr="00FE6DFD">
              <w:rPr>
                <w:rFonts w:cs="Times New Roman"/>
                <w:sz w:val="20"/>
                <w:szCs w:val="20"/>
                <w:vertAlign w:val="superscript"/>
                <w:lang w:val="lv-LV"/>
              </w:rPr>
              <w:t>1</w:t>
            </w:r>
            <w:r w:rsidR="00FE6DFD">
              <w:rPr>
                <w:rFonts w:cs="Times New Roman"/>
                <w:sz w:val="20"/>
                <w:szCs w:val="20"/>
                <w:lang w:val="lv-LV"/>
              </w:rPr>
              <w:t> </w:t>
            </w:r>
            <w:r w:rsidR="00FE6DFD" w:rsidRPr="00FE6DFD">
              <w:rPr>
                <w:rFonts w:cs="Times New Roman"/>
                <w:sz w:val="20"/>
                <w:szCs w:val="20"/>
                <w:lang w:val="lv-LV"/>
              </w:rPr>
              <w:t>punktu šādā redakcijā:</w:t>
            </w:r>
          </w:p>
          <w:p w14:paraId="10864E52" w14:textId="77777777" w:rsidR="00FE6DFD" w:rsidRPr="00FE6DFD" w:rsidRDefault="00FE6DFD" w:rsidP="00FE6DFD">
            <w:pPr>
              <w:pStyle w:val="BodyText"/>
              <w:ind w:left="0"/>
              <w:contextualSpacing/>
              <w:jc w:val="both"/>
              <w:rPr>
                <w:rFonts w:cs="Times New Roman"/>
                <w:sz w:val="20"/>
                <w:szCs w:val="20"/>
                <w:lang w:val="lv-LV"/>
              </w:rPr>
            </w:pPr>
          </w:p>
          <w:p w14:paraId="656C40CE" w14:textId="0FADB784" w:rsidR="00FE6DFD" w:rsidRDefault="00FE6DFD" w:rsidP="00FE6DFD">
            <w:pPr>
              <w:contextualSpacing/>
              <w:jc w:val="both"/>
              <w:rPr>
                <w:sz w:val="20"/>
                <w:szCs w:val="20"/>
              </w:rPr>
            </w:pPr>
            <w:r w:rsidRPr="00FE6DFD">
              <w:rPr>
                <w:sz w:val="20"/>
                <w:szCs w:val="20"/>
              </w:rPr>
              <w:t>"5</w:t>
            </w:r>
            <w:r w:rsidRPr="00FE6DFD">
              <w:rPr>
                <w:sz w:val="20"/>
                <w:szCs w:val="20"/>
                <w:vertAlign w:val="superscript"/>
              </w:rPr>
              <w:t>1</w:t>
            </w:r>
            <w:r w:rsidRPr="00FE6DFD">
              <w:rPr>
                <w:sz w:val="20"/>
                <w:szCs w:val="20"/>
              </w:rPr>
              <w:t>) personu, kas ir šā reģistra dalībnieka klienta, klienta galvinieka, iespējamā klienta vai iespējamā klienta galvinieka patiesais labuma guvējs Noziedzīgi iegūtu līdzekļu legalizācijas un terorisma</w:t>
            </w:r>
            <w:r w:rsidR="004279C0">
              <w:rPr>
                <w:sz w:val="20"/>
                <w:szCs w:val="20"/>
              </w:rPr>
              <w:t xml:space="preserve"> </w:t>
            </w:r>
            <w:r w:rsidRPr="00FE6DFD">
              <w:rPr>
                <w:sz w:val="20"/>
                <w:szCs w:val="20"/>
              </w:rPr>
              <w:t>finansēšanas novēršanas likuma izpratnē, un to apliecina Latvijas Republikas vai ārvalsts informācijas sistēmā reģistrētas ziņas vai dokumenti;".</w:t>
            </w:r>
          </w:p>
          <w:p w14:paraId="7221FE23" w14:textId="77777777" w:rsidR="00FE6DFD" w:rsidRPr="00FE6DFD" w:rsidRDefault="00FE6DFD" w:rsidP="00FE6DFD">
            <w:pPr>
              <w:contextualSpacing/>
              <w:jc w:val="both"/>
              <w:rPr>
                <w:sz w:val="20"/>
                <w:szCs w:val="20"/>
              </w:rPr>
            </w:pPr>
          </w:p>
          <w:p w14:paraId="3B2BFF6C" w14:textId="4940A2E5" w:rsidR="00FE6DFD" w:rsidRDefault="00FE6DFD" w:rsidP="00FE6DFD">
            <w:pPr>
              <w:pStyle w:val="BodyText"/>
              <w:ind w:left="0"/>
              <w:contextualSpacing/>
              <w:jc w:val="both"/>
              <w:rPr>
                <w:rFonts w:cs="Times New Roman"/>
                <w:sz w:val="20"/>
                <w:szCs w:val="20"/>
                <w:lang w:val="lv-LV"/>
              </w:rPr>
            </w:pPr>
            <w:r w:rsidRPr="00FE6DFD">
              <w:rPr>
                <w:rFonts w:cs="Times New Roman"/>
                <w:b/>
                <w:sz w:val="20"/>
                <w:szCs w:val="20"/>
                <w:lang w:val="lv-LV"/>
              </w:rPr>
              <w:t>3.</w:t>
            </w:r>
            <w:r>
              <w:rPr>
                <w:rFonts w:cs="Times New Roman"/>
                <w:b/>
                <w:sz w:val="20"/>
                <w:szCs w:val="20"/>
                <w:lang w:val="lv-LV"/>
              </w:rPr>
              <w:t> </w:t>
            </w:r>
            <w:r w:rsidRPr="00FE6DFD">
              <w:rPr>
                <w:rFonts w:cs="Times New Roman"/>
                <w:b/>
                <w:sz w:val="20"/>
                <w:szCs w:val="20"/>
                <w:lang w:val="lv-LV"/>
              </w:rPr>
              <w:t>pants</w:t>
            </w:r>
            <w:r w:rsidRPr="00FE6DFD">
              <w:rPr>
                <w:rFonts w:cs="Times New Roman"/>
                <w:sz w:val="20"/>
                <w:szCs w:val="20"/>
                <w:lang w:val="lv-LV"/>
              </w:rPr>
              <w:t xml:space="preserve"> </w:t>
            </w:r>
            <w:r w:rsidRPr="00FE6DFD">
              <w:rPr>
                <w:rFonts w:cs="Times New Roman"/>
                <w:sz w:val="20"/>
                <w:szCs w:val="20"/>
                <w:lang w:val="lv-LV" w:eastAsia="lv-LV"/>
              </w:rPr>
              <w:t xml:space="preserve">Papildināt 39. panta pirmo daļu </w:t>
            </w:r>
            <w:r w:rsidRPr="00FE6DFD">
              <w:rPr>
                <w:rFonts w:cs="Times New Roman"/>
                <w:sz w:val="20"/>
                <w:szCs w:val="20"/>
                <w:lang w:val="lv-LV"/>
              </w:rPr>
              <w:t>ar 5.</w:t>
            </w:r>
            <w:r w:rsidRPr="00FE6DFD">
              <w:rPr>
                <w:rFonts w:cs="Times New Roman"/>
                <w:sz w:val="20"/>
                <w:szCs w:val="20"/>
                <w:vertAlign w:val="superscript"/>
                <w:lang w:val="lv-LV"/>
              </w:rPr>
              <w:t>1</w:t>
            </w:r>
            <w:r w:rsidRPr="00FE6DFD">
              <w:rPr>
                <w:rFonts w:cs="Times New Roman"/>
                <w:sz w:val="20"/>
                <w:szCs w:val="20"/>
                <w:lang w:val="lv-LV"/>
              </w:rPr>
              <w:t xml:space="preserve"> punktu šādā redakcijā:</w:t>
            </w:r>
          </w:p>
          <w:p w14:paraId="4FB60508" w14:textId="77777777" w:rsidR="00FE6DFD" w:rsidRPr="00FE6DFD" w:rsidRDefault="00FE6DFD" w:rsidP="00FE6DFD">
            <w:pPr>
              <w:pStyle w:val="BodyText"/>
              <w:ind w:left="0"/>
              <w:contextualSpacing/>
              <w:jc w:val="both"/>
              <w:rPr>
                <w:rFonts w:cs="Times New Roman"/>
                <w:sz w:val="20"/>
                <w:szCs w:val="20"/>
                <w:lang w:val="lv-LV"/>
              </w:rPr>
            </w:pPr>
          </w:p>
          <w:p w14:paraId="4B2714D2" w14:textId="476F898E" w:rsidR="00825836" w:rsidRPr="00FE6DFD" w:rsidRDefault="00FE6DFD" w:rsidP="004279C0">
            <w:pPr>
              <w:contextualSpacing/>
              <w:jc w:val="both"/>
              <w:rPr>
                <w:sz w:val="20"/>
                <w:szCs w:val="20"/>
              </w:rPr>
            </w:pPr>
            <w:r w:rsidRPr="00FE6DFD">
              <w:rPr>
                <w:sz w:val="20"/>
                <w:szCs w:val="20"/>
              </w:rPr>
              <w:t>"5</w:t>
            </w:r>
            <w:r w:rsidRPr="00FE6DFD">
              <w:rPr>
                <w:sz w:val="20"/>
                <w:szCs w:val="20"/>
                <w:vertAlign w:val="superscript"/>
              </w:rPr>
              <w:t>1</w:t>
            </w:r>
            <w:r w:rsidRPr="00FE6DFD">
              <w:rPr>
                <w:sz w:val="20"/>
                <w:szCs w:val="20"/>
              </w:rPr>
              <w:t>) personu, kas ir Valsts kases klienta, klienta galvinieka, iespējamā klienta vai iespējamā klienta galvinieka patiesais labuma guvējs Noziedzīgi iegūtu līdzekļu legalizācijas un terorisma</w:t>
            </w:r>
            <w:r w:rsidR="004279C0">
              <w:rPr>
                <w:sz w:val="20"/>
                <w:szCs w:val="20"/>
              </w:rPr>
              <w:t xml:space="preserve"> </w:t>
            </w:r>
            <w:r w:rsidRPr="00FE6DFD">
              <w:rPr>
                <w:sz w:val="20"/>
                <w:szCs w:val="20"/>
              </w:rPr>
              <w:t>finansēšanas novēršanas likuma izpratnē, un to apliecina Latvijas Republikas vai ārvalsts informācijas sistēmā reģistrētas ziņas vai dokumenti;".</w:t>
            </w:r>
            <w:r w:rsidR="004279C0" w:rsidRPr="00FE6DFD">
              <w:rPr>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0C0AC08" w14:textId="77777777" w:rsidR="008548E7" w:rsidRPr="001C022A" w:rsidRDefault="008548E7" w:rsidP="008548E7">
            <w:pPr>
              <w:pStyle w:val="naisc"/>
              <w:spacing w:before="0" w:after="0"/>
              <w:contextualSpacing/>
              <w:rPr>
                <w:b/>
                <w:sz w:val="20"/>
                <w:szCs w:val="20"/>
              </w:rPr>
            </w:pPr>
            <w:r w:rsidRPr="001C022A">
              <w:rPr>
                <w:b/>
                <w:sz w:val="20"/>
                <w:szCs w:val="20"/>
              </w:rPr>
              <w:t>Tieslietu ministrija</w:t>
            </w:r>
          </w:p>
          <w:p w14:paraId="238E1DBB" w14:textId="77777777" w:rsidR="001C022A" w:rsidRPr="001C022A" w:rsidRDefault="001C022A" w:rsidP="001C022A">
            <w:pPr>
              <w:pStyle w:val="Heading3"/>
              <w:shd w:val="clear" w:color="auto" w:fill="FFFFFF"/>
              <w:spacing w:before="0" w:beforeAutospacing="0" w:after="0" w:afterAutospacing="0"/>
              <w:jc w:val="both"/>
              <w:rPr>
                <w:b w:val="0"/>
                <w:sz w:val="20"/>
                <w:szCs w:val="20"/>
              </w:rPr>
            </w:pPr>
            <w:r w:rsidRPr="001C022A">
              <w:rPr>
                <w:b w:val="0"/>
                <w:sz w:val="20"/>
                <w:szCs w:val="20"/>
              </w:rPr>
              <w:t>Likumprojekts paredz papildināt 15. panta pirmo daļu ar 5.</w:t>
            </w:r>
            <w:r w:rsidRPr="001C022A">
              <w:rPr>
                <w:b w:val="0"/>
                <w:sz w:val="20"/>
                <w:szCs w:val="20"/>
                <w:vertAlign w:val="superscript"/>
              </w:rPr>
              <w:t>1</w:t>
            </w:r>
            <w:r w:rsidRPr="001C022A">
              <w:rPr>
                <w:b w:val="0"/>
                <w:sz w:val="20"/>
                <w:szCs w:val="20"/>
              </w:rPr>
              <w:t> punktu šādā redakcijā - “personu, kas ir šā reģistra dalībnieka klienta, klienta galvinieka, iespējamā klienta vai iespējamā klienta galvinieka patiesais labuma guvējs Noziedzīgi iegūtu līdzekļu legalizācijas un terorisma finansēšanas novēršanas likuma izpratnē, un to apliecina Latvijas Republikas vai ārvalsts informācijas sistēmā reģistrētas ziņas vai dokumenti”.</w:t>
            </w:r>
          </w:p>
          <w:p w14:paraId="1E175931" w14:textId="77777777" w:rsidR="001C022A" w:rsidRPr="001C022A" w:rsidRDefault="001C022A" w:rsidP="009D6D99">
            <w:pPr>
              <w:pStyle w:val="Heading3"/>
              <w:shd w:val="clear" w:color="auto" w:fill="FFFFFF"/>
              <w:spacing w:before="0" w:beforeAutospacing="0" w:after="0" w:afterAutospacing="0"/>
              <w:jc w:val="both"/>
              <w:rPr>
                <w:b w:val="0"/>
                <w:sz w:val="20"/>
                <w:szCs w:val="20"/>
              </w:rPr>
            </w:pPr>
            <w:r w:rsidRPr="001C022A">
              <w:rPr>
                <w:b w:val="0"/>
                <w:sz w:val="20"/>
                <w:szCs w:val="20"/>
              </w:rPr>
              <w:t>Vēršam uzmanību, ka saskaņā ar Kredītu reģistra likuma 1. pantā iekļautajām definīcijām “klients”, “</w:t>
            </w:r>
            <w:r w:rsidRPr="001C022A">
              <w:rPr>
                <w:b w:val="0"/>
                <w:bCs w:val="0"/>
                <w:sz w:val="20"/>
                <w:szCs w:val="20"/>
              </w:rPr>
              <w:t>klienta galvinieks”</w:t>
            </w:r>
            <w:r w:rsidRPr="001C022A">
              <w:rPr>
                <w:b w:val="0"/>
                <w:sz w:val="20"/>
                <w:szCs w:val="20"/>
              </w:rPr>
              <w:t>, “iespējamais klients”, kā arī “</w:t>
            </w:r>
            <w:r w:rsidRPr="001C022A">
              <w:rPr>
                <w:b w:val="0"/>
                <w:bCs w:val="0"/>
                <w:sz w:val="20"/>
                <w:szCs w:val="20"/>
              </w:rPr>
              <w:t>iespējamā klienta galvinieks”</w:t>
            </w:r>
            <w:r w:rsidRPr="001C022A">
              <w:rPr>
                <w:b w:val="0"/>
                <w:sz w:val="20"/>
                <w:szCs w:val="20"/>
              </w:rPr>
              <w:t xml:space="preserve"> var būt ne tikai juridiska, bet arī fiziska persona. Savukārt Noziedzīgi iegūtu līdzekļu legalizācijas un terorisma finansēšanas novēršanas likuma 1. panta 5. punkts definēts, ka patiesais labuma guvējs ir fiziskā persona, kura ir </w:t>
            </w:r>
            <w:r w:rsidRPr="001C022A">
              <w:rPr>
                <w:b w:val="0"/>
                <w:sz w:val="20"/>
                <w:szCs w:val="20"/>
                <w:u w:val="single"/>
              </w:rPr>
              <w:t xml:space="preserve">klienta </w:t>
            </w:r>
            <w:r w:rsidRPr="001C022A">
              <w:rPr>
                <w:b w:val="0"/>
                <w:sz w:val="20"/>
                <w:szCs w:val="20"/>
              </w:rPr>
              <w:t xml:space="preserve">— </w:t>
            </w:r>
            <w:r w:rsidRPr="001C022A">
              <w:rPr>
                <w:b w:val="0"/>
                <w:sz w:val="20"/>
                <w:szCs w:val="20"/>
                <w:u w:val="single"/>
              </w:rPr>
              <w:t>juridiskās personas</w:t>
            </w:r>
            <w:r w:rsidRPr="001C022A">
              <w:rPr>
                <w:b w:val="0"/>
                <w:sz w:val="20"/>
                <w:szCs w:val="20"/>
              </w:rPr>
              <w:t xml:space="preserve"> — īpašnieks vai kura kontrolē klientu, vai kuras vārdā, labā, interesēs tiek nodibinātas darījuma attiecības vai tiek veikts gadījuma rakstura darījums.</w:t>
            </w:r>
          </w:p>
          <w:p w14:paraId="3556A5F0" w14:textId="00C56081" w:rsidR="008111BD" w:rsidRPr="001C022A" w:rsidRDefault="001C022A" w:rsidP="001C022A">
            <w:pPr>
              <w:spacing w:after="5" w:line="268" w:lineRule="auto"/>
              <w:ind w:left="-15" w:right="48"/>
              <w:jc w:val="both"/>
              <w:rPr>
                <w:color w:val="000000"/>
                <w:sz w:val="20"/>
                <w:szCs w:val="20"/>
              </w:rPr>
            </w:pPr>
            <w:r w:rsidRPr="001C022A">
              <w:rPr>
                <w:sz w:val="20"/>
                <w:szCs w:val="20"/>
              </w:rPr>
              <w:t xml:space="preserve">Tāpat arī anotācijā ir norādīts, ka likumprojekts paredz reģistra dalībniekiem radīt iespēju no publiska </w:t>
            </w:r>
            <w:r w:rsidRPr="001C022A">
              <w:rPr>
                <w:sz w:val="20"/>
                <w:szCs w:val="20"/>
              </w:rPr>
              <w:lastRenderedPageBreak/>
              <w:t xml:space="preserve">reģistra iegūt ziņas par klientu – </w:t>
            </w:r>
            <w:r w:rsidRPr="001C022A">
              <w:rPr>
                <w:sz w:val="20"/>
                <w:szCs w:val="20"/>
                <w:u w:val="single"/>
              </w:rPr>
              <w:t>juridisku personu</w:t>
            </w:r>
            <w:r w:rsidRPr="001C022A">
              <w:rPr>
                <w:sz w:val="20"/>
                <w:szCs w:val="20"/>
              </w:rPr>
              <w:t xml:space="preserve"> – patiesajiem labuma guvējiem. Līdz ar to Tieslietu ministrijas ieskatā būtu precizējams 15. panta pirmās daļas 5.</w:t>
            </w:r>
            <w:r w:rsidRPr="001C022A">
              <w:rPr>
                <w:sz w:val="20"/>
                <w:szCs w:val="20"/>
                <w:vertAlign w:val="superscript"/>
              </w:rPr>
              <w:t>1 </w:t>
            </w:r>
            <w:r w:rsidRPr="001C022A">
              <w:rPr>
                <w:sz w:val="20"/>
                <w:szCs w:val="20"/>
              </w:rPr>
              <w:t>punkts, kā arī 39. panta pirmās daļas 5.</w:t>
            </w:r>
            <w:r w:rsidRPr="001C022A">
              <w:rPr>
                <w:sz w:val="20"/>
                <w:szCs w:val="20"/>
                <w:vertAlign w:val="superscript"/>
              </w:rPr>
              <w:t>1 </w:t>
            </w:r>
            <w:r w:rsidRPr="001C022A">
              <w:rPr>
                <w:sz w:val="20"/>
                <w:szCs w:val="20"/>
              </w:rPr>
              <w:t xml:space="preserve">punkts, lai būtu saprotams, ka šajos gadījumos klients, klienta galvinieks, iespējamais klients vai iespējamā klienta galvinieks ir </w:t>
            </w:r>
            <w:r w:rsidRPr="001C022A">
              <w:rPr>
                <w:sz w:val="20"/>
                <w:szCs w:val="20"/>
                <w:u w:val="single"/>
              </w:rPr>
              <w:t>juridiska persona</w:t>
            </w:r>
            <w:r w:rsidRPr="001C022A">
              <w:rPr>
                <w:sz w:val="20"/>
                <w:szCs w:val="20"/>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2A166AD4" w14:textId="52E4A090" w:rsidR="009C4637" w:rsidRDefault="009C4637" w:rsidP="009C4637">
            <w:pPr>
              <w:pStyle w:val="naisc"/>
              <w:spacing w:before="0" w:after="0"/>
              <w:rPr>
                <w:b/>
                <w:sz w:val="20"/>
                <w:szCs w:val="20"/>
              </w:rPr>
            </w:pPr>
            <w:r w:rsidRPr="008E7408">
              <w:rPr>
                <w:b/>
                <w:sz w:val="20"/>
                <w:szCs w:val="20"/>
              </w:rPr>
              <w:lastRenderedPageBreak/>
              <w:t>Iebildums ņemts vērā</w:t>
            </w:r>
          </w:p>
          <w:p w14:paraId="5D36CAAC" w14:textId="0E5DD287" w:rsidR="006E4C4E" w:rsidRDefault="00200AF6" w:rsidP="006E4C4E">
            <w:pPr>
              <w:pStyle w:val="naisc"/>
              <w:jc w:val="both"/>
              <w:rPr>
                <w:sz w:val="20"/>
                <w:szCs w:val="20"/>
              </w:rPr>
            </w:pPr>
            <w:r>
              <w:rPr>
                <w:sz w:val="20"/>
                <w:szCs w:val="20"/>
              </w:rPr>
              <w:t xml:space="preserve">Papildināta anotācija. </w:t>
            </w:r>
            <w:r w:rsidR="006E4C4E">
              <w:rPr>
                <w:sz w:val="20"/>
                <w:szCs w:val="20"/>
              </w:rPr>
              <w:t>I</w:t>
            </w:r>
            <w:r w:rsidR="006E4C4E" w:rsidRPr="006E4C4E">
              <w:rPr>
                <w:sz w:val="20"/>
                <w:szCs w:val="20"/>
              </w:rPr>
              <w:t xml:space="preserve">erosinām saglabāt </w:t>
            </w:r>
            <w:r w:rsidR="006E4C4E">
              <w:rPr>
                <w:sz w:val="20"/>
                <w:szCs w:val="20"/>
              </w:rPr>
              <w:t>l</w:t>
            </w:r>
            <w:r w:rsidR="006E4C4E" w:rsidRPr="006E4C4E">
              <w:rPr>
                <w:sz w:val="20"/>
                <w:szCs w:val="20"/>
              </w:rPr>
              <w:t>ikumprojekta tekstu par reģistra dalībnieka iespējām veikt Kredītu reģistrā iekļauto ziņu pieprasījumus attiecībā uz patieso labuma guvējiem nespecificējot, ka par patieso labuma guvējiem tikai saistībā ar klientiem/klienta galviniekiem – juridiskām personām. Nākotnē var rasties situācija, ka Kredītu reģistrā iekļautās ziņas varētu tikt pieprasītas arī par fizisko perso</w:t>
            </w:r>
            <w:r w:rsidR="006E4C4E">
              <w:rPr>
                <w:sz w:val="20"/>
                <w:szCs w:val="20"/>
              </w:rPr>
              <w:t xml:space="preserve">nu patiesajiem labuma guvējiem. </w:t>
            </w:r>
            <w:r w:rsidR="006E4C4E" w:rsidRPr="006E4C4E">
              <w:rPr>
                <w:sz w:val="20"/>
                <w:szCs w:val="20"/>
              </w:rPr>
              <w:t>Noziedzīgi iegūtu līdzekļu legalizācijas un terorisma finansēšanas novēršanas likumā ietvertais patiesā labuma guvēja termins ir attiecināms uz visām personām – kā juridiskām, tā fiziskām, kā arī uz juridiskiem veidojumiem</w:t>
            </w:r>
            <w:r w:rsidR="0019451C">
              <w:rPr>
                <w:sz w:val="20"/>
                <w:szCs w:val="20"/>
              </w:rPr>
              <w:t>, kas nav juridiskas personas.</w:t>
            </w:r>
          </w:p>
          <w:p w14:paraId="5828C65F" w14:textId="7CD85455" w:rsidR="008111BD" w:rsidRDefault="006E4C4E" w:rsidP="006E4C4E">
            <w:pPr>
              <w:pStyle w:val="naisc"/>
              <w:jc w:val="both"/>
              <w:rPr>
                <w:sz w:val="20"/>
                <w:szCs w:val="20"/>
              </w:rPr>
            </w:pPr>
            <w:r w:rsidRPr="006E4C4E">
              <w:rPr>
                <w:sz w:val="20"/>
                <w:szCs w:val="20"/>
              </w:rPr>
              <w:t xml:space="preserve">Papildus </w:t>
            </w:r>
            <w:r>
              <w:rPr>
                <w:sz w:val="20"/>
                <w:szCs w:val="20"/>
              </w:rPr>
              <w:t>l</w:t>
            </w:r>
            <w:r w:rsidRPr="006E4C4E">
              <w:rPr>
                <w:sz w:val="20"/>
                <w:szCs w:val="20"/>
              </w:rPr>
              <w:t>ikumprojektā precizēts Noziedzīgi iegūtu līdzekļu legalizācijas un terorisma finansēšanas novēršanas likuma nosaukums, kāds tas būs pēc LR Saeimas 13.06.2019. pieņemto likuma grozījumu spēkā stāšanās.</w:t>
            </w:r>
          </w:p>
        </w:tc>
        <w:tc>
          <w:tcPr>
            <w:tcW w:w="3969" w:type="dxa"/>
            <w:tcBorders>
              <w:top w:val="single" w:sz="4" w:space="0" w:color="auto"/>
              <w:left w:val="single" w:sz="4" w:space="0" w:color="auto"/>
              <w:bottom w:val="single" w:sz="4" w:space="0" w:color="auto"/>
            </w:tcBorders>
          </w:tcPr>
          <w:p w14:paraId="73787676" w14:textId="6F292468" w:rsidR="00FE6DFD" w:rsidRPr="004279C0" w:rsidRDefault="004279C0" w:rsidP="00FE6DFD">
            <w:pPr>
              <w:pStyle w:val="BodyText"/>
              <w:ind w:left="0"/>
              <w:contextualSpacing/>
              <w:jc w:val="both"/>
              <w:rPr>
                <w:rFonts w:cs="Times New Roman"/>
                <w:i/>
                <w:sz w:val="20"/>
                <w:szCs w:val="20"/>
                <w:lang w:val="lv-LV"/>
              </w:rPr>
            </w:pPr>
            <w:r w:rsidRPr="004279C0">
              <w:rPr>
                <w:rFonts w:cs="Times New Roman"/>
                <w:i/>
                <w:sz w:val="20"/>
                <w:szCs w:val="20"/>
                <w:lang w:val="lv-LV"/>
              </w:rPr>
              <w:t>"</w:t>
            </w:r>
            <w:r w:rsidR="00FE6DFD" w:rsidRPr="004279C0">
              <w:rPr>
                <w:rFonts w:cs="Times New Roman"/>
                <w:b/>
                <w:i/>
                <w:sz w:val="20"/>
                <w:szCs w:val="20"/>
                <w:lang w:val="lv-LV"/>
              </w:rPr>
              <w:t>2. pants</w:t>
            </w:r>
            <w:r w:rsidR="00FE6DFD" w:rsidRPr="004279C0">
              <w:rPr>
                <w:rFonts w:cs="Times New Roman"/>
                <w:i/>
                <w:sz w:val="20"/>
                <w:szCs w:val="20"/>
                <w:lang w:val="lv-LV"/>
              </w:rPr>
              <w:t xml:space="preserve"> Papildināt 15. panta pirmo daļu ar 5.</w:t>
            </w:r>
            <w:r w:rsidR="00FE6DFD" w:rsidRPr="004279C0">
              <w:rPr>
                <w:rFonts w:cs="Times New Roman"/>
                <w:i/>
                <w:sz w:val="20"/>
                <w:szCs w:val="20"/>
                <w:vertAlign w:val="superscript"/>
                <w:lang w:val="lv-LV"/>
              </w:rPr>
              <w:t>1</w:t>
            </w:r>
            <w:r w:rsidR="00FE6DFD" w:rsidRPr="004279C0">
              <w:rPr>
                <w:rFonts w:cs="Times New Roman"/>
                <w:i/>
                <w:sz w:val="20"/>
                <w:szCs w:val="20"/>
                <w:lang w:val="lv-LV"/>
              </w:rPr>
              <w:t> punktu šādā redakcijā:</w:t>
            </w:r>
          </w:p>
          <w:p w14:paraId="6F6593E3" w14:textId="77777777" w:rsidR="00FE6DFD" w:rsidRPr="004279C0" w:rsidRDefault="00FE6DFD" w:rsidP="00FE6DFD">
            <w:pPr>
              <w:pStyle w:val="BodyText"/>
              <w:ind w:left="0"/>
              <w:contextualSpacing/>
              <w:jc w:val="both"/>
              <w:rPr>
                <w:rFonts w:cs="Times New Roman"/>
                <w:i/>
                <w:sz w:val="20"/>
                <w:szCs w:val="20"/>
                <w:lang w:val="lv-LV"/>
              </w:rPr>
            </w:pPr>
          </w:p>
          <w:p w14:paraId="26E75198" w14:textId="77777777" w:rsidR="00FE6DFD" w:rsidRPr="004279C0" w:rsidRDefault="00FE6DFD" w:rsidP="00FE6DFD">
            <w:pPr>
              <w:contextualSpacing/>
              <w:jc w:val="both"/>
              <w:rPr>
                <w:i/>
                <w:sz w:val="20"/>
                <w:szCs w:val="20"/>
              </w:rPr>
            </w:pPr>
            <w:r w:rsidRPr="004279C0">
              <w:rPr>
                <w:i/>
                <w:sz w:val="20"/>
                <w:szCs w:val="20"/>
              </w:rPr>
              <w:t>"5</w:t>
            </w:r>
            <w:r w:rsidRPr="004279C0">
              <w:rPr>
                <w:i/>
                <w:sz w:val="20"/>
                <w:szCs w:val="20"/>
                <w:vertAlign w:val="superscript"/>
              </w:rPr>
              <w:t>1</w:t>
            </w:r>
            <w:r w:rsidRPr="004279C0">
              <w:rPr>
                <w:i/>
                <w:sz w:val="20"/>
                <w:szCs w:val="20"/>
              </w:rPr>
              <w:t xml:space="preserve">) personu, kas ir šā reģistra dalībnieka klienta, klienta galvinieka, iespējamā klienta vai iespējamā klienta galvinieka patiesais labuma guvējs Noziedzīgi iegūtu līdzekļu legalizācijas un terorisma </w:t>
            </w:r>
            <w:r w:rsidRPr="004279C0">
              <w:rPr>
                <w:i/>
                <w:sz w:val="20"/>
                <w:szCs w:val="20"/>
                <w:u w:val="single"/>
              </w:rPr>
              <w:t>un proliferācijas</w:t>
            </w:r>
            <w:r w:rsidRPr="004279C0">
              <w:rPr>
                <w:i/>
                <w:sz w:val="20"/>
                <w:szCs w:val="20"/>
              </w:rPr>
              <w:t xml:space="preserve"> finansēšanas novēršanas likuma izpratnē, un to apliecina Latvijas Republikas vai ārvalsts informācijas sistēmā reģistrētas ziņas vai dokumenti;".</w:t>
            </w:r>
          </w:p>
          <w:p w14:paraId="1331FDE0" w14:textId="77777777" w:rsidR="00FE6DFD" w:rsidRPr="004279C0" w:rsidRDefault="00FE6DFD" w:rsidP="00FE6DFD">
            <w:pPr>
              <w:contextualSpacing/>
              <w:jc w:val="both"/>
              <w:rPr>
                <w:i/>
                <w:sz w:val="20"/>
                <w:szCs w:val="20"/>
              </w:rPr>
            </w:pPr>
          </w:p>
          <w:p w14:paraId="7FE5430D" w14:textId="77777777" w:rsidR="00FE6DFD" w:rsidRPr="004279C0" w:rsidRDefault="00FE6DFD" w:rsidP="00FE6DFD">
            <w:pPr>
              <w:pStyle w:val="BodyText"/>
              <w:ind w:left="0"/>
              <w:contextualSpacing/>
              <w:jc w:val="both"/>
              <w:rPr>
                <w:rFonts w:cs="Times New Roman"/>
                <w:i/>
                <w:sz w:val="20"/>
                <w:szCs w:val="20"/>
                <w:lang w:val="lv-LV"/>
              </w:rPr>
            </w:pPr>
            <w:r w:rsidRPr="004279C0">
              <w:rPr>
                <w:rFonts w:cs="Times New Roman"/>
                <w:b/>
                <w:i/>
                <w:sz w:val="20"/>
                <w:szCs w:val="20"/>
                <w:lang w:val="lv-LV"/>
              </w:rPr>
              <w:t>3. pants</w:t>
            </w:r>
            <w:r w:rsidRPr="004279C0">
              <w:rPr>
                <w:rFonts w:cs="Times New Roman"/>
                <w:i/>
                <w:sz w:val="20"/>
                <w:szCs w:val="20"/>
                <w:lang w:val="lv-LV"/>
              </w:rPr>
              <w:t xml:space="preserve"> </w:t>
            </w:r>
            <w:r w:rsidRPr="004279C0">
              <w:rPr>
                <w:rFonts w:cs="Times New Roman"/>
                <w:i/>
                <w:sz w:val="20"/>
                <w:szCs w:val="20"/>
                <w:lang w:val="lv-LV" w:eastAsia="lv-LV"/>
              </w:rPr>
              <w:t xml:space="preserve">Papildināt 39. panta pirmo daļu </w:t>
            </w:r>
            <w:r w:rsidRPr="004279C0">
              <w:rPr>
                <w:rFonts w:cs="Times New Roman"/>
                <w:i/>
                <w:sz w:val="20"/>
                <w:szCs w:val="20"/>
                <w:lang w:val="lv-LV"/>
              </w:rPr>
              <w:t>ar 5.</w:t>
            </w:r>
            <w:r w:rsidRPr="004279C0">
              <w:rPr>
                <w:rFonts w:cs="Times New Roman"/>
                <w:i/>
                <w:sz w:val="20"/>
                <w:szCs w:val="20"/>
                <w:vertAlign w:val="superscript"/>
                <w:lang w:val="lv-LV"/>
              </w:rPr>
              <w:t>1</w:t>
            </w:r>
            <w:r w:rsidRPr="004279C0">
              <w:rPr>
                <w:rFonts w:cs="Times New Roman"/>
                <w:i/>
                <w:sz w:val="20"/>
                <w:szCs w:val="20"/>
                <w:lang w:val="lv-LV"/>
              </w:rPr>
              <w:t xml:space="preserve"> punktu šādā redakcijā:</w:t>
            </w:r>
          </w:p>
          <w:p w14:paraId="194A5145" w14:textId="77777777" w:rsidR="00FE6DFD" w:rsidRPr="004279C0" w:rsidRDefault="00FE6DFD" w:rsidP="00FE6DFD">
            <w:pPr>
              <w:pStyle w:val="BodyText"/>
              <w:ind w:left="0"/>
              <w:contextualSpacing/>
              <w:jc w:val="both"/>
              <w:rPr>
                <w:rFonts w:cs="Times New Roman"/>
                <w:i/>
                <w:sz w:val="20"/>
                <w:szCs w:val="20"/>
                <w:lang w:val="lv-LV"/>
              </w:rPr>
            </w:pPr>
          </w:p>
          <w:p w14:paraId="2F4F10B7" w14:textId="74479D18" w:rsidR="008111BD" w:rsidRPr="009D6D99" w:rsidRDefault="00FE6DFD" w:rsidP="00FE6DFD">
            <w:pPr>
              <w:contextualSpacing/>
              <w:jc w:val="both"/>
              <w:rPr>
                <w:sz w:val="20"/>
                <w:szCs w:val="20"/>
              </w:rPr>
            </w:pPr>
            <w:r w:rsidRPr="004279C0">
              <w:rPr>
                <w:i/>
                <w:sz w:val="20"/>
                <w:szCs w:val="20"/>
              </w:rPr>
              <w:t>"5</w:t>
            </w:r>
            <w:r w:rsidRPr="004279C0">
              <w:rPr>
                <w:i/>
                <w:sz w:val="20"/>
                <w:szCs w:val="20"/>
                <w:vertAlign w:val="superscript"/>
              </w:rPr>
              <w:t>1</w:t>
            </w:r>
            <w:r w:rsidRPr="004279C0">
              <w:rPr>
                <w:i/>
                <w:sz w:val="20"/>
                <w:szCs w:val="20"/>
              </w:rPr>
              <w:t xml:space="preserve">) personu, kas ir Valsts kases klienta, klienta galvinieka, iespējamā klienta vai iespējamā klienta galvinieka patiesais labuma guvējs Noziedzīgi iegūtu līdzekļu legalizācijas un terorisma </w:t>
            </w:r>
            <w:r w:rsidRPr="004279C0">
              <w:rPr>
                <w:i/>
                <w:sz w:val="20"/>
                <w:szCs w:val="20"/>
                <w:u w:val="single"/>
              </w:rPr>
              <w:t>un proliferācijas</w:t>
            </w:r>
            <w:r w:rsidRPr="004279C0">
              <w:rPr>
                <w:i/>
                <w:sz w:val="20"/>
                <w:szCs w:val="20"/>
              </w:rPr>
              <w:t xml:space="preserve"> finansēšanas novēršanas likuma izpratnē, un to apliecina Latvijas Republikas vai ārvalsts informācijas sistēmā reģistrētas ziņas vai dokumenti;".</w:t>
            </w:r>
            <w:r w:rsidR="004279C0" w:rsidRPr="004279C0">
              <w:rPr>
                <w:i/>
                <w:sz w:val="20"/>
                <w:szCs w:val="20"/>
              </w:rPr>
              <w:t xml:space="preserve"> "</w:t>
            </w:r>
          </w:p>
        </w:tc>
      </w:tr>
      <w:tr w:rsidR="0017767F" w:rsidRPr="00712B66" w14:paraId="0209F3EA"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47D1E486" w14:textId="77777777" w:rsidR="00E474ED" w:rsidRPr="00712B66" w:rsidRDefault="00E474ED" w:rsidP="0017767F">
            <w:pPr>
              <w:pStyle w:val="naiskr"/>
              <w:spacing w:before="0" w:after="0"/>
            </w:pPr>
          </w:p>
          <w:p w14:paraId="23157E22" w14:textId="77777777" w:rsidR="0017767F" w:rsidRPr="00712B66" w:rsidRDefault="0017767F" w:rsidP="0017767F">
            <w:pPr>
              <w:pStyle w:val="naiskr"/>
              <w:spacing w:before="0" w:after="0"/>
            </w:pPr>
            <w:r w:rsidRPr="00712B66">
              <w:t>Atbildīgā amatpersona</w:t>
            </w:r>
          </w:p>
        </w:tc>
        <w:tc>
          <w:tcPr>
            <w:tcW w:w="6179" w:type="dxa"/>
            <w:gridSpan w:val="3"/>
          </w:tcPr>
          <w:p w14:paraId="0A949AF9" w14:textId="77777777" w:rsidR="0017767F" w:rsidRPr="00712B66" w:rsidRDefault="0017767F" w:rsidP="0017767F">
            <w:pPr>
              <w:pStyle w:val="naiskr"/>
              <w:spacing w:before="0" w:after="0"/>
            </w:pPr>
          </w:p>
        </w:tc>
      </w:tr>
      <w:tr w:rsidR="0017767F" w:rsidRPr="00712B66" w14:paraId="377262CC"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2DF06FD" w14:textId="77777777" w:rsidR="0017767F" w:rsidRPr="00712B66" w:rsidRDefault="0017767F" w:rsidP="0017767F">
            <w:pPr>
              <w:pStyle w:val="naiskr"/>
              <w:spacing w:before="0" w:after="0"/>
              <w:ind w:firstLine="720"/>
            </w:pPr>
          </w:p>
        </w:tc>
        <w:tc>
          <w:tcPr>
            <w:tcW w:w="6179" w:type="dxa"/>
            <w:gridSpan w:val="3"/>
            <w:tcBorders>
              <w:top w:val="single" w:sz="6" w:space="0" w:color="000000"/>
            </w:tcBorders>
          </w:tcPr>
          <w:p w14:paraId="511BED7B" w14:textId="77777777" w:rsidR="0017767F" w:rsidRPr="00712B66" w:rsidRDefault="0017767F" w:rsidP="0017767F">
            <w:pPr>
              <w:pStyle w:val="naisc"/>
              <w:spacing w:before="0" w:after="0"/>
              <w:ind w:firstLine="720"/>
            </w:pPr>
            <w:r w:rsidRPr="00712B66">
              <w:t>(paraksts)*</w:t>
            </w:r>
          </w:p>
        </w:tc>
      </w:tr>
    </w:tbl>
    <w:p w14:paraId="044A153B" w14:textId="3F648EF7" w:rsidR="008E2E49" w:rsidRDefault="008E2E49" w:rsidP="000633FC">
      <w:pPr>
        <w:pStyle w:val="naisf"/>
        <w:spacing w:before="0" w:after="0"/>
        <w:ind w:firstLine="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0FCD81CF" w14:textId="77777777" w:rsidR="008C6F54" w:rsidRDefault="008C6F54" w:rsidP="000633FC">
      <w:pPr>
        <w:pStyle w:val="naisf"/>
        <w:spacing w:before="0" w:after="0"/>
        <w:ind w:firstLine="0"/>
      </w:pPr>
    </w:p>
    <w:p w14:paraId="291D26AB" w14:textId="77777777" w:rsidR="008E2E49" w:rsidRPr="00712B66" w:rsidRDefault="008167DE" w:rsidP="00081376">
      <w:r>
        <w:t xml:space="preserve">  </w:t>
      </w:r>
      <w:r w:rsidR="00BA5B9A">
        <w:t>Baiba Zvirgzdiņa</w:t>
      </w:r>
    </w:p>
    <w:tbl>
      <w:tblPr>
        <w:tblW w:w="0" w:type="auto"/>
        <w:tblLook w:val="00A0" w:firstRow="1" w:lastRow="0" w:firstColumn="1" w:lastColumn="0" w:noHBand="0" w:noVBand="0"/>
      </w:tblPr>
      <w:tblGrid>
        <w:gridCol w:w="8268"/>
      </w:tblGrid>
      <w:tr w:rsidR="008E2E49" w:rsidRPr="00712B66" w14:paraId="4FBD1778" w14:textId="77777777" w:rsidTr="00935D50">
        <w:tc>
          <w:tcPr>
            <w:tcW w:w="8268" w:type="dxa"/>
            <w:tcBorders>
              <w:top w:val="single" w:sz="4" w:space="0" w:color="000000"/>
            </w:tcBorders>
          </w:tcPr>
          <w:p w14:paraId="5E61245E" w14:textId="77777777" w:rsidR="008E2E49" w:rsidRPr="00712B66" w:rsidRDefault="008E2E49" w:rsidP="00935D50">
            <w:pPr>
              <w:jc w:val="center"/>
            </w:pPr>
            <w:r>
              <w:t>(</w:t>
            </w:r>
            <w:r w:rsidRPr="00712B66">
              <w:t xml:space="preserve">par projektu atbildīgās amatpersonas </w:t>
            </w:r>
            <w:r>
              <w:t xml:space="preserve">vārds un </w:t>
            </w:r>
            <w:r w:rsidRPr="00712B66">
              <w:t>uzvārds</w:t>
            </w:r>
            <w:r>
              <w:t>)</w:t>
            </w:r>
          </w:p>
        </w:tc>
      </w:tr>
      <w:tr w:rsidR="008E2E49" w:rsidRPr="00712B66" w14:paraId="0F046C44" w14:textId="77777777" w:rsidTr="00935D50">
        <w:tc>
          <w:tcPr>
            <w:tcW w:w="8268" w:type="dxa"/>
            <w:tcBorders>
              <w:bottom w:val="single" w:sz="4" w:space="0" w:color="000000"/>
            </w:tcBorders>
          </w:tcPr>
          <w:p w14:paraId="243A30F6" w14:textId="6A2D92AE" w:rsidR="008E2E49" w:rsidRDefault="00332E60" w:rsidP="00935D50">
            <w:r>
              <w:t>Finanšu ministrijas</w:t>
            </w:r>
            <w:r w:rsidR="008E2E49">
              <w:t xml:space="preserve"> </w:t>
            </w:r>
            <w:r>
              <w:t>Finanšu tirgus politikas</w:t>
            </w:r>
            <w:r w:rsidR="008E2E49">
              <w:t xml:space="preserve"> departamenta</w:t>
            </w:r>
          </w:p>
          <w:p w14:paraId="67750317" w14:textId="77777777" w:rsidR="008E2E49" w:rsidRPr="00712B66" w:rsidRDefault="00891D59" w:rsidP="00332E60">
            <w:r>
              <w:t>Kr</w:t>
            </w:r>
            <w:r w:rsidR="00332E60">
              <w:t>edītiestāžu un maksājumu pakalpojumu politikas nodaļas</w:t>
            </w:r>
            <w:r w:rsidR="008E2E49">
              <w:t xml:space="preserve"> </w:t>
            </w:r>
            <w:r w:rsidR="00332E60">
              <w:t>vecākā eksperte</w:t>
            </w:r>
          </w:p>
        </w:tc>
      </w:tr>
      <w:tr w:rsidR="008E2E49" w:rsidRPr="00712B66" w14:paraId="791865E6" w14:textId="77777777" w:rsidTr="00935D50">
        <w:tc>
          <w:tcPr>
            <w:tcW w:w="8268" w:type="dxa"/>
            <w:tcBorders>
              <w:top w:val="single" w:sz="4" w:space="0" w:color="000000"/>
            </w:tcBorders>
          </w:tcPr>
          <w:p w14:paraId="37BA1730" w14:textId="77777777" w:rsidR="008E2E49" w:rsidRPr="00712B66" w:rsidRDefault="008E2E49" w:rsidP="00935D50">
            <w:pPr>
              <w:jc w:val="center"/>
            </w:pPr>
            <w:r>
              <w:t>(</w:t>
            </w:r>
            <w:r w:rsidRPr="00712B66">
              <w:t>amats</w:t>
            </w:r>
            <w:r>
              <w:t>)</w:t>
            </w:r>
          </w:p>
        </w:tc>
      </w:tr>
      <w:tr w:rsidR="008E2E49" w:rsidRPr="00712B66" w14:paraId="7818343D" w14:textId="77777777" w:rsidTr="00935D50">
        <w:tc>
          <w:tcPr>
            <w:tcW w:w="8268" w:type="dxa"/>
            <w:tcBorders>
              <w:bottom w:val="single" w:sz="4" w:space="0" w:color="000000"/>
            </w:tcBorders>
          </w:tcPr>
          <w:p w14:paraId="380A241D" w14:textId="77777777" w:rsidR="008E2E49" w:rsidRPr="00712B66" w:rsidRDefault="008E2E49" w:rsidP="00332E60">
            <w:r w:rsidRPr="00126349">
              <w:t>Tālrunis:</w:t>
            </w:r>
            <w:r w:rsidR="00BA5B9A">
              <w:t xml:space="preserve"> 67095601</w:t>
            </w:r>
          </w:p>
        </w:tc>
      </w:tr>
      <w:tr w:rsidR="008E2E49" w:rsidRPr="00712B66" w14:paraId="2FE894B6" w14:textId="77777777" w:rsidTr="00935D50">
        <w:tc>
          <w:tcPr>
            <w:tcW w:w="8268" w:type="dxa"/>
            <w:tcBorders>
              <w:top w:val="single" w:sz="4" w:space="0" w:color="000000"/>
            </w:tcBorders>
          </w:tcPr>
          <w:p w14:paraId="539901D8" w14:textId="77777777" w:rsidR="008E2E49" w:rsidRPr="00712B66" w:rsidRDefault="008E2E49" w:rsidP="00935D50">
            <w:pPr>
              <w:jc w:val="center"/>
            </w:pPr>
            <w:r>
              <w:t>(</w:t>
            </w:r>
            <w:r w:rsidRPr="00712B66">
              <w:t>tālruņa un faksa numurs</w:t>
            </w:r>
            <w:r>
              <w:t>)</w:t>
            </w:r>
          </w:p>
        </w:tc>
      </w:tr>
      <w:tr w:rsidR="008E2E49" w:rsidRPr="00712B66" w14:paraId="286ACBC7" w14:textId="77777777" w:rsidTr="00935D50">
        <w:tc>
          <w:tcPr>
            <w:tcW w:w="8268" w:type="dxa"/>
            <w:tcBorders>
              <w:bottom w:val="single" w:sz="4" w:space="0" w:color="000000"/>
            </w:tcBorders>
          </w:tcPr>
          <w:p w14:paraId="089DCA69" w14:textId="77777777" w:rsidR="008E2E49" w:rsidRPr="00712B66" w:rsidRDefault="00595BD0" w:rsidP="00BA5B9A">
            <w:hyperlink r:id="rId9" w:history="1">
              <w:r w:rsidR="00EC3769" w:rsidRPr="008E7453">
                <w:rPr>
                  <w:rStyle w:val="Hyperlink"/>
                </w:rPr>
                <w:t>baiba.zvirgzdina@fm.gov.lv</w:t>
              </w:r>
            </w:hyperlink>
            <w:r w:rsidR="008E2E49">
              <w:t xml:space="preserve"> </w:t>
            </w:r>
          </w:p>
        </w:tc>
      </w:tr>
      <w:tr w:rsidR="008E2E49" w:rsidRPr="00712B66" w14:paraId="55A2423E" w14:textId="77777777" w:rsidTr="00935D50">
        <w:tc>
          <w:tcPr>
            <w:tcW w:w="8268" w:type="dxa"/>
            <w:tcBorders>
              <w:top w:val="single" w:sz="4" w:space="0" w:color="000000"/>
            </w:tcBorders>
          </w:tcPr>
          <w:p w14:paraId="24185C86" w14:textId="77777777" w:rsidR="008E2E49" w:rsidRPr="00712B66" w:rsidRDefault="008E2E49" w:rsidP="00935D50">
            <w:pPr>
              <w:jc w:val="center"/>
            </w:pPr>
            <w:r>
              <w:t>(</w:t>
            </w:r>
            <w:r w:rsidRPr="00712B66">
              <w:t>e-pasta adrese</w:t>
            </w:r>
            <w:r>
              <w:t>)</w:t>
            </w:r>
          </w:p>
        </w:tc>
      </w:tr>
    </w:tbl>
    <w:p w14:paraId="50050168" w14:textId="77777777" w:rsidR="00F50248" w:rsidRDefault="00F50248" w:rsidP="008E2E49">
      <w:pPr>
        <w:pStyle w:val="naisf"/>
        <w:spacing w:before="0" w:after="0"/>
        <w:ind w:firstLine="0"/>
        <w:jc w:val="left"/>
        <w:rPr>
          <w:sz w:val="28"/>
          <w:szCs w:val="28"/>
        </w:rPr>
      </w:pPr>
    </w:p>
    <w:p w14:paraId="2C08346A" w14:textId="77777777" w:rsidR="00797279" w:rsidRDefault="00797279" w:rsidP="008E2E49">
      <w:pPr>
        <w:pStyle w:val="naisf"/>
        <w:spacing w:before="0" w:after="0"/>
        <w:ind w:firstLine="0"/>
        <w:jc w:val="left"/>
        <w:rPr>
          <w:sz w:val="28"/>
          <w:szCs w:val="28"/>
        </w:rPr>
      </w:pPr>
    </w:p>
    <w:p w14:paraId="67A95E22" w14:textId="77777777" w:rsidR="00797279" w:rsidRDefault="00797279" w:rsidP="008E2E49">
      <w:pPr>
        <w:pStyle w:val="naisf"/>
        <w:spacing w:before="0" w:after="0"/>
        <w:ind w:firstLine="0"/>
        <w:jc w:val="left"/>
        <w:rPr>
          <w:sz w:val="28"/>
          <w:szCs w:val="28"/>
        </w:rPr>
      </w:pPr>
    </w:p>
    <w:p w14:paraId="003ECBBB" w14:textId="77777777" w:rsidR="00332E60" w:rsidRPr="00332E60" w:rsidRDefault="00BA5B9A" w:rsidP="00332E60">
      <w:pPr>
        <w:jc w:val="both"/>
        <w:rPr>
          <w:rFonts w:eastAsia="Calibri"/>
          <w:sz w:val="20"/>
          <w:szCs w:val="20"/>
        </w:rPr>
      </w:pPr>
      <w:r>
        <w:rPr>
          <w:rFonts w:eastAsia="Calibri"/>
          <w:sz w:val="20"/>
          <w:szCs w:val="20"/>
        </w:rPr>
        <w:t>Zvirgzdiņa, 67095601</w:t>
      </w:r>
    </w:p>
    <w:p w14:paraId="03DB24BB" w14:textId="15AD68FD" w:rsidR="00B42DF3" w:rsidRDefault="00EC3769" w:rsidP="00A46D12">
      <w:pPr>
        <w:jc w:val="both"/>
      </w:pPr>
      <w:r>
        <w:rPr>
          <w:rFonts w:eastAsia="Calibri"/>
          <w:sz w:val="20"/>
          <w:szCs w:val="20"/>
        </w:rPr>
        <w:t>b</w:t>
      </w:r>
      <w:r w:rsidR="00BA5B9A">
        <w:rPr>
          <w:rFonts w:eastAsia="Calibri"/>
          <w:sz w:val="20"/>
          <w:szCs w:val="20"/>
        </w:rPr>
        <w:t>aiba</w:t>
      </w:r>
      <w:r w:rsidR="009A67A8">
        <w:rPr>
          <w:rFonts w:eastAsia="Calibri"/>
          <w:sz w:val="20"/>
          <w:szCs w:val="20"/>
        </w:rPr>
        <w:t>.</w:t>
      </w:r>
      <w:r>
        <w:rPr>
          <w:rFonts w:eastAsia="Calibri"/>
          <w:sz w:val="20"/>
          <w:szCs w:val="20"/>
        </w:rPr>
        <w:t>z</w:t>
      </w:r>
      <w:r w:rsidR="00BA5B9A">
        <w:rPr>
          <w:rFonts w:eastAsia="Calibri"/>
          <w:sz w:val="20"/>
          <w:szCs w:val="20"/>
        </w:rPr>
        <w:t>virgzdina</w:t>
      </w:r>
      <w:r w:rsidR="00332E60" w:rsidRPr="00332E60">
        <w:rPr>
          <w:rFonts w:eastAsia="Calibri"/>
          <w:sz w:val="20"/>
          <w:szCs w:val="20"/>
        </w:rPr>
        <w:t>@fm.gov.lv</w:t>
      </w:r>
    </w:p>
    <w:sectPr w:rsidR="00B42DF3" w:rsidSect="00935D50">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A87C" w14:textId="77777777" w:rsidR="00F77D64" w:rsidRDefault="00F77D64">
      <w:r>
        <w:separator/>
      </w:r>
    </w:p>
  </w:endnote>
  <w:endnote w:type="continuationSeparator" w:id="0">
    <w:p w14:paraId="3225D75F" w14:textId="77777777" w:rsidR="00F77D64" w:rsidRDefault="00F7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0CE4" w14:textId="3D032025" w:rsidR="006718CA" w:rsidRPr="00653F8D" w:rsidRDefault="00595BD0" w:rsidP="00935D50">
    <w:pPr>
      <w:pStyle w:val="Footer"/>
      <w:rPr>
        <w:sz w:val="20"/>
        <w:szCs w:val="20"/>
      </w:rPr>
    </w:pPr>
    <w:r>
      <w:rPr>
        <w:sz w:val="20"/>
        <w:szCs w:val="20"/>
      </w:rPr>
      <w:t>FMizz_18</w:t>
    </w:r>
    <w:r w:rsidR="008C734E">
      <w:rPr>
        <w:sz w:val="20"/>
        <w:szCs w:val="20"/>
      </w:rPr>
      <w:t>07</w:t>
    </w:r>
    <w:r w:rsidR="006718CA" w:rsidRPr="00653F8D">
      <w:rPr>
        <w:sz w:val="20"/>
        <w:szCs w:val="20"/>
      </w:rPr>
      <w:t>19_</w:t>
    </w:r>
    <w:r w:rsidR="006718CA">
      <w:rPr>
        <w:sz w:val="20"/>
        <w:szCs w:val="20"/>
      </w:rPr>
      <w:t>grozKRL</w:t>
    </w:r>
    <w:r w:rsidR="00D66F4F">
      <w:rPr>
        <w:sz w:val="20"/>
        <w:szCs w:val="20"/>
      </w:rPr>
      <w:t>_VSS_442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6AA0" w14:textId="742D4CF1" w:rsidR="006718CA" w:rsidRPr="007642FE" w:rsidRDefault="00CC7262" w:rsidP="00935D50">
    <w:pPr>
      <w:pStyle w:val="Footer"/>
      <w:rPr>
        <w:sz w:val="20"/>
        <w:szCs w:val="20"/>
      </w:rPr>
    </w:pPr>
    <w:r>
      <w:rPr>
        <w:sz w:val="20"/>
        <w:szCs w:val="20"/>
      </w:rPr>
      <w:t>FMizz_18</w:t>
    </w:r>
    <w:r w:rsidR="00204D34">
      <w:rPr>
        <w:sz w:val="20"/>
        <w:szCs w:val="20"/>
      </w:rPr>
      <w:t>07</w:t>
    </w:r>
    <w:r w:rsidR="006718CA" w:rsidRPr="007642FE">
      <w:rPr>
        <w:sz w:val="20"/>
        <w:szCs w:val="20"/>
      </w:rPr>
      <w:t>19_</w:t>
    </w:r>
    <w:r w:rsidR="006718CA">
      <w:rPr>
        <w:sz w:val="20"/>
        <w:szCs w:val="20"/>
      </w:rPr>
      <w:t>grozKRL</w:t>
    </w:r>
    <w:r w:rsidR="00820A3F">
      <w:rPr>
        <w:sz w:val="20"/>
        <w:szCs w:val="20"/>
      </w:rPr>
      <w:t>_VSS_442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960A" w14:textId="77777777" w:rsidR="00F77D64" w:rsidRDefault="00F77D64">
      <w:r>
        <w:separator/>
      </w:r>
    </w:p>
  </w:footnote>
  <w:footnote w:type="continuationSeparator" w:id="0">
    <w:p w14:paraId="793CC1D7" w14:textId="77777777" w:rsidR="00F77D64" w:rsidRDefault="00F7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8E7" w14:textId="77777777" w:rsidR="006718CA" w:rsidRDefault="006718CA"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EF19F" w14:textId="77777777" w:rsidR="006718CA" w:rsidRDefault="00671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BCB9" w14:textId="101E7869" w:rsidR="006718CA" w:rsidRDefault="006718CA"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BD0">
      <w:rPr>
        <w:rStyle w:val="PageNumber"/>
        <w:noProof/>
      </w:rPr>
      <w:t>9</w:t>
    </w:r>
    <w:r>
      <w:rPr>
        <w:rStyle w:val="PageNumber"/>
      </w:rPr>
      <w:fldChar w:fldCharType="end"/>
    </w:r>
  </w:p>
  <w:p w14:paraId="19C3BFCE" w14:textId="77777777" w:rsidR="006718CA" w:rsidRDefault="00671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D70"/>
    <w:multiLevelType w:val="hybridMultilevel"/>
    <w:tmpl w:val="33E89E7E"/>
    <w:lvl w:ilvl="0" w:tplc="D8F2525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614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2FD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E7E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C73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D5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877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7F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21E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6472D7"/>
    <w:multiLevelType w:val="hybridMultilevel"/>
    <w:tmpl w:val="C764BD02"/>
    <w:lvl w:ilvl="0" w:tplc="9FE6D85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CB6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97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632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631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12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667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C8D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265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0E94E9D"/>
    <w:multiLevelType w:val="hybridMultilevel"/>
    <w:tmpl w:val="69C629AA"/>
    <w:lvl w:ilvl="0" w:tplc="A57ABE30">
      <w:start w:val="1"/>
      <w:numFmt w:val="bullet"/>
      <w:lvlText w:val="-"/>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3142">
      <w:start w:val="1"/>
      <w:numFmt w:val="bullet"/>
      <w:lvlText w:val="o"/>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41136">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2790">
      <w:start w:val="1"/>
      <w:numFmt w:val="bullet"/>
      <w:lvlText w:val="•"/>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4F1D0">
      <w:start w:val="1"/>
      <w:numFmt w:val="bullet"/>
      <w:lvlText w:val="o"/>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63C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45B0">
      <w:start w:val="1"/>
      <w:numFmt w:val="bullet"/>
      <w:lvlText w:val="•"/>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8DB8">
      <w:start w:val="1"/>
      <w:numFmt w:val="bullet"/>
      <w:lvlText w:val="o"/>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AB47A">
      <w:start w:val="1"/>
      <w:numFmt w:val="bullet"/>
      <w:lvlText w:val="▪"/>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3700D"/>
    <w:multiLevelType w:val="hybridMultilevel"/>
    <w:tmpl w:val="E856A6F8"/>
    <w:lvl w:ilvl="0" w:tplc="12DA93D8">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82B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8C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600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88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AFB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6C7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C02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04D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2C7B88"/>
    <w:multiLevelType w:val="hybridMultilevel"/>
    <w:tmpl w:val="B692B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13"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4B2511EC"/>
    <w:multiLevelType w:val="hybridMultilevel"/>
    <w:tmpl w:val="97DA334A"/>
    <w:lvl w:ilvl="0" w:tplc="FF88CA3A">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5D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412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F2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299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4D5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6CD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ACD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B0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835539"/>
    <w:multiLevelType w:val="hybridMultilevel"/>
    <w:tmpl w:val="7C402AA0"/>
    <w:lvl w:ilvl="0" w:tplc="ADD20382">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E2A12">
      <w:start w:val="1"/>
      <w:numFmt w:val="bullet"/>
      <w:lvlText w:val="o"/>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47652">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052D4">
      <w:start w:val="1"/>
      <w:numFmt w:val="bullet"/>
      <w:lvlText w:val="•"/>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8C128">
      <w:start w:val="1"/>
      <w:numFmt w:val="bullet"/>
      <w:lvlText w:val="o"/>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6B410">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02CF8">
      <w:start w:val="1"/>
      <w:numFmt w:val="bullet"/>
      <w:lvlText w:val="•"/>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E4E8">
      <w:start w:val="1"/>
      <w:numFmt w:val="bullet"/>
      <w:lvlText w:val="o"/>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4DCE0">
      <w:start w:val="1"/>
      <w:numFmt w:val="bullet"/>
      <w:lvlText w:val="▪"/>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82803"/>
    <w:multiLevelType w:val="hybridMultilevel"/>
    <w:tmpl w:val="6D20C8EE"/>
    <w:lvl w:ilvl="0" w:tplc="DA0ED6F8">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4A810">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9E8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975E">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69FBA">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88B34">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7472">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24A94">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4AB06">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
  </w:num>
  <w:num w:numId="3">
    <w:abstractNumId w:val="1"/>
  </w:num>
  <w:num w:numId="4">
    <w:abstractNumId w:val="12"/>
  </w:num>
  <w:num w:numId="5">
    <w:abstractNumId w:val="9"/>
  </w:num>
  <w:num w:numId="6">
    <w:abstractNumId w:val="3"/>
  </w:num>
  <w:num w:numId="7">
    <w:abstractNumId w:val="4"/>
  </w:num>
  <w:num w:numId="8">
    <w:abstractNumId w:val="13"/>
  </w:num>
  <w:num w:numId="9">
    <w:abstractNumId w:val="10"/>
  </w:num>
  <w:num w:numId="10">
    <w:abstractNumId w:val="8"/>
  </w:num>
  <w:num w:numId="11">
    <w:abstractNumId w:val="5"/>
  </w:num>
  <w:num w:numId="12">
    <w:abstractNumId w:val="2"/>
  </w:num>
  <w:num w:numId="13">
    <w:abstractNumId w:val="15"/>
  </w:num>
  <w:num w:numId="14">
    <w:abstractNumId w:val="0"/>
  </w:num>
  <w:num w:numId="15">
    <w:abstractNumId w:val="17"/>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49"/>
    <w:rsid w:val="00000F77"/>
    <w:rsid w:val="00001C6F"/>
    <w:rsid w:val="00005C8B"/>
    <w:rsid w:val="00006870"/>
    <w:rsid w:val="00013043"/>
    <w:rsid w:val="00015D14"/>
    <w:rsid w:val="0001645F"/>
    <w:rsid w:val="00017127"/>
    <w:rsid w:val="0001721C"/>
    <w:rsid w:val="00017B29"/>
    <w:rsid w:val="000219F2"/>
    <w:rsid w:val="00024722"/>
    <w:rsid w:val="00026D7C"/>
    <w:rsid w:val="000302B7"/>
    <w:rsid w:val="000349EF"/>
    <w:rsid w:val="00037C64"/>
    <w:rsid w:val="00040FF8"/>
    <w:rsid w:val="0004229C"/>
    <w:rsid w:val="00043525"/>
    <w:rsid w:val="000519B8"/>
    <w:rsid w:val="0005585A"/>
    <w:rsid w:val="00060538"/>
    <w:rsid w:val="000633FC"/>
    <w:rsid w:val="000635FF"/>
    <w:rsid w:val="00070434"/>
    <w:rsid w:val="00070492"/>
    <w:rsid w:val="000715C2"/>
    <w:rsid w:val="0007289D"/>
    <w:rsid w:val="00074FA6"/>
    <w:rsid w:val="00075140"/>
    <w:rsid w:val="000754FA"/>
    <w:rsid w:val="00076EDC"/>
    <w:rsid w:val="00077890"/>
    <w:rsid w:val="000804AE"/>
    <w:rsid w:val="00081376"/>
    <w:rsid w:val="00081696"/>
    <w:rsid w:val="000856AC"/>
    <w:rsid w:val="0008583C"/>
    <w:rsid w:val="00091E6C"/>
    <w:rsid w:val="00092070"/>
    <w:rsid w:val="00094D38"/>
    <w:rsid w:val="00097494"/>
    <w:rsid w:val="000974C1"/>
    <w:rsid w:val="000A0108"/>
    <w:rsid w:val="000A21A2"/>
    <w:rsid w:val="000A41E8"/>
    <w:rsid w:val="000A472A"/>
    <w:rsid w:val="000B18AC"/>
    <w:rsid w:val="000B6D5D"/>
    <w:rsid w:val="000C0747"/>
    <w:rsid w:val="000C08A9"/>
    <w:rsid w:val="000C2F2E"/>
    <w:rsid w:val="000C3F57"/>
    <w:rsid w:val="000C739E"/>
    <w:rsid w:val="000D2735"/>
    <w:rsid w:val="000D2983"/>
    <w:rsid w:val="000D4968"/>
    <w:rsid w:val="000D584B"/>
    <w:rsid w:val="000D62F0"/>
    <w:rsid w:val="000D6591"/>
    <w:rsid w:val="000D666F"/>
    <w:rsid w:val="000D6758"/>
    <w:rsid w:val="000E25B8"/>
    <w:rsid w:val="000E36E0"/>
    <w:rsid w:val="000E38E0"/>
    <w:rsid w:val="000E63E4"/>
    <w:rsid w:val="000F2ED6"/>
    <w:rsid w:val="000F30EB"/>
    <w:rsid w:val="000F64A5"/>
    <w:rsid w:val="000F678C"/>
    <w:rsid w:val="000F71EE"/>
    <w:rsid w:val="00100123"/>
    <w:rsid w:val="001038BD"/>
    <w:rsid w:val="00110D20"/>
    <w:rsid w:val="00112718"/>
    <w:rsid w:val="0011515B"/>
    <w:rsid w:val="00116896"/>
    <w:rsid w:val="00117549"/>
    <w:rsid w:val="00117DF9"/>
    <w:rsid w:val="001247F4"/>
    <w:rsid w:val="00130A71"/>
    <w:rsid w:val="001342B8"/>
    <w:rsid w:val="0013433A"/>
    <w:rsid w:val="00135653"/>
    <w:rsid w:val="00135B2C"/>
    <w:rsid w:val="00135DF6"/>
    <w:rsid w:val="00140DE3"/>
    <w:rsid w:val="00144AE3"/>
    <w:rsid w:val="00144B2E"/>
    <w:rsid w:val="001458E6"/>
    <w:rsid w:val="001461B9"/>
    <w:rsid w:val="00150132"/>
    <w:rsid w:val="0015195C"/>
    <w:rsid w:val="0015327E"/>
    <w:rsid w:val="00154629"/>
    <w:rsid w:val="00155685"/>
    <w:rsid w:val="0015642E"/>
    <w:rsid w:val="00170EEB"/>
    <w:rsid w:val="00173A67"/>
    <w:rsid w:val="00176ABF"/>
    <w:rsid w:val="0017767F"/>
    <w:rsid w:val="00186AE4"/>
    <w:rsid w:val="0019253C"/>
    <w:rsid w:val="00193499"/>
    <w:rsid w:val="0019451C"/>
    <w:rsid w:val="0019576E"/>
    <w:rsid w:val="0019597D"/>
    <w:rsid w:val="001A09BC"/>
    <w:rsid w:val="001A17A0"/>
    <w:rsid w:val="001A1FDA"/>
    <w:rsid w:val="001A368B"/>
    <w:rsid w:val="001A481B"/>
    <w:rsid w:val="001B157C"/>
    <w:rsid w:val="001B28F0"/>
    <w:rsid w:val="001B4E42"/>
    <w:rsid w:val="001B503C"/>
    <w:rsid w:val="001B537F"/>
    <w:rsid w:val="001B7049"/>
    <w:rsid w:val="001C022A"/>
    <w:rsid w:val="001C10AF"/>
    <w:rsid w:val="001C2282"/>
    <w:rsid w:val="001D09EC"/>
    <w:rsid w:val="001D2212"/>
    <w:rsid w:val="001D479B"/>
    <w:rsid w:val="001D4EAC"/>
    <w:rsid w:val="001D50A8"/>
    <w:rsid w:val="001E05C3"/>
    <w:rsid w:val="001E05CE"/>
    <w:rsid w:val="001E1E72"/>
    <w:rsid w:val="001E37B1"/>
    <w:rsid w:val="001E4331"/>
    <w:rsid w:val="001F32CD"/>
    <w:rsid w:val="001F4B0A"/>
    <w:rsid w:val="001F74EF"/>
    <w:rsid w:val="00200AF6"/>
    <w:rsid w:val="002013C7"/>
    <w:rsid w:val="00204D34"/>
    <w:rsid w:val="002101A5"/>
    <w:rsid w:val="00210540"/>
    <w:rsid w:val="00210BF9"/>
    <w:rsid w:val="00211DF8"/>
    <w:rsid w:val="00212A68"/>
    <w:rsid w:val="00214E39"/>
    <w:rsid w:val="00214F3E"/>
    <w:rsid w:val="00215A20"/>
    <w:rsid w:val="002162A6"/>
    <w:rsid w:val="002176BF"/>
    <w:rsid w:val="00226406"/>
    <w:rsid w:val="0023118E"/>
    <w:rsid w:val="002333A8"/>
    <w:rsid w:val="002335A2"/>
    <w:rsid w:val="00234352"/>
    <w:rsid w:val="00235B64"/>
    <w:rsid w:val="00240350"/>
    <w:rsid w:val="00242A58"/>
    <w:rsid w:val="00242FFD"/>
    <w:rsid w:val="002465EB"/>
    <w:rsid w:val="0025375E"/>
    <w:rsid w:val="00254FDE"/>
    <w:rsid w:val="002559C7"/>
    <w:rsid w:val="002576E7"/>
    <w:rsid w:val="002612C5"/>
    <w:rsid w:val="002613C8"/>
    <w:rsid w:val="00263946"/>
    <w:rsid w:val="00263D8E"/>
    <w:rsid w:val="002703C1"/>
    <w:rsid w:val="00272772"/>
    <w:rsid w:val="00272FE4"/>
    <w:rsid w:val="00273490"/>
    <w:rsid w:val="00273F85"/>
    <w:rsid w:val="0027512E"/>
    <w:rsid w:val="00276135"/>
    <w:rsid w:val="00276D6F"/>
    <w:rsid w:val="00277492"/>
    <w:rsid w:val="002775B4"/>
    <w:rsid w:val="00281938"/>
    <w:rsid w:val="00282B07"/>
    <w:rsid w:val="00282C4E"/>
    <w:rsid w:val="002849B0"/>
    <w:rsid w:val="00286DE5"/>
    <w:rsid w:val="0028749F"/>
    <w:rsid w:val="00287EA0"/>
    <w:rsid w:val="00291F87"/>
    <w:rsid w:val="0029515D"/>
    <w:rsid w:val="00297D89"/>
    <w:rsid w:val="002A0BB6"/>
    <w:rsid w:val="002A23A0"/>
    <w:rsid w:val="002A72E5"/>
    <w:rsid w:val="002C088C"/>
    <w:rsid w:val="002C1F4F"/>
    <w:rsid w:val="002C2DB8"/>
    <w:rsid w:val="002C3360"/>
    <w:rsid w:val="002C3AD8"/>
    <w:rsid w:val="002C58A8"/>
    <w:rsid w:val="002C5A83"/>
    <w:rsid w:val="002D12A1"/>
    <w:rsid w:val="002D3A45"/>
    <w:rsid w:val="002D6B3F"/>
    <w:rsid w:val="002D6C87"/>
    <w:rsid w:val="002E0DB9"/>
    <w:rsid w:val="002E21C9"/>
    <w:rsid w:val="002E7290"/>
    <w:rsid w:val="002F107D"/>
    <w:rsid w:val="002F1B2F"/>
    <w:rsid w:val="002F408F"/>
    <w:rsid w:val="002F61A6"/>
    <w:rsid w:val="002F68BF"/>
    <w:rsid w:val="003004B7"/>
    <w:rsid w:val="00300D3F"/>
    <w:rsid w:val="00304E7A"/>
    <w:rsid w:val="00306318"/>
    <w:rsid w:val="00311E1E"/>
    <w:rsid w:val="00311F5F"/>
    <w:rsid w:val="00312B6A"/>
    <w:rsid w:val="00315855"/>
    <w:rsid w:val="00316438"/>
    <w:rsid w:val="00321F1B"/>
    <w:rsid w:val="003238C7"/>
    <w:rsid w:val="00323F80"/>
    <w:rsid w:val="0032427F"/>
    <w:rsid w:val="00331B89"/>
    <w:rsid w:val="00332E60"/>
    <w:rsid w:val="0033365D"/>
    <w:rsid w:val="003345B8"/>
    <w:rsid w:val="00337AA1"/>
    <w:rsid w:val="00343D84"/>
    <w:rsid w:val="003467BB"/>
    <w:rsid w:val="003503A6"/>
    <w:rsid w:val="003575B0"/>
    <w:rsid w:val="00360612"/>
    <w:rsid w:val="003608A8"/>
    <w:rsid w:val="00362722"/>
    <w:rsid w:val="00363323"/>
    <w:rsid w:val="003708A5"/>
    <w:rsid w:val="0037120B"/>
    <w:rsid w:val="00371958"/>
    <w:rsid w:val="0037487F"/>
    <w:rsid w:val="003759FF"/>
    <w:rsid w:val="003775F4"/>
    <w:rsid w:val="003804F5"/>
    <w:rsid w:val="00381354"/>
    <w:rsid w:val="003852F2"/>
    <w:rsid w:val="00387A27"/>
    <w:rsid w:val="00387D7F"/>
    <w:rsid w:val="0039007A"/>
    <w:rsid w:val="003906A4"/>
    <w:rsid w:val="00392307"/>
    <w:rsid w:val="003927DC"/>
    <w:rsid w:val="003A0A55"/>
    <w:rsid w:val="003A1870"/>
    <w:rsid w:val="003A3920"/>
    <w:rsid w:val="003A40B8"/>
    <w:rsid w:val="003A4813"/>
    <w:rsid w:val="003A56AF"/>
    <w:rsid w:val="003A593A"/>
    <w:rsid w:val="003A646B"/>
    <w:rsid w:val="003A714B"/>
    <w:rsid w:val="003A74E2"/>
    <w:rsid w:val="003B6D51"/>
    <w:rsid w:val="003C3443"/>
    <w:rsid w:val="003C45A6"/>
    <w:rsid w:val="003C4779"/>
    <w:rsid w:val="003D2A7A"/>
    <w:rsid w:val="003D3941"/>
    <w:rsid w:val="003D3FAD"/>
    <w:rsid w:val="003D72B5"/>
    <w:rsid w:val="003E08E2"/>
    <w:rsid w:val="003E144A"/>
    <w:rsid w:val="003E6697"/>
    <w:rsid w:val="003E6944"/>
    <w:rsid w:val="003E6DAF"/>
    <w:rsid w:val="003E7205"/>
    <w:rsid w:val="003F3041"/>
    <w:rsid w:val="003F43CF"/>
    <w:rsid w:val="003F4D5E"/>
    <w:rsid w:val="003F5749"/>
    <w:rsid w:val="003F6DAD"/>
    <w:rsid w:val="00407AF7"/>
    <w:rsid w:val="00410321"/>
    <w:rsid w:val="004126C6"/>
    <w:rsid w:val="00413EF7"/>
    <w:rsid w:val="004208EB"/>
    <w:rsid w:val="00421E32"/>
    <w:rsid w:val="00424912"/>
    <w:rsid w:val="00425183"/>
    <w:rsid w:val="0042558D"/>
    <w:rsid w:val="0042642E"/>
    <w:rsid w:val="004279C0"/>
    <w:rsid w:val="00432142"/>
    <w:rsid w:val="004337E5"/>
    <w:rsid w:val="0043695A"/>
    <w:rsid w:val="00437A86"/>
    <w:rsid w:val="00446187"/>
    <w:rsid w:val="004471EF"/>
    <w:rsid w:val="0045020D"/>
    <w:rsid w:val="00450CE7"/>
    <w:rsid w:val="00452BAD"/>
    <w:rsid w:val="00453057"/>
    <w:rsid w:val="0045360A"/>
    <w:rsid w:val="00454664"/>
    <w:rsid w:val="00463E37"/>
    <w:rsid w:val="00465994"/>
    <w:rsid w:val="004707C4"/>
    <w:rsid w:val="00471532"/>
    <w:rsid w:val="0047660F"/>
    <w:rsid w:val="00482060"/>
    <w:rsid w:val="0048552F"/>
    <w:rsid w:val="00486BEC"/>
    <w:rsid w:val="0049066C"/>
    <w:rsid w:val="00490F26"/>
    <w:rsid w:val="004934DA"/>
    <w:rsid w:val="00495B7F"/>
    <w:rsid w:val="00496898"/>
    <w:rsid w:val="004A0D58"/>
    <w:rsid w:val="004A0ED9"/>
    <w:rsid w:val="004A1B7D"/>
    <w:rsid w:val="004A4E9D"/>
    <w:rsid w:val="004B0DE5"/>
    <w:rsid w:val="004B3BE5"/>
    <w:rsid w:val="004B5ED1"/>
    <w:rsid w:val="004B739F"/>
    <w:rsid w:val="004C2A63"/>
    <w:rsid w:val="004C2D75"/>
    <w:rsid w:val="004C31AD"/>
    <w:rsid w:val="004C4CC1"/>
    <w:rsid w:val="004C5AF6"/>
    <w:rsid w:val="004C647E"/>
    <w:rsid w:val="004C71B3"/>
    <w:rsid w:val="004C7364"/>
    <w:rsid w:val="004D0766"/>
    <w:rsid w:val="004D2811"/>
    <w:rsid w:val="004D2D63"/>
    <w:rsid w:val="004D325D"/>
    <w:rsid w:val="004D3A87"/>
    <w:rsid w:val="004D51F9"/>
    <w:rsid w:val="004E043A"/>
    <w:rsid w:val="004E2ED3"/>
    <w:rsid w:val="004E5150"/>
    <w:rsid w:val="004F38A9"/>
    <w:rsid w:val="004F61F3"/>
    <w:rsid w:val="004F6983"/>
    <w:rsid w:val="00502418"/>
    <w:rsid w:val="005029F1"/>
    <w:rsid w:val="005032BC"/>
    <w:rsid w:val="005122E8"/>
    <w:rsid w:val="00513BD5"/>
    <w:rsid w:val="0051562F"/>
    <w:rsid w:val="00520388"/>
    <w:rsid w:val="00521912"/>
    <w:rsid w:val="005264F2"/>
    <w:rsid w:val="00536D96"/>
    <w:rsid w:val="00540A2A"/>
    <w:rsid w:val="00542A1A"/>
    <w:rsid w:val="0054319D"/>
    <w:rsid w:val="00544641"/>
    <w:rsid w:val="005463DC"/>
    <w:rsid w:val="005467B7"/>
    <w:rsid w:val="00546ABA"/>
    <w:rsid w:val="00546FEE"/>
    <w:rsid w:val="00547084"/>
    <w:rsid w:val="00552C29"/>
    <w:rsid w:val="00553FC2"/>
    <w:rsid w:val="00555166"/>
    <w:rsid w:val="00555F3E"/>
    <w:rsid w:val="00556805"/>
    <w:rsid w:val="00560DCE"/>
    <w:rsid w:val="00564CF2"/>
    <w:rsid w:val="0056606D"/>
    <w:rsid w:val="00567206"/>
    <w:rsid w:val="0056721A"/>
    <w:rsid w:val="00567BE2"/>
    <w:rsid w:val="0057010E"/>
    <w:rsid w:val="005755CB"/>
    <w:rsid w:val="00575E67"/>
    <w:rsid w:val="00576848"/>
    <w:rsid w:val="005768DC"/>
    <w:rsid w:val="00577EE0"/>
    <w:rsid w:val="005807BD"/>
    <w:rsid w:val="005814FF"/>
    <w:rsid w:val="00585B54"/>
    <w:rsid w:val="00585F16"/>
    <w:rsid w:val="005876AC"/>
    <w:rsid w:val="005926D2"/>
    <w:rsid w:val="00594FA5"/>
    <w:rsid w:val="00595BD0"/>
    <w:rsid w:val="005A09BA"/>
    <w:rsid w:val="005A2952"/>
    <w:rsid w:val="005A3B76"/>
    <w:rsid w:val="005A3FCA"/>
    <w:rsid w:val="005A60F4"/>
    <w:rsid w:val="005B15D7"/>
    <w:rsid w:val="005B41AE"/>
    <w:rsid w:val="005B5574"/>
    <w:rsid w:val="005B603B"/>
    <w:rsid w:val="005C1B21"/>
    <w:rsid w:val="005C3DF2"/>
    <w:rsid w:val="005C517C"/>
    <w:rsid w:val="005D0235"/>
    <w:rsid w:val="005D05F2"/>
    <w:rsid w:val="005D2B90"/>
    <w:rsid w:val="005D5294"/>
    <w:rsid w:val="005D583E"/>
    <w:rsid w:val="005E3C65"/>
    <w:rsid w:val="005E5C19"/>
    <w:rsid w:val="005F0584"/>
    <w:rsid w:val="005F14FD"/>
    <w:rsid w:val="005F5828"/>
    <w:rsid w:val="005F6258"/>
    <w:rsid w:val="005F633E"/>
    <w:rsid w:val="005F7BE2"/>
    <w:rsid w:val="00600769"/>
    <w:rsid w:val="0060267E"/>
    <w:rsid w:val="006061B3"/>
    <w:rsid w:val="006115CB"/>
    <w:rsid w:val="00613F7B"/>
    <w:rsid w:val="00614D12"/>
    <w:rsid w:val="00615608"/>
    <w:rsid w:val="00615B2D"/>
    <w:rsid w:val="00615CD9"/>
    <w:rsid w:val="00615DFB"/>
    <w:rsid w:val="00617B7F"/>
    <w:rsid w:val="00620B72"/>
    <w:rsid w:val="006224ED"/>
    <w:rsid w:val="00622C80"/>
    <w:rsid w:val="00625A47"/>
    <w:rsid w:val="00626BA3"/>
    <w:rsid w:val="0063048F"/>
    <w:rsid w:val="00630DA0"/>
    <w:rsid w:val="0063305E"/>
    <w:rsid w:val="006334FA"/>
    <w:rsid w:val="00635574"/>
    <w:rsid w:val="006366E7"/>
    <w:rsid w:val="00637B8B"/>
    <w:rsid w:val="00642D7B"/>
    <w:rsid w:val="00645F31"/>
    <w:rsid w:val="00650CAA"/>
    <w:rsid w:val="00653966"/>
    <w:rsid w:val="00653F8D"/>
    <w:rsid w:val="00655824"/>
    <w:rsid w:val="00660FE2"/>
    <w:rsid w:val="00661BF9"/>
    <w:rsid w:val="006647AD"/>
    <w:rsid w:val="006718CA"/>
    <w:rsid w:val="00673F17"/>
    <w:rsid w:val="00674283"/>
    <w:rsid w:val="006747B9"/>
    <w:rsid w:val="006748BC"/>
    <w:rsid w:val="00682586"/>
    <w:rsid w:val="00683895"/>
    <w:rsid w:val="00685C94"/>
    <w:rsid w:val="006872FE"/>
    <w:rsid w:val="00693EFE"/>
    <w:rsid w:val="00694C99"/>
    <w:rsid w:val="006A4602"/>
    <w:rsid w:val="006A6728"/>
    <w:rsid w:val="006B1F05"/>
    <w:rsid w:val="006C0A0E"/>
    <w:rsid w:val="006C3007"/>
    <w:rsid w:val="006C3FEB"/>
    <w:rsid w:val="006C54A8"/>
    <w:rsid w:val="006C5C7E"/>
    <w:rsid w:val="006D65C0"/>
    <w:rsid w:val="006E03BB"/>
    <w:rsid w:val="006E0592"/>
    <w:rsid w:val="006E2CA4"/>
    <w:rsid w:val="006E3C6A"/>
    <w:rsid w:val="006E46BC"/>
    <w:rsid w:val="006E4C4E"/>
    <w:rsid w:val="006E58E9"/>
    <w:rsid w:val="006F139F"/>
    <w:rsid w:val="006F2B0E"/>
    <w:rsid w:val="006F2CD0"/>
    <w:rsid w:val="0070009C"/>
    <w:rsid w:val="007010A7"/>
    <w:rsid w:val="007016B7"/>
    <w:rsid w:val="00703243"/>
    <w:rsid w:val="007035E1"/>
    <w:rsid w:val="00703A29"/>
    <w:rsid w:val="0070480D"/>
    <w:rsid w:val="00704C00"/>
    <w:rsid w:val="00704F07"/>
    <w:rsid w:val="007052D5"/>
    <w:rsid w:val="00705A32"/>
    <w:rsid w:val="007065AA"/>
    <w:rsid w:val="00706D01"/>
    <w:rsid w:val="007113A6"/>
    <w:rsid w:val="00713A49"/>
    <w:rsid w:val="00716984"/>
    <w:rsid w:val="00716E0A"/>
    <w:rsid w:val="0072458E"/>
    <w:rsid w:val="007253F7"/>
    <w:rsid w:val="00725CF7"/>
    <w:rsid w:val="00726DAB"/>
    <w:rsid w:val="00727698"/>
    <w:rsid w:val="00732527"/>
    <w:rsid w:val="00742C24"/>
    <w:rsid w:val="00743507"/>
    <w:rsid w:val="00747688"/>
    <w:rsid w:val="00750225"/>
    <w:rsid w:val="00752B5C"/>
    <w:rsid w:val="007536E6"/>
    <w:rsid w:val="00754B9E"/>
    <w:rsid w:val="0076046E"/>
    <w:rsid w:val="007613E3"/>
    <w:rsid w:val="007642FE"/>
    <w:rsid w:val="00767211"/>
    <w:rsid w:val="00772A30"/>
    <w:rsid w:val="00772EB4"/>
    <w:rsid w:val="007736E6"/>
    <w:rsid w:val="00773CD5"/>
    <w:rsid w:val="00780DC5"/>
    <w:rsid w:val="00783F12"/>
    <w:rsid w:val="00785213"/>
    <w:rsid w:val="00787B54"/>
    <w:rsid w:val="0079460A"/>
    <w:rsid w:val="00794D7D"/>
    <w:rsid w:val="00797279"/>
    <w:rsid w:val="007A0403"/>
    <w:rsid w:val="007A12C6"/>
    <w:rsid w:val="007A2750"/>
    <w:rsid w:val="007A6E02"/>
    <w:rsid w:val="007B2D01"/>
    <w:rsid w:val="007B42BB"/>
    <w:rsid w:val="007B4A00"/>
    <w:rsid w:val="007C237A"/>
    <w:rsid w:val="007C2AC1"/>
    <w:rsid w:val="007C2D48"/>
    <w:rsid w:val="007C3E22"/>
    <w:rsid w:val="007C6ECC"/>
    <w:rsid w:val="007D045B"/>
    <w:rsid w:val="007D04F8"/>
    <w:rsid w:val="007D1E73"/>
    <w:rsid w:val="007D1F4A"/>
    <w:rsid w:val="007D1FB1"/>
    <w:rsid w:val="007D66B7"/>
    <w:rsid w:val="007E0069"/>
    <w:rsid w:val="007E320E"/>
    <w:rsid w:val="007E33F6"/>
    <w:rsid w:val="007E46D9"/>
    <w:rsid w:val="007E6003"/>
    <w:rsid w:val="007E7B49"/>
    <w:rsid w:val="007F1F67"/>
    <w:rsid w:val="007F3050"/>
    <w:rsid w:val="007F4A18"/>
    <w:rsid w:val="007F7871"/>
    <w:rsid w:val="008000F6"/>
    <w:rsid w:val="00800107"/>
    <w:rsid w:val="0080609E"/>
    <w:rsid w:val="008111BD"/>
    <w:rsid w:val="008118EB"/>
    <w:rsid w:val="00811C40"/>
    <w:rsid w:val="00813478"/>
    <w:rsid w:val="00813B8D"/>
    <w:rsid w:val="008167DE"/>
    <w:rsid w:val="00817E2F"/>
    <w:rsid w:val="00820A3F"/>
    <w:rsid w:val="00821B7A"/>
    <w:rsid w:val="008233C8"/>
    <w:rsid w:val="00823B92"/>
    <w:rsid w:val="00825836"/>
    <w:rsid w:val="00827FF4"/>
    <w:rsid w:val="0083246F"/>
    <w:rsid w:val="0083292C"/>
    <w:rsid w:val="00836DAC"/>
    <w:rsid w:val="00837165"/>
    <w:rsid w:val="008426AF"/>
    <w:rsid w:val="00843BC1"/>
    <w:rsid w:val="00844A1A"/>
    <w:rsid w:val="00845286"/>
    <w:rsid w:val="008457F8"/>
    <w:rsid w:val="008463F9"/>
    <w:rsid w:val="008501B6"/>
    <w:rsid w:val="0085123C"/>
    <w:rsid w:val="00851C4D"/>
    <w:rsid w:val="008530DF"/>
    <w:rsid w:val="008548E7"/>
    <w:rsid w:val="0085737B"/>
    <w:rsid w:val="00860287"/>
    <w:rsid w:val="008627A1"/>
    <w:rsid w:val="008638A3"/>
    <w:rsid w:val="00865AAD"/>
    <w:rsid w:val="00870D9A"/>
    <w:rsid w:val="008718E0"/>
    <w:rsid w:val="008746D9"/>
    <w:rsid w:val="00874DE3"/>
    <w:rsid w:val="00875B68"/>
    <w:rsid w:val="008808D1"/>
    <w:rsid w:val="00882DF8"/>
    <w:rsid w:val="00883E9A"/>
    <w:rsid w:val="00884930"/>
    <w:rsid w:val="00887DC9"/>
    <w:rsid w:val="00890E60"/>
    <w:rsid w:val="00890FD9"/>
    <w:rsid w:val="00891D59"/>
    <w:rsid w:val="008921AD"/>
    <w:rsid w:val="00892B08"/>
    <w:rsid w:val="008935FA"/>
    <w:rsid w:val="008946D9"/>
    <w:rsid w:val="008955D3"/>
    <w:rsid w:val="008A1A05"/>
    <w:rsid w:val="008A446D"/>
    <w:rsid w:val="008A49BF"/>
    <w:rsid w:val="008A6576"/>
    <w:rsid w:val="008A6881"/>
    <w:rsid w:val="008B1EB0"/>
    <w:rsid w:val="008B3C38"/>
    <w:rsid w:val="008B40A0"/>
    <w:rsid w:val="008B671A"/>
    <w:rsid w:val="008C0969"/>
    <w:rsid w:val="008C0D14"/>
    <w:rsid w:val="008C3E04"/>
    <w:rsid w:val="008C6F54"/>
    <w:rsid w:val="008C734E"/>
    <w:rsid w:val="008C7A93"/>
    <w:rsid w:val="008D18FE"/>
    <w:rsid w:val="008D251A"/>
    <w:rsid w:val="008D37CB"/>
    <w:rsid w:val="008D5E14"/>
    <w:rsid w:val="008D733D"/>
    <w:rsid w:val="008E0731"/>
    <w:rsid w:val="008E1268"/>
    <w:rsid w:val="008E2E49"/>
    <w:rsid w:val="008E4551"/>
    <w:rsid w:val="008E4EB3"/>
    <w:rsid w:val="008E52C1"/>
    <w:rsid w:val="008E7408"/>
    <w:rsid w:val="008F01A6"/>
    <w:rsid w:val="008F0FD4"/>
    <w:rsid w:val="008F2F6E"/>
    <w:rsid w:val="008F3C9E"/>
    <w:rsid w:val="00901A13"/>
    <w:rsid w:val="00902717"/>
    <w:rsid w:val="009053A1"/>
    <w:rsid w:val="009066C5"/>
    <w:rsid w:val="00907238"/>
    <w:rsid w:val="00907E4E"/>
    <w:rsid w:val="00910C9A"/>
    <w:rsid w:val="00913015"/>
    <w:rsid w:val="00920E4F"/>
    <w:rsid w:val="00922874"/>
    <w:rsid w:val="00923D6A"/>
    <w:rsid w:val="0092465C"/>
    <w:rsid w:val="00925C01"/>
    <w:rsid w:val="009269D7"/>
    <w:rsid w:val="009336F1"/>
    <w:rsid w:val="00935D50"/>
    <w:rsid w:val="009413FA"/>
    <w:rsid w:val="00941E25"/>
    <w:rsid w:val="0094354D"/>
    <w:rsid w:val="00943771"/>
    <w:rsid w:val="00943C06"/>
    <w:rsid w:val="00945816"/>
    <w:rsid w:val="009504CA"/>
    <w:rsid w:val="00950ACC"/>
    <w:rsid w:val="009528CC"/>
    <w:rsid w:val="0095296C"/>
    <w:rsid w:val="00953C41"/>
    <w:rsid w:val="00954B04"/>
    <w:rsid w:val="00957B3B"/>
    <w:rsid w:val="00960398"/>
    <w:rsid w:val="0096316D"/>
    <w:rsid w:val="0096765A"/>
    <w:rsid w:val="0097140B"/>
    <w:rsid w:val="00974A46"/>
    <w:rsid w:val="00977CF3"/>
    <w:rsid w:val="00977D17"/>
    <w:rsid w:val="00981E29"/>
    <w:rsid w:val="009845F2"/>
    <w:rsid w:val="009853B0"/>
    <w:rsid w:val="00993A85"/>
    <w:rsid w:val="009940E2"/>
    <w:rsid w:val="009956F8"/>
    <w:rsid w:val="00995FAC"/>
    <w:rsid w:val="0099763C"/>
    <w:rsid w:val="009A2C69"/>
    <w:rsid w:val="009A3608"/>
    <w:rsid w:val="009A3C79"/>
    <w:rsid w:val="009A4812"/>
    <w:rsid w:val="009A4AA7"/>
    <w:rsid w:val="009A67A8"/>
    <w:rsid w:val="009A6E51"/>
    <w:rsid w:val="009A7CDD"/>
    <w:rsid w:val="009A7E4B"/>
    <w:rsid w:val="009B22D7"/>
    <w:rsid w:val="009B24AF"/>
    <w:rsid w:val="009B5482"/>
    <w:rsid w:val="009C022F"/>
    <w:rsid w:val="009C327E"/>
    <w:rsid w:val="009C4637"/>
    <w:rsid w:val="009C6D11"/>
    <w:rsid w:val="009D086D"/>
    <w:rsid w:val="009D0ACC"/>
    <w:rsid w:val="009D0B04"/>
    <w:rsid w:val="009D1E2C"/>
    <w:rsid w:val="009D2EB2"/>
    <w:rsid w:val="009D6188"/>
    <w:rsid w:val="009D6D99"/>
    <w:rsid w:val="009E08DB"/>
    <w:rsid w:val="009E2CA1"/>
    <w:rsid w:val="009E447A"/>
    <w:rsid w:val="009E54C1"/>
    <w:rsid w:val="009F45B6"/>
    <w:rsid w:val="00A008D2"/>
    <w:rsid w:val="00A0373D"/>
    <w:rsid w:val="00A054B8"/>
    <w:rsid w:val="00A16AB4"/>
    <w:rsid w:val="00A17A73"/>
    <w:rsid w:val="00A23BB1"/>
    <w:rsid w:val="00A24863"/>
    <w:rsid w:val="00A25C11"/>
    <w:rsid w:val="00A3343A"/>
    <w:rsid w:val="00A33B58"/>
    <w:rsid w:val="00A34191"/>
    <w:rsid w:val="00A35067"/>
    <w:rsid w:val="00A424E9"/>
    <w:rsid w:val="00A42F3D"/>
    <w:rsid w:val="00A46D12"/>
    <w:rsid w:val="00A47C85"/>
    <w:rsid w:val="00A5418F"/>
    <w:rsid w:val="00A55A8A"/>
    <w:rsid w:val="00A575A5"/>
    <w:rsid w:val="00A57D56"/>
    <w:rsid w:val="00A6008D"/>
    <w:rsid w:val="00A62F43"/>
    <w:rsid w:val="00A64457"/>
    <w:rsid w:val="00A64615"/>
    <w:rsid w:val="00A728D4"/>
    <w:rsid w:val="00A76239"/>
    <w:rsid w:val="00A76C37"/>
    <w:rsid w:val="00A80DEC"/>
    <w:rsid w:val="00A83362"/>
    <w:rsid w:val="00A84716"/>
    <w:rsid w:val="00A84782"/>
    <w:rsid w:val="00A93173"/>
    <w:rsid w:val="00A9408E"/>
    <w:rsid w:val="00A970A3"/>
    <w:rsid w:val="00A97D04"/>
    <w:rsid w:val="00AA0BD8"/>
    <w:rsid w:val="00AA7A57"/>
    <w:rsid w:val="00AA7C73"/>
    <w:rsid w:val="00AB52D6"/>
    <w:rsid w:val="00AB6B85"/>
    <w:rsid w:val="00AB738A"/>
    <w:rsid w:val="00AC6E67"/>
    <w:rsid w:val="00AC70D4"/>
    <w:rsid w:val="00AD0C57"/>
    <w:rsid w:val="00AD51AC"/>
    <w:rsid w:val="00AD7139"/>
    <w:rsid w:val="00AD78DB"/>
    <w:rsid w:val="00AD7B37"/>
    <w:rsid w:val="00AE1C61"/>
    <w:rsid w:val="00AE55A5"/>
    <w:rsid w:val="00AE6A3F"/>
    <w:rsid w:val="00AF0375"/>
    <w:rsid w:val="00AF1511"/>
    <w:rsid w:val="00B00BB2"/>
    <w:rsid w:val="00B03590"/>
    <w:rsid w:val="00B043E5"/>
    <w:rsid w:val="00B060F2"/>
    <w:rsid w:val="00B116CC"/>
    <w:rsid w:val="00B1247A"/>
    <w:rsid w:val="00B13519"/>
    <w:rsid w:val="00B15945"/>
    <w:rsid w:val="00B1691E"/>
    <w:rsid w:val="00B222E7"/>
    <w:rsid w:val="00B268F7"/>
    <w:rsid w:val="00B26C38"/>
    <w:rsid w:val="00B3322F"/>
    <w:rsid w:val="00B36B8D"/>
    <w:rsid w:val="00B37155"/>
    <w:rsid w:val="00B37C52"/>
    <w:rsid w:val="00B4281F"/>
    <w:rsid w:val="00B42C1C"/>
    <w:rsid w:val="00B42DF3"/>
    <w:rsid w:val="00B44276"/>
    <w:rsid w:val="00B44C21"/>
    <w:rsid w:val="00B45396"/>
    <w:rsid w:val="00B52424"/>
    <w:rsid w:val="00B533E2"/>
    <w:rsid w:val="00B53592"/>
    <w:rsid w:val="00B53840"/>
    <w:rsid w:val="00B605AB"/>
    <w:rsid w:val="00B60F2E"/>
    <w:rsid w:val="00B6100E"/>
    <w:rsid w:val="00B64162"/>
    <w:rsid w:val="00B64497"/>
    <w:rsid w:val="00B64866"/>
    <w:rsid w:val="00B65CB3"/>
    <w:rsid w:val="00B70F36"/>
    <w:rsid w:val="00B72A52"/>
    <w:rsid w:val="00B72DF3"/>
    <w:rsid w:val="00B733C1"/>
    <w:rsid w:val="00B739B7"/>
    <w:rsid w:val="00B760A4"/>
    <w:rsid w:val="00B77A87"/>
    <w:rsid w:val="00B8192E"/>
    <w:rsid w:val="00B82290"/>
    <w:rsid w:val="00B84F39"/>
    <w:rsid w:val="00B87F7B"/>
    <w:rsid w:val="00B9611D"/>
    <w:rsid w:val="00B96C59"/>
    <w:rsid w:val="00BA048B"/>
    <w:rsid w:val="00BA23D4"/>
    <w:rsid w:val="00BA27F7"/>
    <w:rsid w:val="00BA5B9A"/>
    <w:rsid w:val="00BB05FF"/>
    <w:rsid w:val="00BB0C73"/>
    <w:rsid w:val="00BB366C"/>
    <w:rsid w:val="00BB3C46"/>
    <w:rsid w:val="00BC217C"/>
    <w:rsid w:val="00BC4567"/>
    <w:rsid w:val="00BC6048"/>
    <w:rsid w:val="00BD0397"/>
    <w:rsid w:val="00BD414E"/>
    <w:rsid w:val="00BD4A88"/>
    <w:rsid w:val="00BD5E3F"/>
    <w:rsid w:val="00BE3E23"/>
    <w:rsid w:val="00BE4AC2"/>
    <w:rsid w:val="00BE4B5B"/>
    <w:rsid w:val="00BE5080"/>
    <w:rsid w:val="00BE79AB"/>
    <w:rsid w:val="00BF12D2"/>
    <w:rsid w:val="00BF1F23"/>
    <w:rsid w:val="00BF3948"/>
    <w:rsid w:val="00BF444B"/>
    <w:rsid w:val="00BF5789"/>
    <w:rsid w:val="00BF72CC"/>
    <w:rsid w:val="00BF76EC"/>
    <w:rsid w:val="00BF7EC5"/>
    <w:rsid w:val="00C00449"/>
    <w:rsid w:val="00C00A23"/>
    <w:rsid w:val="00C060C1"/>
    <w:rsid w:val="00C10360"/>
    <w:rsid w:val="00C14CA3"/>
    <w:rsid w:val="00C17793"/>
    <w:rsid w:val="00C22163"/>
    <w:rsid w:val="00C23341"/>
    <w:rsid w:val="00C243DA"/>
    <w:rsid w:val="00C252E6"/>
    <w:rsid w:val="00C30202"/>
    <w:rsid w:val="00C30DE4"/>
    <w:rsid w:val="00C348DD"/>
    <w:rsid w:val="00C34F25"/>
    <w:rsid w:val="00C377FC"/>
    <w:rsid w:val="00C427E2"/>
    <w:rsid w:val="00C442A2"/>
    <w:rsid w:val="00C447C5"/>
    <w:rsid w:val="00C45FEA"/>
    <w:rsid w:val="00C46194"/>
    <w:rsid w:val="00C47BC4"/>
    <w:rsid w:val="00C47F06"/>
    <w:rsid w:val="00C50C63"/>
    <w:rsid w:val="00C52768"/>
    <w:rsid w:val="00C57842"/>
    <w:rsid w:val="00C65605"/>
    <w:rsid w:val="00C673FA"/>
    <w:rsid w:val="00C67CD8"/>
    <w:rsid w:val="00C7012C"/>
    <w:rsid w:val="00C70DE8"/>
    <w:rsid w:val="00C71294"/>
    <w:rsid w:val="00C83BE7"/>
    <w:rsid w:val="00C8655E"/>
    <w:rsid w:val="00C90CB1"/>
    <w:rsid w:val="00C922C8"/>
    <w:rsid w:val="00C924B4"/>
    <w:rsid w:val="00C92651"/>
    <w:rsid w:val="00C94C3A"/>
    <w:rsid w:val="00C96B59"/>
    <w:rsid w:val="00C97B60"/>
    <w:rsid w:val="00CA6368"/>
    <w:rsid w:val="00CB04F5"/>
    <w:rsid w:val="00CB147C"/>
    <w:rsid w:val="00CB2FF5"/>
    <w:rsid w:val="00CB70A9"/>
    <w:rsid w:val="00CC17F2"/>
    <w:rsid w:val="00CC1BE4"/>
    <w:rsid w:val="00CC3AF8"/>
    <w:rsid w:val="00CC6BE0"/>
    <w:rsid w:val="00CC6EE5"/>
    <w:rsid w:val="00CC7262"/>
    <w:rsid w:val="00CD0C23"/>
    <w:rsid w:val="00CD22E7"/>
    <w:rsid w:val="00CD33F4"/>
    <w:rsid w:val="00CD5954"/>
    <w:rsid w:val="00CD7046"/>
    <w:rsid w:val="00CE1293"/>
    <w:rsid w:val="00CE3BB4"/>
    <w:rsid w:val="00CE3EF0"/>
    <w:rsid w:val="00CE4880"/>
    <w:rsid w:val="00CE50DD"/>
    <w:rsid w:val="00CE518C"/>
    <w:rsid w:val="00CE5808"/>
    <w:rsid w:val="00CE6271"/>
    <w:rsid w:val="00CE7BF5"/>
    <w:rsid w:val="00CF1E45"/>
    <w:rsid w:val="00CF2CAB"/>
    <w:rsid w:val="00CF2F2E"/>
    <w:rsid w:val="00CF3170"/>
    <w:rsid w:val="00CF38D3"/>
    <w:rsid w:val="00CF3FFF"/>
    <w:rsid w:val="00CF5D28"/>
    <w:rsid w:val="00D01012"/>
    <w:rsid w:val="00D013DE"/>
    <w:rsid w:val="00D02EF9"/>
    <w:rsid w:val="00D031BC"/>
    <w:rsid w:val="00D11859"/>
    <w:rsid w:val="00D139F4"/>
    <w:rsid w:val="00D163A5"/>
    <w:rsid w:val="00D17756"/>
    <w:rsid w:val="00D21698"/>
    <w:rsid w:val="00D22988"/>
    <w:rsid w:val="00D2576D"/>
    <w:rsid w:val="00D263C7"/>
    <w:rsid w:val="00D269F5"/>
    <w:rsid w:val="00D314DB"/>
    <w:rsid w:val="00D318F7"/>
    <w:rsid w:val="00D333D4"/>
    <w:rsid w:val="00D419DB"/>
    <w:rsid w:val="00D431D0"/>
    <w:rsid w:val="00D4395C"/>
    <w:rsid w:val="00D45872"/>
    <w:rsid w:val="00D502F8"/>
    <w:rsid w:val="00D5294E"/>
    <w:rsid w:val="00D5566D"/>
    <w:rsid w:val="00D561D5"/>
    <w:rsid w:val="00D5725A"/>
    <w:rsid w:val="00D65C42"/>
    <w:rsid w:val="00D65F21"/>
    <w:rsid w:val="00D66F4F"/>
    <w:rsid w:val="00D67B54"/>
    <w:rsid w:val="00D71F63"/>
    <w:rsid w:val="00D73CFB"/>
    <w:rsid w:val="00D748E4"/>
    <w:rsid w:val="00D75AF8"/>
    <w:rsid w:val="00D81D95"/>
    <w:rsid w:val="00D8465D"/>
    <w:rsid w:val="00D84F9C"/>
    <w:rsid w:val="00D85311"/>
    <w:rsid w:val="00D905D0"/>
    <w:rsid w:val="00D90D69"/>
    <w:rsid w:val="00D916B4"/>
    <w:rsid w:val="00D93128"/>
    <w:rsid w:val="00D94246"/>
    <w:rsid w:val="00D9555D"/>
    <w:rsid w:val="00DA0E6E"/>
    <w:rsid w:val="00DA176B"/>
    <w:rsid w:val="00DA2A4D"/>
    <w:rsid w:val="00DA2CD7"/>
    <w:rsid w:val="00DA4286"/>
    <w:rsid w:val="00DA4BB2"/>
    <w:rsid w:val="00DA4BC3"/>
    <w:rsid w:val="00DA5AA1"/>
    <w:rsid w:val="00DB0364"/>
    <w:rsid w:val="00DB0409"/>
    <w:rsid w:val="00DB0B80"/>
    <w:rsid w:val="00DB1B51"/>
    <w:rsid w:val="00DB4488"/>
    <w:rsid w:val="00DB4C1E"/>
    <w:rsid w:val="00DC1149"/>
    <w:rsid w:val="00DC5B7A"/>
    <w:rsid w:val="00DE040B"/>
    <w:rsid w:val="00DE1861"/>
    <w:rsid w:val="00DE31C0"/>
    <w:rsid w:val="00DE4CFA"/>
    <w:rsid w:val="00DE6F8A"/>
    <w:rsid w:val="00DF0CFE"/>
    <w:rsid w:val="00DF1670"/>
    <w:rsid w:val="00DF1FBB"/>
    <w:rsid w:val="00DF4A27"/>
    <w:rsid w:val="00DF52D4"/>
    <w:rsid w:val="00DF6128"/>
    <w:rsid w:val="00DF7B5A"/>
    <w:rsid w:val="00E002CA"/>
    <w:rsid w:val="00E01CCA"/>
    <w:rsid w:val="00E021B1"/>
    <w:rsid w:val="00E07544"/>
    <w:rsid w:val="00E07A00"/>
    <w:rsid w:val="00E13EC4"/>
    <w:rsid w:val="00E13ECB"/>
    <w:rsid w:val="00E168B2"/>
    <w:rsid w:val="00E17536"/>
    <w:rsid w:val="00E22533"/>
    <w:rsid w:val="00E231E8"/>
    <w:rsid w:val="00E24CA4"/>
    <w:rsid w:val="00E26444"/>
    <w:rsid w:val="00E26F2E"/>
    <w:rsid w:val="00E27366"/>
    <w:rsid w:val="00E2744E"/>
    <w:rsid w:val="00E32E50"/>
    <w:rsid w:val="00E3379A"/>
    <w:rsid w:val="00E3383F"/>
    <w:rsid w:val="00E37BB0"/>
    <w:rsid w:val="00E435AC"/>
    <w:rsid w:val="00E45622"/>
    <w:rsid w:val="00E474ED"/>
    <w:rsid w:val="00E53F1A"/>
    <w:rsid w:val="00E54C4D"/>
    <w:rsid w:val="00E601D2"/>
    <w:rsid w:val="00E623CA"/>
    <w:rsid w:val="00E64455"/>
    <w:rsid w:val="00E64A73"/>
    <w:rsid w:val="00E652E5"/>
    <w:rsid w:val="00E66BA0"/>
    <w:rsid w:val="00E70736"/>
    <w:rsid w:val="00E749E9"/>
    <w:rsid w:val="00E75F75"/>
    <w:rsid w:val="00E75FC1"/>
    <w:rsid w:val="00E81CAE"/>
    <w:rsid w:val="00E83412"/>
    <w:rsid w:val="00E8343E"/>
    <w:rsid w:val="00E9190A"/>
    <w:rsid w:val="00E93625"/>
    <w:rsid w:val="00E93C4A"/>
    <w:rsid w:val="00E97217"/>
    <w:rsid w:val="00EA40B6"/>
    <w:rsid w:val="00EA7D2A"/>
    <w:rsid w:val="00EB021F"/>
    <w:rsid w:val="00EB0D8D"/>
    <w:rsid w:val="00EB3127"/>
    <w:rsid w:val="00EB3591"/>
    <w:rsid w:val="00EB4F77"/>
    <w:rsid w:val="00EB523B"/>
    <w:rsid w:val="00EB58A7"/>
    <w:rsid w:val="00EB5961"/>
    <w:rsid w:val="00EC0FA7"/>
    <w:rsid w:val="00EC335D"/>
    <w:rsid w:val="00EC36E4"/>
    <w:rsid w:val="00EC3769"/>
    <w:rsid w:val="00EC4C0E"/>
    <w:rsid w:val="00EC54F0"/>
    <w:rsid w:val="00ED013A"/>
    <w:rsid w:val="00ED2FB0"/>
    <w:rsid w:val="00ED3B44"/>
    <w:rsid w:val="00ED3F02"/>
    <w:rsid w:val="00ED4756"/>
    <w:rsid w:val="00EE2B92"/>
    <w:rsid w:val="00EE2F11"/>
    <w:rsid w:val="00EE643A"/>
    <w:rsid w:val="00EE770C"/>
    <w:rsid w:val="00EF30C5"/>
    <w:rsid w:val="00F05918"/>
    <w:rsid w:val="00F124F7"/>
    <w:rsid w:val="00F14F62"/>
    <w:rsid w:val="00F15397"/>
    <w:rsid w:val="00F16350"/>
    <w:rsid w:val="00F2134A"/>
    <w:rsid w:val="00F23544"/>
    <w:rsid w:val="00F259AC"/>
    <w:rsid w:val="00F276F5"/>
    <w:rsid w:val="00F31D04"/>
    <w:rsid w:val="00F31F07"/>
    <w:rsid w:val="00F32B8C"/>
    <w:rsid w:val="00F33917"/>
    <w:rsid w:val="00F33934"/>
    <w:rsid w:val="00F35C9C"/>
    <w:rsid w:val="00F42690"/>
    <w:rsid w:val="00F443F1"/>
    <w:rsid w:val="00F451A3"/>
    <w:rsid w:val="00F45798"/>
    <w:rsid w:val="00F46375"/>
    <w:rsid w:val="00F4678A"/>
    <w:rsid w:val="00F50248"/>
    <w:rsid w:val="00F626B6"/>
    <w:rsid w:val="00F6358E"/>
    <w:rsid w:val="00F6480F"/>
    <w:rsid w:val="00F66649"/>
    <w:rsid w:val="00F67075"/>
    <w:rsid w:val="00F7364D"/>
    <w:rsid w:val="00F75F2D"/>
    <w:rsid w:val="00F76C37"/>
    <w:rsid w:val="00F77A29"/>
    <w:rsid w:val="00F77D64"/>
    <w:rsid w:val="00F82CAB"/>
    <w:rsid w:val="00F841D8"/>
    <w:rsid w:val="00F87C96"/>
    <w:rsid w:val="00F87DB8"/>
    <w:rsid w:val="00F901A5"/>
    <w:rsid w:val="00F90610"/>
    <w:rsid w:val="00F92264"/>
    <w:rsid w:val="00F968C7"/>
    <w:rsid w:val="00F96E92"/>
    <w:rsid w:val="00F97A23"/>
    <w:rsid w:val="00FA2C5C"/>
    <w:rsid w:val="00FA2D7F"/>
    <w:rsid w:val="00FB2D1B"/>
    <w:rsid w:val="00FB310D"/>
    <w:rsid w:val="00FB6305"/>
    <w:rsid w:val="00FC00D8"/>
    <w:rsid w:val="00FC3734"/>
    <w:rsid w:val="00FC463D"/>
    <w:rsid w:val="00FC4A9D"/>
    <w:rsid w:val="00FC6B5B"/>
    <w:rsid w:val="00FD1DE9"/>
    <w:rsid w:val="00FD34B5"/>
    <w:rsid w:val="00FD3A2C"/>
    <w:rsid w:val="00FD65D2"/>
    <w:rsid w:val="00FD6EFF"/>
    <w:rsid w:val="00FE0845"/>
    <w:rsid w:val="00FE6DFD"/>
    <w:rsid w:val="00FE7376"/>
    <w:rsid w:val="00FF083F"/>
    <w:rsid w:val="00FF1549"/>
    <w:rsid w:val="00FF24AA"/>
    <w:rsid w:val="00FF7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D4B4A"/>
  <w15:chartTrackingRefBased/>
  <w15:docId w15:val="{36057C4A-9675-4FCA-8C13-2C177D4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AB"/>
    <w:rPr>
      <w:rFonts w:eastAsia="Times New Roman" w:cs="Times New Roman"/>
      <w:szCs w:val="24"/>
      <w:lang w:eastAsia="lv-LV"/>
    </w:rPr>
  </w:style>
  <w:style w:type="paragraph" w:styleId="Heading3">
    <w:name w:val="heading 3"/>
    <w:basedOn w:val="Normal"/>
    <w:link w:val="Heading3Char"/>
    <w:uiPriority w:val="99"/>
    <w:unhideWhenUsed/>
    <w:qFormat/>
    <w:rsid w:val="002751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rPr>
      <w:sz w:val="20"/>
      <w:szCs w:val="20"/>
    </w:rPr>
  </w:style>
  <w:style w:type="character" w:customStyle="1" w:styleId="CommentTextChar">
    <w:name w:val="Comment Text Char"/>
    <w:basedOn w:val="DefaultParagraphFont"/>
    <w:link w:val="CommentText"/>
    <w:uiPriority w:val="99"/>
    <w:semiHidden/>
    <w:rsid w:val="00144AE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4AE3"/>
    <w:rPr>
      <w:b/>
      <w:bCs/>
    </w:rPr>
  </w:style>
  <w:style w:type="character" w:customStyle="1" w:styleId="CommentSubjectChar">
    <w:name w:val="Comment Subject Char"/>
    <w:basedOn w:val="CommentTextChar"/>
    <w:link w:val="CommentSubject"/>
    <w:uiPriority w:val="99"/>
    <w:semiHidden/>
    <w:rsid w:val="00144AE3"/>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14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E3"/>
    <w:rPr>
      <w:rFonts w:ascii="Segoe UI" w:eastAsia="Times New Roman" w:hAnsi="Segoe UI" w:cs="Segoe UI"/>
      <w:sz w:val="18"/>
      <w:szCs w:val="18"/>
      <w:lang w:eastAsia="lv-LV"/>
    </w:rPr>
  </w:style>
  <w:style w:type="paragraph" w:customStyle="1" w:styleId="Nobeigums">
    <w:name w:val="Nobeigums"/>
    <w:basedOn w:val="Normal"/>
    <w:rsid w:val="00B84F39"/>
    <w:rPr>
      <w:szCs w:val="20"/>
      <w:lang w:val="en-US" w:eastAsia="en-US"/>
    </w:rPr>
  </w:style>
  <w:style w:type="paragraph" w:styleId="NoSpacing">
    <w:name w:val="No Spacing"/>
    <w:uiPriority w:val="1"/>
    <w:qFormat/>
    <w:rsid w:val="00070434"/>
    <w:pPr>
      <w:suppressAutoHyphens/>
      <w:autoSpaceDN w:val="0"/>
      <w:textAlignment w:val="baseline"/>
    </w:pPr>
    <w:rPr>
      <w:rFonts w:ascii="Calibri" w:eastAsia="Calibri" w:hAnsi="Calibri" w:cs="Times New Roman"/>
      <w:sz w:val="22"/>
    </w:rPr>
  </w:style>
  <w:style w:type="character" w:customStyle="1" w:styleId="Heading3Char">
    <w:name w:val="Heading 3 Char"/>
    <w:basedOn w:val="DefaultParagraphFont"/>
    <w:link w:val="Heading3"/>
    <w:uiPriority w:val="99"/>
    <w:rsid w:val="0027512E"/>
    <w:rPr>
      <w:rFonts w:eastAsia="Times New Roman" w:cs="Times New Roman"/>
      <w:b/>
      <w:bCs/>
      <w:sz w:val="27"/>
      <w:szCs w:val="27"/>
      <w:lang w:eastAsia="lv-LV"/>
    </w:rPr>
  </w:style>
  <w:style w:type="paragraph" w:styleId="BodyText">
    <w:name w:val="Body Text"/>
    <w:basedOn w:val="Normal"/>
    <w:link w:val="BodyTextChar"/>
    <w:uiPriority w:val="1"/>
    <w:qFormat/>
    <w:rsid w:val="00FE6DFD"/>
    <w:pPr>
      <w:widowControl w:val="0"/>
      <w:ind w:left="102"/>
    </w:pPr>
    <w:rPr>
      <w:rFonts w:cstheme="minorBidi"/>
      <w:sz w:val="28"/>
      <w:szCs w:val="28"/>
      <w:lang w:val="en-US" w:eastAsia="en-US"/>
    </w:rPr>
  </w:style>
  <w:style w:type="character" w:customStyle="1" w:styleId="BodyTextChar">
    <w:name w:val="Body Text Char"/>
    <w:basedOn w:val="DefaultParagraphFont"/>
    <w:link w:val="BodyText"/>
    <w:uiPriority w:val="1"/>
    <w:rsid w:val="00FE6DFD"/>
    <w:rPr>
      <w:rFonts w:eastAsia="Times New Roman"/>
      <w:sz w:val="28"/>
      <w:szCs w:val="28"/>
      <w:lang w:val="en-US"/>
    </w:rPr>
  </w:style>
  <w:style w:type="paragraph" w:styleId="PlainText">
    <w:name w:val="Plain Text"/>
    <w:basedOn w:val="Normal"/>
    <w:link w:val="PlainTextChar"/>
    <w:uiPriority w:val="99"/>
    <w:semiHidden/>
    <w:unhideWhenUsed/>
    <w:rsid w:val="00B26C38"/>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B26C38"/>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5015">
      <w:bodyDiv w:val="1"/>
      <w:marLeft w:val="0"/>
      <w:marRight w:val="0"/>
      <w:marTop w:val="0"/>
      <w:marBottom w:val="0"/>
      <w:divBdr>
        <w:top w:val="none" w:sz="0" w:space="0" w:color="auto"/>
        <w:left w:val="none" w:sz="0" w:space="0" w:color="auto"/>
        <w:bottom w:val="none" w:sz="0" w:space="0" w:color="auto"/>
        <w:right w:val="none" w:sz="0" w:space="0" w:color="auto"/>
      </w:divBdr>
    </w:div>
    <w:div w:id="8147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5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zvirgzd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C4B8-4D83-4717-AA58-C44E95DA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12892</Words>
  <Characters>7350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Kredītu reģistra likumā"</vt:lpstr>
    </vt:vector>
  </TitlesOfParts>
  <Company>Finanšu ministrija</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Kredītu reģistra likumā"</dc:title>
  <dc:subject>Izziņa</dc:subject>
  <dc:creator>Baiba Zvirgzdiņa</dc:creator>
  <cp:keywords/>
  <dc:description>67095601, baiba.zvirgzdina@fm.gov.lv</dc:description>
  <cp:lastModifiedBy>Baiba Zvirgzdiņa</cp:lastModifiedBy>
  <cp:revision>116</cp:revision>
  <dcterms:created xsi:type="dcterms:W3CDTF">2019-06-21T12:34:00Z</dcterms:created>
  <dcterms:modified xsi:type="dcterms:W3CDTF">2019-07-18T06:56:00Z</dcterms:modified>
</cp:coreProperties>
</file>