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BC" w:rsidRPr="004C4D0D" w:rsidRDefault="006C0EDA" w:rsidP="007F26BC">
      <w:pPr>
        <w:shd w:val="clear" w:color="auto" w:fill="FFFFFF"/>
        <w:spacing w:line="260" w:lineRule="exact"/>
        <w:jc w:val="center"/>
        <w:rPr>
          <w:b/>
          <w:bCs/>
          <w:sz w:val="26"/>
          <w:szCs w:val="26"/>
        </w:rPr>
      </w:pPr>
      <w:r w:rsidRPr="004C4D0D">
        <w:rPr>
          <w:b/>
          <w:sz w:val="26"/>
          <w:szCs w:val="26"/>
        </w:rPr>
        <w:t>Likum</w:t>
      </w:r>
      <w:r w:rsidR="007F26BC" w:rsidRPr="004C4D0D">
        <w:rPr>
          <w:b/>
          <w:sz w:val="26"/>
          <w:szCs w:val="26"/>
        </w:rPr>
        <w:t>projekta “</w:t>
      </w:r>
      <w:r w:rsidR="00E231B2" w:rsidRPr="004C4D0D">
        <w:rPr>
          <w:b/>
          <w:sz w:val="26"/>
          <w:szCs w:val="26"/>
        </w:rPr>
        <w:t>Grozījum</w:t>
      </w:r>
      <w:r w:rsidR="00D82FC2" w:rsidRPr="004C4D0D">
        <w:rPr>
          <w:b/>
          <w:sz w:val="26"/>
          <w:szCs w:val="26"/>
        </w:rPr>
        <w:t>i</w:t>
      </w:r>
      <w:r w:rsidRPr="004C4D0D">
        <w:rPr>
          <w:b/>
          <w:sz w:val="26"/>
          <w:szCs w:val="26"/>
        </w:rPr>
        <w:t xml:space="preserve"> </w:t>
      </w:r>
      <w:r w:rsidR="00990D4B" w:rsidRPr="004C4D0D">
        <w:rPr>
          <w:b/>
          <w:sz w:val="26"/>
          <w:szCs w:val="26"/>
        </w:rPr>
        <w:t>Apsardzes darbības likumā</w:t>
      </w:r>
      <w:r w:rsidR="007F26BC" w:rsidRPr="004C4D0D">
        <w:rPr>
          <w:b/>
          <w:bCs/>
          <w:sz w:val="26"/>
          <w:szCs w:val="26"/>
        </w:rPr>
        <w:t>” sākotnējās ietekmes novērtējuma ziņojums (anotācija)</w:t>
      </w:r>
    </w:p>
    <w:p w:rsidR="00893DF1" w:rsidRPr="004C4D0D" w:rsidRDefault="00893DF1" w:rsidP="007F26BC">
      <w:pPr>
        <w:shd w:val="clear" w:color="auto" w:fill="FFFFFF"/>
        <w:spacing w:line="260" w:lineRule="exact"/>
        <w:jc w:val="center"/>
        <w:rPr>
          <w:b/>
          <w:bCs/>
          <w:sz w:val="26"/>
          <w:szCs w:val="26"/>
        </w:rPr>
      </w:pPr>
    </w:p>
    <w:p w:rsidR="007F26BC" w:rsidRPr="004C4D0D" w:rsidRDefault="007F26BC" w:rsidP="007F26BC">
      <w:pPr>
        <w:pStyle w:val="Nosaukums"/>
        <w:ind w:firstLine="539"/>
        <w:jc w:val="both"/>
        <w:rPr>
          <w:sz w:val="16"/>
          <w:szCs w:val="16"/>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566"/>
        <w:gridCol w:w="7138"/>
      </w:tblGrid>
      <w:tr w:rsidR="007F26BC" w:rsidRPr="004C4D0D" w:rsidTr="00B53003">
        <w:trPr>
          <w:cantSplit/>
        </w:trPr>
        <w:tc>
          <w:tcPr>
            <w:tcW w:w="9634" w:type="dxa"/>
            <w:gridSpan w:val="2"/>
            <w:shd w:val="clear" w:color="auto" w:fill="FFFFFF"/>
            <w:vAlign w:val="center"/>
            <w:hideMark/>
          </w:tcPr>
          <w:p w:rsidR="007F26BC" w:rsidRPr="004C4D0D" w:rsidRDefault="007F26BC" w:rsidP="001A46FA">
            <w:pPr>
              <w:jc w:val="center"/>
              <w:rPr>
                <w:b/>
                <w:iCs/>
                <w:lang w:eastAsia="en-US"/>
              </w:rPr>
            </w:pPr>
            <w:r w:rsidRPr="004C4D0D">
              <w:rPr>
                <w:b/>
                <w:iCs/>
                <w:lang w:eastAsia="en-US"/>
              </w:rPr>
              <w:t>Tiesību akta projekta anotācijas kopsavilkums</w:t>
            </w:r>
          </w:p>
        </w:tc>
      </w:tr>
      <w:tr w:rsidR="00460918" w:rsidRPr="004C4D0D" w:rsidTr="00B53003">
        <w:trPr>
          <w:cantSplit/>
        </w:trPr>
        <w:tc>
          <w:tcPr>
            <w:tcW w:w="2547" w:type="dxa"/>
            <w:shd w:val="clear" w:color="auto" w:fill="FFFFFF"/>
            <w:hideMark/>
          </w:tcPr>
          <w:p w:rsidR="007F26BC" w:rsidRPr="004C4D0D" w:rsidRDefault="007F26BC" w:rsidP="006C3A56">
            <w:pPr>
              <w:rPr>
                <w:iCs/>
                <w:lang w:eastAsia="en-US"/>
              </w:rPr>
            </w:pPr>
            <w:r w:rsidRPr="004C4D0D">
              <w:rPr>
                <w:iCs/>
                <w:lang w:eastAsia="en-US"/>
              </w:rPr>
              <w:t>Mērķis, risinājums un projekta spēkā stāšanās laiks</w:t>
            </w:r>
          </w:p>
        </w:tc>
        <w:tc>
          <w:tcPr>
            <w:tcW w:w="7087" w:type="dxa"/>
            <w:shd w:val="clear" w:color="auto" w:fill="FFFFFF"/>
            <w:hideMark/>
          </w:tcPr>
          <w:p w:rsidR="00FD4598" w:rsidRPr="004C4D0D" w:rsidRDefault="00186ED8" w:rsidP="00E231B2">
            <w:pPr>
              <w:jc w:val="both"/>
            </w:pPr>
            <w:r w:rsidRPr="004C4D0D">
              <w:t xml:space="preserve">Likumprojekta </w:t>
            </w:r>
            <w:r w:rsidR="00D82FC2" w:rsidRPr="004C4D0D">
              <w:t>“Grozījumi</w:t>
            </w:r>
            <w:r w:rsidRPr="004C4D0D">
              <w:t xml:space="preserve"> Apsardzes darbības likumā</w:t>
            </w:r>
            <w:r w:rsidRPr="004C4D0D">
              <w:rPr>
                <w:bCs/>
              </w:rPr>
              <w:t>”</w:t>
            </w:r>
            <w:r w:rsidRPr="004C4D0D">
              <w:rPr>
                <w:b/>
                <w:bCs/>
              </w:rPr>
              <w:t xml:space="preserve"> </w:t>
            </w:r>
            <w:r w:rsidRPr="004C4D0D">
              <w:rPr>
                <w:bCs/>
              </w:rPr>
              <w:t xml:space="preserve">(turpmāk – </w:t>
            </w:r>
            <w:r w:rsidR="00236780" w:rsidRPr="004C4D0D">
              <w:rPr>
                <w:bCs/>
              </w:rPr>
              <w:t>L</w:t>
            </w:r>
            <w:r w:rsidRPr="004C4D0D">
              <w:rPr>
                <w:bCs/>
              </w:rPr>
              <w:t>ikumprojekts)</w:t>
            </w:r>
            <w:r w:rsidRPr="004C4D0D">
              <w:rPr>
                <w:b/>
                <w:bCs/>
              </w:rPr>
              <w:t xml:space="preserve"> </w:t>
            </w:r>
            <w:r w:rsidR="005D116B" w:rsidRPr="004C4D0D">
              <w:t>mērķis ir</w:t>
            </w:r>
            <w:r w:rsidR="00FD4598" w:rsidRPr="004C4D0D">
              <w:t>:</w:t>
            </w:r>
          </w:p>
          <w:p w:rsidR="007F26BC" w:rsidRPr="004C4D0D" w:rsidRDefault="00FD4598" w:rsidP="00E231B2">
            <w:pPr>
              <w:jc w:val="both"/>
              <w:rPr>
                <w:rFonts w:eastAsia="+mn-ea"/>
                <w:bCs/>
              </w:rPr>
            </w:pPr>
            <w:r w:rsidRPr="004C4D0D">
              <w:t xml:space="preserve">- </w:t>
            </w:r>
            <w:r w:rsidR="00146CAD" w:rsidRPr="004C4D0D">
              <w:rPr>
                <w:rFonts w:eastAsia="+mn-ea"/>
              </w:rPr>
              <w:t xml:space="preserve">nodrošināt </w:t>
            </w:r>
            <w:r w:rsidR="00146CAD" w:rsidRPr="004C4D0D">
              <w:rPr>
                <w:rFonts w:eastAsia="+mn-ea"/>
                <w:bCs/>
              </w:rPr>
              <w:t xml:space="preserve">Ministru kabineta 2014.gada 22.aprīļa sēdē </w:t>
            </w:r>
            <w:r w:rsidR="00E231B2" w:rsidRPr="004C4D0D">
              <w:rPr>
                <w:rFonts w:eastAsia="+mn-ea"/>
                <w:bCs/>
              </w:rPr>
              <w:t>dotā uzdevuma (prot. Nr.24 26.§) izpildi, attiecībā uz</w:t>
            </w:r>
            <w:r w:rsidR="00146CAD" w:rsidRPr="004C4D0D">
              <w:rPr>
                <w:rFonts w:eastAsia="+mn-ea"/>
                <w:bCs/>
              </w:rPr>
              <w:t xml:space="preserve"> nozaru administratīvo pārkāpumu k</w:t>
            </w:r>
            <w:r w:rsidRPr="004C4D0D">
              <w:rPr>
                <w:rFonts w:eastAsia="+mn-ea"/>
                <w:bCs/>
              </w:rPr>
              <w:t>odifikācijas sistēmas ieviešanu;</w:t>
            </w:r>
          </w:p>
          <w:p w:rsidR="005E1127" w:rsidRPr="004C4D0D" w:rsidRDefault="00FD4598" w:rsidP="00FD4598">
            <w:pPr>
              <w:jc w:val="both"/>
              <w:rPr>
                <w:rFonts w:eastAsia="+mn-ea"/>
                <w:bCs/>
              </w:rPr>
            </w:pPr>
            <w:r w:rsidRPr="004C4D0D">
              <w:t>- a</w:t>
            </w:r>
            <w:r w:rsidR="005E1127" w:rsidRPr="004C4D0D">
              <w:t xml:space="preserve">tbilstoši Līguma par Latvijas Republikas pievienošanos Konvencijai </w:t>
            </w:r>
            <w:proofErr w:type="gramStart"/>
            <w:r w:rsidR="005E1127" w:rsidRPr="004C4D0D">
              <w:t>par Ekonomiskās sadarbības un attīstības</w:t>
            </w:r>
            <w:proofErr w:type="gramEnd"/>
            <w:r w:rsidR="005E1127" w:rsidRPr="004C4D0D">
              <w:t xml:space="preserve"> organizācijai (OECD) nosacījumiem (turpmāk – Līgums) 2.pielikuma I/A sarakstam Latvija uzņēmās saistības līdz 2019.gada 31.decembrim novērst visas nacionālās likumdošanas neatbilstības OECD Liberalizācijas kodeksam. </w:t>
            </w:r>
          </w:p>
        </w:tc>
      </w:tr>
    </w:tbl>
    <w:p w:rsidR="007F26BC" w:rsidRPr="004C4D0D" w:rsidRDefault="007F26BC" w:rsidP="007F26BC">
      <w:pPr>
        <w:pStyle w:val="Nosaukums"/>
        <w:spacing w:line="260" w:lineRule="exact"/>
        <w:ind w:firstLine="539"/>
        <w:jc w:val="both"/>
        <w:rPr>
          <w:sz w:val="8"/>
          <w:szCs w:val="8"/>
        </w:rPr>
      </w:pPr>
    </w:p>
    <w:tbl>
      <w:tblPr>
        <w:tblW w:w="542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4"/>
        <w:gridCol w:w="2184"/>
        <w:gridCol w:w="7299"/>
      </w:tblGrid>
      <w:tr w:rsidR="007F26BC" w:rsidRPr="004C4D0D" w:rsidTr="00D82FC2">
        <w:tc>
          <w:tcPr>
            <w:tcW w:w="5000" w:type="pct"/>
            <w:gridSpan w:val="3"/>
            <w:vAlign w:val="center"/>
            <w:hideMark/>
          </w:tcPr>
          <w:p w:rsidR="007F26BC" w:rsidRPr="004C4D0D" w:rsidRDefault="007F26BC" w:rsidP="001A46FA">
            <w:pPr>
              <w:jc w:val="center"/>
              <w:rPr>
                <w:b/>
                <w:bCs/>
              </w:rPr>
            </w:pPr>
            <w:r w:rsidRPr="004C4D0D">
              <w:rPr>
                <w:b/>
                <w:bCs/>
              </w:rPr>
              <w:t>I. Tiesību akta projekta izstrādes nepieciešamība</w:t>
            </w:r>
          </w:p>
        </w:tc>
      </w:tr>
      <w:tr w:rsidR="007F26BC" w:rsidRPr="004C4D0D" w:rsidTr="00D82FC2">
        <w:tc>
          <w:tcPr>
            <w:tcW w:w="214" w:type="pct"/>
            <w:hideMark/>
          </w:tcPr>
          <w:p w:rsidR="007F26BC" w:rsidRPr="004C4D0D" w:rsidRDefault="007F26BC" w:rsidP="001A46FA">
            <w:pPr>
              <w:jc w:val="center"/>
            </w:pPr>
            <w:r w:rsidRPr="004C4D0D">
              <w:t>1.</w:t>
            </w:r>
          </w:p>
        </w:tc>
        <w:tc>
          <w:tcPr>
            <w:tcW w:w="1102" w:type="pct"/>
            <w:hideMark/>
          </w:tcPr>
          <w:p w:rsidR="007F26BC" w:rsidRPr="004C4D0D" w:rsidRDefault="007F26BC" w:rsidP="001A46FA">
            <w:r w:rsidRPr="004C4D0D">
              <w:t>Pamatojums</w:t>
            </w:r>
          </w:p>
        </w:tc>
        <w:tc>
          <w:tcPr>
            <w:tcW w:w="3684" w:type="pct"/>
            <w:hideMark/>
          </w:tcPr>
          <w:p w:rsidR="00F43EC7" w:rsidRPr="004C4D0D" w:rsidRDefault="00F43EC7" w:rsidP="00B616D6">
            <w:pPr>
              <w:jc w:val="both"/>
            </w:pPr>
            <w:r w:rsidRPr="004C4D0D">
              <w:t>Liberalizācijas kodeksa vispārīgie nosacījumi paredz, ka finanšu kustība (investīcijas) nevar tikt nepamatoti ierobežota, izņemot sabiedriskās kārtības un nacionālās drošības dēļ. Liberalizācijas Kodeksa 1.pants paredz diskriminējoša režīma novēršanu starp OECD dalībvalstīm. Pievienojoties OECD, Latvija saglabāja atrunu par nerezidentu veiktajām tiešajām investīcijām, kas attiecas uz privātiem apsardzes un novērošanas pakalpojumiem. Pašlaik Latvijā spēkā esošie ierobežojumi attiecībā uz investīcijām no ne-ES/EEZ rezidentiem privātās apsardzes un uzraudzības pakalpojumu jomā ir pretrunā ar OECD Liberalizācijas Kodeksu.</w:t>
            </w:r>
          </w:p>
          <w:p w:rsidR="00FD4598" w:rsidRPr="004C4D0D" w:rsidRDefault="00F43EC7" w:rsidP="00F43EC7">
            <w:pPr>
              <w:jc w:val="both"/>
              <w:rPr>
                <w:bCs/>
                <w:lang w:eastAsia="en-US"/>
              </w:rPr>
            </w:pPr>
            <w:r w:rsidRPr="004C4D0D">
              <w:t xml:space="preserve">Likumprojekts paredz </w:t>
            </w:r>
            <w:r w:rsidR="00B616D6" w:rsidRPr="004C4D0D">
              <w:rPr>
                <w:bCs/>
                <w:lang w:eastAsia="en-US"/>
              </w:rPr>
              <w:t xml:space="preserve">nodrošināt Ministru kabineta 2014.gada 22.aprīļa sēdes </w:t>
            </w:r>
            <w:proofErr w:type="spellStart"/>
            <w:r w:rsidR="00B616D6" w:rsidRPr="004C4D0D">
              <w:rPr>
                <w:bCs/>
                <w:lang w:eastAsia="en-US"/>
              </w:rPr>
              <w:t>protokollēmuma</w:t>
            </w:r>
            <w:proofErr w:type="spellEnd"/>
            <w:r w:rsidR="00B616D6" w:rsidRPr="004C4D0D">
              <w:rPr>
                <w:bCs/>
                <w:lang w:eastAsia="en-US"/>
              </w:rPr>
              <w:t xml:space="preserve"> (prot. Nr.24 26.§) “Informatīvais ziņojums “Nozaru administratīvo pārkāpumu kodifikācijas ieviešanas sistēma”” (turpmāk – informatīvais ziņojums) 2.punkta izpildi.</w:t>
            </w:r>
          </w:p>
        </w:tc>
      </w:tr>
      <w:tr w:rsidR="00142F57" w:rsidRPr="004C4D0D" w:rsidTr="00D82FC2">
        <w:trPr>
          <w:trHeight w:val="400"/>
        </w:trPr>
        <w:tc>
          <w:tcPr>
            <w:tcW w:w="214" w:type="pct"/>
            <w:hideMark/>
          </w:tcPr>
          <w:p w:rsidR="00142F57" w:rsidRPr="004C4D0D" w:rsidRDefault="00FE72E6" w:rsidP="00FE72E6">
            <w:pPr>
              <w:jc w:val="center"/>
            </w:pPr>
            <w:r w:rsidRPr="004C4D0D">
              <w:t>2.</w:t>
            </w:r>
          </w:p>
        </w:tc>
        <w:tc>
          <w:tcPr>
            <w:tcW w:w="1102" w:type="pct"/>
            <w:hideMark/>
          </w:tcPr>
          <w:p w:rsidR="00142F57" w:rsidRPr="004C4D0D" w:rsidRDefault="00142F57" w:rsidP="00FE72E6">
            <w:r w:rsidRPr="004C4D0D">
              <w:t>Pašreizējā situācija un problēmas, kuru risināšanai tiesību akta projekts izstrādāts, tiesiskā regulējuma mērķis un būtība</w:t>
            </w:r>
          </w:p>
        </w:tc>
        <w:tc>
          <w:tcPr>
            <w:tcW w:w="3684" w:type="pct"/>
            <w:hideMark/>
          </w:tcPr>
          <w:p w:rsidR="00E3106E" w:rsidRPr="004C4D0D" w:rsidRDefault="00E3106E" w:rsidP="004C70FB">
            <w:pPr>
              <w:jc w:val="both"/>
              <w:rPr>
                <w:bCs/>
                <w:lang w:eastAsia="en-US"/>
              </w:rPr>
            </w:pPr>
            <w:r w:rsidRPr="004C4D0D">
              <w:rPr>
                <w:bCs/>
                <w:lang w:eastAsia="en-US"/>
              </w:rPr>
              <w:t>Likumprojekts paredz:</w:t>
            </w:r>
          </w:p>
          <w:p w:rsidR="00F43EC7" w:rsidRPr="004C4D0D" w:rsidRDefault="00E3106E" w:rsidP="004C70FB">
            <w:pPr>
              <w:jc w:val="both"/>
              <w:rPr>
                <w:bCs/>
                <w:lang w:eastAsia="en-US"/>
              </w:rPr>
            </w:pPr>
            <w:r w:rsidRPr="004C4D0D">
              <w:rPr>
                <w:bCs/>
                <w:lang w:eastAsia="en-US"/>
              </w:rPr>
              <w:t>- s</w:t>
            </w:r>
            <w:r w:rsidR="00F43EC7" w:rsidRPr="004C4D0D">
              <w:t>askaņā ar Līgumu atruna par privātiem apsardzes un novērošanas pakalpojumiem nebūs spēkā pēc 2019.gada 31.decembra. Tādējādi, lai pilnībā izpildītu OECD saistības, ir nepieciešams veikt grozījumus Apsardzes darbības likuma 7.panta pirmajā daļā, svītrojot ierobežojumu attiecībā uz ārvalstu ieguldījumu pamatkapitālā.</w:t>
            </w:r>
            <w:r w:rsidR="000119AB" w:rsidRPr="004C4D0D">
              <w:t>;</w:t>
            </w:r>
          </w:p>
          <w:p w:rsidR="00F43EC7" w:rsidRPr="004C4D0D" w:rsidRDefault="00E3106E" w:rsidP="004C70FB">
            <w:pPr>
              <w:jc w:val="both"/>
              <w:rPr>
                <w:bCs/>
                <w:lang w:eastAsia="en-US"/>
              </w:rPr>
            </w:pPr>
            <w:r w:rsidRPr="004C4D0D">
              <w:rPr>
                <w:bCs/>
                <w:lang w:eastAsia="en-US"/>
              </w:rPr>
              <w:t>- precizēt terminoloģiju atbilstoši Ieroču aprites likumā lietotajai</w:t>
            </w:r>
            <w:r w:rsidR="006A1FE2" w:rsidRPr="004C4D0D">
              <w:rPr>
                <w:bCs/>
                <w:lang w:eastAsia="en-US"/>
              </w:rPr>
              <w:t xml:space="preserve"> terminoloģijai</w:t>
            </w:r>
            <w:r w:rsidRPr="004C4D0D">
              <w:rPr>
                <w:bCs/>
                <w:lang w:eastAsia="en-US"/>
              </w:rPr>
              <w:t xml:space="preserve"> (likums stājās spēkā </w:t>
            </w:r>
            <w:r w:rsidR="000119AB" w:rsidRPr="004C4D0D">
              <w:rPr>
                <w:bCs/>
                <w:lang w:eastAsia="en-US"/>
              </w:rPr>
              <w:t>2019.gada 10.aprīlī);</w:t>
            </w:r>
          </w:p>
          <w:p w:rsidR="004C70FB" w:rsidRPr="004C4D0D" w:rsidRDefault="006A1FE2" w:rsidP="004C70FB">
            <w:pPr>
              <w:jc w:val="both"/>
              <w:rPr>
                <w:bCs/>
                <w:lang w:eastAsia="en-US"/>
              </w:rPr>
            </w:pPr>
            <w:r w:rsidRPr="004C4D0D">
              <w:rPr>
                <w:bCs/>
                <w:lang w:eastAsia="en-US"/>
              </w:rPr>
              <w:t>-</w:t>
            </w:r>
            <w:r w:rsidR="004C70FB" w:rsidRPr="004C4D0D">
              <w:rPr>
                <w:bCs/>
                <w:lang w:eastAsia="en-US"/>
              </w:rPr>
              <w:t xml:space="preserve"> papildināt Likumu ar jaunu nodaļu par administratīvo atbildību apsardzes darbības jomā un kompetenci sodu piemērošanā.</w:t>
            </w:r>
          </w:p>
          <w:p w:rsidR="006F4983" w:rsidRPr="004C4D0D" w:rsidRDefault="006F4983" w:rsidP="004C70FB">
            <w:pPr>
              <w:jc w:val="both"/>
            </w:pPr>
            <w:r w:rsidRPr="004C4D0D">
              <w:t xml:space="preserve">   No Ieroču aprites likuma 15.panta pirmās daļas izriet, ka apsardzes darbības veikšanai var izmantot pašaizsardzībai klasificētus B kategorijas pusautomātiskos, atkārtotas darbības un viena šāviena </w:t>
            </w:r>
            <w:proofErr w:type="spellStart"/>
            <w:r w:rsidRPr="004C4D0D">
              <w:t>īsstobra</w:t>
            </w:r>
            <w:proofErr w:type="spellEnd"/>
            <w:r w:rsidRPr="004C4D0D">
              <w:t xml:space="preserve"> šaujamieročus un pašaizsardzībai klasificētus B un C kategorijas </w:t>
            </w:r>
            <w:proofErr w:type="spellStart"/>
            <w:r w:rsidRPr="004C4D0D">
              <w:t>garstobra</w:t>
            </w:r>
            <w:proofErr w:type="spellEnd"/>
            <w:r w:rsidRPr="004C4D0D">
              <w:t>—gludstobra šaujamieročus.</w:t>
            </w:r>
            <w:r w:rsidRPr="004C4D0D">
              <w:rPr>
                <w:sz w:val="22"/>
                <w:szCs w:val="22"/>
              </w:rPr>
              <w:t xml:space="preserve"> Papildus </w:t>
            </w:r>
            <w:r w:rsidRPr="004C4D0D">
              <w:t xml:space="preserve">42.panta pirmajā daļā ir noteikts, ka apsardzes komersantam un iekšējās drošības dienestam ir tiesības ieroču glabāšanas atļaujā norādītos šaujamieročus un munīciju izsniegt apsardzes darbiniekiem darba pienākumu pildīšanai, ja viņi ir saņēmuši ieroča nēsāšanas atļauju darba vajadzībām. Šaujamieroci un munīciju darba vajadzībām izsniedz tikai uz darba pienākumu pildīšanas laiku. Ņemot vērā minēto, Apsardzes darbības likuma 21.panta pirmā daļa </w:t>
            </w:r>
            <w:r w:rsidRPr="004C4D0D">
              <w:lastRenderedPageBreak/>
              <w:t>un otrā daļa pēc būtības dublē Ieroču aprites likuma 15.panta pirmo daļu un 42.panta pirmo daļu, līdz ar ko ir svītrojama.</w:t>
            </w:r>
          </w:p>
          <w:p w:rsidR="004C70FB" w:rsidRPr="004C4D0D" w:rsidRDefault="004C70FB" w:rsidP="004C70FB">
            <w:pPr>
              <w:jc w:val="both"/>
              <w:rPr>
                <w:bCs/>
                <w:lang w:eastAsia="en-US"/>
              </w:rPr>
            </w:pPr>
            <w:r w:rsidRPr="004C4D0D">
              <w:rPr>
                <w:bCs/>
                <w:lang w:eastAsia="en-US"/>
              </w:rPr>
              <w:t>Ar Likumprojektu tiek pārņemtas un precizētas Latvijas Administratīvo pārkāpumu kodeksa (turpmāk – Kodekss) normas par administratīvajiem pārkāpumiem apsardzes darbības jomā, soda apmēru un kompetento iestādi sodu piemērošanā.</w:t>
            </w:r>
          </w:p>
          <w:p w:rsidR="004C70FB" w:rsidRPr="004C4D0D" w:rsidRDefault="004C70FB" w:rsidP="004C70FB">
            <w:pPr>
              <w:jc w:val="both"/>
              <w:rPr>
                <w:bCs/>
                <w:lang w:eastAsia="en-US"/>
              </w:rPr>
            </w:pPr>
            <w:r w:rsidRPr="004C4D0D">
              <w:rPr>
                <w:bCs/>
                <w:lang w:eastAsia="en-US"/>
              </w:rPr>
              <w:t>Viens no Likumprojekta galvenajiem mērķiem ir papildināt pašlaik spēkā esošo tiesisko regulējumu tādā apmērā, cik tas ir nepieciešams, lai pārņemtu Kodeksa tiesību normas.</w:t>
            </w:r>
          </w:p>
          <w:p w:rsidR="004C70FB" w:rsidRPr="004C4D0D" w:rsidRDefault="004C70FB" w:rsidP="004C70FB">
            <w:pPr>
              <w:jc w:val="both"/>
              <w:rPr>
                <w:bCs/>
                <w:lang w:eastAsia="en-US"/>
              </w:rPr>
            </w:pPr>
            <w:r w:rsidRPr="004C4D0D">
              <w:rPr>
                <w:bCs/>
                <w:lang w:eastAsia="en-US"/>
              </w:rPr>
              <w:t>Likumprojekta VII</w:t>
            </w:r>
            <w:r w:rsidR="00307476" w:rsidRPr="004C4D0D">
              <w:rPr>
                <w:bCs/>
                <w:lang w:eastAsia="en-US"/>
              </w:rPr>
              <w:t>.</w:t>
            </w:r>
            <w:r w:rsidRPr="004C4D0D">
              <w:rPr>
                <w:bCs/>
                <w:lang w:eastAsia="en-US"/>
              </w:rPr>
              <w:t xml:space="preserve"> nodaļā ir iekļauti visi šobrīd Kodeksā esošie administratīvie pārkāpumi apsardzes darbības jomā un noteikta kompetentā iestāde, kurai būs piekritīga administratīvo sodu piemērošana.</w:t>
            </w:r>
          </w:p>
          <w:p w:rsidR="004C70FB" w:rsidRPr="004C4D0D" w:rsidRDefault="004C70FB" w:rsidP="004C70FB">
            <w:pPr>
              <w:jc w:val="both"/>
              <w:rPr>
                <w:bCs/>
                <w:lang w:eastAsia="en-US"/>
              </w:rPr>
            </w:pPr>
            <w:r w:rsidRPr="004C4D0D">
              <w:rPr>
                <w:bCs/>
                <w:lang w:eastAsia="en-US"/>
              </w:rPr>
              <w:t>Ar Likumprojektu tiek pārņemt</w:t>
            </w:r>
            <w:r w:rsidR="00F4631C" w:rsidRPr="004C4D0D">
              <w:rPr>
                <w:bCs/>
                <w:lang w:eastAsia="en-US"/>
              </w:rPr>
              <w:t>s</w:t>
            </w:r>
            <w:r w:rsidRPr="004C4D0D">
              <w:rPr>
                <w:bCs/>
                <w:lang w:eastAsia="en-US"/>
              </w:rPr>
              <w:t xml:space="preserve"> Kodeksa 166.</w:t>
            </w:r>
            <w:r w:rsidRPr="004C4D0D">
              <w:rPr>
                <w:bCs/>
                <w:vertAlign w:val="superscript"/>
                <w:lang w:eastAsia="en-US"/>
              </w:rPr>
              <w:t>2</w:t>
            </w:r>
            <w:r w:rsidR="00152A81" w:rsidRPr="004C4D0D">
              <w:rPr>
                <w:bCs/>
                <w:lang w:eastAsia="en-US"/>
              </w:rPr>
              <w:t xml:space="preserve"> pirmā daļa</w:t>
            </w:r>
            <w:r w:rsidRPr="004C4D0D">
              <w:rPr>
                <w:bCs/>
                <w:lang w:eastAsia="en-US"/>
              </w:rPr>
              <w:t>, 183.</w:t>
            </w:r>
            <w:r w:rsidRPr="004C4D0D">
              <w:rPr>
                <w:bCs/>
                <w:vertAlign w:val="superscript"/>
                <w:lang w:eastAsia="en-US"/>
              </w:rPr>
              <w:t>1</w:t>
            </w:r>
            <w:r w:rsidR="005C5F09" w:rsidRPr="004C4D0D">
              <w:rPr>
                <w:bCs/>
                <w:vertAlign w:val="superscript"/>
                <w:lang w:eastAsia="en-US"/>
              </w:rPr>
              <w:t xml:space="preserve"> </w:t>
            </w:r>
            <w:r w:rsidR="005C5F09" w:rsidRPr="004C4D0D">
              <w:rPr>
                <w:bCs/>
                <w:lang w:eastAsia="en-US"/>
              </w:rPr>
              <w:t>un</w:t>
            </w:r>
            <w:r w:rsidRPr="004C4D0D">
              <w:rPr>
                <w:bCs/>
                <w:lang w:eastAsia="en-US"/>
              </w:rPr>
              <w:t xml:space="preserve"> 183.</w:t>
            </w:r>
            <w:r w:rsidRPr="004C4D0D">
              <w:rPr>
                <w:bCs/>
                <w:vertAlign w:val="superscript"/>
                <w:lang w:eastAsia="en-US"/>
              </w:rPr>
              <w:t xml:space="preserve">3 </w:t>
            </w:r>
            <w:r w:rsidRPr="004C4D0D">
              <w:rPr>
                <w:bCs/>
                <w:lang w:eastAsia="en-US"/>
              </w:rPr>
              <w:t>pant</w:t>
            </w:r>
            <w:r w:rsidR="005C5F09" w:rsidRPr="004C4D0D">
              <w:rPr>
                <w:bCs/>
                <w:lang w:eastAsia="en-US"/>
              </w:rPr>
              <w:t>s</w:t>
            </w:r>
            <w:r w:rsidRPr="004C4D0D">
              <w:rPr>
                <w:bCs/>
                <w:lang w:eastAsia="en-US"/>
              </w:rPr>
              <w:t>.</w:t>
            </w:r>
          </w:p>
          <w:p w:rsidR="004C70FB" w:rsidRPr="004C4D0D" w:rsidRDefault="004C70FB" w:rsidP="004C70FB">
            <w:pPr>
              <w:jc w:val="both"/>
              <w:rPr>
                <w:bCs/>
                <w:lang w:eastAsia="en-US"/>
              </w:rPr>
            </w:pPr>
            <w:r w:rsidRPr="004C4D0D">
              <w:rPr>
                <w:bCs/>
                <w:lang w:eastAsia="en-US"/>
              </w:rPr>
              <w:t>Kodeksa 166.</w:t>
            </w:r>
            <w:r w:rsidRPr="004C4D0D">
              <w:rPr>
                <w:bCs/>
                <w:vertAlign w:val="superscript"/>
                <w:lang w:eastAsia="en-US"/>
              </w:rPr>
              <w:t>2</w:t>
            </w:r>
            <w:r w:rsidR="00152A81" w:rsidRPr="004C4D0D">
              <w:rPr>
                <w:bCs/>
                <w:lang w:eastAsia="en-US"/>
              </w:rPr>
              <w:t xml:space="preserve"> pirmā daļa</w:t>
            </w:r>
            <w:r w:rsidRPr="004C4D0D">
              <w:rPr>
                <w:bCs/>
                <w:lang w:eastAsia="en-US"/>
              </w:rPr>
              <w:t>, 183.</w:t>
            </w:r>
            <w:r w:rsidRPr="004C4D0D">
              <w:rPr>
                <w:bCs/>
                <w:vertAlign w:val="superscript"/>
                <w:lang w:eastAsia="en-US"/>
              </w:rPr>
              <w:t>1</w:t>
            </w:r>
            <w:r w:rsidR="00152A81" w:rsidRPr="004C4D0D">
              <w:rPr>
                <w:bCs/>
                <w:lang w:eastAsia="en-US"/>
              </w:rPr>
              <w:t xml:space="preserve"> un</w:t>
            </w:r>
            <w:r w:rsidRPr="004C4D0D">
              <w:rPr>
                <w:bCs/>
                <w:lang w:eastAsia="en-US"/>
              </w:rPr>
              <w:t xml:space="preserve"> 183.</w:t>
            </w:r>
            <w:r w:rsidRPr="004C4D0D">
              <w:rPr>
                <w:bCs/>
                <w:vertAlign w:val="superscript"/>
                <w:lang w:eastAsia="en-US"/>
              </w:rPr>
              <w:t xml:space="preserve">3 </w:t>
            </w:r>
            <w:r w:rsidRPr="004C4D0D">
              <w:rPr>
                <w:bCs/>
                <w:lang w:eastAsia="en-US"/>
              </w:rPr>
              <w:t>panti apsardzes darbības jomā nosaka atbildību par komercdarbību bez speciālās atļaujas (licences) un komercdarbības veikšanu, pārkāpjot speciālajā atļaujā (licencē) minētos nosacījumus, apsardzes darbības ierobežojumu, nosacījumu pārkāpšanu un pienākumu nepildīšanu vai speciālās atļaujas (licences) darbības laikā pildāmo prasību neizpildi.</w:t>
            </w:r>
          </w:p>
          <w:p w:rsidR="004C70FB" w:rsidRPr="004C4D0D" w:rsidRDefault="00B43092" w:rsidP="004C70FB">
            <w:pPr>
              <w:jc w:val="both"/>
              <w:rPr>
                <w:bCs/>
                <w:lang w:eastAsia="en-US"/>
              </w:rPr>
            </w:pPr>
            <w:r w:rsidRPr="004C4D0D">
              <w:rPr>
                <w:bCs/>
                <w:lang w:eastAsia="en-US"/>
              </w:rPr>
              <w:t>L</w:t>
            </w:r>
            <w:r w:rsidR="004C70FB" w:rsidRPr="004C4D0D">
              <w:rPr>
                <w:bCs/>
                <w:lang w:eastAsia="en-US"/>
              </w:rPr>
              <w:t>ikumprojekts paredz Likumā integrēt iepriekšminētos Kodeksa pantus šādā kārtībā:</w:t>
            </w:r>
          </w:p>
          <w:p w:rsidR="004C70FB" w:rsidRPr="004C4D0D" w:rsidRDefault="004C70FB" w:rsidP="004C70FB">
            <w:pPr>
              <w:numPr>
                <w:ilvl w:val="0"/>
                <w:numId w:val="25"/>
              </w:numPr>
              <w:jc w:val="both"/>
              <w:rPr>
                <w:bCs/>
                <w:lang w:eastAsia="en-US"/>
              </w:rPr>
            </w:pPr>
            <w:r w:rsidRPr="004C4D0D">
              <w:rPr>
                <w:bCs/>
                <w:lang w:eastAsia="en-US"/>
              </w:rPr>
              <w:t>Kodeksa 166.</w:t>
            </w:r>
            <w:r w:rsidRPr="004C4D0D">
              <w:rPr>
                <w:bCs/>
                <w:vertAlign w:val="superscript"/>
                <w:lang w:eastAsia="en-US"/>
              </w:rPr>
              <w:t>2</w:t>
            </w:r>
            <w:r w:rsidR="00A3517F" w:rsidRPr="004C4D0D">
              <w:rPr>
                <w:bCs/>
                <w:lang w:eastAsia="en-US"/>
              </w:rPr>
              <w:t xml:space="preserve"> panta pirmo daļu</w:t>
            </w:r>
            <w:r w:rsidR="00D805B1" w:rsidRPr="004C4D0D">
              <w:rPr>
                <w:bCs/>
                <w:lang w:eastAsia="en-US"/>
              </w:rPr>
              <w:t xml:space="preserve"> – Likumprojekta 27</w:t>
            </w:r>
            <w:r w:rsidRPr="004C4D0D">
              <w:rPr>
                <w:bCs/>
                <w:lang w:eastAsia="en-US"/>
              </w:rPr>
              <w:t>.pantā;</w:t>
            </w:r>
          </w:p>
          <w:p w:rsidR="004C70FB" w:rsidRPr="004C4D0D" w:rsidRDefault="004C70FB" w:rsidP="004C70FB">
            <w:pPr>
              <w:numPr>
                <w:ilvl w:val="0"/>
                <w:numId w:val="25"/>
              </w:numPr>
              <w:jc w:val="both"/>
              <w:rPr>
                <w:bCs/>
                <w:lang w:eastAsia="en-US"/>
              </w:rPr>
            </w:pPr>
            <w:r w:rsidRPr="004C4D0D">
              <w:rPr>
                <w:bCs/>
                <w:lang w:eastAsia="en-US"/>
              </w:rPr>
              <w:t>Kodeksa 183.</w:t>
            </w:r>
            <w:r w:rsidRPr="004C4D0D">
              <w:rPr>
                <w:bCs/>
                <w:vertAlign w:val="superscript"/>
                <w:lang w:eastAsia="en-US"/>
              </w:rPr>
              <w:t>1</w:t>
            </w:r>
            <w:r w:rsidRPr="004C4D0D">
              <w:rPr>
                <w:bCs/>
                <w:lang w:eastAsia="en-US"/>
              </w:rPr>
              <w:t xml:space="preserve"> pantu – Likumprojekta 26.pantā;</w:t>
            </w:r>
          </w:p>
          <w:p w:rsidR="004C70FB" w:rsidRPr="004C4D0D" w:rsidRDefault="004C70FB" w:rsidP="004C70FB">
            <w:pPr>
              <w:numPr>
                <w:ilvl w:val="0"/>
                <w:numId w:val="25"/>
              </w:numPr>
              <w:jc w:val="both"/>
              <w:rPr>
                <w:bCs/>
                <w:lang w:eastAsia="en-US"/>
              </w:rPr>
            </w:pPr>
            <w:r w:rsidRPr="004C4D0D">
              <w:rPr>
                <w:bCs/>
                <w:lang w:eastAsia="en-US"/>
              </w:rPr>
              <w:t>Kodeksa 183.</w:t>
            </w:r>
            <w:r w:rsidRPr="004C4D0D">
              <w:rPr>
                <w:bCs/>
                <w:vertAlign w:val="superscript"/>
                <w:lang w:eastAsia="en-US"/>
              </w:rPr>
              <w:t xml:space="preserve">3 </w:t>
            </w:r>
            <w:r w:rsidR="00D805B1" w:rsidRPr="004C4D0D">
              <w:rPr>
                <w:bCs/>
                <w:lang w:eastAsia="en-US"/>
              </w:rPr>
              <w:t>pantu – Likumprojekta 26</w:t>
            </w:r>
            <w:r w:rsidRPr="004C4D0D">
              <w:rPr>
                <w:bCs/>
                <w:lang w:eastAsia="en-US"/>
              </w:rPr>
              <w:t>.pantā.</w:t>
            </w:r>
          </w:p>
          <w:p w:rsidR="00E012B8" w:rsidRPr="004C4D0D" w:rsidRDefault="00E012B8" w:rsidP="00E012B8">
            <w:pPr>
              <w:ind w:left="720"/>
              <w:jc w:val="both"/>
              <w:rPr>
                <w:bCs/>
                <w:lang w:eastAsia="en-US"/>
              </w:rPr>
            </w:pPr>
          </w:p>
          <w:p w:rsidR="004C70FB" w:rsidRPr="004C4D0D" w:rsidRDefault="004C70FB" w:rsidP="004C70FB">
            <w:pPr>
              <w:jc w:val="both"/>
              <w:rPr>
                <w:bCs/>
                <w:lang w:eastAsia="en-US"/>
              </w:rPr>
            </w:pPr>
            <w:r w:rsidRPr="004C4D0D">
              <w:rPr>
                <w:bCs/>
                <w:lang w:eastAsia="en-US"/>
              </w:rPr>
              <w:t>Kodeksa 166.</w:t>
            </w:r>
            <w:r w:rsidRPr="004C4D0D">
              <w:rPr>
                <w:bCs/>
                <w:vertAlign w:val="superscript"/>
                <w:lang w:eastAsia="en-US"/>
              </w:rPr>
              <w:t>2</w:t>
            </w:r>
            <w:r w:rsidR="00DE037E" w:rsidRPr="004C4D0D">
              <w:rPr>
                <w:bCs/>
                <w:lang w:eastAsia="en-US"/>
              </w:rPr>
              <w:t xml:space="preserve"> pirmajā daļā</w:t>
            </w:r>
            <w:r w:rsidRPr="004C4D0D">
              <w:rPr>
                <w:bCs/>
                <w:lang w:eastAsia="en-US"/>
              </w:rPr>
              <w:t>, 183.</w:t>
            </w:r>
            <w:r w:rsidRPr="004C4D0D">
              <w:rPr>
                <w:bCs/>
                <w:vertAlign w:val="superscript"/>
                <w:lang w:eastAsia="en-US"/>
              </w:rPr>
              <w:t xml:space="preserve">1 </w:t>
            </w:r>
            <w:r w:rsidRPr="004C4D0D">
              <w:rPr>
                <w:bCs/>
                <w:lang w:eastAsia="en-US"/>
              </w:rPr>
              <w:t>un 183.</w:t>
            </w:r>
            <w:r w:rsidRPr="004C4D0D">
              <w:rPr>
                <w:bCs/>
                <w:vertAlign w:val="superscript"/>
                <w:lang w:eastAsia="en-US"/>
              </w:rPr>
              <w:t xml:space="preserve">3 </w:t>
            </w:r>
            <w:r w:rsidRPr="004C4D0D">
              <w:rPr>
                <w:bCs/>
                <w:lang w:eastAsia="en-US"/>
              </w:rPr>
              <w:t>pantā paredzēto administratīvo pārkāpumu tiesiskie sastāvi tiek saglabāti, jo ir jānodrošina apsardzes darbības</w:t>
            </w:r>
            <w:r w:rsidR="00F4631C" w:rsidRPr="004C4D0D">
              <w:rPr>
                <w:bCs/>
                <w:lang w:eastAsia="en-US"/>
              </w:rPr>
              <w:t xml:space="preserve"> jomas</w:t>
            </w:r>
            <w:r w:rsidRPr="004C4D0D">
              <w:rPr>
                <w:bCs/>
                <w:lang w:eastAsia="en-US"/>
              </w:rPr>
              <w:t xml:space="preserve"> reglamentējošo normatīvo aktu ievērošan</w:t>
            </w:r>
            <w:r w:rsidR="004E39D7" w:rsidRPr="004C4D0D">
              <w:rPr>
                <w:bCs/>
                <w:lang w:eastAsia="en-US"/>
              </w:rPr>
              <w:t>a</w:t>
            </w:r>
            <w:r w:rsidRPr="004C4D0D">
              <w:rPr>
                <w:bCs/>
                <w:lang w:eastAsia="en-US"/>
              </w:rPr>
              <w:t xml:space="preserve">. Minētajos Kodeksa pantos noteiktie </w:t>
            </w:r>
            <w:r w:rsidR="004E39D7" w:rsidRPr="004C4D0D">
              <w:rPr>
                <w:bCs/>
                <w:lang w:eastAsia="en-US"/>
              </w:rPr>
              <w:t xml:space="preserve">pārkāpumi </w:t>
            </w:r>
            <w:r w:rsidRPr="004C4D0D">
              <w:rPr>
                <w:bCs/>
                <w:lang w:eastAsia="en-US"/>
              </w:rPr>
              <w:t xml:space="preserve">var radīt sekas, jo var tikt apdraudēta pastāvošā kārtība, kas noteikta normatīvajos aktos, piemēram, Likumā. Ņemot vērā pastāvošo aktualitāti apsardzes darbības, kā arī sabiedrības drošības nodrošināšanas jomā, šie administratīvie pārkāpumi aizskar sabiedriskās intereses pietiekami lielā mērā, lai attaisnotu nepieciešamību tos saglabāt. </w:t>
            </w:r>
          </w:p>
          <w:p w:rsidR="00205AC0" w:rsidRPr="004C4D0D" w:rsidRDefault="00205AC0" w:rsidP="004C70FB">
            <w:pPr>
              <w:jc w:val="both"/>
              <w:rPr>
                <w:bCs/>
                <w:lang w:eastAsia="en-US"/>
              </w:rPr>
            </w:pPr>
          </w:p>
          <w:p w:rsidR="00DC35CE" w:rsidRPr="004C4D0D" w:rsidRDefault="004C70FB" w:rsidP="004C70FB">
            <w:pPr>
              <w:jc w:val="both"/>
              <w:rPr>
                <w:bCs/>
                <w:lang w:eastAsia="en-US"/>
              </w:rPr>
            </w:pPr>
            <w:r w:rsidRPr="004C4D0D">
              <w:rPr>
                <w:bCs/>
                <w:lang w:eastAsia="en-US"/>
              </w:rPr>
              <w:t>Kodeksa 166.</w:t>
            </w:r>
            <w:r w:rsidRPr="004C4D0D">
              <w:rPr>
                <w:bCs/>
                <w:vertAlign w:val="superscript"/>
                <w:lang w:eastAsia="en-US"/>
              </w:rPr>
              <w:t>2</w:t>
            </w:r>
            <w:r w:rsidR="00DE037E" w:rsidRPr="004C4D0D">
              <w:rPr>
                <w:bCs/>
                <w:lang w:eastAsia="en-US"/>
              </w:rPr>
              <w:t xml:space="preserve"> panta pirmajā daļā</w:t>
            </w:r>
            <w:r w:rsidRPr="004C4D0D">
              <w:rPr>
                <w:bCs/>
                <w:lang w:eastAsia="en-US"/>
              </w:rPr>
              <w:t xml:space="preserve"> (Likumprojekta 2</w:t>
            </w:r>
            <w:r w:rsidR="001D7637" w:rsidRPr="004C4D0D">
              <w:rPr>
                <w:bCs/>
                <w:lang w:eastAsia="en-US"/>
              </w:rPr>
              <w:t>7</w:t>
            </w:r>
            <w:r w:rsidRPr="004C4D0D">
              <w:rPr>
                <w:bCs/>
                <w:lang w:eastAsia="en-US"/>
              </w:rPr>
              <w:t xml:space="preserve">.pants) paredzētā administratīvā atbildība par apsardzes darbības uzsākšanu vai veikšanu bez </w:t>
            </w:r>
            <w:r w:rsidR="00064B26" w:rsidRPr="004C4D0D">
              <w:rPr>
                <w:bCs/>
                <w:lang w:eastAsia="en-US"/>
              </w:rPr>
              <w:t>speciālās atļaujas (licences)</w:t>
            </w:r>
            <w:r w:rsidR="00152A81" w:rsidRPr="004C4D0D">
              <w:rPr>
                <w:bCs/>
                <w:lang w:eastAsia="en-US"/>
              </w:rPr>
              <w:t xml:space="preserve">, </w:t>
            </w:r>
            <w:r w:rsidR="00152A81" w:rsidRPr="004C4D0D">
              <w:t>vai par apsardzes darbības turpināšanu pēc speciālās atļaujas (licences) anulēšanas</w:t>
            </w:r>
            <w:r w:rsidR="00152A81" w:rsidRPr="004C4D0D">
              <w:rPr>
                <w:shd w:val="clear" w:color="auto" w:fill="FFFFFF"/>
              </w:rPr>
              <w:t xml:space="preserve"> vai tās termiņa izbeigšanās vai komersanta izslēgšanas no Uzņēmumu reģistra</w:t>
            </w:r>
            <w:r w:rsidRPr="004C4D0D">
              <w:rPr>
                <w:bCs/>
                <w:lang w:eastAsia="en-US"/>
              </w:rPr>
              <w:t xml:space="preserve"> ir būtisks</w:t>
            </w:r>
            <w:r w:rsidR="00B37B4B" w:rsidRPr="004C4D0D">
              <w:rPr>
                <w:bCs/>
                <w:lang w:eastAsia="en-US"/>
              </w:rPr>
              <w:t>,</w:t>
            </w:r>
            <w:r w:rsidRPr="004C4D0D">
              <w:rPr>
                <w:bCs/>
                <w:lang w:eastAsia="en-US"/>
              </w:rPr>
              <w:t xml:space="preserve"> </w:t>
            </w:r>
            <w:r w:rsidR="00B37B4B" w:rsidRPr="004C4D0D">
              <w:rPr>
                <w:bCs/>
                <w:lang w:eastAsia="en-US"/>
              </w:rPr>
              <w:t xml:space="preserve">sabiedriski bīstams </w:t>
            </w:r>
            <w:r w:rsidRPr="004C4D0D">
              <w:rPr>
                <w:bCs/>
                <w:lang w:eastAsia="en-US"/>
              </w:rPr>
              <w:t>pārkāpums</w:t>
            </w:r>
            <w:r w:rsidR="00064B26" w:rsidRPr="004C4D0D">
              <w:rPr>
                <w:bCs/>
                <w:lang w:eastAsia="en-US"/>
              </w:rPr>
              <w:t>,</w:t>
            </w:r>
            <w:r w:rsidRPr="004C4D0D">
              <w:rPr>
                <w:bCs/>
                <w:lang w:eastAsia="en-US"/>
              </w:rPr>
              <w:t xml:space="preserve"> par kura izdarīšanu nepieciešams piemērot adekvātu sodu. </w:t>
            </w:r>
            <w:r w:rsidR="00D160C9" w:rsidRPr="004C4D0D">
              <w:rPr>
                <w:bCs/>
                <w:lang w:eastAsia="en-US"/>
              </w:rPr>
              <w:t>Tādējādi Likumprojekta 27</w:t>
            </w:r>
            <w:r w:rsidR="00DC35CE" w:rsidRPr="004C4D0D">
              <w:rPr>
                <w:bCs/>
                <w:lang w:eastAsia="en-US"/>
              </w:rPr>
              <w:t>.pantā tiek paaugstināts maksimālais naudas sods, kā arī daļēji – minimālais naudas sods. Paredzams, ka minētā naudas soda palielināšana atturē</w:t>
            </w:r>
            <w:r w:rsidR="00F4631C" w:rsidRPr="004C4D0D">
              <w:rPr>
                <w:bCs/>
                <w:lang w:eastAsia="en-US"/>
              </w:rPr>
              <w:t>tu</w:t>
            </w:r>
            <w:r w:rsidR="00DC35CE" w:rsidRPr="004C4D0D">
              <w:rPr>
                <w:bCs/>
                <w:lang w:eastAsia="en-US"/>
              </w:rPr>
              <w:t xml:space="preserve"> </w:t>
            </w:r>
            <w:r w:rsidR="00F4631C" w:rsidRPr="004C4D0D">
              <w:rPr>
                <w:bCs/>
                <w:lang w:eastAsia="en-US"/>
              </w:rPr>
              <w:t>personu</w:t>
            </w:r>
            <w:r w:rsidR="00DC35CE" w:rsidRPr="004C4D0D">
              <w:rPr>
                <w:bCs/>
                <w:lang w:eastAsia="en-US"/>
              </w:rPr>
              <w:t xml:space="preserve"> no vēlmes pieļaut administratīvos pārkāpumus</w:t>
            </w:r>
            <w:r w:rsidR="004E39D7" w:rsidRPr="004C4D0D">
              <w:rPr>
                <w:bCs/>
                <w:lang w:eastAsia="en-US"/>
              </w:rPr>
              <w:t xml:space="preserve">, </w:t>
            </w:r>
            <w:r w:rsidR="00F4631C" w:rsidRPr="004C4D0D">
              <w:rPr>
                <w:bCs/>
                <w:lang w:eastAsia="en-US"/>
              </w:rPr>
              <w:t xml:space="preserve">atturētu no jaunu pārkāpumu izdarīšanas </w:t>
            </w:r>
            <w:r w:rsidR="00DC35CE" w:rsidRPr="004C4D0D">
              <w:rPr>
                <w:bCs/>
                <w:lang w:eastAsia="en-US"/>
              </w:rPr>
              <w:t>un veicinā</w:t>
            </w:r>
            <w:r w:rsidR="00F4631C" w:rsidRPr="004C4D0D">
              <w:rPr>
                <w:bCs/>
                <w:lang w:eastAsia="en-US"/>
              </w:rPr>
              <w:t>tu</w:t>
            </w:r>
            <w:r w:rsidR="00DC35CE" w:rsidRPr="004C4D0D">
              <w:rPr>
                <w:bCs/>
                <w:lang w:eastAsia="en-US"/>
              </w:rPr>
              <w:t xml:space="preserve"> normatīvo aktu ievērošanu, šajā gadījumā Likumu.</w:t>
            </w:r>
          </w:p>
          <w:p w:rsidR="00C37AE0" w:rsidRPr="004C4D0D" w:rsidRDefault="00C37AE0" w:rsidP="004C70FB">
            <w:pPr>
              <w:jc w:val="both"/>
              <w:rPr>
                <w:bCs/>
                <w:lang w:eastAsia="en-US"/>
              </w:rPr>
            </w:pPr>
          </w:p>
          <w:p w:rsidR="00465D01" w:rsidRPr="004C4D0D" w:rsidRDefault="00465D01" w:rsidP="00465D01">
            <w:pPr>
              <w:jc w:val="both"/>
              <w:rPr>
                <w:bCs/>
                <w:lang w:eastAsia="en-US"/>
              </w:rPr>
            </w:pPr>
            <w:r w:rsidRPr="004C4D0D">
              <w:rPr>
                <w:bCs/>
                <w:lang w:eastAsia="en-US"/>
              </w:rPr>
              <w:t xml:space="preserve">Statistikas dati par Kodeksa </w:t>
            </w:r>
            <w:r w:rsidR="00BD6B09" w:rsidRPr="004C4D0D">
              <w:rPr>
                <w:bCs/>
                <w:lang w:eastAsia="en-US"/>
              </w:rPr>
              <w:t>166.</w:t>
            </w:r>
            <w:r w:rsidR="00BD6B09" w:rsidRPr="004C4D0D">
              <w:rPr>
                <w:bCs/>
                <w:vertAlign w:val="superscript"/>
                <w:lang w:eastAsia="en-US"/>
              </w:rPr>
              <w:t>2</w:t>
            </w:r>
            <w:r w:rsidRPr="004C4D0D">
              <w:rPr>
                <w:bCs/>
                <w:vertAlign w:val="superscript"/>
                <w:lang w:eastAsia="en-US"/>
              </w:rPr>
              <w:t xml:space="preserve"> </w:t>
            </w:r>
            <w:r w:rsidR="00152A81" w:rsidRPr="004C4D0D">
              <w:rPr>
                <w:bCs/>
                <w:lang w:eastAsia="en-US"/>
              </w:rPr>
              <w:t>panta pirmajā daļā</w:t>
            </w:r>
            <w:r w:rsidRPr="004C4D0D">
              <w:rPr>
                <w:bCs/>
                <w:lang w:eastAsia="en-US"/>
              </w:rPr>
              <w:t xml:space="preserve"> paredzētā pārkāpuma izdarīšanu:</w:t>
            </w:r>
          </w:p>
          <w:p w:rsidR="008573E8" w:rsidRPr="004C4D0D" w:rsidRDefault="008573E8" w:rsidP="004C70FB">
            <w:pPr>
              <w:jc w:val="both"/>
              <w:rPr>
                <w:bCs/>
                <w:lang w:eastAsia="en-US"/>
              </w:rPr>
            </w:pPr>
          </w:p>
          <w:tbl>
            <w:tblPr>
              <w:tblStyle w:val="Reatabula"/>
              <w:tblW w:w="6973" w:type="dxa"/>
              <w:tblLayout w:type="fixed"/>
              <w:tblLook w:val="04A0" w:firstRow="1" w:lastRow="0" w:firstColumn="1" w:lastColumn="0" w:noHBand="0" w:noVBand="1"/>
            </w:tblPr>
            <w:tblGrid>
              <w:gridCol w:w="1225"/>
              <w:gridCol w:w="1242"/>
              <w:gridCol w:w="1520"/>
              <w:gridCol w:w="1657"/>
              <w:gridCol w:w="1329"/>
            </w:tblGrid>
            <w:tr w:rsidR="00546F29" w:rsidRPr="004C4D0D" w:rsidTr="008F70E0">
              <w:trPr>
                <w:trHeight w:val="920"/>
              </w:trPr>
              <w:tc>
                <w:tcPr>
                  <w:tcW w:w="1225" w:type="dxa"/>
                </w:tcPr>
                <w:p w:rsidR="008573E8" w:rsidRPr="004C4D0D" w:rsidRDefault="008573E8" w:rsidP="007C4875">
                  <w:pPr>
                    <w:jc w:val="center"/>
                    <w:rPr>
                      <w:sz w:val="16"/>
                      <w:szCs w:val="16"/>
                    </w:rPr>
                  </w:pPr>
                  <w:r w:rsidRPr="004C4D0D">
                    <w:rPr>
                      <w:b/>
                      <w:sz w:val="16"/>
                      <w:szCs w:val="16"/>
                    </w:rPr>
                    <w:lastRenderedPageBreak/>
                    <w:t>Kodeksa 166.</w:t>
                  </w:r>
                  <w:r w:rsidRPr="004C4D0D">
                    <w:rPr>
                      <w:b/>
                      <w:sz w:val="16"/>
                      <w:szCs w:val="16"/>
                      <w:vertAlign w:val="superscript"/>
                    </w:rPr>
                    <w:t xml:space="preserve">2 </w:t>
                  </w:r>
                  <w:r w:rsidR="00152A81" w:rsidRPr="004C4D0D">
                    <w:rPr>
                      <w:b/>
                      <w:sz w:val="16"/>
                      <w:szCs w:val="16"/>
                    </w:rPr>
                    <w:t>panta pirmā daļa</w:t>
                  </w:r>
                </w:p>
              </w:tc>
              <w:tc>
                <w:tcPr>
                  <w:tcW w:w="1242" w:type="dxa"/>
                </w:tcPr>
                <w:p w:rsidR="008573E8" w:rsidRPr="004C4D0D" w:rsidRDefault="008573E8" w:rsidP="00465D01">
                  <w:pPr>
                    <w:jc w:val="center"/>
                    <w:rPr>
                      <w:b/>
                      <w:sz w:val="16"/>
                      <w:szCs w:val="16"/>
                    </w:rPr>
                  </w:pPr>
                  <w:r w:rsidRPr="004C4D0D">
                    <w:rPr>
                      <w:b/>
                      <w:sz w:val="16"/>
                      <w:szCs w:val="16"/>
                    </w:rPr>
                    <w:t>Sastādīto protokolu kopējais skaits</w:t>
                  </w:r>
                </w:p>
              </w:tc>
              <w:tc>
                <w:tcPr>
                  <w:tcW w:w="1520" w:type="dxa"/>
                </w:tcPr>
                <w:p w:rsidR="008573E8" w:rsidRPr="004C4D0D" w:rsidRDefault="008573E8" w:rsidP="00465D01">
                  <w:pPr>
                    <w:jc w:val="center"/>
                    <w:rPr>
                      <w:b/>
                      <w:sz w:val="16"/>
                      <w:szCs w:val="16"/>
                    </w:rPr>
                  </w:pPr>
                  <w:r w:rsidRPr="004C4D0D">
                    <w:rPr>
                      <w:b/>
                      <w:sz w:val="16"/>
                      <w:szCs w:val="16"/>
                    </w:rPr>
                    <w:t>t.sk. Valsts policija sastādīja protokolu</w:t>
                  </w:r>
                  <w:r w:rsidR="00C94110" w:rsidRPr="004C4D0D">
                    <w:rPr>
                      <w:b/>
                      <w:sz w:val="16"/>
                      <w:szCs w:val="16"/>
                    </w:rPr>
                    <w:t>s (skaits)</w:t>
                  </w:r>
                </w:p>
              </w:tc>
              <w:tc>
                <w:tcPr>
                  <w:tcW w:w="1657" w:type="dxa"/>
                </w:tcPr>
                <w:p w:rsidR="008573E8" w:rsidRPr="004C4D0D" w:rsidRDefault="008573E8" w:rsidP="00465D01">
                  <w:pPr>
                    <w:jc w:val="center"/>
                    <w:rPr>
                      <w:b/>
                      <w:sz w:val="16"/>
                      <w:szCs w:val="16"/>
                    </w:rPr>
                  </w:pPr>
                  <w:r w:rsidRPr="004C4D0D">
                    <w:rPr>
                      <w:b/>
                      <w:sz w:val="16"/>
                      <w:szCs w:val="16"/>
                    </w:rPr>
                    <w:t>Pieņemts lēmums par administratīvā soda piemērošan</w:t>
                  </w:r>
                  <w:r w:rsidR="00465D01" w:rsidRPr="004C4D0D">
                    <w:rPr>
                      <w:b/>
                      <w:sz w:val="16"/>
                      <w:szCs w:val="16"/>
                    </w:rPr>
                    <w:t>u</w:t>
                  </w:r>
                </w:p>
              </w:tc>
              <w:tc>
                <w:tcPr>
                  <w:tcW w:w="1329" w:type="dxa"/>
                </w:tcPr>
                <w:p w:rsidR="008573E8" w:rsidRPr="004C4D0D" w:rsidRDefault="008573E8" w:rsidP="00465D01">
                  <w:pPr>
                    <w:jc w:val="center"/>
                    <w:rPr>
                      <w:b/>
                      <w:sz w:val="16"/>
                      <w:szCs w:val="16"/>
                    </w:rPr>
                  </w:pPr>
                  <w:r w:rsidRPr="004C4D0D">
                    <w:rPr>
                      <w:b/>
                      <w:sz w:val="16"/>
                      <w:szCs w:val="16"/>
                    </w:rPr>
                    <w:t>t.sk. administratīvais sods par Valsts policijas sastādītajiem protokoliem</w:t>
                  </w:r>
                </w:p>
              </w:tc>
            </w:tr>
            <w:tr w:rsidR="00546F29" w:rsidRPr="004C4D0D" w:rsidTr="008F70E0">
              <w:trPr>
                <w:trHeight w:val="233"/>
              </w:trPr>
              <w:tc>
                <w:tcPr>
                  <w:tcW w:w="1225" w:type="dxa"/>
                </w:tcPr>
                <w:p w:rsidR="008573E8" w:rsidRPr="004C4D0D" w:rsidRDefault="008573E8" w:rsidP="00465D01">
                  <w:pPr>
                    <w:jc w:val="center"/>
                    <w:rPr>
                      <w:sz w:val="16"/>
                      <w:szCs w:val="16"/>
                    </w:rPr>
                  </w:pPr>
                  <w:r w:rsidRPr="004C4D0D">
                    <w:rPr>
                      <w:sz w:val="16"/>
                      <w:szCs w:val="16"/>
                    </w:rPr>
                    <w:t>2016</w:t>
                  </w:r>
                </w:p>
              </w:tc>
              <w:tc>
                <w:tcPr>
                  <w:tcW w:w="1242" w:type="dxa"/>
                  <w:vAlign w:val="center"/>
                </w:tcPr>
                <w:p w:rsidR="008573E8" w:rsidRPr="004C4D0D" w:rsidRDefault="008573E8" w:rsidP="00465D01">
                  <w:pPr>
                    <w:jc w:val="center"/>
                    <w:rPr>
                      <w:sz w:val="16"/>
                      <w:szCs w:val="16"/>
                    </w:rPr>
                  </w:pPr>
                  <w:r w:rsidRPr="004C4D0D">
                    <w:rPr>
                      <w:sz w:val="16"/>
                      <w:szCs w:val="16"/>
                    </w:rPr>
                    <w:t>115</w:t>
                  </w:r>
                </w:p>
              </w:tc>
              <w:tc>
                <w:tcPr>
                  <w:tcW w:w="1520" w:type="dxa"/>
                  <w:vAlign w:val="center"/>
                </w:tcPr>
                <w:p w:rsidR="008573E8" w:rsidRPr="004C4D0D" w:rsidRDefault="008573E8" w:rsidP="00465D01">
                  <w:pPr>
                    <w:jc w:val="center"/>
                    <w:rPr>
                      <w:sz w:val="16"/>
                      <w:szCs w:val="16"/>
                    </w:rPr>
                  </w:pPr>
                  <w:r w:rsidRPr="004C4D0D">
                    <w:rPr>
                      <w:sz w:val="16"/>
                      <w:szCs w:val="16"/>
                    </w:rPr>
                    <w:t>38</w:t>
                  </w:r>
                </w:p>
              </w:tc>
              <w:tc>
                <w:tcPr>
                  <w:tcW w:w="1657" w:type="dxa"/>
                  <w:vAlign w:val="center"/>
                </w:tcPr>
                <w:p w:rsidR="008573E8" w:rsidRPr="004C4D0D" w:rsidRDefault="008573E8" w:rsidP="00465D01">
                  <w:pPr>
                    <w:jc w:val="center"/>
                    <w:rPr>
                      <w:sz w:val="16"/>
                      <w:szCs w:val="16"/>
                    </w:rPr>
                  </w:pPr>
                  <w:r w:rsidRPr="004C4D0D">
                    <w:rPr>
                      <w:sz w:val="16"/>
                      <w:szCs w:val="16"/>
                    </w:rPr>
                    <w:t>82</w:t>
                  </w:r>
                </w:p>
              </w:tc>
              <w:tc>
                <w:tcPr>
                  <w:tcW w:w="1329" w:type="dxa"/>
                  <w:vAlign w:val="center"/>
                </w:tcPr>
                <w:p w:rsidR="008573E8" w:rsidRPr="004C4D0D" w:rsidRDefault="008573E8" w:rsidP="00465D01">
                  <w:pPr>
                    <w:jc w:val="center"/>
                    <w:rPr>
                      <w:sz w:val="16"/>
                      <w:szCs w:val="16"/>
                    </w:rPr>
                  </w:pPr>
                  <w:r w:rsidRPr="004C4D0D">
                    <w:rPr>
                      <w:sz w:val="16"/>
                      <w:szCs w:val="16"/>
                    </w:rPr>
                    <w:t>19</w:t>
                  </w:r>
                </w:p>
              </w:tc>
            </w:tr>
            <w:tr w:rsidR="00546F29" w:rsidRPr="004C4D0D" w:rsidTr="008F70E0">
              <w:trPr>
                <w:trHeight w:val="233"/>
              </w:trPr>
              <w:tc>
                <w:tcPr>
                  <w:tcW w:w="1225" w:type="dxa"/>
                </w:tcPr>
                <w:p w:rsidR="008573E8" w:rsidRPr="004C4D0D" w:rsidRDefault="008573E8" w:rsidP="00465D01">
                  <w:pPr>
                    <w:jc w:val="center"/>
                    <w:rPr>
                      <w:sz w:val="16"/>
                      <w:szCs w:val="16"/>
                    </w:rPr>
                  </w:pPr>
                  <w:r w:rsidRPr="004C4D0D">
                    <w:rPr>
                      <w:sz w:val="16"/>
                      <w:szCs w:val="16"/>
                    </w:rPr>
                    <w:t>2017</w:t>
                  </w:r>
                </w:p>
              </w:tc>
              <w:tc>
                <w:tcPr>
                  <w:tcW w:w="1242" w:type="dxa"/>
                  <w:vAlign w:val="center"/>
                </w:tcPr>
                <w:p w:rsidR="008573E8" w:rsidRPr="004C4D0D" w:rsidRDefault="008573E8" w:rsidP="00465D01">
                  <w:pPr>
                    <w:jc w:val="center"/>
                    <w:rPr>
                      <w:sz w:val="16"/>
                      <w:szCs w:val="16"/>
                    </w:rPr>
                  </w:pPr>
                  <w:r w:rsidRPr="004C4D0D">
                    <w:rPr>
                      <w:sz w:val="16"/>
                      <w:szCs w:val="16"/>
                    </w:rPr>
                    <w:t>175</w:t>
                  </w:r>
                </w:p>
              </w:tc>
              <w:tc>
                <w:tcPr>
                  <w:tcW w:w="1520" w:type="dxa"/>
                  <w:vAlign w:val="center"/>
                </w:tcPr>
                <w:p w:rsidR="008573E8" w:rsidRPr="004C4D0D" w:rsidRDefault="008573E8" w:rsidP="00465D01">
                  <w:pPr>
                    <w:jc w:val="center"/>
                    <w:rPr>
                      <w:sz w:val="16"/>
                      <w:szCs w:val="16"/>
                    </w:rPr>
                  </w:pPr>
                  <w:r w:rsidRPr="004C4D0D">
                    <w:rPr>
                      <w:sz w:val="16"/>
                      <w:szCs w:val="16"/>
                    </w:rPr>
                    <w:t>53</w:t>
                  </w:r>
                </w:p>
              </w:tc>
              <w:tc>
                <w:tcPr>
                  <w:tcW w:w="1657" w:type="dxa"/>
                  <w:vAlign w:val="center"/>
                </w:tcPr>
                <w:p w:rsidR="008573E8" w:rsidRPr="004C4D0D" w:rsidRDefault="008573E8" w:rsidP="00465D01">
                  <w:pPr>
                    <w:jc w:val="center"/>
                    <w:rPr>
                      <w:sz w:val="16"/>
                      <w:szCs w:val="16"/>
                    </w:rPr>
                  </w:pPr>
                  <w:r w:rsidRPr="004C4D0D">
                    <w:rPr>
                      <w:sz w:val="16"/>
                      <w:szCs w:val="16"/>
                    </w:rPr>
                    <w:t>139</w:t>
                  </w:r>
                </w:p>
              </w:tc>
              <w:tc>
                <w:tcPr>
                  <w:tcW w:w="1329" w:type="dxa"/>
                  <w:vAlign w:val="center"/>
                </w:tcPr>
                <w:p w:rsidR="008573E8" w:rsidRPr="004C4D0D" w:rsidRDefault="008573E8" w:rsidP="00465D01">
                  <w:pPr>
                    <w:jc w:val="center"/>
                    <w:rPr>
                      <w:sz w:val="16"/>
                      <w:szCs w:val="16"/>
                    </w:rPr>
                  </w:pPr>
                  <w:r w:rsidRPr="004C4D0D">
                    <w:rPr>
                      <w:sz w:val="16"/>
                      <w:szCs w:val="16"/>
                    </w:rPr>
                    <w:t>25</w:t>
                  </w:r>
                </w:p>
              </w:tc>
            </w:tr>
            <w:tr w:rsidR="00546F29" w:rsidRPr="004C4D0D" w:rsidTr="007F29CF">
              <w:trPr>
                <w:trHeight w:val="314"/>
              </w:trPr>
              <w:tc>
                <w:tcPr>
                  <w:tcW w:w="1225" w:type="dxa"/>
                </w:tcPr>
                <w:p w:rsidR="008573E8" w:rsidRPr="004C4D0D" w:rsidRDefault="008573E8" w:rsidP="00035DC9">
                  <w:pPr>
                    <w:jc w:val="center"/>
                    <w:rPr>
                      <w:sz w:val="16"/>
                      <w:szCs w:val="16"/>
                    </w:rPr>
                  </w:pPr>
                  <w:r w:rsidRPr="004C4D0D">
                    <w:rPr>
                      <w:sz w:val="16"/>
                      <w:szCs w:val="16"/>
                    </w:rPr>
                    <w:t xml:space="preserve">2018 </w:t>
                  </w:r>
                </w:p>
              </w:tc>
              <w:tc>
                <w:tcPr>
                  <w:tcW w:w="1242" w:type="dxa"/>
                  <w:vAlign w:val="center"/>
                </w:tcPr>
                <w:p w:rsidR="008573E8" w:rsidRPr="004C4D0D" w:rsidRDefault="00804CB7" w:rsidP="00804CB7">
                  <w:pPr>
                    <w:jc w:val="center"/>
                    <w:rPr>
                      <w:sz w:val="16"/>
                      <w:szCs w:val="16"/>
                    </w:rPr>
                  </w:pPr>
                  <w:r w:rsidRPr="004C4D0D">
                    <w:rPr>
                      <w:sz w:val="16"/>
                      <w:szCs w:val="16"/>
                    </w:rPr>
                    <w:t>157</w:t>
                  </w:r>
                </w:p>
              </w:tc>
              <w:tc>
                <w:tcPr>
                  <w:tcW w:w="1520" w:type="dxa"/>
                  <w:vAlign w:val="center"/>
                </w:tcPr>
                <w:p w:rsidR="008573E8" w:rsidRPr="004C4D0D" w:rsidRDefault="008573E8" w:rsidP="00465D01">
                  <w:pPr>
                    <w:jc w:val="center"/>
                    <w:rPr>
                      <w:sz w:val="16"/>
                      <w:szCs w:val="16"/>
                    </w:rPr>
                  </w:pPr>
                  <w:r w:rsidRPr="004C4D0D">
                    <w:rPr>
                      <w:sz w:val="16"/>
                      <w:szCs w:val="16"/>
                    </w:rPr>
                    <w:t>30</w:t>
                  </w:r>
                </w:p>
              </w:tc>
              <w:tc>
                <w:tcPr>
                  <w:tcW w:w="1657" w:type="dxa"/>
                  <w:vAlign w:val="center"/>
                </w:tcPr>
                <w:p w:rsidR="008573E8" w:rsidRPr="004C4D0D" w:rsidRDefault="00804CB7" w:rsidP="00804CB7">
                  <w:pPr>
                    <w:jc w:val="center"/>
                    <w:rPr>
                      <w:sz w:val="16"/>
                      <w:szCs w:val="16"/>
                    </w:rPr>
                  </w:pPr>
                  <w:r w:rsidRPr="004C4D0D">
                    <w:rPr>
                      <w:sz w:val="16"/>
                      <w:szCs w:val="16"/>
                    </w:rPr>
                    <w:t>132</w:t>
                  </w:r>
                </w:p>
              </w:tc>
              <w:tc>
                <w:tcPr>
                  <w:tcW w:w="1329" w:type="dxa"/>
                  <w:vAlign w:val="center"/>
                </w:tcPr>
                <w:p w:rsidR="008573E8" w:rsidRPr="004C4D0D" w:rsidRDefault="008573E8" w:rsidP="00465D01">
                  <w:pPr>
                    <w:jc w:val="center"/>
                    <w:rPr>
                      <w:sz w:val="16"/>
                      <w:szCs w:val="16"/>
                    </w:rPr>
                  </w:pPr>
                  <w:r w:rsidRPr="004C4D0D">
                    <w:rPr>
                      <w:sz w:val="16"/>
                      <w:szCs w:val="16"/>
                    </w:rPr>
                    <w:t>17</w:t>
                  </w:r>
                </w:p>
              </w:tc>
            </w:tr>
          </w:tbl>
          <w:p w:rsidR="00F0584E" w:rsidRPr="004C4D0D" w:rsidRDefault="00F0584E" w:rsidP="004C70FB">
            <w:pPr>
              <w:jc w:val="both"/>
              <w:rPr>
                <w:bCs/>
                <w:lang w:eastAsia="en-US"/>
              </w:rPr>
            </w:pPr>
          </w:p>
          <w:p w:rsidR="001405DE" w:rsidRPr="004C4D0D" w:rsidRDefault="004C70FB" w:rsidP="004C70FB">
            <w:pPr>
              <w:jc w:val="both"/>
              <w:rPr>
                <w:bCs/>
                <w:lang w:eastAsia="en-US"/>
              </w:rPr>
            </w:pPr>
            <w:r w:rsidRPr="004C4D0D">
              <w:rPr>
                <w:bCs/>
                <w:lang w:eastAsia="en-US"/>
              </w:rPr>
              <w:t>Kodeksa 183.</w:t>
            </w:r>
            <w:r w:rsidRPr="004C4D0D">
              <w:rPr>
                <w:bCs/>
                <w:vertAlign w:val="superscript"/>
                <w:lang w:eastAsia="en-US"/>
              </w:rPr>
              <w:t>1</w:t>
            </w:r>
            <w:r w:rsidRPr="004C4D0D">
              <w:rPr>
                <w:bCs/>
                <w:lang w:eastAsia="en-US"/>
              </w:rPr>
              <w:t xml:space="preserve"> pantā (Likumprojekta 26.pants) paredzētā administratīvā pārkāpuma sastāvs ir izteikts divās Likumprojekta panta daļās, nodalot izdarīt</w:t>
            </w:r>
            <w:r w:rsidR="005C5F09" w:rsidRPr="004C4D0D">
              <w:rPr>
                <w:bCs/>
                <w:lang w:eastAsia="en-US"/>
              </w:rPr>
              <w:t>o</w:t>
            </w:r>
            <w:r w:rsidRPr="004C4D0D">
              <w:rPr>
                <w:bCs/>
                <w:lang w:eastAsia="en-US"/>
              </w:rPr>
              <w:t xml:space="preserve"> pārkāpum</w:t>
            </w:r>
            <w:r w:rsidR="005C5F09" w:rsidRPr="004C4D0D">
              <w:rPr>
                <w:bCs/>
                <w:lang w:eastAsia="en-US"/>
              </w:rPr>
              <w:t xml:space="preserve">u </w:t>
            </w:r>
            <w:r w:rsidR="007B5C1A" w:rsidRPr="004C4D0D">
              <w:rPr>
                <w:bCs/>
                <w:lang w:eastAsia="en-US"/>
              </w:rPr>
              <w:t xml:space="preserve">tiesiskos sastāvus </w:t>
            </w:r>
            <w:r w:rsidRPr="004C4D0D">
              <w:rPr>
                <w:bCs/>
                <w:lang w:eastAsia="en-US"/>
              </w:rPr>
              <w:t xml:space="preserve">un nodarītā kaitējuma smaguma pakāpi. Tādējādi tiek noteikts </w:t>
            </w:r>
            <w:r w:rsidR="005C5F09" w:rsidRPr="004C4D0D">
              <w:rPr>
                <w:bCs/>
                <w:lang w:eastAsia="en-US"/>
              </w:rPr>
              <w:t xml:space="preserve">arī </w:t>
            </w:r>
            <w:r w:rsidRPr="004C4D0D">
              <w:rPr>
                <w:bCs/>
                <w:lang w:eastAsia="en-US"/>
              </w:rPr>
              <w:t>atšķirīgs piemērojamā naudas soda apmērs. Lai sodi būtu samērīgi, Likumprojekta 26.pants noteic mazāku naudas sodu fiziskajai personai, bet lielāku – juridiskajai personai. Minētais ir nepieciešams, jo apsardzes darbības nosacījumu pārkāpumi vai pienākumu nepildīšana būtiski atšķiras no apsardzes darbības ierobežojumu pārkāpumiem</w:t>
            </w:r>
            <w:r w:rsidR="005C5F09" w:rsidRPr="004C4D0D">
              <w:rPr>
                <w:bCs/>
                <w:lang w:eastAsia="en-US"/>
              </w:rPr>
              <w:t>, kas var radīt smagāku kaitējumu</w:t>
            </w:r>
            <w:r w:rsidRPr="004C4D0D">
              <w:rPr>
                <w:bCs/>
                <w:lang w:eastAsia="en-US"/>
              </w:rPr>
              <w:t>.</w:t>
            </w:r>
          </w:p>
          <w:p w:rsidR="0075791D" w:rsidRPr="004C4D0D" w:rsidRDefault="003F417E" w:rsidP="004C70FB">
            <w:pPr>
              <w:jc w:val="both"/>
            </w:pPr>
            <w:r w:rsidRPr="004C4D0D">
              <w:t>Likumprojekta 26.panta pirmā daļa paredz, ka f</w:t>
            </w:r>
            <w:r w:rsidR="0075791D" w:rsidRPr="004C4D0D">
              <w:t>izisko personu sauks pie administratīvas atbildības, kad tā neizpildīs Apsardzes darbības likuma 18.panta pirmajā daļā noteiktos pienākumus. Savukārt juridisko personu sauks pie administratīvās atbildības, kad tā</w:t>
            </w:r>
            <w:proofErr w:type="gramStart"/>
            <w:r w:rsidR="0075791D" w:rsidRPr="004C4D0D">
              <w:t xml:space="preserve">  </w:t>
            </w:r>
            <w:proofErr w:type="gramEnd"/>
            <w:r w:rsidR="0075791D" w:rsidRPr="004C4D0D">
              <w:t>neizpildīs Apsardzes darbības likuma 10.panta otrajā daļā, trešajā daļā, ceturtajā daļā, piektajā daļā un sestajā daļā noteiktos pienākumus, kā arī 13.panta pirmajā daļā un trešajā daļā noteiktos pienākumus.</w:t>
            </w:r>
          </w:p>
          <w:p w:rsidR="003F417E" w:rsidRPr="004C4D0D" w:rsidRDefault="003F417E" w:rsidP="004C70FB">
            <w:pPr>
              <w:jc w:val="both"/>
            </w:pPr>
            <w:r w:rsidRPr="004C4D0D">
              <w:t>Likumprojekta 26.panta otrā daļa paredz, ka Fizisko personu un juridisko personu sauks pie administratīvās atbildības</w:t>
            </w:r>
            <w:proofErr w:type="gramStart"/>
            <w:r w:rsidRPr="004C4D0D">
              <w:t xml:space="preserve"> , </w:t>
            </w:r>
            <w:proofErr w:type="gramEnd"/>
            <w:r w:rsidRPr="004C4D0D">
              <w:t>kad tiks pārkāpti Apsardzes darbības likuma 4.panta pirmās daļas ierobežojumi.</w:t>
            </w:r>
          </w:p>
          <w:p w:rsidR="004C70FB" w:rsidRPr="004C4D0D" w:rsidRDefault="00664EE5" w:rsidP="004C70FB">
            <w:pPr>
              <w:jc w:val="both"/>
              <w:rPr>
                <w:bCs/>
                <w:lang w:eastAsia="en-US"/>
              </w:rPr>
            </w:pPr>
            <w:r w:rsidRPr="004C4D0D">
              <w:rPr>
                <w:bCs/>
                <w:lang w:eastAsia="en-US"/>
              </w:rPr>
              <w:t>Statistikas dati par</w:t>
            </w:r>
            <w:r w:rsidR="004C70FB" w:rsidRPr="004C4D0D">
              <w:rPr>
                <w:bCs/>
                <w:lang w:eastAsia="en-US"/>
              </w:rPr>
              <w:t xml:space="preserve"> Kodeksa 183.</w:t>
            </w:r>
            <w:r w:rsidR="004C70FB" w:rsidRPr="004C4D0D">
              <w:rPr>
                <w:bCs/>
                <w:vertAlign w:val="superscript"/>
                <w:lang w:eastAsia="en-US"/>
              </w:rPr>
              <w:t xml:space="preserve">1 </w:t>
            </w:r>
            <w:r w:rsidR="004C70FB" w:rsidRPr="004C4D0D">
              <w:rPr>
                <w:bCs/>
                <w:lang w:eastAsia="en-US"/>
              </w:rPr>
              <w:t>pantā paredzēto pārkāpumu izdarīšanu:</w:t>
            </w:r>
          </w:p>
          <w:p w:rsidR="004C70FB" w:rsidRPr="004C4D0D" w:rsidRDefault="004C70FB" w:rsidP="004C70FB">
            <w:pPr>
              <w:jc w:val="both"/>
              <w:rPr>
                <w:bCs/>
                <w:lang w:eastAsia="en-US"/>
              </w:rPr>
            </w:pPr>
          </w:p>
          <w:tbl>
            <w:tblPr>
              <w:tblStyle w:val="Reatabula"/>
              <w:tblW w:w="0" w:type="auto"/>
              <w:tblLayout w:type="fixed"/>
              <w:tblLook w:val="04A0" w:firstRow="1" w:lastRow="0" w:firstColumn="1" w:lastColumn="0" w:noHBand="0" w:noVBand="1"/>
            </w:tblPr>
            <w:tblGrid>
              <w:gridCol w:w="1257"/>
              <w:gridCol w:w="1134"/>
              <w:gridCol w:w="1275"/>
              <w:gridCol w:w="1701"/>
              <w:gridCol w:w="1588"/>
            </w:tblGrid>
            <w:tr w:rsidR="008573E8" w:rsidRPr="004C4D0D" w:rsidTr="00546F29">
              <w:trPr>
                <w:trHeight w:val="1097"/>
              </w:trPr>
              <w:tc>
                <w:tcPr>
                  <w:tcW w:w="1257" w:type="dxa"/>
                </w:tcPr>
                <w:p w:rsidR="00664EE5" w:rsidRPr="004C4D0D" w:rsidRDefault="00664EE5" w:rsidP="00546F29">
                  <w:pPr>
                    <w:jc w:val="center"/>
                    <w:rPr>
                      <w:b/>
                      <w:bCs/>
                      <w:sz w:val="16"/>
                      <w:szCs w:val="16"/>
                      <w:lang w:eastAsia="en-US"/>
                    </w:rPr>
                  </w:pPr>
                  <w:r w:rsidRPr="004C4D0D">
                    <w:rPr>
                      <w:b/>
                      <w:bCs/>
                      <w:sz w:val="16"/>
                      <w:szCs w:val="16"/>
                      <w:lang w:eastAsia="en-US"/>
                    </w:rPr>
                    <w:t>Kodeksa 183.</w:t>
                  </w:r>
                  <w:r w:rsidRPr="004C4D0D">
                    <w:rPr>
                      <w:b/>
                      <w:bCs/>
                      <w:sz w:val="16"/>
                      <w:szCs w:val="16"/>
                      <w:vertAlign w:val="superscript"/>
                      <w:lang w:eastAsia="en-US"/>
                    </w:rPr>
                    <w:t xml:space="preserve">1 </w:t>
                  </w:r>
                  <w:r w:rsidRPr="004C4D0D">
                    <w:rPr>
                      <w:b/>
                      <w:bCs/>
                      <w:sz w:val="16"/>
                      <w:szCs w:val="16"/>
                      <w:lang w:eastAsia="en-US"/>
                    </w:rPr>
                    <w:t>pants</w:t>
                  </w:r>
                </w:p>
              </w:tc>
              <w:tc>
                <w:tcPr>
                  <w:tcW w:w="1134" w:type="dxa"/>
                </w:tcPr>
                <w:p w:rsidR="00664EE5" w:rsidRPr="004C4D0D" w:rsidRDefault="00664EE5" w:rsidP="008573E8">
                  <w:pPr>
                    <w:jc w:val="center"/>
                    <w:rPr>
                      <w:b/>
                      <w:bCs/>
                      <w:sz w:val="16"/>
                      <w:szCs w:val="16"/>
                      <w:lang w:eastAsia="en-US"/>
                    </w:rPr>
                  </w:pPr>
                  <w:r w:rsidRPr="004C4D0D">
                    <w:rPr>
                      <w:b/>
                      <w:bCs/>
                      <w:sz w:val="16"/>
                      <w:szCs w:val="16"/>
                      <w:lang w:eastAsia="en-US"/>
                    </w:rPr>
                    <w:t>Sastādīto protokolu kopējais skaits</w:t>
                  </w:r>
                </w:p>
              </w:tc>
              <w:tc>
                <w:tcPr>
                  <w:tcW w:w="1275" w:type="dxa"/>
                </w:tcPr>
                <w:p w:rsidR="00664EE5" w:rsidRPr="004C4D0D" w:rsidRDefault="00664EE5" w:rsidP="008573E8">
                  <w:pPr>
                    <w:jc w:val="center"/>
                    <w:rPr>
                      <w:b/>
                      <w:bCs/>
                      <w:sz w:val="16"/>
                      <w:szCs w:val="16"/>
                      <w:lang w:eastAsia="en-US"/>
                    </w:rPr>
                  </w:pPr>
                  <w:r w:rsidRPr="004C4D0D">
                    <w:rPr>
                      <w:b/>
                      <w:bCs/>
                      <w:sz w:val="16"/>
                      <w:szCs w:val="16"/>
                      <w:lang w:eastAsia="en-US"/>
                    </w:rPr>
                    <w:t>t.sk. Valsts policija sastādīja protokolus</w:t>
                  </w:r>
                  <w:r w:rsidR="00546F29" w:rsidRPr="004C4D0D">
                    <w:rPr>
                      <w:b/>
                      <w:bCs/>
                      <w:sz w:val="16"/>
                      <w:szCs w:val="16"/>
                      <w:lang w:eastAsia="en-US"/>
                    </w:rPr>
                    <w:t xml:space="preserve"> (skaits)</w:t>
                  </w:r>
                </w:p>
              </w:tc>
              <w:tc>
                <w:tcPr>
                  <w:tcW w:w="1701" w:type="dxa"/>
                </w:tcPr>
                <w:p w:rsidR="00664EE5" w:rsidRPr="004C4D0D" w:rsidRDefault="00664EE5" w:rsidP="00465D01">
                  <w:pPr>
                    <w:jc w:val="center"/>
                    <w:rPr>
                      <w:b/>
                      <w:bCs/>
                      <w:sz w:val="16"/>
                      <w:szCs w:val="16"/>
                      <w:lang w:eastAsia="en-US"/>
                    </w:rPr>
                  </w:pPr>
                  <w:r w:rsidRPr="004C4D0D">
                    <w:rPr>
                      <w:b/>
                      <w:bCs/>
                      <w:sz w:val="16"/>
                      <w:szCs w:val="16"/>
                      <w:lang w:eastAsia="en-US"/>
                    </w:rPr>
                    <w:t>Pieņemts lēmums par administratīvā soda piemērošan</w:t>
                  </w:r>
                  <w:r w:rsidR="00465D01" w:rsidRPr="004C4D0D">
                    <w:rPr>
                      <w:b/>
                      <w:bCs/>
                      <w:sz w:val="16"/>
                      <w:szCs w:val="16"/>
                      <w:lang w:eastAsia="en-US"/>
                    </w:rPr>
                    <w:t>u</w:t>
                  </w:r>
                </w:p>
              </w:tc>
              <w:tc>
                <w:tcPr>
                  <w:tcW w:w="1588" w:type="dxa"/>
                </w:tcPr>
                <w:p w:rsidR="00664EE5" w:rsidRPr="004C4D0D" w:rsidRDefault="00664EE5" w:rsidP="008573E8">
                  <w:pPr>
                    <w:jc w:val="center"/>
                    <w:rPr>
                      <w:b/>
                      <w:bCs/>
                      <w:sz w:val="16"/>
                      <w:szCs w:val="16"/>
                      <w:lang w:eastAsia="en-US"/>
                    </w:rPr>
                  </w:pPr>
                  <w:r w:rsidRPr="004C4D0D">
                    <w:rPr>
                      <w:b/>
                      <w:bCs/>
                      <w:sz w:val="16"/>
                      <w:szCs w:val="16"/>
                      <w:lang w:eastAsia="en-US"/>
                    </w:rPr>
                    <w:t>t.sk. administratīvais sods par Valsts policijas sastādītajiem protokoliem</w:t>
                  </w:r>
                </w:p>
              </w:tc>
            </w:tr>
            <w:tr w:rsidR="008573E8" w:rsidRPr="004C4D0D" w:rsidTr="00546F29">
              <w:trPr>
                <w:trHeight w:val="234"/>
              </w:trPr>
              <w:tc>
                <w:tcPr>
                  <w:tcW w:w="1257" w:type="dxa"/>
                </w:tcPr>
                <w:p w:rsidR="00664EE5" w:rsidRPr="004C4D0D" w:rsidRDefault="00664EE5" w:rsidP="008573E8">
                  <w:pPr>
                    <w:jc w:val="center"/>
                    <w:rPr>
                      <w:bCs/>
                      <w:sz w:val="16"/>
                      <w:szCs w:val="16"/>
                      <w:lang w:eastAsia="en-US"/>
                    </w:rPr>
                  </w:pPr>
                  <w:r w:rsidRPr="004C4D0D">
                    <w:rPr>
                      <w:bCs/>
                      <w:sz w:val="16"/>
                      <w:szCs w:val="16"/>
                      <w:lang w:eastAsia="en-US"/>
                    </w:rPr>
                    <w:t>2016</w:t>
                  </w:r>
                </w:p>
              </w:tc>
              <w:tc>
                <w:tcPr>
                  <w:tcW w:w="1134" w:type="dxa"/>
                  <w:vAlign w:val="center"/>
                </w:tcPr>
                <w:p w:rsidR="00664EE5" w:rsidRPr="004C4D0D" w:rsidRDefault="00664EE5" w:rsidP="008573E8">
                  <w:pPr>
                    <w:jc w:val="center"/>
                    <w:rPr>
                      <w:bCs/>
                      <w:sz w:val="16"/>
                      <w:szCs w:val="16"/>
                      <w:lang w:eastAsia="en-US"/>
                    </w:rPr>
                  </w:pPr>
                  <w:r w:rsidRPr="004C4D0D">
                    <w:rPr>
                      <w:bCs/>
                      <w:sz w:val="16"/>
                      <w:szCs w:val="16"/>
                      <w:lang w:eastAsia="en-US"/>
                    </w:rPr>
                    <w:t>81</w:t>
                  </w:r>
                </w:p>
              </w:tc>
              <w:tc>
                <w:tcPr>
                  <w:tcW w:w="1275" w:type="dxa"/>
                  <w:vAlign w:val="center"/>
                </w:tcPr>
                <w:p w:rsidR="00664EE5" w:rsidRPr="004C4D0D" w:rsidRDefault="00664EE5" w:rsidP="008573E8">
                  <w:pPr>
                    <w:jc w:val="center"/>
                    <w:rPr>
                      <w:bCs/>
                      <w:sz w:val="16"/>
                      <w:szCs w:val="16"/>
                      <w:lang w:eastAsia="en-US"/>
                    </w:rPr>
                  </w:pPr>
                  <w:r w:rsidRPr="004C4D0D">
                    <w:rPr>
                      <w:bCs/>
                      <w:sz w:val="16"/>
                      <w:szCs w:val="16"/>
                      <w:lang w:eastAsia="en-US"/>
                    </w:rPr>
                    <w:t>81</w:t>
                  </w:r>
                </w:p>
              </w:tc>
              <w:tc>
                <w:tcPr>
                  <w:tcW w:w="1701" w:type="dxa"/>
                  <w:vAlign w:val="center"/>
                </w:tcPr>
                <w:p w:rsidR="00664EE5" w:rsidRPr="004C4D0D" w:rsidRDefault="00664EE5" w:rsidP="008573E8">
                  <w:pPr>
                    <w:jc w:val="center"/>
                    <w:rPr>
                      <w:bCs/>
                      <w:sz w:val="16"/>
                      <w:szCs w:val="16"/>
                      <w:lang w:eastAsia="en-US"/>
                    </w:rPr>
                  </w:pPr>
                  <w:r w:rsidRPr="004C4D0D">
                    <w:rPr>
                      <w:bCs/>
                      <w:sz w:val="16"/>
                      <w:szCs w:val="16"/>
                      <w:lang w:eastAsia="en-US"/>
                    </w:rPr>
                    <w:t>75</w:t>
                  </w:r>
                </w:p>
              </w:tc>
              <w:tc>
                <w:tcPr>
                  <w:tcW w:w="1588" w:type="dxa"/>
                  <w:vAlign w:val="center"/>
                </w:tcPr>
                <w:p w:rsidR="00664EE5" w:rsidRPr="004C4D0D" w:rsidRDefault="00664EE5" w:rsidP="008573E8">
                  <w:pPr>
                    <w:jc w:val="center"/>
                    <w:rPr>
                      <w:bCs/>
                      <w:sz w:val="16"/>
                      <w:szCs w:val="16"/>
                      <w:lang w:eastAsia="en-US"/>
                    </w:rPr>
                  </w:pPr>
                  <w:r w:rsidRPr="004C4D0D">
                    <w:rPr>
                      <w:bCs/>
                      <w:sz w:val="16"/>
                      <w:szCs w:val="16"/>
                      <w:lang w:eastAsia="en-US"/>
                    </w:rPr>
                    <w:t>75</w:t>
                  </w:r>
                </w:p>
              </w:tc>
            </w:tr>
            <w:tr w:rsidR="008573E8" w:rsidRPr="004C4D0D" w:rsidTr="00546F29">
              <w:trPr>
                <w:trHeight w:val="234"/>
              </w:trPr>
              <w:tc>
                <w:tcPr>
                  <w:tcW w:w="1257" w:type="dxa"/>
                </w:tcPr>
                <w:p w:rsidR="00664EE5" w:rsidRPr="004C4D0D" w:rsidRDefault="00664EE5" w:rsidP="008573E8">
                  <w:pPr>
                    <w:jc w:val="center"/>
                    <w:rPr>
                      <w:bCs/>
                      <w:sz w:val="16"/>
                      <w:szCs w:val="16"/>
                      <w:lang w:eastAsia="en-US"/>
                    </w:rPr>
                  </w:pPr>
                  <w:r w:rsidRPr="004C4D0D">
                    <w:rPr>
                      <w:bCs/>
                      <w:sz w:val="16"/>
                      <w:szCs w:val="16"/>
                      <w:lang w:eastAsia="en-US"/>
                    </w:rPr>
                    <w:t>2017</w:t>
                  </w:r>
                </w:p>
              </w:tc>
              <w:tc>
                <w:tcPr>
                  <w:tcW w:w="1134" w:type="dxa"/>
                  <w:vAlign w:val="center"/>
                </w:tcPr>
                <w:p w:rsidR="00664EE5" w:rsidRPr="004C4D0D" w:rsidRDefault="00664EE5" w:rsidP="008573E8">
                  <w:pPr>
                    <w:jc w:val="center"/>
                    <w:rPr>
                      <w:bCs/>
                      <w:sz w:val="16"/>
                      <w:szCs w:val="16"/>
                      <w:lang w:eastAsia="en-US"/>
                    </w:rPr>
                  </w:pPr>
                  <w:r w:rsidRPr="004C4D0D">
                    <w:rPr>
                      <w:bCs/>
                      <w:sz w:val="16"/>
                      <w:szCs w:val="16"/>
                      <w:lang w:eastAsia="en-US"/>
                    </w:rPr>
                    <w:t>96</w:t>
                  </w:r>
                </w:p>
              </w:tc>
              <w:tc>
                <w:tcPr>
                  <w:tcW w:w="1275" w:type="dxa"/>
                  <w:vAlign w:val="center"/>
                </w:tcPr>
                <w:p w:rsidR="00664EE5" w:rsidRPr="004C4D0D" w:rsidRDefault="00664EE5" w:rsidP="008573E8">
                  <w:pPr>
                    <w:jc w:val="center"/>
                    <w:rPr>
                      <w:bCs/>
                      <w:sz w:val="16"/>
                      <w:szCs w:val="16"/>
                      <w:lang w:eastAsia="en-US"/>
                    </w:rPr>
                  </w:pPr>
                  <w:r w:rsidRPr="004C4D0D">
                    <w:rPr>
                      <w:bCs/>
                      <w:sz w:val="16"/>
                      <w:szCs w:val="16"/>
                      <w:lang w:eastAsia="en-US"/>
                    </w:rPr>
                    <w:t>96</w:t>
                  </w:r>
                </w:p>
              </w:tc>
              <w:tc>
                <w:tcPr>
                  <w:tcW w:w="1701" w:type="dxa"/>
                  <w:vAlign w:val="center"/>
                </w:tcPr>
                <w:p w:rsidR="00664EE5" w:rsidRPr="004C4D0D" w:rsidRDefault="00664EE5" w:rsidP="008573E8">
                  <w:pPr>
                    <w:jc w:val="center"/>
                    <w:rPr>
                      <w:bCs/>
                      <w:sz w:val="16"/>
                      <w:szCs w:val="16"/>
                      <w:lang w:eastAsia="en-US"/>
                    </w:rPr>
                  </w:pPr>
                  <w:r w:rsidRPr="004C4D0D">
                    <w:rPr>
                      <w:bCs/>
                      <w:sz w:val="16"/>
                      <w:szCs w:val="16"/>
                      <w:lang w:eastAsia="en-US"/>
                    </w:rPr>
                    <w:t>90</w:t>
                  </w:r>
                </w:p>
              </w:tc>
              <w:tc>
                <w:tcPr>
                  <w:tcW w:w="1588" w:type="dxa"/>
                  <w:vAlign w:val="center"/>
                </w:tcPr>
                <w:p w:rsidR="00664EE5" w:rsidRPr="004C4D0D" w:rsidRDefault="00664EE5" w:rsidP="008573E8">
                  <w:pPr>
                    <w:jc w:val="center"/>
                    <w:rPr>
                      <w:bCs/>
                      <w:sz w:val="16"/>
                      <w:szCs w:val="16"/>
                      <w:lang w:eastAsia="en-US"/>
                    </w:rPr>
                  </w:pPr>
                  <w:r w:rsidRPr="004C4D0D">
                    <w:rPr>
                      <w:bCs/>
                      <w:sz w:val="16"/>
                      <w:szCs w:val="16"/>
                      <w:lang w:eastAsia="en-US"/>
                    </w:rPr>
                    <w:t>90</w:t>
                  </w:r>
                </w:p>
              </w:tc>
            </w:tr>
            <w:tr w:rsidR="008573E8" w:rsidRPr="004C4D0D" w:rsidTr="007F29CF">
              <w:trPr>
                <w:trHeight w:val="317"/>
              </w:trPr>
              <w:tc>
                <w:tcPr>
                  <w:tcW w:w="1257" w:type="dxa"/>
                </w:tcPr>
                <w:p w:rsidR="00664EE5" w:rsidRPr="004C4D0D" w:rsidRDefault="00664EE5" w:rsidP="00035DC9">
                  <w:pPr>
                    <w:jc w:val="center"/>
                    <w:rPr>
                      <w:bCs/>
                      <w:sz w:val="16"/>
                      <w:szCs w:val="16"/>
                      <w:lang w:eastAsia="en-US"/>
                    </w:rPr>
                  </w:pPr>
                  <w:r w:rsidRPr="004C4D0D">
                    <w:rPr>
                      <w:bCs/>
                      <w:sz w:val="16"/>
                      <w:szCs w:val="16"/>
                      <w:lang w:eastAsia="en-US"/>
                    </w:rPr>
                    <w:t xml:space="preserve">2018 </w:t>
                  </w:r>
                </w:p>
              </w:tc>
              <w:tc>
                <w:tcPr>
                  <w:tcW w:w="1134" w:type="dxa"/>
                  <w:vAlign w:val="center"/>
                </w:tcPr>
                <w:p w:rsidR="00664EE5" w:rsidRPr="004C4D0D" w:rsidRDefault="00804CB7" w:rsidP="008573E8">
                  <w:pPr>
                    <w:jc w:val="center"/>
                    <w:rPr>
                      <w:bCs/>
                      <w:sz w:val="16"/>
                      <w:szCs w:val="16"/>
                      <w:lang w:eastAsia="en-US"/>
                    </w:rPr>
                  </w:pPr>
                  <w:r w:rsidRPr="004C4D0D">
                    <w:rPr>
                      <w:bCs/>
                      <w:sz w:val="16"/>
                      <w:szCs w:val="16"/>
                      <w:lang w:eastAsia="en-US"/>
                    </w:rPr>
                    <w:t>111</w:t>
                  </w:r>
                </w:p>
              </w:tc>
              <w:tc>
                <w:tcPr>
                  <w:tcW w:w="1275" w:type="dxa"/>
                  <w:vAlign w:val="center"/>
                </w:tcPr>
                <w:p w:rsidR="00664EE5" w:rsidRPr="004C4D0D" w:rsidRDefault="00804CB7" w:rsidP="008573E8">
                  <w:pPr>
                    <w:jc w:val="center"/>
                    <w:rPr>
                      <w:bCs/>
                      <w:sz w:val="16"/>
                      <w:szCs w:val="16"/>
                      <w:lang w:eastAsia="en-US"/>
                    </w:rPr>
                  </w:pPr>
                  <w:r w:rsidRPr="004C4D0D">
                    <w:rPr>
                      <w:bCs/>
                      <w:sz w:val="16"/>
                      <w:szCs w:val="16"/>
                      <w:lang w:eastAsia="en-US"/>
                    </w:rPr>
                    <w:t>111</w:t>
                  </w:r>
                </w:p>
              </w:tc>
              <w:tc>
                <w:tcPr>
                  <w:tcW w:w="1701" w:type="dxa"/>
                  <w:vAlign w:val="center"/>
                </w:tcPr>
                <w:p w:rsidR="00664EE5" w:rsidRPr="004C4D0D" w:rsidRDefault="00804CB7" w:rsidP="00804CB7">
                  <w:pPr>
                    <w:jc w:val="center"/>
                    <w:rPr>
                      <w:bCs/>
                      <w:sz w:val="16"/>
                      <w:szCs w:val="16"/>
                      <w:lang w:eastAsia="en-US"/>
                    </w:rPr>
                  </w:pPr>
                  <w:r w:rsidRPr="004C4D0D">
                    <w:rPr>
                      <w:bCs/>
                      <w:sz w:val="16"/>
                      <w:szCs w:val="16"/>
                      <w:lang w:eastAsia="en-US"/>
                    </w:rPr>
                    <w:t>103</w:t>
                  </w:r>
                </w:p>
              </w:tc>
              <w:tc>
                <w:tcPr>
                  <w:tcW w:w="1588" w:type="dxa"/>
                  <w:vAlign w:val="center"/>
                </w:tcPr>
                <w:p w:rsidR="00664EE5" w:rsidRPr="004C4D0D" w:rsidRDefault="00804CB7" w:rsidP="008573E8">
                  <w:pPr>
                    <w:jc w:val="center"/>
                    <w:rPr>
                      <w:bCs/>
                      <w:sz w:val="16"/>
                      <w:szCs w:val="16"/>
                      <w:lang w:eastAsia="en-US"/>
                    </w:rPr>
                  </w:pPr>
                  <w:r w:rsidRPr="004C4D0D">
                    <w:rPr>
                      <w:bCs/>
                      <w:sz w:val="16"/>
                      <w:szCs w:val="16"/>
                      <w:lang w:eastAsia="en-US"/>
                    </w:rPr>
                    <w:t>103</w:t>
                  </w:r>
                </w:p>
              </w:tc>
            </w:tr>
          </w:tbl>
          <w:p w:rsidR="00664EE5" w:rsidRPr="004C4D0D" w:rsidRDefault="00664EE5" w:rsidP="00664EE5">
            <w:pPr>
              <w:jc w:val="both"/>
              <w:rPr>
                <w:bCs/>
                <w:lang w:eastAsia="en-US"/>
              </w:rPr>
            </w:pPr>
          </w:p>
          <w:p w:rsidR="00664EE5" w:rsidRPr="004C4D0D" w:rsidRDefault="00664EE5" w:rsidP="00664EE5">
            <w:pPr>
              <w:jc w:val="both"/>
              <w:rPr>
                <w:bCs/>
                <w:lang w:eastAsia="en-US"/>
              </w:rPr>
            </w:pPr>
            <w:r w:rsidRPr="004C4D0D">
              <w:rPr>
                <w:bCs/>
                <w:lang w:eastAsia="en-US"/>
              </w:rPr>
              <w:t>Iepriekšminētais norāda uz to, ka personas veic šos pārkāpumus un pārkāpumi nav zaudējuši aktualitāti.</w:t>
            </w:r>
          </w:p>
          <w:p w:rsidR="00664EE5" w:rsidRPr="004C4D0D" w:rsidRDefault="00664EE5" w:rsidP="00664EE5">
            <w:pPr>
              <w:jc w:val="both"/>
              <w:rPr>
                <w:bCs/>
                <w:lang w:eastAsia="en-US"/>
              </w:rPr>
            </w:pPr>
          </w:p>
          <w:p w:rsidR="004C70FB" w:rsidRPr="004C4D0D" w:rsidRDefault="00430293" w:rsidP="004C70FB">
            <w:pPr>
              <w:jc w:val="both"/>
              <w:rPr>
                <w:bCs/>
                <w:lang w:eastAsia="en-US"/>
              </w:rPr>
            </w:pPr>
            <w:r w:rsidRPr="004C4D0D">
              <w:rPr>
                <w:bCs/>
                <w:lang w:eastAsia="en-US"/>
              </w:rPr>
              <w:t>S</w:t>
            </w:r>
            <w:r w:rsidR="004C70FB" w:rsidRPr="004C4D0D">
              <w:rPr>
                <w:bCs/>
                <w:lang w:eastAsia="en-US"/>
              </w:rPr>
              <w:t>askaņā ar Kodeksa 215</w:t>
            </w:r>
            <w:r w:rsidR="004C70FB" w:rsidRPr="004C4D0D">
              <w:rPr>
                <w:bCs/>
                <w:vertAlign w:val="superscript"/>
                <w:lang w:eastAsia="en-US"/>
              </w:rPr>
              <w:t>1</w:t>
            </w:r>
            <w:r w:rsidR="004C70FB" w:rsidRPr="004C4D0D">
              <w:rPr>
                <w:bCs/>
                <w:lang w:eastAsia="en-US"/>
              </w:rPr>
              <w:t>.pantu Kodeksa 166</w:t>
            </w:r>
            <w:r w:rsidR="004C70FB" w:rsidRPr="004C4D0D">
              <w:rPr>
                <w:bCs/>
                <w:vertAlign w:val="superscript"/>
                <w:lang w:eastAsia="en-US"/>
              </w:rPr>
              <w:t>2</w:t>
            </w:r>
            <w:r w:rsidR="004C70FB" w:rsidRPr="004C4D0D">
              <w:rPr>
                <w:bCs/>
                <w:lang w:eastAsia="en-US"/>
              </w:rPr>
              <w:t>.pantā paredzēto administratīvo pārkāpumu (par komercdarbību bez speciālās atļaujas (licences)) lietu izskatīšana ir piekritība Valsts ieņēmumu dienestam (izņemot lietas par pārkāpumiem tajos gadījumos, kad kontroli veikušas un administratīvo pārkāpumu protokolu par šajā pantā minēto pārkāpumu sastādījušas citas institūcijas amatpersonas, kas pilnvarotas izskatīt attiecīgā administratīvā pārkāpuma lietas).</w:t>
            </w:r>
          </w:p>
          <w:p w:rsidR="00B659DD" w:rsidRPr="004C4D0D" w:rsidRDefault="004C70FB" w:rsidP="004C70FB">
            <w:pPr>
              <w:jc w:val="both"/>
              <w:rPr>
                <w:bCs/>
                <w:lang w:eastAsia="en-US"/>
              </w:rPr>
            </w:pPr>
            <w:r w:rsidRPr="004C4D0D">
              <w:rPr>
                <w:bCs/>
                <w:lang w:eastAsia="en-US"/>
              </w:rPr>
              <w:t xml:space="preserve">Izvērtējot gadījumu skaitu, kad Valsts ieņēmumu dienests konstatējis apsardzes darbību bez speciālās atļaujas (licences), secināts, ka pēdējo trīs gadu laikā šādi gadījumi konstatēti ne biežāk kā vienu līdz trīs reizes gadā. Valsts ieņēmumu dienests uzskata, ka nav lietderīgi noteikt </w:t>
            </w:r>
            <w:r w:rsidR="00B659DD" w:rsidRPr="004C4D0D">
              <w:rPr>
                <w:bCs/>
                <w:lang w:eastAsia="en-US"/>
              </w:rPr>
              <w:t xml:space="preserve">tā </w:t>
            </w:r>
            <w:r w:rsidRPr="004C4D0D">
              <w:rPr>
                <w:bCs/>
                <w:lang w:eastAsia="en-US"/>
              </w:rPr>
              <w:t xml:space="preserve">kompetenci </w:t>
            </w:r>
            <w:r w:rsidRPr="004C4D0D">
              <w:rPr>
                <w:bCs/>
                <w:lang w:eastAsia="en-US"/>
              </w:rPr>
              <w:lastRenderedPageBreak/>
              <w:t xml:space="preserve">soda </w:t>
            </w:r>
            <w:r w:rsidR="00152A81" w:rsidRPr="004C4D0D">
              <w:rPr>
                <w:bCs/>
                <w:lang w:eastAsia="en-US"/>
              </w:rPr>
              <w:t>piemērošanā par Likumprojekta 27</w:t>
            </w:r>
            <w:r w:rsidRPr="004C4D0D">
              <w:rPr>
                <w:bCs/>
                <w:lang w:eastAsia="en-US"/>
              </w:rPr>
              <w:t>.pantā paredzētajiem pārkāpumiem.</w:t>
            </w:r>
          </w:p>
          <w:p w:rsidR="00951175" w:rsidRPr="004C4D0D" w:rsidRDefault="004C70FB" w:rsidP="00AE67CA">
            <w:pPr>
              <w:jc w:val="both"/>
              <w:rPr>
                <w:bCs/>
                <w:lang w:eastAsia="en-US"/>
              </w:rPr>
            </w:pPr>
            <w:r w:rsidRPr="004C4D0D">
              <w:rPr>
                <w:bCs/>
                <w:lang w:eastAsia="en-US"/>
              </w:rPr>
              <w:t xml:space="preserve">Ņemot vērā, ka apsardzes darbības uzraudzība ietilpst Valsts policijas kompetencē, kā arī, lai vienkāršotu administratīvo pārkāpumu procesa virzību un novērstu nepieciešamību pārsūtīt administratīvo pārkāpumu lietas materiālus apsardzes darbības jomā no vienas iestādes otrai soda piemērošanai, </w:t>
            </w:r>
            <w:r w:rsidR="00B659DD" w:rsidRPr="004C4D0D">
              <w:rPr>
                <w:bCs/>
                <w:lang w:eastAsia="en-US"/>
              </w:rPr>
              <w:t xml:space="preserve">par kompetento iestādi </w:t>
            </w:r>
            <w:r w:rsidRPr="004C4D0D">
              <w:rPr>
                <w:bCs/>
                <w:lang w:eastAsia="en-US"/>
              </w:rPr>
              <w:t>atbilstoši Likumprojekta 2</w:t>
            </w:r>
            <w:r w:rsidR="00AE67CA" w:rsidRPr="004C4D0D">
              <w:rPr>
                <w:bCs/>
                <w:lang w:eastAsia="en-US"/>
              </w:rPr>
              <w:t>8</w:t>
            </w:r>
            <w:r w:rsidRPr="004C4D0D">
              <w:rPr>
                <w:bCs/>
                <w:lang w:eastAsia="en-US"/>
              </w:rPr>
              <w:t xml:space="preserve">.pantam tiek noteikta Valsts policija, kura biežāk konstatē pārkāpumus apsardzes darbības jomā. </w:t>
            </w:r>
          </w:p>
        </w:tc>
      </w:tr>
      <w:tr w:rsidR="007F26BC" w:rsidRPr="004C4D0D" w:rsidTr="00D82FC2">
        <w:tc>
          <w:tcPr>
            <w:tcW w:w="214" w:type="pct"/>
            <w:hideMark/>
          </w:tcPr>
          <w:p w:rsidR="007F26BC" w:rsidRPr="004C4D0D" w:rsidRDefault="007F26BC" w:rsidP="001A46FA">
            <w:pPr>
              <w:jc w:val="center"/>
            </w:pPr>
            <w:r w:rsidRPr="004C4D0D">
              <w:lastRenderedPageBreak/>
              <w:t>3.</w:t>
            </w:r>
          </w:p>
        </w:tc>
        <w:tc>
          <w:tcPr>
            <w:tcW w:w="1102" w:type="pct"/>
            <w:hideMark/>
          </w:tcPr>
          <w:p w:rsidR="007F26BC" w:rsidRPr="004C4D0D" w:rsidRDefault="007F26BC" w:rsidP="001A46FA">
            <w:r w:rsidRPr="004C4D0D">
              <w:t>Projekta izstrādē iesaistītās institūcijas un publiskas personas kapitālsabiedrības</w:t>
            </w:r>
          </w:p>
        </w:tc>
        <w:tc>
          <w:tcPr>
            <w:tcW w:w="3684" w:type="pct"/>
            <w:hideMark/>
          </w:tcPr>
          <w:p w:rsidR="00882A12" w:rsidRPr="004C4D0D" w:rsidRDefault="00882A12" w:rsidP="00E231B2">
            <w:pPr>
              <w:jc w:val="both"/>
            </w:pPr>
            <w:r w:rsidRPr="004C4D0D">
              <w:t xml:space="preserve">Iekšlietu ministrija, </w:t>
            </w:r>
            <w:r w:rsidR="00E231B2" w:rsidRPr="004C4D0D">
              <w:t>Valsts policija.</w:t>
            </w:r>
          </w:p>
        </w:tc>
      </w:tr>
      <w:tr w:rsidR="007F26BC" w:rsidRPr="004C4D0D" w:rsidTr="00D82FC2">
        <w:tc>
          <w:tcPr>
            <w:tcW w:w="214" w:type="pct"/>
            <w:hideMark/>
          </w:tcPr>
          <w:p w:rsidR="007F26BC" w:rsidRPr="004C4D0D" w:rsidRDefault="007F26BC" w:rsidP="001A46FA">
            <w:pPr>
              <w:jc w:val="center"/>
            </w:pPr>
            <w:r w:rsidRPr="004C4D0D">
              <w:t>4.</w:t>
            </w:r>
          </w:p>
        </w:tc>
        <w:tc>
          <w:tcPr>
            <w:tcW w:w="1102" w:type="pct"/>
            <w:hideMark/>
          </w:tcPr>
          <w:p w:rsidR="007F26BC" w:rsidRPr="004C4D0D" w:rsidRDefault="007F26BC" w:rsidP="001A46FA">
            <w:r w:rsidRPr="004C4D0D">
              <w:t>Cita informācija</w:t>
            </w:r>
          </w:p>
        </w:tc>
        <w:tc>
          <w:tcPr>
            <w:tcW w:w="3684" w:type="pct"/>
          </w:tcPr>
          <w:p w:rsidR="008432E0" w:rsidRPr="004C4D0D" w:rsidRDefault="00A05177" w:rsidP="001A46FA">
            <w:pPr>
              <w:jc w:val="both"/>
            </w:pPr>
            <w:r w:rsidRPr="004C4D0D">
              <w:t>Nav.</w:t>
            </w:r>
          </w:p>
        </w:tc>
      </w:tr>
      <w:tr w:rsidR="007F26BC" w:rsidRPr="004C4D0D" w:rsidTr="00D82FC2">
        <w:trPr>
          <w:cantSplit/>
        </w:trPr>
        <w:tc>
          <w:tcPr>
            <w:tcW w:w="5000" w:type="pct"/>
            <w:gridSpan w:val="3"/>
            <w:vAlign w:val="center"/>
            <w:hideMark/>
          </w:tcPr>
          <w:p w:rsidR="00667CC6" w:rsidRPr="004C4D0D" w:rsidRDefault="007F26BC" w:rsidP="00667CC6">
            <w:pPr>
              <w:jc w:val="center"/>
            </w:pPr>
            <w:r w:rsidRPr="004C4D0D">
              <w:rPr>
                <w:b/>
                <w:bCs/>
              </w:rPr>
              <w:t>II. Tiesību akta projekta ietekme uz sabiedrību, tautsaimniecības attīstību un administratīvo slogu</w:t>
            </w:r>
          </w:p>
        </w:tc>
      </w:tr>
      <w:tr w:rsidR="007F26BC" w:rsidRPr="004C4D0D" w:rsidTr="00D82FC2">
        <w:trPr>
          <w:cantSplit/>
          <w:trHeight w:val="3776"/>
        </w:trPr>
        <w:tc>
          <w:tcPr>
            <w:tcW w:w="214" w:type="pct"/>
            <w:hideMark/>
          </w:tcPr>
          <w:p w:rsidR="007F26BC" w:rsidRPr="004C4D0D" w:rsidRDefault="007F26BC" w:rsidP="001A46FA">
            <w:pPr>
              <w:jc w:val="center"/>
            </w:pPr>
          </w:p>
        </w:tc>
        <w:tc>
          <w:tcPr>
            <w:tcW w:w="1102" w:type="pct"/>
            <w:hideMark/>
          </w:tcPr>
          <w:p w:rsidR="00C44D90" w:rsidRPr="004C4D0D" w:rsidRDefault="007F26BC">
            <w:r w:rsidRPr="004C4D0D">
              <w:t xml:space="preserve">Sabiedrības </w:t>
            </w:r>
            <w:proofErr w:type="spellStart"/>
            <w:r w:rsidRPr="004C4D0D">
              <w:t>mērķgrupas</w:t>
            </w:r>
            <w:proofErr w:type="spellEnd"/>
            <w:r w:rsidRPr="004C4D0D">
              <w:t>, kuras tiesiskais regulējums ietekmē vai varētu ietekmēt</w:t>
            </w:r>
          </w:p>
          <w:p w:rsidR="00C44D90" w:rsidRPr="004C4D0D" w:rsidRDefault="00C44D90"/>
          <w:p w:rsidR="00C44D90" w:rsidRPr="004C4D0D" w:rsidRDefault="00C44D90"/>
          <w:p w:rsidR="007D1E77" w:rsidRPr="004C4D0D" w:rsidRDefault="007D1E77"/>
          <w:p w:rsidR="007D1E77" w:rsidRPr="004C4D0D" w:rsidRDefault="007D1E77"/>
          <w:p w:rsidR="007D1E77" w:rsidRPr="004C4D0D" w:rsidRDefault="007D1E77"/>
        </w:tc>
        <w:tc>
          <w:tcPr>
            <w:tcW w:w="3684" w:type="pct"/>
            <w:hideMark/>
          </w:tcPr>
          <w:p w:rsidR="009D3888" w:rsidRPr="004C4D0D" w:rsidRDefault="009D3888" w:rsidP="009D3888">
            <w:pPr>
              <w:jc w:val="both"/>
            </w:pPr>
            <w:r w:rsidRPr="004C4D0D">
              <w:t xml:space="preserve">Sabiedrības </w:t>
            </w:r>
            <w:proofErr w:type="spellStart"/>
            <w:r w:rsidRPr="004C4D0D">
              <w:t>mērķgrupas</w:t>
            </w:r>
            <w:proofErr w:type="spellEnd"/>
            <w:r w:rsidRPr="004C4D0D">
              <w:t xml:space="preserve"> ir:</w:t>
            </w:r>
          </w:p>
          <w:p w:rsidR="009D3888" w:rsidRPr="004C4D0D" w:rsidRDefault="009D3888" w:rsidP="009D3888">
            <w:pPr>
              <w:pStyle w:val="Sarakstarindkopa"/>
              <w:numPr>
                <w:ilvl w:val="0"/>
                <w:numId w:val="30"/>
              </w:numPr>
              <w:ind w:left="409" w:hanging="283"/>
              <w:jc w:val="both"/>
            </w:pPr>
            <w:r w:rsidRPr="004C4D0D">
              <w:t>Apsardzes komersanti, kas saņēmuši speciālo atļauju (licenci) apsardzes pakalpojumu sniegšanai vai vēlēsies to saņemt.</w:t>
            </w:r>
          </w:p>
          <w:p w:rsidR="009D3888" w:rsidRPr="004C4D0D" w:rsidRDefault="009D3888" w:rsidP="009D3888">
            <w:pPr>
              <w:jc w:val="both"/>
            </w:pPr>
            <w:r w:rsidRPr="004C4D0D">
              <w:t xml:space="preserve">Uz </w:t>
            </w:r>
            <w:r w:rsidR="00B445B0" w:rsidRPr="004C4D0D">
              <w:t>2019</w:t>
            </w:r>
            <w:r w:rsidRPr="004C4D0D">
              <w:t>.gada 1.</w:t>
            </w:r>
            <w:r w:rsidR="00B445B0" w:rsidRPr="004C4D0D">
              <w:t xml:space="preserve">janvāri </w:t>
            </w:r>
            <w:r w:rsidRPr="004C4D0D">
              <w:t xml:space="preserve">valstī ir </w:t>
            </w:r>
            <w:r w:rsidR="00B445B0" w:rsidRPr="004C4D0D">
              <w:t xml:space="preserve">441 licencēts </w:t>
            </w:r>
            <w:r w:rsidRPr="004C4D0D">
              <w:t xml:space="preserve">apsardzes </w:t>
            </w:r>
            <w:r w:rsidR="00B445B0" w:rsidRPr="004C4D0D">
              <w:t>komersants</w:t>
            </w:r>
            <w:r w:rsidRPr="004C4D0D">
              <w:t xml:space="preserve">. Ir apsardzes komersanti, kuriem izsniegtas vairākas licences apsardzes pakalpojumu sniegšanai (kopā izsniegtas </w:t>
            </w:r>
            <w:r w:rsidR="00B445B0" w:rsidRPr="004C4D0D">
              <w:t xml:space="preserve">502 </w:t>
            </w:r>
            <w:r w:rsidRPr="004C4D0D">
              <w:t>licences):</w:t>
            </w:r>
          </w:p>
          <w:p w:rsidR="009D3888" w:rsidRPr="004C4D0D" w:rsidRDefault="009D3888" w:rsidP="009D3888">
            <w:pPr>
              <w:pStyle w:val="Sarakstarindkopa"/>
              <w:numPr>
                <w:ilvl w:val="0"/>
                <w:numId w:val="31"/>
              </w:numPr>
              <w:jc w:val="both"/>
            </w:pPr>
            <w:r w:rsidRPr="004C4D0D">
              <w:t xml:space="preserve">apsardzes tehnisko sistēmu ierīkošana – </w:t>
            </w:r>
            <w:r w:rsidR="00B445B0" w:rsidRPr="004C4D0D">
              <w:t xml:space="preserve">172 </w:t>
            </w:r>
            <w:r w:rsidRPr="004C4D0D">
              <w:t>licence</w:t>
            </w:r>
            <w:r w:rsidR="00B445B0" w:rsidRPr="004C4D0D">
              <w:t>s</w:t>
            </w:r>
            <w:r w:rsidRPr="004C4D0D">
              <w:t>;</w:t>
            </w:r>
          </w:p>
          <w:p w:rsidR="009D3888" w:rsidRPr="004C4D0D" w:rsidRDefault="009D3888" w:rsidP="009D3888">
            <w:pPr>
              <w:pStyle w:val="Sarakstarindkopa"/>
              <w:numPr>
                <w:ilvl w:val="0"/>
                <w:numId w:val="31"/>
              </w:numPr>
              <w:jc w:val="both"/>
            </w:pPr>
            <w:r w:rsidRPr="004C4D0D">
              <w:t xml:space="preserve">fiziskās apsardzes pakalpojumu sniegšana – </w:t>
            </w:r>
            <w:r w:rsidR="00B445B0" w:rsidRPr="004C4D0D">
              <w:t xml:space="preserve">272 </w:t>
            </w:r>
            <w:r w:rsidRPr="004C4D0D">
              <w:t>licence</w:t>
            </w:r>
            <w:r w:rsidR="00B445B0" w:rsidRPr="004C4D0D">
              <w:t>s</w:t>
            </w:r>
            <w:r w:rsidRPr="004C4D0D">
              <w:t>;</w:t>
            </w:r>
          </w:p>
          <w:p w:rsidR="009D3888" w:rsidRPr="004C4D0D" w:rsidRDefault="009D3888" w:rsidP="009D3888">
            <w:pPr>
              <w:pStyle w:val="Sarakstarindkopa"/>
              <w:numPr>
                <w:ilvl w:val="0"/>
                <w:numId w:val="31"/>
              </w:numPr>
              <w:jc w:val="both"/>
            </w:pPr>
            <w:r w:rsidRPr="004C4D0D">
              <w:t>inkasācijas apsardzes pakalpojumu sniegšana – 4 licences;</w:t>
            </w:r>
          </w:p>
          <w:p w:rsidR="009D3888" w:rsidRPr="004C4D0D" w:rsidRDefault="009D3888" w:rsidP="009D3888">
            <w:pPr>
              <w:pStyle w:val="Sarakstarindkopa"/>
              <w:numPr>
                <w:ilvl w:val="0"/>
                <w:numId w:val="31"/>
              </w:numPr>
              <w:jc w:val="both"/>
            </w:pPr>
            <w:r w:rsidRPr="004C4D0D">
              <w:t xml:space="preserve">tehniskās apsardzes pakalpojumu sniegšana – </w:t>
            </w:r>
            <w:r w:rsidR="00B445B0" w:rsidRPr="004C4D0D">
              <w:t xml:space="preserve">51 </w:t>
            </w:r>
            <w:r w:rsidRPr="004C4D0D">
              <w:t>licence.</w:t>
            </w:r>
          </w:p>
          <w:p w:rsidR="009D3888" w:rsidRPr="004C4D0D" w:rsidRDefault="009D3888" w:rsidP="009D3888">
            <w:pPr>
              <w:pStyle w:val="Sarakstarindkopa"/>
              <w:numPr>
                <w:ilvl w:val="0"/>
                <w:numId w:val="30"/>
              </w:numPr>
              <w:ind w:left="409" w:hanging="283"/>
              <w:jc w:val="both"/>
            </w:pPr>
            <w:r w:rsidRPr="004C4D0D">
              <w:t>Iekšējās drošības dienesti, kas saņēmuši reģistrācijas apliecības un veic apsardzes darbību.</w:t>
            </w:r>
          </w:p>
          <w:p w:rsidR="00116F86" w:rsidRPr="004C4D0D" w:rsidRDefault="009D3888" w:rsidP="00B445B0">
            <w:pPr>
              <w:jc w:val="both"/>
            </w:pPr>
            <w:r w:rsidRPr="004C4D0D">
              <w:t xml:space="preserve">Uz </w:t>
            </w:r>
            <w:r w:rsidR="00B445B0" w:rsidRPr="004C4D0D">
              <w:t>2019</w:t>
            </w:r>
            <w:r w:rsidRPr="004C4D0D">
              <w:t>.gada 1.</w:t>
            </w:r>
            <w:r w:rsidR="00B445B0" w:rsidRPr="004C4D0D">
              <w:t xml:space="preserve">janvāri </w:t>
            </w:r>
            <w:r w:rsidRPr="004C4D0D">
              <w:t xml:space="preserve">valstī ir reģistrēti </w:t>
            </w:r>
            <w:r w:rsidR="00B445B0" w:rsidRPr="004C4D0D">
              <w:t xml:space="preserve">53 </w:t>
            </w:r>
            <w:r w:rsidRPr="004C4D0D">
              <w:t>iekšējās drošības dienesti.</w:t>
            </w:r>
          </w:p>
        </w:tc>
      </w:tr>
      <w:tr w:rsidR="007F26BC" w:rsidRPr="004C4D0D" w:rsidTr="00D82FC2">
        <w:trPr>
          <w:cantSplit/>
        </w:trPr>
        <w:tc>
          <w:tcPr>
            <w:tcW w:w="214" w:type="pct"/>
            <w:hideMark/>
          </w:tcPr>
          <w:p w:rsidR="007F26BC" w:rsidRPr="004C4D0D" w:rsidRDefault="007F26BC" w:rsidP="001A46FA">
            <w:pPr>
              <w:jc w:val="center"/>
            </w:pPr>
            <w:r w:rsidRPr="004C4D0D">
              <w:t>2.</w:t>
            </w:r>
          </w:p>
        </w:tc>
        <w:tc>
          <w:tcPr>
            <w:tcW w:w="1102" w:type="pct"/>
            <w:hideMark/>
          </w:tcPr>
          <w:p w:rsidR="007F26BC" w:rsidRPr="004C4D0D" w:rsidRDefault="007F26BC" w:rsidP="007D1E77">
            <w:r w:rsidRPr="004C4D0D">
              <w:t>Tiesiskā regulējuma ietekme uz tautsaimniecību un administratīvo slogu</w:t>
            </w:r>
          </w:p>
        </w:tc>
        <w:tc>
          <w:tcPr>
            <w:tcW w:w="3684" w:type="pct"/>
            <w:hideMark/>
          </w:tcPr>
          <w:p w:rsidR="00A05177" w:rsidRPr="004C4D0D" w:rsidRDefault="00923DE7" w:rsidP="00A05177">
            <w:r w:rsidRPr="004C4D0D">
              <w:t xml:space="preserve"> </w:t>
            </w:r>
            <w:r w:rsidR="00A05177" w:rsidRPr="004C4D0D">
              <w:t>Projekts šo jomu neskar.</w:t>
            </w:r>
          </w:p>
          <w:p w:rsidR="00DF55C9" w:rsidRPr="004C4D0D" w:rsidRDefault="00DF55C9" w:rsidP="00E231B2">
            <w:pPr>
              <w:jc w:val="both"/>
            </w:pPr>
          </w:p>
          <w:p w:rsidR="00DF55C9" w:rsidRPr="004C4D0D" w:rsidRDefault="00DF55C9" w:rsidP="00DF55C9"/>
          <w:p w:rsidR="00227DE5" w:rsidRPr="004C4D0D" w:rsidRDefault="00DF55C9" w:rsidP="00B445B0">
            <w:pPr>
              <w:tabs>
                <w:tab w:val="left" w:pos="5250"/>
              </w:tabs>
            </w:pPr>
            <w:r w:rsidRPr="004C4D0D">
              <w:tab/>
            </w:r>
          </w:p>
        </w:tc>
      </w:tr>
      <w:tr w:rsidR="007F26BC" w:rsidRPr="004C4D0D" w:rsidTr="00D82FC2">
        <w:trPr>
          <w:cantSplit/>
        </w:trPr>
        <w:tc>
          <w:tcPr>
            <w:tcW w:w="214" w:type="pct"/>
            <w:hideMark/>
          </w:tcPr>
          <w:p w:rsidR="007F26BC" w:rsidRPr="004C4D0D" w:rsidRDefault="007F26BC" w:rsidP="001A46FA">
            <w:pPr>
              <w:jc w:val="center"/>
            </w:pPr>
            <w:r w:rsidRPr="004C4D0D">
              <w:t>3.</w:t>
            </w:r>
          </w:p>
        </w:tc>
        <w:tc>
          <w:tcPr>
            <w:tcW w:w="1102" w:type="pct"/>
            <w:hideMark/>
          </w:tcPr>
          <w:p w:rsidR="007F26BC" w:rsidRPr="004C4D0D" w:rsidRDefault="007F26BC" w:rsidP="00D87590">
            <w:r w:rsidRPr="004C4D0D">
              <w:t>Administratīvo izmaksu monetārs novērtējums</w:t>
            </w:r>
          </w:p>
        </w:tc>
        <w:tc>
          <w:tcPr>
            <w:tcW w:w="3684" w:type="pct"/>
            <w:hideMark/>
          </w:tcPr>
          <w:p w:rsidR="00A05177" w:rsidRPr="004C4D0D" w:rsidRDefault="00A05177" w:rsidP="00A05177">
            <w:r w:rsidRPr="004C4D0D">
              <w:t>Projekts šo jomu neskar.</w:t>
            </w:r>
          </w:p>
          <w:p w:rsidR="007F26BC" w:rsidRPr="004C4D0D" w:rsidRDefault="007F26BC" w:rsidP="003C6FAF">
            <w:pPr>
              <w:jc w:val="both"/>
            </w:pPr>
          </w:p>
        </w:tc>
      </w:tr>
      <w:tr w:rsidR="007F26BC" w:rsidRPr="004C4D0D" w:rsidTr="00D82FC2">
        <w:trPr>
          <w:cantSplit/>
        </w:trPr>
        <w:tc>
          <w:tcPr>
            <w:tcW w:w="214" w:type="pct"/>
            <w:hideMark/>
          </w:tcPr>
          <w:p w:rsidR="007F26BC" w:rsidRPr="004C4D0D" w:rsidRDefault="007F26BC" w:rsidP="001A46FA">
            <w:pPr>
              <w:jc w:val="center"/>
            </w:pPr>
            <w:r w:rsidRPr="004C4D0D">
              <w:t>4.</w:t>
            </w:r>
          </w:p>
        </w:tc>
        <w:tc>
          <w:tcPr>
            <w:tcW w:w="1102" w:type="pct"/>
            <w:hideMark/>
          </w:tcPr>
          <w:p w:rsidR="007F26BC" w:rsidRPr="004C4D0D" w:rsidRDefault="007F26BC" w:rsidP="001A46FA">
            <w:r w:rsidRPr="004C4D0D">
              <w:t>Atbilstības izmaksu monetārs novērtējums</w:t>
            </w:r>
          </w:p>
        </w:tc>
        <w:tc>
          <w:tcPr>
            <w:tcW w:w="3684" w:type="pct"/>
            <w:hideMark/>
          </w:tcPr>
          <w:p w:rsidR="00A05177" w:rsidRPr="004C4D0D" w:rsidRDefault="00A05177" w:rsidP="00A05177">
            <w:r w:rsidRPr="004C4D0D">
              <w:t>Projekts šo jomu neskar.</w:t>
            </w:r>
          </w:p>
          <w:p w:rsidR="007F26BC" w:rsidRPr="004C4D0D" w:rsidRDefault="007F26BC" w:rsidP="001A46FA"/>
        </w:tc>
      </w:tr>
      <w:tr w:rsidR="007F26BC" w:rsidRPr="004C4D0D" w:rsidTr="00D82FC2">
        <w:trPr>
          <w:cantSplit/>
        </w:trPr>
        <w:tc>
          <w:tcPr>
            <w:tcW w:w="214" w:type="pct"/>
            <w:hideMark/>
          </w:tcPr>
          <w:p w:rsidR="007F26BC" w:rsidRPr="004C4D0D" w:rsidRDefault="007F26BC" w:rsidP="001A46FA">
            <w:pPr>
              <w:jc w:val="center"/>
            </w:pPr>
            <w:r w:rsidRPr="004C4D0D">
              <w:t>5.</w:t>
            </w:r>
          </w:p>
        </w:tc>
        <w:tc>
          <w:tcPr>
            <w:tcW w:w="1102" w:type="pct"/>
            <w:hideMark/>
          </w:tcPr>
          <w:p w:rsidR="007F26BC" w:rsidRPr="004C4D0D" w:rsidRDefault="007F26BC" w:rsidP="001A46FA">
            <w:r w:rsidRPr="004C4D0D">
              <w:t>Cita informācija</w:t>
            </w:r>
          </w:p>
        </w:tc>
        <w:tc>
          <w:tcPr>
            <w:tcW w:w="3684" w:type="pct"/>
            <w:hideMark/>
          </w:tcPr>
          <w:p w:rsidR="007F26BC" w:rsidRPr="004C4D0D" w:rsidRDefault="00A05177" w:rsidP="001A46FA">
            <w:r w:rsidRPr="004C4D0D">
              <w:t>Nav.</w:t>
            </w:r>
          </w:p>
        </w:tc>
      </w:tr>
      <w:tr w:rsidR="00A05177" w:rsidRPr="004C4D0D" w:rsidTr="00D82FC2">
        <w:trPr>
          <w:cantSplit/>
        </w:trPr>
        <w:tc>
          <w:tcPr>
            <w:tcW w:w="5000" w:type="pct"/>
            <w:gridSpan w:val="3"/>
          </w:tcPr>
          <w:p w:rsidR="00A05177" w:rsidRPr="004C4D0D" w:rsidRDefault="00A05177" w:rsidP="001A46FA"/>
        </w:tc>
      </w:tr>
      <w:tr w:rsidR="00A05177" w:rsidRPr="004C4D0D" w:rsidTr="00D82FC2">
        <w:tblPrEx>
          <w:tblCellSpacing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28" w:type="dxa"/>
            <w:bottom w:w="28" w:type="dxa"/>
            <w:right w:w="28" w:type="dxa"/>
          </w:tblCellMar>
        </w:tblPrEx>
        <w:trPr>
          <w:cantSplit/>
          <w:tblCellSpacing w:w="20" w:type="dxa"/>
        </w:trPr>
        <w:tc>
          <w:tcPr>
            <w:tcW w:w="5000" w:type="pct"/>
            <w:gridSpan w:val="3"/>
            <w:shd w:val="clear" w:color="auto" w:fill="auto"/>
            <w:vAlign w:val="center"/>
          </w:tcPr>
          <w:tbl>
            <w:tblPr>
              <w:tblW w:w="5301"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0310"/>
            </w:tblGrid>
            <w:tr w:rsidR="00A05177" w:rsidRPr="004C4D0D" w:rsidTr="00A05177">
              <w:tc>
                <w:tcPr>
                  <w:tcW w:w="5000" w:type="pct"/>
                  <w:tcBorders>
                    <w:top w:val="outset" w:sz="6" w:space="0" w:color="414142"/>
                    <w:left w:val="outset" w:sz="6" w:space="0" w:color="414142"/>
                    <w:bottom w:val="outset" w:sz="6" w:space="0" w:color="414142"/>
                    <w:right w:val="outset" w:sz="6" w:space="0" w:color="414142"/>
                  </w:tcBorders>
                  <w:vAlign w:val="center"/>
                  <w:hideMark/>
                </w:tcPr>
                <w:p w:rsidR="00A05177" w:rsidRPr="004C4D0D" w:rsidRDefault="00A05177">
                  <w:pPr>
                    <w:rPr>
                      <w:b/>
                      <w:bCs/>
                      <w:lang w:eastAsia="en-US"/>
                    </w:rPr>
                  </w:pPr>
                  <w:r w:rsidRPr="004C4D0D">
                    <w:rPr>
                      <w:b/>
                      <w:bCs/>
                    </w:rPr>
                    <w:t>III. Tiesību akta projekta ietekme uz valsts budžetu un pašvaldību budžetiem</w:t>
                  </w:r>
                </w:p>
              </w:tc>
            </w:tr>
            <w:tr w:rsidR="00A05177" w:rsidRPr="004C4D0D" w:rsidTr="00A05177">
              <w:tc>
                <w:tcPr>
                  <w:tcW w:w="5000" w:type="pct"/>
                  <w:tcBorders>
                    <w:top w:val="outset" w:sz="6" w:space="0" w:color="414142"/>
                    <w:left w:val="outset" w:sz="6" w:space="0" w:color="414142"/>
                    <w:bottom w:val="outset" w:sz="6" w:space="0" w:color="414142"/>
                    <w:right w:val="outset" w:sz="6" w:space="0" w:color="414142"/>
                  </w:tcBorders>
                  <w:vAlign w:val="center"/>
                  <w:hideMark/>
                </w:tcPr>
                <w:p w:rsidR="00A05177" w:rsidRPr="004C4D0D" w:rsidRDefault="00A05177">
                  <w:pPr>
                    <w:jc w:val="center"/>
                    <w:rPr>
                      <w:lang w:eastAsia="en-US"/>
                    </w:rPr>
                  </w:pPr>
                  <w:r w:rsidRPr="004C4D0D">
                    <w:t>Projekts šo jomu neskar.</w:t>
                  </w:r>
                </w:p>
              </w:tc>
            </w:tr>
          </w:tbl>
          <w:p w:rsidR="00A05177" w:rsidRPr="004C4D0D" w:rsidRDefault="00A05177" w:rsidP="001A46FA">
            <w:pPr>
              <w:jc w:val="center"/>
              <w:rPr>
                <w:b/>
                <w:bCs/>
              </w:rPr>
            </w:pPr>
          </w:p>
        </w:tc>
      </w:tr>
    </w:tbl>
    <w:tbl>
      <w:tblPr>
        <w:tblpPr w:leftFromText="180" w:rightFromText="180" w:vertAnchor="text" w:horzAnchor="margin" w:tblpX="2" w:tblpY="167"/>
        <w:tblW w:w="544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629"/>
        <w:gridCol w:w="1660"/>
        <w:gridCol w:w="7653"/>
      </w:tblGrid>
      <w:tr w:rsidR="00D82FC2" w:rsidRPr="004C4D0D" w:rsidTr="005E1127">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tcPr>
          <w:p w:rsidR="00D82FC2" w:rsidRPr="004C4D0D" w:rsidRDefault="00D82FC2" w:rsidP="005E1127">
            <w:pPr>
              <w:spacing w:before="100" w:beforeAutospacing="1" w:after="100" w:afterAutospacing="1" w:line="293" w:lineRule="atLeast"/>
              <w:jc w:val="center"/>
              <w:rPr>
                <w:b/>
                <w:bCs/>
              </w:rPr>
            </w:pPr>
            <w:r w:rsidRPr="004C4D0D">
              <w:rPr>
                <w:b/>
                <w:bCs/>
              </w:rPr>
              <w:t>IV. Tiesību akta projekta ietekme uz spēkā esošo tiesību normu sistēmu</w:t>
            </w:r>
          </w:p>
        </w:tc>
      </w:tr>
      <w:tr w:rsidR="00D82FC2" w:rsidRPr="004C4D0D" w:rsidTr="005E1127">
        <w:trPr>
          <w:trHeight w:val="420"/>
        </w:trPr>
        <w:tc>
          <w:tcPr>
            <w:tcW w:w="316" w:type="pct"/>
            <w:tcBorders>
              <w:top w:val="outset" w:sz="6" w:space="0" w:color="414142"/>
              <w:left w:val="outset" w:sz="6" w:space="0" w:color="414142"/>
              <w:bottom w:val="outset" w:sz="6" w:space="0" w:color="414142"/>
              <w:right w:val="outset" w:sz="6" w:space="0" w:color="414142"/>
            </w:tcBorders>
          </w:tcPr>
          <w:p w:rsidR="00D82FC2" w:rsidRPr="004C4D0D" w:rsidRDefault="00D82FC2" w:rsidP="005E1127">
            <w:pPr>
              <w:jc w:val="center"/>
            </w:pPr>
            <w:r w:rsidRPr="004C4D0D">
              <w:t>1.</w:t>
            </w:r>
          </w:p>
        </w:tc>
        <w:tc>
          <w:tcPr>
            <w:tcW w:w="835" w:type="pct"/>
            <w:tcBorders>
              <w:top w:val="outset" w:sz="6" w:space="0" w:color="414142"/>
              <w:left w:val="outset" w:sz="6" w:space="0" w:color="414142"/>
              <w:bottom w:val="outset" w:sz="6" w:space="0" w:color="414142"/>
              <w:right w:val="outset" w:sz="6" w:space="0" w:color="414142"/>
            </w:tcBorders>
          </w:tcPr>
          <w:p w:rsidR="00D82FC2" w:rsidRPr="004C4D0D" w:rsidRDefault="00D82FC2" w:rsidP="005E1127">
            <w:r w:rsidRPr="004C4D0D">
              <w:t>Saistītie tiesību</w:t>
            </w:r>
          </w:p>
          <w:p w:rsidR="00D82FC2" w:rsidRPr="004C4D0D" w:rsidRDefault="00D82FC2" w:rsidP="005E1127">
            <w:r w:rsidRPr="004C4D0D">
              <w:t>aktu projekti</w:t>
            </w:r>
          </w:p>
        </w:tc>
        <w:tc>
          <w:tcPr>
            <w:tcW w:w="3848" w:type="pct"/>
            <w:tcBorders>
              <w:top w:val="outset" w:sz="6" w:space="0" w:color="414142"/>
              <w:left w:val="outset" w:sz="6" w:space="0" w:color="414142"/>
              <w:bottom w:val="outset" w:sz="6" w:space="0" w:color="414142"/>
              <w:right w:val="outset" w:sz="6" w:space="0" w:color="414142"/>
            </w:tcBorders>
          </w:tcPr>
          <w:p w:rsidR="00E97647" w:rsidRPr="004C4D0D" w:rsidRDefault="00E97647" w:rsidP="00E42C29">
            <w:pPr>
              <w:jc w:val="both"/>
            </w:pPr>
            <w:r w:rsidRPr="004C4D0D">
              <w:t>Virzot Likumprojektu ir nepieciešams izstrādāt grozījumus Ministru kabineta 2014.gada 9.decembra noteikumos Nr.757</w:t>
            </w:r>
            <w:r w:rsidR="004C4D0D" w:rsidRPr="004C4D0D">
              <w:t xml:space="preserve"> “</w:t>
            </w:r>
            <w:r w:rsidR="004C4D0D" w:rsidRPr="004C4D0D">
              <w:rPr>
                <w:bCs/>
                <w:color w:val="414142"/>
                <w:shd w:val="clear" w:color="auto" w:fill="FFFFFF"/>
              </w:rPr>
              <w:t xml:space="preserve">Apsardzes darbības licencēšanas </w:t>
            </w:r>
            <w:r w:rsidR="004C4D0D" w:rsidRPr="004C4D0D">
              <w:rPr>
                <w:bCs/>
                <w:color w:val="414142"/>
                <w:shd w:val="clear" w:color="auto" w:fill="FFFFFF"/>
              </w:rPr>
              <w:lastRenderedPageBreak/>
              <w:t>noteikumi</w:t>
            </w:r>
            <w:r w:rsidR="004C4D0D" w:rsidRPr="004C4D0D">
              <w:rPr>
                <w:bCs/>
                <w:color w:val="414142"/>
                <w:shd w:val="clear" w:color="auto" w:fill="FFFFFF"/>
              </w:rPr>
              <w:t>”</w:t>
            </w:r>
            <w:r w:rsidRPr="004C4D0D">
              <w:t xml:space="preserve">, lai precizētu tiesību normas atbilstoši Likumprojekta </w:t>
            </w:r>
            <w:r w:rsidR="00E42C29">
              <w:t>3</w:t>
            </w:r>
            <w:r w:rsidRPr="004C4D0D">
              <w:t>.pant</w:t>
            </w:r>
            <w:r w:rsidR="00E42C29">
              <w:t>ā piedāvātajai Apsardzes darbības likuma 7.panta pirmās daļas jaunajai redakcijai</w:t>
            </w:r>
            <w:bookmarkStart w:id="0" w:name="_GoBack"/>
            <w:bookmarkEnd w:id="0"/>
            <w:r w:rsidRPr="004C4D0D">
              <w:t>.</w:t>
            </w:r>
          </w:p>
        </w:tc>
      </w:tr>
      <w:tr w:rsidR="00D82FC2" w:rsidRPr="004C4D0D" w:rsidTr="005E1127">
        <w:trPr>
          <w:trHeight w:val="450"/>
        </w:trPr>
        <w:tc>
          <w:tcPr>
            <w:tcW w:w="316" w:type="pct"/>
            <w:tcBorders>
              <w:top w:val="outset" w:sz="6" w:space="0" w:color="414142"/>
              <w:left w:val="outset" w:sz="6" w:space="0" w:color="414142"/>
              <w:bottom w:val="outset" w:sz="6" w:space="0" w:color="414142"/>
              <w:right w:val="outset" w:sz="6" w:space="0" w:color="414142"/>
            </w:tcBorders>
          </w:tcPr>
          <w:p w:rsidR="00D82FC2" w:rsidRPr="004C4D0D" w:rsidRDefault="00D82FC2" w:rsidP="005E1127">
            <w:pPr>
              <w:jc w:val="center"/>
            </w:pPr>
            <w:r w:rsidRPr="004C4D0D">
              <w:lastRenderedPageBreak/>
              <w:t>2.</w:t>
            </w:r>
          </w:p>
        </w:tc>
        <w:tc>
          <w:tcPr>
            <w:tcW w:w="835" w:type="pct"/>
            <w:tcBorders>
              <w:top w:val="outset" w:sz="6" w:space="0" w:color="414142"/>
              <w:left w:val="outset" w:sz="6" w:space="0" w:color="414142"/>
              <w:bottom w:val="outset" w:sz="6" w:space="0" w:color="414142"/>
              <w:right w:val="outset" w:sz="6" w:space="0" w:color="414142"/>
            </w:tcBorders>
          </w:tcPr>
          <w:p w:rsidR="00D82FC2" w:rsidRPr="004C4D0D" w:rsidRDefault="00D82FC2" w:rsidP="005E1127">
            <w:r w:rsidRPr="004C4D0D">
              <w:t>Atbildīgā institūcija</w:t>
            </w:r>
          </w:p>
        </w:tc>
        <w:tc>
          <w:tcPr>
            <w:tcW w:w="3848" w:type="pct"/>
            <w:tcBorders>
              <w:top w:val="outset" w:sz="6" w:space="0" w:color="414142"/>
              <w:left w:val="outset" w:sz="6" w:space="0" w:color="414142"/>
              <w:bottom w:val="outset" w:sz="6" w:space="0" w:color="414142"/>
              <w:right w:val="outset" w:sz="6" w:space="0" w:color="414142"/>
            </w:tcBorders>
          </w:tcPr>
          <w:p w:rsidR="00D82FC2" w:rsidRPr="004C4D0D" w:rsidRDefault="005E1127" w:rsidP="005E1127">
            <w:r w:rsidRPr="004C4D0D">
              <w:t>Valsts policija</w:t>
            </w:r>
            <w:r w:rsidR="00D82FC2" w:rsidRPr="004C4D0D">
              <w:t>.</w:t>
            </w:r>
          </w:p>
        </w:tc>
      </w:tr>
      <w:tr w:rsidR="00D82FC2" w:rsidRPr="004C4D0D" w:rsidTr="005E1127">
        <w:trPr>
          <w:trHeight w:val="390"/>
        </w:trPr>
        <w:tc>
          <w:tcPr>
            <w:tcW w:w="316" w:type="pct"/>
            <w:tcBorders>
              <w:top w:val="outset" w:sz="6" w:space="0" w:color="414142"/>
              <w:left w:val="outset" w:sz="6" w:space="0" w:color="414142"/>
              <w:bottom w:val="outset" w:sz="6" w:space="0" w:color="414142"/>
              <w:right w:val="outset" w:sz="6" w:space="0" w:color="414142"/>
            </w:tcBorders>
          </w:tcPr>
          <w:p w:rsidR="00D82FC2" w:rsidRPr="004C4D0D" w:rsidRDefault="00D82FC2" w:rsidP="005E1127">
            <w:pPr>
              <w:jc w:val="center"/>
            </w:pPr>
            <w:r w:rsidRPr="004C4D0D">
              <w:t>3.</w:t>
            </w:r>
          </w:p>
        </w:tc>
        <w:tc>
          <w:tcPr>
            <w:tcW w:w="835" w:type="pct"/>
            <w:tcBorders>
              <w:top w:val="outset" w:sz="6" w:space="0" w:color="414142"/>
              <w:left w:val="outset" w:sz="6" w:space="0" w:color="414142"/>
              <w:bottom w:val="outset" w:sz="6" w:space="0" w:color="414142"/>
              <w:right w:val="outset" w:sz="6" w:space="0" w:color="414142"/>
            </w:tcBorders>
          </w:tcPr>
          <w:p w:rsidR="00D82FC2" w:rsidRPr="004C4D0D" w:rsidRDefault="00D82FC2" w:rsidP="005E1127">
            <w:r w:rsidRPr="004C4D0D">
              <w:t>Cita informācija</w:t>
            </w:r>
          </w:p>
        </w:tc>
        <w:tc>
          <w:tcPr>
            <w:tcW w:w="3848" w:type="pct"/>
            <w:tcBorders>
              <w:top w:val="outset" w:sz="6" w:space="0" w:color="414142"/>
              <w:left w:val="outset" w:sz="6" w:space="0" w:color="414142"/>
              <w:bottom w:val="outset" w:sz="6" w:space="0" w:color="414142"/>
              <w:right w:val="outset" w:sz="6" w:space="0" w:color="414142"/>
            </w:tcBorders>
          </w:tcPr>
          <w:p w:rsidR="00D82FC2" w:rsidRPr="004C4D0D" w:rsidRDefault="005E1127" w:rsidP="005E1127">
            <w:pPr>
              <w:spacing w:line="293" w:lineRule="atLeast"/>
              <w:jc w:val="both"/>
            </w:pPr>
            <w:r w:rsidRPr="004C4D0D">
              <w:t>Nav.</w:t>
            </w:r>
          </w:p>
        </w:tc>
      </w:tr>
    </w:tbl>
    <w:p w:rsidR="00D82FC2" w:rsidRPr="004C4D0D" w:rsidRDefault="00D82FC2"/>
    <w:tbl>
      <w:tblPr>
        <w:tblW w:w="544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938"/>
      </w:tblGrid>
      <w:tr w:rsidR="00D82FC2" w:rsidRPr="004C4D0D" w:rsidTr="005E1127">
        <w:trPr>
          <w:cantSplit/>
        </w:trPr>
        <w:tc>
          <w:tcPr>
            <w:tcW w:w="5000" w:type="pct"/>
            <w:vAlign w:val="center"/>
            <w:hideMark/>
          </w:tcPr>
          <w:p w:rsidR="00D82FC2" w:rsidRPr="004C4D0D" w:rsidRDefault="00D82FC2" w:rsidP="000006C1">
            <w:pPr>
              <w:jc w:val="center"/>
              <w:rPr>
                <w:b/>
                <w:bCs/>
              </w:rPr>
            </w:pPr>
            <w:r w:rsidRPr="004C4D0D">
              <w:rPr>
                <w:b/>
                <w:bCs/>
              </w:rPr>
              <w:t>V. Tiesību akta projekta atbilstība Latvijas Republikas starptautiskajām saistībām</w:t>
            </w:r>
          </w:p>
        </w:tc>
      </w:tr>
      <w:tr w:rsidR="00D82FC2" w:rsidRPr="004C4D0D" w:rsidTr="005E1127">
        <w:trPr>
          <w:cantSplit/>
          <w:trHeight w:val="162"/>
        </w:trPr>
        <w:tc>
          <w:tcPr>
            <w:tcW w:w="5000" w:type="pct"/>
          </w:tcPr>
          <w:p w:rsidR="00D82FC2" w:rsidRPr="004C4D0D" w:rsidRDefault="00D82FC2" w:rsidP="000006C1">
            <w:pPr>
              <w:tabs>
                <w:tab w:val="left" w:pos="3203"/>
                <w:tab w:val="center" w:pos="4535"/>
              </w:tabs>
            </w:pPr>
            <w:r w:rsidRPr="004C4D0D">
              <w:tab/>
            </w:r>
            <w:r w:rsidRPr="004C4D0D">
              <w:tab/>
              <w:t>Projekts šo jomu neskar.</w:t>
            </w:r>
          </w:p>
        </w:tc>
      </w:tr>
    </w:tbl>
    <w:p w:rsidR="00D82FC2" w:rsidRPr="004C4D0D" w:rsidRDefault="00D82FC2"/>
    <w:tbl>
      <w:tblPr>
        <w:tblW w:w="531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9"/>
        <w:gridCol w:w="2742"/>
        <w:gridCol w:w="6399"/>
      </w:tblGrid>
      <w:tr w:rsidR="007F26BC" w:rsidRPr="004C4D0D" w:rsidTr="00E35110">
        <w:trPr>
          <w:cantSplit/>
        </w:trPr>
        <w:tc>
          <w:tcPr>
            <w:tcW w:w="5000" w:type="pct"/>
            <w:gridSpan w:val="3"/>
            <w:vAlign w:val="center"/>
            <w:hideMark/>
          </w:tcPr>
          <w:p w:rsidR="007F26BC" w:rsidRPr="004C4D0D" w:rsidRDefault="007F26BC" w:rsidP="001A46FA">
            <w:pPr>
              <w:jc w:val="center"/>
              <w:rPr>
                <w:b/>
                <w:bCs/>
              </w:rPr>
            </w:pPr>
            <w:r w:rsidRPr="004C4D0D">
              <w:rPr>
                <w:b/>
                <w:bCs/>
              </w:rPr>
              <w:t>VI. Sabiedrības līdzdalība un komunikācijas aktivitātes</w:t>
            </w:r>
          </w:p>
        </w:tc>
      </w:tr>
      <w:tr w:rsidR="008573E8" w:rsidRPr="004C4D0D" w:rsidTr="00E35110">
        <w:trPr>
          <w:cantSplit/>
        </w:trPr>
        <w:tc>
          <w:tcPr>
            <w:tcW w:w="293" w:type="pct"/>
            <w:hideMark/>
          </w:tcPr>
          <w:p w:rsidR="007F26BC" w:rsidRPr="004C4D0D" w:rsidRDefault="007F26BC" w:rsidP="001A46FA">
            <w:pPr>
              <w:jc w:val="center"/>
            </w:pPr>
            <w:r w:rsidRPr="004C4D0D">
              <w:t>1.</w:t>
            </w:r>
          </w:p>
        </w:tc>
        <w:tc>
          <w:tcPr>
            <w:tcW w:w="1412" w:type="pct"/>
            <w:hideMark/>
          </w:tcPr>
          <w:p w:rsidR="007F26BC" w:rsidRPr="004C4D0D" w:rsidRDefault="007F26BC" w:rsidP="001A46FA">
            <w:r w:rsidRPr="004C4D0D">
              <w:t>Plānotās sabiedrības līdzdalības un komunikācijas aktivitātes saistībā ar projektu</w:t>
            </w:r>
          </w:p>
        </w:tc>
        <w:tc>
          <w:tcPr>
            <w:tcW w:w="3295" w:type="pct"/>
            <w:hideMark/>
          </w:tcPr>
          <w:p w:rsidR="007F26BC" w:rsidRPr="004C4D0D" w:rsidRDefault="001D7637" w:rsidP="001D7637">
            <w:pPr>
              <w:jc w:val="both"/>
            </w:pPr>
            <w:r w:rsidRPr="004C4D0D">
              <w:rPr>
                <w:color w:val="000000" w:themeColor="text1"/>
              </w:rPr>
              <w:t>Par projektu informēta sabiedrība, informāciju publicējot Iekšlietu ministrijas un Ministru kabineta tīmekļvietnēs.</w:t>
            </w:r>
          </w:p>
        </w:tc>
      </w:tr>
      <w:tr w:rsidR="008573E8" w:rsidRPr="004C4D0D" w:rsidTr="00E35110">
        <w:trPr>
          <w:cantSplit/>
        </w:trPr>
        <w:tc>
          <w:tcPr>
            <w:tcW w:w="293" w:type="pct"/>
            <w:hideMark/>
          </w:tcPr>
          <w:p w:rsidR="007F26BC" w:rsidRPr="004C4D0D" w:rsidRDefault="007F26BC" w:rsidP="001A46FA">
            <w:pPr>
              <w:jc w:val="center"/>
            </w:pPr>
            <w:r w:rsidRPr="004C4D0D">
              <w:t>2.</w:t>
            </w:r>
          </w:p>
        </w:tc>
        <w:tc>
          <w:tcPr>
            <w:tcW w:w="1412" w:type="pct"/>
            <w:hideMark/>
          </w:tcPr>
          <w:p w:rsidR="007F26BC" w:rsidRPr="004C4D0D" w:rsidRDefault="007F26BC" w:rsidP="001A46FA">
            <w:r w:rsidRPr="004C4D0D">
              <w:t>Sabiedrības līdzdalība projekta izstrādē</w:t>
            </w:r>
          </w:p>
        </w:tc>
        <w:tc>
          <w:tcPr>
            <w:tcW w:w="3295" w:type="pct"/>
            <w:hideMark/>
          </w:tcPr>
          <w:p w:rsidR="001D7637" w:rsidRPr="004C4D0D" w:rsidRDefault="001D7637" w:rsidP="001D7637">
            <w:pPr>
              <w:jc w:val="both"/>
              <w:rPr>
                <w:rFonts w:eastAsia="Calibri"/>
              </w:rPr>
            </w:pPr>
            <w:r w:rsidRPr="004C4D0D">
              <w:rPr>
                <w:rFonts w:eastAsia="Calibri"/>
              </w:rPr>
              <w:t>Projekts publicēts:</w:t>
            </w:r>
          </w:p>
          <w:p w:rsidR="001D7637" w:rsidRPr="004C4D0D" w:rsidRDefault="001D7637" w:rsidP="001D7637">
            <w:pPr>
              <w:jc w:val="both"/>
              <w:rPr>
                <w:rFonts w:eastAsia="Calibri"/>
              </w:rPr>
            </w:pPr>
            <w:r w:rsidRPr="004C4D0D">
              <w:rPr>
                <w:rFonts w:eastAsia="Calibri"/>
              </w:rPr>
              <w:t xml:space="preserve">1) Iekšlietu ministrijas tīmekļvietnē, adrese: </w:t>
            </w:r>
            <w:hyperlink r:id="rId9" w:history="1">
              <w:r w:rsidRPr="004C4D0D">
                <w:rPr>
                  <w:rStyle w:val="Hipersaite"/>
                  <w:rFonts w:eastAsia="Calibri"/>
                  <w:u w:val="none"/>
                </w:rPr>
                <w:t>http://www.iem.gov.lv/lat/sadarbiba_ar_nvo/diskusiju_dokumenti/</w:t>
              </w:r>
            </w:hyperlink>
          </w:p>
          <w:p w:rsidR="001D7637" w:rsidRPr="004C4D0D" w:rsidRDefault="001D7637" w:rsidP="001D7637">
            <w:pPr>
              <w:jc w:val="both"/>
              <w:rPr>
                <w:rFonts w:eastAsia="Calibri"/>
              </w:rPr>
            </w:pPr>
            <w:r w:rsidRPr="004C4D0D">
              <w:rPr>
                <w:rFonts w:eastAsia="Calibri"/>
              </w:rPr>
              <w:t xml:space="preserve">2) Ministru kabineta tīmekļvietnē, adrese: </w:t>
            </w:r>
            <w:hyperlink r:id="rId10" w:history="1">
              <w:r w:rsidRPr="004C4D0D">
                <w:rPr>
                  <w:rStyle w:val="Hipersaite"/>
                  <w:rFonts w:eastAsia="Calibri"/>
                  <w:u w:val="none"/>
                </w:rPr>
                <w:t>http://www.mk.gov.lv/content/ministru-kabineta-diskusiju-dokumenti</w:t>
              </w:r>
            </w:hyperlink>
          </w:p>
          <w:p w:rsidR="007F26BC" w:rsidRPr="004C4D0D" w:rsidRDefault="001D7637" w:rsidP="00A338AD">
            <w:pPr>
              <w:jc w:val="both"/>
              <w:rPr>
                <w:color w:val="000000"/>
              </w:rPr>
            </w:pPr>
            <w:r w:rsidRPr="004C4D0D">
              <w:rPr>
                <w:rFonts w:eastAsia="Calibri"/>
                <w:color w:val="000000" w:themeColor="text1"/>
              </w:rPr>
              <w:t xml:space="preserve">Sabiedrības </w:t>
            </w:r>
            <w:r w:rsidRPr="004C4D0D">
              <w:rPr>
                <w:rFonts w:eastAsia="Calibri"/>
              </w:rPr>
              <w:t>pārstāvjiem tika dota iespēja līdzdarboties projekta izstrādē, rakstveidā sniedzot viedokli par projektu līdz 2019.gada 3.maijam</w:t>
            </w:r>
            <w:r w:rsidRPr="004C4D0D">
              <w:rPr>
                <w:color w:val="000000"/>
              </w:rPr>
              <w:t>.</w:t>
            </w:r>
          </w:p>
        </w:tc>
      </w:tr>
      <w:tr w:rsidR="008573E8" w:rsidRPr="004C4D0D" w:rsidTr="00E35110">
        <w:trPr>
          <w:cantSplit/>
        </w:trPr>
        <w:tc>
          <w:tcPr>
            <w:tcW w:w="293" w:type="pct"/>
            <w:hideMark/>
          </w:tcPr>
          <w:p w:rsidR="007F26BC" w:rsidRPr="004C4D0D" w:rsidRDefault="007F26BC" w:rsidP="001A46FA">
            <w:pPr>
              <w:jc w:val="center"/>
            </w:pPr>
            <w:r w:rsidRPr="004C4D0D">
              <w:t>3.</w:t>
            </w:r>
          </w:p>
        </w:tc>
        <w:tc>
          <w:tcPr>
            <w:tcW w:w="1412" w:type="pct"/>
            <w:hideMark/>
          </w:tcPr>
          <w:p w:rsidR="007F26BC" w:rsidRPr="004C4D0D" w:rsidRDefault="007F26BC" w:rsidP="001A46FA">
            <w:r w:rsidRPr="004C4D0D">
              <w:t>Sabiedrības līdzdalības rezultāti</w:t>
            </w:r>
          </w:p>
        </w:tc>
        <w:tc>
          <w:tcPr>
            <w:tcW w:w="3295" w:type="pct"/>
            <w:hideMark/>
          </w:tcPr>
          <w:p w:rsidR="007F26BC" w:rsidRPr="004C4D0D" w:rsidRDefault="001D7637" w:rsidP="001A46FA">
            <w:pPr>
              <w:rPr>
                <w:i/>
              </w:rPr>
            </w:pPr>
            <w:r w:rsidRPr="004C4D0D">
              <w:rPr>
                <w:color w:val="000000"/>
              </w:rPr>
              <w:t xml:space="preserve">Viedokļi par projektu </w:t>
            </w:r>
            <w:r w:rsidRPr="004C4D0D">
              <w:t>noteiktajā laika periodā netika sniegti.</w:t>
            </w:r>
          </w:p>
        </w:tc>
      </w:tr>
      <w:tr w:rsidR="008573E8" w:rsidRPr="004C4D0D" w:rsidTr="00E35110">
        <w:trPr>
          <w:cantSplit/>
        </w:trPr>
        <w:tc>
          <w:tcPr>
            <w:tcW w:w="293" w:type="pct"/>
            <w:hideMark/>
          </w:tcPr>
          <w:p w:rsidR="007F26BC" w:rsidRPr="004C4D0D" w:rsidRDefault="007F26BC" w:rsidP="001A46FA">
            <w:pPr>
              <w:jc w:val="center"/>
            </w:pPr>
            <w:r w:rsidRPr="004C4D0D">
              <w:t>4.</w:t>
            </w:r>
          </w:p>
        </w:tc>
        <w:tc>
          <w:tcPr>
            <w:tcW w:w="1412" w:type="pct"/>
            <w:hideMark/>
          </w:tcPr>
          <w:p w:rsidR="007F26BC" w:rsidRPr="004C4D0D" w:rsidRDefault="007F26BC" w:rsidP="001A46FA">
            <w:r w:rsidRPr="004C4D0D">
              <w:t>Cita informācija</w:t>
            </w:r>
          </w:p>
        </w:tc>
        <w:tc>
          <w:tcPr>
            <w:tcW w:w="3295" w:type="pct"/>
            <w:hideMark/>
          </w:tcPr>
          <w:p w:rsidR="007F26BC" w:rsidRPr="004C4D0D" w:rsidRDefault="009D3888" w:rsidP="001A46FA">
            <w:r w:rsidRPr="004C4D0D">
              <w:t>Nav.</w:t>
            </w:r>
          </w:p>
        </w:tc>
      </w:tr>
      <w:tr w:rsidR="007F26BC" w:rsidRPr="004C4D0D" w:rsidTr="00E35110">
        <w:trPr>
          <w:cantSplit/>
        </w:trPr>
        <w:tc>
          <w:tcPr>
            <w:tcW w:w="5000" w:type="pct"/>
            <w:gridSpan w:val="3"/>
            <w:vAlign w:val="center"/>
            <w:hideMark/>
          </w:tcPr>
          <w:p w:rsidR="007F26BC" w:rsidRPr="004C4D0D" w:rsidRDefault="007F26BC" w:rsidP="001A46FA">
            <w:pPr>
              <w:jc w:val="center"/>
              <w:rPr>
                <w:b/>
                <w:bCs/>
              </w:rPr>
            </w:pPr>
            <w:r w:rsidRPr="004C4D0D">
              <w:rPr>
                <w:b/>
                <w:bCs/>
              </w:rPr>
              <w:t>VII. Tiesību akta projekta izpildes nodrošināšana un tās ietekme uz institūcijām</w:t>
            </w:r>
          </w:p>
        </w:tc>
      </w:tr>
      <w:tr w:rsidR="008573E8" w:rsidRPr="004C4D0D" w:rsidTr="00E35110">
        <w:trPr>
          <w:cantSplit/>
        </w:trPr>
        <w:tc>
          <w:tcPr>
            <w:tcW w:w="293" w:type="pct"/>
            <w:hideMark/>
          </w:tcPr>
          <w:p w:rsidR="007F26BC" w:rsidRPr="004C4D0D" w:rsidRDefault="007F26BC" w:rsidP="001A46FA">
            <w:pPr>
              <w:jc w:val="center"/>
            </w:pPr>
            <w:r w:rsidRPr="004C4D0D">
              <w:t>1.</w:t>
            </w:r>
          </w:p>
        </w:tc>
        <w:tc>
          <w:tcPr>
            <w:tcW w:w="1412" w:type="pct"/>
            <w:hideMark/>
          </w:tcPr>
          <w:p w:rsidR="007F26BC" w:rsidRPr="004C4D0D" w:rsidRDefault="007F26BC" w:rsidP="001A46FA">
            <w:r w:rsidRPr="004C4D0D">
              <w:t>Projekta izpildē iesaistītās institūcijas</w:t>
            </w:r>
          </w:p>
        </w:tc>
        <w:tc>
          <w:tcPr>
            <w:tcW w:w="3295" w:type="pct"/>
            <w:hideMark/>
          </w:tcPr>
          <w:p w:rsidR="007F26BC" w:rsidRPr="004C4D0D" w:rsidRDefault="00227DE5" w:rsidP="00D805B1">
            <w:r w:rsidRPr="004C4D0D">
              <w:t xml:space="preserve"> Valsts policija</w:t>
            </w:r>
            <w:r w:rsidR="00E231B2" w:rsidRPr="004C4D0D">
              <w:t>.</w:t>
            </w:r>
          </w:p>
        </w:tc>
      </w:tr>
      <w:tr w:rsidR="008573E8" w:rsidRPr="004C4D0D" w:rsidTr="00E35110">
        <w:trPr>
          <w:cantSplit/>
        </w:trPr>
        <w:tc>
          <w:tcPr>
            <w:tcW w:w="293" w:type="pct"/>
            <w:hideMark/>
          </w:tcPr>
          <w:p w:rsidR="007F26BC" w:rsidRPr="004C4D0D" w:rsidRDefault="007F26BC" w:rsidP="001A46FA">
            <w:pPr>
              <w:jc w:val="center"/>
            </w:pPr>
            <w:r w:rsidRPr="004C4D0D">
              <w:t>2.</w:t>
            </w:r>
          </w:p>
        </w:tc>
        <w:tc>
          <w:tcPr>
            <w:tcW w:w="1412" w:type="pct"/>
            <w:hideMark/>
          </w:tcPr>
          <w:p w:rsidR="007F26BC" w:rsidRPr="004C4D0D" w:rsidRDefault="007F26BC" w:rsidP="001A46FA">
            <w:r w:rsidRPr="004C4D0D">
              <w:t>Projekta izpildes ietekme uz pārvaldes funkcijām un institucionālo struktūru.</w:t>
            </w:r>
            <w:r w:rsidRPr="004C4D0D">
              <w:br/>
              <w:t>Jaunu institūciju izveide, esošu institūciju likvidācija vai reorganizācija, to ietekme uz institūcijas cilvēkresursiem</w:t>
            </w:r>
          </w:p>
        </w:tc>
        <w:tc>
          <w:tcPr>
            <w:tcW w:w="3295" w:type="pct"/>
            <w:hideMark/>
          </w:tcPr>
          <w:p w:rsidR="00227DE5" w:rsidRPr="004C4D0D" w:rsidRDefault="00227DE5" w:rsidP="00227DE5">
            <w:pPr>
              <w:jc w:val="both"/>
            </w:pPr>
            <w:r w:rsidRPr="004C4D0D">
              <w:t>Ar Likumprojektu jaunas funkcijas un uzdevumi netiek radīti.</w:t>
            </w:r>
          </w:p>
          <w:p w:rsidR="00227DE5" w:rsidRPr="004C4D0D" w:rsidRDefault="00227DE5" w:rsidP="00227DE5">
            <w:pPr>
              <w:jc w:val="both"/>
            </w:pPr>
            <w:r w:rsidRPr="004C4D0D">
              <w:t>Jaunas institūcijas netiek veidotas.</w:t>
            </w:r>
          </w:p>
          <w:p w:rsidR="007F26BC" w:rsidRPr="004C4D0D" w:rsidRDefault="007F26BC" w:rsidP="00227DE5">
            <w:pPr>
              <w:jc w:val="both"/>
            </w:pPr>
          </w:p>
        </w:tc>
      </w:tr>
      <w:tr w:rsidR="008573E8" w:rsidRPr="004C4D0D" w:rsidTr="00E35110">
        <w:trPr>
          <w:cantSplit/>
        </w:trPr>
        <w:tc>
          <w:tcPr>
            <w:tcW w:w="293" w:type="pct"/>
            <w:hideMark/>
          </w:tcPr>
          <w:p w:rsidR="007F26BC" w:rsidRPr="004C4D0D" w:rsidRDefault="007F26BC" w:rsidP="001A46FA">
            <w:pPr>
              <w:jc w:val="center"/>
            </w:pPr>
            <w:r w:rsidRPr="004C4D0D">
              <w:t>3.</w:t>
            </w:r>
          </w:p>
        </w:tc>
        <w:tc>
          <w:tcPr>
            <w:tcW w:w="1412" w:type="pct"/>
            <w:hideMark/>
          </w:tcPr>
          <w:p w:rsidR="007F26BC" w:rsidRPr="004C4D0D" w:rsidRDefault="007F26BC" w:rsidP="001A46FA">
            <w:r w:rsidRPr="004C4D0D">
              <w:t>Cita informācija</w:t>
            </w:r>
          </w:p>
        </w:tc>
        <w:tc>
          <w:tcPr>
            <w:tcW w:w="3295" w:type="pct"/>
            <w:hideMark/>
          </w:tcPr>
          <w:p w:rsidR="007F26BC" w:rsidRPr="004C4D0D" w:rsidRDefault="00227DE5" w:rsidP="001A46FA">
            <w:r w:rsidRPr="004C4D0D">
              <w:t xml:space="preserve"> Nav.</w:t>
            </w:r>
          </w:p>
        </w:tc>
      </w:tr>
    </w:tbl>
    <w:p w:rsidR="00E231B2" w:rsidRPr="004C4D0D" w:rsidRDefault="00E231B2" w:rsidP="007F26BC">
      <w:pPr>
        <w:tabs>
          <w:tab w:val="left" w:pos="6521"/>
        </w:tabs>
        <w:jc w:val="both"/>
      </w:pPr>
    </w:p>
    <w:p w:rsidR="007F26BC" w:rsidRPr="004C4D0D" w:rsidRDefault="007F26BC" w:rsidP="007F26BC">
      <w:pPr>
        <w:tabs>
          <w:tab w:val="left" w:pos="6521"/>
        </w:tabs>
        <w:jc w:val="both"/>
      </w:pPr>
      <w:r w:rsidRPr="004C4D0D">
        <w:t>Iekšlietu ministrs</w:t>
      </w:r>
      <w:r w:rsidRPr="004C4D0D">
        <w:tab/>
      </w:r>
      <w:r w:rsidR="00E231B2" w:rsidRPr="004C4D0D">
        <w:t>S</w:t>
      </w:r>
      <w:r w:rsidR="00B24359" w:rsidRPr="004C4D0D">
        <w:t xml:space="preserve">andis </w:t>
      </w:r>
      <w:proofErr w:type="spellStart"/>
      <w:r w:rsidR="00E231B2" w:rsidRPr="004C4D0D">
        <w:t>Ģirģens</w:t>
      </w:r>
      <w:proofErr w:type="spellEnd"/>
    </w:p>
    <w:p w:rsidR="00E231B2" w:rsidRPr="004C4D0D" w:rsidRDefault="00E231B2" w:rsidP="007F26BC">
      <w:pPr>
        <w:tabs>
          <w:tab w:val="left" w:pos="6521"/>
        </w:tabs>
        <w:jc w:val="both"/>
      </w:pPr>
    </w:p>
    <w:p w:rsidR="009D3888" w:rsidRPr="004C4D0D" w:rsidRDefault="009D3888" w:rsidP="007F26BC">
      <w:pPr>
        <w:tabs>
          <w:tab w:val="left" w:pos="6521"/>
        </w:tabs>
        <w:jc w:val="both"/>
      </w:pPr>
    </w:p>
    <w:p w:rsidR="009D3888" w:rsidRPr="004C4D0D" w:rsidRDefault="009D3888" w:rsidP="007F26BC">
      <w:pPr>
        <w:tabs>
          <w:tab w:val="left" w:pos="6521"/>
        </w:tabs>
        <w:jc w:val="both"/>
      </w:pPr>
    </w:p>
    <w:p w:rsidR="007F26BC" w:rsidRPr="004C4D0D" w:rsidRDefault="007F26BC" w:rsidP="00877B15">
      <w:pPr>
        <w:pStyle w:val="naisf"/>
        <w:rPr>
          <w:szCs w:val="24"/>
        </w:rPr>
      </w:pPr>
      <w:r w:rsidRPr="004C4D0D">
        <w:rPr>
          <w:szCs w:val="24"/>
        </w:rPr>
        <w:t>Vīza: valsts sekretārs</w:t>
      </w:r>
      <w:r w:rsidRPr="004C4D0D">
        <w:rPr>
          <w:szCs w:val="24"/>
        </w:rPr>
        <w:tab/>
      </w:r>
      <w:r w:rsidRPr="004C4D0D">
        <w:rPr>
          <w:szCs w:val="24"/>
        </w:rPr>
        <w:tab/>
      </w:r>
      <w:r w:rsidRPr="004C4D0D">
        <w:rPr>
          <w:szCs w:val="24"/>
        </w:rPr>
        <w:tab/>
        <w:t xml:space="preserve"> </w:t>
      </w:r>
      <w:r w:rsidRPr="004C4D0D">
        <w:rPr>
          <w:szCs w:val="24"/>
        </w:rPr>
        <w:tab/>
      </w:r>
      <w:r w:rsidRPr="004C4D0D">
        <w:rPr>
          <w:szCs w:val="24"/>
        </w:rPr>
        <w:tab/>
      </w:r>
      <w:r w:rsidRPr="004C4D0D">
        <w:rPr>
          <w:szCs w:val="24"/>
        </w:rPr>
        <w:tab/>
      </w:r>
      <w:proofErr w:type="gramStart"/>
      <w:r w:rsidR="00C37AE0" w:rsidRPr="004C4D0D">
        <w:rPr>
          <w:szCs w:val="24"/>
        </w:rPr>
        <w:t xml:space="preserve">            </w:t>
      </w:r>
      <w:proofErr w:type="spellStart"/>
      <w:proofErr w:type="gramEnd"/>
      <w:r w:rsidR="00B24359" w:rsidRPr="004C4D0D">
        <w:rPr>
          <w:szCs w:val="24"/>
        </w:rPr>
        <w:t>Dimitrijs</w:t>
      </w:r>
      <w:proofErr w:type="spellEnd"/>
      <w:r w:rsidR="00B24359" w:rsidRPr="004C4D0D">
        <w:rPr>
          <w:szCs w:val="24"/>
        </w:rPr>
        <w:t xml:space="preserve"> </w:t>
      </w:r>
      <w:proofErr w:type="spellStart"/>
      <w:r w:rsidRPr="004C4D0D">
        <w:rPr>
          <w:szCs w:val="24"/>
        </w:rPr>
        <w:t>Trofimovs</w:t>
      </w:r>
      <w:proofErr w:type="spellEnd"/>
    </w:p>
    <w:sectPr w:rsidR="007F26BC" w:rsidRPr="004C4D0D" w:rsidSect="00877B15">
      <w:headerReference w:type="default" r:id="rId11"/>
      <w:footerReference w:type="defaul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D67" w:rsidRDefault="00F97D67" w:rsidP="007F26BC">
      <w:r>
        <w:separator/>
      </w:r>
    </w:p>
  </w:endnote>
  <w:endnote w:type="continuationSeparator" w:id="0">
    <w:p w:rsidR="00F97D67" w:rsidRDefault="00F97D67" w:rsidP="007F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FD" w:rsidRPr="004A24D2" w:rsidRDefault="001212FD" w:rsidP="001212FD">
    <w:pPr>
      <w:pStyle w:val="Kjene"/>
      <w:jc w:val="both"/>
      <w:rPr>
        <w:sz w:val="20"/>
        <w:szCs w:val="20"/>
      </w:rPr>
    </w:pPr>
    <w:r w:rsidRPr="00B9664F">
      <w:rPr>
        <w:sz w:val="20"/>
        <w:szCs w:val="20"/>
      </w:rPr>
      <w:t>IEMAnot_</w:t>
    </w:r>
    <w:r>
      <w:rPr>
        <w:sz w:val="20"/>
        <w:szCs w:val="20"/>
      </w:rPr>
      <w:t>15082019_grozADL_kodifikacija</w:t>
    </w:r>
  </w:p>
  <w:p w:rsidR="003F1C83" w:rsidRPr="001212FD" w:rsidRDefault="003F1C83" w:rsidP="001212F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1B2" w:rsidRPr="004A24D2" w:rsidRDefault="00E231B2" w:rsidP="00E231B2">
    <w:pPr>
      <w:pStyle w:val="Kjene"/>
      <w:jc w:val="both"/>
      <w:rPr>
        <w:sz w:val="20"/>
        <w:szCs w:val="20"/>
      </w:rPr>
    </w:pPr>
    <w:r w:rsidRPr="00B9664F">
      <w:rPr>
        <w:sz w:val="20"/>
        <w:szCs w:val="20"/>
      </w:rPr>
      <w:t>IEMAnot_</w:t>
    </w:r>
    <w:r w:rsidR="001212FD">
      <w:rPr>
        <w:sz w:val="20"/>
        <w:szCs w:val="20"/>
      </w:rPr>
      <w:t>15082019_grozADL_kodifikacija</w:t>
    </w:r>
  </w:p>
  <w:p w:rsidR="003F1C83" w:rsidRPr="00B40F00" w:rsidRDefault="003F1C83" w:rsidP="00B40F0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D67" w:rsidRDefault="00F97D67" w:rsidP="007F26BC">
      <w:r>
        <w:separator/>
      </w:r>
    </w:p>
  </w:footnote>
  <w:footnote w:type="continuationSeparator" w:id="0">
    <w:p w:rsidR="00F97D67" w:rsidRDefault="00F97D67" w:rsidP="007F2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753383"/>
      <w:docPartObj>
        <w:docPartGallery w:val="Page Numbers (Top of Page)"/>
        <w:docPartUnique/>
      </w:docPartObj>
    </w:sdtPr>
    <w:sdtEndPr>
      <w:rPr>
        <w:noProof/>
      </w:rPr>
    </w:sdtEndPr>
    <w:sdtContent>
      <w:p w:rsidR="003F1C83" w:rsidRDefault="003F1C83">
        <w:pPr>
          <w:pStyle w:val="Galvene"/>
          <w:jc w:val="center"/>
        </w:pPr>
        <w:r>
          <w:fldChar w:fldCharType="begin"/>
        </w:r>
        <w:r>
          <w:instrText xml:space="preserve"> PAGE   \* MERGEFORMAT </w:instrText>
        </w:r>
        <w:r>
          <w:fldChar w:fldCharType="separate"/>
        </w:r>
        <w:r w:rsidR="001F0DF6">
          <w:rPr>
            <w:noProof/>
          </w:rPr>
          <w:t>5</w:t>
        </w:r>
        <w:r>
          <w:rPr>
            <w:noProof/>
          </w:rPr>
          <w:fldChar w:fldCharType="end"/>
        </w:r>
      </w:p>
    </w:sdtContent>
  </w:sdt>
  <w:p w:rsidR="003F1C83" w:rsidRDefault="003F1C8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7194"/>
    <w:multiLevelType w:val="multilevel"/>
    <w:tmpl w:val="06845848"/>
    <w:lvl w:ilvl="0">
      <w:start w:val="1"/>
      <w:numFmt w:val="decimal"/>
      <w:lvlText w:val="(%1)"/>
      <w:lvlJc w:val="left"/>
      <w:pPr>
        <w:ind w:left="1211" w:hanging="360"/>
      </w:pPr>
      <w:rPr>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nsid w:val="06DA06BC"/>
    <w:multiLevelType w:val="hybridMultilevel"/>
    <w:tmpl w:val="056EBD9A"/>
    <w:lvl w:ilvl="0" w:tplc="3AFAF770">
      <w:start w:val="1"/>
      <w:numFmt w:val="decimal"/>
      <w:lvlText w:val="%1)"/>
      <w:lvlJc w:val="left"/>
      <w:pPr>
        <w:ind w:left="420" w:hanging="360"/>
      </w:pPr>
      <w:rPr>
        <w:rFonts w:ascii="Times New Roman" w:eastAsia="Times New Roman" w:hAnsi="Times New Roman" w:cs="Times New Roman"/>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nsid w:val="07C41EAB"/>
    <w:multiLevelType w:val="multilevel"/>
    <w:tmpl w:val="9572B2EE"/>
    <w:lvl w:ilvl="0">
      <w:start w:val="1"/>
      <w:numFmt w:val="decimal"/>
      <w:lvlText w:val="%1)"/>
      <w:lvlJc w:val="left"/>
      <w:pPr>
        <w:ind w:left="1568" w:hanging="360"/>
      </w:pPr>
      <w:rPr>
        <w:rFonts w:ascii="Times New Roman" w:hAnsi="Times New Roman" w:cs="Times New Roman"/>
        <w:b w:val="0"/>
        <w:i w:val="0"/>
        <w:sz w:val="28"/>
        <w:szCs w:val="28"/>
      </w:rPr>
    </w:lvl>
    <w:lvl w:ilvl="1">
      <w:start w:val="1"/>
      <w:numFmt w:val="lowerLetter"/>
      <w:lvlText w:val="%2."/>
      <w:lvlJc w:val="left"/>
      <w:pPr>
        <w:ind w:left="2288" w:hanging="360"/>
      </w:pPr>
    </w:lvl>
    <w:lvl w:ilvl="2">
      <w:start w:val="1"/>
      <w:numFmt w:val="lowerRoman"/>
      <w:lvlText w:val="%3."/>
      <w:lvlJc w:val="right"/>
      <w:pPr>
        <w:ind w:left="3008" w:hanging="180"/>
      </w:pPr>
    </w:lvl>
    <w:lvl w:ilvl="3">
      <w:start w:val="1"/>
      <w:numFmt w:val="decimal"/>
      <w:lvlText w:val="%4."/>
      <w:lvlJc w:val="left"/>
      <w:pPr>
        <w:ind w:left="3728" w:hanging="360"/>
      </w:pPr>
    </w:lvl>
    <w:lvl w:ilvl="4">
      <w:start w:val="1"/>
      <w:numFmt w:val="lowerLetter"/>
      <w:lvlText w:val="%5."/>
      <w:lvlJc w:val="left"/>
      <w:pPr>
        <w:ind w:left="4448" w:hanging="360"/>
      </w:pPr>
    </w:lvl>
    <w:lvl w:ilvl="5">
      <w:start w:val="1"/>
      <w:numFmt w:val="lowerRoman"/>
      <w:lvlText w:val="%6."/>
      <w:lvlJc w:val="right"/>
      <w:pPr>
        <w:ind w:left="5168" w:hanging="180"/>
      </w:pPr>
    </w:lvl>
    <w:lvl w:ilvl="6">
      <w:start w:val="1"/>
      <w:numFmt w:val="decimal"/>
      <w:lvlText w:val="%7."/>
      <w:lvlJc w:val="left"/>
      <w:pPr>
        <w:ind w:left="5888" w:hanging="360"/>
      </w:pPr>
    </w:lvl>
    <w:lvl w:ilvl="7">
      <w:start w:val="1"/>
      <w:numFmt w:val="lowerLetter"/>
      <w:lvlText w:val="%8."/>
      <w:lvlJc w:val="left"/>
      <w:pPr>
        <w:ind w:left="6608" w:hanging="360"/>
      </w:pPr>
    </w:lvl>
    <w:lvl w:ilvl="8">
      <w:start w:val="1"/>
      <w:numFmt w:val="lowerRoman"/>
      <w:lvlText w:val="%9."/>
      <w:lvlJc w:val="right"/>
      <w:pPr>
        <w:ind w:left="7328" w:hanging="180"/>
      </w:pPr>
    </w:lvl>
  </w:abstractNum>
  <w:abstractNum w:abstractNumId="3">
    <w:nsid w:val="07D647A1"/>
    <w:multiLevelType w:val="multilevel"/>
    <w:tmpl w:val="50A41F56"/>
    <w:lvl w:ilvl="0">
      <w:start w:val="1"/>
      <w:numFmt w:val="decimal"/>
      <w:lvlText w:val="%1)"/>
      <w:lvlJc w:val="left"/>
      <w:pPr>
        <w:ind w:left="1515" w:hanging="360"/>
      </w:pPr>
      <w:rPr>
        <w:i w:val="0"/>
      </w:rPr>
    </w:lvl>
    <w:lvl w:ilvl="1">
      <w:start w:val="1"/>
      <w:numFmt w:val="lowerLetter"/>
      <w:lvlText w:val="%2."/>
      <w:lvlJc w:val="left"/>
      <w:pPr>
        <w:ind w:left="2235" w:hanging="360"/>
      </w:pPr>
    </w:lvl>
    <w:lvl w:ilvl="2">
      <w:start w:val="1"/>
      <w:numFmt w:val="lowerRoman"/>
      <w:lvlText w:val="%3."/>
      <w:lvlJc w:val="right"/>
      <w:pPr>
        <w:ind w:left="2955" w:hanging="18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4">
    <w:nsid w:val="0A3669E9"/>
    <w:multiLevelType w:val="multilevel"/>
    <w:tmpl w:val="9B7E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F54521"/>
    <w:multiLevelType w:val="multilevel"/>
    <w:tmpl w:val="DCEAAC2C"/>
    <w:lvl w:ilvl="0">
      <w:start w:val="1"/>
      <w:numFmt w:val="decimal"/>
      <w:lvlText w:val="%1."/>
      <w:lvlJc w:val="left"/>
      <w:pPr>
        <w:ind w:left="360" w:hanging="360"/>
      </w:pPr>
      <w:rPr>
        <w:b/>
      </w:rPr>
    </w:lvl>
    <w:lvl w:ilvl="1">
      <w:start w:val="1"/>
      <w:numFmt w:val="decimal"/>
      <w:lvlText w:val="%1.%2."/>
      <w:lvlJc w:val="left"/>
      <w:pPr>
        <w:ind w:left="1142" w:hanging="432"/>
      </w:pPr>
      <w:rPr>
        <w:rFonts w:ascii="Times New Roman" w:hAnsi="Times New Roman" w:cs="Times New Roman"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6F26CD"/>
    <w:multiLevelType w:val="multilevel"/>
    <w:tmpl w:val="222C4A80"/>
    <w:lvl w:ilvl="0">
      <w:start w:val="1"/>
      <w:numFmt w:val="decimal"/>
      <w:lvlText w:val="%1)"/>
      <w:lvlJc w:val="left"/>
      <w:pPr>
        <w:ind w:left="1636" w:hanging="360"/>
      </w:pPr>
      <w:rPr>
        <w:rFonts w:ascii="Times New Roman" w:hAnsi="Times New Roman" w:cs="Times New Roman" w:hint="default"/>
        <w:color w:val="auto"/>
        <w:sz w:val="28"/>
        <w:szCs w:val="28"/>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7">
    <w:nsid w:val="18BD32A5"/>
    <w:multiLevelType w:val="hybridMultilevel"/>
    <w:tmpl w:val="682615DE"/>
    <w:lvl w:ilvl="0" w:tplc="0426000F">
      <w:start w:val="1"/>
      <w:numFmt w:val="decimal"/>
      <w:lvlText w:val="%1."/>
      <w:lvlJc w:val="left"/>
      <w:pPr>
        <w:ind w:left="1331" w:hanging="360"/>
      </w:pPr>
    </w:lvl>
    <w:lvl w:ilvl="1" w:tplc="04260019" w:tentative="1">
      <w:start w:val="1"/>
      <w:numFmt w:val="lowerLetter"/>
      <w:lvlText w:val="%2."/>
      <w:lvlJc w:val="left"/>
      <w:pPr>
        <w:ind w:left="2051" w:hanging="360"/>
      </w:pPr>
    </w:lvl>
    <w:lvl w:ilvl="2" w:tplc="0426001B" w:tentative="1">
      <w:start w:val="1"/>
      <w:numFmt w:val="lowerRoman"/>
      <w:lvlText w:val="%3."/>
      <w:lvlJc w:val="right"/>
      <w:pPr>
        <w:ind w:left="2771" w:hanging="180"/>
      </w:pPr>
    </w:lvl>
    <w:lvl w:ilvl="3" w:tplc="0426000F" w:tentative="1">
      <w:start w:val="1"/>
      <w:numFmt w:val="decimal"/>
      <w:lvlText w:val="%4."/>
      <w:lvlJc w:val="left"/>
      <w:pPr>
        <w:ind w:left="3491" w:hanging="360"/>
      </w:pPr>
    </w:lvl>
    <w:lvl w:ilvl="4" w:tplc="04260019" w:tentative="1">
      <w:start w:val="1"/>
      <w:numFmt w:val="lowerLetter"/>
      <w:lvlText w:val="%5."/>
      <w:lvlJc w:val="left"/>
      <w:pPr>
        <w:ind w:left="4211" w:hanging="360"/>
      </w:pPr>
    </w:lvl>
    <w:lvl w:ilvl="5" w:tplc="0426001B" w:tentative="1">
      <w:start w:val="1"/>
      <w:numFmt w:val="lowerRoman"/>
      <w:lvlText w:val="%6."/>
      <w:lvlJc w:val="right"/>
      <w:pPr>
        <w:ind w:left="4931" w:hanging="180"/>
      </w:pPr>
    </w:lvl>
    <w:lvl w:ilvl="6" w:tplc="0426000F" w:tentative="1">
      <w:start w:val="1"/>
      <w:numFmt w:val="decimal"/>
      <w:lvlText w:val="%7."/>
      <w:lvlJc w:val="left"/>
      <w:pPr>
        <w:ind w:left="5651" w:hanging="360"/>
      </w:pPr>
    </w:lvl>
    <w:lvl w:ilvl="7" w:tplc="04260019" w:tentative="1">
      <w:start w:val="1"/>
      <w:numFmt w:val="lowerLetter"/>
      <w:lvlText w:val="%8."/>
      <w:lvlJc w:val="left"/>
      <w:pPr>
        <w:ind w:left="6371" w:hanging="360"/>
      </w:pPr>
    </w:lvl>
    <w:lvl w:ilvl="8" w:tplc="0426001B" w:tentative="1">
      <w:start w:val="1"/>
      <w:numFmt w:val="lowerRoman"/>
      <w:lvlText w:val="%9."/>
      <w:lvlJc w:val="right"/>
      <w:pPr>
        <w:ind w:left="7091" w:hanging="180"/>
      </w:pPr>
    </w:lvl>
  </w:abstractNum>
  <w:abstractNum w:abstractNumId="8">
    <w:nsid w:val="1ACA75BF"/>
    <w:multiLevelType w:val="multilevel"/>
    <w:tmpl w:val="479E0B54"/>
    <w:lvl w:ilvl="0">
      <w:start w:val="1"/>
      <w:numFmt w:val="decimal"/>
      <w:lvlText w:val="%1."/>
      <w:lvlJc w:val="left"/>
      <w:pPr>
        <w:ind w:left="2062"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502" w:hanging="180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862" w:hanging="2160"/>
      </w:pPr>
      <w:rPr>
        <w:rFonts w:hint="default"/>
      </w:rPr>
    </w:lvl>
  </w:abstractNum>
  <w:abstractNum w:abstractNumId="9">
    <w:nsid w:val="29C93BDC"/>
    <w:multiLevelType w:val="hybridMultilevel"/>
    <w:tmpl w:val="4F7217C0"/>
    <w:lvl w:ilvl="0" w:tplc="E9B20596">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9CB18A2"/>
    <w:multiLevelType w:val="hybridMultilevel"/>
    <w:tmpl w:val="B900D1D8"/>
    <w:lvl w:ilvl="0" w:tplc="FE20A894">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2E680914"/>
    <w:multiLevelType w:val="multilevel"/>
    <w:tmpl w:val="07828318"/>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12">
    <w:nsid w:val="2F0B793F"/>
    <w:multiLevelType w:val="multilevel"/>
    <w:tmpl w:val="4F72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F507AF"/>
    <w:multiLevelType w:val="multilevel"/>
    <w:tmpl w:val="F4BED660"/>
    <w:lvl w:ilvl="0">
      <w:start w:val="1"/>
      <w:numFmt w:val="decimal"/>
      <w:lvlText w:val="%1)"/>
      <w:lvlJc w:val="left"/>
      <w:pPr>
        <w:ind w:left="2345" w:hanging="360"/>
      </w:pPr>
      <w:rPr>
        <w:rFonts w:ascii="Times New Roman" w:hAnsi="Times New Roman" w:cs="Times New Roman"/>
        <w:b w:val="0"/>
        <w:i w:val="0"/>
        <w:sz w:val="28"/>
        <w:szCs w:val="28"/>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nsid w:val="30712AF5"/>
    <w:multiLevelType w:val="multilevel"/>
    <w:tmpl w:val="76144048"/>
    <w:lvl w:ilvl="0">
      <w:start w:val="1"/>
      <w:numFmt w:val="decimal"/>
      <w:lvlText w:val="(%1)"/>
      <w:lvlJc w:val="left"/>
      <w:pPr>
        <w:ind w:left="1155" w:hanging="525"/>
      </w:pPr>
      <w:rPr>
        <w:rFonts w:ascii="Times New Roman" w:hAnsi="Times New Roman" w:cs="Times New Roman"/>
        <w:sz w:val="28"/>
        <w:szCs w:val="28"/>
        <w:u w:val="no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5">
    <w:nsid w:val="391405A3"/>
    <w:multiLevelType w:val="hybridMultilevel"/>
    <w:tmpl w:val="DD76B0DC"/>
    <w:lvl w:ilvl="0" w:tplc="E9B20596">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F0F595A"/>
    <w:multiLevelType w:val="hybridMultilevel"/>
    <w:tmpl w:val="906E61F6"/>
    <w:lvl w:ilvl="0" w:tplc="E9B20596">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5ED4A5D"/>
    <w:multiLevelType w:val="multilevel"/>
    <w:tmpl w:val="49B895E0"/>
    <w:lvl w:ilvl="0">
      <w:start w:val="1"/>
      <w:numFmt w:val="decimal"/>
      <w:lvlText w:val="(%1)"/>
      <w:lvlJc w:val="left"/>
      <w:pPr>
        <w:ind w:left="1155" w:hanging="525"/>
      </w:pPr>
      <w:rPr>
        <w:rFonts w:ascii="Times New Roman" w:hAnsi="Times New Roman" w:cs="Times New Roman"/>
        <w:sz w:val="28"/>
        <w:szCs w:val="28"/>
        <w:u w:val="no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8">
    <w:nsid w:val="46613C39"/>
    <w:multiLevelType w:val="multilevel"/>
    <w:tmpl w:val="4DFAE200"/>
    <w:lvl w:ilvl="0">
      <w:start w:val="1"/>
      <w:numFmt w:val="decimal"/>
      <w:lvlText w:val="(%1)"/>
      <w:lvlJc w:val="left"/>
      <w:pPr>
        <w:ind w:left="1155" w:hanging="525"/>
      </w:pPr>
      <w:rPr>
        <w:rFonts w:ascii="Times New Roman" w:hAnsi="Times New Roman" w:cs="Times New Roman"/>
        <w:sz w:val="28"/>
        <w:szCs w:val="28"/>
        <w:u w:val="no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9">
    <w:nsid w:val="4C5B77F2"/>
    <w:multiLevelType w:val="multilevel"/>
    <w:tmpl w:val="9502F298"/>
    <w:lvl w:ilvl="0">
      <w:start w:val="1"/>
      <w:numFmt w:val="decimal"/>
      <w:lvlText w:val="%1)"/>
      <w:lvlJc w:val="left"/>
      <w:pPr>
        <w:ind w:left="1568" w:hanging="360"/>
      </w:pPr>
      <w:rPr>
        <w:rFonts w:ascii="Times New Roman" w:hAnsi="Times New Roman" w:cs="Times New Roman"/>
        <w:b w:val="0"/>
        <w:i w:val="0"/>
        <w:sz w:val="28"/>
        <w:szCs w:val="28"/>
      </w:rPr>
    </w:lvl>
    <w:lvl w:ilvl="1">
      <w:start w:val="1"/>
      <w:numFmt w:val="lowerLetter"/>
      <w:lvlText w:val="%2."/>
      <w:lvlJc w:val="left"/>
      <w:pPr>
        <w:ind w:left="2288" w:hanging="360"/>
      </w:pPr>
    </w:lvl>
    <w:lvl w:ilvl="2">
      <w:start w:val="1"/>
      <w:numFmt w:val="lowerRoman"/>
      <w:lvlText w:val="%3."/>
      <w:lvlJc w:val="right"/>
      <w:pPr>
        <w:ind w:left="3008" w:hanging="180"/>
      </w:pPr>
    </w:lvl>
    <w:lvl w:ilvl="3">
      <w:start w:val="1"/>
      <w:numFmt w:val="decimal"/>
      <w:lvlText w:val="%4."/>
      <w:lvlJc w:val="left"/>
      <w:pPr>
        <w:ind w:left="3728" w:hanging="360"/>
      </w:pPr>
    </w:lvl>
    <w:lvl w:ilvl="4">
      <w:start w:val="1"/>
      <w:numFmt w:val="lowerLetter"/>
      <w:lvlText w:val="%5."/>
      <w:lvlJc w:val="left"/>
      <w:pPr>
        <w:ind w:left="4448" w:hanging="360"/>
      </w:pPr>
    </w:lvl>
    <w:lvl w:ilvl="5">
      <w:start w:val="1"/>
      <w:numFmt w:val="lowerRoman"/>
      <w:lvlText w:val="%6."/>
      <w:lvlJc w:val="right"/>
      <w:pPr>
        <w:ind w:left="5168" w:hanging="180"/>
      </w:pPr>
    </w:lvl>
    <w:lvl w:ilvl="6">
      <w:start w:val="1"/>
      <w:numFmt w:val="decimal"/>
      <w:lvlText w:val="%7."/>
      <w:lvlJc w:val="left"/>
      <w:pPr>
        <w:ind w:left="5888" w:hanging="360"/>
      </w:pPr>
    </w:lvl>
    <w:lvl w:ilvl="7">
      <w:start w:val="1"/>
      <w:numFmt w:val="lowerLetter"/>
      <w:lvlText w:val="%8."/>
      <w:lvlJc w:val="left"/>
      <w:pPr>
        <w:ind w:left="6608" w:hanging="360"/>
      </w:pPr>
    </w:lvl>
    <w:lvl w:ilvl="8">
      <w:start w:val="1"/>
      <w:numFmt w:val="lowerRoman"/>
      <w:lvlText w:val="%9."/>
      <w:lvlJc w:val="right"/>
      <w:pPr>
        <w:ind w:left="7328" w:hanging="180"/>
      </w:pPr>
    </w:lvl>
  </w:abstractNum>
  <w:abstractNum w:abstractNumId="20">
    <w:nsid w:val="516E3F48"/>
    <w:multiLevelType w:val="hybridMultilevel"/>
    <w:tmpl w:val="6F0C9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75815A4"/>
    <w:multiLevelType w:val="hybridMultilevel"/>
    <w:tmpl w:val="C78E2676"/>
    <w:lvl w:ilvl="0" w:tplc="0504C878">
      <w:start w:val="1"/>
      <w:numFmt w:val="bullet"/>
      <w:lvlText w:val="•"/>
      <w:lvlJc w:val="left"/>
      <w:pPr>
        <w:tabs>
          <w:tab w:val="num" w:pos="720"/>
        </w:tabs>
        <w:ind w:left="720" w:hanging="360"/>
      </w:pPr>
      <w:rPr>
        <w:rFonts w:ascii="Arial" w:hAnsi="Arial" w:hint="default"/>
      </w:rPr>
    </w:lvl>
    <w:lvl w:ilvl="1" w:tplc="3E5A7B08" w:tentative="1">
      <w:start w:val="1"/>
      <w:numFmt w:val="bullet"/>
      <w:lvlText w:val="•"/>
      <w:lvlJc w:val="left"/>
      <w:pPr>
        <w:tabs>
          <w:tab w:val="num" w:pos="1440"/>
        </w:tabs>
        <w:ind w:left="1440" w:hanging="360"/>
      </w:pPr>
      <w:rPr>
        <w:rFonts w:ascii="Arial" w:hAnsi="Arial" w:hint="default"/>
      </w:rPr>
    </w:lvl>
    <w:lvl w:ilvl="2" w:tplc="7710FC36" w:tentative="1">
      <w:start w:val="1"/>
      <w:numFmt w:val="bullet"/>
      <w:lvlText w:val="•"/>
      <w:lvlJc w:val="left"/>
      <w:pPr>
        <w:tabs>
          <w:tab w:val="num" w:pos="2160"/>
        </w:tabs>
        <w:ind w:left="2160" w:hanging="360"/>
      </w:pPr>
      <w:rPr>
        <w:rFonts w:ascii="Arial" w:hAnsi="Arial" w:hint="default"/>
      </w:rPr>
    </w:lvl>
    <w:lvl w:ilvl="3" w:tplc="36D601F6" w:tentative="1">
      <w:start w:val="1"/>
      <w:numFmt w:val="bullet"/>
      <w:lvlText w:val="•"/>
      <w:lvlJc w:val="left"/>
      <w:pPr>
        <w:tabs>
          <w:tab w:val="num" w:pos="2880"/>
        </w:tabs>
        <w:ind w:left="2880" w:hanging="360"/>
      </w:pPr>
      <w:rPr>
        <w:rFonts w:ascii="Arial" w:hAnsi="Arial" w:hint="default"/>
      </w:rPr>
    </w:lvl>
    <w:lvl w:ilvl="4" w:tplc="81202250" w:tentative="1">
      <w:start w:val="1"/>
      <w:numFmt w:val="bullet"/>
      <w:lvlText w:val="•"/>
      <w:lvlJc w:val="left"/>
      <w:pPr>
        <w:tabs>
          <w:tab w:val="num" w:pos="3600"/>
        </w:tabs>
        <w:ind w:left="3600" w:hanging="360"/>
      </w:pPr>
      <w:rPr>
        <w:rFonts w:ascii="Arial" w:hAnsi="Arial" w:hint="default"/>
      </w:rPr>
    </w:lvl>
    <w:lvl w:ilvl="5" w:tplc="AB7EB4AC" w:tentative="1">
      <w:start w:val="1"/>
      <w:numFmt w:val="bullet"/>
      <w:lvlText w:val="•"/>
      <w:lvlJc w:val="left"/>
      <w:pPr>
        <w:tabs>
          <w:tab w:val="num" w:pos="4320"/>
        </w:tabs>
        <w:ind w:left="4320" w:hanging="360"/>
      </w:pPr>
      <w:rPr>
        <w:rFonts w:ascii="Arial" w:hAnsi="Arial" w:hint="default"/>
      </w:rPr>
    </w:lvl>
    <w:lvl w:ilvl="6" w:tplc="BE1CB3E0" w:tentative="1">
      <w:start w:val="1"/>
      <w:numFmt w:val="bullet"/>
      <w:lvlText w:val="•"/>
      <w:lvlJc w:val="left"/>
      <w:pPr>
        <w:tabs>
          <w:tab w:val="num" w:pos="5040"/>
        </w:tabs>
        <w:ind w:left="5040" w:hanging="360"/>
      </w:pPr>
      <w:rPr>
        <w:rFonts w:ascii="Arial" w:hAnsi="Arial" w:hint="default"/>
      </w:rPr>
    </w:lvl>
    <w:lvl w:ilvl="7" w:tplc="4D9A8EAC" w:tentative="1">
      <w:start w:val="1"/>
      <w:numFmt w:val="bullet"/>
      <w:lvlText w:val="•"/>
      <w:lvlJc w:val="left"/>
      <w:pPr>
        <w:tabs>
          <w:tab w:val="num" w:pos="5760"/>
        </w:tabs>
        <w:ind w:left="5760" w:hanging="360"/>
      </w:pPr>
      <w:rPr>
        <w:rFonts w:ascii="Arial" w:hAnsi="Arial" w:hint="default"/>
      </w:rPr>
    </w:lvl>
    <w:lvl w:ilvl="8" w:tplc="CD54BB1E" w:tentative="1">
      <w:start w:val="1"/>
      <w:numFmt w:val="bullet"/>
      <w:lvlText w:val="•"/>
      <w:lvlJc w:val="left"/>
      <w:pPr>
        <w:tabs>
          <w:tab w:val="num" w:pos="6480"/>
        </w:tabs>
        <w:ind w:left="6480" w:hanging="360"/>
      </w:pPr>
      <w:rPr>
        <w:rFonts w:ascii="Arial" w:hAnsi="Arial" w:hint="default"/>
      </w:rPr>
    </w:lvl>
  </w:abstractNum>
  <w:abstractNum w:abstractNumId="22">
    <w:nsid w:val="5E6879E3"/>
    <w:multiLevelType w:val="hybridMultilevel"/>
    <w:tmpl w:val="753E7034"/>
    <w:lvl w:ilvl="0" w:tplc="EDB03608">
      <w:start w:val="1"/>
      <w:numFmt w:val="bullet"/>
      <w:lvlText w:val=""/>
      <w:lvlJc w:val="left"/>
      <w:pPr>
        <w:tabs>
          <w:tab w:val="num" w:pos="720"/>
        </w:tabs>
        <w:ind w:left="720" w:hanging="360"/>
      </w:pPr>
      <w:rPr>
        <w:rFonts w:ascii="Wingdings" w:hAnsi="Wingdings" w:hint="default"/>
      </w:rPr>
    </w:lvl>
    <w:lvl w:ilvl="1" w:tplc="6290B74C" w:tentative="1">
      <w:start w:val="1"/>
      <w:numFmt w:val="bullet"/>
      <w:lvlText w:val=""/>
      <w:lvlJc w:val="left"/>
      <w:pPr>
        <w:tabs>
          <w:tab w:val="num" w:pos="1440"/>
        </w:tabs>
        <w:ind w:left="1440" w:hanging="360"/>
      </w:pPr>
      <w:rPr>
        <w:rFonts w:ascii="Wingdings" w:hAnsi="Wingdings" w:hint="default"/>
      </w:rPr>
    </w:lvl>
    <w:lvl w:ilvl="2" w:tplc="7924FB22">
      <w:start w:val="278"/>
      <w:numFmt w:val="bullet"/>
      <w:lvlText w:val=""/>
      <w:lvlJc w:val="left"/>
      <w:pPr>
        <w:tabs>
          <w:tab w:val="num" w:pos="2160"/>
        </w:tabs>
        <w:ind w:left="2160" w:hanging="360"/>
      </w:pPr>
      <w:rPr>
        <w:rFonts w:ascii="Wingdings" w:hAnsi="Wingdings" w:hint="default"/>
      </w:rPr>
    </w:lvl>
    <w:lvl w:ilvl="3" w:tplc="068C8776" w:tentative="1">
      <w:start w:val="1"/>
      <w:numFmt w:val="bullet"/>
      <w:lvlText w:val=""/>
      <w:lvlJc w:val="left"/>
      <w:pPr>
        <w:tabs>
          <w:tab w:val="num" w:pos="2880"/>
        </w:tabs>
        <w:ind w:left="2880" w:hanging="360"/>
      </w:pPr>
      <w:rPr>
        <w:rFonts w:ascii="Wingdings" w:hAnsi="Wingdings" w:hint="default"/>
      </w:rPr>
    </w:lvl>
    <w:lvl w:ilvl="4" w:tplc="37CABE66" w:tentative="1">
      <w:start w:val="1"/>
      <w:numFmt w:val="bullet"/>
      <w:lvlText w:val=""/>
      <w:lvlJc w:val="left"/>
      <w:pPr>
        <w:tabs>
          <w:tab w:val="num" w:pos="3600"/>
        </w:tabs>
        <w:ind w:left="3600" w:hanging="360"/>
      </w:pPr>
      <w:rPr>
        <w:rFonts w:ascii="Wingdings" w:hAnsi="Wingdings" w:hint="default"/>
      </w:rPr>
    </w:lvl>
    <w:lvl w:ilvl="5" w:tplc="DC380C1E" w:tentative="1">
      <w:start w:val="1"/>
      <w:numFmt w:val="bullet"/>
      <w:lvlText w:val=""/>
      <w:lvlJc w:val="left"/>
      <w:pPr>
        <w:tabs>
          <w:tab w:val="num" w:pos="4320"/>
        </w:tabs>
        <w:ind w:left="4320" w:hanging="360"/>
      </w:pPr>
      <w:rPr>
        <w:rFonts w:ascii="Wingdings" w:hAnsi="Wingdings" w:hint="default"/>
      </w:rPr>
    </w:lvl>
    <w:lvl w:ilvl="6" w:tplc="19C024EE" w:tentative="1">
      <w:start w:val="1"/>
      <w:numFmt w:val="bullet"/>
      <w:lvlText w:val=""/>
      <w:lvlJc w:val="left"/>
      <w:pPr>
        <w:tabs>
          <w:tab w:val="num" w:pos="5040"/>
        </w:tabs>
        <w:ind w:left="5040" w:hanging="360"/>
      </w:pPr>
      <w:rPr>
        <w:rFonts w:ascii="Wingdings" w:hAnsi="Wingdings" w:hint="default"/>
      </w:rPr>
    </w:lvl>
    <w:lvl w:ilvl="7" w:tplc="1E7AB022" w:tentative="1">
      <w:start w:val="1"/>
      <w:numFmt w:val="bullet"/>
      <w:lvlText w:val=""/>
      <w:lvlJc w:val="left"/>
      <w:pPr>
        <w:tabs>
          <w:tab w:val="num" w:pos="5760"/>
        </w:tabs>
        <w:ind w:left="5760" w:hanging="360"/>
      </w:pPr>
      <w:rPr>
        <w:rFonts w:ascii="Wingdings" w:hAnsi="Wingdings" w:hint="default"/>
      </w:rPr>
    </w:lvl>
    <w:lvl w:ilvl="8" w:tplc="9A1C980E" w:tentative="1">
      <w:start w:val="1"/>
      <w:numFmt w:val="bullet"/>
      <w:lvlText w:val=""/>
      <w:lvlJc w:val="left"/>
      <w:pPr>
        <w:tabs>
          <w:tab w:val="num" w:pos="6480"/>
        </w:tabs>
        <w:ind w:left="6480" w:hanging="360"/>
      </w:pPr>
      <w:rPr>
        <w:rFonts w:ascii="Wingdings" w:hAnsi="Wingdings" w:hint="default"/>
      </w:rPr>
    </w:lvl>
  </w:abstractNum>
  <w:abstractNum w:abstractNumId="23">
    <w:nsid w:val="698138F6"/>
    <w:multiLevelType w:val="hybridMultilevel"/>
    <w:tmpl w:val="2910B4CC"/>
    <w:lvl w:ilvl="0" w:tplc="6A3CEA34">
      <w:start w:val="1"/>
      <w:numFmt w:val="decimal"/>
      <w:lvlText w:val="%1."/>
      <w:lvlJc w:val="left"/>
      <w:pPr>
        <w:ind w:left="1257" w:hanging="360"/>
      </w:pPr>
      <w:rPr>
        <w:color w:val="0D0D0D"/>
      </w:rPr>
    </w:lvl>
    <w:lvl w:ilvl="1" w:tplc="04260019" w:tentative="1">
      <w:start w:val="1"/>
      <w:numFmt w:val="lowerLetter"/>
      <w:lvlText w:val="%2."/>
      <w:lvlJc w:val="left"/>
      <w:pPr>
        <w:ind w:left="1977" w:hanging="360"/>
      </w:pPr>
    </w:lvl>
    <w:lvl w:ilvl="2" w:tplc="0426001B" w:tentative="1">
      <w:start w:val="1"/>
      <w:numFmt w:val="lowerRoman"/>
      <w:lvlText w:val="%3."/>
      <w:lvlJc w:val="right"/>
      <w:pPr>
        <w:ind w:left="2697" w:hanging="180"/>
      </w:pPr>
    </w:lvl>
    <w:lvl w:ilvl="3" w:tplc="0426000F" w:tentative="1">
      <w:start w:val="1"/>
      <w:numFmt w:val="decimal"/>
      <w:lvlText w:val="%4."/>
      <w:lvlJc w:val="left"/>
      <w:pPr>
        <w:ind w:left="3417" w:hanging="360"/>
      </w:pPr>
    </w:lvl>
    <w:lvl w:ilvl="4" w:tplc="04260019" w:tentative="1">
      <w:start w:val="1"/>
      <w:numFmt w:val="lowerLetter"/>
      <w:lvlText w:val="%5."/>
      <w:lvlJc w:val="left"/>
      <w:pPr>
        <w:ind w:left="4137" w:hanging="360"/>
      </w:pPr>
    </w:lvl>
    <w:lvl w:ilvl="5" w:tplc="0426001B" w:tentative="1">
      <w:start w:val="1"/>
      <w:numFmt w:val="lowerRoman"/>
      <w:lvlText w:val="%6."/>
      <w:lvlJc w:val="right"/>
      <w:pPr>
        <w:ind w:left="4857" w:hanging="180"/>
      </w:pPr>
    </w:lvl>
    <w:lvl w:ilvl="6" w:tplc="0426000F" w:tentative="1">
      <w:start w:val="1"/>
      <w:numFmt w:val="decimal"/>
      <w:lvlText w:val="%7."/>
      <w:lvlJc w:val="left"/>
      <w:pPr>
        <w:ind w:left="5577" w:hanging="360"/>
      </w:pPr>
    </w:lvl>
    <w:lvl w:ilvl="7" w:tplc="04260019" w:tentative="1">
      <w:start w:val="1"/>
      <w:numFmt w:val="lowerLetter"/>
      <w:lvlText w:val="%8."/>
      <w:lvlJc w:val="left"/>
      <w:pPr>
        <w:ind w:left="6297" w:hanging="360"/>
      </w:pPr>
    </w:lvl>
    <w:lvl w:ilvl="8" w:tplc="0426001B" w:tentative="1">
      <w:start w:val="1"/>
      <w:numFmt w:val="lowerRoman"/>
      <w:lvlText w:val="%9."/>
      <w:lvlJc w:val="right"/>
      <w:pPr>
        <w:ind w:left="7017" w:hanging="180"/>
      </w:pPr>
    </w:lvl>
  </w:abstractNum>
  <w:abstractNum w:abstractNumId="24">
    <w:nsid w:val="74F81528"/>
    <w:multiLevelType w:val="hybridMultilevel"/>
    <w:tmpl w:val="D884C858"/>
    <w:lvl w:ilvl="0" w:tplc="A82C4B7A">
      <w:start w:val="1"/>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5">
    <w:nsid w:val="792C60A7"/>
    <w:multiLevelType w:val="hybridMultilevel"/>
    <w:tmpl w:val="AE0EDBE0"/>
    <w:lvl w:ilvl="0" w:tplc="BE3E0404">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C8379B5"/>
    <w:multiLevelType w:val="hybridMultilevel"/>
    <w:tmpl w:val="6BBEBC94"/>
    <w:lvl w:ilvl="0" w:tplc="79E49F9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7">
    <w:nsid w:val="7C8E18D8"/>
    <w:multiLevelType w:val="hybridMultilevel"/>
    <w:tmpl w:val="7ED42956"/>
    <w:lvl w:ilvl="0" w:tplc="E9B20596">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FBF13B5"/>
    <w:multiLevelType w:val="multilevel"/>
    <w:tmpl w:val="834461C2"/>
    <w:lvl w:ilvl="0">
      <w:start w:val="1"/>
      <w:numFmt w:val="decimal"/>
      <w:lvlText w:val="(%1)"/>
      <w:lvlJc w:val="left"/>
      <w:pPr>
        <w:ind w:left="1211" w:hanging="360"/>
      </w:pPr>
      <w:rPr>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12"/>
  </w:num>
  <w:num w:numId="2">
    <w:abstractNumId w:val="8"/>
  </w:num>
  <w:num w:numId="3">
    <w:abstractNumId w:val="18"/>
  </w:num>
  <w:num w:numId="4">
    <w:abstractNumId w:val="16"/>
  </w:num>
  <w:num w:numId="5">
    <w:abstractNumId w:val="15"/>
  </w:num>
  <w:num w:numId="6">
    <w:abstractNumId w:val="3"/>
  </w:num>
  <w:num w:numId="7">
    <w:abstractNumId w:val="28"/>
  </w:num>
  <w:num w:numId="8">
    <w:abstractNumId w:val="19"/>
  </w:num>
  <w:num w:numId="9">
    <w:abstractNumId w:val="4"/>
  </w:num>
  <w:num w:numId="10">
    <w:abstractNumId w:val="11"/>
  </w:num>
  <w:num w:numId="11">
    <w:abstractNumId w:val="1"/>
  </w:num>
  <w:num w:numId="12">
    <w:abstractNumId w:val="0"/>
  </w:num>
  <w:num w:numId="13">
    <w:abstractNumId w:val="13"/>
  </w:num>
  <w:num w:numId="14">
    <w:abstractNumId w:val="24"/>
  </w:num>
  <w:num w:numId="15">
    <w:abstractNumId w:val="26"/>
  </w:num>
  <w:num w:numId="16">
    <w:abstractNumId w:val="17"/>
  </w:num>
  <w:num w:numId="17">
    <w:abstractNumId w:val="25"/>
  </w:num>
  <w:num w:numId="18">
    <w:abstractNumId w:val="10"/>
  </w:num>
  <w:num w:numId="19">
    <w:abstractNumId w:val="14"/>
  </w:num>
  <w:num w:numId="20">
    <w:abstractNumId w:val="5"/>
  </w:num>
  <w:num w:numId="21">
    <w:abstractNumId w:val="21"/>
  </w:num>
  <w:num w:numId="22">
    <w:abstractNumId w:val="6"/>
  </w:num>
  <w:num w:numId="23">
    <w:abstractNumId w:val="2"/>
  </w:num>
  <w:num w:numId="24">
    <w:abstractNumId w:val="23"/>
  </w:num>
  <w:num w:numId="25">
    <w:abstractNumId w:val="9"/>
  </w:num>
  <w:num w:numId="26">
    <w:abstractNumId w:val="22"/>
  </w:num>
  <w:num w:numId="27">
    <w:abstractNumId w:val="27"/>
  </w:num>
  <w:num w:numId="28">
    <w:abstractNumId w:val="7"/>
  </w:num>
  <w:num w:numId="29">
    <w:abstractNumId w:val="2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is Matisāns">
    <w15:presenceInfo w15:providerId="AD" w15:userId="S-1-5-21-4111485455-1704665536-1451507621-223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BC"/>
    <w:rsid w:val="00002088"/>
    <w:rsid w:val="000072B9"/>
    <w:rsid w:val="00010333"/>
    <w:rsid w:val="000119AB"/>
    <w:rsid w:val="00013AA5"/>
    <w:rsid w:val="00021584"/>
    <w:rsid w:val="00033360"/>
    <w:rsid w:val="00035D5B"/>
    <w:rsid w:val="00035DC9"/>
    <w:rsid w:val="00036231"/>
    <w:rsid w:val="0003641D"/>
    <w:rsid w:val="000432AE"/>
    <w:rsid w:val="00043452"/>
    <w:rsid w:val="000441BE"/>
    <w:rsid w:val="00045D6E"/>
    <w:rsid w:val="000514D6"/>
    <w:rsid w:val="00054AA6"/>
    <w:rsid w:val="00056FF6"/>
    <w:rsid w:val="0006148D"/>
    <w:rsid w:val="00064B26"/>
    <w:rsid w:val="00070BAD"/>
    <w:rsid w:val="00076C6D"/>
    <w:rsid w:val="000776CF"/>
    <w:rsid w:val="00077AF8"/>
    <w:rsid w:val="00080382"/>
    <w:rsid w:val="00081731"/>
    <w:rsid w:val="000833F9"/>
    <w:rsid w:val="00083DC5"/>
    <w:rsid w:val="00086EE7"/>
    <w:rsid w:val="00094866"/>
    <w:rsid w:val="00096E41"/>
    <w:rsid w:val="00096F33"/>
    <w:rsid w:val="000A18E1"/>
    <w:rsid w:val="000A1B81"/>
    <w:rsid w:val="000A5FD5"/>
    <w:rsid w:val="000B043B"/>
    <w:rsid w:val="000B402E"/>
    <w:rsid w:val="000B4D1F"/>
    <w:rsid w:val="000B5292"/>
    <w:rsid w:val="000C1547"/>
    <w:rsid w:val="000C284A"/>
    <w:rsid w:val="000C41E8"/>
    <w:rsid w:val="000D490D"/>
    <w:rsid w:val="000D600D"/>
    <w:rsid w:val="000D6859"/>
    <w:rsid w:val="000E1DC3"/>
    <w:rsid w:val="000E36BB"/>
    <w:rsid w:val="000E4752"/>
    <w:rsid w:val="000E7B38"/>
    <w:rsid w:val="000F7449"/>
    <w:rsid w:val="000F7DA9"/>
    <w:rsid w:val="001007A5"/>
    <w:rsid w:val="00101A1D"/>
    <w:rsid w:val="00102A8D"/>
    <w:rsid w:val="00104B5F"/>
    <w:rsid w:val="001054EA"/>
    <w:rsid w:val="00106C2E"/>
    <w:rsid w:val="001101E6"/>
    <w:rsid w:val="001105EB"/>
    <w:rsid w:val="00110681"/>
    <w:rsid w:val="00113C08"/>
    <w:rsid w:val="0011522E"/>
    <w:rsid w:val="00116F86"/>
    <w:rsid w:val="00117EC3"/>
    <w:rsid w:val="001212FD"/>
    <w:rsid w:val="00122AC4"/>
    <w:rsid w:val="00125794"/>
    <w:rsid w:val="00126482"/>
    <w:rsid w:val="00126E59"/>
    <w:rsid w:val="001308C4"/>
    <w:rsid w:val="0013169D"/>
    <w:rsid w:val="0013695F"/>
    <w:rsid w:val="00137D60"/>
    <w:rsid w:val="001405DE"/>
    <w:rsid w:val="0014205D"/>
    <w:rsid w:val="00142F57"/>
    <w:rsid w:val="0014312F"/>
    <w:rsid w:val="001452F2"/>
    <w:rsid w:val="00145449"/>
    <w:rsid w:val="00146CAD"/>
    <w:rsid w:val="00147944"/>
    <w:rsid w:val="00151957"/>
    <w:rsid w:val="00152A81"/>
    <w:rsid w:val="00161887"/>
    <w:rsid w:val="001629E7"/>
    <w:rsid w:val="0016455E"/>
    <w:rsid w:val="001803AD"/>
    <w:rsid w:val="00186ED8"/>
    <w:rsid w:val="00196B85"/>
    <w:rsid w:val="001A13CB"/>
    <w:rsid w:val="001A1B3C"/>
    <w:rsid w:val="001A43B7"/>
    <w:rsid w:val="001A46FA"/>
    <w:rsid w:val="001A53D2"/>
    <w:rsid w:val="001A7441"/>
    <w:rsid w:val="001A7B56"/>
    <w:rsid w:val="001B05E7"/>
    <w:rsid w:val="001B3779"/>
    <w:rsid w:val="001B54A9"/>
    <w:rsid w:val="001B6FE4"/>
    <w:rsid w:val="001C13C7"/>
    <w:rsid w:val="001C1DEC"/>
    <w:rsid w:val="001C3DC9"/>
    <w:rsid w:val="001D297B"/>
    <w:rsid w:val="001D63F3"/>
    <w:rsid w:val="001D6655"/>
    <w:rsid w:val="001D6824"/>
    <w:rsid w:val="001D7232"/>
    <w:rsid w:val="001D7637"/>
    <w:rsid w:val="001E2B3E"/>
    <w:rsid w:val="001E7559"/>
    <w:rsid w:val="001F0DF6"/>
    <w:rsid w:val="001F22A3"/>
    <w:rsid w:val="001F64A1"/>
    <w:rsid w:val="001F6C0D"/>
    <w:rsid w:val="00200425"/>
    <w:rsid w:val="00202DB8"/>
    <w:rsid w:val="00205AC0"/>
    <w:rsid w:val="00205D92"/>
    <w:rsid w:val="00206E4E"/>
    <w:rsid w:val="00211EDF"/>
    <w:rsid w:val="00212BE3"/>
    <w:rsid w:val="00213436"/>
    <w:rsid w:val="002215F1"/>
    <w:rsid w:val="002221A3"/>
    <w:rsid w:val="00222FBC"/>
    <w:rsid w:val="00223673"/>
    <w:rsid w:val="00224C6F"/>
    <w:rsid w:val="00225314"/>
    <w:rsid w:val="002260EE"/>
    <w:rsid w:val="00227DE5"/>
    <w:rsid w:val="002315AD"/>
    <w:rsid w:val="00233B88"/>
    <w:rsid w:val="00234235"/>
    <w:rsid w:val="00234F39"/>
    <w:rsid w:val="00236780"/>
    <w:rsid w:val="00237D7D"/>
    <w:rsid w:val="00241DAD"/>
    <w:rsid w:val="00243C5F"/>
    <w:rsid w:val="00245420"/>
    <w:rsid w:val="00247AD9"/>
    <w:rsid w:val="00252795"/>
    <w:rsid w:val="00262F5B"/>
    <w:rsid w:val="00266161"/>
    <w:rsid w:val="00267070"/>
    <w:rsid w:val="00267834"/>
    <w:rsid w:val="002706F7"/>
    <w:rsid w:val="00271B28"/>
    <w:rsid w:val="00273C0D"/>
    <w:rsid w:val="002747AE"/>
    <w:rsid w:val="00275626"/>
    <w:rsid w:val="00276B39"/>
    <w:rsid w:val="00277246"/>
    <w:rsid w:val="002802FB"/>
    <w:rsid w:val="002815E2"/>
    <w:rsid w:val="002817FC"/>
    <w:rsid w:val="00281A1A"/>
    <w:rsid w:val="00283C7C"/>
    <w:rsid w:val="0029013B"/>
    <w:rsid w:val="0029689A"/>
    <w:rsid w:val="00297FEA"/>
    <w:rsid w:val="002A356E"/>
    <w:rsid w:val="002B0678"/>
    <w:rsid w:val="002B6096"/>
    <w:rsid w:val="002B6A5B"/>
    <w:rsid w:val="002C05E3"/>
    <w:rsid w:val="002C14EE"/>
    <w:rsid w:val="002C39D9"/>
    <w:rsid w:val="002C5744"/>
    <w:rsid w:val="002C749C"/>
    <w:rsid w:val="002D1A78"/>
    <w:rsid w:val="002D5555"/>
    <w:rsid w:val="002D6A8B"/>
    <w:rsid w:val="002E292B"/>
    <w:rsid w:val="002F18F0"/>
    <w:rsid w:val="002F1F9A"/>
    <w:rsid w:val="002F6B61"/>
    <w:rsid w:val="0030073A"/>
    <w:rsid w:val="0030742E"/>
    <w:rsid w:val="00307476"/>
    <w:rsid w:val="00310B40"/>
    <w:rsid w:val="0031615C"/>
    <w:rsid w:val="0031754B"/>
    <w:rsid w:val="00320960"/>
    <w:rsid w:val="0032250B"/>
    <w:rsid w:val="00323C63"/>
    <w:rsid w:val="0032444C"/>
    <w:rsid w:val="003269AF"/>
    <w:rsid w:val="00327F2A"/>
    <w:rsid w:val="003318E5"/>
    <w:rsid w:val="00332449"/>
    <w:rsid w:val="00335BAA"/>
    <w:rsid w:val="003407E2"/>
    <w:rsid w:val="00340C6F"/>
    <w:rsid w:val="00342024"/>
    <w:rsid w:val="00343FF0"/>
    <w:rsid w:val="0034492A"/>
    <w:rsid w:val="00344930"/>
    <w:rsid w:val="00353612"/>
    <w:rsid w:val="0035557F"/>
    <w:rsid w:val="00356C81"/>
    <w:rsid w:val="00357189"/>
    <w:rsid w:val="00357CE9"/>
    <w:rsid w:val="0036207A"/>
    <w:rsid w:val="00363878"/>
    <w:rsid w:val="00364ED1"/>
    <w:rsid w:val="003679C1"/>
    <w:rsid w:val="003710D7"/>
    <w:rsid w:val="00375540"/>
    <w:rsid w:val="00381D7F"/>
    <w:rsid w:val="0038270A"/>
    <w:rsid w:val="00382A79"/>
    <w:rsid w:val="00387BBA"/>
    <w:rsid w:val="0039426B"/>
    <w:rsid w:val="003A0EB3"/>
    <w:rsid w:val="003A0F47"/>
    <w:rsid w:val="003A1F3E"/>
    <w:rsid w:val="003A39F8"/>
    <w:rsid w:val="003A74C0"/>
    <w:rsid w:val="003A7DD0"/>
    <w:rsid w:val="003B15C7"/>
    <w:rsid w:val="003B333D"/>
    <w:rsid w:val="003B37D5"/>
    <w:rsid w:val="003B5F49"/>
    <w:rsid w:val="003B60EC"/>
    <w:rsid w:val="003C18F1"/>
    <w:rsid w:val="003C2DA3"/>
    <w:rsid w:val="003C5B6E"/>
    <w:rsid w:val="003C6FAF"/>
    <w:rsid w:val="003D032D"/>
    <w:rsid w:val="003D25ED"/>
    <w:rsid w:val="003D4D45"/>
    <w:rsid w:val="003D575C"/>
    <w:rsid w:val="003D74A8"/>
    <w:rsid w:val="003E0EA0"/>
    <w:rsid w:val="003E1C5C"/>
    <w:rsid w:val="003E459C"/>
    <w:rsid w:val="003E76E8"/>
    <w:rsid w:val="003F11F8"/>
    <w:rsid w:val="003F1C83"/>
    <w:rsid w:val="003F2B87"/>
    <w:rsid w:val="003F3422"/>
    <w:rsid w:val="003F417E"/>
    <w:rsid w:val="003F4D0A"/>
    <w:rsid w:val="0040639C"/>
    <w:rsid w:val="00407F35"/>
    <w:rsid w:val="00410979"/>
    <w:rsid w:val="004236BC"/>
    <w:rsid w:val="0042740B"/>
    <w:rsid w:val="00430293"/>
    <w:rsid w:val="0043210D"/>
    <w:rsid w:val="00433688"/>
    <w:rsid w:val="00433D3E"/>
    <w:rsid w:val="00440452"/>
    <w:rsid w:val="0044057A"/>
    <w:rsid w:val="00442891"/>
    <w:rsid w:val="00450CBD"/>
    <w:rsid w:val="004568EF"/>
    <w:rsid w:val="004607CD"/>
    <w:rsid w:val="00460918"/>
    <w:rsid w:val="00462292"/>
    <w:rsid w:val="00463A3B"/>
    <w:rsid w:val="00465094"/>
    <w:rsid w:val="00465D01"/>
    <w:rsid w:val="004676FD"/>
    <w:rsid w:val="00471448"/>
    <w:rsid w:val="00473CC1"/>
    <w:rsid w:val="004747EB"/>
    <w:rsid w:val="00475C7D"/>
    <w:rsid w:val="00476BC7"/>
    <w:rsid w:val="004770B0"/>
    <w:rsid w:val="00477856"/>
    <w:rsid w:val="004825CB"/>
    <w:rsid w:val="00483AFD"/>
    <w:rsid w:val="00487575"/>
    <w:rsid w:val="00493144"/>
    <w:rsid w:val="004932F1"/>
    <w:rsid w:val="00493F4D"/>
    <w:rsid w:val="00494F89"/>
    <w:rsid w:val="00495957"/>
    <w:rsid w:val="004A24D2"/>
    <w:rsid w:val="004A7EA8"/>
    <w:rsid w:val="004B3603"/>
    <w:rsid w:val="004B5C4B"/>
    <w:rsid w:val="004C4D0D"/>
    <w:rsid w:val="004C70FB"/>
    <w:rsid w:val="004C7DA3"/>
    <w:rsid w:val="004D5140"/>
    <w:rsid w:val="004E0D10"/>
    <w:rsid w:val="004E2587"/>
    <w:rsid w:val="004E39D7"/>
    <w:rsid w:val="004E6740"/>
    <w:rsid w:val="004F1D62"/>
    <w:rsid w:val="004F2BA3"/>
    <w:rsid w:val="004F3886"/>
    <w:rsid w:val="004F6108"/>
    <w:rsid w:val="004F68EF"/>
    <w:rsid w:val="00500517"/>
    <w:rsid w:val="00500954"/>
    <w:rsid w:val="00502EA5"/>
    <w:rsid w:val="00504FA8"/>
    <w:rsid w:val="005060D6"/>
    <w:rsid w:val="00512466"/>
    <w:rsid w:val="005175E4"/>
    <w:rsid w:val="00522381"/>
    <w:rsid w:val="005227D0"/>
    <w:rsid w:val="00522998"/>
    <w:rsid w:val="005265F6"/>
    <w:rsid w:val="00527A2F"/>
    <w:rsid w:val="00531FFB"/>
    <w:rsid w:val="00536970"/>
    <w:rsid w:val="00536A99"/>
    <w:rsid w:val="005370A4"/>
    <w:rsid w:val="00541795"/>
    <w:rsid w:val="00542B01"/>
    <w:rsid w:val="005432E9"/>
    <w:rsid w:val="00546035"/>
    <w:rsid w:val="00546F29"/>
    <w:rsid w:val="00547607"/>
    <w:rsid w:val="00550751"/>
    <w:rsid w:val="00550CA4"/>
    <w:rsid w:val="00553E9F"/>
    <w:rsid w:val="00562254"/>
    <w:rsid w:val="00564EC0"/>
    <w:rsid w:val="005664D6"/>
    <w:rsid w:val="005708DC"/>
    <w:rsid w:val="0057375E"/>
    <w:rsid w:val="00580C6B"/>
    <w:rsid w:val="00586AA2"/>
    <w:rsid w:val="00591466"/>
    <w:rsid w:val="00591FCA"/>
    <w:rsid w:val="00592E27"/>
    <w:rsid w:val="0059410E"/>
    <w:rsid w:val="00595387"/>
    <w:rsid w:val="00595DCF"/>
    <w:rsid w:val="005A2663"/>
    <w:rsid w:val="005A27DD"/>
    <w:rsid w:val="005A319C"/>
    <w:rsid w:val="005A31FF"/>
    <w:rsid w:val="005A506F"/>
    <w:rsid w:val="005B4083"/>
    <w:rsid w:val="005B4129"/>
    <w:rsid w:val="005C14D7"/>
    <w:rsid w:val="005C5F09"/>
    <w:rsid w:val="005C6AFA"/>
    <w:rsid w:val="005D0252"/>
    <w:rsid w:val="005D116B"/>
    <w:rsid w:val="005D1234"/>
    <w:rsid w:val="005D1466"/>
    <w:rsid w:val="005D17B9"/>
    <w:rsid w:val="005E1127"/>
    <w:rsid w:val="005E478B"/>
    <w:rsid w:val="005E7DAA"/>
    <w:rsid w:val="005F197B"/>
    <w:rsid w:val="005F398C"/>
    <w:rsid w:val="005F5410"/>
    <w:rsid w:val="00600FC4"/>
    <w:rsid w:val="00601BE1"/>
    <w:rsid w:val="006065A2"/>
    <w:rsid w:val="00606B24"/>
    <w:rsid w:val="006174F6"/>
    <w:rsid w:val="006248B7"/>
    <w:rsid w:val="0062500B"/>
    <w:rsid w:val="00627DE9"/>
    <w:rsid w:val="00631306"/>
    <w:rsid w:val="00631AD9"/>
    <w:rsid w:val="00636EEB"/>
    <w:rsid w:val="00640823"/>
    <w:rsid w:val="00641A12"/>
    <w:rsid w:val="00644528"/>
    <w:rsid w:val="006511A2"/>
    <w:rsid w:val="00654044"/>
    <w:rsid w:val="006571A0"/>
    <w:rsid w:val="00661B9C"/>
    <w:rsid w:val="00664EE5"/>
    <w:rsid w:val="006666EE"/>
    <w:rsid w:val="006670CE"/>
    <w:rsid w:val="006679C9"/>
    <w:rsid w:val="00667CC6"/>
    <w:rsid w:val="00675E05"/>
    <w:rsid w:val="006770BC"/>
    <w:rsid w:val="006828B8"/>
    <w:rsid w:val="00693F46"/>
    <w:rsid w:val="006A02D1"/>
    <w:rsid w:val="006A1FE2"/>
    <w:rsid w:val="006A6BD8"/>
    <w:rsid w:val="006B252D"/>
    <w:rsid w:val="006B2D3C"/>
    <w:rsid w:val="006B52CF"/>
    <w:rsid w:val="006B6193"/>
    <w:rsid w:val="006B685D"/>
    <w:rsid w:val="006B7219"/>
    <w:rsid w:val="006C0EDA"/>
    <w:rsid w:val="006C3359"/>
    <w:rsid w:val="006C3A56"/>
    <w:rsid w:val="006C69AD"/>
    <w:rsid w:val="006C7BA0"/>
    <w:rsid w:val="006D18C5"/>
    <w:rsid w:val="006E4C54"/>
    <w:rsid w:val="006E5CB6"/>
    <w:rsid w:val="006E7C3E"/>
    <w:rsid w:val="006F3338"/>
    <w:rsid w:val="006F4983"/>
    <w:rsid w:val="006F4D43"/>
    <w:rsid w:val="006F74CA"/>
    <w:rsid w:val="00700286"/>
    <w:rsid w:val="00702685"/>
    <w:rsid w:val="007070F5"/>
    <w:rsid w:val="00724A50"/>
    <w:rsid w:val="007267EF"/>
    <w:rsid w:val="007303F1"/>
    <w:rsid w:val="0073796F"/>
    <w:rsid w:val="007401CF"/>
    <w:rsid w:val="0074031F"/>
    <w:rsid w:val="007442BB"/>
    <w:rsid w:val="00745ACC"/>
    <w:rsid w:val="00745ECA"/>
    <w:rsid w:val="00746C2A"/>
    <w:rsid w:val="00751532"/>
    <w:rsid w:val="00753E38"/>
    <w:rsid w:val="007571C4"/>
    <w:rsid w:val="0075791D"/>
    <w:rsid w:val="00766377"/>
    <w:rsid w:val="0077593A"/>
    <w:rsid w:val="00785365"/>
    <w:rsid w:val="00785A5D"/>
    <w:rsid w:val="0078653A"/>
    <w:rsid w:val="0078789C"/>
    <w:rsid w:val="007921B3"/>
    <w:rsid w:val="007934C7"/>
    <w:rsid w:val="00793823"/>
    <w:rsid w:val="00796CED"/>
    <w:rsid w:val="007A07F7"/>
    <w:rsid w:val="007A2908"/>
    <w:rsid w:val="007A40BC"/>
    <w:rsid w:val="007A770C"/>
    <w:rsid w:val="007B0228"/>
    <w:rsid w:val="007B0E81"/>
    <w:rsid w:val="007B20B3"/>
    <w:rsid w:val="007B3E80"/>
    <w:rsid w:val="007B4A77"/>
    <w:rsid w:val="007B5254"/>
    <w:rsid w:val="007B5C1A"/>
    <w:rsid w:val="007B71E9"/>
    <w:rsid w:val="007B79EA"/>
    <w:rsid w:val="007C2C2A"/>
    <w:rsid w:val="007C4875"/>
    <w:rsid w:val="007C6D7B"/>
    <w:rsid w:val="007D1E77"/>
    <w:rsid w:val="007D1E98"/>
    <w:rsid w:val="007D217A"/>
    <w:rsid w:val="007D558F"/>
    <w:rsid w:val="007D5A0B"/>
    <w:rsid w:val="007D7749"/>
    <w:rsid w:val="007D7E5D"/>
    <w:rsid w:val="007E0F3B"/>
    <w:rsid w:val="007E6B1F"/>
    <w:rsid w:val="007F26BC"/>
    <w:rsid w:val="007F29CF"/>
    <w:rsid w:val="007F4A8B"/>
    <w:rsid w:val="007F6634"/>
    <w:rsid w:val="007F7593"/>
    <w:rsid w:val="008010DB"/>
    <w:rsid w:val="00801865"/>
    <w:rsid w:val="00802472"/>
    <w:rsid w:val="00803CE3"/>
    <w:rsid w:val="00804CB7"/>
    <w:rsid w:val="00807473"/>
    <w:rsid w:val="008113E8"/>
    <w:rsid w:val="0081434F"/>
    <w:rsid w:val="00814DD1"/>
    <w:rsid w:val="00823566"/>
    <w:rsid w:val="0082428A"/>
    <w:rsid w:val="00825FF9"/>
    <w:rsid w:val="00835544"/>
    <w:rsid w:val="00835D7B"/>
    <w:rsid w:val="00836F13"/>
    <w:rsid w:val="008375F4"/>
    <w:rsid w:val="00842983"/>
    <w:rsid w:val="008432E0"/>
    <w:rsid w:val="00844E05"/>
    <w:rsid w:val="00846022"/>
    <w:rsid w:val="00847DC7"/>
    <w:rsid w:val="00854F00"/>
    <w:rsid w:val="00855748"/>
    <w:rsid w:val="00855FBC"/>
    <w:rsid w:val="00856084"/>
    <w:rsid w:val="00856324"/>
    <w:rsid w:val="008573E8"/>
    <w:rsid w:val="00860034"/>
    <w:rsid w:val="008603DF"/>
    <w:rsid w:val="0086279A"/>
    <w:rsid w:val="008629C1"/>
    <w:rsid w:val="00862A42"/>
    <w:rsid w:val="008635C5"/>
    <w:rsid w:val="008661D1"/>
    <w:rsid w:val="008663B9"/>
    <w:rsid w:val="00866A86"/>
    <w:rsid w:val="008706CE"/>
    <w:rsid w:val="00871F68"/>
    <w:rsid w:val="0087560D"/>
    <w:rsid w:val="00877B15"/>
    <w:rsid w:val="00881055"/>
    <w:rsid w:val="00882A12"/>
    <w:rsid w:val="00882E9A"/>
    <w:rsid w:val="0089061C"/>
    <w:rsid w:val="00890C36"/>
    <w:rsid w:val="00892C45"/>
    <w:rsid w:val="008934E7"/>
    <w:rsid w:val="00893DF1"/>
    <w:rsid w:val="00894281"/>
    <w:rsid w:val="00896CE7"/>
    <w:rsid w:val="008A4977"/>
    <w:rsid w:val="008A6119"/>
    <w:rsid w:val="008A6E00"/>
    <w:rsid w:val="008B2AA6"/>
    <w:rsid w:val="008B6BF5"/>
    <w:rsid w:val="008B6FFF"/>
    <w:rsid w:val="008B74EF"/>
    <w:rsid w:val="008C5C50"/>
    <w:rsid w:val="008D0552"/>
    <w:rsid w:val="008D3F41"/>
    <w:rsid w:val="008D47DC"/>
    <w:rsid w:val="008D75E2"/>
    <w:rsid w:val="008E08FB"/>
    <w:rsid w:val="008E319F"/>
    <w:rsid w:val="008E5F0F"/>
    <w:rsid w:val="008E61C9"/>
    <w:rsid w:val="008E75E1"/>
    <w:rsid w:val="008F1409"/>
    <w:rsid w:val="008F1D7D"/>
    <w:rsid w:val="008F33B2"/>
    <w:rsid w:val="008F3BA2"/>
    <w:rsid w:val="008F42A4"/>
    <w:rsid w:val="008F5258"/>
    <w:rsid w:val="008F5B85"/>
    <w:rsid w:val="008F5D9E"/>
    <w:rsid w:val="008F70E0"/>
    <w:rsid w:val="00902546"/>
    <w:rsid w:val="00903E33"/>
    <w:rsid w:val="00905CC9"/>
    <w:rsid w:val="009125BF"/>
    <w:rsid w:val="00916367"/>
    <w:rsid w:val="00923A58"/>
    <w:rsid w:val="00923DE7"/>
    <w:rsid w:val="009248B9"/>
    <w:rsid w:val="0092609C"/>
    <w:rsid w:val="009275E1"/>
    <w:rsid w:val="0093022C"/>
    <w:rsid w:val="00931EF8"/>
    <w:rsid w:val="00941593"/>
    <w:rsid w:val="00943983"/>
    <w:rsid w:val="00943F56"/>
    <w:rsid w:val="00946676"/>
    <w:rsid w:val="00951175"/>
    <w:rsid w:val="009521A0"/>
    <w:rsid w:val="009538B7"/>
    <w:rsid w:val="00955085"/>
    <w:rsid w:val="0095607B"/>
    <w:rsid w:val="00956469"/>
    <w:rsid w:val="00962898"/>
    <w:rsid w:val="00964D1A"/>
    <w:rsid w:val="00964D46"/>
    <w:rsid w:val="00971A46"/>
    <w:rsid w:val="009725FF"/>
    <w:rsid w:val="00973FBD"/>
    <w:rsid w:val="00980782"/>
    <w:rsid w:val="00990D4B"/>
    <w:rsid w:val="00996A96"/>
    <w:rsid w:val="009A00FE"/>
    <w:rsid w:val="009A1AE7"/>
    <w:rsid w:val="009A65E2"/>
    <w:rsid w:val="009A688B"/>
    <w:rsid w:val="009C1765"/>
    <w:rsid w:val="009C6EFB"/>
    <w:rsid w:val="009D0026"/>
    <w:rsid w:val="009D05B9"/>
    <w:rsid w:val="009D1F0D"/>
    <w:rsid w:val="009D2167"/>
    <w:rsid w:val="009D3888"/>
    <w:rsid w:val="009D52E4"/>
    <w:rsid w:val="009E0BB8"/>
    <w:rsid w:val="009E1AFA"/>
    <w:rsid w:val="009E5BEF"/>
    <w:rsid w:val="009F20F8"/>
    <w:rsid w:val="009F420E"/>
    <w:rsid w:val="009F528F"/>
    <w:rsid w:val="009F70AE"/>
    <w:rsid w:val="00A04113"/>
    <w:rsid w:val="00A05177"/>
    <w:rsid w:val="00A0669F"/>
    <w:rsid w:val="00A06CC1"/>
    <w:rsid w:val="00A10BF6"/>
    <w:rsid w:val="00A1165C"/>
    <w:rsid w:val="00A12BC9"/>
    <w:rsid w:val="00A147FB"/>
    <w:rsid w:val="00A164DC"/>
    <w:rsid w:val="00A1723F"/>
    <w:rsid w:val="00A17631"/>
    <w:rsid w:val="00A21F83"/>
    <w:rsid w:val="00A233ED"/>
    <w:rsid w:val="00A235EE"/>
    <w:rsid w:val="00A26475"/>
    <w:rsid w:val="00A2799E"/>
    <w:rsid w:val="00A32310"/>
    <w:rsid w:val="00A3349E"/>
    <w:rsid w:val="00A338AD"/>
    <w:rsid w:val="00A3517F"/>
    <w:rsid w:val="00A35874"/>
    <w:rsid w:val="00A370B1"/>
    <w:rsid w:val="00A40A6A"/>
    <w:rsid w:val="00A42137"/>
    <w:rsid w:val="00A465D2"/>
    <w:rsid w:val="00A5070C"/>
    <w:rsid w:val="00A52812"/>
    <w:rsid w:val="00A5436C"/>
    <w:rsid w:val="00A55478"/>
    <w:rsid w:val="00A5581A"/>
    <w:rsid w:val="00A55CC1"/>
    <w:rsid w:val="00A57EDB"/>
    <w:rsid w:val="00A64E2F"/>
    <w:rsid w:val="00A650CB"/>
    <w:rsid w:val="00A73F03"/>
    <w:rsid w:val="00A75813"/>
    <w:rsid w:val="00A808AA"/>
    <w:rsid w:val="00A81162"/>
    <w:rsid w:val="00A831F2"/>
    <w:rsid w:val="00A83B75"/>
    <w:rsid w:val="00A84070"/>
    <w:rsid w:val="00A8494A"/>
    <w:rsid w:val="00A85B94"/>
    <w:rsid w:val="00A86011"/>
    <w:rsid w:val="00A8611A"/>
    <w:rsid w:val="00A869E6"/>
    <w:rsid w:val="00A879FE"/>
    <w:rsid w:val="00A90B95"/>
    <w:rsid w:val="00A95D2D"/>
    <w:rsid w:val="00A97105"/>
    <w:rsid w:val="00AA1E10"/>
    <w:rsid w:val="00AA3426"/>
    <w:rsid w:val="00AA71A0"/>
    <w:rsid w:val="00AA7E55"/>
    <w:rsid w:val="00AB1DAB"/>
    <w:rsid w:val="00AB3A2F"/>
    <w:rsid w:val="00AB4EA4"/>
    <w:rsid w:val="00AC1BC1"/>
    <w:rsid w:val="00AC3D7A"/>
    <w:rsid w:val="00AC4360"/>
    <w:rsid w:val="00AC536D"/>
    <w:rsid w:val="00AC7600"/>
    <w:rsid w:val="00AD2926"/>
    <w:rsid w:val="00AD3098"/>
    <w:rsid w:val="00AD4160"/>
    <w:rsid w:val="00AD6053"/>
    <w:rsid w:val="00AE1319"/>
    <w:rsid w:val="00AE4C0F"/>
    <w:rsid w:val="00AE67CA"/>
    <w:rsid w:val="00AF00DA"/>
    <w:rsid w:val="00AF0A92"/>
    <w:rsid w:val="00B02F3D"/>
    <w:rsid w:val="00B03DF3"/>
    <w:rsid w:val="00B051C7"/>
    <w:rsid w:val="00B101DF"/>
    <w:rsid w:val="00B108BB"/>
    <w:rsid w:val="00B130DC"/>
    <w:rsid w:val="00B1560A"/>
    <w:rsid w:val="00B2036B"/>
    <w:rsid w:val="00B24359"/>
    <w:rsid w:val="00B24EE2"/>
    <w:rsid w:val="00B25BDE"/>
    <w:rsid w:val="00B268F6"/>
    <w:rsid w:val="00B358AD"/>
    <w:rsid w:val="00B35947"/>
    <w:rsid w:val="00B37B4B"/>
    <w:rsid w:val="00B40F00"/>
    <w:rsid w:val="00B4156C"/>
    <w:rsid w:val="00B41DAC"/>
    <w:rsid w:val="00B43092"/>
    <w:rsid w:val="00B445B0"/>
    <w:rsid w:val="00B45757"/>
    <w:rsid w:val="00B50CC9"/>
    <w:rsid w:val="00B5238D"/>
    <w:rsid w:val="00B52C46"/>
    <w:rsid w:val="00B53003"/>
    <w:rsid w:val="00B531AB"/>
    <w:rsid w:val="00B60EF0"/>
    <w:rsid w:val="00B616D6"/>
    <w:rsid w:val="00B62EBA"/>
    <w:rsid w:val="00B63EE8"/>
    <w:rsid w:val="00B659DD"/>
    <w:rsid w:val="00B7196E"/>
    <w:rsid w:val="00B72535"/>
    <w:rsid w:val="00B734D7"/>
    <w:rsid w:val="00B75211"/>
    <w:rsid w:val="00B77226"/>
    <w:rsid w:val="00B80E4D"/>
    <w:rsid w:val="00B867D5"/>
    <w:rsid w:val="00B93A86"/>
    <w:rsid w:val="00B94479"/>
    <w:rsid w:val="00B945F5"/>
    <w:rsid w:val="00BA578B"/>
    <w:rsid w:val="00BA60A9"/>
    <w:rsid w:val="00BB65AB"/>
    <w:rsid w:val="00BC2715"/>
    <w:rsid w:val="00BC342F"/>
    <w:rsid w:val="00BD0235"/>
    <w:rsid w:val="00BD32F2"/>
    <w:rsid w:val="00BD3FD4"/>
    <w:rsid w:val="00BD4401"/>
    <w:rsid w:val="00BD6B09"/>
    <w:rsid w:val="00BD758E"/>
    <w:rsid w:val="00BD7A14"/>
    <w:rsid w:val="00BD7B93"/>
    <w:rsid w:val="00BE041A"/>
    <w:rsid w:val="00BE22DB"/>
    <w:rsid w:val="00BE701C"/>
    <w:rsid w:val="00BF146C"/>
    <w:rsid w:val="00C01406"/>
    <w:rsid w:val="00C01727"/>
    <w:rsid w:val="00C01C7B"/>
    <w:rsid w:val="00C06B6E"/>
    <w:rsid w:val="00C07091"/>
    <w:rsid w:val="00C11016"/>
    <w:rsid w:val="00C14B34"/>
    <w:rsid w:val="00C200F8"/>
    <w:rsid w:val="00C202CE"/>
    <w:rsid w:val="00C21EF7"/>
    <w:rsid w:val="00C24698"/>
    <w:rsid w:val="00C246FE"/>
    <w:rsid w:val="00C306BE"/>
    <w:rsid w:val="00C30840"/>
    <w:rsid w:val="00C34217"/>
    <w:rsid w:val="00C37AE0"/>
    <w:rsid w:val="00C37FC2"/>
    <w:rsid w:val="00C42D36"/>
    <w:rsid w:val="00C44504"/>
    <w:rsid w:val="00C44D90"/>
    <w:rsid w:val="00C44E1F"/>
    <w:rsid w:val="00C46F91"/>
    <w:rsid w:val="00C5021F"/>
    <w:rsid w:val="00C513BD"/>
    <w:rsid w:val="00C519F2"/>
    <w:rsid w:val="00C51A67"/>
    <w:rsid w:val="00C57B19"/>
    <w:rsid w:val="00C61BD1"/>
    <w:rsid w:val="00C641BB"/>
    <w:rsid w:val="00C66A18"/>
    <w:rsid w:val="00C71A65"/>
    <w:rsid w:val="00C75B56"/>
    <w:rsid w:val="00C8650C"/>
    <w:rsid w:val="00C86816"/>
    <w:rsid w:val="00C918A1"/>
    <w:rsid w:val="00C94110"/>
    <w:rsid w:val="00C972AC"/>
    <w:rsid w:val="00C97546"/>
    <w:rsid w:val="00CA1E55"/>
    <w:rsid w:val="00CA2293"/>
    <w:rsid w:val="00CA43D5"/>
    <w:rsid w:val="00CA452C"/>
    <w:rsid w:val="00CA461E"/>
    <w:rsid w:val="00CA50A6"/>
    <w:rsid w:val="00CA5B4D"/>
    <w:rsid w:val="00CB30E9"/>
    <w:rsid w:val="00CB3F2F"/>
    <w:rsid w:val="00CB6984"/>
    <w:rsid w:val="00CB7009"/>
    <w:rsid w:val="00CC1092"/>
    <w:rsid w:val="00CC134B"/>
    <w:rsid w:val="00CC1A02"/>
    <w:rsid w:val="00CC324E"/>
    <w:rsid w:val="00CC4174"/>
    <w:rsid w:val="00CC5E94"/>
    <w:rsid w:val="00CC66CA"/>
    <w:rsid w:val="00CC7A81"/>
    <w:rsid w:val="00CD08F3"/>
    <w:rsid w:val="00CD2F23"/>
    <w:rsid w:val="00CD315E"/>
    <w:rsid w:val="00CD5297"/>
    <w:rsid w:val="00CD603E"/>
    <w:rsid w:val="00CD6573"/>
    <w:rsid w:val="00CE1452"/>
    <w:rsid w:val="00CE157B"/>
    <w:rsid w:val="00CE4DC5"/>
    <w:rsid w:val="00CE552C"/>
    <w:rsid w:val="00CF23F1"/>
    <w:rsid w:val="00CF268E"/>
    <w:rsid w:val="00CF31F9"/>
    <w:rsid w:val="00CF4C32"/>
    <w:rsid w:val="00CF7893"/>
    <w:rsid w:val="00D04B91"/>
    <w:rsid w:val="00D05C4D"/>
    <w:rsid w:val="00D160C9"/>
    <w:rsid w:val="00D16FD8"/>
    <w:rsid w:val="00D24E10"/>
    <w:rsid w:val="00D2760E"/>
    <w:rsid w:val="00D276C8"/>
    <w:rsid w:val="00D31FF2"/>
    <w:rsid w:val="00D344A0"/>
    <w:rsid w:val="00D43E8A"/>
    <w:rsid w:val="00D65F7F"/>
    <w:rsid w:val="00D7017E"/>
    <w:rsid w:val="00D805B1"/>
    <w:rsid w:val="00D82AA4"/>
    <w:rsid w:val="00D82FC2"/>
    <w:rsid w:val="00D851C8"/>
    <w:rsid w:val="00D86BC4"/>
    <w:rsid w:val="00D87590"/>
    <w:rsid w:val="00D87813"/>
    <w:rsid w:val="00D912E5"/>
    <w:rsid w:val="00D91333"/>
    <w:rsid w:val="00D91383"/>
    <w:rsid w:val="00D91991"/>
    <w:rsid w:val="00D92A1B"/>
    <w:rsid w:val="00D9371B"/>
    <w:rsid w:val="00D96A97"/>
    <w:rsid w:val="00DA0C00"/>
    <w:rsid w:val="00DA3524"/>
    <w:rsid w:val="00DA379B"/>
    <w:rsid w:val="00DB0175"/>
    <w:rsid w:val="00DB34D2"/>
    <w:rsid w:val="00DB5A47"/>
    <w:rsid w:val="00DB793B"/>
    <w:rsid w:val="00DC3282"/>
    <w:rsid w:val="00DC35CE"/>
    <w:rsid w:val="00DC63A9"/>
    <w:rsid w:val="00DD3466"/>
    <w:rsid w:val="00DE037E"/>
    <w:rsid w:val="00DE0F0F"/>
    <w:rsid w:val="00DE3493"/>
    <w:rsid w:val="00DE59FA"/>
    <w:rsid w:val="00DF4731"/>
    <w:rsid w:val="00DF4754"/>
    <w:rsid w:val="00DF55C9"/>
    <w:rsid w:val="00E012B8"/>
    <w:rsid w:val="00E053C3"/>
    <w:rsid w:val="00E06FE2"/>
    <w:rsid w:val="00E07477"/>
    <w:rsid w:val="00E07F8A"/>
    <w:rsid w:val="00E116DF"/>
    <w:rsid w:val="00E227A2"/>
    <w:rsid w:val="00E22AE4"/>
    <w:rsid w:val="00E231B2"/>
    <w:rsid w:val="00E25EA6"/>
    <w:rsid w:val="00E27BC9"/>
    <w:rsid w:val="00E3106E"/>
    <w:rsid w:val="00E3115D"/>
    <w:rsid w:val="00E328DF"/>
    <w:rsid w:val="00E35110"/>
    <w:rsid w:val="00E37F36"/>
    <w:rsid w:val="00E41224"/>
    <w:rsid w:val="00E41515"/>
    <w:rsid w:val="00E4191F"/>
    <w:rsid w:val="00E42C29"/>
    <w:rsid w:val="00E433B6"/>
    <w:rsid w:val="00E4388A"/>
    <w:rsid w:val="00E43D10"/>
    <w:rsid w:val="00E4531C"/>
    <w:rsid w:val="00E456F4"/>
    <w:rsid w:val="00E55FFE"/>
    <w:rsid w:val="00E5634E"/>
    <w:rsid w:val="00E619C6"/>
    <w:rsid w:val="00E644E0"/>
    <w:rsid w:val="00E70B14"/>
    <w:rsid w:val="00E744D4"/>
    <w:rsid w:val="00E7537B"/>
    <w:rsid w:val="00E75E77"/>
    <w:rsid w:val="00E76725"/>
    <w:rsid w:val="00E76A90"/>
    <w:rsid w:val="00E800DF"/>
    <w:rsid w:val="00E80DA0"/>
    <w:rsid w:val="00E81B66"/>
    <w:rsid w:val="00E83B1E"/>
    <w:rsid w:val="00E854A9"/>
    <w:rsid w:val="00E9005D"/>
    <w:rsid w:val="00E9093D"/>
    <w:rsid w:val="00E91E80"/>
    <w:rsid w:val="00E91FA8"/>
    <w:rsid w:val="00E95F47"/>
    <w:rsid w:val="00E97647"/>
    <w:rsid w:val="00EA0360"/>
    <w:rsid w:val="00EA06E6"/>
    <w:rsid w:val="00EA196B"/>
    <w:rsid w:val="00EA5DEA"/>
    <w:rsid w:val="00EB30C9"/>
    <w:rsid w:val="00EB3803"/>
    <w:rsid w:val="00EB3E7C"/>
    <w:rsid w:val="00EB4FB8"/>
    <w:rsid w:val="00EB5E0D"/>
    <w:rsid w:val="00EB6866"/>
    <w:rsid w:val="00EC4385"/>
    <w:rsid w:val="00EC6AF7"/>
    <w:rsid w:val="00ED20D8"/>
    <w:rsid w:val="00EE0C2D"/>
    <w:rsid w:val="00EE1002"/>
    <w:rsid w:val="00EE5264"/>
    <w:rsid w:val="00EE6049"/>
    <w:rsid w:val="00EE69A6"/>
    <w:rsid w:val="00EE797C"/>
    <w:rsid w:val="00EF1765"/>
    <w:rsid w:val="00EF1B6A"/>
    <w:rsid w:val="00EF2C09"/>
    <w:rsid w:val="00EF2E5B"/>
    <w:rsid w:val="00EF5AB7"/>
    <w:rsid w:val="00EF689E"/>
    <w:rsid w:val="00EF6A49"/>
    <w:rsid w:val="00EF73A4"/>
    <w:rsid w:val="00F00D37"/>
    <w:rsid w:val="00F03A7E"/>
    <w:rsid w:val="00F0584E"/>
    <w:rsid w:val="00F122FB"/>
    <w:rsid w:val="00F1492F"/>
    <w:rsid w:val="00F24412"/>
    <w:rsid w:val="00F24E6D"/>
    <w:rsid w:val="00F25CB0"/>
    <w:rsid w:val="00F2663C"/>
    <w:rsid w:val="00F276FE"/>
    <w:rsid w:val="00F27AE4"/>
    <w:rsid w:val="00F337D6"/>
    <w:rsid w:val="00F34D81"/>
    <w:rsid w:val="00F35EE3"/>
    <w:rsid w:val="00F36043"/>
    <w:rsid w:val="00F36143"/>
    <w:rsid w:val="00F37101"/>
    <w:rsid w:val="00F41C26"/>
    <w:rsid w:val="00F43EC7"/>
    <w:rsid w:val="00F441C3"/>
    <w:rsid w:val="00F4631C"/>
    <w:rsid w:val="00F46332"/>
    <w:rsid w:val="00F51D91"/>
    <w:rsid w:val="00F5409F"/>
    <w:rsid w:val="00F54173"/>
    <w:rsid w:val="00F5695C"/>
    <w:rsid w:val="00F6111D"/>
    <w:rsid w:val="00F61610"/>
    <w:rsid w:val="00F6222C"/>
    <w:rsid w:val="00F66BD3"/>
    <w:rsid w:val="00F66C69"/>
    <w:rsid w:val="00F700F2"/>
    <w:rsid w:val="00F70A83"/>
    <w:rsid w:val="00F71604"/>
    <w:rsid w:val="00F75DB1"/>
    <w:rsid w:val="00F77C58"/>
    <w:rsid w:val="00F8043B"/>
    <w:rsid w:val="00F9261F"/>
    <w:rsid w:val="00F9348B"/>
    <w:rsid w:val="00F9372D"/>
    <w:rsid w:val="00F97874"/>
    <w:rsid w:val="00F97D67"/>
    <w:rsid w:val="00FA2398"/>
    <w:rsid w:val="00FA3336"/>
    <w:rsid w:val="00FA4334"/>
    <w:rsid w:val="00FB11E9"/>
    <w:rsid w:val="00FB481A"/>
    <w:rsid w:val="00FC04A7"/>
    <w:rsid w:val="00FC3AB7"/>
    <w:rsid w:val="00FC5047"/>
    <w:rsid w:val="00FC611E"/>
    <w:rsid w:val="00FD01AE"/>
    <w:rsid w:val="00FD22D0"/>
    <w:rsid w:val="00FD34A4"/>
    <w:rsid w:val="00FD3975"/>
    <w:rsid w:val="00FD4598"/>
    <w:rsid w:val="00FE1574"/>
    <w:rsid w:val="00FE1B2C"/>
    <w:rsid w:val="00FE72E6"/>
    <w:rsid w:val="00FE79B7"/>
    <w:rsid w:val="00FF26E9"/>
    <w:rsid w:val="00FF2D10"/>
    <w:rsid w:val="00FF62EA"/>
    <w:rsid w:val="00FF70AB"/>
    <w:rsid w:val="00FF72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F26B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3710D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3">
    <w:name w:val="heading 3"/>
    <w:basedOn w:val="Parasts"/>
    <w:link w:val="Virsraksts3Rakstz"/>
    <w:uiPriority w:val="9"/>
    <w:qFormat/>
    <w:rsid w:val="007F26BC"/>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7F26BC"/>
    <w:rPr>
      <w:rFonts w:ascii="Times New Roman" w:eastAsia="Times New Roman" w:hAnsi="Times New Roman" w:cs="Times New Roman"/>
      <w:b/>
      <w:bCs/>
      <w:sz w:val="27"/>
      <w:szCs w:val="27"/>
      <w:lang w:eastAsia="lv-LV"/>
    </w:rPr>
  </w:style>
  <w:style w:type="paragraph" w:styleId="Nosaukums">
    <w:name w:val="Title"/>
    <w:basedOn w:val="Parasts"/>
    <w:link w:val="NosaukumsRakstz"/>
    <w:qFormat/>
    <w:rsid w:val="007F26BC"/>
    <w:pPr>
      <w:jc w:val="center"/>
    </w:pPr>
    <w:rPr>
      <w:sz w:val="28"/>
      <w:szCs w:val="20"/>
      <w:lang w:eastAsia="en-US"/>
    </w:rPr>
  </w:style>
  <w:style w:type="character" w:customStyle="1" w:styleId="NosaukumsRakstz">
    <w:name w:val="Nosaukums Rakstz."/>
    <w:basedOn w:val="Noklusjumarindkopasfonts"/>
    <w:link w:val="Nosaukums"/>
    <w:rsid w:val="007F26BC"/>
    <w:rPr>
      <w:rFonts w:ascii="Times New Roman" w:eastAsia="Times New Roman" w:hAnsi="Times New Roman" w:cs="Times New Roman"/>
      <w:sz w:val="28"/>
      <w:szCs w:val="20"/>
    </w:rPr>
  </w:style>
  <w:style w:type="character" w:styleId="Hipersaite">
    <w:name w:val="Hyperlink"/>
    <w:basedOn w:val="Noklusjumarindkopasfonts"/>
    <w:uiPriority w:val="99"/>
    <w:unhideWhenUsed/>
    <w:rsid w:val="007F26BC"/>
    <w:rPr>
      <w:color w:val="0000FF"/>
      <w:u w:val="single"/>
    </w:rPr>
  </w:style>
  <w:style w:type="paragraph" w:styleId="Galvene">
    <w:name w:val="header"/>
    <w:basedOn w:val="Parasts"/>
    <w:link w:val="GalveneRakstz"/>
    <w:uiPriority w:val="99"/>
    <w:unhideWhenUsed/>
    <w:rsid w:val="007F26BC"/>
    <w:pPr>
      <w:tabs>
        <w:tab w:val="center" w:pos="4153"/>
        <w:tab w:val="right" w:pos="8306"/>
      </w:tabs>
    </w:pPr>
  </w:style>
  <w:style w:type="character" w:customStyle="1" w:styleId="GalveneRakstz">
    <w:name w:val="Galvene Rakstz."/>
    <w:basedOn w:val="Noklusjumarindkopasfonts"/>
    <w:link w:val="Galvene"/>
    <w:uiPriority w:val="99"/>
    <w:rsid w:val="007F26BC"/>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7F26BC"/>
    <w:pPr>
      <w:tabs>
        <w:tab w:val="center" w:pos="4153"/>
        <w:tab w:val="right" w:pos="8306"/>
      </w:tabs>
    </w:pPr>
  </w:style>
  <w:style w:type="character" w:customStyle="1" w:styleId="KjeneRakstz">
    <w:name w:val="Kājene Rakstz."/>
    <w:basedOn w:val="Noklusjumarindkopasfonts"/>
    <w:link w:val="Kjene"/>
    <w:uiPriority w:val="99"/>
    <w:rsid w:val="007F26BC"/>
    <w:rPr>
      <w:rFonts w:ascii="Times New Roman" w:eastAsia="Times New Roman" w:hAnsi="Times New Roman" w:cs="Times New Roman"/>
      <w:sz w:val="24"/>
      <w:szCs w:val="24"/>
      <w:lang w:eastAsia="lv-LV"/>
    </w:rPr>
  </w:style>
  <w:style w:type="paragraph" w:customStyle="1" w:styleId="naisf">
    <w:name w:val="naisf"/>
    <w:basedOn w:val="Parasts"/>
    <w:rsid w:val="007F26BC"/>
    <w:pPr>
      <w:spacing w:before="100" w:after="100"/>
    </w:pPr>
    <w:rPr>
      <w:szCs w:val="20"/>
    </w:rPr>
  </w:style>
  <w:style w:type="paragraph" w:styleId="Vresteksts">
    <w:name w:val="footnote text"/>
    <w:basedOn w:val="Parasts"/>
    <w:link w:val="VrestekstsRakstz"/>
    <w:uiPriority w:val="99"/>
    <w:semiHidden/>
    <w:unhideWhenUsed/>
    <w:rsid w:val="007F26BC"/>
    <w:rPr>
      <w:sz w:val="20"/>
      <w:szCs w:val="20"/>
    </w:rPr>
  </w:style>
  <w:style w:type="character" w:customStyle="1" w:styleId="VrestekstsRakstz">
    <w:name w:val="Vēres teksts Rakstz."/>
    <w:basedOn w:val="Noklusjumarindkopasfonts"/>
    <w:link w:val="Vresteksts"/>
    <w:uiPriority w:val="99"/>
    <w:semiHidden/>
    <w:rsid w:val="007F26BC"/>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7F26BC"/>
    <w:rPr>
      <w:vertAlign w:val="superscript"/>
    </w:rPr>
  </w:style>
  <w:style w:type="paragraph" w:customStyle="1" w:styleId="naiskr">
    <w:name w:val="naiskr"/>
    <w:basedOn w:val="Parasts"/>
    <w:rsid w:val="002C14EE"/>
    <w:pPr>
      <w:spacing w:before="75" w:after="75"/>
    </w:pPr>
  </w:style>
  <w:style w:type="paragraph" w:customStyle="1" w:styleId="NormalWebCharChar">
    <w:name w:val="Normal (Web) Char Char"/>
    <w:basedOn w:val="Parasts"/>
    <w:rsid w:val="003C6FAF"/>
    <w:pPr>
      <w:widowControl w:val="0"/>
      <w:suppressAutoHyphens/>
      <w:spacing w:before="280" w:after="280"/>
    </w:pPr>
    <w:rPr>
      <w:color w:val="000000"/>
      <w:sz w:val="20"/>
      <w:szCs w:val="20"/>
      <w:lang w:eastAsia="zh-CN"/>
    </w:rPr>
  </w:style>
  <w:style w:type="paragraph" w:styleId="Komentrateksts">
    <w:name w:val="annotation text"/>
    <w:basedOn w:val="Parasts"/>
    <w:link w:val="KomentratekstsRakstz"/>
    <w:unhideWhenUsed/>
    <w:rsid w:val="00357189"/>
    <w:pPr>
      <w:spacing w:after="20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rsid w:val="00357189"/>
    <w:rPr>
      <w:sz w:val="20"/>
      <w:szCs w:val="20"/>
    </w:rPr>
  </w:style>
  <w:style w:type="character" w:customStyle="1" w:styleId="Virsraksts1Rakstz">
    <w:name w:val="Virsraksts 1 Rakstz."/>
    <w:basedOn w:val="Noklusjumarindkopasfonts"/>
    <w:link w:val="Virsraksts1"/>
    <w:uiPriority w:val="9"/>
    <w:rsid w:val="003710D7"/>
    <w:rPr>
      <w:rFonts w:asciiTheme="majorHAnsi" w:eastAsiaTheme="majorEastAsia" w:hAnsiTheme="majorHAnsi" w:cstheme="majorBidi"/>
      <w:color w:val="2E74B5" w:themeColor="accent1" w:themeShade="BF"/>
      <w:sz w:val="32"/>
      <w:szCs w:val="32"/>
      <w:lang w:eastAsia="lv-LV"/>
    </w:rPr>
  </w:style>
  <w:style w:type="paragraph" w:styleId="Sarakstarindkopa">
    <w:name w:val="List Paragraph"/>
    <w:basedOn w:val="Parasts"/>
    <w:uiPriority w:val="34"/>
    <w:qFormat/>
    <w:rsid w:val="005265F6"/>
    <w:pPr>
      <w:ind w:left="720"/>
      <w:contextualSpacing/>
    </w:pPr>
  </w:style>
  <w:style w:type="paragraph" w:styleId="Balonteksts">
    <w:name w:val="Balloon Text"/>
    <w:basedOn w:val="Parasts"/>
    <w:link w:val="BalontekstsRakstz"/>
    <w:uiPriority w:val="99"/>
    <w:semiHidden/>
    <w:unhideWhenUsed/>
    <w:rsid w:val="005D116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D116B"/>
    <w:rPr>
      <w:rFonts w:ascii="Segoe UI" w:eastAsia="Times New Roman" w:hAnsi="Segoe UI" w:cs="Segoe UI"/>
      <w:sz w:val="18"/>
      <w:szCs w:val="18"/>
      <w:lang w:eastAsia="lv-LV"/>
    </w:rPr>
  </w:style>
  <w:style w:type="paragraph" w:styleId="Paraststmeklis">
    <w:name w:val="Normal (Web)"/>
    <w:basedOn w:val="Parasts"/>
    <w:uiPriority w:val="99"/>
    <w:unhideWhenUsed/>
    <w:rsid w:val="00CB30E9"/>
    <w:pPr>
      <w:spacing w:before="100" w:beforeAutospacing="1" w:after="100" w:afterAutospacing="1"/>
    </w:pPr>
  </w:style>
  <w:style w:type="table" w:styleId="Reatabula">
    <w:name w:val="Table Grid"/>
    <w:basedOn w:val="Parastatabula"/>
    <w:uiPriority w:val="39"/>
    <w:rsid w:val="0014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4F68EF"/>
    <w:pPr>
      <w:spacing w:after="0" w:line="240" w:lineRule="auto"/>
    </w:pPr>
    <w:rPr>
      <w:rFonts w:ascii="Calibri" w:eastAsia="Times New Roman" w:hAnsi="Calibri" w:cs="Times New Roman"/>
      <w:lang w:eastAsia="lv-LV"/>
    </w:rPr>
  </w:style>
  <w:style w:type="character" w:styleId="Komentraatsauce">
    <w:name w:val="annotation reference"/>
    <w:basedOn w:val="Noklusjumarindkopasfonts"/>
    <w:uiPriority w:val="99"/>
    <w:semiHidden/>
    <w:unhideWhenUsed/>
    <w:rsid w:val="00DF55C9"/>
    <w:rPr>
      <w:sz w:val="16"/>
      <w:szCs w:val="16"/>
    </w:rPr>
  </w:style>
  <w:style w:type="paragraph" w:styleId="Komentratma">
    <w:name w:val="annotation subject"/>
    <w:basedOn w:val="Komentrateksts"/>
    <w:next w:val="Komentrateksts"/>
    <w:link w:val="KomentratmaRakstz"/>
    <w:uiPriority w:val="99"/>
    <w:semiHidden/>
    <w:unhideWhenUsed/>
    <w:rsid w:val="00DF55C9"/>
    <w:pPr>
      <w:spacing w:after="0"/>
    </w:pPr>
    <w:rPr>
      <w:rFonts w:ascii="Times New Roman" w:eastAsia="Times New Roman" w:hAnsi="Times New Roman" w:cs="Times New Roman"/>
      <w:b/>
      <w:bCs/>
      <w:lang w:eastAsia="lv-LV"/>
    </w:rPr>
  </w:style>
  <w:style w:type="character" w:customStyle="1" w:styleId="KomentratmaRakstz">
    <w:name w:val="Komentāra tēma Rakstz."/>
    <w:basedOn w:val="KomentratekstsRakstz"/>
    <w:link w:val="Komentratma"/>
    <w:uiPriority w:val="99"/>
    <w:semiHidden/>
    <w:rsid w:val="00DF55C9"/>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F26B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3710D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3">
    <w:name w:val="heading 3"/>
    <w:basedOn w:val="Parasts"/>
    <w:link w:val="Virsraksts3Rakstz"/>
    <w:uiPriority w:val="9"/>
    <w:qFormat/>
    <w:rsid w:val="007F26BC"/>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7F26BC"/>
    <w:rPr>
      <w:rFonts w:ascii="Times New Roman" w:eastAsia="Times New Roman" w:hAnsi="Times New Roman" w:cs="Times New Roman"/>
      <w:b/>
      <w:bCs/>
      <w:sz w:val="27"/>
      <w:szCs w:val="27"/>
      <w:lang w:eastAsia="lv-LV"/>
    </w:rPr>
  </w:style>
  <w:style w:type="paragraph" w:styleId="Nosaukums">
    <w:name w:val="Title"/>
    <w:basedOn w:val="Parasts"/>
    <w:link w:val="NosaukumsRakstz"/>
    <w:qFormat/>
    <w:rsid w:val="007F26BC"/>
    <w:pPr>
      <w:jc w:val="center"/>
    </w:pPr>
    <w:rPr>
      <w:sz w:val="28"/>
      <w:szCs w:val="20"/>
      <w:lang w:eastAsia="en-US"/>
    </w:rPr>
  </w:style>
  <w:style w:type="character" w:customStyle="1" w:styleId="NosaukumsRakstz">
    <w:name w:val="Nosaukums Rakstz."/>
    <w:basedOn w:val="Noklusjumarindkopasfonts"/>
    <w:link w:val="Nosaukums"/>
    <w:rsid w:val="007F26BC"/>
    <w:rPr>
      <w:rFonts w:ascii="Times New Roman" w:eastAsia="Times New Roman" w:hAnsi="Times New Roman" w:cs="Times New Roman"/>
      <w:sz w:val="28"/>
      <w:szCs w:val="20"/>
    </w:rPr>
  </w:style>
  <w:style w:type="character" w:styleId="Hipersaite">
    <w:name w:val="Hyperlink"/>
    <w:basedOn w:val="Noklusjumarindkopasfonts"/>
    <w:uiPriority w:val="99"/>
    <w:unhideWhenUsed/>
    <w:rsid w:val="007F26BC"/>
    <w:rPr>
      <w:color w:val="0000FF"/>
      <w:u w:val="single"/>
    </w:rPr>
  </w:style>
  <w:style w:type="paragraph" w:styleId="Galvene">
    <w:name w:val="header"/>
    <w:basedOn w:val="Parasts"/>
    <w:link w:val="GalveneRakstz"/>
    <w:uiPriority w:val="99"/>
    <w:unhideWhenUsed/>
    <w:rsid w:val="007F26BC"/>
    <w:pPr>
      <w:tabs>
        <w:tab w:val="center" w:pos="4153"/>
        <w:tab w:val="right" w:pos="8306"/>
      </w:tabs>
    </w:pPr>
  </w:style>
  <w:style w:type="character" w:customStyle="1" w:styleId="GalveneRakstz">
    <w:name w:val="Galvene Rakstz."/>
    <w:basedOn w:val="Noklusjumarindkopasfonts"/>
    <w:link w:val="Galvene"/>
    <w:uiPriority w:val="99"/>
    <w:rsid w:val="007F26BC"/>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7F26BC"/>
    <w:pPr>
      <w:tabs>
        <w:tab w:val="center" w:pos="4153"/>
        <w:tab w:val="right" w:pos="8306"/>
      </w:tabs>
    </w:pPr>
  </w:style>
  <w:style w:type="character" w:customStyle="1" w:styleId="KjeneRakstz">
    <w:name w:val="Kājene Rakstz."/>
    <w:basedOn w:val="Noklusjumarindkopasfonts"/>
    <w:link w:val="Kjene"/>
    <w:uiPriority w:val="99"/>
    <w:rsid w:val="007F26BC"/>
    <w:rPr>
      <w:rFonts w:ascii="Times New Roman" w:eastAsia="Times New Roman" w:hAnsi="Times New Roman" w:cs="Times New Roman"/>
      <w:sz w:val="24"/>
      <w:szCs w:val="24"/>
      <w:lang w:eastAsia="lv-LV"/>
    </w:rPr>
  </w:style>
  <w:style w:type="paragraph" w:customStyle="1" w:styleId="naisf">
    <w:name w:val="naisf"/>
    <w:basedOn w:val="Parasts"/>
    <w:rsid w:val="007F26BC"/>
    <w:pPr>
      <w:spacing w:before="100" w:after="100"/>
    </w:pPr>
    <w:rPr>
      <w:szCs w:val="20"/>
    </w:rPr>
  </w:style>
  <w:style w:type="paragraph" w:styleId="Vresteksts">
    <w:name w:val="footnote text"/>
    <w:basedOn w:val="Parasts"/>
    <w:link w:val="VrestekstsRakstz"/>
    <w:uiPriority w:val="99"/>
    <w:semiHidden/>
    <w:unhideWhenUsed/>
    <w:rsid w:val="007F26BC"/>
    <w:rPr>
      <w:sz w:val="20"/>
      <w:szCs w:val="20"/>
    </w:rPr>
  </w:style>
  <w:style w:type="character" w:customStyle="1" w:styleId="VrestekstsRakstz">
    <w:name w:val="Vēres teksts Rakstz."/>
    <w:basedOn w:val="Noklusjumarindkopasfonts"/>
    <w:link w:val="Vresteksts"/>
    <w:uiPriority w:val="99"/>
    <w:semiHidden/>
    <w:rsid w:val="007F26BC"/>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7F26BC"/>
    <w:rPr>
      <w:vertAlign w:val="superscript"/>
    </w:rPr>
  </w:style>
  <w:style w:type="paragraph" w:customStyle="1" w:styleId="naiskr">
    <w:name w:val="naiskr"/>
    <w:basedOn w:val="Parasts"/>
    <w:rsid w:val="002C14EE"/>
    <w:pPr>
      <w:spacing w:before="75" w:after="75"/>
    </w:pPr>
  </w:style>
  <w:style w:type="paragraph" w:customStyle="1" w:styleId="NormalWebCharChar">
    <w:name w:val="Normal (Web) Char Char"/>
    <w:basedOn w:val="Parasts"/>
    <w:rsid w:val="003C6FAF"/>
    <w:pPr>
      <w:widowControl w:val="0"/>
      <w:suppressAutoHyphens/>
      <w:spacing w:before="280" w:after="280"/>
    </w:pPr>
    <w:rPr>
      <w:color w:val="000000"/>
      <w:sz w:val="20"/>
      <w:szCs w:val="20"/>
      <w:lang w:eastAsia="zh-CN"/>
    </w:rPr>
  </w:style>
  <w:style w:type="paragraph" w:styleId="Komentrateksts">
    <w:name w:val="annotation text"/>
    <w:basedOn w:val="Parasts"/>
    <w:link w:val="KomentratekstsRakstz"/>
    <w:unhideWhenUsed/>
    <w:rsid w:val="00357189"/>
    <w:pPr>
      <w:spacing w:after="20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rsid w:val="00357189"/>
    <w:rPr>
      <w:sz w:val="20"/>
      <w:szCs w:val="20"/>
    </w:rPr>
  </w:style>
  <w:style w:type="character" w:customStyle="1" w:styleId="Virsraksts1Rakstz">
    <w:name w:val="Virsraksts 1 Rakstz."/>
    <w:basedOn w:val="Noklusjumarindkopasfonts"/>
    <w:link w:val="Virsraksts1"/>
    <w:uiPriority w:val="9"/>
    <w:rsid w:val="003710D7"/>
    <w:rPr>
      <w:rFonts w:asciiTheme="majorHAnsi" w:eastAsiaTheme="majorEastAsia" w:hAnsiTheme="majorHAnsi" w:cstheme="majorBidi"/>
      <w:color w:val="2E74B5" w:themeColor="accent1" w:themeShade="BF"/>
      <w:sz w:val="32"/>
      <w:szCs w:val="32"/>
      <w:lang w:eastAsia="lv-LV"/>
    </w:rPr>
  </w:style>
  <w:style w:type="paragraph" w:styleId="Sarakstarindkopa">
    <w:name w:val="List Paragraph"/>
    <w:basedOn w:val="Parasts"/>
    <w:uiPriority w:val="34"/>
    <w:qFormat/>
    <w:rsid w:val="005265F6"/>
    <w:pPr>
      <w:ind w:left="720"/>
      <w:contextualSpacing/>
    </w:pPr>
  </w:style>
  <w:style w:type="paragraph" w:styleId="Balonteksts">
    <w:name w:val="Balloon Text"/>
    <w:basedOn w:val="Parasts"/>
    <w:link w:val="BalontekstsRakstz"/>
    <w:uiPriority w:val="99"/>
    <w:semiHidden/>
    <w:unhideWhenUsed/>
    <w:rsid w:val="005D116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D116B"/>
    <w:rPr>
      <w:rFonts w:ascii="Segoe UI" w:eastAsia="Times New Roman" w:hAnsi="Segoe UI" w:cs="Segoe UI"/>
      <w:sz w:val="18"/>
      <w:szCs w:val="18"/>
      <w:lang w:eastAsia="lv-LV"/>
    </w:rPr>
  </w:style>
  <w:style w:type="paragraph" w:styleId="Paraststmeklis">
    <w:name w:val="Normal (Web)"/>
    <w:basedOn w:val="Parasts"/>
    <w:uiPriority w:val="99"/>
    <w:unhideWhenUsed/>
    <w:rsid w:val="00CB30E9"/>
    <w:pPr>
      <w:spacing w:before="100" w:beforeAutospacing="1" w:after="100" w:afterAutospacing="1"/>
    </w:pPr>
  </w:style>
  <w:style w:type="table" w:styleId="Reatabula">
    <w:name w:val="Table Grid"/>
    <w:basedOn w:val="Parastatabula"/>
    <w:uiPriority w:val="39"/>
    <w:rsid w:val="0014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4F68EF"/>
    <w:pPr>
      <w:spacing w:after="0" w:line="240" w:lineRule="auto"/>
    </w:pPr>
    <w:rPr>
      <w:rFonts w:ascii="Calibri" w:eastAsia="Times New Roman" w:hAnsi="Calibri" w:cs="Times New Roman"/>
      <w:lang w:eastAsia="lv-LV"/>
    </w:rPr>
  </w:style>
  <w:style w:type="character" w:styleId="Komentraatsauce">
    <w:name w:val="annotation reference"/>
    <w:basedOn w:val="Noklusjumarindkopasfonts"/>
    <w:uiPriority w:val="99"/>
    <w:semiHidden/>
    <w:unhideWhenUsed/>
    <w:rsid w:val="00DF55C9"/>
    <w:rPr>
      <w:sz w:val="16"/>
      <w:szCs w:val="16"/>
    </w:rPr>
  </w:style>
  <w:style w:type="paragraph" w:styleId="Komentratma">
    <w:name w:val="annotation subject"/>
    <w:basedOn w:val="Komentrateksts"/>
    <w:next w:val="Komentrateksts"/>
    <w:link w:val="KomentratmaRakstz"/>
    <w:uiPriority w:val="99"/>
    <w:semiHidden/>
    <w:unhideWhenUsed/>
    <w:rsid w:val="00DF55C9"/>
    <w:pPr>
      <w:spacing w:after="0"/>
    </w:pPr>
    <w:rPr>
      <w:rFonts w:ascii="Times New Roman" w:eastAsia="Times New Roman" w:hAnsi="Times New Roman" w:cs="Times New Roman"/>
      <w:b/>
      <w:bCs/>
      <w:lang w:eastAsia="lv-LV"/>
    </w:rPr>
  </w:style>
  <w:style w:type="character" w:customStyle="1" w:styleId="KomentratmaRakstz">
    <w:name w:val="Komentāra tēma Rakstz."/>
    <w:basedOn w:val="KomentratekstsRakstz"/>
    <w:link w:val="Komentratma"/>
    <w:uiPriority w:val="99"/>
    <w:semiHidden/>
    <w:rsid w:val="00DF55C9"/>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2905">
      <w:bodyDiv w:val="1"/>
      <w:marLeft w:val="0"/>
      <w:marRight w:val="0"/>
      <w:marTop w:val="0"/>
      <w:marBottom w:val="0"/>
      <w:divBdr>
        <w:top w:val="none" w:sz="0" w:space="0" w:color="auto"/>
        <w:left w:val="none" w:sz="0" w:space="0" w:color="auto"/>
        <w:bottom w:val="none" w:sz="0" w:space="0" w:color="auto"/>
        <w:right w:val="none" w:sz="0" w:space="0" w:color="auto"/>
      </w:divBdr>
    </w:div>
    <w:div w:id="121387410">
      <w:bodyDiv w:val="1"/>
      <w:marLeft w:val="0"/>
      <w:marRight w:val="0"/>
      <w:marTop w:val="0"/>
      <w:marBottom w:val="0"/>
      <w:divBdr>
        <w:top w:val="none" w:sz="0" w:space="0" w:color="auto"/>
        <w:left w:val="none" w:sz="0" w:space="0" w:color="auto"/>
        <w:bottom w:val="none" w:sz="0" w:space="0" w:color="auto"/>
        <w:right w:val="none" w:sz="0" w:space="0" w:color="auto"/>
      </w:divBdr>
    </w:div>
    <w:div w:id="163663913">
      <w:bodyDiv w:val="1"/>
      <w:marLeft w:val="0"/>
      <w:marRight w:val="0"/>
      <w:marTop w:val="0"/>
      <w:marBottom w:val="0"/>
      <w:divBdr>
        <w:top w:val="none" w:sz="0" w:space="0" w:color="auto"/>
        <w:left w:val="none" w:sz="0" w:space="0" w:color="auto"/>
        <w:bottom w:val="none" w:sz="0" w:space="0" w:color="auto"/>
        <w:right w:val="none" w:sz="0" w:space="0" w:color="auto"/>
      </w:divBdr>
    </w:div>
    <w:div w:id="302079295">
      <w:bodyDiv w:val="1"/>
      <w:marLeft w:val="0"/>
      <w:marRight w:val="0"/>
      <w:marTop w:val="0"/>
      <w:marBottom w:val="0"/>
      <w:divBdr>
        <w:top w:val="none" w:sz="0" w:space="0" w:color="auto"/>
        <w:left w:val="none" w:sz="0" w:space="0" w:color="auto"/>
        <w:bottom w:val="none" w:sz="0" w:space="0" w:color="auto"/>
        <w:right w:val="none" w:sz="0" w:space="0" w:color="auto"/>
      </w:divBdr>
    </w:div>
    <w:div w:id="398941401">
      <w:bodyDiv w:val="1"/>
      <w:marLeft w:val="0"/>
      <w:marRight w:val="0"/>
      <w:marTop w:val="0"/>
      <w:marBottom w:val="0"/>
      <w:divBdr>
        <w:top w:val="none" w:sz="0" w:space="0" w:color="auto"/>
        <w:left w:val="none" w:sz="0" w:space="0" w:color="auto"/>
        <w:bottom w:val="none" w:sz="0" w:space="0" w:color="auto"/>
        <w:right w:val="none" w:sz="0" w:space="0" w:color="auto"/>
      </w:divBdr>
    </w:div>
    <w:div w:id="615063067">
      <w:bodyDiv w:val="1"/>
      <w:marLeft w:val="0"/>
      <w:marRight w:val="0"/>
      <w:marTop w:val="0"/>
      <w:marBottom w:val="0"/>
      <w:divBdr>
        <w:top w:val="none" w:sz="0" w:space="0" w:color="auto"/>
        <w:left w:val="none" w:sz="0" w:space="0" w:color="auto"/>
        <w:bottom w:val="none" w:sz="0" w:space="0" w:color="auto"/>
        <w:right w:val="none" w:sz="0" w:space="0" w:color="auto"/>
      </w:divBdr>
    </w:div>
    <w:div w:id="682051169">
      <w:bodyDiv w:val="1"/>
      <w:marLeft w:val="0"/>
      <w:marRight w:val="0"/>
      <w:marTop w:val="0"/>
      <w:marBottom w:val="0"/>
      <w:divBdr>
        <w:top w:val="none" w:sz="0" w:space="0" w:color="auto"/>
        <w:left w:val="none" w:sz="0" w:space="0" w:color="auto"/>
        <w:bottom w:val="none" w:sz="0" w:space="0" w:color="auto"/>
        <w:right w:val="none" w:sz="0" w:space="0" w:color="auto"/>
      </w:divBdr>
    </w:div>
    <w:div w:id="792331347">
      <w:bodyDiv w:val="1"/>
      <w:marLeft w:val="0"/>
      <w:marRight w:val="0"/>
      <w:marTop w:val="0"/>
      <w:marBottom w:val="0"/>
      <w:divBdr>
        <w:top w:val="none" w:sz="0" w:space="0" w:color="auto"/>
        <w:left w:val="none" w:sz="0" w:space="0" w:color="auto"/>
        <w:bottom w:val="none" w:sz="0" w:space="0" w:color="auto"/>
        <w:right w:val="none" w:sz="0" w:space="0" w:color="auto"/>
      </w:divBdr>
    </w:div>
    <w:div w:id="837310237">
      <w:bodyDiv w:val="1"/>
      <w:marLeft w:val="0"/>
      <w:marRight w:val="0"/>
      <w:marTop w:val="0"/>
      <w:marBottom w:val="0"/>
      <w:divBdr>
        <w:top w:val="none" w:sz="0" w:space="0" w:color="auto"/>
        <w:left w:val="none" w:sz="0" w:space="0" w:color="auto"/>
        <w:bottom w:val="none" w:sz="0" w:space="0" w:color="auto"/>
        <w:right w:val="none" w:sz="0" w:space="0" w:color="auto"/>
      </w:divBdr>
    </w:div>
    <w:div w:id="916213596">
      <w:bodyDiv w:val="1"/>
      <w:marLeft w:val="0"/>
      <w:marRight w:val="0"/>
      <w:marTop w:val="0"/>
      <w:marBottom w:val="0"/>
      <w:divBdr>
        <w:top w:val="none" w:sz="0" w:space="0" w:color="auto"/>
        <w:left w:val="none" w:sz="0" w:space="0" w:color="auto"/>
        <w:bottom w:val="none" w:sz="0" w:space="0" w:color="auto"/>
        <w:right w:val="none" w:sz="0" w:space="0" w:color="auto"/>
      </w:divBdr>
    </w:div>
    <w:div w:id="984092992">
      <w:bodyDiv w:val="1"/>
      <w:marLeft w:val="0"/>
      <w:marRight w:val="0"/>
      <w:marTop w:val="0"/>
      <w:marBottom w:val="0"/>
      <w:divBdr>
        <w:top w:val="none" w:sz="0" w:space="0" w:color="auto"/>
        <w:left w:val="none" w:sz="0" w:space="0" w:color="auto"/>
        <w:bottom w:val="none" w:sz="0" w:space="0" w:color="auto"/>
        <w:right w:val="none" w:sz="0" w:space="0" w:color="auto"/>
      </w:divBdr>
    </w:div>
    <w:div w:id="1015352444">
      <w:bodyDiv w:val="1"/>
      <w:marLeft w:val="0"/>
      <w:marRight w:val="0"/>
      <w:marTop w:val="0"/>
      <w:marBottom w:val="0"/>
      <w:divBdr>
        <w:top w:val="none" w:sz="0" w:space="0" w:color="auto"/>
        <w:left w:val="none" w:sz="0" w:space="0" w:color="auto"/>
        <w:bottom w:val="none" w:sz="0" w:space="0" w:color="auto"/>
        <w:right w:val="none" w:sz="0" w:space="0" w:color="auto"/>
      </w:divBdr>
      <w:divsChild>
        <w:div w:id="540749567">
          <w:marLeft w:val="0"/>
          <w:marRight w:val="0"/>
          <w:marTop w:val="0"/>
          <w:marBottom w:val="0"/>
          <w:divBdr>
            <w:top w:val="none" w:sz="0" w:space="0" w:color="auto"/>
            <w:left w:val="none" w:sz="0" w:space="0" w:color="auto"/>
            <w:bottom w:val="none" w:sz="0" w:space="0" w:color="auto"/>
            <w:right w:val="none" w:sz="0" w:space="0" w:color="auto"/>
          </w:divBdr>
          <w:divsChild>
            <w:div w:id="1142311745">
              <w:marLeft w:val="0"/>
              <w:marRight w:val="0"/>
              <w:marTop w:val="0"/>
              <w:marBottom w:val="0"/>
              <w:divBdr>
                <w:top w:val="none" w:sz="0" w:space="0" w:color="auto"/>
                <w:left w:val="none" w:sz="0" w:space="0" w:color="auto"/>
                <w:bottom w:val="none" w:sz="0" w:space="0" w:color="auto"/>
                <w:right w:val="none" w:sz="0" w:space="0" w:color="auto"/>
              </w:divBdr>
              <w:divsChild>
                <w:div w:id="1912499700">
                  <w:marLeft w:val="0"/>
                  <w:marRight w:val="0"/>
                  <w:marTop w:val="0"/>
                  <w:marBottom w:val="0"/>
                  <w:divBdr>
                    <w:top w:val="none" w:sz="0" w:space="0" w:color="auto"/>
                    <w:left w:val="none" w:sz="0" w:space="0" w:color="auto"/>
                    <w:bottom w:val="none" w:sz="0" w:space="0" w:color="auto"/>
                    <w:right w:val="none" w:sz="0" w:space="0" w:color="auto"/>
                  </w:divBdr>
                  <w:divsChild>
                    <w:div w:id="660275286">
                      <w:marLeft w:val="0"/>
                      <w:marRight w:val="0"/>
                      <w:marTop w:val="0"/>
                      <w:marBottom w:val="0"/>
                      <w:divBdr>
                        <w:top w:val="none" w:sz="0" w:space="0" w:color="auto"/>
                        <w:left w:val="none" w:sz="0" w:space="0" w:color="auto"/>
                        <w:bottom w:val="none" w:sz="0" w:space="0" w:color="auto"/>
                        <w:right w:val="none" w:sz="0" w:space="0" w:color="auto"/>
                      </w:divBdr>
                      <w:divsChild>
                        <w:div w:id="1238444414">
                          <w:marLeft w:val="0"/>
                          <w:marRight w:val="0"/>
                          <w:marTop w:val="0"/>
                          <w:marBottom w:val="0"/>
                          <w:divBdr>
                            <w:top w:val="none" w:sz="0" w:space="0" w:color="auto"/>
                            <w:left w:val="none" w:sz="0" w:space="0" w:color="auto"/>
                            <w:bottom w:val="none" w:sz="0" w:space="0" w:color="auto"/>
                            <w:right w:val="none" w:sz="0" w:space="0" w:color="auto"/>
                          </w:divBdr>
                        </w:div>
                        <w:div w:id="1604192341">
                          <w:marLeft w:val="0"/>
                          <w:marRight w:val="0"/>
                          <w:marTop w:val="0"/>
                          <w:marBottom w:val="0"/>
                          <w:divBdr>
                            <w:top w:val="none" w:sz="0" w:space="0" w:color="auto"/>
                            <w:left w:val="none" w:sz="0" w:space="0" w:color="auto"/>
                            <w:bottom w:val="none" w:sz="0" w:space="0" w:color="auto"/>
                            <w:right w:val="none" w:sz="0" w:space="0" w:color="auto"/>
                          </w:divBdr>
                          <w:divsChild>
                            <w:div w:id="313294406">
                              <w:marLeft w:val="0"/>
                              <w:marRight w:val="0"/>
                              <w:marTop w:val="0"/>
                              <w:marBottom w:val="0"/>
                              <w:divBdr>
                                <w:top w:val="none" w:sz="0" w:space="0" w:color="auto"/>
                                <w:left w:val="none" w:sz="0" w:space="0" w:color="auto"/>
                                <w:bottom w:val="none" w:sz="0" w:space="0" w:color="auto"/>
                                <w:right w:val="none" w:sz="0" w:space="0" w:color="auto"/>
                              </w:divBdr>
                              <w:divsChild>
                                <w:div w:id="18416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764322">
          <w:marLeft w:val="0"/>
          <w:marRight w:val="0"/>
          <w:marTop w:val="0"/>
          <w:marBottom w:val="0"/>
          <w:divBdr>
            <w:top w:val="none" w:sz="0" w:space="0" w:color="auto"/>
            <w:left w:val="none" w:sz="0" w:space="0" w:color="auto"/>
            <w:bottom w:val="none" w:sz="0" w:space="0" w:color="auto"/>
            <w:right w:val="none" w:sz="0" w:space="0" w:color="auto"/>
          </w:divBdr>
          <w:divsChild>
            <w:div w:id="454983104">
              <w:marLeft w:val="0"/>
              <w:marRight w:val="0"/>
              <w:marTop w:val="0"/>
              <w:marBottom w:val="0"/>
              <w:divBdr>
                <w:top w:val="none" w:sz="0" w:space="0" w:color="auto"/>
                <w:left w:val="none" w:sz="0" w:space="0" w:color="auto"/>
                <w:bottom w:val="none" w:sz="0" w:space="0" w:color="auto"/>
                <w:right w:val="none" w:sz="0" w:space="0" w:color="auto"/>
              </w:divBdr>
              <w:divsChild>
                <w:div w:id="73280762">
                  <w:marLeft w:val="0"/>
                  <w:marRight w:val="0"/>
                  <w:marTop w:val="0"/>
                  <w:marBottom w:val="0"/>
                  <w:divBdr>
                    <w:top w:val="none" w:sz="0" w:space="0" w:color="auto"/>
                    <w:left w:val="none" w:sz="0" w:space="0" w:color="auto"/>
                    <w:bottom w:val="none" w:sz="0" w:space="0" w:color="auto"/>
                    <w:right w:val="none" w:sz="0" w:space="0" w:color="auto"/>
                  </w:divBdr>
                  <w:divsChild>
                    <w:div w:id="1239091794">
                      <w:marLeft w:val="0"/>
                      <w:marRight w:val="0"/>
                      <w:marTop w:val="0"/>
                      <w:marBottom w:val="0"/>
                      <w:divBdr>
                        <w:top w:val="none" w:sz="0" w:space="0" w:color="auto"/>
                        <w:left w:val="none" w:sz="0" w:space="0" w:color="auto"/>
                        <w:bottom w:val="none" w:sz="0" w:space="0" w:color="auto"/>
                        <w:right w:val="none" w:sz="0" w:space="0" w:color="auto"/>
                      </w:divBdr>
                      <w:divsChild>
                        <w:div w:id="484518493">
                          <w:marLeft w:val="0"/>
                          <w:marRight w:val="0"/>
                          <w:marTop w:val="0"/>
                          <w:marBottom w:val="0"/>
                          <w:divBdr>
                            <w:top w:val="none" w:sz="0" w:space="0" w:color="auto"/>
                            <w:left w:val="none" w:sz="0" w:space="0" w:color="auto"/>
                            <w:bottom w:val="none" w:sz="0" w:space="0" w:color="auto"/>
                            <w:right w:val="none" w:sz="0" w:space="0" w:color="auto"/>
                          </w:divBdr>
                        </w:div>
                        <w:div w:id="20172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329">
                  <w:marLeft w:val="0"/>
                  <w:marRight w:val="0"/>
                  <w:marTop w:val="0"/>
                  <w:marBottom w:val="0"/>
                  <w:divBdr>
                    <w:top w:val="none" w:sz="0" w:space="0" w:color="auto"/>
                    <w:left w:val="none" w:sz="0" w:space="0" w:color="auto"/>
                    <w:bottom w:val="none" w:sz="0" w:space="0" w:color="auto"/>
                    <w:right w:val="none" w:sz="0" w:space="0" w:color="auto"/>
                  </w:divBdr>
                  <w:divsChild>
                    <w:div w:id="1027637141">
                      <w:marLeft w:val="0"/>
                      <w:marRight w:val="0"/>
                      <w:marTop w:val="0"/>
                      <w:marBottom w:val="0"/>
                      <w:divBdr>
                        <w:top w:val="none" w:sz="0" w:space="0" w:color="auto"/>
                        <w:left w:val="none" w:sz="0" w:space="0" w:color="auto"/>
                        <w:bottom w:val="none" w:sz="0" w:space="0" w:color="auto"/>
                        <w:right w:val="none" w:sz="0" w:space="0" w:color="auto"/>
                      </w:divBdr>
                      <w:divsChild>
                        <w:div w:id="111097017">
                          <w:marLeft w:val="0"/>
                          <w:marRight w:val="0"/>
                          <w:marTop w:val="0"/>
                          <w:marBottom w:val="0"/>
                          <w:divBdr>
                            <w:top w:val="none" w:sz="0" w:space="0" w:color="auto"/>
                            <w:left w:val="none" w:sz="0" w:space="0" w:color="auto"/>
                            <w:bottom w:val="none" w:sz="0" w:space="0" w:color="auto"/>
                            <w:right w:val="none" w:sz="0" w:space="0" w:color="auto"/>
                          </w:divBdr>
                        </w:div>
                        <w:div w:id="625895435">
                          <w:marLeft w:val="0"/>
                          <w:marRight w:val="0"/>
                          <w:marTop w:val="0"/>
                          <w:marBottom w:val="0"/>
                          <w:divBdr>
                            <w:top w:val="none" w:sz="0" w:space="0" w:color="auto"/>
                            <w:left w:val="none" w:sz="0" w:space="0" w:color="auto"/>
                            <w:bottom w:val="none" w:sz="0" w:space="0" w:color="auto"/>
                            <w:right w:val="none" w:sz="0" w:space="0" w:color="auto"/>
                          </w:divBdr>
                        </w:div>
                      </w:divsChild>
                    </w:div>
                    <w:div w:id="1096830047">
                      <w:marLeft w:val="0"/>
                      <w:marRight w:val="0"/>
                      <w:marTop w:val="0"/>
                      <w:marBottom w:val="0"/>
                      <w:divBdr>
                        <w:top w:val="none" w:sz="0" w:space="0" w:color="auto"/>
                        <w:left w:val="none" w:sz="0" w:space="0" w:color="auto"/>
                        <w:bottom w:val="none" w:sz="0" w:space="0" w:color="auto"/>
                        <w:right w:val="none" w:sz="0" w:space="0" w:color="auto"/>
                      </w:divBdr>
                      <w:divsChild>
                        <w:div w:id="1155727915">
                          <w:marLeft w:val="0"/>
                          <w:marRight w:val="0"/>
                          <w:marTop w:val="0"/>
                          <w:marBottom w:val="0"/>
                          <w:divBdr>
                            <w:top w:val="none" w:sz="0" w:space="0" w:color="auto"/>
                            <w:left w:val="none" w:sz="0" w:space="0" w:color="auto"/>
                            <w:bottom w:val="none" w:sz="0" w:space="0" w:color="auto"/>
                            <w:right w:val="none" w:sz="0" w:space="0" w:color="auto"/>
                          </w:divBdr>
                          <w:divsChild>
                            <w:div w:id="12611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0919">
                      <w:marLeft w:val="0"/>
                      <w:marRight w:val="0"/>
                      <w:marTop w:val="0"/>
                      <w:marBottom w:val="0"/>
                      <w:divBdr>
                        <w:top w:val="none" w:sz="0" w:space="0" w:color="auto"/>
                        <w:left w:val="none" w:sz="0" w:space="0" w:color="auto"/>
                        <w:bottom w:val="none" w:sz="0" w:space="0" w:color="auto"/>
                        <w:right w:val="none" w:sz="0" w:space="0" w:color="auto"/>
                      </w:divBdr>
                      <w:divsChild>
                        <w:div w:id="7287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2787">
                  <w:marLeft w:val="0"/>
                  <w:marRight w:val="0"/>
                  <w:marTop w:val="0"/>
                  <w:marBottom w:val="0"/>
                  <w:divBdr>
                    <w:top w:val="none" w:sz="0" w:space="0" w:color="auto"/>
                    <w:left w:val="none" w:sz="0" w:space="0" w:color="auto"/>
                    <w:bottom w:val="none" w:sz="0" w:space="0" w:color="auto"/>
                    <w:right w:val="none" w:sz="0" w:space="0" w:color="auto"/>
                  </w:divBdr>
                  <w:divsChild>
                    <w:div w:id="276452974">
                      <w:marLeft w:val="0"/>
                      <w:marRight w:val="0"/>
                      <w:marTop w:val="0"/>
                      <w:marBottom w:val="0"/>
                      <w:divBdr>
                        <w:top w:val="none" w:sz="0" w:space="0" w:color="auto"/>
                        <w:left w:val="none" w:sz="0" w:space="0" w:color="auto"/>
                        <w:bottom w:val="none" w:sz="0" w:space="0" w:color="auto"/>
                        <w:right w:val="none" w:sz="0" w:space="0" w:color="auto"/>
                      </w:divBdr>
                    </w:div>
                    <w:div w:id="12954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68091">
              <w:marLeft w:val="0"/>
              <w:marRight w:val="0"/>
              <w:marTop w:val="0"/>
              <w:marBottom w:val="0"/>
              <w:divBdr>
                <w:top w:val="none" w:sz="0" w:space="0" w:color="auto"/>
                <w:left w:val="none" w:sz="0" w:space="0" w:color="auto"/>
                <w:bottom w:val="none" w:sz="0" w:space="0" w:color="auto"/>
                <w:right w:val="none" w:sz="0" w:space="0" w:color="auto"/>
              </w:divBdr>
              <w:divsChild>
                <w:div w:id="751585764">
                  <w:marLeft w:val="0"/>
                  <w:marRight w:val="0"/>
                  <w:marTop w:val="0"/>
                  <w:marBottom w:val="0"/>
                  <w:divBdr>
                    <w:top w:val="none" w:sz="0" w:space="0" w:color="auto"/>
                    <w:left w:val="none" w:sz="0" w:space="0" w:color="auto"/>
                    <w:bottom w:val="none" w:sz="0" w:space="0" w:color="auto"/>
                    <w:right w:val="none" w:sz="0" w:space="0" w:color="auto"/>
                  </w:divBdr>
                  <w:divsChild>
                    <w:div w:id="13387472">
                      <w:marLeft w:val="0"/>
                      <w:marRight w:val="0"/>
                      <w:marTop w:val="0"/>
                      <w:marBottom w:val="0"/>
                      <w:divBdr>
                        <w:top w:val="none" w:sz="0" w:space="0" w:color="auto"/>
                        <w:left w:val="none" w:sz="0" w:space="0" w:color="auto"/>
                        <w:bottom w:val="none" w:sz="0" w:space="0" w:color="auto"/>
                        <w:right w:val="none" w:sz="0" w:space="0" w:color="auto"/>
                      </w:divBdr>
                    </w:div>
                    <w:div w:id="1490711200">
                      <w:marLeft w:val="0"/>
                      <w:marRight w:val="0"/>
                      <w:marTop w:val="0"/>
                      <w:marBottom w:val="0"/>
                      <w:divBdr>
                        <w:top w:val="none" w:sz="0" w:space="0" w:color="auto"/>
                        <w:left w:val="none" w:sz="0" w:space="0" w:color="auto"/>
                        <w:bottom w:val="none" w:sz="0" w:space="0" w:color="auto"/>
                        <w:right w:val="none" w:sz="0" w:space="0" w:color="auto"/>
                      </w:divBdr>
                      <w:divsChild>
                        <w:div w:id="639770411">
                          <w:marLeft w:val="0"/>
                          <w:marRight w:val="0"/>
                          <w:marTop w:val="0"/>
                          <w:marBottom w:val="0"/>
                          <w:divBdr>
                            <w:top w:val="none" w:sz="0" w:space="0" w:color="auto"/>
                            <w:left w:val="none" w:sz="0" w:space="0" w:color="auto"/>
                            <w:bottom w:val="none" w:sz="0" w:space="0" w:color="auto"/>
                            <w:right w:val="none" w:sz="0" w:space="0" w:color="auto"/>
                          </w:divBdr>
                        </w:div>
                        <w:div w:id="1142120853">
                          <w:marLeft w:val="0"/>
                          <w:marRight w:val="0"/>
                          <w:marTop w:val="0"/>
                          <w:marBottom w:val="0"/>
                          <w:divBdr>
                            <w:top w:val="none" w:sz="0" w:space="0" w:color="auto"/>
                            <w:left w:val="none" w:sz="0" w:space="0" w:color="auto"/>
                            <w:bottom w:val="none" w:sz="0" w:space="0" w:color="auto"/>
                            <w:right w:val="none" w:sz="0" w:space="0" w:color="auto"/>
                          </w:divBdr>
                          <w:divsChild>
                            <w:div w:id="13482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30546">
          <w:marLeft w:val="0"/>
          <w:marRight w:val="0"/>
          <w:marTop w:val="0"/>
          <w:marBottom w:val="0"/>
          <w:divBdr>
            <w:top w:val="none" w:sz="0" w:space="0" w:color="auto"/>
            <w:left w:val="none" w:sz="0" w:space="0" w:color="auto"/>
            <w:bottom w:val="none" w:sz="0" w:space="0" w:color="auto"/>
            <w:right w:val="none" w:sz="0" w:space="0" w:color="auto"/>
          </w:divBdr>
          <w:divsChild>
            <w:div w:id="1494222678">
              <w:marLeft w:val="0"/>
              <w:marRight w:val="0"/>
              <w:marTop w:val="0"/>
              <w:marBottom w:val="0"/>
              <w:divBdr>
                <w:top w:val="none" w:sz="0" w:space="0" w:color="auto"/>
                <w:left w:val="none" w:sz="0" w:space="0" w:color="auto"/>
                <w:bottom w:val="none" w:sz="0" w:space="0" w:color="auto"/>
                <w:right w:val="none" w:sz="0" w:space="0" w:color="auto"/>
              </w:divBdr>
              <w:divsChild>
                <w:div w:id="1624923502">
                  <w:marLeft w:val="0"/>
                  <w:marRight w:val="0"/>
                  <w:marTop w:val="0"/>
                  <w:marBottom w:val="0"/>
                  <w:divBdr>
                    <w:top w:val="none" w:sz="0" w:space="0" w:color="auto"/>
                    <w:left w:val="none" w:sz="0" w:space="0" w:color="auto"/>
                    <w:bottom w:val="none" w:sz="0" w:space="0" w:color="auto"/>
                    <w:right w:val="none" w:sz="0" w:space="0" w:color="auto"/>
                  </w:divBdr>
                  <w:divsChild>
                    <w:div w:id="1592229045">
                      <w:marLeft w:val="0"/>
                      <w:marRight w:val="0"/>
                      <w:marTop w:val="0"/>
                      <w:marBottom w:val="0"/>
                      <w:divBdr>
                        <w:top w:val="none" w:sz="0" w:space="0" w:color="auto"/>
                        <w:left w:val="none" w:sz="0" w:space="0" w:color="auto"/>
                        <w:bottom w:val="none" w:sz="0" w:space="0" w:color="auto"/>
                        <w:right w:val="none" w:sz="0" w:space="0" w:color="auto"/>
                      </w:divBdr>
                      <w:divsChild>
                        <w:div w:id="14914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883737">
      <w:bodyDiv w:val="1"/>
      <w:marLeft w:val="0"/>
      <w:marRight w:val="0"/>
      <w:marTop w:val="0"/>
      <w:marBottom w:val="0"/>
      <w:divBdr>
        <w:top w:val="none" w:sz="0" w:space="0" w:color="auto"/>
        <w:left w:val="none" w:sz="0" w:space="0" w:color="auto"/>
        <w:bottom w:val="none" w:sz="0" w:space="0" w:color="auto"/>
        <w:right w:val="none" w:sz="0" w:space="0" w:color="auto"/>
      </w:divBdr>
    </w:div>
    <w:div w:id="1084493637">
      <w:bodyDiv w:val="1"/>
      <w:marLeft w:val="0"/>
      <w:marRight w:val="0"/>
      <w:marTop w:val="0"/>
      <w:marBottom w:val="0"/>
      <w:divBdr>
        <w:top w:val="none" w:sz="0" w:space="0" w:color="auto"/>
        <w:left w:val="none" w:sz="0" w:space="0" w:color="auto"/>
        <w:bottom w:val="none" w:sz="0" w:space="0" w:color="auto"/>
        <w:right w:val="none" w:sz="0" w:space="0" w:color="auto"/>
      </w:divBdr>
    </w:div>
    <w:div w:id="1141852357">
      <w:bodyDiv w:val="1"/>
      <w:marLeft w:val="0"/>
      <w:marRight w:val="0"/>
      <w:marTop w:val="0"/>
      <w:marBottom w:val="0"/>
      <w:divBdr>
        <w:top w:val="none" w:sz="0" w:space="0" w:color="auto"/>
        <w:left w:val="none" w:sz="0" w:space="0" w:color="auto"/>
        <w:bottom w:val="none" w:sz="0" w:space="0" w:color="auto"/>
        <w:right w:val="none" w:sz="0" w:space="0" w:color="auto"/>
      </w:divBdr>
    </w:div>
    <w:div w:id="1252355693">
      <w:bodyDiv w:val="1"/>
      <w:marLeft w:val="0"/>
      <w:marRight w:val="0"/>
      <w:marTop w:val="0"/>
      <w:marBottom w:val="0"/>
      <w:divBdr>
        <w:top w:val="none" w:sz="0" w:space="0" w:color="auto"/>
        <w:left w:val="none" w:sz="0" w:space="0" w:color="auto"/>
        <w:bottom w:val="none" w:sz="0" w:space="0" w:color="auto"/>
        <w:right w:val="none" w:sz="0" w:space="0" w:color="auto"/>
      </w:divBdr>
    </w:div>
    <w:div w:id="1321274733">
      <w:bodyDiv w:val="1"/>
      <w:marLeft w:val="0"/>
      <w:marRight w:val="0"/>
      <w:marTop w:val="0"/>
      <w:marBottom w:val="0"/>
      <w:divBdr>
        <w:top w:val="none" w:sz="0" w:space="0" w:color="auto"/>
        <w:left w:val="none" w:sz="0" w:space="0" w:color="auto"/>
        <w:bottom w:val="none" w:sz="0" w:space="0" w:color="auto"/>
        <w:right w:val="none" w:sz="0" w:space="0" w:color="auto"/>
      </w:divBdr>
    </w:div>
    <w:div w:id="1348747591">
      <w:bodyDiv w:val="1"/>
      <w:marLeft w:val="0"/>
      <w:marRight w:val="0"/>
      <w:marTop w:val="0"/>
      <w:marBottom w:val="0"/>
      <w:divBdr>
        <w:top w:val="none" w:sz="0" w:space="0" w:color="auto"/>
        <w:left w:val="none" w:sz="0" w:space="0" w:color="auto"/>
        <w:bottom w:val="none" w:sz="0" w:space="0" w:color="auto"/>
        <w:right w:val="none" w:sz="0" w:space="0" w:color="auto"/>
      </w:divBdr>
    </w:div>
    <w:div w:id="1436168165">
      <w:bodyDiv w:val="1"/>
      <w:marLeft w:val="0"/>
      <w:marRight w:val="0"/>
      <w:marTop w:val="0"/>
      <w:marBottom w:val="0"/>
      <w:divBdr>
        <w:top w:val="none" w:sz="0" w:space="0" w:color="auto"/>
        <w:left w:val="none" w:sz="0" w:space="0" w:color="auto"/>
        <w:bottom w:val="none" w:sz="0" w:space="0" w:color="auto"/>
        <w:right w:val="none" w:sz="0" w:space="0" w:color="auto"/>
      </w:divBdr>
    </w:div>
    <w:div w:id="1497306249">
      <w:bodyDiv w:val="1"/>
      <w:marLeft w:val="0"/>
      <w:marRight w:val="0"/>
      <w:marTop w:val="0"/>
      <w:marBottom w:val="0"/>
      <w:divBdr>
        <w:top w:val="none" w:sz="0" w:space="0" w:color="auto"/>
        <w:left w:val="none" w:sz="0" w:space="0" w:color="auto"/>
        <w:bottom w:val="none" w:sz="0" w:space="0" w:color="auto"/>
        <w:right w:val="none" w:sz="0" w:space="0" w:color="auto"/>
      </w:divBdr>
      <w:divsChild>
        <w:div w:id="1088110845">
          <w:marLeft w:val="547"/>
          <w:marRight w:val="0"/>
          <w:marTop w:val="86"/>
          <w:marBottom w:val="0"/>
          <w:divBdr>
            <w:top w:val="none" w:sz="0" w:space="0" w:color="auto"/>
            <w:left w:val="none" w:sz="0" w:space="0" w:color="auto"/>
            <w:bottom w:val="none" w:sz="0" w:space="0" w:color="auto"/>
            <w:right w:val="none" w:sz="0" w:space="0" w:color="auto"/>
          </w:divBdr>
        </w:div>
        <w:div w:id="639532456">
          <w:marLeft w:val="576"/>
          <w:marRight w:val="0"/>
          <w:marTop w:val="82"/>
          <w:marBottom w:val="0"/>
          <w:divBdr>
            <w:top w:val="none" w:sz="0" w:space="0" w:color="auto"/>
            <w:left w:val="none" w:sz="0" w:space="0" w:color="auto"/>
            <w:bottom w:val="none" w:sz="0" w:space="0" w:color="auto"/>
            <w:right w:val="none" w:sz="0" w:space="0" w:color="auto"/>
          </w:divBdr>
        </w:div>
        <w:div w:id="2005156633">
          <w:marLeft w:val="576"/>
          <w:marRight w:val="0"/>
          <w:marTop w:val="82"/>
          <w:marBottom w:val="0"/>
          <w:divBdr>
            <w:top w:val="none" w:sz="0" w:space="0" w:color="auto"/>
            <w:left w:val="none" w:sz="0" w:space="0" w:color="auto"/>
            <w:bottom w:val="none" w:sz="0" w:space="0" w:color="auto"/>
            <w:right w:val="none" w:sz="0" w:space="0" w:color="auto"/>
          </w:divBdr>
        </w:div>
        <w:div w:id="627013188">
          <w:marLeft w:val="576"/>
          <w:marRight w:val="0"/>
          <w:marTop w:val="82"/>
          <w:marBottom w:val="0"/>
          <w:divBdr>
            <w:top w:val="none" w:sz="0" w:space="0" w:color="auto"/>
            <w:left w:val="none" w:sz="0" w:space="0" w:color="auto"/>
            <w:bottom w:val="none" w:sz="0" w:space="0" w:color="auto"/>
            <w:right w:val="none" w:sz="0" w:space="0" w:color="auto"/>
          </w:divBdr>
        </w:div>
        <w:div w:id="154608518">
          <w:marLeft w:val="576"/>
          <w:marRight w:val="0"/>
          <w:marTop w:val="82"/>
          <w:marBottom w:val="0"/>
          <w:divBdr>
            <w:top w:val="none" w:sz="0" w:space="0" w:color="auto"/>
            <w:left w:val="none" w:sz="0" w:space="0" w:color="auto"/>
            <w:bottom w:val="none" w:sz="0" w:space="0" w:color="auto"/>
            <w:right w:val="none" w:sz="0" w:space="0" w:color="auto"/>
          </w:divBdr>
        </w:div>
      </w:divsChild>
    </w:div>
    <w:div w:id="1510027846">
      <w:bodyDiv w:val="1"/>
      <w:marLeft w:val="0"/>
      <w:marRight w:val="0"/>
      <w:marTop w:val="0"/>
      <w:marBottom w:val="0"/>
      <w:divBdr>
        <w:top w:val="none" w:sz="0" w:space="0" w:color="auto"/>
        <w:left w:val="none" w:sz="0" w:space="0" w:color="auto"/>
        <w:bottom w:val="none" w:sz="0" w:space="0" w:color="auto"/>
        <w:right w:val="none" w:sz="0" w:space="0" w:color="auto"/>
      </w:divBdr>
    </w:div>
    <w:div w:id="1658341470">
      <w:bodyDiv w:val="1"/>
      <w:marLeft w:val="0"/>
      <w:marRight w:val="0"/>
      <w:marTop w:val="0"/>
      <w:marBottom w:val="0"/>
      <w:divBdr>
        <w:top w:val="none" w:sz="0" w:space="0" w:color="auto"/>
        <w:left w:val="none" w:sz="0" w:space="0" w:color="auto"/>
        <w:bottom w:val="none" w:sz="0" w:space="0" w:color="auto"/>
        <w:right w:val="none" w:sz="0" w:space="0" w:color="auto"/>
      </w:divBdr>
    </w:div>
    <w:div w:id="1664510812">
      <w:bodyDiv w:val="1"/>
      <w:marLeft w:val="0"/>
      <w:marRight w:val="0"/>
      <w:marTop w:val="0"/>
      <w:marBottom w:val="0"/>
      <w:divBdr>
        <w:top w:val="none" w:sz="0" w:space="0" w:color="auto"/>
        <w:left w:val="none" w:sz="0" w:space="0" w:color="auto"/>
        <w:bottom w:val="none" w:sz="0" w:space="0" w:color="auto"/>
        <w:right w:val="none" w:sz="0" w:space="0" w:color="auto"/>
      </w:divBdr>
    </w:div>
    <w:div w:id="1664815188">
      <w:bodyDiv w:val="1"/>
      <w:marLeft w:val="0"/>
      <w:marRight w:val="0"/>
      <w:marTop w:val="0"/>
      <w:marBottom w:val="0"/>
      <w:divBdr>
        <w:top w:val="none" w:sz="0" w:space="0" w:color="auto"/>
        <w:left w:val="none" w:sz="0" w:space="0" w:color="auto"/>
        <w:bottom w:val="none" w:sz="0" w:space="0" w:color="auto"/>
        <w:right w:val="none" w:sz="0" w:space="0" w:color="auto"/>
      </w:divBdr>
    </w:div>
    <w:div w:id="1759133935">
      <w:bodyDiv w:val="1"/>
      <w:marLeft w:val="0"/>
      <w:marRight w:val="0"/>
      <w:marTop w:val="0"/>
      <w:marBottom w:val="0"/>
      <w:divBdr>
        <w:top w:val="none" w:sz="0" w:space="0" w:color="auto"/>
        <w:left w:val="none" w:sz="0" w:space="0" w:color="auto"/>
        <w:bottom w:val="none" w:sz="0" w:space="0" w:color="auto"/>
        <w:right w:val="none" w:sz="0" w:space="0" w:color="auto"/>
      </w:divBdr>
    </w:div>
    <w:div w:id="1768652397">
      <w:bodyDiv w:val="1"/>
      <w:marLeft w:val="0"/>
      <w:marRight w:val="0"/>
      <w:marTop w:val="0"/>
      <w:marBottom w:val="0"/>
      <w:divBdr>
        <w:top w:val="none" w:sz="0" w:space="0" w:color="auto"/>
        <w:left w:val="none" w:sz="0" w:space="0" w:color="auto"/>
        <w:bottom w:val="none" w:sz="0" w:space="0" w:color="auto"/>
        <w:right w:val="none" w:sz="0" w:space="0" w:color="auto"/>
      </w:divBdr>
    </w:div>
    <w:div w:id="1848901686">
      <w:bodyDiv w:val="1"/>
      <w:marLeft w:val="0"/>
      <w:marRight w:val="0"/>
      <w:marTop w:val="0"/>
      <w:marBottom w:val="0"/>
      <w:divBdr>
        <w:top w:val="none" w:sz="0" w:space="0" w:color="auto"/>
        <w:left w:val="none" w:sz="0" w:space="0" w:color="auto"/>
        <w:bottom w:val="none" w:sz="0" w:space="0" w:color="auto"/>
        <w:right w:val="none" w:sz="0" w:space="0" w:color="auto"/>
      </w:divBdr>
    </w:div>
    <w:div w:id="1879313597">
      <w:bodyDiv w:val="1"/>
      <w:marLeft w:val="0"/>
      <w:marRight w:val="0"/>
      <w:marTop w:val="0"/>
      <w:marBottom w:val="0"/>
      <w:divBdr>
        <w:top w:val="none" w:sz="0" w:space="0" w:color="auto"/>
        <w:left w:val="none" w:sz="0" w:space="0" w:color="auto"/>
        <w:bottom w:val="none" w:sz="0" w:space="0" w:color="auto"/>
        <w:right w:val="none" w:sz="0" w:space="0" w:color="auto"/>
      </w:divBdr>
    </w:div>
    <w:div w:id="1880509494">
      <w:bodyDiv w:val="1"/>
      <w:marLeft w:val="0"/>
      <w:marRight w:val="0"/>
      <w:marTop w:val="0"/>
      <w:marBottom w:val="0"/>
      <w:divBdr>
        <w:top w:val="none" w:sz="0" w:space="0" w:color="auto"/>
        <w:left w:val="none" w:sz="0" w:space="0" w:color="auto"/>
        <w:bottom w:val="none" w:sz="0" w:space="0" w:color="auto"/>
        <w:right w:val="none" w:sz="0" w:space="0" w:color="auto"/>
      </w:divBdr>
      <w:divsChild>
        <w:div w:id="1010982443">
          <w:marLeft w:val="0"/>
          <w:marRight w:val="0"/>
          <w:marTop w:val="480"/>
          <w:marBottom w:val="240"/>
          <w:divBdr>
            <w:top w:val="none" w:sz="0" w:space="0" w:color="auto"/>
            <w:left w:val="none" w:sz="0" w:space="0" w:color="auto"/>
            <w:bottom w:val="none" w:sz="0" w:space="0" w:color="auto"/>
            <w:right w:val="none" w:sz="0" w:space="0" w:color="auto"/>
          </w:divBdr>
        </w:div>
        <w:div w:id="865748743">
          <w:marLeft w:val="0"/>
          <w:marRight w:val="0"/>
          <w:marTop w:val="0"/>
          <w:marBottom w:val="567"/>
          <w:divBdr>
            <w:top w:val="none" w:sz="0" w:space="0" w:color="auto"/>
            <w:left w:val="none" w:sz="0" w:space="0" w:color="auto"/>
            <w:bottom w:val="none" w:sz="0" w:space="0" w:color="auto"/>
            <w:right w:val="none" w:sz="0" w:space="0" w:color="auto"/>
          </w:divBdr>
        </w:div>
      </w:divsChild>
    </w:div>
    <w:div w:id="1889798802">
      <w:bodyDiv w:val="1"/>
      <w:marLeft w:val="0"/>
      <w:marRight w:val="0"/>
      <w:marTop w:val="0"/>
      <w:marBottom w:val="0"/>
      <w:divBdr>
        <w:top w:val="none" w:sz="0" w:space="0" w:color="auto"/>
        <w:left w:val="none" w:sz="0" w:space="0" w:color="auto"/>
        <w:bottom w:val="none" w:sz="0" w:space="0" w:color="auto"/>
        <w:right w:val="none" w:sz="0" w:space="0" w:color="auto"/>
      </w:divBdr>
      <w:divsChild>
        <w:div w:id="1883521598">
          <w:marLeft w:val="0"/>
          <w:marRight w:val="0"/>
          <w:marTop w:val="480"/>
          <w:marBottom w:val="240"/>
          <w:divBdr>
            <w:top w:val="none" w:sz="0" w:space="0" w:color="auto"/>
            <w:left w:val="none" w:sz="0" w:space="0" w:color="auto"/>
            <w:bottom w:val="none" w:sz="0" w:space="0" w:color="auto"/>
            <w:right w:val="none" w:sz="0" w:space="0" w:color="auto"/>
          </w:divBdr>
        </w:div>
        <w:div w:id="1681275204">
          <w:marLeft w:val="0"/>
          <w:marRight w:val="0"/>
          <w:marTop w:val="0"/>
          <w:marBottom w:val="567"/>
          <w:divBdr>
            <w:top w:val="none" w:sz="0" w:space="0" w:color="auto"/>
            <w:left w:val="none" w:sz="0" w:space="0" w:color="auto"/>
            <w:bottom w:val="none" w:sz="0" w:space="0" w:color="auto"/>
            <w:right w:val="none" w:sz="0" w:space="0" w:color="auto"/>
          </w:divBdr>
        </w:div>
      </w:divsChild>
    </w:div>
    <w:div w:id="2077582895">
      <w:bodyDiv w:val="1"/>
      <w:marLeft w:val="0"/>
      <w:marRight w:val="0"/>
      <w:marTop w:val="0"/>
      <w:marBottom w:val="0"/>
      <w:divBdr>
        <w:top w:val="none" w:sz="0" w:space="0" w:color="auto"/>
        <w:left w:val="none" w:sz="0" w:space="0" w:color="auto"/>
        <w:bottom w:val="none" w:sz="0" w:space="0" w:color="auto"/>
        <w:right w:val="none" w:sz="0" w:space="0" w:color="auto"/>
      </w:divBdr>
    </w:div>
    <w:div w:id="213505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k.gov.lv/content/ministru-kabineta-diskusiju-dokumenti" TargetMode="External"/><Relationship Id="rId4" Type="http://schemas.microsoft.com/office/2007/relationships/stylesWithEffects" Target="stylesWithEffects.xml"/><Relationship Id="rId9" Type="http://schemas.openxmlformats.org/officeDocument/2006/relationships/hyperlink" Target="http://www.iem.gov.lv/lat/sadarbiba_ar_nvo/diskusiju_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1C29-205E-4DD1-9EB4-DAA62D38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8291</Words>
  <Characters>4726</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12992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Stone</dc:creator>
  <cp:lastModifiedBy>Intars Opolais</cp:lastModifiedBy>
  <cp:revision>2</cp:revision>
  <cp:lastPrinted>2019-01-28T09:55:00Z</cp:lastPrinted>
  <dcterms:created xsi:type="dcterms:W3CDTF">2019-08-16T08:43:00Z</dcterms:created>
  <dcterms:modified xsi:type="dcterms:W3CDTF">2019-08-16T08:43:00Z</dcterms:modified>
</cp:coreProperties>
</file>