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3E6E0" w14:textId="77777777" w:rsidR="00C7161D" w:rsidRDefault="00F6314A" w:rsidP="00E87DE5">
      <w:pPr>
        <w:jc w:val="center"/>
        <w:rPr>
          <w:b/>
        </w:rPr>
      </w:pPr>
      <w:r w:rsidRPr="002C2A7B">
        <w:rPr>
          <w:b/>
        </w:rPr>
        <w:t>Ministru kabineta rīkojuma projekta</w:t>
      </w:r>
      <w:r w:rsidR="00357442" w:rsidRPr="002C2A7B">
        <w:rPr>
          <w:b/>
        </w:rPr>
        <w:t xml:space="preserve"> </w:t>
      </w:r>
      <w:r w:rsidR="00FA4112" w:rsidRPr="002C2A7B">
        <w:rPr>
          <w:b/>
        </w:rPr>
        <w:t>“</w:t>
      </w:r>
      <w:r w:rsidR="003B740C" w:rsidRPr="002C2A7B">
        <w:rPr>
          <w:b/>
        </w:rPr>
        <w:t xml:space="preserve">Par </w:t>
      </w:r>
      <w:r w:rsidR="00AF27AB">
        <w:rPr>
          <w:b/>
        </w:rPr>
        <w:t xml:space="preserve">valstij </w:t>
      </w:r>
      <w:r w:rsidR="003B740C" w:rsidRPr="002C2A7B">
        <w:rPr>
          <w:b/>
        </w:rPr>
        <w:t xml:space="preserve">dividendēs izmaksājamo valsts sabiedrības </w:t>
      </w:r>
      <w:r w:rsidR="004B6EDE" w:rsidRPr="002C2A7B">
        <w:rPr>
          <w:b/>
        </w:rPr>
        <w:t xml:space="preserve">ar ierobežotu atbildību </w:t>
      </w:r>
      <w:r w:rsidR="003B740C" w:rsidRPr="002C2A7B">
        <w:rPr>
          <w:b/>
        </w:rPr>
        <w:t>"</w:t>
      </w:r>
      <w:r w:rsidR="004B6EDE" w:rsidRPr="002C2A7B">
        <w:rPr>
          <w:b/>
        </w:rPr>
        <w:t>Šampētera nams</w:t>
      </w:r>
      <w:r w:rsidR="003B740C" w:rsidRPr="002C2A7B">
        <w:rPr>
          <w:b/>
        </w:rPr>
        <w:t xml:space="preserve">" </w:t>
      </w:r>
    </w:p>
    <w:p w14:paraId="472CEBF4" w14:textId="77777777" w:rsidR="004B6EDE" w:rsidRPr="002C2A7B" w:rsidRDefault="003B740C" w:rsidP="00E87DE5">
      <w:pPr>
        <w:jc w:val="center"/>
        <w:rPr>
          <w:b/>
        </w:rPr>
      </w:pPr>
      <w:r w:rsidRPr="002C2A7B">
        <w:rPr>
          <w:b/>
        </w:rPr>
        <w:t>peļņas daļu par 201</w:t>
      </w:r>
      <w:r w:rsidR="004B6EDE" w:rsidRPr="002C2A7B">
        <w:rPr>
          <w:b/>
        </w:rPr>
        <w:t>7</w:t>
      </w:r>
      <w:r w:rsidRPr="002C2A7B">
        <w:rPr>
          <w:b/>
        </w:rPr>
        <w:t>.</w:t>
      </w:r>
      <w:r w:rsidR="004B6EDE" w:rsidRPr="002C2A7B">
        <w:rPr>
          <w:b/>
        </w:rPr>
        <w:t> </w:t>
      </w:r>
      <w:r w:rsidRPr="002C2A7B">
        <w:rPr>
          <w:b/>
        </w:rPr>
        <w:t>gadu</w:t>
      </w:r>
      <w:r w:rsidR="00EC3287" w:rsidRPr="002C2A7B">
        <w:rPr>
          <w:b/>
        </w:rPr>
        <w:t xml:space="preserve">” </w:t>
      </w:r>
    </w:p>
    <w:p w14:paraId="2164BB8C" w14:textId="77777777" w:rsidR="00A911EB" w:rsidRDefault="00C80203" w:rsidP="00E87DE5">
      <w:pPr>
        <w:jc w:val="center"/>
        <w:rPr>
          <w:b/>
        </w:rPr>
      </w:pPr>
      <w:r w:rsidRPr="002C2A7B">
        <w:rPr>
          <w:b/>
        </w:rPr>
        <w:t xml:space="preserve">sākotnējās ietekmes novērtējuma </w:t>
      </w:r>
      <w:smartTag w:uri="schemas-tilde-lv/tildestengine" w:element="veidnes">
        <w:smartTagPr>
          <w:attr w:name="text" w:val="ziņojums"/>
          <w:attr w:name="baseform" w:val="ziņojums"/>
          <w:attr w:name="id" w:val="-1"/>
        </w:smartTagPr>
        <w:r w:rsidRPr="002C2A7B">
          <w:rPr>
            <w:b/>
          </w:rPr>
          <w:t>ziņojums</w:t>
        </w:r>
      </w:smartTag>
      <w:r w:rsidRPr="002C2A7B">
        <w:rPr>
          <w:b/>
        </w:rPr>
        <w:t xml:space="preserve"> (</w:t>
      </w:r>
      <w:r w:rsidR="002A3B66" w:rsidRPr="002C2A7B">
        <w:rPr>
          <w:b/>
        </w:rPr>
        <w:t>a</w:t>
      </w:r>
      <w:r w:rsidR="00A911EB" w:rsidRPr="002C2A7B">
        <w:rPr>
          <w:b/>
        </w:rPr>
        <w:t>notācija</w:t>
      </w:r>
      <w:r w:rsidRPr="002C2A7B">
        <w:rPr>
          <w:b/>
        </w:rPr>
        <w:t>)</w:t>
      </w:r>
    </w:p>
    <w:p w14:paraId="307B9D69" w14:textId="77777777" w:rsidR="000C72F5" w:rsidRPr="002C2A7B" w:rsidRDefault="000C72F5" w:rsidP="00E87DE5">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0C72F5" w:rsidRPr="002F62D8" w14:paraId="297BFD4A" w14:textId="77777777" w:rsidTr="00A1595A">
        <w:trPr>
          <w:cantSplit/>
        </w:trPr>
        <w:tc>
          <w:tcPr>
            <w:tcW w:w="9581" w:type="dxa"/>
            <w:gridSpan w:val="2"/>
            <w:shd w:val="clear" w:color="auto" w:fill="FFFFFF"/>
            <w:vAlign w:val="center"/>
            <w:hideMark/>
          </w:tcPr>
          <w:p w14:paraId="11529DCA" w14:textId="77777777" w:rsidR="000C72F5" w:rsidRPr="002F62D8" w:rsidRDefault="000C72F5" w:rsidP="00E87DE5">
            <w:pPr>
              <w:jc w:val="center"/>
              <w:rPr>
                <w:b/>
                <w:iCs/>
                <w:sz w:val="22"/>
                <w:szCs w:val="22"/>
                <w:lang w:eastAsia="en-US"/>
              </w:rPr>
            </w:pPr>
            <w:r w:rsidRPr="002F62D8">
              <w:rPr>
                <w:b/>
                <w:iCs/>
                <w:sz w:val="22"/>
                <w:szCs w:val="22"/>
                <w:lang w:eastAsia="en-US"/>
              </w:rPr>
              <w:t>Tiesību akta projekta anotācijas kopsavilkums</w:t>
            </w:r>
          </w:p>
        </w:tc>
      </w:tr>
      <w:tr w:rsidR="000C72F5" w:rsidRPr="002F62D8" w14:paraId="16320888" w14:textId="77777777" w:rsidTr="00A1595A">
        <w:trPr>
          <w:cantSplit/>
        </w:trPr>
        <w:tc>
          <w:tcPr>
            <w:tcW w:w="3430" w:type="dxa"/>
            <w:shd w:val="clear" w:color="auto" w:fill="FFFFFF"/>
            <w:hideMark/>
          </w:tcPr>
          <w:p w14:paraId="14B0CE7C" w14:textId="77777777" w:rsidR="000C72F5" w:rsidRPr="002F62D8" w:rsidRDefault="000C72F5" w:rsidP="00E87DE5">
            <w:pPr>
              <w:rPr>
                <w:iCs/>
                <w:sz w:val="22"/>
                <w:szCs w:val="22"/>
                <w:lang w:eastAsia="en-US"/>
              </w:rPr>
            </w:pPr>
            <w:r w:rsidRPr="002F62D8">
              <w:rPr>
                <w:iCs/>
                <w:sz w:val="22"/>
                <w:szCs w:val="22"/>
                <w:lang w:eastAsia="en-US"/>
              </w:rPr>
              <w:t>Mērķis, risinājums un projekta spēkā stāšanās laiks (500 zīmes bez atstarpēm)</w:t>
            </w:r>
          </w:p>
        </w:tc>
        <w:tc>
          <w:tcPr>
            <w:tcW w:w="6151" w:type="dxa"/>
            <w:shd w:val="clear" w:color="auto" w:fill="FFFFFF"/>
            <w:hideMark/>
          </w:tcPr>
          <w:p w14:paraId="7ED06A48" w14:textId="3B12B676" w:rsidR="008814AA" w:rsidRDefault="006A2B1A" w:rsidP="00B3475D">
            <w:pPr>
              <w:jc w:val="both"/>
            </w:pPr>
            <w:r>
              <w:t xml:space="preserve">Ar rīkojuma projektu </w:t>
            </w:r>
            <w:r w:rsidR="007F5056">
              <w:t>Valsts sabiedrība</w:t>
            </w:r>
            <w:r>
              <w:t>i</w:t>
            </w:r>
            <w:r w:rsidR="007F5056">
              <w:t xml:space="preserve"> ar ierobežotu atbildību “</w:t>
            </w:r>
            <w:r w:rsidR="009658A3">
              <w:t>Šampētera</w:t>
            </w:r>
            <w:r w:rsidR="007F5056">
              <w:t xml:space="preserve"> nams” </w:t>
            </w:r>
            <w:r w:rsidR="00D237F7">
              <w:t xml:space="preserve">(turpmāk – VSIA “Šampētera nams”) </w:t>
            </w:r>
            <w:r>
              <w:t>tiek noteikta atšķirīga</w:t>
            </w:r>
            <w:r w:rsidR="007F5056" w:rsidRPr="007F5056">
              <w:t xml:space="preserve"> dividendēs izmaksājam</w:t>
            </w:r>
            <w:r>
              <w:t>ā</w:t>
            </w:r>
            <w:r w:rsidR="00765968">
              <w:t xml:space="preserve"> peļņas daļa</w:t>
            </w:r>
            <w:r w:rsidR="006352BA">
              <w:t xml:space="preserve"> par 2017. gadu</w:t>
            </w:r>
            <w:r w:rsidR="00D410BF">
              <w:t xml:space="preserve"> </w:t>
            </w:r>
            <w:r w:rsidR="008814AA" w:rsidRPr="001A511E">
              <w:t xml:space="preserve">3,6 % (5971,20 </w:t>
            </w:r>
            <w:proofErr w:type="spellStart"/>
            <w:r w:rsidR="008814AA" w:rsidRPr="00FA4FA4">
              <w:rPr>
                <w:i/>
              </w:rPr>
              <w:t>euro</w:t>
            </w:r>
            <w:proofErr w:type="spellEnd"/>
            <w:r w:rsidR="008814AA" w:rsidRPr="001A511E">
              <w:t xml:space="preserve">) </w:t>
            </w:r>
            <w:r w:rsidR="00D410BF" w:rsidRPr="001A511E">
              <w:t>apmērā</w:t>
            </w:r>
            <w:r w:rsidR="008814AA" w:rsidRPr="001A511E">
              <w:t>.</w:t>
            </w:r>
          </w:p>
          <w:p w14:paraId="5DEE3347" w14:textId="3FDEFFBE" w:rsidR="000C72F5" w:rsidRPr="001B49FB" w:rsidRDefault="000C72F5" w:rsidP="00B3475D">
            <w:pPr>
              <w:jc w:val="both"/>
            </w:pPr>
          </w:p>
        </w:tc>
      </w:tr>
    </w:tbl>
    <w:p w14:paraId="187E05CD" w14:textId="77777777" w:rsidR="000C72F5" w:rsidRDefault="000C72F5" w:rsidP="00E87DE5">
      <w:pPr>
        <w:pStyle w:val="BodyText"/>
        <w:spacing w:before="120" w:after="0"/>
        <w:jc w:val="cente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1726"/>
        <w:gridCol w:w="6897"/>
      </w:tblGrid>
      <w:tr w:rsidR="00FA4112" w:rsidRPr="002C2A7B" w14:paraId="6DCC2D4E" w14:textId="77777777" w:rsidTr="000C72F5">
        <w:tc>
          <w:tcPr>
            <w:tcW w:w="9061" w:type="dxa"/>
            <w:gridSpan w:val="3"/>
          </w:tcPr>
          <w:p w14:paraId="35B14C62" w14:textId="77777777" w:rsidR="003A4EAB" w:rsidRPr="002C2A7B" w:rsidRDefault="003A4EAB" w:rsidP="00E87DE5">
            <w:pPr>
              <w:spacing w:before="120"/>
              <w:jc w:val="center"/>
              <w:rPr>
                <w:b/>
              </w:rPr>
            </w:pPr>
            <w:r w:rsidRPr="002C2A7B">
              <w:rPr>
                <w:b/>
              </w:rPr>
              <w:t>I. Tiesību akta projekta izstrādes nepieciešamība</w:t>
            </w:r>
          </w:p>
        </w:tc>
      </w:tr>
      <w:tr w:rsidR="00FA4112" w:rsidRPr="002C2A7B" w14:paraId="0BEE1697" w14:textId="77777777" w:rsidTr="000C72F5">
        <w:tc>
          <w:tcPr>
            <w:tcW w:w="438" w:type="dxa"/>
          </w:tcPr>
          <w:p w14:paraId="4CF30425" w14:textId="77777777" w:rsidR="003A4EAB" w:rsidRPr="002C2A7B" w:rsidRDefault="003A4EAB" w:rsidP="00E87DE5">
            <w:pPr>
              <w:spacing w:before="120"/>
              <w:jc w:val="center"/>
            </w:pPr>
            <w:r w:rsidRPr="002C2A7B">
              <w:t xml:space="preserve">1. </w:t>
            </w:r>
          </w:p>
        </w:tc>
        <w:tc>
          <w:tcPr>
            <w:tcW w:w="1726" w:type="dxa"/>
          </w:tcPr>
          <w:p w14:paraId="21F2CE31" w14:textId="77777777" w:rsidR="003A4EAB" w:rsidRPr="002C2A7B" w:rsidRDefault="003A4EAB" w:rsidP="00E87DE5">
            <w:pPr>
              <w:spacing w:before="120"/>
              <w:jc w:val="center"/>
            </w:pPr>
            <w:r w:rsidRPr="002C2A7B">
              <w:t>Pamatojums</w:t>
            </w:r>
          </w:p>
        </w:tc>
        <w:tc>
          <w:tcPr>
            <w:tcW w:w="6897" w:type="dxa"/>
          </w:tcPr>
          <w:p w14:paraId="7ADD03F7" w14:textId="1533071E" w:rsidR="003A4EAB" w:rsidRPr="0092108B" w:rsidRDefault="000A3F02" w:rsidP="00B3475D">
            <w:pPr>
              <w:pStyle w:val="BodyText"/>
              <w:spacing w:after="0"/>
              <w:jc w:val="both"/>
            </w:pPr>
            <w:r w:rsidRPr="0092108B">
              <w:t>L</w:t>
            </w:r>
            <w:r w:rsidR="004B6EDE" w:rsidRPr="0092108B">
              <w:t xml:space="preserve">ikuma </w:t>
            </w:r>
            <w:r w:rsidR="00276E05" w:rsidRPr="0092108B">
              <w:t>“P</w:t>
            </w:r>
            <w:r w:rsidR="004B6EDE" w:rsidRPr="0092108B">
              <w:t>ar budžetu un finanšu vadību</w:t>
            </w:r>
            <w:r w:rsidR="00276E05" w:rsidRPr="0092108B">
              <w:t>”</w:t>
            </w:r>
            <w:r w:rsidR="004B6EDE" w:rsidRPr="00E35F12">
              <w:t xml:space="preserve"> 5.</w:t>
            </w:r>
            <w:r w:rsidR="00490515" w:rsidRPr="00E35F12">
              <w:t> </w:t>
            </w:r>
            <w:r w:rsidR="004B6EDE" w:rsidRPr="00E35F12">
              <w:t>panta otr</w:t>
            </w:r>
            <w:r w:rsidR="006C2F8C">
              <w:t>ā</w:t>
            </w:r>
            <w:r w:rsidR="004B6EDE" w:rsidRPr="00E35F12">
              <w:t xml:space="preserve"> daļ</w:t>
            </w:r>
            <w:r w:rsidR="006C2F8C">
              <w:t>a</w:t>
            </w:r>
            <w:r w:rsidR="004B6EDE" w:rsidRPr="00E35F12">
              <w:t>,</w:t>
            </w:r>
            <w:r w:rsidR="00276E05" w:rsidRPr="00E35F12">
              <w:t xml:space="preserve"> likuma “Par vidēja termiņa budžeta ietvaru 2018., 2019. un 2020. gadam” </w:t>
            </w:r>
            <w:r w:rsidR="004B6EDE" w:rsidRPr="0092108B">
              <w:t>24. panta treš</w:t>
            </w:r>
            <w:r w:rsidR="006C2F8C">
              <w:t>ā</w:t>
            </w:r>
            <w:r w:rsidR="004B6EDE" w:rsidRPr="0092108B">
              <w:t xml:space="preserve"> daļ</w:t>
            </w:r>
            <w:r w:rsidR="006C2F8C">
              <w:t>a</w:t>
            </w:r>
            <w:r w:rsidR="004B6EDE" w:rsidRPr="0092108B">
              <w:t>,</w:t>
            </w:r>
            <w:r w:rsidR="00276E05" w:rsidRPr="0092108B">
              <w:t xml:space="preserve"> </w:t>
            </w:r>
            <w:r w:rsidR="000F4D4E" w:rsidRPr="0092108B">
              <w:t>likuma “Par vals</w:t>
            </w:r>
            <w:bookmarkStart w:id="0" w:name="_GoBack"/>
            <w:bookmarkEnd w:id="0"/>
            <w:r w:rsidR="000F4D4E" w:rsidRPr="0092108B">
              <w:t>ts budžetu 2018.</w:t>
            </w:r>
            <w:r w:rsidR="00587AB6" w:rsidRPr="0092108B">
              <w:t xml:space="preserve"> </w:t>
            </w:r>
            <w:r w:rsidR="000F4D4E" w:rsidRPr="0092108B">
              <w:t>gadam” 44.</w:t>
            </w:r>
            <w:r w:rsidR="00F165CE" w:rsidRPr="0092108B">
              <w:t> </w:t>
            </w:r>
            <w:r w:rsidR="000F4D4E" w:rsidRPr="0092108B">
              <w:t>pant</w:t>
            </w:r>
            <w:r w:rsidR="006C2F8C">
              <w:t>s</w:t>
            </w:r>
            <w:r w:rsidR="000F4D4E" w:rsidRPr="0092108B">
              <w:t xml:space="preserve">, </w:t>
            </w:r>
            <w:hyperlink r:id="rId9" w:tgtFrame="_blank" w:history="1">
              <w:r w:rsidR="004B6EDE" w:rsidRPr="0092108B">
                <w:t>Publiskas personas kapitāla daļu un kapitālsabiedrību pārvaldības likuma</w:t>
              </w:r>
            </w:hyperlink>
            <w:r w:rsidR="004B6EDE" w:rsidRPr="0092108B">
              <w:t xml:space="preserve"> </w:t>
            </w:r>
            <w:hyperlink r:id="rId10" w:anchor="p28" w:tgtFrame="_blank" w:history="1">
              <w:r w:rsidR="004B6EDE" w:rsidRPr="0092108B">
                <w:t>28. panta</w:t>
              </w:r>
            </w:hyperlink>
            <w:r w:rsidR="004B6EDE" w:rsidRPr="0092108B">
              <w:t xml:space="preserve"> treš</w:t>
            </w:r>
            <w:r w:rsidR="006C2F8C">
              <w:t>ā</w:t>
            </w:r>
            <w:r w:rsidR="004B6EDE" w:rsidRPr="0092108B">
              <w:t xml:space="preserve"> daļ</w:t>
            </w:r>
            <w:r w:rsidR="006C2F8C">
              <w:t>a</w:t>
            </w:r>
            <w:r w:rsidR="004B6EDE" w:rsidRPr="0092108B">
              <w:t xml:space="preserve"> un Ministru kabineta 2015. gada 22. 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Nr.806) 10. punkt</w:t>
            </w:r>
            <w:r w:rsidR="00BB6B2B" w:rsidRPr="0092108B">
              <w:t>s</w:t>
            </w:r>
            <w:r w:rsidR="00CE3487">
              <w:t xml:space="preserve">, </w:t>
            </w:r>
            <w:r w:rsidR="00CE3487" w:rsidRPr="0042689E">
              <w:t>11.2.</w:t>
            </w:r>
            <w:r w:rsidR="00FA4750" w:rsidRPr="0042689E">
              <w:t>1</w:t>
            </w:r>
            <w:r w:rsidR="00CE3487" w:rsidRPr="0042689E">
              <w:t>. apakšpunkts.</w:t>
            </w:r>
          </w:p>
        </w:tc>
      </w:tr>
      <w:tr w:rsidR="00FA4112" w:rsidRPr="002C2A7B" w14:paraId="53F23B1B" w14:textId="77777777" w:rsidTr="000C72F5">
        <w:tc>
          <w:tcPr>
            <w:tcW w:w="438" w:type="dxa"/>
          </w:tcPr>
          <w:p w14:paraId="47E55C12" w14:textId="77777777" w:rsidR="003A4EAB" w:rsidRPr="002C2A7B" w:rsidRDefault="003A4EAB" w:rsidP="00E87DE5">
            <w:pPr>
              <w:jc w:val="center"/>
            </w:pPr>
            <w:r w:rsidRPr="002C2A7B">
              <w:t xml:space="preserve">2. </w:t>
            </w:r>
          </w:p>
        </w:tc>
        <w:tc>
          <w:tcPr>
            <w:tcW w:w="1726" w:type="dxa"/>
          </w:tcPr>
          <w:p w14:paraId="450A07BD" w14:textId="77777777" w:rsidR="003A4EAB" w:rsidRPr="002C2A7B" w:rsidRDefault="00184DF9" w:rsidP="00E87DE5">
            <w:r w:rsidRPr="002C2A7B">
              <w:t>Pašreizējā situācija un problēmas, kuru risināšanai tiesību akta projekts izstrādāts, tiesiskā regulējuma mērķis un būtība</w:t>
            </w:r>
          </w:p>
        </w:tc>
        <w:tc>
          <w:tcPr>
            <w:tcW w:w="6897" w:type="dxa"/>
          </w:tcPr>
          <w:p w14:paraId="2CD7B866" w14:textId="77777777" w:rsidR="000A3F02" w:rsidRDefault="00DF1178" w:rsidP="00B3475D">
            <w:pPr>
              <w:jc w:val="both"/>
            </w:pPr>
            <w:r>
              <w:t xml:space="preserve">VSIA </w:t>
            </w:r>
            <w:r w:rsidRPr="002C2A7B">
              <w:t>“Šampētera nams”</w:t>
            </w:r>
            <w:r w:rsidR="00276E05" w:rsidRPr="002C2A7B">
              <w:t xml:space="preserve"> ir</w:t>
            </w:r>
            <w:r w:rsidR="009802DA">
              <w:t xml:space="preserve"> </w:t>
            </w:r>
            <w:r w:rsidR="00276E05" w:rsidRPr="002C2A7B">
              <w:t xml:space="preserve">valsts kapitālsabiedrība, </w:t>
            </w:r>
            <w:r w:rsidR="009802DA">
              <w:t>kurā 100 %</w:t>
            </w:r>
            <w:r w:rsidR="00276E05" w:rsidRPr="002C2A7B">
              <w:t xml:space="preserve"> kapitāla daļ</w:t>
            </w:r>
            <w:r w:rsidR="009802DA">
              <w:t>u</w:t>
            </w:r>
            <w:r w:rsidR="00276E05" w:rsidRPr="002C2A7B">
              <w:t xml:space="preserve"> pieder </w:t>
            </w:r>
            <w:r w:rsidR="009802DA">
              <w:t>valstij</w:t>
            </w:r>
            <w:r w:rsidR="000A3F02">
              <w:t xml:space="preserve">, tās </w:t>
            </w:r>
            <w:r w:rsidR="009802DA">
              <w:t>kapitāl</w:t>
            </w:r>
            <w:r w:rsidR="003F0C04">
              <w:t xml:space="preserve">a </w:t>
            </w:r>
            <w:r w:rsidR="009802DA">
              <w:t xml:space="preserve">daļu turētājs ir </w:t>
            </w:r>
            <w:r w:rsidR="00276E05" w:rsidRPr="002C2A7B">
              <w:t>Labklājības ministrija</w:t>
            </w:r>
            <w:r w:rsidR="004B3B96">
              <w:t xml:space="preserve"> (turpmāk – LM)</w:t>
            </w:r>
            <w:r w:rsidR="00276E05" w:rsidRPr="002C2A7B">
              <w:t>.</w:t>
            </w:r>
            <w:r w:rsidR="007B1D6E">
              <w:t xml:space="preserve"> </w:t>
            </w:r>
            <w:r>
              <w:t xml:space="preserve">VSIA </w:t>
            </w:r>
            <w:r w:rsidRPr="002C2A7B">
              <w:t>“Šampētera nams”</w:t>
            </w:r>
            <w:r w:rsidR="007B1D6E" w:rsidRPr="006A06D2">
              <w:t xml:space="preserve"> pamatdarbība ir </w:t>
            </w:r>
            <w:r w:rsidR="004B3B96">
              <w:t>LM</w:t>
            </w:r>
            <w:r w:rsidR="007B1D6E" w:rsidRPr="006A06D2">
              <w:t xml:space="preserve"> nekustamo īpašumu, kuros izvietotas </w:t>
            </w:r>
            <w:r w:rsidR="004B3B96">
              <w:t>LM</w:t>
            </w:r>
            <w:r>
              <w:t xml:space="preserve"> </w:t>
            </w:r>
            <w:r w:rsidR="007B1D6E" w:rsidRPr="006A06D2">
              <w:t>padotības iestādes, pārvaldīšana un apsaimniekošana, nodrošinot telpu atbilstību nozares funkciju nodrošināšanai</w:t>
            </w:r>
            <w:r w:rsidR="008418F0">
              <w:t>,</w:t>
            </w:r>
            <w:r w:rsidR="008418F0" w:rsidRPr="006A06D2">
              <w:t xml:space="preserve"> tostarp, ilgstošas sociālās aprūpes un rehabilitācijas pakalpojumu sniegšanai nepieciešamo specializēto infrastruktūru.</w:t>
            </w:r>
            <w:bookmarkStart w:id="1" w:name="_Hlk513489457"/>
          </w:p>
          <w:p w14:paraId="6AC9F99E" w14:textId="77777777" w:rsidR="00E20149" w:rsidRDefault="00DF1178" w:rsidP="00B3475D">
            <w:pPr>
              <w:ind w:right="-1"/>
              <w:jc w:val="both"/>
            </w:pPr>
            <w:r>
              <w:t xml:space="preserve">VSIA </w:t>
            </w:r>
            <w:r w:rsidRPr="002C2A7B">
              <w:t>“Šampētera nams”</w:t>
            </w:r>
            <w:r w:rsidR="000A3F02" w:rsidRPr="002C2A7B">
              <w:t xml:space="preserve"> 2017. gadu ir noslēgusi ar peļņu 164 884 </w:t>
            </w:r>
            <w:proofErr w:type="spellStart"/>
            <w:r w:rsidR="000A3F02" w:rsidRPr="00A63BCF">
              <w:rPr>
                <w:i/>
              </w:rPr>
              <w:t>euro</w:t>
            </w:r>
            <w:proofErr w:type="spellEnd"/>
            <w:r w:rsidR="004E27E2">
              <w:rPr>
                <w:i/>
              </w:rPr>
              <w:t xml:space="preserve"> </w:t>
            </w:r>
            <w:r w:rsidR="004E27E2">
              <w:t>apmērā, un</w:t>
            </w:r>
            <w:r w:rsidR="00E20149">
              <w:t xml:space="preserve"> </w:t>
            </w:r>
            <w:r w:rsidR="004E27E2">
              <w:t>a</w:t>
            </w:r>
            <w:r w:rsidR="007B1D6E" w:rsidRPr="00681A34">
              <w:t>tbilstoši</w:t>
            </w:r>
            <w:r w:rsidR="007B1D6E">
              <w:t xml:space="preserve"> normatīvā regulējuma prasībām </w:t>
            </w:r>
            <w:r w:rsidR="007B1D6E" w:rsidRPr="00681A34">
              <w:t>ir veikusi uzņēmuma ienākuma nodokļa aprēķinu un nomaksu valsts budžetā.</w:t>
            </w:r>
          </w:p>
          <w:p w14:paraId="617A170F" w14:textId="77777777" w:rsidR="00365E1A" w:rsidRDefault="000A3F02" w:rsidP="00B3475D">
            <w:pPr>
              <w:ind w:right="-1"/>
              <w:jc w:val="both"/>
            </w:pPr>
            <w:r>
              <w:t xml:space="preserve">2017. gadā </w:t>
            </w:r>
            <w:r w:rsidR="00DF1178">
              <w:t xml:space="preserve">VSIA </w:t>
            </w:r>
            <w:r w:rsidR="00DF1178" w:rsidRPr="002C2A7B">
              <w:t>“Šampētera nams”</w:t>
            </w:r>
            <w:r>
              <w:t xml:space="preserve"> </w:t>
            </w:r>
            <w:r w:rsidRPr="000A3F02">
              <w:t xml:space="preserve">iegādājās </w:t>
            </w:r>
            <w:r w:rsidR="00EE62B6" w:rsidRPr="00EE62B6">
              <w:t xml:space="preserve">nekustamo </w:t>
            </w:r>
            <w:r w:rsidR="00EE62B6" w:rsidRPr="00E048BA">
              <w:t xml:space="preserve">īpašumu ar kadastra Nr.01000750723 – zemes vienību </w:t>
            </w:r>
            <w:r w:rsidR="00EE62B6" w:rsidRPr="00B3475D">
              <w:t>(zemes vienības kadastra apzīmējums 01000750701) 1.2688 ha platībā –</w:t>
            </w:r>
            <w:r w:rsidR="00EE62B6" w:rsidRPr="00EE62B6">
              <w:t xml:space="preserve"> </w:t>
            </w:r>
            <w:r w:rsidRPr="00E048BA">
              <w:t>Rīgā, Ventspils ielā 53</w:t>
            </w:r>
            <w:r w:rsidR="00E35F12">
              <w:t xml:space="preserve"> (turpmāk – zemesgabals)</w:t>
            </w:r>
            <w:r w:rsidRPr="00E048BA">
              <w:t xml:space="preserve">, uz kura pilnībā vai daļēji atrodas astoņas </w:t>
            </w:r>
            <w:r w:rsidR="00DF1178" w:rsidRPr="00EE62B6">
              <w:t>VSIA “Šampētera</w:t>
            </w:r>
            <w:r w:rsidR="00DF1178" w:rsidRPr="002C2A7B">
              <w:t xml:space="preserve"> nams”</w:t>
            </w:r>
            <w:r w:rsidRPr="000A3F02">
              <w:t xml:space="preserve"> piederošas būves (kadastra </w:t>
            </w:r>
            <w:r w:rsidR="006E5020" w:rsidRPr="000A3F02">
              <w:t>apzīmējum</w:t>
            </w:r>
            <w:r w:rsidR="006E5020">
              <w:t>i -</w:t>
            </w:r>
            <w:r w:rsidR="006E5020" w:rsidRPr="000A3F02">
              <w:t xml:space="preserve"> </w:t>
            </w:r>
            <w:r w:rsidRPr="000A3F02">
              <w:t xml:space="preserve">01000750873005, 01000750873007, 01000750873008, 01000750873009, 01000750873010, 01000750873012, </w:t>
            </w:r>
            <w:r w:rsidR="00C61034">
              <w:t xml:space="preserve">01000750873013, 01000750873015). </w:t>
            </w:r>
          </w:p>
          <w:p w14:paraId="23D3939C" w14:textId="77777777" w:rsidR="00C61034" w:rsidRDefault="00C61034" w:rsidP="00B3475D">
            <w:pPr>
              <w:ind w:right="-1"/>
              <w:jc w:val="both"/>
            </w:pPr>
            <w:r>
              <w:t xml:space="preserve">Minētajā īpašumā izvietotas divas labklājības nozares iestādes – </w:t>
            </w:r>
            <w:r w:rsidRPr="00C61034">
              <w:t>Veselības un darbspēju ekspertīzes ārstu valsts komisija</w:t>
            </w:r>
            <w:r>
              <w:t xml:space="preserve"> un Valsts bērnu tiesību aizsardzības inspekcija, kā arī </w:t>
            </w:r>
            <w:r w:rsidR="0092108B" w:rsidRPr="0092108B">
              <w:t>Valsts sabiedrība</w:t>
            </w:r>
            <w:r w:rsidR="0092108B">
              <w:t>s</w:t>
            </w:r>
            <w:r w:rsidR="0092108B" w:rsidRPr="0092108B">
              <w:t xml:space="preserve"> ar ierobežotu atbildību "Nacionālais rehabilitācijas centrs "Vaivari""</w:t>
            </w:r>
            <w:r>
              <w:t xml:space="preserve"> Tehnisko palīglīdzekļu centrs. </w:t>
            </w:r>
          </w:p>
          <w:p w14:paraId="06D29680" w14:textId="77777777" w:rsidR="00C61034" w:rsidRDefault="00C61034" w:rsidP="00B3475D">
            <w:pPr>
              <w:spacing w:after="240"/>
              <w:jc w:val="both"/>
            </w:pPr>
            <w:r>
              <w:t xml:space="preserve">Iegādājoties minēto zemesgabalu, tika </w:t>
            </w:r>
            <w:r w:rsidR="000A3F02" w:rsidRPr="000A3F02">
              <w:t>izbei</w:t>
            </w:r>
            <w:r>
              <w:t>gts dalītais</w:t>
            </w:r>
            <w:r w:rsidR="000A3F02" w:rsidRPr="000A3F02">
              <w:t xml:space="preserve"> īpašum</w:t>
            </w:r>
            <w:r>
              <w:t>s,</w:t>
            </w:r>
            <w:r w:rsidR="000A3F02" w:rsidRPr="000A3F02">
              <w:t xml:space="preserve"> </w:t>
            </w:r>
            <w:r w:rsidR="00145CB3">
              <w:t xml:space="preserve">nozares iestādēm </w:t>
            </w:r>
            <w:r w:rsidR="000A3F02" w:rsidRPr="000A3F02">
              <w:t>samazin</w:t>
            </w:r>
            <w:r>
              <w:t>ā</w:t>
            </w:r>
            <w:r w:rsidR="000A3F02" w:rsidRPr="000A3F02">
              <w:t>t</w:t>
            </w:r>
            <w:r>
              <w:t>i</w:t>
            </w:r>
            <w:r w:rsidR="000A3F02" w:rsidRPr="000A3F02">
              <w:t xml:space="preserve"> izdevum</w:t>
            </w:r>
            <w:r>
              <w:t>i</w:t>
            </w:r>
            <w:r w:rsidR="000A3F02" w:rsidRPr="000A3F02">
              <w:t xml:space="preserve"> par zemes nomu</w:t>
            </w:r>
            <w:r>
              <w:t>,</w:t>
            </w:r>
            <w:r w:rsidR="00150725">
              <w:t xml:space="preserve"> nomājot no privāto tiesību juridiskās personas,</w:t>
            </w:r>
            <w:r>
              <w:t xml:space="preserve"> kā arī nodrošināta iespēja </w:t>
            </w:r>
            <w:r>
              <w:lastRenderedPageBreak/>
              <w:t xml:space="preserve">netraucēti uzsākt </w:t>
            </w:r>
            <w:r w:rsidRPr="00C61034">
              <w:t>Eiropas Savienības darbības programmas “Izaugsme un nodarbinātība” 4.2.1. specifiskā atbalsta mērķa “Veicināt energoefektivitātes paaugstināšanu valsts un dzīvojamās ēkās” 4.2.1.2. pasākuma “Veicināt energoefektivitātes paaugstināšanu valsts ēkās” 1. kārtas projekt</w:t>
            </w:r>
            <w:r>
              <w:t>a</w:t>
            </w:r>
            <w:r w:rsidRPr="00C61034">
              <w:t xml:space="preserve"> </w:t>
            </w:r>
            <w:r>
              <w:t>“</w:t>
            </w:r>
            <w:r w:rsidRPr="00C61034">
              <w:t>Energoefektivitātes paaugstināšanas pasākumi Ventspils ielā 53, Rīgā”</w:t>
            </w:r>
            <w:r>
              <w:t xml:space="preserve"> īstenošanu.</w:t>
            </w:r>
          </w:p>
          <w:p w14:paraId="6FC145CD" w14:textId="515C5EDA" w:rsidR="00E84DFD" w:rsidRDefault="00952009" w:rsidP="00AA0698">
            <w:pPr>
              <w:jc w:val="both"/>
            </w:pPr>
            <w:r w:rsidRPr="00644B1D">
              <w:t xml:space="preserve">Zemesgabalu </w:t>
            </w:r>
            <w:r w:rsidR="00DF1178" w:rsidRPr="00644B1D">
              <w:t>VSIA “Šampētera nams”</w:t>
            </w:r>
            <w:r w:rsidRPr="00644B1D">
              <w:t xml:space="preserve"> iegādājās, izmantojot konkrētajam nekustamajam īpašumam </w:t>
            </w:r>
            <w:r w:rsidR="00150725" w:rsidRPr="00644B1D">
              <w:t>iepriekšējos periodos</w:t>
            </w:r>
            <w:r w:rsidR="000B629C" w:rsidRPr="00644B1D">
              <w:t xml:space="preserve"> </w:t>
            </w:r>
            <w:r w:rsidRPr="00644B1D">
              <w:t>uzkrātos līdzekļus,</w:t>
            </w:r>
            <w:r w:rsidR="00AA0698" w:rsidRPr="00644B1D">
              <w:t xml:space="preserve"> kas bija iekļauti nomas maksā kā viena no nomas maksas komponentēm un tādējādi saņemti no konkrēto nekustamo īpašumu nomājošajiem nomniekiem (privāto tiesību subjektiem un valsts iestādēm).</w:t>
            </w:r>
            <w:r w:rsidRPr="00644B1D">
              <w:t xml:space="preserve"> 2016. gada pārskatā </w:t>
            </w:r>
            <w:r w:rsidR="00AA0698" w:rsidRPr="00644B1D">
              <w:t xml:space="preserve">tie </w:t>
            </w:r>
            <w:r w:rsidRPr="00644B1D">
              <w:t xml:space="preserve">atspoguļoti 14. pozīcijā </w:t>
            </w:r>
            <w:r w:rsidRPr="00644B1D">
              <w:rPr>
                <w:i/>
              </w:rPr>
              <w:t>Nākamo periodu ieņēmumi</w:t>
            </w:r>
            <w:r w:rsidRPr="00644B1D">
              <w:t xml:space="preserve"> kā uzkrājums,</w:t>
            </w:r>
            <w:r>
              <w:t xml:space="preserve"> savukārt 2017. gad</w:t>
            </w:r>
            <w:r w:rsidR="00AA17B8">
              <w:t>a pārskatā</w:t>
            </w:r>
            <w:r>
              <w:t xml:space="preserve"> </w:t>
            </w:r>
            <w:r w:rsidR="00AA17B8">
              <w:t>a</w:t>
            </w:r>
            <w:r w:rsidRPr="00555E82">
              <w:t>tbilstoši Ministru kabineta 2015. gada 22. decembra noteikumu Nr.</w:t>
            </w:r>
            <w:r>
              <w:t> </w:t>
            </w:r>
            <w:r w:rsidRPr="00555E82">
              <w:t>775 “Gada pārskatu un konsolidēto gada pārskatu likuma piemērošanas noteikumi” 97. punktam, kas nosaka, ka pamatlīdzeklim ar neierobežotu lietderīgās lietošanas laiku (piem., zemesgabalam) un pamatlīdzeklim, kuram nevar noteikt lietderīgās lietošanas laiku, ikgadējo nolietojumu neaprēķina,</w:t>
            </w:r>
            <w:r w:rsidR="00D05DA4">
              <w:t xml:space="preserve"> līdz ar to nerodas izmaksas.</w:t>
            </w:r>
            <w:r w:rsidRPr="00555E82">
              <w:t xml:space="preserve"> </w:t>
            </w:r>
            <w:r w:rsidR="00D05DA4" w:rsidRPr="00BB1175">
              <w:t>T</w:t>
            </w:r>
            <w:r w:rsidR="0093754F" w:rsidRPr="00BB1175">
              <w:t xml:space="preserve">ādējādi </w:t>
            </w:r>
            <w:r w:rsidR="00AA17B8" w:rsidRPr="00BB1175">
              <w:t xml:space="preserve">2017. gadā iegādātais zemesgabals jau </w:t>
            </w:r>
            <w:r w:rsidR="0093754F" w:rsidRPr="00BB1175">
              <w:t xml:space="preserve">tiek </w:t>
            </w:r>
            <w:r w:rsidR="00AA17B8" w:rsidRPr="00BB1175">
              <w:t xml:space="preserve">atspoguļots 4. pozīcijā </w:t>
            </w:r>
            <w:r w:rsidR="00AA17B8" w:rsidRPr="00BB1175">
              <w:rPr>
                <w:i/>
              </w:rPr>
              <w:t>Nekustamie īpašumi</w:t>
            </w:r>
            <w:r w:rsidR="00AA17B8" w:rsidRPr="00BB1175">
              <w:t>.</w:t>
            </w:r>
            <w:r w:rsidR="00AA0698" w:rsidRPr="00BB1175">
              <w:t xml:space="preserve"> Bilances postenī </w:t>
            </w:r>
            <w:r w:rsidR="00AA0698" w:rsidRPr="00BB1175">
              <w:rPr>
                <w:i/>
              </w:rPr>
              <w:t>Nākamo periodu ieņēmumi</w:t>
            </w:r>
            <w:r w:rsidR="00AA0698" w:rsidRPr="00BB1175">
              <w:t xml:space="preserve"> norāda naudas līdzekļus, kas saņemti pirms bilances datuma, bet attiecas uz nākamo pārskata gadu vai tālākiem pārskata gadiem, t.i., nauda tiks izlietota nākamajā pārskata periodā. Bilances postenī </w:t>
            </w:r>
            <w:r w:rsidR="00AA0698" w:rsidRPr="00BB1175">
              <w:rPr>
                <w:i/>
              </w:rPr>
              <w:t>Nākamo periodu ieņēmumi</w:t>
            </w:r>
            <w:r w:rsidR="00AA0698" w:rsidRPr="00BB1175">
              <w:t xml:space="preserve"> norādīto summu iekļauj attiecīgo pārskata gadu ieņēmumos (attiecīgi  peļņas un zaudējumu aprēķinā − </w:t>
            </w:r>
            <w:r w:rsidR="00AA0698" w:rsidRPr="00BB1175">
              <w:rPr>
                <w:i/>
              </w:rPr>
              <w:t>Ieņēmumos</w:t>
            </w:r>
            <w:r w:rsidR="00AA0698" w:rsidRPr="00BB1175">
              <w:t xml:space="preserve">), ja šī suma tika izlietota kārtējā gada izdevumu segšanai (attiecīgi peļņas un zaudējumu aprēķinā – </w:t>
            </w:r>
            <w:r w:rsidR="00AA0698" w:rsidRPr="00BB1175">
              <w:rPr>
                <w:i/>
              </w:rPr>
              <w:t>Izdevumos</w:t>
            </w:r>
            <w:r w:rsidR="00AA0698" w:rsidRPr="00BB1175">
              <w:t>).</w:t>
            </w:r>
            <w:r w:rsidR="00AA0698" w:rsidRPr="00AA0698">
              <w:t xml:space="preserve"> </w:t>
            </w:r>
            <w:r w:rsidR="00E84DFD">
              <w:t>Tā kā a</w:t>
            </w:r>
            <w:r w:rsidR="00E84DFD" w:rsidRPr="00555E82">
              <w:t xml:space="preserve">tbilstoši normatīvajam regulējumam </w:t>
            </w:r>
            <w:r w:rsidR="00E84DFD">
              <w:t>nav</w:t>
            </w:r>
            <w:r w:rsidR="00E84DFD" w:rsidRPr="00555E82">
              <w:t xml:space="preserve"> izmaksu, kas </w:t>
            </w:r>
            <w:r w:rsidR="00E84DFD">
              <w:t xml:space="preserve">būtu </w:t>
            </w:r>
            <w:r w:rsidR="00E84DFD" w:rsidRPr="00555E82">
              <w:t>attiecināmas uz peļņas vai zaudējumu aprēķinu</w:t>
            </w:r>
            <w:r w:rsidR="00E84DFD">
              <w:t>,</w:t>
            </w:r>
            <w:r w:rsidR="00E84DFD" w:rsidRPr="00555E82">
              <w:t xml:space="preserve"> neto peļņa </w:t>
            </w:r>
            <w:r w:rsidR="00E84DFD">
              <w:t>–</w:t>
            </w:r>
            <w:r w:rsidR="00E84DFD" w:rsidRPr="00555E82">
              <w:t xml:space="preserve"> 7464</w:t>
            </w:r>
            <w:r w:rsidR="00E84DFD">
              <w:t> </w:t>
            </w:r>
            <w:proofErr w:type="spellStart"/>
            <w:r w:rsidR="00E84DFD" w:rsidRPr="00555E82">
              <w:rPr>
                <w:i/>
              </w:rPr>
              <w:t>euro</w:t>
            </w:r>
            <w:proofErr w:type="spellEnd"/>
            <w:r w:rsidR="00E84DFD">
              <w:t xml:space="preserve"> apmērā, kas gūta no saimnieciskās darbības, ir palielināta par zemesgabala iegādes summu − </w:t>
            </w:r>
            <w:r w:rsidR="00E84DFD" w:rsidRPr="00D85EE0">
              <w:t xml:space="preserve">157 420 </w:t>
            </w:r>
            <w:proofErr w:type="spellStart"/>
            <w:r w:rsidR="00E84DFD" w:rsidRPr="00E45C8C">
              <w:rPr>
                <w:i/>
              </w:rPr>
              <w:t>euro</w:t>
            </w:r>
            <w:proofErr w:type="spellEnd"/>
            <w:r w:rsidR="005867ED">
              <w:t xml:space="preserve">. Tādējādi, ievērojot normatīvo regulējumu, </w:t>
            </w:r>
            <w:proofErr w:type="spellStart"/>
            <w:r w:rsidR="00E84DFD">
              <w:t>grāmatvediski</w:t>
            </w:r>
            <w:proofErr w:type="spellEnd"/>
            <w:r w:rsidR="00E84DFD">
              <w:t xml:space="preserve"> </w:t>
            </w:r>
            <w:r w:rsidR="00DF1178">
              <w:t xml:space="preserve">VSIA </w:t>
            </w:r>
            <w:r w:rsidR="00DF1178" w:rsidRPr="002C2A7B">
              <w:t>“Šampētera nams”</w:t>
            </w:r>
            <w:r w:rsidR="00E84DFD">
              <w:t xml:space="preserve"> 2017. gada peļņa </w:t>
            </w:r>
            <w:r w:rsidR="00E84DFD" w:rsidRPr="00BD712F">
              <w:t>ir</w:t>
            </w:r>
            <w:r w:rsidR="00E84DFD">
              <w:t xml:space="preserve"> </w:t>
            </w:r>
            <w:r w:rsidR="00E84DFD" w:rsidRPr="00BD712F">
              <w:t>1</w:t>
            </w:r>
            <w:r w:rsidR="00E84DFD" w:rsidRPr="002C2A7B">
              <w:t>64 884 </w:t>
            </w:r>
            <w:proofErr w:type="spellStart"/>
            <w:r w:rsidR="00E84DFD" w:rsidRPr="00A63BCF">
              <w:rPr>
                <w:i/>
              </w:rPr>
              <w:t>euro</w:t>
            </w:r>
            <w:proofErr w:type="spellEnd"/>
            <w:r w:rsidR="00E84DFD">
              <w:rPr>
                <w:i/>
              </w:rPr>
              <w:t xml:space="preserve">, </w:t>
            </w:r>
            <w:r w:rsidR="00E84DFD" w:rsidRPr="00E84DFD">
              <w:t>taču faktiskā peļņa</w:t>
            </w:r>
            <w:r w:rsidR="00E84DFD">
              <w:rPr>
                <w:i/>
              </w:rPr>
              <w:t xml:space="preserve"> </w:t>
            </w:r>
            <w:r w:rsidR="00E84DFD">
              <w:t xml:space="preserve">ir </w:t>
            </w:r>
            <w:r w:rsidR="00E84DFD" w:rsidRPr="00555E82">
              <w:t>7464</w:t>
            </w:r>
            <w:r w:rsidR="00E84DFD">
              <w:t> </w:t>
            </w:r>
            <w:proofErr w:type="spellStart"/>
            <w:r w:rsidR="00E84DFD" w:rsidRPr="00555E82">
              <w:rPr>
                <w:i/>
              </w:rPr>
              <w:t>euro</w:t>
            </w:r>
            <w:proofErr w:type="spellEnd"/>
            <w:r w:rsidR="00E84DFD">
              <w:t>.</w:t>
            </w:r>
          </w:p>
          <w:p w14:paraId="649FAD5A" w14:textId="77777777" w:rsidR="005C61BE" w:rsidRPr="002C2A7B" w:rsidRDefault="005C61BE" w:rsidP="00B3475D">
            <w:pPr>
              <w:ind w:right="-1"/>
              <w:jc w:val="both"/>
            </w:pPr>
            <w:r>
              <w:t>L</w:t>
            </w:r>
            <w:r w:rsidRPr="002C2A7B">
              <w:t>ikuma “Par vidēja termiņa budžeta ietvaru 2018., 2019. un 2020. gadam” 24.</w:t>
            </w:r>
            <w:r>
              <w:t xml:space="preserve"> </w:t>
            </w:r>
            <w:r w:rsidRPr="002C2A7B">
              <w:t>panta pirm</w:t>
            </w:r>
            <w:r>
              <w:t>ās</w:t>
            </w:r>
            <w:r w:rsidRPr="002C2A7B">
              <w:t xml:space="preserve"> daļ</w:t>
            </w:r>
            <w:r>
              <w:t>as norma</w:t>
            </w:r>
            <w:r w:rsidRPr="00301E4F">
              <w:t xml:space="preserve"> nosaka</w:t>
            </w:r>
            <w:r w:rsidRPr="002C2A7B">
              <w:t>, ka minimālo dividendēs izmaksājamo peļņas daļu par 2017. un 2018. 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w:t>
            </w:r>
            <w:r>
              <w:t> </w:t>
            </w:r>
            <w:r w:rsidRPr="002C2A7B">
              <w:t xml:space="preserve">gadā (par 2017. gada pārskata gadu) nosaka un aprēķina 80 procentu apmērā no attiecīgās kapitālsabiedrības peļņas. </w:t>
            </w:r>
            <w:r>
              <w:t xml:space="preserve">Attiecīgā likuma </w:t>
            </w:r>
            <w:r w:rsidR="00DF1178">
              <w:t>24. </w:t>
            </w:r>
            <w:r>
              <w:t>panta</w:t>
            </w:r>
            <w:r w:rsidRPr="002C2A7B">
              <w:t xml:space="preserve"> trešā daļa nosaka, ka Ministru kabinets normatīvajos aktos noteiktajos gadījumos un kārtībā var pieņemt lēmumu par atšķirīgu minimālo dividendēs izmaksājamo peļņas daļu.</w:t>
            </w:r>
            <w:r>
              <w:t xml:space="preserve"> </w:t>
            </w:r>
          </w:p>
          <w:p w14:paraId="5CCA347A" w14:textId="77777777" w:rsidR="005C61BE" w:rsidRDefault="005C61BE" w:rsidP="00B3475D">
            <w:pPr>
              <w:ind w:right="-1"/>
              <w:jc w:val="both"/>
            </w:pPr>
            <w:r w:rsidRPr="002C2A7B">
              <w:t xml:space="preserve">Ievērojot minēto, </w:t>
            </w:r>
            <w:r w:rsidR="00DF1178">
              <w:t xml:space="preserve">VSIA </w:t>
            </w:r>
            <w:r w:rsidR="00DF1178" w:rsidRPr="002C2A7B">
              <w:t>“Šampētera nams”</w:t>
            </w:r>
            <w:r w:rsidR="00DF1178">
              <w:t xml:space="preserve"> </w:t>
            </w:r>
            <w:r w:rsidRPr="002C2A7B">
              <w:t xml:space="preserve">par 2017. pārskata gadu būtu jāieskaita valsts budžetā dividendes 131 907,20 </w:t>
            </w:r>
            <w:proofErr w:type="spellStart"/>
            <w:r w:rsidRPr="00301E4F">
              <w:rPr>
                <w:i/>
              </w:rPr>
              <w:t>euro</w:t>
            </w:r>
            <w:proofErr w:type="spellEnd"/>
            <w:r w:rsidRPr="00F87402">
              <w:t xml:space="preserve"> </w:t>
            </w:r>
            <w:r w:rsidRPr="002C2A7B">
              <w:t>apmērā.</w:t>
            </w:r>
          </w:p>
          <w:p w14:paraId="544C23E8" w14:textId="77777777" w:rsidR="005C61BE" w:rsidRPr="00305E1E" w:rsidRDefault="005F7095" w:rsidP="00B3475D">
            <w:pPr>
              <w:spacing w:after="240"/>
              <w:ind w:right="-1"/>
              <w:jc w:val="both"/>
              <w:rPr>
                <w:highlight w:val="yellow"/>
              </w:rPr>
            </w:pPr>
            <w:r w:rsidRPr="00145CB3">
              <w:t xml:space="preserve">Zemesgabala iegādes ieņēmumu summas iekļaušana peļņas postenī rada pienākumu </w:t>
            </w:r>
            <w:r w:rsidR="00DF1178" w:rsidRPr="00145CB3">
              <w:t xml:space="preserve">VSIA “Šampētera nams” </w:t>
            </w:r>
            <w:r w:rsidRPr="00145CB3">
              <w:t xml:space="preserve">veikt dividenžu izmaksu, taču tā kā </w:t>
            </w:r>
            <w:r w:rsidR="00644598" w:rsidRPr="00145CB3">
              <w:t>157 420 </w:t>
            </w:r>
            <w:proofErr w:type="spellStart"/>
            <w:r w:rsidR="00644598" w:rsidRPr="00145CB3">
              <w:rPr>
                <w:i/>
              </w:rPr>
              <w:t>euro</w:t>
            </w:r>
            <w:proofErr w:type="spellEnd"/>
            <w:r w:rsidR="00B12B82">
              <w:rPr>
                <w:i/>
              </w:rPr>
              <w:t xml:space="preserve"> </w:t>
            </w:r>
            <w:r w:rsidR="00B12B82" w:rsidRPr="00265969">
              <w:t>no</w:t>
            </w:r>
            <w:r w:rsidR="00644598" w:rsidRPr="00265969">
              <w:t xml:space="preserve"> </w:t>
            </w:r>
            <w:r w:rsidRPr="00145CB3">
              <w:t xml:space="preserve">peļņas veido ilgtermiņa ieguldījumi un tikai </w:t>
            </w:r>
            <w:r w:rsidR="00644598" w:rsidRPr="00145CB3">
              <w:lastRenderedPageBreak/>
              <w:t>7464 </w:t>
            </w:r>
            <w:proofErr w:type="spellStart"/>
            <w:r w:rsidR="00644598" w:rsidRPr="00145CB3">
              <w:rPr>
                <w:i/>
              </w:rPr>
              <w:t>euro</w:t>
            </w:r>
            <w:proofErr w:type="spellEnd"/>
            <w:r w:rsidR="00644598" w:rsidRPr="00145CB3">
              <w:t xml:space="preserve"> </w:t>
            </w:r>
            <w:r w:rsidRPr="00145CB3">
              <w:t xml:space="preserve">peļņas veido ieņēmumi no </w:t>
            </w:r>
            <w:r w:rsidR="00B12B82" w:rsidRPr="00145CB3">
              <w:t xml:space="preserve">VSIA “Šampētera nams” </w:t>
            </w:r>
            <w:r w:rsidRPr="00145CB3">
              <w:t xml:space="preserve">saimnieciskās darbības, dividenžu izmaksa no visas peļņas ir apgrūtināta, jo </w:t>
            </w:r>
            <w:r w:rsidR="00DF1178" w:rsidRPr="00145CB3">
              <w:t>VSIA “Šampētera nams”</w:t>
            </w:r>
            <w:r w:rsidRPr="00145CB3">
              <w:t xml:space="preserve"> rīcībā faktiski šādu līdzekļu nav</w:t>
            </w:r>
            <w:r w:rsidR="000F4FF4" w:rsidRPr="00145CB3">
              <w:t>.</w:t>
            </w:r>
            <w:r w:rsidRPr="00145CB3">
              <w:t xml:space="preserve"> </w:t>
            </w:r>
            <w:r w:rsidR="00145CB3" w:rsidRPr="000A3D6D">
              <w:t xml:space="preserve">Naudas līdzekļu atlikums </w:t>
            </w:r>
            <w:r w:rsidR="009F4EC7" w:rsidRPr="000A3D6D">
              <w:t xml:space="preserve">VSIA “Šampētera nams” norēķinu kontā </w:t>
            </w:r>
            <w:r w:rsidR="004649E2" w:rsidRPr="000A3D6D">
              <w:t>u</w:t>
            </w:r>
            <w:r w:rsidR="00145CB3" w:rsidRPr="000A3D6D">
              <w:t xml:space="preserve">z 31.12.2017. </w:t>
            </w:r>
            <w:r w:rsidR="009F4EC7" w:rsidRPr="000A3D6D">
              <w:t>nav vērtējam</w:t>
            </w:r>
            <w:r w:rsidR="00F3509D" w:rsidRPr="000A3D6D">
              <w:t>s</w:t>
            </w:r>
            <w:r w:rsidR="009F4EC7" w:rsidRPr="000A3D6D">
              <w:t xml:space="preserve"> kā brīvie līdzek</w:t>
            </w:r>
            <w:r w:rsidR="00271C58" w:rsidRPr="000A3D6D">
              <w:t>ļ</w:t>
            </w:r>
            <w:r w:rsidR="009F4EC7" w:rsidRPr="000A3D6D">
              <w:t>i, jo</w:t>
            </w:r>
            <w:r w:rsidR="00271C58" w:rsidRPr="000A3D6D">
              <w:t xml:space="preserve"> </w:t>
            </w:r>
            <w:r w:rsidR="00265969">
              <w:t>tie ir</w:t>
            </w:r>
            <w:r w:rsidR="009F4EC7" w:rsidRPr="000A3D6D">
              <w:t xml:space="preserve"> avansa maksājumi par </w:t>
            </w:r>
            <w:r w:rsidR="00FE2D8A" w:rsidRPr="000A3D6D">
              <w:t>nākam</w:t>
            </w:r>
            <w:r w:rsidR="00271C58" w:rsidRPr="000A3D6D">
              <w:t>o</w:t>
            </w:r>
            <w:r w:rsidR="00FE2D8A" w:rsidRPr="000A3D6D">
              <w:t xml:space="preserve"> period</w:t>
            </w:r>
            <w:r w:rsidR="00271C58" w:rsidRPr="000A3D6D">
              <w:t>u</w:t>
            </w:r>
            <w:r w:rsidR="00FE2D8A" w:rsidRPr="000A3D6D">
              <w:t xml:space="preserve"> </w:t>
            </w:r>
            <w:r w:rsidR="00F3509D" w:rsidRPr="000A3D6D">
              <w:t>uzņemtajām saistībām</w:t>
            </w:r>
            <w:r w:rsidR="00271C58" w:rsidRPr="000A3D6D">
              <w:t xml:space="preserve">, kas </w:t>
            </w:r>
            <w:r w:rsidR="00271C58" w:rsidRPr="000A3D6D">
              <w:rPr>
                <w:color w:val="000000" w:themeColor="text1"/>
              </w:rPr>
              <w:t xml:space="preserve">izriet no divpusējiem līgumiem starp </w:t>
            </w:r>
            <w:r w:rsidR="00271C58" w:rsidRPr="000A3D6D">
              <w:t>VSIA “Šampētera nams”</w:t>
            </w:r>
            <w:r w:rsidR="00271C58" w:rsidRPr="000A3D6D">
              <w:rPr>
                <w:color w:val="000000" w:themeColor="text1"/>
              </w:rPr>
              <w:t xml:space="preserve"> un publiskām personām – </w:t>
            </w:r>
            <w:r w:rsidR="00C52FCF">
              <w:rPr>
                <w:color w:val="000000" w:themeColor="text1"/>
              </w:rPr>
              <w:t>LM</w:t>
            </w:r>
            <w:r w:rsidR="00271C58" w:rsidRPr="000A3D6D">
              <w:rPr>
                <w:color w:val="000000" w:themeColor="text1"/>
              </w:rPr>
              <w:t xml:space="preserve"> un tās padotības iestādēm</w:t>
            </w:r>
            <w:r w:rsidR="009F4EC7" w:rsidRPr="000A3D6D">
              <w:t>.</w:t>
            </w:r>
            <w:r w:rsidR="00271C58" w:rsidRPr="000A3D6D">
              <w:t xml:space="preserve"> </w:t>
            </w:r>
            <w:r w:rsidR="00DF1178" w:rsidRPr="000A3D6D">
              <w:t>VSIA “Šampētera nams”</w:t>
            </w:r>
            <w:r w:rsidR="000F4FF4" w:rsidRPr="000A3D6D">
              <w:t xml:space="preserve"> nevar veikt dividenžu izmaksu no</w:t>
            </w:r>
            <w:r w:rsidR="00271C58" w:rsidRPr="000A3D6D">
              <w:t xml:space="preserve"> šiem</w:t>
            </w:r>
            <w:r w:rsidR="00FE2D8A" w:rsidRPr="000A3D6D">
              <w:t xml:space="preserve"> naudas</w:t>
            </w:r>
            <w:r w:rsidR="000F4FF4" w:rsidRPr="000A3D6D">
              <w:t xml:space="preserve"> līdzekļiem, </w:t>
            </w:r>
            <w:r w:rsidR="00271C58" w:rsidRPr="000A3D6D">
              <w:t>jo tie</w:t>
            </w:r>
            <w:r w:rsidR="000F4FF4" w:rsidRPr="000A3D6D">
              <w:t xml:space="preserve"> paredzēti jau uzņemto saistību īstenošanai</w:t>
            </w:r>
            <w:r w:rsidR="00271C58" w:rsidRPr="000A3D6D">
              <w:t xml:space="preserve"> un to novirzīšana dividenžu samaksai</w:t>
            </w:r>
            <w:r w:rsidR="000F4FF4" w:rsidRPr="000A3D6D">
              <w:t xml:space="preserve"> rad</w:t>
            </w:r>
            <w:r w:rsidR="00271C58" w:rsidRPr="000A3D6D">
              <w:t>a</w:t>
            </w:r>
            <w:r w:rsidR="000F4FF4" w:rsidRPr="000A3D6D">
              <w:t xml:space="preserve"> risku</w:t>
            </w:r>
            <w:r w:rsidR="00271C58" w:rsidRPr="000A3D6D">
              <w:t xml:space="preserve"> šo saistību izpildē (</w:t>
            </w:r>
            <w:r w:rsidR="00FE2D8A" w:rsidRPr="000A3D6D">
              <w:t xml:space="preserve">naudas </w:t>
            </w:r>
            <w:r w:rsidR="000F4FF4" w:rsidRPr="000A3D6D">
              <w:t xml:space="preserve">līdzekļi paredzēti </w:t>
            </w:r>
            <w:r w:rsidR="00644598" w:rsidRPr="000A3D6D">
              <w:t xml:space="preserve">konkrētu </w:t>
            </w:r>
            <w:r w:rsidR="000F4FF4" w:rsidRPr="000A3D6D">
              <w:t>apsaimniekojamo aktīvu uzturēšanai</w:t>
            </w:r>
            <w:r w:rsidR="00271C58" w:rsidRPr="000A3D6D">
              <w:t>).</w:t>
            </w:r>
            <w:r w:rsidR="00305E1E">
              <w:t xml:space="preserve"> </w:t>
            </w:r>
            <w:r w:rsidR="00265969">
              <w:t>N</w:t>
            </w:r>
            <w:r w:rsidR="00291FCB">
              <w:t xml:space="preserve">egatīvas izmaiņas finanšu plūsmā var būtiski ietekmēt </w:t>
            </w:r>
            <w:r w:rsidR="00DF1178">
              <w:t xml:space="preserve">VSIA </w:t>
            </w:r>
            <w:r w:rsidR="00DF1178" w:rsidRPr="002C2A7B">
              <w:t>“Šampētera nams”</w:t>
            </w:r>
            <w:r w:rsidR="00291FCB">
              <w:t xml:space="preserve"> darbību un labklājības nozares iestāžu pakalpojumu sniegšanas kvalitāti, tāpat tas var radīt papildu slogu labklājības nozarei, ja </w:t>
            </w:r>
            <w:r w:rsidR="00DF1178">
              <w:t xml:space="preserve">VSIA </w:t>
            </w:r>
            <w:r w:rsidR="00DF1178" w:rsidRPr="002C2A7B">
              <w:t>“Šampētera nams”</w:t>
            </w:r>
            <w:r w:rsidR="00291FCB">
              <w:t xml:space="preserve"> uzņemto saistību realizācijai nāksies piesaistīt aizņemtos finanšu līdzekļus.</w:t>
            </w:r>
          </w:p>
          <w:p w14:paraId="7D8D9F67" w14:textId="076F4425" w:rsidR="00A75CBD" w:rsidRPr="00C46033" w:rsidRDefault="001C6D00" w:rsidP="00B3475D">
            <w:pPr>
              <w:ind w:right="-1"/>
              <w:jc w:val="both"/>
            </w:pPr>
            <w:r>
              <w:t>N</w:t>
            </w:r>
            <w:r w:rsidR="00C47081" w:rsidRPr="00C47081">
              <w:t xml:space="preserve">oteikumu Nr. 806 </w:t>
            </w:r>
            <w:r w:rsidR="00C47081">
              <w:t xml:space="preserve">10. punkts nosaka, ka, </w:t>
            </w:r>
            <w:r w:rsidR="00C47081" w:rsidRPr="00C47081">
              <w:t xml:space="preserve">ņemot vērā šo noteikumu 11. punktā minētos apstākļus, valsts kapitāla daļu turētājs </w:t>
            </w:r>
            <w:r w:rsidR="00C47081">
              <w:t xml:space="preserve">sniedz </w:t>
            </w:r>
            <w:r w:rsidR="00C47081" w:rsidRPr="00C47081">
              <w:t>priekšlikumu par dividendēs izmaksājamo peļņas daļu (procentos no kapitālsabiedrības tīrās peļņas), kas atšķiras no kapitālsabiedrības stratēģijā noteiktā</w:t>
            </w:r>
            <w:r w:rsidR="00C47081">
              <w:t xml:space="preserve">. </w:t>
            </w:r>
            <w:r w:rsidR="0093754F">
              <w:t xml:space="preserve">Saskaņā ar </w:t>
            </w:r>
            <w:r w:rsidR="001C5F14">
              <w:t>N</w:t>
            </w:r>
            <w:r w:rsidR="00C47081" w:rsidRPr="00C47081">
              <w:t>oteikumu Nr. 806</w:t>
            </w:r>
            <w:r w:rsidR="00C47081">
              <w:t xml:space="preserve"> </w:t>
            </w:r>
            <w:r w:rsidR="0093754F">
              <w:t xml:space="preserve">11.2. apakšpunktu ir nepieciešams samazināt dividendēs izmaksājamo peļņas daļu, valsts kapitāla daļu turētājam konstatējot, ka iestājies kāds no apakšpunktā norādītājiem apstākļiem. </w:t>
            </w:r>
            <w:r w:rsidR="00B44BC2" w:rsidRPr="00C46033">
              <w:t>Minēto n</w:t>
            </w:r>
            <w:r w:rsidR="0093754F" w:rsidRPr="00C46033">
              <w:t xml:space="preserve">oteikumu </w:t>
            </w:r>
            <w:r w:rsidR="00C47081" w:rsidRPr="00C46033">
              <w:t>11.2.</w:t>
            </w:r>
            <w:r w:rsidR="00A75CBD" w:rsidRPr="00C46033">
              <w:t>1</w:t>
            </w:r>
            <w:r w:rsidR="00C47081" w:rsidRPr="00C46033">
              <w:t>. apakšpunkts nosaka, ka</w:t>
            </w:r>
            <w:r w:rsidR="0093754F" w:rsidRPr="00C46033">
              <w:t xml:space="preserve"> samazinājums pieļaujams, ja </w:t>
            </w:r>
            <w:r w:rsidR="00A75CBD" w:rsidRPr="00C46033">
              <w:t>no kapitālsabiedrības darbības neatkarīgu apstākļu dēļ, neparedzētu notikumu vai ārkārtas situāciju dēļ ir iestājušās faktiskās sekas, kuru novēršanai un kapitālsabiedrības stratēģijā noteikto mērķu īstenošanai kapitālsabiedrības rīcībā nepieciešams atstāt finanšu līdzekļus dividendēs izmaksājamās peļņas daļas apmērā (pilnībā vai daļēji)</w:t>
            </w:r>
            <w:r w:rsidR="0093754F" w:rsidRPr="00C46033">
              <w:t>.</w:t>
            </w:r>
          </w:p>
          <w:p w14:paraId="0EDADEA9" w14:textId="529604D3" w:rsidR="005879C8" w:rsidRDefault="00A75CBD" w:rsidP="00AE6FC8">
            <w:pPr>
              <w:ind w:right="-1"/>
              <w:jc w:val="both"/>
            </w:pPr>
            <w:r w:rsidRPr="00C46033">
              <w:t xml:space="preserve">Kaut arī zemes iegāde tika plānota, tomēr grāmatvedības principus, kuru dēļ radās situācija ar grāmatvedības peļņu, </w:t>
            </w:r>
            <w:r w:rsidR="00C46033" w:rsidRPr="00C46033">
              <w:t>VSIA “Šampētera nams”</w:t>
            </w:r>
            <w:r w:rsidRPr="00C46033">
              <w:t xml:space="preserve"> ietekmēt nevar un tie ir uzskatāmi par no </w:t>
            </w:r>
            <w:r w:rsidR="00C46033" w:rsidRPr="00C46033">
              <w:t>k</w:t>
            </w:r>
            <w:r w:rsidRPr="00C46033">
              <w:t>apitālsabiedrības darbības neatkarīgiem apstākļiem, kuru dēļ pārskati uzrāda lielāku peļņu, nekā tā faktiski ir gūta no pamatdarbības.</w:t>
            </w:r>
            <w:r>
              <w:t xml:space="preserve"> </w:t>
            </w:r>
          </w:p>
          <w:p w14:paraId="01EDD2AA" w14:textId="4AFA37A6" w:rsidR="00D26F3E" w:rsidRDefault="00DF1178" w:rsidP="00AE6FC8">
            <w:pPr>
              <w:ind w:right="-1"/>
              <w:jc w:val="both"/>
              <w:rPr>
                <w:strike/>
              </w:rPr>
            </w:pPr>
            <w:r>
              <w:t xml:space="preserve">VSIA </w:t>
            </w:r>
            <w:r w:rsidRPr="002C2A7B">
              <w:t>“Šampētera nams”</w:t>
            </w:r>
            <w:r w:rsidR="0093754F" w:rsidRPr="00B72389">
              <w:t xml:space="preserve"> gadījumā </w:t>
            </w:r>
            <w:r w:rsidR="0093754F" w:rsidRPr="00B72389">
              <w:rPr>
                <w:color w:val="000000" w:themeColor="text1"/>
              </w:rPr>
              <w:t xml:space="preserve">daļa peļņas veidojusies, </w:t>
            </w:r>
            <w:r w:rsidR="000A1D67">
              <w:rPr>
                <w:color w:val="000000" w:themeColor="text1"/>
              </w:rPr>
              <w:t>līdzīgi kā</w:t>
            </w:r>
            <w:r w:rsidR="000A1D67" w:rsidRPr="00B72389">
              <w:rPr>
                <w:color w:val="000000" w:themeColor="text1"/>
              </w:rPr>
              <w:t xml:space="preserve"> </w:t>
            </w:r>
            <w:r w:rsidR="0093754F" w:rsidRPr="00B72389">
              <w:rPr>
                <w:color w:val="000000" w:themeColor="text1"/>
              </w:rPr>
              <w:t xml:space="preserve">veicot ilgtermiņa ieguldījumu pārvērtēšanu, </w:t>
            </w:r>
            <w:r w:rsidR="000A1D67">
              <w:rPr>
                <w:color w:val="000000" w:themeColor="text1"/>
              </w:rPr>
              <w:t xml:space="preserve">proti, </w:t>
            </w:r>
            <w:proofErr w:type="spellStart"/>
            <w:r w:rsidR="000A1D67">
              <w:rPr>
                <w:color w:val="000000" w:themeColor="text1"/>
              </w:rPr>
              <w:t>grāmatvediski</w:t>
            </w:r>
            <w:proofErr w:type="spellEnd"/>
            <w:r w:rsidR="000A1D67">
              <w:rPr>
                <w:color w:val="000000" w:themeColor="text1"/>
              </w:rPr>
              <w:t>, tikai</w:t>
            </w:r>
            <w:r w:rsidR="008410D9">
              <w:rPr>
                <w:color w:val="000000" w:themeColor="text1"/>
              </w:rPr>
              <w:t>,</w:t>
            </w:r>
            <w:r w:rsidR="0093754F" w:rsidRPr="00B72389">
              <w:rPr>
                <w:color w:val="000000" w:themeColor="text1"/>
              </w:rPr>
              <w:t xml:space="preserve"> ievērojot </w:t>
            </w:r>
            <w:r w:rsidR="0093754F" w:rsidRPr="00B72389">
              <w:t>Ministru kabineta 2015. gada 22. decembra noteikumu Nr. 775 “Gada pārskatu un konsolidēto gada pārskatu likuma piemērošanas noteikumi” 97. punktu, kas nosaka, ka pamatlīdzeklim ar neierobežotu lietderīgās lietošanas laiku (piem., zemesgabalam) un pamatlīdzeklim, kuram nevar noteikt lietderīgās lietošanas laiku, ikgadējo nolietojumu neaprēķina</w:t>
            </w:r>
            <w:r w:rsidR="000A3D6D">
              <w:t>, līdz ar to nerodas izdevumi un zemes iegādei novirzītais uzkrājums tiek atzīts ieņēmumos.</w:t>
            </w:r>
            <w:r w:rsidR="00AE6FC8">
              <w:t xml:space="preserve"> </w:t>
            </w:r>
            <w:r w:rsidR="0093754F" w:rsidRPr="00AE6FC8">
              <w:t xml:space="preserve">Šo </w:t>
            </w:r>
            <w:proofErr w:type="spellStart"/>
            <w:r w:rsidR="0093754F" w:rsidRPr="00AE6FC8">
              <w:t>grāmatvedisko</w:t>
            </w:r>
            <w:proofErr w:type="spellEnd"/>
            <w:r w:rsidR="0093754F" w:rsidRPr="00AE6FC8">
              <w:t xml:space="preserve"> darbību rezultātā</w:t>
            </w:r>
            <w:r w:rsidRPr="00AE6FC8">
              <w:t>,</w:t>
            </w:r>
            <w:r w:rsidR="0093754F" w:rsidRPr="00AE6FC8">
              <w:rPr>
                <w:color w:val="000000" w:themeColor="text1"/>
              </w:rPr>
              <w:t xml:space="preserve"> veidojas </w:t>
            </w:r>
            <w:proofErr w:type="spellStart"/>
            <w:r w:rsidR="0093754F" w:rsidRPr="00AE6FC8">
              <w:rPr>
                <w:color w:val="000000" w:themeColor="text1"/>
              </w:rPr>
              <w:t>grāmatvediskā</w:t>
            </w:r>
            <w:proofErr w:type="spellEnd"/>
            <w:r w:rsidR="008C1011" w:rsidRPr="00AE6FC8">
              <w:rPr>
                <w:color w:val="000000" w:themeColor="text1"/>
              </w:rPr>
              <w:t>, nevis reālā</w:t>
            </w:r>
            <w:r w:rsidR="0093754F" w:rsidRPr="00AE6FC8">
              <w:rPr>
                <w:color w:val="000000" w:themeColor="text1"/>
              </w:rPr>
              <w:t xml:space="preserve"> peļņa</w:t>
            </w:r>
            <w:r w:rsidR="0072722C" w:rsidRPr="00AE6FC8">
              <w:rPr>
                <w:color w:val="000000" w:themeColor="text1"/>
              </w:rPr>
              <w:t>.</w:t>
            </w:r>
            <w:r w:rsidR="0093754F" w:rsidRPr="0072722C">
              <w:rPr>
                <w:strike/>
              </w:rPr>
              <w:t xml:space="preserve"> </w:t>
            </w:r>
            <w:bookmarkEnd w:id="1"/>
          </w:p>
          <w:p w14:paraId="7C35A75B" w14:textId="77777777" w:rsidR="00110ACB" w:rsidRPr="00AE6FC8" w:rsidRDefault="00110ACB" w:rsidP="00AE6FC8">
            <w:pPr>
              <w:ind w:right="-1"/>
              <w:jc w:val="both"/>
            </w:pPr>
          </w:p>
          <w:p w14:paraId="1BB786D2" w14:textId="77777777" w:rsidR="00126469" w:rsidRPr="002C2A7B" w:rsidRDefault="000E01A2" w:rsidP="00B3475D">
            <w:pPr>
              <w:jc w:val="both"/>
            </w:pPr>
            <w:r>
              <w:t xml:space="preserve">VSIA </w:t>
            </w:r>
            <w:r w:rsidRPr="002C2A7B">
              <w:t>“Šampētera nams”</w:t>
            </w:r>
            <w:r>
              <w:t xml:space="preserve"> </w:t>
            </w:r>
            <w:r w:rsidR="00AC40AF" w:rsidRPr="002C2A7B">
              <w:t>201</w:t>
            </w:r>
            <w:r w:rsidR="00A45E8B" w:rsidRPr="002C2A7B">
              <w:t>7</w:t>
            </w:r>
            <w:r w:rsidR="00AC40AF" w:rsidRPr="002C2A7B">
              <w:t>.</w:t>
            </w:r>
            <w:r w:rsidR="00A45E8B" w:rsidRPr="002C2A7B">
              <w:t> </w:t>
            </w:r>
            <w:r w:rsidR="00AC40AF" w:rsidRPr="002C2A7B">
              <w:t>gada darbību raksturojošie finanšu rādītāji:</w:t>
            </w:r>
          </w:p>
          <w:tbl>
            <w:tblPr>
              <w:tblStyle w:val="TableGrid"/>
              <w:tblW w:w="6671" w:type="dxa"/>
              <w:jc w:val="center"/>
              <w:tblLook w:val="04A0" w:firstRow="1" w:lastRow="0" w:firstColumn="1" w:lastColumn="0" w:noHBand="0" w:noVBand="1"/>
            </w:tblPr>
            <w:tblGrid>
              <w:gridCol w:w="1949"/>
              <w:gridCol w:w="1623"/>
              <w:gridCol w:w="1432"/>
              <w:gridCol w:w="1667"/>
            </w:tblGrid>
            <w:tr w:rsidR="00DC618B" w:rsidRPr="00DC618B" w14:paraId="5027F27D" w14:textId="77777777" w:rsidTr="00DC618B">
              <w:trPr>
                <w:jc w:val="center"/>
              </w:trPr>
              <w:tc>
                <w:tcPr>
                  <w:tcW w:w="1949" w:type="dxa"/>
                </w:tcPr>
                <w:p w14:paraId="6ABBEF92" w14:textId="77777777" w:rsidR="00DC618B" w:rsidRPr="006A06D2" w:rsidRDefault="00DC618B" w:rsidP="00E87DE5">
                  <w:r w:rsidRPr="006A06D2">
                    <w:lastRenderedPageBreak/>
                    <w:t>Finanšu rādītāji</w:t>
                  </w:r>
                </w:p>
              </w:tc>
              <w:tc>
                <w:tcPr>
                  <w:tcW w:w="1623" w:type="dxa"/>
                </w:tcPr>
                <w:p w14:paraId="46E2973E" w14:textId="77777777" w:rsidR="00DC618B" w:rsidRPr="006A06D2" w:rsidRDefault="00DC618B" w:rsidP="00E87DE5">
                  <w:pPr>
                    <w:jc w:val="center"/>
                  </w:pPr>
                  <w:r w:rsidRPr="006A06D2">
                    <w:t>Plāns 2017</w:t>
                  </w:r>
                </w:p>
              </w:tc>
              <w:tc>
                <w:tcPr>
                  <w:tcW w:w="1432" w:type="dxa"/>
                </w:tcPr>
                <w:p w14:paraId="7DD1123E" w14:textId="77777777" w:rsidR="00DC618B" w:rsidRPr="006A06D2" w:rsidRDefault="00DC618B" w:rsidP="00E87DE5">
                  <w:pPr>
                    <w:jc w:val="center"/>
                  </w:pPr>
                  <w:r w:rsidRPr="006A06D2">
                    <w:t>Fakts 2017</w:t>
                  </w:r>
                </w:p>
              </w:tc>
              <w:tc>
                <w:tcPr>
                  <w:tcW w:w="1667" w:type="dxa"/>
                  <w:shd w:val="clear" w:color="auto" w:fill="auto"/>
                </w:tcPr>
                <w:p w14:paraId="58B5C3DE" w14:textId="77777777" w:rsidR="00DC618B" w:rsidRPr="006A06D2" w:rsidRDefault="00DC618B" w:rsidP="00E87DE5">
                  <w:pPr>
                    <w:jc w:val="center"/>
                  </w:pPr>
                  <w:r w:rsidRPr="006A06D2">
                    <w:t>Novirze no plāna</w:t>
                  </w:r>
                </w:p>
              </w:tc>
            </w:tr>
            <w:tr w:rsidR="00126469" w:rsidRPr="00DC618B" w14:paraId="329D9179" w14:textId="77777777" w:rsidTr="00DC618B">
              <w:trPr>
                <w:jc w:val="center"/>
              </w:trPr>
              <w:tc>
                <w:tcPr>
                  <w:tcW w:w="1949" w:type="dxa"/>
                </w:tcPr>
                <w:p w14:paraId="278E9342" w14:textId="77777777" w:rsidR="00126469" w:rsidRPr="006A06D2" w:rsidRDefault="00126469" w:rsidP="00E87DE5">
                  <w:r w:rsidRPr="006A06D2">
                    <w:t>Neto apgrozījums, EUR</w:t>
                  </w:r>
                </w:p>
              </w:tc>
              <w:tc>
                <w:tcPr>
                  <w:tcW w:w="1623" w:type="dxa"/>
                </w:tcPr>
                <w:p w14:paraId="23B40965" w14:textId="77777777" w:rsidR="00126469" w:rsidRPr="006A06D2" w:rsidRDefault="00126469" w:rsidP="00E87DE5">
                  <w:pPr>
                    <w:jc w:val="center"/>
                  </w:pPr>
                  <w:r w:rsidRPr="006A06D2">
                    <w:t>1 329 235</w:t>
                  </w:r>
                </w:p>
              </w:tc>
              <w:tc>
                <w:tcPr>
                  <w:tcW w:w="1432" w:type="dxa"/>
                </w:tcPr>
                <w:p w14:paraId="4CD926EE" w14:textId="77777777" w:rsidR="00126469" w:rsidRPr="006A06D2" w:rsidRDefault="00126469" w:rsidP="00E87DE5">
                  <w:pPr>
                    <w:jc w:val="center"/>
                  </w:pPr>
                  <w:r w:rsidRPr="006A06D2">
                    <w:t>1 753 995</w:t>
                  </w:r>
                </w:p>
              </w:tc>
              <w:tc>
                <w:tcPr>
                  <w:tcW w:w="1667" w:type="dxa"/>
                  <w:shd w:val="clear" w:color="auto" w:fill="auto"/>
                </w:tcPr>
                <w:p w14:paraId="41B75DFD" w14:textId="77777777" w:rsidR="00126469" w:rsidRPr="006A06D2" w:rsidRDefault="00126469" w:rsidP="00E87DE5">
                  <w:pPr>
                    <w:jc w:val="center"/>
                  </w:pPr>
                  <w:r w:rsidRPr="006A06D2">
                    <w:t>424 760</w:t>
                  </w:r>
                </w:p>
              </w:tc>
            </w:tr>
            <w:tr w:rsidR="00126469" w:rsidRPr="00DC618B" w14:paraId="283EB9DD" w14:textId="77777777" w:rsidTr="00DC618B">
              <w:trPr>
                <w:jc w:val="center"/>
              </w:trPr>
              <w:tc>
                <w:tcPr>
                  <w:tcW w:w="1949" w:type="dxa"/>
                </w:tcPr>
                <w:p w14:paraId="61E28B46" w14:textId="77777777" w:rsidR="00126469" w:rsidRPr="006A06D2" w:rsidRDefault="00126469" w:rsidP="00E87DE5">
                  <w:r w:rsidRPr="006A06D2">
                    <w:t>Peļņa, EUR</w:t>
                  </w:r>
                </w:p>
              </w:tc>
              <w:tc>
                <w:tcPr>
                  <w:tcW w:w="1623" w:type="dxa"/>
                </w:tcPr>
                <w:p w14:paraId="4B05DEBC" w14:textId="77777777" w:rsidR="00126469" w:rsidRPr="006A06D2" w:rsidRDefault="00126469" w:rsidP="00E87DE5">
                  <w:pPr>
                    <w:jc w:val="center"/>
                  </w:pPr>
                  <w:r w:rsidRPr="006A06D2">
                    <w:t>133 906</w:t>
                  </w:r>
                </w:p>
              </w:tc>
              <w:tc>
                <w:tcPr>
                  <w:tcW w:w="1432" w:type="dxa"/>
                </w:tcPr>
                <w:p w14:paraId="3B3EB820" w14:textId="77777777" w:rsidR="00126469" w:rsidRPr="006A06D2" w:rsidRDefault="00126469" w:rsidP="00E87DE5">
                  <w:pPr>
                    <w:jc w:val="center"/>
                  </w:pPr>
                  <w:r w:rsidRPr="006A06D2">
                    <w:t>164 884</w:t>
                  </w:r>
                </w:p>
              </w:tc>
              <w:tc>
                <w:tcPr>
                  <w:tcW w:w="1667" w:type="dxa"/>
                  <w:shd w:val="clear" w:color="auto" w:fill="auto"/>
                </w:tcPr>
                <w:p w14:paraId="702A77B1" w14:textId="77777777" w:rsidR="00126469" w:rsidRPr="006A06D2" w:rsidRDefault="00126469" w:rsidP="00E87DE5">
                  <w:pPr>
                    <w:jc w:val="center"/>
                  </w:pPr>
                  <w:r w:rsidRPr="006A06D2">
                    <w:t>30 978</w:t>
                  </w:r>
                </w:p>
              </w:tc>
            </w:tr>
            <w:tr w:rsidR="00126469" w:rsidRPr="00DC618B" w14:paraId="2A200458" w14:textId="77777777" w:rsidTr="00DC618B">
              <w:trPr>
                <w:jc w:val="center"/>
              </w:trPr>
              <w:tc>
                <w:tcPr>
                  <w:tcW w:w="1949" w:type="dxa"/>
                </w:tcPr>
                <w:p w14:paraId="096D10CE" w14:textId="77777777" w:rsidR="00126469" w:rsidRPr="006A06D2" w:rsidRDefault="00126469" w:rsidP="00E87DE5">
                  <w:r w:rsidRPr="006A06D2">
                    <w:t>Peļņa pirms procentu maksājumiem un nodokļiem (EBIT), EUR</w:t>
                  </w:r>
                </w:p>
              </w:tc>
              <w:tc>
                <w:tcPr>
                  <w:tcW w:w="1623" w:type="dxa"/>
                </w:tcPr>
                <w:p w14:paraId="382A672F" w14:textId="77777777" w:rsidR="00126469" w:rsidRPr="006A06D2" w:rsidRDefault="00126469" w:rsidP="00E87DE5">
                  <w:pPr>
                    <w:jc w:val="center"/>
                  </w:pPr>
                  <w:r w:rsidRPr="006A06D2">
                    <w:t>162 924</w:t>
                  </w:r>
                </w:p>
              </w:tc>
              <w:tc>
                <w:tcPr>
                  <w:tcW w:w="1432" w:type="dxa"/>
                </w:tcPr>
                <w:p w14:paraId="4DC54054" w14:textId="77777777" w:rsidR="00126469" w:rsidRPr="006A06D2" w:rsidRDefault="00126469" w:rsidP="00E87DE5">
                  <w:pPr>
                    <w:jc w:val="center"/>
                  </w:pPr>
                  <w:r w:rsidRPr="006A06D2">
                    <w:t>216 437</w:t>
                  </w:r>
                </w:p>
              </w:tc>
              <w:tc>
                <w:tcPr>
                  <w:tcW w:w="1667" w:type="dxa"/>
                  <w:shd w:val="clear" w:color="auto" w:fill="auto"/>
                </w:tcPr>
                <w:p w14:paraId="2341B095" w14:textId="77777777" w:rsidR="00126469" w:rsidRPr="006A06D2" w:rsidRDefault="00126469" w:rsidP="00E87DE5">
                  <w:pPr>
                    <w:jc w:val="center"/>
                  </w:pPr>
                  <w:r w:rsidRPr="006A06D2">
                    <w:t xml:space="preserve">53 513 </w:t>
                  </w:r>
                </w:p>
              </w:tc>
            </w:tr>
            <w:tr w:rsidR="00126469" w:rsidRPr="00DC618B" w14:paraId="110C7D1A" w14:textId="77777777" w:rsidTr="00DC618B">
              <w:trPr>
                <w:jc w:val="center"/>
              </w:trPr>
              <w:tc>
                <w:tcPr>
                  <w:tcW w:w="1949" w:type="dxa"/>
                </w:tcPr>
                <w:p w14:paraId="295370FF" w14:textId="77777777" w:rsidR="00126469" w:rsidRPr="006A06D2" w:rsidRDefault="00126469" w:rsidP="00E87DE5">
                  <w:r w:rsidRPr="006A06D2">
                    <w:t>Peļņa pirms procentu maksājumiem, nodokļiem, nolietojuma un amortizācijas atskaitījumiem (EBITDA), EUR</w:t>
                  </w:r>
                </w:p>
              </w:tc>
              <w:tc>
                <w:tcPr>
                  <w:tcW w:w="1623" w:type="dxa"/>
                </w:tcPr>
                <w:p w14:paraId="0122B5FD" w14:textId="77777777" w:rsidR="00126469" w:rsidRPr="006A06D2" w:rsidRDefault="00126469" w:rsidP="00E87DE5">
                  <w:pPr>
                    <w:jc w:val="center"/>
                  </w:pPr>
                  <w:r w:rsidRPr="006A06D2">
                    <w:t>170 377</w:t>
                  </w:r>
                </w:p>
              </w:tc>
              <w:tc>
                <w:tcPr>
                  <w:tcW w:w="1432" w:type="dxa"/>
                </w:tcPr>
                <w:p w14:paraId="2BAC6C19" w14:textId="77777777" w:rsidR="00126469" w:rsidRPr="006A06D2" w:rsidRDefault="00126469" w:rsidP="00E87DE5">
                  <w:pPr>
                    <w:jc w:val="center"/>
                  </w:pPr>
                  <w:r w:rsidRPr="006A06D2">
                    <w:t>228 433</w:t>
                  </w:r>
                </w:p>
              </w:tc>
              <w:tc>
                <w:tcPr>
                  <w:tcW w:w="1667" w:type="dxa"/>
                  <w:shd w:val="clear" w:color="auto" w:fill="auto"/>
                </w:tcPr>
                <w:p w14:paraId="10BBD5F9" w14:textId="77777777" w:rsidR="00126469" w:rsidRPr="006A06D2" w:rsidRDefault="00126469" w:rsidP="00E87DE5">
                  <w:pPr>
                    <w:jc w:val="center"/>
                  </w:pPr>
                  <w:r w:rsidRPr="006A06D2">
                    <w:t xml:space="preserve">58 056 </w:t>
                  </w:r>
                </w:p>
              </w:tc>
            </w:tr>
            <w:tr w:rsidR="00126469" w:rsidRPr="00DC618B" w14:paraId="3E3BA387" w14:textId="77777777" w:rsidTr="00DC618B">
              <w:trPr>
                <w:jc w:val="center"/>
              </w:trPr>
              <w:tc>
                <w:tcPr>
                  <w:tcW w:w="1949" w:type="dxa"/>
                </w:tcPr>
                <w:p w14:paraId="2727FCCA" w14:textId="77777777" w:rsidR="00126469" w:rsidRPr="006A06D2" w:rsidRDefault="00126469" w:rsidP="00E87DE5">
                  <w:r w:rsidRPr="006A06D2">
                    <w:t>Bilances kopsumma, EUR</w:t>
                  </w:r>
                </w:p>
              </w:tc>
              <w:tc>
                <w:tcPr>
                  <w:tcW w:w="1623" w:type="dxa"/>
                </w:tcPr>
                <w:p w14:paraId="4419A544" w14:textId="77777777" w:rsidR="00126469" w:rsidRPr="006A06D2" w:rsidRDefault="00126469" w:rsidP="00E87DE5">
                  <w:pPr>
                    <w:jc w:val="center"/>
                  </w:pPr>
                  <w:r w:rsidRPr="006A06D2">
                    <w:t>819 350</w:t>
                  </w:r>
                </w:p>
              </w:tc>
              <w:tc>
                <w:tcPr>
                  <w:tcW w:w="1432" w:type="dxa"/>
                </w:tcPr>
                <w:p w14:paraId="26E5F5AA" w14:textId="77777777" w:rsidR="00126469" w:rsidRPr="006A06D2" w:rsidRDefault="00126469" w:rsidP="00E87DE5">
                  <w:pPr>
                    <w:jc w:val="center"/>
                  </w:pPr>
                  <w:r w:rsidRPr="006A06D2">
                    <w:t>1 673 649</w:t>
                  </w:r>
                </w:p>
              </w:tc>
              <w:tc>
                <w:tcPr>
                  <w:tcW w:w="1667" w:type="dxa"/>
                  <w:shd w:val="clear" w:color="auto" w:fill="auto"/>
                </w:tcPr>
                <w:p w14:paraId="5F0E2F5B" w14:textId="77777777" w:rsidR="00126469" w:rsidRPr="006A06D2" w:rsidRDefault="00126469" w:rsidP="00E87DE5">
                  <w:pPr>
                    <w:jc w:val="center"/>
                  </w:pPr>
                  <w:r w:rsidRPr="006A06D2">
                    <w:t xml:space="preserve">854 299 </w:t>
                  </w:r>
                </w:p>
              </w:tc>
            </w:tr>
            <w:tr w:rsidR="00126469" w:rsidRPr="00DC618B" w14:paraId="05298E6D" w14:textId="77777777" w:rsidTr="00DC618B">
              <w:trPr>
                <w:jc w:val="center"/>
              </w:trPr>
              <w:tc>
                <w:tcPr>
                  <w:tcW w:w="1949" w:type="dxa"/>
                </w:tcPr>
                <w:p w14:paraId="10FD5A59" w14:textId="77777777" w:rsidR="00126469" w:rsidRPr="006A06D2" w:rsidRDefault="00126469" w:rsidP="00E87DE5">
                  <w:r w:rsidRPr="006A06D2">
                    <w:t>Pašu kapitāls, EUR</w:t>
                  </w:r>
                </w:p>
              </w:tc>
              <w:tc>
                <w:tcPr>
                  <w:tcW w:w="1623" w:type="dxa"/>
                </w:tcPr>
                <w:p w14:paraId="627FB5D0" w14:textId="77777777" w:rsidR="00126469" w:rsidRPr="006A06D2" w:rsidRDefault="00126469" w:rsidP="00E87DE5">
                  <w:pPr>
                    <w:jc w:val="center"/>
                  </w:pPr>
                  <w:r w:rsidRPr="006A06D2">
                    <w:t>525 022</w:t>
                  </w:r>
                </w:p>
              </w:tc>
              <w:tc>
                <w:tcPr>
                  <w:tcW w:w="1432" w:type="dxa"/>
                </w:tcPr>
                <w:p w14:paraId="586ED037" w14:textId="77777777" w:rsidR="00126469" w:rsidRPr="006A06D2" w:rsidRDefault="00126469" w:rsidP="00E87DE5">
                  <w:pPr>
                    <w:jc w:val="center"/>
                  </w:pPr>
                  <w:r w:rsidRPr="006A06D2">
                    <w:t>554 180</w:t>
                  </w:r>
                </w:p>
              </w:tc>
              <w:tc>
                <w:tcPr>
                  <w:tcW w:w="1667" w:type="dxa"/>
                  <w:shd w:val="clear" w:color="auto" w:fill="auto"/>
                </w:tcPr>
                <w:p w14:paraId="2E36BE26" w14:textId="77777777" w:rsidR="00126469" w:rsidRPr="006A06D2" w:rsidRDefault="00126469" w:rsidP="00E87DE5">
                  <w:pPr>
                    <w:jc w:val="center"/>
                  </w:pPr>
                  <w:r w:rsidRPr="006A06D2">
                    <w:t xml:space="preserve">29 158 </w:t>
                  </w:r>
                </w:p>
              </w:tc>
            </w:tr>
            <w:tr w:rsidR="00126469" w:rsidRPr="00DC618B" w14:paraId="65C899A6" w14:textId="77777777" w:rsidTr="00DC618B">
              <w:trPr>
                <w:jc w:val="center"/>
              </w:trPr>
              <w:tc>
                <w:tcPr>
                  <w:tcW w:w="1949" w:type="dxa"/>
                </w:tcPr>
                <w:p w14:paraId="26499E2D" w14:textId="77777777" w:rsidR="00126469" w:rsidRPr="006A06D2" w:rsidRDefault="00126469" w:rsidP="00E87DE5">
                  <w:r w:rsidRPr="006A06D2">
                    <w:t>Pašu kapitāla atdeve (ROE), %</w:t>
                  </w:r>
                </w:p>
              </w:tc>
              <w:tc>
                <w:tcPr>
                  <w:tcW w:w="1623" w:type="dxa"/>
                </w:tcPr>
                <w:p w14:paraId="7145EF20" w14:textId="77777777" w:rsidR="00126469" w:rsidRPr="006A06D2" w:rsidRDefault="00126469" w:rsidP="00E87DE5">
                  <w:pPr>
                    <w:jc w:val="center"/>
                  </w:pPr>
                  <w:r w:rsidRPr="006A06D2">
                    <w:t>25,5</w:t>
                  </w:r>
                </w:p>
              </w:tc>
              <w:tc>
                <w:tcPr>
                  <w:tcW w:w="1432" w:type="dxa"/>
                </w:tcPr>
                <w:p w14:paraId="22F3831B" w14:textId="77777777" w:rsidR="00126469" w:rsidRPr="006A06D2" w:rsidRDefault="00126469" w:rsidP="00E87DE5">
                  <w:pPr>
                    <w:jc w:val="center"/>
                  </w:pPr>
                  <w:r w:rsidRPr="006A06D2">
                    <w:t>29,8</w:t>
                  </w:r>
                </w:p>
              </w:tc>
              <w:tc>
                <w:tcPr>
                  <w:tcW w:w="1667" w:type="dxa"/>
                  <w:shd w:val="clear" w:color="auto" w:fill="auto"/>
                </w:tcPr>
                <w:p w14:paraId="72F96C9C" w14:textId="77777777" w:rsidR="00126469" w:rsidRPr="006A06D2" w:rsidRDefault="00126469" w:rsidP="00E87DE5">
                  <w:pPr>
                    <w:jc w:val="center"/>
                  </w:pPr>
                  <w:r w:rsidRPr="006A06D2">
                    <w:t xml:space="preserve">4,3 </w:t>
                  </w:r>
                </w:p>
              </w:tc>
            </w:tr>
            <w:tr w:rsidR="00126469" w:rsidRPr="00DC618B" w14:paraId="425C7367" w14:textId="77777777" w:rsidTr="00DC618B">
              <w:trPr>
                <w:jc w:val="center"/>
              </w:trPr>
              <w:tc>
                <w:tcPr>
                  <w:tcW w:w="1949" w:type="dxa"/>
                </w:tcPr>
                <w:p w14:paraId="5BBB749B" w14:textId="77777777" w:rsidR="00126469" w:rsidRPr="006A06D2" w:rsidRDefault="00126469" w:rsidP="00E87DE5">
                  <w:r w:rsidRPr="006A06D2">
                    <w:t>Aktīvu atdeve (ROA), %</w:t>
                  </w:r>
                </w:p>
              </w:tc>
              <w:tc>
                <w:tcPr>
                  <w:tcW w:w="1623" w:type="dxa"/>
                </w:tcPr>
                <w:p w14:paraId="41754F73" w14:textId="77777777" w:rsidR="00126469" w:rsidRPr="006A06D2" w:rsidRDefault="00126469" w:rsidP="00E87DE5">
                  <w:pPr>
                    <w:jc w:val="center"/>
                  </w:pPr>
                  <w:r w:rsidRPr="006A06D2">
                    <w:t>16,3</w:t>
                  </w:r>
                </w:p>
              </w:tc>
              <w:tc>
                <w:tcPr>
                  <w:tcW w:w="1432" w:type="dxa"/>
                </w:tcPr>
                <w:p w14:paraId="4C75D341" w14:textId="77777777" w:rsidR="00126469" w:rsidRPr="006A06D2" w:rsidRDefault="00126469" w:rsidP="00E87DE5">
                  <w:pPr>
                    <w:jc w:val="center"/>
                  </w:pPr>
                  <w:r w:rsidRPr="006A06D2">
                    <w:t>9,9</w:t>
                  </w:r>
                </w:p>
              </w:tc>
              <w:tc>
                <w:tcPr>
                  <w:tcW w:w="1667" w:type="dxa"/>
                  <w:shd w:val="clear" w:color="auto" w:fill="auto"/>
                </w:tcPr>
                <w:p w14:paraId="5F3654B4" w14:textId="77777777" w:rsidR="00126469" w:rsidRPr="006A06D2" w:rsidRDefault="00126469" w:rsidP="00E87DE5">
                  <w:pPr>
                    <w:jc w:val="center"/>
                  </w:pPr>
                  <w:r w:rsidRPr="006A06D2">
                    <w:t xml:space="preserve">-6,4 </w:t>
                  </w:r>
                </w:p>
              </w:tc>
            </w:tr>
            <w:tr w:rsidR="00126469" w:rsidRPr="00DC618B" w14:paraId="267AB957" w14:textId="77777777" w:rsidTr="00DC618B">
              <w:trPr>
                <w:jc w:val="center"/>
              </w:trPr>
              <w:tc>
                <w:tcPr>
                  <w:tcW w:w="1949" w:type="dxa"/>
                </w:tcPr>
                <w:p w14:paraId="6FC4137A" w14:textId="77777777" w:rsidR="00126469" w:rsidRPr="006A06D2" w:rsidRDefault="00126469" w:rsidP="00E87DE5">
                  <w:r w:rsidRPr="006A06D2">
                    <w:t>Kopējais likviditātes rādītājs</w:t>
                  </w:r>
                </w:p>
              </w:tc>
              <w:tc>
                <w:tcPr>
                  <w:tcW w:w="1623" w:type="dxa"/>
                </w:tcPr>
                <w:p w14:paraId="502C2016" w14:textId="77777777" w:rsidR="00126469" w:rsidRPr="006A06D2" w:rsidRDefault="00126469" w:rsidP="00E87DE5">
                  <w:pPr>
                    <w:jc w:val="center"/>
                  </w:pPr>
                  <w:r w:rsidRPr="006A06D2">
                    <w:t>1,28</w:t>
                  </w:r>
                </w:p>
              </w:tc>
              <w:tc>
                <w:tcPr>
                  <w:tcW w:w="1432" w:type="dxa"/>
                </w:tcPr>
                <w:p w14:paraId="47D7D411" w14:textId="77777777" w:rsidR="00126469" w:rsidRPr="006A06D2" w:rsidRDefault="00126469" w:rsidP="00E87DE5">
                  <w:pPr>
                    <w:jc w:val="center"/>
                  </w:pPr>
                  <w:r w:rsidRPr="006A06D2">
                    <w:t>1,1</w:t>
                  </w:r>
                </w:p>
              </w:tc>
              <w:tc>
                <w:tcPr>
                  <w:tcW w:w="1667" w:type="dxa"/>
                  <w:shd w:val="clear" w:color="auto" w:fill="auto"/>
                </w:tcPr>
                <w:p w14:paraId="3DEF757B" w14:textId="77777777" w:rsidR="00126469" w:rsidRPr="006A06D2" w:rsidRDefault="00126469" w:rsidP="00E87DE5">
                  <w:pPr>
                    <w:jc w:val="center"/>
                  </w:pPr>
                  <w:r w:rsidRPr="006A06D2">
                    <w:t xml:space="preserve">-0,18 </w:t>
                  </w:r>
                </w:p>
              </w:tc>
            </w:tr>
            <w:tr w:rsidR="00126469" w:rsidRPr="00DC618B" w14:paraId="11D27A45" w14:textId="77777777" w:rsidTr="00DC618B">
              <w:trPr>
                <w:jc w:val="center"/>
              </w:trPr>
              <w:tc>
                <w:tcPr>
                  <w:tcW w:w="1949" w:type="dxa"/>
                </w:tcPr>
                <w:p w14:paraId="4D250749" w14:textId="77777777" w:rsidR="00126469" w:rsidRPr="006A06D2" w:rsidRDefault="00126469" w:rsidP="00E87DE5">
                  <w:r w:rsidRPr="006A06D2">
                    <w:t>Saistības pret pašu kapitālu, %</w:t>
                  </w:r>
                </w:p>
              </w:tc>
              <w:tc>
                <w:tcPr>
                  <w:tcW w:w="1623" w:type="dxa"/>
                </w:tcPr>
                <w:p w14:paraId="20955CB4" w14:textId="77777777" w:rsidR="00126469" w:rsidRPr="006A06D2" w:rsidRDefault="00126469" w:rsidP="00E87DE5">
                  <w:pPr>
                    <w:jc w:val="center"/>
                  </w:pPr>
                  <w:r w:rsidRPr="006A06D2">
                    <w:t>56,06</w:t>
                  </w:r>
                </w:p>
              </w:tc>
              <w:tc>
                <w:tcPr>
                  <w:tcW w:w="1432" w:type="dxa"/>
                </w:tcPr>
                <w:p w14:paraId="1D122F6C" w14:textId="77777777" w:rsidR="00126469" w:rsidRPr="006A06D2" w:rsidRDefault="00126469" w:rsidP="00E87DE5">
                  <w:pPr>
                    <w:jc w:val="center"/>
                  </w:pPr>
                  <w:r w:rsidRPr="006A06D2">
                    <w:t>202,00</w:t>
                  </w:r>
                </w:p>
              </w:tc>
              <w:tc>
                <w:tcPr>
                  <w:tcW w:w="1667" w:type="dxa"/>
                  <w:shd w:val="clear" w:color="auto" w:fill="auto"/>
                </w:tcPr>
                <w:p w14:paraId="5DB20764" w14:textId="77777777" w:rsidR="00126469" w:rsidRPr="006A06D2" w:rsidRDefault="00126469" w:rsidP="00E87DE5">
                  <w:pPr>
                    <w:jc w:val="center"/>
                  </w:pPr>
                  <w:r w:rsidRPr="006A06D2">
                    <w:t xml:space="preserve">145,94 </w:t>
                  </w:r>
                </w:p>
              </w:tc>
            </w:tr>
            <w:tr w:rsidR="00126469" w:rsidRPr="00DC618B" w14:paraId="10870BA0" w14:textId="77777777" w:rsidTr="00DC618B">
              <w:trPr>
                <w:jc w:val="center"/>
              </w:trPr>
              <w:tc>
                <w:tcPr>
                  <w:tcW w:w="1949" w:type="dxa"/>
                </w:tcPr>
                <w:p w14:paraId="52A974F8" w14:textId="77777777" w:rsidR="00126469" w:rsidRPr="006A06D2" w:rsidRDefault="00126469" w:rsidP="00E87DE5">
                  <w:r w:rsidRPr="006A06D2">
                    <w:t>Plānotās pamatdarbības naudas plūsmas izpilde, EUR</w:t>
                  </w:r>
                </w:p>
              </w:tc>
              <w:tc>
                <w:tcPr>
                  <w:tcW w:w="1623" w:type="dxa"/>
                </w:tcPr>
                <w:p w14:paraId="49F92802" w14:textId="77777777" w:rsidR="00126469" w:rsidRPr="006A06D2" w:rsidRDefault="00126469" w:rsidP="00E87DE5">
                  <w:pPr>
                    <w:jc w:val="center"/>
                  </w:pPr>
                  <w:r w:rsidRPr="006A06D2">
                    <w:t>-250 812</w:t>
                  </w:r>
                </w:p>
              </w:tc>
              <w:tc>
                <w:tcPr>
                  <w:tcW w:w="1432" w:type="dxa"/>
                </w:tcPr>
                <w:p w14:paraId="7680AD5D" w14:textId="77777777" w:rsidR="00126469" w:rsidRPr="006A06D2" w:rsidRDefault="00126469" w:rsidP="00E87DE5">
                  <w:pPr>
                    <w:jc w:val="center"/>
                  </w:pPr>
                  <w:r w:rsidRPr="006A06D2">
                    <w:t>499 298</w:t>
                  </w:r>
                </w:p>
              </w:tc>
              <w:tc>
                <w:tcPr>
                  <w:tcW w:w="1667" w:type="dxa"/>
                </w:tcPr>
                <w:p w14:paraId="4187C46B" w14:textId="77777777" w:rsidR="00126469" w:rsidRPr="006A06D2" w:rsidRDefault="00126469" w:rsidP="00E87DE5">
                  <w:pPr>
                    <w:jc w:val="center"/>
                  </w:pPr>
                  <w:r w:rsidRPr="006A06D2">
                    <w:t xml:space="preserve">750 110 </w:t>
                  </w:r>
                </w:p>
              </w:tc>
            </w:tr>
            <w:tr w:rsidR="00126469" w:rsidRPr="00DC618B" w14:paraId="29AEF558" w14:textId="77777777" w:rsidTr="00DC618B">
              <w:trPr>
                <w:jc w:val="center"/>
              </w:trPr>
              <w:tc>
                <w:tcPr>
                  <w:tcW w:w="1949" w:type="dxa"/>
                </w:tcPr>
                <w:p w14:paraId="27D5A8EE" w14:textId="77777777" w:rsidR="00126469" w:rsidRPr="006A06D2" w:rsidRDefault="00126469" w:rsidP="00E87DE5">
                  <w:r w:rsidRPr="006A06D2">
                    <w:t>Ieguldījumu pamatlīdzekļos un nemateriālo ieguldījumu plāna izpilde, %</w:t>
                  </w:r>
                </w:p>
              </w:tc>
              <w:tc>
                <w:tcPr>
                  <w:tcW w:w="1623" w:type="dxa"/>
                </w:tcPr>
                <w:p w14:paraId="4ABE87F4" w14:textId="77777777" w:rsidR="00126469" w:rsidRPr="006A06D2" w:rsidRDefault="00126469" w:rsidP="00E87DE5">
                  <w:pPr>
                    <w:jc w:val="center"/>
                  </w:pPr>
                  <w:r w:rsidRPr="006A06D2">
                    <w:t>163 000</w:t>
                  </w:r>
                </w:p>
              </w:tc>
              <w:tc>
                <w:tcPr>
                  <w:tcW w:w="1432" w:type="dxa"/>
                </w:tcPr>
                <w:p w14:paraId="0A727F26" w14:textId="77777777" w:rsidR="00126469" w:rsidRPr="006A06D2" w:rsidRDefault="00126469" w:rsidP="00E87DE5">
                  <w:pPr>
                    <w:jc w:val="center"/>
                  </w:pPr>
                  <w:r w:rsidRPr="006A06D2">
                    <w:t>162 997</w:t>
                  </w:r>
                </w:p>
              </w:tc>
              <w:tc>
                <w:tcPr>
                  <w:tcW w:w="1667" w:type="dxa"/>
                </w:tcPr>
                <w:p w14:paraId="658490AC" w14:textId="77777777" w:rsidR="00126469" w:rsidRPr="006A06D2" w:rsidRDefault="00126469" w:rsidP="00E87DE5">
                  <w:pPr>
                    <w:jc w:val="center"/>
                  </w:pPr>
                  <w:r w:rsidRPr="006A06D2">
                    <w:t xml:space="preserve">-3 </w:t>
                  </w:r>
                </w:p>
              </w:tc>
            </w:tr>
            <w:tr w:rsidR="00DC618B" w:rsidRPr="00DC618B" w14:paraId="4AFAF414" w14:textId="77777777" w:rsidTr="00DC618B">
              <w:trPr>
                <w:jc w:val="center"/>
              </w:trPr>
              <w:tc>
                <w:tcPr>
                  <w:tcW w:w="1949" w:type="dxa"/>
                </w:tcPr>
                <w:p w14:paraId="38070929" w14:textId="77777777" w:rsidR="00DC618B" w:rsidRPr="006A06D2" w:rsidRDefault="00DC618B" w:rsidP="00E87DE5">
                  <w:r w:rsidRPr="006A06D2">
                    <w:t>Sadalītās dividendes, EUR</w:t>
                  </w:r>
                </w:p>
              </w:tc>
              <w:tc>
                <w:tcPr>
                  <w:tcW w:w="1623" w:type="dxa"/>
                </w:tcPr>
                <w:p w14:paraId="00F73BB8" w14:textId="77777777" w:rsidR="00DC618B" w:rsidRPr="006A06D2" w:rsidRDefault="00DC618B" w:rsidP="00E87DE5">
                  <w:pPr>
                    <w:jc w:val="center"/>
                  </w:pPr>
                  <w:r w:rsidRPr="006A06D2">
                    <w:t>199</w:t>
                  </w:r>
                </w:p>
              </w:tc>
              <w:tc>
                <w:tcPr>
                  <w:tcW w:w="1432" w:type="dxa"/>
                </w:tcPr>
                <w:p w14:paraId="27BAC2CF" w14:textId="77777777" w:rsidR="00DC618B" w:rsidRPr="006A06D2" w:rsidRDefault="00DC618B" w:rsidP="00E87DE5">
                  <w:pPr>
                    <w:jc w:val="center"/>
                  </w:pPr>
                  <w:r w:rsidRPr="006A06D2">
                    <w:t>-</w:t>
                  </w:r>
                </w:p>
              </w:tc>
              <w:tc>
                <w:tcPr>
                  <w:tcW w:w="1667" w:type="dxa"/>
                </w:tcPr>
                <w:p w14:paraId="42D0452F" w14:textId="77777777" w:rsidR="00DC618B" w:rsidRPr="006A06D2" w:rsidRDefault="00DC618B" w:rsidP="00E87DE5">
                  <w:pPr>
                    <w:jc w:val="center"/>
                  </w:pPr>
                  <w:r w:rsidRPr="006A06D2">
                    <w:t>1</w:t>
                  </w:r>
                </w:p>
              </w:tc>
            </w:tr>
            <w:tr w:rsidR="00126469" w:rsidRPr="00DC618B" w14:paraId="38E23ADB" w14:textId="77777777" w:rsidTr="00DC618B">
              <w:trPr>
                <w:jc w:val="center"/>
              </w:trPr>
              <w:tc>
                <w:tcPr>
                  <w:tcW w:w="1949" w:type="dxa"/>
                </w:tcPr>
                <w:p w14:paraId="187276E3" w14:textId="77777777" w:rsidR="00126469" w:rsidRPr="006A06D2" w:rsidRDefault="00126469" w:rsidP="00E87DE5">
                  <w:r w:rsidRPr="006A06D2">
                    <w:t xml:space="preserve">Vidējā bruto atlīdzība (neieskaitot darba devēja veiktās valsts sociālās apdrošināšanas iemaksas) uz vienu </w:t>
                  </w:r>
                  <w:r w:rsidRPr="006A06D2">
                    <w:lastRenderedPageBreak/>
                    <w:t>nodarbināto gadā, EUR</w:t>
                  </w:r>
                </w:p>
              </w:tc>
              <w:tc>
                <w:tcPr>
                  <w:tcW w:w="1623" w:type="dxa"/>
                </w:tcPr>
                <w:p w14:paraId="7A47B136" w14:textId="77777777" w:rsidR="00126469" w:rsidRPr="006A06D2" w:rsidRDefault="00126469" w:rsidP="00E87DE5">
                  <w:pPr>
                    <w:jc w:val="center"/>
                  </w:pPr>
                  <w:r w:rsidRPr="006A06D2">
                    <w:lastRenderedPageBreak/>
                    <w:t>18 113</w:t>
                  </w:r>
                </w:p>
              </w:tc>
              <w:tc>
                <w:tcPr>
                  <w:tcW w:w="1432" w:type="dxa"/>
                </w:tcPr>
                <w:p w14:paraId="2B666126" w14:textId="77777777" w:rsidR="00126469" w:rsidRPr="006A06D2" w:rsidRDefault="00126469" w:rsidP="00E87DE5">
                  <w:pPr>
                    <w:jc w:val="center"/>
                  </w:pPr>
                  <w:r w:rsidRPr="006A06D2">
                    <w:t>15 880</w:t>
                  </w:r>
                </w:p>
              </w:tc>
              <w:tc>
                <w:tcPr>
                  <w:tcW w:w="1667" w:type="dxa"/>
                </w:tcPr>
                <w:p w14:paraId="11A9C473" w14:textId="77777777" w:rsidR="00126469" w:rsidRPr="006A06D2" w:rsidRDefault="00126469" w:rsidP="00E87DE5">
                  <w:pPr>
                    <w:jc w:val="center"/>
                  </w:pPr>
                  <w:r w:rsidRPr="006A06D2">
                    <w:t xml:space="preserve">-2 233 </w:t>
                  </w:r>
                </w:p>
              </w:tc>
            </w:tr>
            <w:tr w:rsidR="00126469" w:rsidRPr="00DC618B" w14:paraId="259CA7B6" w14:textId="77777777" w:rsidTr="00DC618B">
              <w:trPr>
                <w:jc w:val="center"/>
              </w:trPr>
              <w:tc>
                <w:tcPr>
                  <w:tcW w:w="1949" w:type="dxa"/>
                </w:tcPr>
                <w:p w14:paraId="59F8BD8C" w14:textId="77777777" w:rsidR="00126469" w:rsidRPr="006A06D2" w:rsidRDefault="00126469" w:rsidP="00E87DE5">
                  <w:r w:rsidRPr="006A06D2">
                    <w:t>Neto apgrozījums uz vienu nodarbināto, EUR</w:t>
                  </w:r>
                </w:p>
              </w:tc>
              <w:tc>
                <w:tcPr>
                  <w:tcW w:w="1623" w:type="dxa"/>
                </w:tcPr>
                <w:p w14:paraId="368C8378" w14:textId="77777777" w:rsidR="00126469" w:rsidRPr="006A06D2" w:rsidRDefault="00126469" w:rsidP="00E87DE5">
                  <w:pPr>
                    <w:jc w:val="center"/>
                  </w:pPr>
                  <w:r w:rsidRPr="006A06D2">
                    <w:t>102 249</w:t>
                  </w:r>
                </w:p>
              </w:tc>
              <w:tc>
                <w:tcPr>
                  <w:tcW w:w="1432" w:type="dxa"/>
                </w:tcPr>
                <w:p w14:paraId="479C63BE" w14:textId="77777777" w:rsidR="00126469" w:rsidRPr="006A06D2" w:rsidRDefault="00126469" w:rsidP="00E87DE5">
                  <w:pPr>
                    <w:jc w:val="center"/>
                  </w:pPr>
                  <w:r w:rsidRPr="006A06D2">
                    <w:t>109 625</w:t>
                  </w:r>
                </w:p>
              </w:tc>
              <w:tc>
                <w:tcPr>
                  <w:tcW w:w="1667" w:type="dxa"/>
                </w:tcPr>
                <w:p w14:paraId="55AB3EFF" w14:textId="77777777" w:rsidR="00126469" w:rsidRPr="006A06D2" w:rsidRDefault="00126469" w:rsidP="00E87DE5">
                  <w:pPr>
                    <w:jc w:val="center"/>
                  </w:pPr>
                  <w:r w:rsidRPr="006A06D2">
                    <w:t xml:space="preserve">7 376 </w:t>
                  </w:r>
                </w:p>
              </w:tc>
            </w:tr>
            <w:tr w:rsidR="00126469" w:rsidRPr="00DC618B" w14:paraId="7AA0F86E" w14:textId="77777777" w:rsidTr="00DC618B">
              <w:trPr>
                <w:jc w:val="center"/>
              </w:trPr>
              <w:tc>
                <w:tcPr>
                  <w:tcW w:w="1949" w:type="dxa"/>
                </w:tcPr>
                <w:p w14:paraId="05DABA40" w14:textId="77777777" w:rsidR="00126469" w:rsidRPr="006A06D2" w:rsidRDefault="00126469" w:rsidP="00E87DE5">
                  <w:r w:rsidRPr="006A06D2">
                    <w:t>Valsts budžeta tieši vai netieši saņemtais un izlietotais finansējums (dotācijas, maksa par pakalpojumiem un citi finanšu līdzekļi) sadalījumā pa finansējuma piešķīruma mērķiem, EUR</w:t>
                  </w:r>
                </w:p>
              </w:tc>
              <w:tc>
                <w:tcPr>
                  <w:tcW w:w="1623" w:type="dxa"/>
                </w:tcPr>
                <w:p w14:paraId="3327E784" w14:textId="77777777" w:rsidR="00126469" w:rsidRPr="006A06D2" w:rsidRDefault="00126469" w:rsidP="00E87DE5">
                  <w:pPr>
                    <w:jc w:val="center"/>
                  </w:pPr>
                  <w:r w:rsidRPr="006A06D2">
                    <w:t>x</w:t>
                  </w:r>
                </w:p>
              </w:tc>
              <w:tc>
                <w:tcPr>
                  <w:tcW w:w="1432" w:type="dxa"/>
                </w:tcPr>
                <w:p w14:paraId="1CE98A9F" w14:textId="77777777" w:rsidR="00126469" w:rsidRPr="006A06D2" w:rsidRDefault="00126469" w:rsidP="00E87DE5">
                  <w:pPr>
                    <w:jc w:val="center"/>
                  </w:pPr>
                  <w:r w:rsidRPr="006A06D2">
                    <w:t>x</w:t>
                  </w:r>
                </w:p>
              </w:tc>
              <w:tc>
                <w:tcPr>
                  <w:tcW w:w="1667" w:type="dxa"/>
                </w:tcPr>
                <w:p w14:paraId="4677BD2B" w14:textId="77777777" w:rsidR="00126469" w:rsidRPr="006A06D2" w:rsidRDefault="00126469" w:rsidP="00E87DE5">
                  <w:pPr>
                    <w:jc w:val="center"/>
                  </w:pPr>
                  <w:r w:rsidRPr="006A06D2">
                    <w:t>x</w:t>
                  </w:r>
                </w:p>
              </w:tc>
            </w:tr>
          </w:tbl>
          <w:p w14:paraId="0C677DB0" w14:textId="77777777" w:rsidR="00877323" w:rsidRPr="002C2A7B" w:rsidRDefault="00877323" w:rsidP="00E87DE5">
            <w:pPr>
              <w:ind w:right="-1"/>
            </w:pPr>
          </w:p>
          <w:p w14:paraId="794D87CD" w14:textId="77777777" w:rsidR="00716701" w:rsidRDefault="001A6DB0" w:rsidP="00B3475D">
            <w:pPr>
              <w:spacing w:after="240"/>
              <w:ind w:right="-1"/>
              <w:jc w:val="both"/>
            </w:pPr>
            <w:r>
              <w:t>Ņemot vērā iepriekš minēto un p</w:t>
            </w:r>
            <w:r w:rsidR="00344B48">
              <w:t xml:space="preserve">amatojoties uz </w:t>
            </w:r>
            <w:r w:rsidR="00344B48" w:rsidRPr="00344B48">
              <w:t>Publiskas personas kapitāla daļu un kapitālsabiedrību pā</w:t>
            </w:r>
            <w:r w:rsidR="00344B48">
              <w:t>rvaldības likuma 28. panta</w:t>
            </w:r>
            <w:r w:rsidR="00000E04">
              <w:t xml:space="preserve"> otro, </w:t>
            </w:r>
            <w:r w:rsidR="00344B48">
              <w:t xml:space="preserve">trešo </w:t>
            </w:r>
            <w:r w:rsidR="00000E04">
              <w:t xml:space="preserve">un piekto </w:t>
            </w:r>
            <w:r w:rsidR="00344B48">
              <w:t>daļu, VSIA “Šampētera nams” valde ir iesniegusi valsts kapitāla daļu turētājam priekšlikumu par atšķirīgu d</w:t>
            </w:r>
            <w:r w:rsidR="00344B48" w:rsidRPr="00344B48">
              <w:t>ividendēs izmaksājamo peļņas daļu</w:t>
            </w:r>
            <w:r w:rsidR="00000E04">
              <w:t xml:space="preserve"> un dalībnieku sapulce </w:t>
            </w:r>
            <w:r w:rsidR="00120C01">
              <w:t>2018. gada 27. aprī</w:t>
            </w:r>
            <w:r w:rsidR="00B979F1">
              <w:t>lī</w:t>
            </w:r>
            <w:r w:rsidR="00120C01">
              <w:t xml:space="preserve"> </w:t>
            </w:r>
            <w:r w:rsidR="00B979F1">
              <w:t>ir nolēmusi</w:t>
            </w:r>
            <w:r w:rsidR="00120C01">
              <w:t xml:space="preserve"> </w:t>
            </w:r>
            <w:r w:rsidR="005165A0">
              <w:t>(</w:t>
            </w:r>
            <w:r w:rsidR="00B979F1">
              <w:t xml:space="preserve">lēmums Nr. 1.3., prot. Nr. 2018/2, </w:t>
            </w:r>
            <w:r w:rsidR="005165A0">
              <w:t xml:space="preserve">ar grozījumiem, kas izdarīti ar dalībnieku sapulces 2019. gada 24. aprīļa </w:t>
            </w:r>
            <w:r w:rsidR="005165A0" w:rsidRPr="004E0C33">
              <w:t xml:space="preserve">lēmumu Nr. </w:t>
            </w:r>
            <w:r w:rsidR="004E0C33" w:rsidRPr="004E0C33">
              <w:t>7, prot. Nr. 2019/1</w:t>
            </w:r>
            <w:r w:rsidR="005165A0" w:rsidRPr="004E0C33">
              <w:t>)</w:t>
            </w:r>
            <w:r w:rsidR="00B979F1" w:rsidRPr="004E0C33">
              <w:t xml:space="preserve"> </w:t>
            </w:r>
            <w:r w:rsidR="00AB1D76" w:rsidRPr="004E0C33">
              <w:t>virzīt izskatīšanai Ministru kabinetā priekšlikumu par atšķirīg</w:t>
            </w:r>
            <w:r w:rsidR="003B2F51" w:rsidRPr="004E0C33">
              <w:t>as</w:t>
            </w:r>
            <w:r w:rsidR="00AB1D76" w:rsidRPr="004E0C33">
              <w:t xml:space="preserve"> dividendēs izmaksājamās peļņas da</w:t>
            </w:r>
            <w:r w:rsidR="003B2F51" w:rsidRPr="004E0C33">
              <w:t>ļas noteikšanu</w:t>
            </w:r>
            <w:r w:rsidR="003B2F51">
              <w:t>.</w:t>
            </w:r>
          </w:p>
          <w:p w14:paraId="248EED15" w14:textId="7A6AAF3F" w:rsidR="00104764" w:rsidRDefault="00DF1178" w:rsidP="00B3475D">
            <w:pPr>
              <w:spacing w:after="240"/>
              <w:ind w:right="-1"/>
              <w:jc w:val="both"/>
            </w:pPr>
            <w:r w:rsidRPr="008D3E7B">
              <w:t xml:space="preserve">Rīkojuma projekts paredz, ka VSIA “Šampētera nams” </w:t>
            </w:r>
            <w:r w:rsidR="002525D2" w:rsidRPr="008D3E7B">
              <w:t>ie</w:t>
            </w:r>
            <w:r w:rsidRPr="008D3E7B">
              <w:t>maksā</w:t>
            </w:r>
            <w:r w:rsidR="002525D2" w:rsidRPr="008D3E7B">
              <w:t xml:space="preserve"> valsts budžetā</w:t>
            </w:r>
            <w:r w:rsidRPr="008D3E7B">
              <w:t xml:space="preserve"> </w:t>
            </w:r>
            <w:r w:rsidR="00104764" w:rsidRPr="008D3E7B">
              <w:t xml:space="preserve">dividendēs 3,6 % (5971,20 </w:t>
            </w:r>
            <w:proofErr w:type="spellStart"/>
            <w:r w:rsidR="00104764" w:rsidRPr="00FA4FA4">
              <w:rPr>
                <w:i/>
              </w:rPr>
              <w:t>euro</w:t>
            </w:r>
            <w:proofErr w:type="spellEnd"/>
            <w:r w:rsidR="00104764" w:rsidRPr="008D3E7B">
              <w:t xml:space="preserve">) no peļņas par 2017. gadu, </w:t>
            </w:r>
            <w:r w:rsidRPr="008D3E7B">
              <w:t xml:space="preserve"> </w:t>
            </w:r>
            <w:r w:rsidR="0008513C" w:rsidRPr="008D3E7B">
              <w:t>nosakot</w:t>
            </w:r>
            <w:r w:rsidRPr="008D3E7B">
              <w:t xml:space="preserve"> </w:t>
            </w:r>
            <w:r w:rsidR="00C9465E" w:rsidRPr="008D3E7B">
              <w:t>LM</w:t>
            </w:r>
            <w:r w:rsidRPr="008D3E7B">
              <w:t xml:space="preserve"> kā VSIA “Šampētera nams” kapitāla daļu turētājai </w:t>
            </w:r>
            <w:r w:rsidR="0008513C" w:rsidRPr="008D3E7B">
              <w:t xml:space="preserve">pienākumu </w:t>
            </w:r>
            <w:r w:rsidRPr="008D3E7B">
              <w:t xml:space="preserve">nodrošināt, ka </w:t>
            </w:r>
            <w:r w:rsidR="00104764" w:rsidRPr="008D3E7B">
              <w:t xml:space="preserve">kapitālsabiedrības 2017. pārskata gadā gūtās peļņas daļa 125 936 </w:t>
            </w:r>
            <w:proofErr w:type="spellStart"/>
            <w:r w:rsidR="00104764" w:rsidRPr="00FA4FA4">
              <w:rPr>
                <w:i/>
              </w:rPr>
              <w:t>euro</w:t>
            </w:r>
            <w:proofErr w:type="spellEnd"/>
            <w:r w:rsidR="00104764" w:rsidRPr="008D3E7B">
              <w:t xml:space="preserve"> apmērā tiek novirzīta kapitālsabiedrības uzņemto saistību izpildei, īstenojot būvdarbus Labklājības ministrijas valdījumā esošajos nekustamajos īpašumos.</w:t>
            </w:r>
          </w:p>
          <w:p w14:paraId="3696D83C" w14:textId="6F05BEEB" w:rsidR="00E3015F" w:rsidRPr="002C2A7B" w:rsidRDefault="00DF1178" w:rsidP="00284EF9">
            <w:pPr>
              <w:spacing w:after="240"/>
              <w:ind w:right="-1"/>
              <w:jc w:val="both"/>
            </w:pPr>
            <w:r w:rsidRPr="0092108B">
              <w:t xml:space="preserve">Pamatojoties uz Eiropas Komisijas paziņojuma par Līguma par Eiropas Savienības darbību 107. panta 1. punktā minēto valsts atbalsta jēdzienu (2016/C 262/01) 17. punktā noteikto, finansējums, kas paredzēts, </w:t>
            </w:r>
            <w:r w:rsidR="00C372DE" w:rsidRPr="0092108B">
              <w:t xml:space="preserve">nodrošinot valsts funkciju izpildi, nav saimnieciskā darbība </w:t>
            </w:r>
            <w:r w:rsidRPr="0092108B">
              <w:t>un attiecīgi nav kvalificējams kā komercdarbības atbalsts.</w:t>
            </w:r>
            <w:r w:rsidR="00C372DE" w:rsidRPr="0092108B">
              <w:t xml:space="preserve"> Attiecīgi, ja pasākuma mērķis nav saistīts ar saimnieciskās darbības veikšanu, izvērtējums par pasākuma atbilstību visām komercdarbības atbalsta pazīmēm nav jāveic.</w:t>
            </w:r>
          </w:p>
        </w:tc>
      </w:tr>
      <w:tr w:rsidR="00FA4112" w:rsidRPr="002C2A7B" w14:paraId="46AA94D8" w14:textId="77777777" w:rsidTr="000C72F5">
        <w:tc>
          <w:tcPr>
            <w:tcW w:w="438" w:type="dxa"/>
          </w:tcPr>
          <w:p w14:paraId="0ED25553" w14:textId="77777777" w:rsidR="0082475D" w:rsidRPr="002C2A7B" w:rsidRDefault="00184DF9" w:rsidP="00E87DE5">
            <w:pPr>
              <w:spacing w:before="120"/>
              <w:jc w:val="center"/>
            </w:pPr>
            <w:r w:rsidRPr="002C2A7B">
              <w:lastRenderedPageBreak/>
              <w:t>2</w:t>
            </w:r>
            <w:r w:rsidR="0082475D" w:rsidRPr="002C2A7B">
              <w:t xml:space="preserve">. </w:t>
            </w:r>
          </w:p>
        </w:tc>
        <w:tc>
          <w:tcPr>
            <w:tcW w:w="1726" w:type="dxa"/>
          </w:tcPr>
          <w:p w14:paraId="362014D0" w14:textId="77777777" w:rsidR="0082475D" w:rsidRPr="002C2A7B" w:rsidRDefault="0082475D" w:rsidP="00E87DE5">
            <w:pPr>
              <w:spacing w:before="120"/>
            </w:pPr>
            <w:r w:rsidRPr="002C2A7B">
              <w:t>Projekta izstrādē iesaistītās institūcijas</w:t>
            </w:r>
          </w:p>
        </w:tc>
        <w:tc>
          <w:tcPr>
            <w:tcW w:w="6897" w:type="dxa"/>
          </w:tcPr>
          <w:p w14:paraId="07CB4A3B" w14:textId="77777777" w:rsidR="00A45E8B" w:rsidRPr="002C2A7B" w:rsidRDefault="00464E73" w:rsidP="0077632D">
            <w:r>
              <w:t>LM</w:t>
            </w:r>
            <w:r w:rsidR="00A45E8B" w:rsidRPr="002C2A7B">
              <w:t>,</w:t>
            </w:r>
          </w:p>
          <w:p w14:paraId="1CEB64AB" w14:textId="77777777" w:rsidR="00A45E8B" w:rsidRPr="002C2A7B" w:rsidRDefault="00464E73" w:rsidP="0077632D">
            <w:r>
              <w:t>VSIA</w:t>
            </w:r>
            <w:r w:rsidR="00A45E8B" w:rsidRPr="002C2A7B">
              <w:t xml:space="preserve"> “Šampētera nams”</w:t>
            </w:r>
          </w:p>
          <w:p w14:paraId="0D81C68C" w14:textId="77777777" w:rsidR="00A41BE1" w:rsidRPr="002C2A7B" w:rsidRDefault="00A41BE1" w:rsidP="00E87DE5">
            <w:pPr>
              <w:spacing w:before="120"/>
            </w:pPr>
          </w:p>
        </w:tc>
      </w:tr>
      <w:tr w:rsidR="00FA4112" w:rsidRPr="002C2A7B" w14:paraId="25706A03" w14:textId="77777777" w:rsidTr="000C72F5">
        <w:tc>
          <w:tcPr>
            <w:tcW w:w="438" w:type="dxa"/>
          </w:tcPr>
          <w:p w14:paraId="191CEDD9" w14:textId="77777777" w:rsidR="0082475D" w:rsidRPr="002C2A7B" w:rsidRDefault="00184DF9" w:rsidP="00E87DE5">
            <w:pPr>
              <w:spacing w:before="120"/>
              <w:jc w:val="center"/>
            </w:pPr>
            <w:r w:rsidRPr="002C2A7B">
              <w:lastRenderedPageBreak/>
              <w:t>3</w:t>
            </w:r>
            <w:r w:rsidR="0082475D" w:rsidRPr="002C2A7B">
              <w:t xml:space="preserve">. </w:t>
            </w:r>
          </w:p>
        </w:tc>
        <w:tc>
          <w:tcPr>
            <w:tcW w:w="1726" w:type="dxa"/>
          </w:tcPr>
          <w:p w14:paraId="05DD6D56" w14:textId="77777777" w:rsidR="0082475D" w:rsidRPr="002C2A7B" w:rsidRDefault="0082475D" w:rsidP="00E87DE5">
            <w:pPr>
              <w:spacing w:before="120"/>
            </w:pPr>
            <w:r w:rsidRPr="002C2A7B">
              <w:t>Cita informācija</w:t>
            </w:r>
          </w:p>
        </w:tc>
        <w:tc>
          <w:tcPr>
            <w:tcW w:w="6897" w:type="dxa"/>
          </w:tcPr>
          <w:p w14:paraId="1AB82501" w14:textId="77777777" w:rsidR="0082475D" w:rsidRPr="002C2A7B" w:rsidRDefault="00D41FAA" w:rsidP="00E87DE5">
            <w:pPr>
              <w:spacing w:before="120"/>
              <w:jc w:val="both"/>
            </w:pPr>
            <w:r w:rsidRPr="002C2A7B">
              <w:t>Nav</w:t>
            </w:r>
          </w:p>
        </w:tc>
      </w:tr>
    </w:tbl>
    <w:p w14:paraId="649FB5FA" w14:textId="77777777" w:rsidR="00647080" w:rsidRDefault="00647080" w:rsidP="00E87DE5">
      <w:pPr>
        <w:spacing w:before="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45A49" w:rsidRPr="002F62D8" w14:paraId="12DBE2BB" w14:textId="77777777" w:rsidTr="00A1595A">
        <w:trPr>
          <w:cantSplit/>
        </w:trPr>
        <w:tc>
          <w:tcPr>
            <w:tcW w:w="5000" w:type="pct"/>
            <w:vAlign w:val="center"/>
            <w:hideMark/>
          </w:tcPr>
          <w:p w14:paraId="5E151D32" w14:textId="77777777" w:rsidR="00145A49" w:rsidRDefault="00145A49" w:rsidP="00E87DE5">
            <w:pPr>
              <w:jc w:val="center"/>
              <w:rPr>
                <w:b/>
                <w:bCs/>
                <w:sz w:val="22"/>
                <w:szCs w:val="22"/>
              </w:rPr>
            </w:pPr>
            <w:r w:rsidRPr="002F62D8">
              <w:rPr>
                <w:b/>
                <w:bCs/>
                <w:sz w:val="22"/>
                <w:szCs w:val="22"/>
              </w:rPr>
              <w:t xml:space="preserve">II. Tiesību akta projekta ietekme uz sabiedrību, tautsaimniecības attīstību un </w:t>
            </w:r>
          </w:p>
          <w:p w14:paraId="6B0DFE26" w14:textId="77777777" w:rsidR="00145A49" w:rsidRPr="002F62D8" w:rsidRDefault="00145A49" w:rsidP="00E87DE5">
            <w:pPr>
              <w:jc w:val="center"/>
              <w:rPr>
                <w:b/>
                <w:bCs/>
                <w:sz w:val="22"/>
                <w:szCs w:val="22"/>
              </w:rPr>
            </w:pPr>
            <w:r w:rsidRPr="002F62D8">
              <w:rPr>
                <w:b/>
                <w:bCs/>
                <w:sz w:val="22"/>
                <w:szCs w:val="22"/>
              </w:rPr>
              <w:t>administratīvo slogu</w:t>
            </w:r>
          </w:p>
        </w:tc>
      </w:tr>
      <w:tr w:rsidR="00145A49" w:rsidRPr="002F62D8" w14:paraId="4807275E" w14:textId="77777777" w:rsidTr="00145A49">
        <w:trPr>
          <w:cantSplit/>
        </w:trPr>
        <w:tc>
          <w:tcPr>
            <w:tcW w:w="5000" w:type="pct"/>
          </w:tcPr>
          <w:p w14:paraId="1895DB34" w14:textId="77777777" w:rsidR="00145A49" w:rsidRPr="002F62D8" w:rsidRDefault="00145A49" w:rsidP="00E87DE5">
            <w:pPr>
              <w:jc w:val="center"/>
              <w:rPr>
                <w:sz w:val="22"/>
                <w:szCs w:val="22"/>
              </w:rPr>
            </w:pPr>
            <w:r w:rsidRPr="007723E1">
              <w:rPr>
                <w:bCs/>
                <w:iCs/>
              </w:rPr>
              <w:t>Projekts šo jomu neskar</w:t>
            </w:r>
          </w:p>
        </w:tc>
      </w:tr>
    </w:tbl>
    <w:p w14:paraId="557E13F1" w14:textId="77777777" w:rsidR="002C5C6A" w:rsidRDefault="002C5C6A" w:rsidP="00E87DE5">
      <w:pPr>
        <w:spacing w:before="120"/>
        <w:jc w:val="both"/>
      </w:pPr>
    </w:p>
    <w:tbl>
      <w:tblPr>
        <w:tblW w:w="10774" w:type="dxa"/>
        <w:tblInd w:w="-998" w:type="dxa"/>
        <w:tblLayout w:type="fixed"/>
        <w:tblCellMar>
          <w:left w:w="10" w:type="dxa"/>
          <w:right w:w="10" w:type="dxa"/>
        </w:tblCellMar>
        <w:tblLook w:val="0000" w:firstRow="0" w:lastRow="0" w:firstColumn="0" w:lastColumn="0" w:noHBand="0" w:noVBand="0"/>
      </w:tblPr>
      <w:tblGrid>
        <w:gridCol w:w="2127"/>
        <w:gridCol w:w="1276"/>
        <w:gridCol w:w="1276"/>
        <w:gridCol w:w="1134"/>
        <w:gridCol w:w="1275"/>
        <w:gridCol w:w="1418"/>
        <w:gridCol w:w="850"/>
        <w:gridCol w:w="1418"/>
      </w:tblGrid>
      <w:tr w:rsidR="002C5C6A" w:rsidRPr="00DC5F40" w14:paraId="25ACA4CC" w14:textId="77777777" w:rsidTr="00A1595A">
        <w:tc>
          <w:tcPr>
            <w:tcW w:w="10774" w:type="dxa"/>
            <w:gridSpan w:val="8"/>
            <w:tcBorders>
              <w:top w:val="single" w:sz="4" w:space="0" w:color="000000"/>
              <w:left w:val="single" w:sz="4" w:space="0" w:color="000000"/>
              <w:bottom w:val="single" w:sz="4" w:space="0" w:color="000000"/>
              <w:right w:val="single" w:sz="4" w:space="0" w:color="000000"/>
            </w:tcBorders>
          </w:tcPr>
          <w:p w14:paraId="60CFF9BD" w14:textId="77777777" w:rsidR="002C5C6A" w:rsidRPr="00D3792D" w:rsidRDefault="002C5C6A" w:rsidP="00E87DE5">
            <w:pPr>
              <w:suppressAutoHyphens/>
              <w:autoSpaceDN w:val="0"/>
              <w:jc w:val="center"/>
              <w:textAlignment w:val="baseline"/>
              <w:rPr>
                <w:rFonts w:eastAsia="Calibri"/>
                <w:sz w:val="18"/>
                <w:szCs w:val="18"/>
              </w:rPr>
            </w:pPr>
            <w:r w:rsidRPr="00D3792D">
              <w:rPr>
                <w:b/>
                <w:bCs/>
                <w:sz w:val="18"/>
                <w:szCs w:val="18"/>
              </w:rPr>
              <w:t>III. Tiesību akta projekta ietekme uz valsts budžetu un pašvaldību budžetiem</w:t>
            </w:r>
          </w:p>
        </w:tc>
      </w:tr>
      <w:tr w:rsidR="006E7945" w:rsidRPr="00DC5F40" w14:paraId="29A16248" w14:textId="77777777" w:rsidTr="001E1576">
        <w:trPr>
          <w:trHeight w:val="13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50D90" w14:textId="7789B43D" w:rsidR="006E7945" w:rsidRPr="00D3792D" w:rsidRDefault="00D16734" w:rsidP="00E87DE5">
            <w:pPr>
              <w:suppressAutoHyphens/>
              <w:autoSpaceDN w:val="0"/>
              <w:jc w:val="center"/>
              <w:textAlignment w:val="baseline"/>
              <w:rPr>
                <w:rFonts w:eastAsia="Calibri"/>
                <w:sz w:val="18"/>
                <w:szCs w:val="18"/>
              </w:rPr>
            </w:pPr>
            <w:r w:rsidRPr="00D16734">
              <w:rPr>
                <w:b/>
                <w:bCs/>
                <w:sz w:val="18"/>
                <w:szCs w:val="18"/>
              </w:rPr>
              <w:t>Rādītāji</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62C19" w14:textId="578F91F4" w:rsidR="006E7945" w:rsidRPr="00D3792D" w:rsidRDefault="00E619BB" w:rsidP="00457BA4">
            <w:pPr>
              <w:suppressAutoHyphens/>
              <w:autoSpaceDN w:val="0"/>
              <w:jc w:val="center"/>
              <w:textAlignment w:val="baseline"/>
              <w:rPr>
                <w:rFonts w:eastAsia="Calibri"/>
                <w:sz w:val="18"/>
                <w:szCs w:val="18"/>
              </w:rPr>
            </w:pPr>
            <w:r w:rsidRPr="00E619BB">
              <w:rPr>
                <w:b/>
                <w:sz w:val="18"/>
                <w:szCs w:val="18"/>
              </w:rPr>
              <w:t>2019.gads</w:t>
            </w:r>
          </w:p>
        </w:tc>
        <w:tc>
          <w:tcPr>
            <w:tcW w:w="6095" w:type="dxa"/>
            <w:gridSpan w:val="5"/>
            <w:tcBorders>
              <w:top w:val="single" w:sz="4" w:space="0" w:color="000000"/>
              <w:left w:val="single" w:sz="4" w:space="0" w:color="000000"/>
              <w:bottom w:val="single" w:sz="4" w:space="0" w:color="000000"/>
              <w:right w:val="single" w:sz="4" w:space="0" w:color="000000"/>
            </w:tcBorders>
          </w:tcPr>
          <w:p w14:paraId="6AE68C4D" w14:textId="77777777" w:rsidR="006E7945" w:rsidRPr="00D3792D" w:rsidRDefault="006E7945" w:rsidP="00E87DE5">
            <w:pPr>
              <w:suppressAutoHyphens/>
              <w:autoSpaceDN w:val="0"/>
              <w:jc w:val="center"/>
              <w:textAlignment w:val="baseline"/>
              <w:rPr>
                <w:sz w:val="18"/>
                <w:szCs w:val="18"/>
              </w:rPr>
            </w:pPr>
            <w:r w:rsidRPr="00D3792D">
              <w:rPr>
                <w:sz w:val="18"/>
                <w:szCs w:val="18"/>
              </w:rPr>
              <w:t>Turpmākie trīs gadi (</w:t>
            </w:r>
            <w:proofErr w:type="spellStart"/>
            <w:r w:rsidRPr="00D3792D">
              <w:rPr>
                <w:i/>
                <w:sz w:val="18"/>
                <w:szCs w:val="18"/>
              </w:rPr>
              <w:t>euro</w:t>
            </w:r>
            <w:proofErr w:type="spellEnd"/>
            <w:r w:rsidRPr="00D3792D">
              <w:rPr>
                <w:sz w:val="18"/>
                <w:szCs w:val="18"/>
              </w:rPr>
              <w:t>)</w:t>
            </w:r>
            <w:r>
              <w:rPr>
                <w:sz w:val="18"/>
                <w:szCs w:val="18"/>
              </w:rPr>
              <w:t>*</w:t>
            </w:r>
          </w:p>
        </w:tc>
      </w:tr>
      <w:tr w:rsidR="006E7945" w:rsidRPr="00DC5F40" w14:paraId="1B97FE2A" w14:textId="77777777" w:rsidTr="001E1576">
        <w:trPr>
          <w:trHeight w:val="379"/>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424D2" w14:textId="77777777" w:rsidR="006E7945" w:rsidRPr="00D3792D" w:rsidRDefault="006E7945" w:rsidP="00E87DE5">
            <w:pPr>
              <w:suppressAutoHyphens/>
              <w:autoSpaceDN w:val="0"/>
              <w:jc w:val="center"/>
              <w:textAlignment w:val="baseline"/>
              <w:rPr>
                <w:b/>
                <w:bCs/>
                <w:sz w:val="18"/>
                <w:szCs w:val="18"/>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55CC3" w14:textId="40972435" w:rsidR="006E7945" w:rsidRPr="00D3792D" w:rsidRDefault="00E619BB" w:rsidP="00E87DE5">
            <w:pPr>
              <w:suppressAutoHyphens/>
              <w:autoSpaceDN w:val="0"/>
              <w:jc w:val="center"/>
              <w:textAlignment w:val="baseline"/>
              <w:rPr>
                <w:sz w:val="18"/>
                <w:szCs w:val="18"/>
              </w:rPr>
            </w:pPr>
            <w:r w:rsidRPr="00E619BB">
              <w:rPr>
                <w:sz w:val="18"/>
                <w:szCs w:val="18"/>
              </w:rPr>
              <w:t>saskaņā ar valsts budžetu kārtējam gadam</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56573" w14:textId="5DD2DB2A" w:rsidR="006E7945" w:rsidRPr="00D3792D" w:rsidRDefault="00E619BB" w:rsidP="00E87DE5">
            <w:pPr>
              <w:suppressAutoHyphens/>
              <w:autoSpaceDN w:val="0"/>
              <w:jc w:val="center"/>
              <w:textAlignment w:val="baseline"/>
              <w:rPr>
                <w:sz w:val="18"/>
                <w:szCs w:val="18"/>
              </w:rPr>
            </w:pPr>
            <w:r w:rsidRPr="00E619BB">
              <w:rPr>
                <w:b/>
                <w:bCs/>
                <w:sz w:val="18"/>
                <w:szCs w:val="18"/>
              </w:rPr>
              <w:t>izmaiņas kārtējā gadā, salīdzinot ar valsts budžetu kārtējam gadam</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14:paraId="2041D8E7" w14:textId="2CA3D839" w:rsidR="006E7945" w:rsidRPr="00D3792D" w:rsidRDefault="006E7945" w:rsidP="00457BA4">
            <w:pPr>
              <w:suppressAutoHyphens/>
              <w:autoSpaceDN w:val="0"/>
              <w:jc w:val="center"/>
              <w:textAlignment w:val="baseline"/>
              <w:rPr>
                <w:b/>
                <w:bCs/>
                <w:sz w:val="18"/>
                <w:szCs w:val="18"/>
              </w:rPr>
            </w:pPr>
            <w:r w:rsidRPr="00D3792D">
              <w:rPr>
                <w:b/>
                <w:bCs/>
                <w:sz w:val="18"/>
                <w:szCs w:val="18"/>
              </w:rPr>
              <w:t>202</w:t>
            </w:r>
            <w:r w:rsidR="00E619BB">
              <w:rPr>
                <w:b/>
                <w:bCs/>
                <w:sz w:val="18"/>
                <w:szCs w:val="18"/>
              </w:rPr>
              <w:t>0</w:t>
            </w:r>
            <w:r w:rsidR="003D5865">
              <w:rPr>
                <w:b/>
                <w:bCs/>
                <w:sz w:val="18"/>
                <w:szCs w:val="18"/>
              </w:rPr>
              <w:t>.</w:t>
            </w:r>
            <w:r w:rsidRPr="00D3792D">
              <w:rPr>
                <w:b/>
                <w:bCs/>
                <w:sz w:val="18"/>
                <w:szCs w:val="18"/>
              </w:rPr>
              <w:t>g</w:t>
            </w:r>
            <w:r w:rsidR="003D5865">
              <w:rPr>
                <w:b/>
                <w:bCs/>
                <w:sz w:val="18"/>
                <w:szCs w:val="18"/>
              </w:rPr>
              <w:t>ads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ACD84" w14:textId="7D7B042A" w:rsidR="006E7945" w:rsidRPr="00D3792D" w:rsidRDefault="006E7945" w:rsidP="00457BA4">
            <w:pPr>
              <w:suppressAutoHyphens/>
              <w:autoSpaceDN w:val="0"/>
              <w:jc w:val="center"/>
              <w:textAlignment w:val="baseline"/>
              <w:rPr>
                <w:b/>
                <w:bCs/>
                <w:sz w:val="18"/>
                <w:szCs w:val="18"/>
              </w:rPr>
            </w:pPr>
            <w:r w:rsidRPr="00D3792D">
              <w:rPr>
                <w:b/>
                <w:bCs/>
                <w:sz w:val="18"/>
                <w:szCs w:val="18"/>
              </w:rPr>
              <w:t>202</w:t>
            </w:r>
            <w:r w:rsidR="00E619BB">
              <w:rPr>
                <w:b/>
                <w:bCs/>
                <w:sz w:val="18"/>
                <w:szCs w:val="18"/>
              </w:rPr>
              <w:t>1</w:t>
            </w:r>
            <w:r w:rsidRPr="00D3792D">
              <w:rPr>
                <w:b/>
                <w:bCs/>
                <w:sz w:val="18"/>
                <w:szCs w:val="18"/>
              </w:rPr>
              <w:t>.g</w:t>
            </w:r>
            <w:r w:rsidR="003D5865">
              <w:rPr>
                <w:b/>
                <w:bCs/>
                <w:sz w:val="18"/>
                <w:szCs w:val="18"/>
              </w:rPr>
              <w:t>ads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B1241" w14:textId="4750CA3A" w:rsidR="006E7945" w:rsidRPr="00D3792D" w:rsidRDefault="006E7945" w:rsidP="00457BA4">
            <w:pPr>
              <w:suppressAutoHyphens/>
              <w:autoSpaceDN w:val="0"/>
              <w:jc w:val="center"/>
              <w:textAlignment w:val="baseline"/>
              <w:rPr>
                <w:b/>
                <w:bCs/>
                <w:sz w:val="18"/>
                <w:szCs w:val="18"/>
              </w:rPr>
            </w:pPr>
            <w:r w:rsidRPr="00D3792D">
              <w:rPr>
                <w:b/>
                <w:bCs/>
                <w:sz w:val="18"/>
                <w:szCs w:val="18"/>
              </w:rPr>
              <w:t>202</w:t>
            </w:r>
            <w:r>
              <w:rPr>
                <w:b/>
                <w:bCs/>
                <w:sz w:val="18"/>
                <w:szCs w:val="18"/>
              </w:rPr>
              <w:t>2</w:t>
            </w:r>
            <w:r w:rsidRPr="00D3792D">
              <w:rPr>
                <w:b/>
                <w:bCs/>
                <w:sz w:val="18"/>
                <w:szCs w:val="18"/>
              </w:rPr>
              <w:t>.g</w:t>
            </w:r>
            <w:r w:rsidR="003D5865">
              <w:rPr>
                <w:b/>
                <w:bCs/>
                <w:sz w:val="18"/>
                <w:szCs w:val="18"/>
              </w:rPr>
              <w:t>ads</w:t>
            </w:r>
          </w:p>
        </w:tc>
      </w:tr>
      <w:tr w:rsidR="006E7945" w:rsidRPr="00DC5F40" w14:paraId="6026A699" w14:textId="77777777" w:rsidTr="001E1576">
        <w:trPr>
          <w:trHeight w:val="1835"/>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E4DBA" w14:textId="77777777" w:rsidR="006E7945" w:rsidRPr="00D3792D" w:rsidRDefault="006E7945" w:rsidP="00E87DE5">
            <w:pPr>
              <w:suppressAutoHyphens/>
              <w:autoSpaceDN w:val="0"/>
              <w:jc w:val="center"/>
              <w:textAlignment w:val="baseline"/>
              <w:rPr>
                <w:b/>
                <w:b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8A274" w14:textId="77777777" w:rsidR="006E7945" w:rsidRPr="00D3792D" w:rsidRDefault="006E7945" w:rsidP="00E87DE5">
            <w:pPr>
              <w:suppressAutoHyphens/>
              <w:autoSpaceDN w:val="0"/>
              <w:jc w:val="center"/>
              <w:textAlignment w:val="baseline"/>
              <w:rPr>
                <w:sz w:val="18"/>
                <w:szCs w:val="1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CF35D" w14:textId="77777777" w:rsidR="006E7945" w:rsidRPr="00D3792D" w:rsidRDefault="006E7945" w:rsidP="00E87DE5">
            <w:pPr>
              <w:suppressAutoHyphens/>
              <w:autoSpaceDN w:val="0"/>
              <w:jc w:val="center"/>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910B9A" w14:textId="3E9C700E" w:rsidR="006E7945" w:rsidRPr="00D3792D" w:rsidRDefault="00E619BB" w:rsidP="00E87DE5">
            <w:pPr>
              <w:suppressAutoHyphens/>
              <w:autoSpaceDN w:val="0"/>
              <w:jc w:val="center"/>
              <w:textAlignment w:val="baseline"/>
              <w:rPr>
                <w:sz w:val="18"/>
                <w:szCs w:val="18"/>
              </w:rPr>
            </w:pPr>
            <w:r w:rsidRPr="00E619BB">
              <w:rPr>
                <w:sz w:val="18"/>
                <w:szCs w:val="18"/>
              </w:rPr>
              <w:t>saskaņā ar vidēja termiņa budžeta ietvaru*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70477" w14:textId="1283AC85" w:rsidR="006E7945" w:rsidRPr="00D3792D" w:rsidRDefault="00E619BB" w:rsidP="00E87DE5">
            <w:pPr>
              <w:suppressAutoHyphens/>
              <w:autoSpaceDN w:val="0"/>
              <w:jc w:val="center"/>
              <w:textAlignment w:val="baseline"/>
              <w:rPr>
                <w:sz w:val="18"/>
                <w:szCs w:val="18"/>
              </w:rPr>
            </w:pPr>
            <w:r w:rsidRPr="00E619BB">
              <w:rPr>
                <w:sz w:val="18"/>
                <w:szCs w:val="18"/>
              </w:rPr>
              <w:t>izmaiņas, salīdzinot ar vidēja termiņa budžeta ietvaru 2020. gadam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303E6" w14:textId="1587AC30" w:rsidR="006E7945" w:rsidRPr="00D3792D" w:rsidRDefault="00E619BB" w:rsidP="00E87DE5">
            <w:pPr>
              <w:suppressAutoHyphens/>
              <w:autoSpaceDN w:val="0"/>
              <w:jc w:val="center"/>
              <w:textAlignment w:val="baseline"/>
              <w:rPr>
                <w:sz w:val="18"/>
                <w:szCs w:val="18"/>
              </w:rPr>
            </w:pPr>
            <w:r w:rsidRPr="00E619BB">
              <w:rPr>
                <w:sz w:val="18"/>
                <w:szCs w:val="18"/>
              </w:rPr>
              <w:t>saskaņā ar vidēja termiņa budžeta ietvaru*</w:t>
            </w:r>
          </w:p>
        </w:tc>
        <w:tc>
          <w:tcPr>
            <w:tcW w:w="850" w:type="dxa"/>
            <w:tcBorders>
              <w:top w:val="single" w:sz="4" w:space="0" w:color="000000"/>
              <w:left w:val="single" w:sz="4" w:space="0" w:color="000000"/>
              <w:bottom w:val="single" w:sz="4" w:space="0" w:color="000000"/>
              <w:right w:val="single" w:sz="4" w:space="0" w:color="000000"/>
            </w:tcBorders>
            <w:vAlign w:val="center"/>
          </w:tcPr>
          <w:p w14:paraId="43E97103" w14:textId="7A8F9528" w:rsidR="006E7945" w:rsidRPr="00D3792D" w:rsidRDefault="00E619BB" w:rsidP="00E87DE5">
            <w:pPr>
              <w:suppressAutoHyphens/>
              <w:autoSpaceDN w:val="0"/>
              <w:jc w:val="center"/>
              <w:textAlignment w:val="baseline"/>
              <w:rPr>
                <w:sz w:val="18"/>
                <w:szCs w:val="18"/>
              </w:rPr>
            </w:pPr>
            <w:r w:rsidRPr="00E619BB">
              <w:rPr>
                <w:sz w:val="18"/>
                <w:szCs w:val="18"/>
              </w:rPr>
              <w:t>izmaiņas, salīdzinot ar vidēja termiņa budžeta ietvaru 202</w:t>
            </w:r>
            <w:r>
              <w:rPr>
                <w:sz w:val="18"/>
                <w:szCs w:val="18"/>
              </w:rPr>
              <w:t>1</w:t>
            </w:r>
            <w:r w:rsidRPr="00E619BB">
              <w:rPr>
                <w:sz w:val="18"/>
                <w:szCs w:val="18"/>
              </w:rPr>
              <w:t>. gadam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14D7D" w14:textId="45F6D753" w:rsidR="006E7945" w:rsidRPr="00D3792D" w:rsidRDefault="00E619BB" w:rsidP="00E87DE5">
            <w:pPr>
              <w:suppressAutoHyphens/>
              <w:autoSpaceDN w:val="0"/>
              <w:jc w:val="center"/>
              <w:textAlignment w:val="baseline"/>
              <w:rPr>
                <w:sz w:val="18"/>
                <w:szCs w:val="18"/>
              </w:rPr>
            </w:pPr>
            <w:r w:rsidRPr="00E619BB">
              <w:rPr>
                <w:sz w:val="18"/>
                <w:szCs w:val="18"/>
              </w:rPr>
              <w:t>izmaiņas, salīdzinot ar vidēja termiņa budžeta ietvaru 202</w:t>
            </w:r>
            <w:r>
              <w:rPr>
                <w:sz w:val="18"/>
                <w:szCs w:val="18"/>
              </w:rPr>
              <w:t>1</w:t>
            </w:r>
            <w:r w:rsidRPr="00E619BB">
              <w:rPr>
                <w:sz w:val="18"/>
                <w:szCs w:val="18"/>
              </w:rPr>
              <w:t>. gadam</w:t>
            </w:r>
          </w:p>
        </w:tc>
      </w:tr>
      <w:tr w:rsidR="006E7945" w:rsidRPr="00DC5F40" w14:paraId="1B7EB0A4" w14:textId="77777777" w:rsidTr="00A1595A">
        <w:trPr>
          <w:trHeight w:val="26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234E4" w14:textId="77777777" w:rsidR="006E7945" w:rsidRPr="00D3792D" w:rsidRDefault="006E7945" w:rsidP="00E87DE5">
            <w:pPr>
              <w:suppressAutoHyphens/>
              <w:autoSpaceDN w:val="0"/>
              <w:jc w:val="center"/>
              <w:textAlignment w:val="baseline"/>
              <w:rPr>
                <w:bCs/>
                <w:sz w:val="18"/>
                <w:szCs w:val="18"/>
              </w:rPr>
            </w:pPr>
            <w:r w:rsidRPr="00D3792D">
              <w:rPr>
                <w:bCs/>
                <w:sz w:val="18"/>
                <w:szCs w:val="1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3EB97" w14:textId="77777777" w:rsidR="006E7945" w:rsidRPr="00D3792D" w:rsidRDefault="006E7945" w:rsidP="00E87DE5">
            <w:pPr>
              <w:suppressAutoHyphens/>
              <w:autoSpaceDN w:val="0"/>
              <w:jc w:val="center"/>
              <w:textAlignment w:val="baseline"/>
              <w:rPr>
                <w:sz w:val="18"/>
                <w:szCs w:val="18"/>
              </w:rPr>
            </w:pPr>
            <w:r w:rsidRPr="00D3792D">
              <w:rPr>
                <w:sz w:val="18"/>
                <w:szCs w:val="1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1D4C0" w14:textId="77777777" w:rsidR="006E7945" w:rsidRPr="00D3792D" w:rsidRDefault="006E7945" w:rsidP="00E87DE5">
            <w:pPr>
              <w:suppressAutoHyphens/>
              <w:autoSpaceDN w:val="0"/>
              <w:jc w:val="center"/>
              <w:textAlignment w:val="baseline"/>
              <w:rPr>
                <w:sz w:val="18"/>
                <w:szCs w:val="18"/>
              </w:rPr>
            </w:pPr>
            <w:r w:rsidRPr="00D3792D">
              <w:rPr>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14:paraId="753B9BDE" w14:textId="77777777" w:rsidR="006E7945" w:rsidRPr="00D3792D" w:rsidRDefault="006E7945" w:rsidP="00E87DE5">
            <w:pPr>
              <w:suppressAutoHyphens/>
              <w:autoSpaceDN w:val="0"/>
              <w:jc w:val="center"/>
              <w:textAlignment w:val="baseline"/>
              <w:rPr>
                <w:sz w:val="18"/>
                <w:szCs w:val="18"/>
              </w:rPr>
            </w:pPr>
            <w:r w:rsidRPr="00D3792D">
              <w:rPr>
                <w:sz w:val="18"/>
                <w:szCs w:val="18"/>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796DA" w14:textId="77777777" w:rsidR="006E7945" w:rsidRPr="00D3792D" w:rsidRDefault="006E7945" w:rsidP="00E87DE5">
            <w:pPr>
              <w:suppressAutoHyphens/>
              <w:autoSpaceDN w:val="0"/>
              <w:jc w:val="center"/>
              <w:textAlignment w:val="baseline"/>
              <w:rPr>
                <w:sz w:val="18"/>
                <w:szCs w:val="18"/>
              </w:rPr>
            </w:pPr>
            <w:r w:rsidRPr="00D3792D">
              <w:rPr>
                <w:sz w:val="18"/>
                <w:szCs w:val="18"/>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2DEC6" w14:textId="77777777" w:rsidR="006E7945" w:rsidRPr="00D3792D" w:rsidRDefault="006E7945" w:rsidP="00E87DE5">
            <w:pPr>
              <w:suppressAutoHyphens/>
              <w:autoSpaceDN w:val="0"/>
              <w:jc w:val="center"/>
              <w:textAlignment w:val="baseline"/>
              <w:rPr>
                <w:sz w:val="18"/>
                <w:szCs w:val="18"/>
              </w:rPr>
            </w:pPr>
            <w:r w:rsidRPr="00D3792D">
              <w:rPr>
                <w:sz w:val="18"/>
                <w:szCs w:val="18"/>
              </w:rPr>
              <w:t>6</w:t>
            </w:r>
          </w:p>
        </w:tc>
        <w:tc>
          <w:tcPr>
            <w:tcW w:w="850" w:type="dxa"/>
            <w:tcBorders>
              <w:top w:val="single" w:sz="4" w:space="0" w:color="000000"/>
              <w:left w:val="single" w:sz="4" w:space="0" w:color="000000"/>
              <w:bottom w:val="single" w:sz="4" w:space="0" w:color="000000"/>
              <w:right w:val="single" w:sz="4" w:space="0" w:color="000000"/>
            </w:tcBorders>
          </w:tcPr>
          <w:p w14:paraId="4DE90089" w14:textId="77777777" w:rsidR="006E7945" w:rsidRPr="00D3792D" w:rsidRDefault="006E7945" w:rsidP="00E87DE5">
            <w:pPr>
              <w:suppressAutoHyphens/>
              <w:autoSpaceDN w:val="0"/>
              <w:jc w:val="center"/>
              <w:textAlignment w:val="baseline"/>
              <w:rPr>
                <w:sz w:val="18"/>
                <w:szCs w:val="18"/>
              </w:rPr>
            </w:pPr>
            <w:r w:rsidRPr="00D3792D">
              <w:rPr>
                <w:sz w:val="18"/>
                <w:szCs w:val="18"/>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660DB" w14:textId="77777777" w:rsidR="006E7945" w:rsidRPr="00D3792D" w:rsidRDefault="006E7945" w:rsidP="00E87DE5">
            <w:pPr>
              <w:suppressAutoHyphens/>
              <w:autoSpaceDN w:val="0"/>
              <w:jc w:val="center"/>
              <w:textAlignment w:val="baseline"/>
              <w:rPr>
                <w:sz w:val="18"/>
                <w:szCs w:val="18"/>
              </w:rPr>
            </w:pPr>
            <w:r w:rsidRPr="00D3792D">
              <w:rPr>
                <w:sz w:val="18"/>
                <w:szCs w:val="18"/>
              </w:rPr>
              <w:t>8</w:t>
            </w:r>
          </w:p>
        </w:tc>
      </w:tr>
      <w:tr w:rsidR="006E7945" w:rsidRPr="00DC5F40" w14:paraId="51F39AB5" w14:textId="77777777" w:rsidTr="00A1595A">
        <w:trPr>
          <w:trHeight w:val="27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B3973" w14:textId="77777777" w:rsidR="006E7945" w:rsidRPr="00D3792D" w:rsidRDefault="006E7945" w:rsidP="00E87DE5">
            <w:pPr>
              <w:suppressAutoHyphens/>
              <w:autoSpaceDN w:val="0"/>
              <w:textAlignment w:val="baseline"/>
              <w:rPr>
                <w:b/>
                <w:sz w:val="18"/>
                <w:szCs w:val="18"/>
              </w:rPr>
            </w:pPr>
            <w:r w:rsidRPr="00D3792D">
              <w:rPr>
                <w:b/>
                <w:sz w:val="18"/>
                <w:szCs w:val="18"/>
              </w:rPr>
              <w:t>1. Budžeta ieņēmumi: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7E19E" w14:textId="77777777" w:rsidR="006E7945" w:rsidRPr="00D3792D" w:rsidRDefault="006E7945" w:rsidP="00E87DE5">
            <w:pPr>
              <w:suppressAutoHyphens/>
              <w:autoSpaceDN w:val="0"/>
              <w:jc w:val="center"/>
              <w:textAlignment w:val="baseline"/>
              <w:rPr>
                <w:rFonts w:eastAsia="Calibri"/>
                <w:b/>
                <w:sz w:val="18"/>
                <w:szCs w:val="18"/>
              </w:rPr>
            </w:pPr>
            <w:r>
              <w:rPr>
                <w:rFonts w:eastAsia="Calibri"/>
                <w:b/>
                <w:sz w:val="18"/>
                <w:szCs w:val="18"/>
              </w:rPr>
              <w:t>209 440 039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7595E" w14:textId="77777777" w:rsidR="006E7945" w:rsidRPr="00D3792D" w:rsidRDefault="006E7945" w:rsidP="00457BA4">
            <w:pPr>
              <w:suppressAutoHyphens/>
              <w:autoSpaceDN w:val="0"/>
              <w:jc w:val="center"/>
              <w:textAlignment w:val="baseline"/>
              <w:rPr>
                <w:b/>
                <w:sz w:val="18"/>
                <w:szCs w:val="18"/>
              </w:rPr>
            </w:pPr>
            <w:r>
              <w:rPr>
                <w:b/>
                <w:sz w:val="18"/>
                <w:szCs w:val="18"/>
              </w:rPr>
              <w:t> -125 936</w:t>
            </w:r>
          </w:p>
        </w:tc>
        <w:tc>
          <w:tcPr>
            <w:tcW w:w="1134" w:type="dxa"/>
            <w:tcBorders>
              <w:top w:val="single" w:sz="4" w:space="0" w:color="000000"/>
              <w:left w:val="single" w:sz="4" w:space="0" w:color="000000"/>
              <w:bottom w:val="single" w:sz="4" w:space="0" w:color="000000"/>
              <w:right w:val="single" w:sz="4" w:space="0" w:color="000000"/>
            </w:tcBorders>
            <w:vAlign w:val="center"/>
          </w:tcPr>
          <w:p w14:paraId="0ABC4571" w14:textId="77777777" w:rsidR="006E7945" w:rsidRPr="00D3792D" w:rsidRDefault="006E7945" w:rsidP="00E87DE5">
            <w:pPr>
              <w:suppressAutoHyphens/>
              <w:autoSpaceDN w:val="0"/>
              <w:jc w:val="center"/>
              <w:textAlignment w:val="baseline"/>
              <w:rPr>
                <w:b/>
                <w:sz w:val="18"/>
                <w:szCs w:val="18"/>
              </w:rPr>
            </w:pPr>
            <w:r>
              <w:rPr>
                <w:sz w:val="18"/>
                <w:szCs w:val="18"/>
              </w:rPr>
              <w:t>147 656 000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0AECE"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EFBDD" w14:textId="77777777" w:rsidR="006E7945" w:rsidRPr="00D3792D" w:rsidRDefault="006E7945" w:rsidP="00E87DE5">
            <w:pPr>
              <w:suppressAutoHyphens/>
              <w:autoSpaceDN w:val="0"/>
              <w:jc w:val="center"/>
              <w:textAlignment w:val="baseline"/>
              <w:rPr>
                <w:b/>
                <w:sz w:val="18"/>
                <w:szCs w:val="18"/>
              </w:rPr>
            </w:pPr>
            <w:r>
              <w:rPr>
                <w:sz w:val="18"/>
                <w:szCs w:val="18"/>
              </w:rPr>
              <w:t>55 100 000</w:t>
            </w:r>
          </w:p>
        </w:tc>
        <w:tc>
          <w:tcPr>
            <w:tcW w:w="850" w:type="dxa"/>
            <w:tcBorders>
              <w:top w:val="single" w:sz="4" w:space="0" w:color="000000"/>
              <w:left w:val="single" w:sz="4" w:space="0" w:color="000000"/>
              <w:bottom w:val="single" w:sz="4" w:space="0" w:color="000000"/>
              <w:right w:val="single" w:sz="4" w:space="0" w:color="000000"/>
            </w:tcBorders>
            <w:vAlign w:val="center"/>
          </w:tcPr>
          <w:p w14:paraId="6E111DD5"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25856"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r>
      <w:tr w:rsidR="006E7945" w:rsidRPr="00DC5F40" w14:paraId="6F5BFD28" w14:textId="77777777" w:rsidTr="00A1595A">
        <w:trPr>
          <w:trHeight w:val="35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2E5D4" w14:textId="77777777" w:rsidR="006E7945" w:rsidRPr="00D3792D" w:rsidRDefault="006E7945" w:rsidP="00E87DE5">
            <w:pPr>
              <w:numPr>
                <w:ilvl w:val="1"/>
                <w:numId w:val="18"/>
              </w:numPr>
              <w:suppressAutoHyphens/>
              <w:autoSpaceDN w:val="0"/>
              <w:contextualSpacing/>
              <w:textAlignment w:val="baseline"/>
              <w:rPr>
                <w:sz w:val="18"/>
                <w:szCs w:val="18"/>
              </w:rPr>
            </w:pPr>
            <w:r w:rsidRPr="00D3792D">
              <w:rPr>
                <w:sz w:val="18"/>
                <w:szCs w:val="18"/>
              </w:rPr>
              <w:t>valsts pamatbudžets, tai skaitā ieņēmumi no maksas pakalpojumiem un citi pašu ieņēmumi</w:t>
            </w:r>
          </w:p>
          <w:p w14:paraId="7DB7A1D8" w14:textId="77777777" w:rsidR="006E7945" w:rsidRPr="00D3792D" w:rsidRDefault="006E7945" w:rsidP="00E87DE5">
            <w:pPr>
              <w:suppressAutoHyphens/>
              <w:autoSpaceDN w:val="0"/>
              <w:ind w:left="351"/>
              <w:textAlignment w:val="baseline"/>
              <w:rPr>
                <w:sz w:val="18"/>
                <w:szCs w:val="18"/>
              </w:rPr>
            </w:pPr>
            <w:r w:rsidRPr="00D3792D">
              <w:rPr>
                <w:sz w:val="18"/>
                <w:szCs w:val="18"/>
              </w:rPr>
              <w:t>tai skaitā: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8E5A4" w14:textId="77777777" w:rsidR="006E7945" w:rsidRPr="00D3792D" w:rsidRDefault="006E7945" w:rsidP="00E87DE5">
            <w:pPr>
              <w:suppressAutoHyphens/>
              <w:autoSpaceDN w:val="0"/>
              <w:jc w:val="center"/>
              <w:textAlignment w:val="baseline"/>
              <w:rPr>
                <w:sz w:val="18"/>
                <w:szCs w:val="18"/>
              </w:rPr>
            </w:pPr>
            <w:r>
              <w:rPr>
                <w:sz w:val="18"/>
                <w:szCs w:val="18"/>
              </w:rPr>
              <w:t>209 440 039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E75F5" w14:textId="77777777" w:rsidR="006E7945" w:rsidRPr="00D3792D" w:rsidRDefault="006E7945" w:rsidP="00457BA4">
            <w:pPr>
              <w:suppressAutoHyphens/>
              <w:autoSpaceDN w:val="0"/>
              <w:jc w:val="center"/>
              <w:textAlignment w:val="baseline"/>
              <w:rPr>
                <w:rFonts w:eastAsia="Calibri"/>
                <w:sz w:val="18"/>
                <w:szCs w:val="18"/>
              </w:rPr>
            </w:pPr>
            <w:r>
              <w:rPr>
                <w:rFonts w:eastAsia="Calibri"/>
                <w:sz w:val="18"/>
                <w:szCs w:val="18"/>
              </w:rPr>
              <w:t> -125 936</w:t>
            </w:r>
          </w:p>
        </w:tc>
        <w:tc>
          <w:tcPr>
            <w:tcW w:w="1134" w:type="dxa"/>
            <w:tcBorders>
              <w:top w:val="single" w:sz="4" w:space="0" w:color="000000"/>
              <w:left w:val="single" w:sz="4" w:space="0" w:color="000000"/>
              <w:bottom w:val="single" w:sz="4" w:space="0" w:color="000000"/>
              <w:right w:val="single" w:sz="4" w:space="0" w:color="000000"/>
            </w:tcBorders>
            <w:vAlign w:val="center"/>
          </w:tcPr>
          <w:p w14:paraId="11A00662" w14:textId="77777777" w:rsidR="006E7945" w:rsidRPr="00D3792D" w:rsidRDefault="006E7945" w:rsidP="00E87DE5">
            <w:pPr>
              <w:suppressAutoHyphens/>
              <w:autoSpaceDN w:val="0"/>
              <w:jc w:val="center"/>
              <w:textAlignment w:val="baseline"/>
              <w:rPr>
                <w:sz w:val="18"/>
                <w:szCs w:val="18"/>
              </w:rPr>
            </w:pPr>
            <w:r w:rsidRPr="00D032F1">
              <w:rPr>
                <w:sz w:val="18"/>
                <w:szCs w:val="18"/>
              </w:rPr>
              <w:t>147 656 000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190ED" w14:textId="77777777" w:rsidR="006E7945" w:rsidRPr="00D3792D" w:rsidRDefault="006E7945" w:rsidP="00E87DE5">
            <w:pPr>
              <w:suppressAutoHyphens/>
              <w:autoSpaceDN w:val="0"/>
              <w:jc w:val="center"/>
              <w:textAlignment w:val="baseline"/>
              <w:rPr>
                <w:sz w:val="18"/>
                <w:szCs w:val="18"/>
              </w:rPr>
            </w:pPr>
            <w:r>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1BE31" w14:textId="77777777" w:rsidR="006E7945" w:rsidRPr="00D3792D" w:rsidRDefault="006E7945" w:rsidP="00E87DE5">
            <w:pPr>
              <w:suppressAutoHyphens/>
              <w:autoSpaceDN w:val="0"/>
              <w:jc w:val="center"/>
              <w:textAlignment w:val="baseline"/>
              <w:rPr>
                <w:sz w:val="18"/>
                <w:szCs w:val="18"/>
              </w:rPr>
            </w:pPr>
            <w:r>
              <w:rPr>
                <w:sz w:val="18"/>
                <w:szCs w:val="18"/>
              </w:rPr>
              <w:t>55 100 000</w:t>
            </w:r>
          </w:p>
        </w:tc>
        <w:tc>
          <w:tcPr>
            <w:tcW w:w="850" w:type="dxa"/>
            <w:tcBorders>
              <w:top w:val="single" w:sz="4" w:space="0" w:color="000000"/>
              <w:left w:val="single" w:sz="4" w:space="0" w:color="000000"/>
              <w:bottom w:val="single" w:sz="4" w:space="0" w:color="000000"/>
              <w:right w:val="single" w:sz="4" w:space="0" w:color="000000"/>
            </w:tcBorders>
            <w:vAlign w:val="center"/>
          </w:tcPr>
          <w:p w14:paraId="18AA65CC" w14:textId="77777777" w:rsidR="006E7945" w:rsidRPr="00D3792D" w:rsidRDefault="006E7945" w:rsidP="00E87DE5">
            <w:pPr>
              <w:suppressAutoHyphens/>
              <w:autoSpaceDN w:val="0"/>
              <w:jc w:val="center"/>
              <w:textAlignment w:val="baseline"/>
              <w:rPr>
                <w:sz w:val="18"/>
                <w:szCs w:val="18"/>
              </w:rPr>
            </w:pPr>
            <w:r>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010A9" w14:textId="77777777" w:rsidR="006E7945" w:rsidRPr="00D3792D" w:rsidRDefault="006E7945" w:rsidP="00E87DE5">
            <w:pPr>
              <w:suppressAutoHyphens/>
              <w:autoSpaceDN w:val="0"/>
              <w:jc w:val="center"/>
              <w:textAlignment w:val="baseline"/>
              <w:rPr>
                <w:sz w:val="18"/>
                <w:szCs w:val="18"/>
              </w:rPr>
            </w:pPr>
            <w:r>
              <w:rPr>
                <w:sz w:val="18"/>
                <w:szCs w:val="18"/>
              </w:rPr>
              <w:t>0</w:t>
            </w:r>
          </w:p>
        </w:tc>
      </w:tr>
      <w:tr w:rsidR="006E7945" w:rsidRPr="00DC5F40" w14:paraId="7E2C7B6B" w14:textId="77777777" w:rsidTr="00A1595A">
        <w:trPr>
          <w:trHeight w:val="20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BD899" w14:textId="77777777" w:rsidR="006E7945" w:rsidRPr="00D3792D" w:rsidRDefault="006E7945" w:rsidP="00E87DE5">
            <w:pPr>
              <w:suppressAutoHyphens/>
              <w:autoSpaceDN w:val="0"/>
              <w:textAlignment w:val="baseline"/>
              <w:rPr>
                <w:sz w:val="18"/>
                <w:szCs w:val="18"/>
              </w:rPr>
            </w:pPr>
            <w:r w:rsidRPr="00D3792D">
              <w:rPr>
                <w:sz w:val="18"/>
                <w:szCs w:val="18"/>
              </w:rPr>
              <w:t>1.2. valsts speciālais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1432B"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A9D70"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A76C334"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B82DA"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79A52"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6F80D50"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38184"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r>
      <w:tr w:rsidR="006E7945" w:rsidRPr="00DC5F40" w14:paraId="61EBCD78" w14:textId="77777777" w:rsidTr="00A1595A">
        <w:trPr>
          <w:trHeight w:val="28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7A93E" w14:textId="77777777" w:rsidR="006E7945" w:rsidRPr="00D3792D" w:rsidRDefault="006E7945" w:rsidP="00E87DE5">
            <w:pPr>
              <w:suppressAutoHyphens/>
              <w:autoSpaceDN w:val="0"/>
              <w:textAlignment w:val="baseline"/>
              <w:rPr>
                <w:sz w:val="18"/>
                <w:szCs w:val="18"/>
              </w:rPr>
            </w:pPr>
            <w:r w:rsidRPr="00D3792D">
              <w:rPr>
                <w:sz w:val="18"/>
                <w:szCs w:val="18"/>
              </w:rPr>
              <w:t>1.3. pašvaldību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45C41"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41451"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48C0DB8"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6F85A"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275FE"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6F95529C"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F137F"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r>
      <w:tr w:rsidR="006E7945" w:rsidRPr="00DC5F40" w14:paraId="6D55D345" w14:textId="77777777" w:rsidTr="00A1595A">
        <w:trPr>
          <w:trHeight w:val="17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668BC" w14:textId="77777777" w:rsidR="006E7945" w:rsidRPr="00D3792D" w:rsidRDefault="006E7945" w:rsidP="00E87DE5">
            <w:pPr>
              <w:suppressAutoHyphens/>
              <w:autoSpaceDN w:val="0"/>
              <w:textAlignment w:val="baseline"/>
              <w:rPr>
                <w:b/>
                <w:sz w:val="18"/>
                <w:szCs w:val="18"/>
              </w:rPr>
            </w:pPr>
            <w:r w:rsidRPr="00D3792D">
              <w:rPr>
                <w:b/>
                <w:sz w:val="18"/>
                <w:szCs w:val="18"/>
              </w:rPr>
              <w:t>2. Budžeta izdevumi: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CBC99" w14:textId="77777777" w:rsidR="006E7945" w:rsidRPr="00D3792D" w:rsidRDefault="006E7945" w:rsidP="00E87DE5">
            <w:pPr>
              <w:suppressAutoHyphens/>
              <w:autoSpaceDN w:val="0"/>
              <w:jc w:val="center"/>
              <w:textAlignment w:val="baseline"/>
              <w:rPr>
                <w:rFonts w:eastAsia="Calibri"/>
                <w:b/>
                <w:sz w:val="18"/>
                <w:szCs w:val="18"/>
              </w:rPr>
            </w:pPr>
            <w:r>
              <w:rPr>
                <w:rFonts w:eastAsia="Calibri"/>
                <w:b/>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C44A7" w14:textId="77777777" w:rsidR="006E7945" w:rsidRPr="00D3792D" w:rsidRDefault="006E7945" w:rsidP="00E87DE5">
            <w:pPr>
              <w:suppressAutoHyphens/>
              <w:autoSpaceDN w:val="0"/>
              <w:jc w:val="center"/>
              <w:textAlignment w:val="baseline"/>
              <w:rPr>
                <w:b/>
                <w:sz w:val="18"/>
                <w:szCs w:val="18"/>
              </w:rPr>
            </w:pPr>
            <w:r>
              <w:rPr>
                <w:b/>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9A272F1" w14:textId="77777777" w:rsidR="006E7945" w:rsidRPr="00D3792D" w:rsidRDefault="006E7945" w:rsidP="00E87DE5">
            <w:pPr>
              <w:suppressAutoHyphens/>
              <w:autoSpaceDN w:val="0"/>
              <w:jc w:val="center"/>
              <w:textAlignment w:val="baseline"/>
              <w:rPr>
                <w:b/>
                <w:sz w:val="18"/>
                <w:szCs w:val="18"/>
              </w:rPr>
            </w:pPr>
            <w:r>
              <w:rPr>
                <w:b/>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04AD6" w14:textId="77777777" w:rsidR="006E7945" w:rsidRPr="00D3792D" w:rsidRDefault="006E7945" w:rsidP="00E87DE5">
            <w:pPr>
              <w:suppressAutoHyphens/>
              <w:autoSpaceDN w:val="0"/>
              <w:jc w:val="center"/>
              <w:textAlignment w:val="baseline"/>
              <w:rPr>
                <w:b/>
                <w:sz w:val="18"/>
                <w:szCs w:val="18"/>
              </w:rPr>
            </w:pPr>
            <w:r>
              <w:rPr>
                <w:b/>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3D1ED" w14:textId="77777777" w:rsidR="006E7945" w:rsidRPr="00D3792D" w:rsidRDefault="006E7945" w:rsidP="00E87DE5">
            <w:pPr>
              <w:suppressAutoHyphens/>
              <w:autoSpaceDN w:val="0"/>
              <w:jc w:val="center"/>
              <w:textAlignment w:val="baseline"/>
              <w:rPr>
                <w:b/>
                <w:sz w:val="18"/>
                <w:szCs w:val="18"/>
              </w:rPr>
            </w:pPr>
            <w:r>
              <w:rPr>
                <w:b/>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43F9574D" w14:textId="77777777" w:rsidR="006E7945" w:rsidRPr="00D3792D" w:rsidRDefault="006E7945" w:rsidP="00E87DE5">
            <w:pPr>
              <w:suppressAutoHyphens/>
              <w:autoSpaceDN w:val="0"/>
              <w:jc w:val="center"/>
              <w:textAlignment w:val="baseline"/>
              <w:rPr>
                <w:b/>
                <w:sz w:val="18"/>
                <w:szCs w:val="18"/>
              </w:rPr>
            </w:pPr>
            <w:r>
              <w:rPr>
                <w:b/>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6F585" w14:textId="77777777" w:rsidR="006E7945" w:rsidRPr="00D3792D" w:rsidRDefault="006E7945" w:rsidP="00E87DE5">
            <w:pPr>
              <w:suppressAutoHyphens/>
              <w:autoSpaceDN w:val="0"/>
              <w:jc w:val="center"/>
              <w:textAlignment w:val="baseline"/>
              <w:rPr>
                <w:b/>
                <w:sz w:val="18"/>
                <w:szCs w:val="18"/>
              </w:rPr>
            </w:pPr>
            <w:r>
              <w:rPr>
                <w:b/>
                <w:sz w:val="18"/>
                <w:szCs w:val="18"/>
              </w:rPr>
              <w:t>0</w:t>
            </w:r>
          </w:p>
        </w:tc>
      </w:tr>
      <w:tr w:rsidR="006E7945" w:rsidRPr="00DC5F40" w14:paraId="1F21CE50" w14:textId="77777777" w:rsidTr="00A1595A">
        <w:trPr>
          <w:trHeight w:val="43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E3BF" w14:textId="77777777" w:rsidR="006E7945" w:rsidRPr="00D3792D" w:rsidRDefault="006E7945" w:rsidP="00E87DE5">
            <w:pPr>
              <w:suppressAutoHyphens/>
              <w:autoSpaceDN w:val="0"/>
              <w:textAlignment w:val="baseline"/>
              <w:rPr>
                <w:sz w:val="18"/>
                <w:szCs w:val="18"/>
              </w:rPr>
            </w:pPr>
            <w:r w:rsidRPr="00D3792D">
              <w:rPr>
                <w:sz w:val="18"/>
                <w:szCs w:val="18"/>
              </w:rPr>
              <w:t>2.2. valsts speciālais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BDC99"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A94A0"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49D0F"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A279C"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E595F"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77937"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1F571"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r>
      <w:tr w:rsidR="006E7945" w:rsidRPr="00DC5F40" w14:paraId="10F1690E" w14:textId="77777777" w:rsidTr="00A1595A">
        <w:trPr>
          <w:trHeight w:val="29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499DE" w14:textId="77777777" w:rsidR="006E7945" w:rsidRPr="00D3792D" w:rsidRDefault="006E7945" w:rsidP="00E87DE5">
            <w:pPr>
              <w:suppressAutoHyphens/>
              <w:autoSpaceDN w:val="0"/>
              <w:textAlignment w:val="baseline"/>
              <w:rPr>
                <w:sz w:val="18"/>
                <w:szCs w:val="18"/>
              </w:rPr>
            </w:pPr>
            <w:r w:rsidRPr="00D3792D">
              <w:rPr>
                <w:sz w:val="18"/>
                <w:szCs w:val="18"/>
              </w:rPr>
              <w:t>2.3. pašvaldību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FCC70"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2C905"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6809C"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0B890"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548A0"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FF393"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012E2"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r>
      <w:tr w:rsidR="006E7945" w:rsidRPr="00DC5F40" w14:paraId="69FB240D" w14:textId="77777777" w:rsidTr="00A1595A">
        <w:trPr>
          <w:trHeight w:val="17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808CB" w14:textId="77777777" w:rsidR="006E7945" w:rsidRPr="00D3792D" w:rsidRDefault="006E7945" w:rsidP="00E87DE5">
            <w:pPr>
              <w:suppressAutoHyphens/>
              <w:autoSpaceDN w:val="0"/>
              <w:textAlignment w:val="baseline"/>
              <w:rPr>
                <w:sz w:val="18"/>
                <w:szCs w:val="18"/>
              </w:rPr>
            </w:pPr>
            <w:r w:rsidRPr="00D3792D">
              <w:rPr>
                <w:sz w:val="18"/>
                <w:szCs w:val="18"/>
              </w:rPr>
              <w:t>3. Finansiālā ietekme: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60AE6" w14:textId="77777777" w:rsidR="006E7945" w:rsidRPr="00D3792D" w:rsidRDefault="006E7945" w:rsidP="00E87DE5">
            <w:pPr>
              <w:suppressAutoHyphens/>
              <w:autoSpaceDN w:val="0"/>
              <w:jc w:val="center"/>
              <w:textAlignment w:val="baseline"/>
              <w:rPr>
                <w:rFonts w:eastAsia="Calibri"/>
                <w:sz w:val="18"/>
                <w:szCs w:val="18"/>
              </w:rPr>
            </w:pPr>
            <w:r w:rsidRPr="00D3792D">
              <w:rPr>
                <w:b/>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CC10A" w14:textId="77777777" w:rsidR="006E7945" w:rsidRPr="00D3792D" w:rsidRDefault="006E7945" w:rsidP="00457BA4">
            <w:pPr>
              <w:suppressAutoHyphens/>
              <w:autoSpaceDN w:val="0"/>
              <w:jc w:val="center"/>
              <w:textAlignment w:val="baseline"/>
              <w:rPr>
                <w:b/>
                <w:sz w:val="18"/>
                <w:szCs w:val="18"/>
              </w:rPr>
            </w:pPr>
            <w:r>
              <w:rPr>
                <w:b/>
                <w:sz w:val="18"/>
                <w:szCs w:val="18"/>
              </w:rPr>
              <w:t>- 125 936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69245"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641CC"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71C0E"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C22F9"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674C9"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r>
      <w:tr w:rsidR="006E7945" w:rsidRPr="00DC5F40" w14:paraId="5E5FA81C" w14:textId="77777777" w:rsidTr="00A1595A">
        <w:trPr>
          <w:trHeight w:val="25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2E92D" w14:textId="77777777" w:rsidR="006E7945" w:rsidRPr="00D3792D" w:rsidRDefault="006E7945" w:rsidP="00E87DE5">
            <w:pPr>
              <w:suppressAutoHyphens/>
              <w:autoSpaceDN w:val="0"/>
              <w:textAlignment w:val="baseline"/>
              <w:rPr>
                <w:sz w:val="18"/>
                <w:szCs w:val="18"/>
              </w:rPr>
            </w:pPr>
            <w:r w:rsidRPr="00D3792D">
              <w:rPr>
                <w:sz w:val="18"/>
                <w:szCs w:val="18"/>
              </w:rPr>
              <w:t>3.1. valsts pamatbudžets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8571D" w14:textId="77777777" w:rsidR="006E7945" w:rsidRPr="00D3792D" w:rsidRDefault="006E7945" w:rsidP="00E87DE5">
            <w:pPr>
              <w:suppressAutoHyphens/>
              <w:autoSpaceDN w:val="0"/>
              <w:jc w:val="center"/>
              <w:textAlignment w:val="baseline"/>
              <w:rPr>
                <w:rFonts w:eastAsia="Calibri"/>
                <w:sz w:val="18"/>
                <w:szCs w:val="18"/>
              </w:rPr>
            </w:pPr>
            <w:r w:rsidRPr="00D3792D">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2BF5C" w14:textId="29AF75B4" w:rsidR="006E7945" w:rsidRPr="00D3792D" w:rsidRDefault="006E7945" w:rsidP="00457BA4">
            <w:pPr>
              <w:suppressAutoHyphens/>
              <w:autoSpaceDN w:val="0"/>
              <w:jc w:val="center"/>
              <w:textAlignment w:val="baseline"/>
              <w:rPr>
                <w:sz w:val="18"/>
                <w:szCs w:val="18"/>
              </w:rPr>
            </w:pPr>
            <w:r>
              <w:rPr>
                <w:sz w:val="18"/>
                <w:szCs w:val="18"/>
              </w:rPr>
              <w:t xml:space="preserve"> -125 </w:t>
            </w:r>
            <w:r w:rsidR="00E619BB">
              <w:rPr>
                <w:sz w:val="18"/>
                <w:szCs w:val="18"/>
              </w:rPr>
              <w:t>936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25BB"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853C6"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2886F"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8B1F6"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00795"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r>
      <w:tr w:rsidR="006E7945" w:rsidRPr="00DC5F40" w14:paraId="79282ECD" w14:textId="77777777" w:rsidTr="00A1595A">
        <w:trPr>
          <w:trHeight w:val="1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110DE" w14:textId="77777777" w:rsidR="006E7945" w:rsidRPr="00D3792D" w:rsidRDefault="006E7945" w:rsidP="00E87DE5">
            <w:pPr>
              <w:suppressAutoHyphens/>
              <w:autoSpaceDN w:val="0"/>
              <w:textAlignment w:val="baseline"/>
              <w:rPr>
                <w:sz w:val="18"/>
                <w:szCs w:val="18"/>
              </w:rPr>
            </w:pPr>
            <w:r w:rsidRPr="00D3792D">
              <w:rPr>
                <w:sz w:val="18"/>
                <w:szCs w:val="18"/>
              </w:rPr>
              <w:t>3.2. speciālais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0CE32"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31AD3"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8CF25"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F84A7"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0B5B6"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7E60D"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15FE1"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r>
      <w:tr w:rsidR="006E7945" w:rsidRPr="00DC5F40" w14:paraId="5232620E" w14:textId="77777777" w:rsidTr="00A1595A">
        <w:trPr>
          <w:trHeight w:val="22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85640" w14:textId="77777777" w:rsidR="006E7945" w:rsidRPr="00D3792D" w:rsidRDefault="006E7945" w:rsidP="00E87DE5">
            <w:pPr>
              <w:suppressAutoHyphens/>
              <w:autoSpaceDN w:val="0"/>
              <w:textAlignment w:val="baseline"/>
              <w:rPr>
                <w:sz w:val="18"/>
                <w:szCs w:val="18"/>
              </w:rPr>
            </w:pPr>
            <w:r w:rsidRPr="00D3792D">
              <w:rPr>
                <w:sz w:val="18"/>
                <w:szCs w:val="18"/>
              </w:rPr>
              <w:t>3.3. pašvaldību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19EC2"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43338"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DD4C4"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852DA"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F1B09"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CF7B2"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72FD3"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r>
      <w:tr w:rsidR="006E7945" w:rsidRPr="00DC5F40" w14:paraId="08BC8E73" w14:textId="77777777" w:rsidTr="00A1595A">
        <w:trPr>
          <w:trHeight w:val="460"/>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99F6" w14:textId="77777777" w:rsidR="006E7945" w:rsidRPr="00D3792D" w:rsidRDefault="006E7945" w:rsidP="00E87DE5">
            <w:pPr>
              <w:suppressAutoHyphens/>
              <w:autoSpaceDN w:val="0"/>
              <w:textAlignment w:val="baseline"/>
              <w:rPr>
                <w:sz w:val="18"/>
                <w:szCs w:val="18"/>
              </w:rPr>
            </w:pPr>
            <w:r w:rsidRPr="00D3792D">
              <w:rPr>
                <w:sz w:val="18"/>
                <w:szCs w:val="18"/>
              </w:rPr>
              <w:t>4. Finanšu līdzekļi papildu izde</w:t>
            </w:r>
            <w:r w:rsidRPr="00D3792D">
              <w:rPr>
                <w:sz w:val="18"/>
                <w:szCs w:val="18"/>
              </w:rPr>
              <w:softHyphen/>
              <w:t>vumu finansēšanai (kompensējošu izdevumu samazinājumu norāda ar "+" zīmi)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75B45" w14:textId="77777777" w:rsidR="006E7945" w:rsidRPr="00D3792D" w:rsidRDefault="006E7945" w:rsidP="00E87DE5">
            <w:pPr>
              <w:suppressAutoHyphens/>
              <w:autoSpaceDN w:val="0"/>
              <w:jc w:val="center"/>
              <w:textAlignment w:val="baseline"/>
              <w:rPr>
                <w:sz w:val="18"/>
                <w:szCs w:val="18"/>
              </w:rPr>
            </w:pPr>
            <w:r w:rsidRPr="00D3792D">
              <w:rPr>
                <w:sz w:val="18"/>
                <w:szCs w:val="18"/>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524EF"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6A783"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51963"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BF223"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4F643"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86877"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r>
      <w:tr w:rsidR="006E7945" w:rsidRPr="00DC5F40" w14:paraId="79FE5CCA" w14:textId="77777777" w:rsidTr="00A1595A">
        <w:trPr>
          <w:trHeight w:val="460"/>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196DC" w14:textId="77777777" w:rsidR="006E7945" w:rsidRPr="00D3792D" w:rsidRDefault="006E7945" w:rsidP="00E87DE5">
            <w:pPr>
              <w:suppressAutoHyphens/>
              <w:autoSpaceDN w:val="0"/>
              <w:textAlignment w:val="baseline"/>
              <w:rPr>
                <w:sz w:val="18"/>
                <w:szCs w:val="1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561E4" w14:textId="77777777" w:rsidR="006E7945" w:rsidRPr="00D3792D" w:rsidRDefault="006E7945" w:rsidP="00E87DE5">
            <w:pPr>
              <w:suppressAutoHyphens/>
              <w:autoSpaceDN w:val="0"/>
              <w:jc w:val="center"/>
              <w:textAlignment w:val="baseline"/>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95E37"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03D85"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4F37B"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D7931"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3FE5"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2E7AB"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r>
      <w:tr w:rsidR="006E7945" w:rsidRPr="00DC5F40" w14:paraId="26D34DE6" w14:textId="77777777" w:rsidTr="00A1595A">
        <w:trPr>
          <w:trHeight w:val="460"/>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AB123" w14:textId="77777777" w:rsidR="006E7945" w:rsidRPr="00D3792D" w:rsidRDefault="006E7945" w:rsidP="00E87DE5">
            <w:pPr>
              <w:suppressAutoHyphens/>
              <w:autoSpaceDN w:val="0"/>
              <w:textAlignment w:val="baseline"/>
              <w:rPr>
                <w:sz w:val="18"/>
                <w:szCs w:val="1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A5A04" w14:textId="77777777" w:rsidR="006E7945" w:rsidRPr="00D3792D" w:rsidRDefault="006E7945" w:rsidP="00E87DE5">
            <w:pPr>
              <w:suppressAutoHyphens/>
              <w:autoSpaceDN w:val="0"/>
              <w:jc w:val="center"/>
              <w:textAlignment w:val="baseline"/>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C1E2C"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E6C34"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9E825"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BCACD"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001E0"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4BB53"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r>
      <w:tr w:rsidR="006E7945" w:rsidRPr="00DC5F40" w14:paraId="300CB4A7" w14:textId="77777777" w:rsidTr="00A1595A">
        <w:trPr>
          <w:trHeight w:val="43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035DE" w14:textId="77777777" w:rsidR="006E7945" w:rsidRPr="00D3792D" w:rsidRDefault="006E7945" w:rsidP="00E87DE5">
            <w:pPr>
              <w:suppressAutoHyphens/>
              <w:autoSpaceDN w:val="0"/>
              <w:textAlignment w:val="baseline"/>
              <w:rPr>
                <w:sz w:val="18"/>
                <w:szCs w:val="18"/>
              </w:rPr>
            </w:pPr>
            <w:r w:rsidRPr="00D3792D">
              <w:rPr>
                <w:sz w:val="18"/>
                <w:szCs w:val="18"/>
              </w:rPr>
              <w:t>5. Precizēta finansiālā ietekme:</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F39CC" w14:textId="77777777" w:rsidR="006E7945" w:rsidRPr="00D3792D" w:rsidRDefault="006E7945" w:rsidP="00E87DE5">
            <w:pPr>
              <w:suppressAutoHyphens/>
              <w:autoSpaceDN w:val="0"/>
              <w:jc w:val="center"/>
              <w:textAlignment w:val="baseline"/>
              <w:rPr>
                <w:sz w:val="18"/>
                <w:szCs w:val="18"/>
              </w:rPr>
            </w:pPr>
            <w:r w:rsidRPr="00D3792D">
              <w:rPr>
                <w:sz w:val="18"/>
                <w:szCs w:val="18"/>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93123"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EC016"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C0AED"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BCE30"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1BC"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208EA" w14:textId="77777777" w:rsidR="006E7945" w:rsidRPr="00D3792D" w:rsidRDefault="006E7945" w:rsidP="00E87DE5">
            <w:pPr>
              <w:suppressAutoHyphens/>
              <w:autoSpaceDN w:val="0"/>
              <w:jc w:val="center"/>
              <w:textAlignment w:val="baseline"/>
              <w:rPr>
                <w:b/>
                <w:sz w:val="18"/>
                <w:szCs w:val="18"/>
              </w:rPr>
            </w:pPr>
            <w:r w:rsidRPr="00D3792D">
              <w:rPr>
                <w:b/>
                <w:sz w:val="18"/>
                <w:szCs w:val="18"/>
              </w:rPr>
              <w:t>0</w:t>
            </w:r>
          </w:p>
        </w:tc>
      </w:tr>
      <w:tr w:rsidR="006E7945" w:rsidRPr="00DC5F40" w14:paraId="10320043" w14:textId="77777777" w:rsidTr="00A1595A">
        <w:trPr>
          <w:trHeight w:val="29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B349F" w14:textId="77777777" w:rsidR="006E7945" w:rsidRPr="00D3792D" w:rsidRDefault="006E7945" w:rsidP="00E87DE5">
            <w:pPr>
              <w:suppressAutoHyphens/>
              <w:autoSpaceDN w:val="0"/>
              <w:textAlignment w:val="baseline"/>
              <w:rPr>
                <w:sz w:val="18"/>
                <w:szCs w:val="18"/>
              </w:rPr>
            </w:pPr>
            <w:r w:rsidRPr="00D3792D">
              <w:rPr>
                <w:sz w:val="18"/>
                <w:szCs w:val="18"/>
              </w:rPr>
              <w:t>5.1. valsts pamatbudžets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E9C50" w14:textId="77777777" w:rsidR="006E7945" w:rsidRPr="00D3792D" w:rsidRDefault="006E7945" w:rsidP="00E87DE5">
            <w:pPr>
              <w:suppressAutoHyphens/>
              <w:autoSpaceDN w:val="0"/>
              <w:jc w:val="center"/>
              <w:textAlignment w:val="baseline"/>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FA047"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476F8"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4E442"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57B7C"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F3723"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3138E"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r>
      <w:tr w:rsidR="006E7945" w:rsidRPr="00DC5F40" w14:paraId="42CC5CFC" w14:textId="77777777" w:rsidTr="00A1595A">
        <w:trPr>
          <w:trHeight w:val="16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0BD5D" w14:textId="77777777" w:rsidR="006E7945" w:rsidRPr="00D3792D" w:rsidRDefault="006E7945" w:rsidP="00E87DE5">
            <w:pPr>
              <w:suppressAutoHyphens/>
              <w:autoSpaceDN w:val="0"/>
              <w:textAlignment w:val="baseline"/>
              <w:rPr>
                <w:sz w:val="18"/>
                <w:szCs w:val="18"/>
              </w:rPr>
            </w:pPr>
            <w:r w:rsidRPr="00D3792D">
              <w:rPr>
                <w:sz w:val="18"/>
                <w:szCs w:val="18"/>
              </w:rPr>
              <w:t>5.2. speciālais budžets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D8D5F" w14:textId="77777777" w:rsidR="006E7945" w:rsidRPr="00D3792D" w:rsidRDefault="006E7945" w:rsidP="00E87DE5">
            <w:pPr>
              <w:suppressAutoHyphens/>
              <w:autoSpaceDN w:val="0"/>
              <w:jc w:val="center"/>
              <w:textAlignment w:val="baseline"/>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567A0"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5578B"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C30FC"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003F2"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430EE"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60862"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r>
      <w:tr w:rsidR="006E7945" w:rsidRPr="00DC5F40" w14:paraId="46324FBB" w14:textId="77777777" w:rsidTr="00A1595A">
        <w:trPr>
          <w:trHeight w:val="24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1108" w14:textId="77777777" w:rsidR="006E7945" w:rsidRPr="00D3792D" w:rsidRDefault="006E7945" w:rsidP="00E87DE5">
            <w:pPr>
              <w:suppressAutoHyphens/>
              <w:autoSpaceDN w:val="0"/>
              <w:textAlignment w:val="baseline"/>
              <w:rPr>
                <w:sz w:val="18"/>
                <w:szCs w:val="18"/>
              </w:rPr>
            </w:pPr>
            <w:r w:rsidRPr="00D3792D">
              <w:rPr>
                <w:sz w:val="18"/>
                <w:szCs w:val="18"/>
              </w:rPr>
              <w:t>5.3. pašvaldību budžets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21F71" w14:textId="77777777" w:rsidR="006E7945" w:rsidRPr="00D3792D" w:rsidRDefault="006E7945" w:rsidP="00E87DE5">
            <w:pPr>
              <w:suppressAutoHyphens/>
              <w:autoSpaceDN w:val="0"/>
              <w:jc w:val="center"/>
              <w:textAlignment w:val="baseline"/>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D3374"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BB74A"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37D07"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06C00"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C42F2"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11D00" w14:textId="77777777" w:rsidR="006E7945" w:rsidRPr="00D3792D" w:rsidRDefault="006E7945" w:rsidP="00E87DE5">
            <w:pPr>
              <w:suppressAutoHyphens/>
              <w:autoSpaceDN w:val="0"/>
              <w:jc w:val="center"/>
              <w:textAlignment w:val="baseline"/>
              <w:rPr>
                <w:sz w:val="18"/>
                <w:szCs w:val="18"/>
              </w:rPr>
            </w:pPr>
            <w:r w:rsidRPr="00D3792D">
              <w:rPr>
                <w:sz w:val="18"/>
                <w:szCs w:val="18"/>
              </w:rPr>
              <w:t>0</w:t>
            </w:r>
          </w:p>
        </w:tc>
      </w:tr>
      <w:tr w:rsidR="006E7945" w:rsidRPr="00DC5F40" w14:paraId="0964FA23" w14:textId="77777777" w:rsidTr="00A1595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9A4C2" w14:textId="77777777" w:rsidR="006E7945" w:rsidRPr="00DC5F40" w:rsidRDefault="006E7945" w:rsidP="00E87DE5">
            <w:pPr>
              <w:suppressAutoHyphens/>
              <w:autoSpaceDN w:val="0"/>
              <w:textAlignment w:val="baseline"/>
            </w:pPr>
            <w:r w:rsidRPr="00DC5F40">
              <w:t xml:space="preserve">6. Detalizēts ieņēmumu un izdevumu aprēķins (ja nepieciešams, detalizētu ieņēmumu un izdevumu aprēķinu var pievienot </w:t>
            </w:r>
            <w:r w:rsidRPr="00DC5F40">
              <w:lastRenderedPageBreak/>
              <w:t>anotācijas pielikumā):</w:t>
            </w:r>
          </w:p>
        </w:tc>
        <w:tc>
          <w:tcPr>
            <w:tcW w:w="8647" w:type="dxa"/>
            <w:gridSpan w:val="7"/>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FA26890" w14:textId="77777777" w:rsidR="006E7945" w:rsidRDefault="007F4B3E" w:rsidP="001A1AE1">
            <w:pPr>
              <w:suppressAutoHyphens/>
              <w:autoSpaceDN w:val="0"/>
              <w:jc w:val="both"/>
              <w:textAlignment w:val="baseline"/>
            </w:pPr>
            <w:r w:rsidRPr="00FB05D5">
              <w:lastRenderedPageBreak/>
              <w:t>Projekts šo jomu neskar</w:t>
            </w:r>
          </w:p>
          <w:p w14:paraId="54923E18" w14:textId="77777777" w:rsidR="00882E8D" w:rsidRPr="005A550E" w:rsidRDefault="00882E8D" w:rsidP="001A1AE1">
            <w:pPr>
              <w:suppressAutoHyphens/>
              <w:autoSpaceDN w:val="0"/>
              <w:jc w:val="both"/>
              <w:textAlignment w:val="baseline"/>
              <w:rPr>
                <w:i/>
                <w:color w:val="0000FF"/>
              </w:rPr>
            </w:pPr>
          </w:p>
        </w:tc>
      </w:tr>
      <w:tr w:rsidR="006E7945" w:rsidRPr="00DC5F40" w14:paraId="3E7562A7" w14:textId="77777777" w:rsidTr="00A1595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CB4E9" w14:textId="77777777" w:rsidR="006E7945" w:rsidRPr="00DC5F40" w:rsidRDefault="006E7945" w:rsidP="00E87DE5">
            <w:pPr>
              <w:suppressAutoHyphens/>
              <w:autoSpaceDN w:val="0"/>
              <w:textAlignment w:val="baseline"/>
            </w:pPr>
            <w:r w:rsidRPr="00DC5F40">
              <w:t>6.1. Detalizēts ieņēmumu aprēķins</w:t>
            </w:r>
          </w:p>
        </w:tc>
        <w:tc>
          <w:tcPr>
            <w:tcW w:w="8647" w:type="dxa"/>
            <w:gridSpan w:val="7"/>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B14F7DC" w14:textId="77777777" w:rsidR="006E7945" w:rsidRPr="00DC5F40" w:rsidRDefault="006E7945" w:rsidP="00E87DE5">
            <w:pPr>
              <w:suppressAutoHyphens/>
              <w:autoSpaceDN w:val="0"/>
              <w:spacing w:before="120"/>
              <w:jc w:val="both"/>
              <w:textAlignment w:val="baseline"/>
            </w:pPr>
          </w:p>
        </w:tc>
      </w:tr>
      <w:tr w:rsidR="006E7945" w:rsidRPr="00DC5F40" w14:paraId="00495CB4" w14:textId="77777777" w:rsidTr="00A1595A">
        <w:trPr>
          <w:trHeight w:val="63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68630" w14:textId="77777777" w:rsidR="006E7945" w:rsidRPr="00DC5F40" w:rsidRDefault="006E7945" w:rsidP="00E87DE5">
            <w:pPr>
              <w:suppressAutoHyphens/>
              <w:autoSpaceDN w:val="0"/>
              <w:textAlignment w:val="baseline"/>
            </w:pPr>
            <w:r w:rsidRPr="00DC5F40">
              <w:t>6.2. Detalizēts izdevumu aprēķins</w:t>
            </w:r>
          </w:p>
        </w:tc>
        <w:tc>
          <w:tcPr>
            <w:tcW w:w="8647" w:type="dxa"/>
            <w:gridSpan w:val="7"/>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6AEB6" w14:textId="77777777" w:rsidR="006E7945" w:rsidRPr="00DC5F40" w:rsidRDefault="006E7945" w:rsidP="00E87DE5">
            <w:pPr>
              <w:suppressAutoHyphens/>
              <w:autoSpaceDN w:val="0"/>
              <w:spacing w:before="120"/>
              <w:jc w:val="both"/>
              <w:textAlignment w:val="baseline"/>
            </w:pPr>
          </w:p>
        </w:tc>
      </w:tr>
      <w:tr w:rsidR="006E7945" w:rsidRPr="00DC5F40" w14:paraId="20869201" w14:textId="77777777" w:rsidTr="00A1595A">
        <w:trPr>
          <w:trHeight w:val="63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61E0A" w14:textId="77777777" w:rsidR="006E7945" w:rsidRPr="00DC5F40" w:rsidRDefault="006E7945" w:rsidP="00E87DE5">
            <w:pPr>
              <w:suppressAutoHyphens/>
              <w:autoSpaceDN w:val="0"/>
              <w:textAlignment w:val="baseline"/>
            </w:pPr>
            <w:r>
              <w:t xml:space="preserve">7. </w:t>
            </w:r>
            <w:r w:rsidRPr="00DC5F40">
              <w:t>Amata vietu skaita izmaiņas</w:t>
            </w: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B2565" w14:textId="77777777" w:rsidR="006E7945" w:rsidRPr="00DC5F40" w:rsidRDefault="0043599D" w:rsidP="00E87DE5">
            <w:pPr>
              <w:suppressAutoHyphens/>
              <w:autoSpaceDN w:val="0"/>
              <w:jc w:val="center"/>
              <w:textAlignment w:val="baseline"/>
            </w:pPr>
            <w:r w:rsidRPr="0043599D">
              <w:t>Projekts šo jomu neskar</w:t>
            </w:r>
          </w:p>
        </w:tc>
      </w:tr>
      <w:tr w:rsidR="006E7945" w:rsidRPr="00DC5F40" w14:paraId="039D1BAB" w14:textId="77777777" w:rsidTr="00A1595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BF525" w14:textId="77777777" w:rsidR="006E7945" w:rsidRPr="00DC5F40" w:rsidRDefault="006E7945" w:rsidP="00E87DE5">
            <w:pPr>
              <w:suppressAutoHyphens/>
              <w:autoSpaceDN w:val="0"/>
              <w:textAlignment w:val="baseline"/>
            </w:pPr>
            <w:r>
              <w:t>8</w:t>
            </w:r>
            <w:r w:rsidRPr="00DC5F40">
              <w:t>. Cita informācija</w:t>
            </w: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882E8" w14:textId="77777777" w:rsidR="006E7945" w:rsidRDefault="006E7945" w:rsidP="0068030E">
            <w:pPr>
              <w:suppressAutoHyphens/>
              <w:autoSpaceDN w:val="0"/>
              <w:jc w:val="both"/>
              <w:textAlignment w:val="baseline"/>
            </w:pPr>
            <w:r>
              <w:t xml:space="preserve">VSIA </w:t>
            </w:r>
            <w:r w:rsidRPr="002C2A7B">
              <w:t>“Šampētera nams”</w:t>
            </w:r>
            <w:r w:rsidRPr="002F5B7E">
              <w:t xml:space="preserve"> 2017. pārskata gadā gūtā tīrā peļņa ir 164 884 </w:t>
            </w:r>
            <w:proofErr w:type="spellStart"/>
            <w:r w:rsidRPr="002F5B7E">
              <w:rPr>
                <w:i/>
              </w:rPr>
              <w:t>euro</w:t>
            </w:r>
            <w:proofErr w:type="spellEnd"/>
            <w:r w:rsidRPr="002F5B7E">
              <w:t xml:space="preserve">, tā veidojas no divām daļām: </w:t>
            </w:r>
          </w:p>
          <w:p w14:paraId="6662B86C" w14:textId="77777777" w:rsidR="006E7945" w:rsidRDefault="006E7945" w:rsidP="0068030E">
            <w:pPr>
              <w:suppressAutoHyphens/>
              <w:autoSpaceDN w:val="0"/>
              <w:jc w:val="both"/>
              <w:textAlignment w:val="baseline"/>
            </w:pPr>
            <w:r w:rsidRPr="002F5B7E">
              <w:t xml:space="preserve">1) zemesgabala iegādes </w:t>
            </w:r>
            <w:r>
              <w:t xml:space="preserve">rezultātā izveidojusies </w:t>
            </w:r>
            <w:proofErr w:type="spellStart"/>
            <w:r>
              <w:t>grāmatvediskā</w:t>
            </w:r>
            <w:proofErr w:type="spellEnd"/>
            <w:r>
              <w:t xml:space="preserve"> peļņa</w:t>
            </w:r>
            <w:r w:rsidRPr="002F5B7E">
              <w:t xml:space="preserve"> 157 420 </w:t>
            </w:r>
            <w:proofErr w:type="spellStart"/>
            <w:r w:rsidRPr="002F5B7E">
              <w:rPr>
                <w:i/>
              </w:rPr>
              <w:t>euro</w:t>
            </w:r>
            <w:proofErr w:type="spellEnd"/>
            <w:r>
              <w:t>,</w:t>
            </w:r>
            <w:r w:rsidRPr="002F5B7E">
              <w:t xml:space="preserve"> </w:t>
            </w:r>
          </w:p>
          <w:p w14:paraId="744A05A3" w14:textId="2FF2F9D5" w:rsidR="006E7945" w:rsidRPr="00617419" w:rsidRDefault="006E7945" w:rsidP="00D36BB8">
            <w:pPr>
              <w:suppressAutoHyphens/>
              <w:autoSpaceDN w:val="0"/>
              <w:jc w:val="both"/>
              <w:textAlignment w:val="baseline"/>
            </w:pPr>
            <w:bookmarkStart w:id="2" w:name="_Hlk4587937"/>
            <w:r>
              <w:t xml:space="preserve">kas </w:t>
            </w:r>
            <w:r w:rsidRPr="00617419">
              <w:t>veidojusies,</w:t>
            </w:r>
            <w:r w:rsidR="00D91D3A">
              <w:t xml:space="preserve"> p</w:t>
            </w:r>
            <w:r w:rsidR="00D91D3A" w:rsidRPr="00D91D3A">
              <w:t>amatojoties uz Publiskas personas kapitāla daļu un kapitālsabiedrību pārvaldības likuma 66. panta otro daļu, 82. panta pirmo daļu, Valsts sabiedrības ar ierobežotu atbildību “Šampētera nams” statūtu 10.5. punktu un dalībnieku sapulces lēmumu (09.12.2017. protokols Nr. 2016/5 lēmums Nr. 1.2.)</w:t>
            </w:r>
            <w:r w:rsidR="00D91D3A">
              <w:t>,</w:t>
            </w:r>
            <w:r w:rsidRPr="00617419">
              <w:t xml:space="preserve"> novirzot iepriekšējos periodos uzkrātos naudas līdzekļus zemesgabala iegādei, līdz ar to, šī summa tiek atzīta par izmantotu </w:t>
            </w:r>
            <w:r w:rsidRPr="00B3475D">
              <w:t>nekustamā īpašuma ar kadastra Nr. 01000750723 – zemes vienības (zemes vienības kadastra apzīmējums 01000750701) 1</w:t>
            </w:r>
            <w:r w:rsidR="000F6BBB">
              <w:t>,</w:t>
            </w:r>
            <w:r w:rsidRPr="00B3475D">
              <w:t>2688 ha platībā – Ventspils ielā 53, Rīgā, iegādei, uz kura atrodas kapitālsabiedrības piederošās ēkas, tādējādi izbeidzot dalīto īpašumu</w:t>
            </w:r>
            <w:r w:rsidRPr="00617419">
              <w:t xml:space="preserve">, un  no šīs daļas netiek maksātas  dividendes; </w:t>
            </w:r>
          </w:p>
          <w:p w14:paraId="56C72876" w14:textId="77777777" w:rsidR="006E7945" w:rsidRDefault="006E7945" w:rsidP="006A0812">
            <w:pPr>
              <w:suppressAutoHyphens/>
              <w:autoSpaceDN w:val="0"/>
              <w:spacing w:after="240"/>
              <w:jc w:val="both"/>
              <w:textAlignment w:val="baseline"/>
            </w:pPr>
            <w:r w:rsidRPr="00617419">
              <w:t xml:space="preserve">2) saimnieciskās darbības rezultātā gūtā peļņa 7464 </w:t>
            </w:r>
            <w:proofErr w:type="spellStart"/>
            <w:r w:rsidRPr="00B3475D">
              <w:rPr>
                <w:i/>
              </w:rPr>
              <w:t>euro</w:t>
            </w:r>
            <w:proofErr w:type="spellEnd"/>
            <w:r w:rsidRPr="00617419">
              <w:t>, no kuras dividendēs izmaksājami 80 % jeb 5971,20</w:t>
            </w:r>
            <w:r w:rsidRPr="00D36BB8">
              <w:t xml:space="preserve"> </w:t>
            </w:r>
            <w:proofErr w:type="spellStart"/>
            <w:r w:rsidRPr="00D36BB8">
              <w:rPr>
                <w:i/>
              </w:rPr>
              <w:t>euro</w:t>
            </w:r>
            <w:proofErr w:type="spellEnd"/>
            <w:r w:rsidRPr="00D36BB8">
              <w:t xml:space="preserve"> apmērā </w:t>
            </w:r>
            <w:r>
              <w:t xml:space="preserve">un kas </w:t>
            </w:r>
            <w:r w:rsidRPr="00D36BB8">
              <w:t>tiks iemaksāt</w:t>
            </w:r>
            <w:r>
              <w:t>i</w:t>
            </w:r>
            <w:r w:rsidRPr="00D36BB8">
              <w:t xml:space="preserve"> valsts budžetā</w:t>
            </w:r>
            <w:r>
              <w:t>.</w:t>
            </w:r>
          </w:p>
          <w:bookmarkEnd w:id="2"/>
          <w:p w14:paraId="31682696" w14:textId="76A22428" w:rsidR="006E7945" w:rsidRPr="001D338D" w:rsidRDefault="006E7945" w:rsidP="00AF1192">
            <w:pPr>
              <w:suppressAutoHyphens/>
              <w:autoSpaceDN w:val="0"/>
              <w:spacing w:after="240"/>
              <w:jc w:val="both"/>
              <w:textAlignment w:val="baseline"/>
            </w:pPr>
            <w:r w:rsidRPr="002F5B7E">
              <w:t xml:space="preserve">Saskaņā ar likuma “Par vidēja termiņa budžeta ietvaru </w:t>
            </w:r>
            <w:r w:rsidR="00E619BB" w:rsidRPr="002F5B7E">
              <w:t>201</w:t>
            </w:r>
            <w:r w:rsidR="00E619BB">
              <w:t>8</w:t>
            </w:r>
            <w:r w:rsidRPr="002F5B7E">
              <w:t xml:space="preserve">., </w:t>
            </w:r>
            <w:r w:rsidR="00E619BB" w:rsidRPr="002F5B7E">
              <w:t>201</w:t>
            </w:r>
            <w:r w:rsidR="00E619BB">
              <w:t>9</w:t>
            </w:r>
            <w:r w:rsidRPr="002F5B7E">
              <w:t xml:space="preserve">. un </w:t>
            </w:r>
            <w:r w:rsidR="00E619BB" w:rsidRPr="002F5B7E">
              <w:t>20</w:t>
            </w:r>
            <w:r w:rsidR="00E619BB">
              <w:t>20</w:t>
            </w:r>
            <w:r w:rsidRPr="002F5B7E">
              <w:t xml:space="preserve">. gadam” </w:t>
            </w:r>
            <w:r w:rsidR="00E619BB">
              <w:t>24</w:t>
            </w:r>
            <w:r w:rsidRPr="002F5B7E">
              <w:t>. pantu minimālo dividendēs izmaksājamo peļņas daļu par 2017. pārskata gadu kapitālsabiedrībām, kurās visas kapitāla daļas tieši vai pastarpināti pieder valstij, nosaka un aprēķina 80 % apmērā no attiecīgās kapitālsabiedrības tīrās peļņas.</w:t>
            </w:r>
            <w:r>
              <w:t xml:space="preserve"> 80 % no Kapitālsabiedrības </w:t>
            </w:r>
            <w:r w:rsidRPr="002F5B7E">
              <w:t xml:space="preserve">2017. gada </w:t>
            </w:r>
            <w:r>
              <w:t xml:space="preserve">tīrās saimnieciskās </w:t>
            </w:r>
            <w:r w:rsidRPr="002F5B7E">
              <w:t>peļņas ir</w:t>
            </w:r>
            <w:r>
              <w:t xml:space="preserve"> </w:t>
            </w:r>
            <w:r w:rsidRPr="001A5DA8">
              <w:t xml:space="preserve">5971,20 </w:t>
            </w:r>
            <w:proofErr w:type="spellStart"/>
            <w:r w:rsidRPr="001A5DA8">
              <w:rPr>
                <w:i/>
              </w:rPr>
              <w:t>euro</w:t>
            </w:r>
            <w:proofErr w:type="spellEnd"/>
            <w:r>
              <w:t>.</w:t>
            </w:r>
          </w:p>
        </w:tc>
      </w:tr>
    </w:tbl>
    <w:p w14:paraId="3D3B1410" w14:textId="6DF4A669" w:rsidR="002C5C6A" w:rsidRDefault="006E7945" w:rsidP="00E87DE5">
      <w:pPr>
        <w:spacing w:before="120"/>
        <w:jc w:val="both"/>
      </w:pPr>
      <w:r>
        <w:t xml:space="preserve">* </w:t>
      </w:r>
      <w:r w:rsidRPr="006E7945">
        <w:t>Atbilstoši apstiprinātajam maksimāli pieļaujamam valsts pamatbudžeta izdevumu apjomam</w:t>
      </w:r>
      <w:r w:rsidR="00E619BB">
        <w:t xml:space="preserve"> 2020. un 2021.gadam.</w:t>
      </w:r>
    </w:p>
    <w:p w14:paraId="1E7D7258" w14:textId="77777777" w:rsidR="006E7945" w:rsidRPr="002C2A7B" w:rsidRDefault="006E7945" w:rsidP="00E87DE5">
      <w:pPr>
        <w:spacing w:before="120"/>
        <w:jc w:val="both"/>
      </w:pPr>
    </w:p>
    <w:tbl>
      <w:tblPr>
        <w:tblW w:w="500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B76EEC" w:rsidRPr="002F62D8" w14:paraId="6BA2A940" w14:textId="77777777" w:rsidTr="000C72F5">
        <w:trPr>
          <w:cantSplit/>
        </w:trPr>
        <w:tc>
          <w:tcPr>
            <w:tcW w:w="9065" w:type="dxa"/>
            <w:vAlign w:val="center"/>
            <w:hideMark/>
          </w:tcPr>
          <w:p w14:paraId="4D986D37" w14:textId="77777777" w:rsidR="00B76EEC" w:rsidRPr="002F62D8" w:rsidRDefault="00B76EEC" w:rsidP="00E87DE5">
            <w:pPr>
              <w:ind w:left="-172"/>
              <w:jc w:val="center"/>
              <w:rPr>
                <w:b/>
                <w:bCs/>
                <w:sz w:val="22"/>
                <w:szCs w:val="22"/>
              </w:rPr>
            </w:pPr>
            <w:r w:rsidRPr="002F62D8">
              <w:rPr>
                <w:b/>
                <w:bCs/>
                <w:sz w:val="22"/>
                <w:szCs w:val="22"/>
              </w:rPr>
              <w:t>IV. Tiesību akta projekta ietekme uz spēkā esošo tiesību normu sistēmu</w:t>
            </w:r>
          </w:p>
        </w:tc>
      </w:tr>
      <w:tr w:rsidR="00B76EEC" w:rsidRPr="002F62D8" w14:paraId="7A02A4DF" w14:textId="77777777" w:rsidTr="000C72F5">
        <w:trPr>
          <w:cantSplit/>
        </w:trPr>
        <w:tc>
          <w:tcPr>
            <w:tcW w:w="9065" w:type="dxa"/>
          </w:tcPr>
          <w:p w14:paraId="5A43E706" w14:textId="77777777" w:rsidR="00B76EEC" w:rsidRPr="002F62D8" w:rsidRDefault="00B76EEC" w:rsidP="00E87DE5">
            <w:pPr>
              <w:jc w:val="center"/>
              <w:rPr>
                <w:sz w:val="22"/>
                <w:szCs w:val="22"/>
              </w:rPr>
            </w:pPr>
            <w:r w:rsidRPr="00C412D9">
              <w:rPr>
                <w:bCs/>
                <w:iCs/>
              </w:rPr>
              <w:t>Projekts šo jomu neskar</w:t>
            </w:r>
          </w:p>
        </w:tc>
      </w:tr>
    </w:tbl>
    <w:p w14:paraId="527BFB18" w14:textId="77777777" w:rsidR="00B76EEC" w:rsidRPr="002F62D8" w:rsidRDefault="00B76EEC" w:rsidP="00E87DE5">
      <w:pPr>
        <w:pStyle w:val="Title"/>
        <w:spacing w:before="130"/>
        <w:ind w:firstLine="539"/>
        <w:jc w:val="both"/>
        <w:rPr>
          <w:sz w:val="22"/>
          <w:szCs w:val="22"/>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76EEC" w:rsidRPr="002F62D8" w14:paraId="7083CA11" w14:textId="77777777" w:rsidTr="000C72F5">
        <w:trPr>
          <w:cantSplit/>
        </w:trPr>
        <w:tc>
          <w:tcPr>
            <w:tcW w:w="5000" w:type="pct"/>
            <w:vAlign w:val="center"/>
            <w:hideMark/>
          </w:tcPr>
          <w:p w14:paraId="795C99C3" w14:textId="77777777" w:rsidR="00B76EEC" w:rsidRPr="002F62D8" w:rsidRDefault="00B76EEC" w:rsidP="00E87DE5">
            <w:pPr>
              <w:jc w:val="center"/>
              <w:rPr>
                <w:b/>
                <w:bCs/>
                <w:sz w:val="22"/>
                <w:szCs w:val="22"/>
              </w:rPr>
            </w:pPr>
            <w:r w:rsidRPr="002F62D8">
              <w:rPr>
                <w:b/>
                <w:bCs/>
                <w:sz w:val="22"/>
                <w:szCs w:val="22"/>
              </w:rPr>
              <w:t>V. Tiesību akta projekta atbilstība Latvijas Republikas starptautiskajām saistībām</w:t>
            </w:r>
          </w:p>
        </w:tc>
      </w:tr>
      <w:tr w:rsidR="00B76EEC" w:rsidRPr="002F62D8" w14:paraId="19164620" w14:textId="77777777" w:rsidTr="000C72F5">
        <w:trPr>
          <w:cantSplit/>
        </w:trPr>
        <w:tc>
          <w:tcPr>
            <w:tcW w:w="5000" w:type="pct"/>
          </w:tcPr>
          <w:p w14:paraId="0AEBF4AD" w14:textId="77777777" w:rsidR="00B76EEC" w:rsidRPr="002F62D8" w:rsidRDefault="00B76EEC" w:rsidP="00E87DE5">
            <w:pPr>
              <w:jc w:val="center"/>
              <w:rPr>
                <w:sz w:val="22"/>
                <w:szCs w:val="22"/>
              </w:rPr>
            </w:pPr>
            <w:r w:rsidRPr="00C412D9">
              <w:rPr>
                <w:bCs/>
                <w:iCs/>
              </w:rPr>
              <w:t>Projekts šo jomu neskar</w:t>
            </w:r>
          </w:p>
        </w:tc>
      </w:tr>
    </w:tbl>
    <w:p w14:paraId="068CF2B9" w14:textId="77777777" w:rsidR="00B76EEC" w:rsidRDefault="00B76EEC" w:rsidP="00E87DE5">
      <w:pPr>
        <w:pStyle w:val="Title"/>
        <w:spacing w:before="130"/>
        <w:ind w:firstLine="539"/>
        <w:jc w:val="both"/>
        <w:rPr>
          <w:sz w:val="22"/>
          <w:szCs w:val="22"/>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76EEC" w:rsidRPr="002F62D8" w14:paraId="3C8DEE17" w14:textId="77777777" w:rsidTr="000C72F5">
        <w:trPr>
          <w:cantSplit/>
        </w:trPr>
        <w:tc>
          <w:tcPr>
            <w:tcW w:w="5000" w:type="pct"/>
            <w:vAlign w:val="center"/>
            <w:hideMark/>
          </w:tcPr>
          <w:p w14:paraId="6848666A" w14:textId="77777777" w:rsidR="00B76EEC" w:rsidRPr="002F62D8" w:rsidRDefault="00B76EEC" w:rsidP="00E87DE5">
            <w:pPr>
              <w:jc w:val="center"/>
              <w:rPr>
                <w:b/>
                <w:bCs/>
                <w:sz w:val="22"/>
                <w:szCs w:val="22"/>
              </w:rPr>
            </w:pPr>
            <w:r w:rsidRPr="002F62D8">
              <w:rPr>
                <w:b/>
                <w:bCs/>
                <w:sz w:val="22"/>
                <w:szCs w:val="22"/>
              </w:rPr>
              <w:t>VI. Sabiedrības līdzdalība un komunikācijas aktivitātes</w:t>
            </w:r>
          </w:p>
        </w:tc>
      </w:tr>
      <w:tr w:rsidR="00B76EEC" w:rsidRPr="002F62D8" w14:paraId="3E266F99" w14:textId="77777777" w:rsidTr="000C72F5">
        <w:trPr>
          <w:cantSplit/>
        </w:trPr>
        <w:tc>
          <w:tcPr>
            <w:tcW w:w="5000" w:type="pct"/>
          </w:tcPr>
          <w:p w14:paraId="2BF3AC51" w14:textId="77777777" w:rsidR="00B76EEC" w:rsidRPr="002F62D8" w:rsidRDefault="00B76EEC" w:rsidP="00E87DE5">
            <w:pPr>
              <w:jc w:val="center"/>
              <w:rPr>
                <w:sz w:val="22"/>
                <w:szCs w:val="22"/>
              </w:rPr>
            </w:pPr>
            <w:r w:rsidRPr="00C412D9">
              <w:rPr>
                <w:bCs/>
                <w:iCs/>
              </w:rPr>
              <w:t>Projekts šo jomu neskar</w:t>
            </w:r>
          </w:p>
        </w:tc>
      </w:tr>
    </w:tbl>
    <w:p w14:paraId="6394280E" w14:textId="77777777" w:rsidR="00B76EEC" w:rsidRDefault="00B76EEC" w:rsidP="00E87DE5">
      <w:pPr>
        <w:pStyle w:val="Title"/>
        <w:spacing w:before="130"/>
        <w:jc w:val="both"/>
        <w:rPr>
          <w:sz w:val="22"/>
          <w:szCs w:val="22"/>
        </w:rPr>
      </w:pPr>
    </w:p>
    <w:tbl>
      <w:tblPr>
        <w:tblW w:w="5161"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458"/>
        <w:gridCol w:w="3419"/>
        <w:gridCol w:w="4470"/>
      </w:tblGrid>
      <w:tr w:rsidR="00581B4F" w:rsidRPr="002C2A7B" w14:paraId="15424FC6" w14:textId="77777777" w:rsidTr="00D06ACA">
        <w:trPr>
          <w:trHeight w:val="1290"/>
          <w:jc w:val="center"/>
        </w:trPr>
        <w:tc>
          <w:tcPr>
            <w:tcW w:w="9347" w:type="dxa"/>
            <w:gridSpan w:val="3"/>
            <w:tcBorders>
              <w:top w:val="outset" w:sz="6" w:space="0" w:color="414142"/>
              <w:left w:val="outset" w:sz="6" w:space="0" w:color="414142"/>
              <w:bottom w:val="outset" w:sz="6" w:space="0" w:color="414142"/>
              <w:right w:val="outset" w:sz="6" w:space="0" w:color="414142"/>
            </w:tcBorders>
            <w:vAlign w:val="center"/>
            <w:hideMark/>
          </w:tcPr>
          <w:p w14:paraId="45D19B5E" w14:textId="77777777" w:rsidR="00B76EEC" w:rsidRPr="00B76EEC" w:rsidRDefault="00581B4F" w:rsidP="00E87DE5">
            <w:pPr>
              <w:spacing w:before="100" w:beforeAutospacing="1" w:after="100" w:afterAutospacing="1"/>
              <w:ind w:firstLine="239"/>
              <w:jc w:val="center"/>
              <w:rPr>
                <w:b/>
                <w:bCs/>
              </w:rPr>
            </w:pPr>
            <w:r w:rsidRPr="002C2A7B">
              <w:br w:type="page"/>
            </w:r>
            <w:r w:rsidRPr="002C2A7B">
              <w:rPr>
                <w:b/>
                <w:bCs/>
              </w:rPr>
              <w:t>VII. Tiesību akta projekta izpildes nodrošināšana un tās ietekme uz institūcijām</w:t>
            </w:r>
          </w:p>
        </w:tc>
      </w:tr>
      <w:tr w:rsidR="00581B4F" w:rsidRPr="002C2A7B" w14:paraId="1A11E18E" w14:textId="77777777" w:rsidTr="00D06ACA">
        <w:trPr>
          <w:trHeight w:val="420"/>
          <w:jc w:val="center"/>
        </w:trPr>
        <w:tc>
          <w:tcPr>
            <w:tcW w:w="1458" w:type="dxa"/>
            <w:tcBorders>
              <w:top w:val="outset" w:sz="6" w:space="0" w:color="414142"/>
              <w:left w:val="outset" w:sz="6" w:space="0" w:color="414142"/>
              <w:bottom w:val="outset" w:sz="6" w:space="0" w:color="414142"/>
              <w:right w:val="outset" w:sz="6" w:space="0" w:color="414142"/>
            </w:tcBorders>
            <w:hideMark/>
          </w:tcPr>
          <w:p w14:paraId="2BFB249D" w14:textId="77777777" w:rsidR="00581B4F" w:rsidRPr="002C2A7B" w:rsidRDefault="00581B4F" w:rsidP="00E87DE5">
            <w:r w:rsidRPr="002C2A7B">
              <w:t>1.</w:t>
            </w:r>
          </w:p>
        </w:tc>
        <w:tc>
          <w:tcPr>
            <w:tcW w:w="3419" w:type="dxa"/>
            <w:tcBorders>
              <w:top w:val="outset" w:sz="6" w:space="0" w:color="414142"/>
              <w:left w:val="outset" w:sz="6" w:space="0" w:color="414142"/>
              <w:bottom w:val="outset" w:sz="6" w:space="0" w:color="414142"/>
              <w:right w:val="outset" w:sz="6" w:space="0" w:color="414142"/>
            </w:tcBorders>
            <w:hideMark/>
          </w:tcPr>
          <w:p w14:paraId="5CB87207" w14:textId="77777777" w:rsidR="00581B4F" w:rsidRPr="002C2A7B" w:rsidRDefault="00581B4F" w:rsidP="00E87DE5">
            <w:r w:rsidRPr="002C2A7B">
              <w:t>Projekta izpildē iesaistītās institūcijas</w:t>
            </w:r>
          </w:p>
        </w:tc>
        <w:tc>
          <w:tcPr>
            <w:tcW w:w="4470" w:type="dxa"/>
            <w:tcBorders>
              <w:top w:val="outset" w:sz="6" w:space="0" w:color="414142"/>
              <w:left w:val="outset" w:sz="6" w:space="0" w:color="414142"/>
              <w:bottom w:val="outset" w:sz="6" w:space="0" w:color="414142"/>
              <w:right w:val="outset" w:sz="6" w:space="0" w:color="414142"/>
            </w:tcBorders>
            <w:hideMark/>
          </w:tcPr>
          <w:p w14:paraId="2AFB4BF6" w14:textId="77777777" w:rsidR="00581B4F" w:rsidRPr="002C2A7B" w:rsidRDefault="00CC2B31" w:rsidP="00E87DE5">
            <w:r>
              <w:t>LM</w:t>
            </w:r>
            <w:r w:rsidR="00581B4F" w:rsidRPr="002C2A7B">
              <w:t>,</w:t>
            </w:r>
          </w:p>
          <w:p w14:paraId="059DF8E8" w14:textId="77777777" w:rsidR="00581B4F" w:rsidRPr="002C2A7B" w:rsidRDefault="00CC2B31" w:rsidP="00E87DE5">
            <w:r>
              <w:t>VSIA</w:t>
            </w:r>
            <w:r w:rsidR="00581B4F" w:rsidRPr="002C2A7B">
              <w:t xml:space="preserve"> “Šampētera nams”</w:t>
            </w:r>
          </w:p>
          <w:p w14:paraId="18629C46" w14:textId="77777777" w:rsidR="00581B4F" w:rsidRPr="002C2A7B" w:rsidRDefault="00581B4F" w:rsidP="00E87DE5">
            <w:r w:rsidRPr="002C2A7B">
              <w:lastRenderedPageBreak/>
              <w:t xml:space="preserve"> </w:t>
            </w:r>
          </w:p>
        </w:tc>
      </w:tr>
      <w:tr w:rsidR="00581B4F" w:rsidRPr="002C2A7B" w14:paraId="34940BFC" w14:textId="77777777" w:rsidTr="00D06ACA">
        <w:trPr>
          <w:trHeight w:val="450"/>
          <w:jc w:val="center"/>
        </w:trPr>
        <w:tc>
          <w:tcPr>
            <w:tcW w:w="1458" w:type="dxa"/>
            <w:tcBorders>
              <w:top w:val="outset" w:sz="6" w:space="0" w:color="414142"/>
              <w:left w:val="outset" w:sz="6" w:space="0" w:color="414142"/>
              <w:bottom w:val="outset" w:sz="6" w:space="0" w:color="414142"/>
              <w:right w:val="outset" w:sz="6" w:space="0" w:color="414142"/>
            </w:tcBorders>
            <w:hideMark/>
          </w:tcPr>
          <w:p w14:paraId="3B06B9EF" w14:textId="77777777" w:rsidR="00581B4F" w:rsidRPr="002C2A7B" w:rsidRDefault="00581B4F" w:rsidP="00E87DE5">
            <w:r w:rsidRPr="002C2A7B">
              <w:lastRenderedPageBreak/>
              <w:t>2.</w:t>
            </w:r>
          </w:p>
        </w:tc>
        <w:tc>
          <w:tcPr>
            <w:tcW w:w="3419" w:type="dxa"/>
            <w:tcBorders>
              <w:top w:val="outset" w:sz="6" w:space="0" w:color="414142"/>
              <w:left w:val="outset" w:sz="6" w:space="0" w:color="414142"/>
              <w:bottom w:val="outset" w:sz="6" w:space="0" w:color="414142"/>
              <w:right w:val="outset" w:sz="6" w:space="0" w:color="414142"/>
            </w:tcBorders>
            <w:hideMark/>
          </w:tcPr>
          <w:p w14:paraId="0C17EC41" w14:textId="77777777" w:rsidR="00581B4F" w:rsidRDefault="00581B4F" w:rsidP="00E87DE5">
            <w:r w:rsidRPr="002C2A7B">
              <w:t xml:space="preserve">Projekta izpildes ietekme uz pārvaldes funkcijām un institucionālo struktūru </w:t>
            </w:r>
          </w:p>
          <w:p w14:paraId="0CCF38B5" w14:textId="77777777" w:rsidR="00E94CB8" w:rsidRPr="002C2A7B" w:rsidRDefault="00E94CB8" w:rsidP="00E87DE5">
            <w:r>
              <w:t>Jaunu institūciju izveide, esošu institūciju likvidācija vai reorganizācija, to ietekme un institūcijas cilvēkresursiem.</w:t>
            </w:r>
          </w:p>
        </w:tc>
        <w:tc>
          <w:tcPr>
            <w:tcW w:w="4470" w:type="dxa"/>
            <w:tcBorders>
              <w:top w:val="outset" w:sz="6" w:space="0" w:color="414142"/>
              <w:left w:val="outset" w:sz="6" w:space="0" w:color="414142"/>
              <w:bottom w:val="outset" w:sz="6" w:space="0" w:color="414142"/>
              <w:right w:val="outset" w:sz="6" w:space="0" w:color="414142"/>
            </w:tcBorders>
            <w:hideMark/>
          </w:tcPr>
          <w:p w14:paraId="04BF28FC" w14:textId="77777777" w:rsidR="00581B4F" w:rsidRPr="002C2A7B" w:rsidRDefault="0077632D" w:rsidP="00E87DE5">
            <w:pPr>
              <w:spacing w:before="100" w:beforeAutospacing="1" w:after="100" w:afterAutospacing="1"/>
            </w:pPr>
            <w:r>
              <w:t>Projekts šo jomu neskar</w:t>
            </w:r>
          </w:p>
        </w:tc>
      </w:tr>
      <w:tr w:rsidR="00581B4F" w:rsidRPr="002C2A7B" w14:paraId="07347770" w14:textId="77777777" w:rsidTr="00D06ACA">
        <w:trPr>
          <w:trHeight w:val="390"/>
          <w:jc w:val="center"/>
        </w:trPr>
        <w:tc>
          <w:tcPr>
            <w:tcW w:w="1458" w:type="dxa"/>
            <w:tcBorders>
              <w:top w:val="outset" w:sz="6" w:space="0" w:color="414142"/>
              <w:left w:val="outset" w:sz="6" w:space="0" w:color="414142"/>
              <w:bottom w:val="outset" w:sz="6" w:space="0" w:color="414142"/>
              <w:right w:val="outset" w:sz="6" w:space="0" w:color="414142"/>
            </w:tcBorders>
            <w:hideMark/>
          </w:tcPr>
          <w:p w14:paraId="2E9CA47B" w14:textId="77777777" w:rsidR="00581B4F" w:rsidRPr="002C2A7B" w:rsidRDefault="00581B4F" w:rsidP="00E87DE5">
            <w:r w:rsidRPr="002C2A7B">
              <w:t>3.</w:t>
            </w:r>
          </w:p>
        </w:tc>
        <w:tc>
          <w:tcPr>
            <w:tcW w:w="3419" w:type="dxa"/>
            <w:tcBorders>
              <w:top w:val="outset" w:sz="6" w:space="0" w:color="414142"/>
              <w:left w:val="outset" w:sz="6" w:space="0" w:color="414142"/>
              <w:bottom w:val="outset" w:sz="6" w:space="0" w:color="414142"/>
              <w:right w:val="outset" w:sz="6" w:space="0" w:color="414142"/>
            </w:tcBorders>
            <w:hideMark/>
          </w:tcPr>
          <w:p w14:paraId="4A5EC5AB" w14:textId="77777777" w:rsidR="00581B4F" w:rsidRPr="002C2A7B" w:rsidRDefault="00581B4F" w:rsidP="00E87DE5">
            <w:r w:rsidRPr="002C2A7B">
              <w:t>Cita informācija</w:t>
            </w:r>
          </w:p>
        </w:tc>
        <w:tc>
          <w:tcPr>
            <w:tcW w:w="4470" w:type="dxa"/>
            <w:tcBorders>
              <w:top w:val="outset" w:sz="6" w:space="0" w:color="414142"/>
              <w:left w:val="outset" w:sz="6" w:space="0" w:color="414142"/>
              <w:bottom w:val="outset" w:sz="6" w:space="0" w:color="414142"/>
              <w:right w:val="outset" w:sz="6" w:space="0" w:color="414142"/>
            </w:tcBorders>
            <w:hideMark/>
          </w:tcPr>
          <w:p w14:paraId="30D219CC" w14:textId="77777777" w:rsidR="00581B4F" w:rsidRPr="002C2A7B" w:rsidRDefault="00581B4F" w:rsidP="00E87DE5">
            <w:r w:rsidRPr="002C2A7B">
              <w:t xml:space="preserve">Nav </w:t>
            </w:r>
          </w:p>
        </w:tc>
      </w:tr>
    </w:tbl>
    <w:p w14:paraId="02D6AC61" w14:textId="77777777" w:rsidR="001A479A" w:rsidRPr="002C2A7B" w:rsidRDefault="001A479A" w:rsidP="00E87DE5">
      <w:pPr>
        <w:pStyle w:val="naisf"/>
        <w:tabs>
          <w:tab w:val="left" w:pos="6521"/>
        </w:tabs>
        <w:ind w:firstLine="0"/>
      </w:pPr>
    </w:p>
    <w:p w14:paraId="009FAA8F" w14:textId="77777777" w:rsidR="001A479A" w:rsidRPr="002C2A7B" w:rsidRDefault="00473BBE" w:rsidP="00E87DE5">
      <w:r>
        <w:t>Labklājības ministre</w:t>
      </w:r>
      <w:r w:rsidR="001A479A" w:rsidRPr="002C2A7B">
        <w:t xml:space="preserve"> </w:t>
      </w:r>
      <w:r w:rsidR="001A479A" w:rsidRPr="002C2A7B">
        <w:tab/>
      </w:r>
      <w:r w:rsidR="001A479A" w:rsidRPr="002C2A7B">
        <w:tab/>
      </w:r>
      <w:r w:rsidR="001A479A" w:rsidRPr="002C2A7B">
        <w:tab/>
      </w:r>
      <w:r w:rsidR="001A479A" w:rsidRPr="002C2A7B">
        <w:tab/>
      </w:r>
      <w:r w:rsidR="001A479A" w:rsidRPr="002C2A7B">
        <w:tab/>
      </w:r>
      <w:r w:rsidR="001A479A" w:rsidRPr="002C2A7B">
        <w:tab/>
      </w:r>
      <w:r w:rsidR="001A479A" w:rsidRPr="002C2A7B">
        <w:tab/>
      </w:r>
      <w:r w:rsidR="000C72F5">
        <w:tab/>
      </w:r>
      <w:r w:rsidR="000C72F5">
        <w:tab/>
      </w:r>
      <w:proofErr w:type="spellStart"/>
      <w:r>
        <w:t>R</w:t>
      </w:r>
      <w:r w:rsidR="001A479A" w:rsidRPr="002C2A7B">
        <w:t>.</w:t>
      </w:r>
      <w:r>
        <w:t>Petraviča</w:t>
      </w:r>
      <w:proofErr w:type="spellEnd"/>
    </w:p>
    <w:p w14:paraId="085ECE9A" w14:textId="77777777" w:rsidR="001A479A" w:rsidRDefault="001A479A" w:rsidP="00E87DE5">
      <w:pPr>
        <w:spacing w:before="120"/>
      </w:pPr>
    </w:p>
    <w:p w14:paraId="38289938" w14:textId="77777777" w:rsidR="00071118" w:rsidRDefault="00071118" w:rsidP="00E87DE5">
      <w:pPr>
        <w:spacing w:before="120"/>
      </w:pPr>
    </w:p>
    <w:p w14:paraId="088AD7AA" w14:textId="77777777" w:rsidR="00071118" w:rsidRPr="002C2A7B" w:rsidRDefault="00071118" w:rsidP="00E87DE5">
      <w:pPr>
        <w:spacing w:before="120"/>
      </w:pPr>
    </w:p>
    <w:p w14:paraId="7A3E661A" w14:textId="77777777" w:rsidR="00955A95" w:rsidRPr="00955A95" w:rsidRDefault="00955A95" w:rsidP="00955A95">
      <w:pPr>
        <w:autoSpaceDE w:val="0"/>
        <w:autoSpaceDN w:val="0"/>
        <w:adjustRightInd w:val="0"/>
        <w:rPr>
          <w:bCs/>
          <w:color w:val="000000"/>
          <w:sz w:val="20"/>
          <w:szCs w:val="20"/>
        </w:rPr>
      </w:pPr>
      <w:proofErr w:type="spellStart"/>
      <w:r w:rsidRPr="00955A95">
        <w:rPr>
          <w:bCs/>
          <w:color w:val="000000"/>
          <w:sz w:val="20"/>
          <w:szCs w:val="20"/>
        </w:rPr>
        <w:t>D.Kļaviņa</w:t>
      </w:r>
      <w:proofErr w:type="spellEnd"/>
      <w:r w:rsidRPr="00955A95">
        <w:rPr>
          <w:bCs/>
          <w:color w:val="000000"/>
          <w:sz w:val="20"/>
          <w:szCs w:val="20"/>
        </w:rPr>
        <w:t>, 67021603,</w:t>
      </w:r>
    </w:p>
    <w:p w14:paraId="46DFF96B" w14:textId="2C2DF4D7" w:rsidR="00955A95" w:rsidRPr="00955A95" w:rsidRDefault="004723BC" w:rsidP="00955A95">
      <w:pPr>
        <w:autoSpaceDE w:val="0"/>
        <w:autoSpaceDN w:val="0"/>
        <w:adjustRightInd w:val="0"/>
        <w:rPr>
          <w:bCs/>
          <w:color w:val="000000"/>
          <w:sz w:val="20"/>
          <w:szCs w:val="20"/>
        </w:rPr>
      </w:pPr>
      <w:r>
        <w:rPr>
          <w:bCs/>
          <w:color w:val="000000"/>
          <w:sz w:val="20"/>
          <w:szCs w:val="20"/>
        </w:rPr>
        <w:t>D</w:t>
      </w:r>
      <w:r w:rsidR="00955A95" w:rsidRPr="00955A95">
        <w:rPr>
          <w:bCs/>
          <w:color w:val="000000"/>
          <w:sz w:val="20"/>
          <w:szCs w:val="20"/>
        </w:rPr>
        <w:t>ace.</w:t>
      </w:r>
      <w:r>
        <w:rPr>
          <w:bCs/>
          <w:color w:val="000000"/>
          <w:sz w:val="20"/>
          <w:szCs w:val="20"/>
        </w:rPr>
        <w:t>K</w:t>
      </w:r>
      <w:r w:rsidR="00955A95" w:rsidRPr="00955A95">
        <w:rPr>
          <w:bCs/>
          <w:color w:val="000000"/>
          <w:sz w:val="20"/>
          <w:szCs w:val="20"/>
        </w:rPr>
        <w:t>lavina@lm.gov.lv</w:t>
      </w:r>
    </w:p>
    <w:p w14:paraId="19704F05" w14:textId="77777777" w:rsidR="001A479A" w:rsidRPr="002C2A7B" w:rsidRDefault="001A479A" w:rsidP="00E87DE5">
      <w:pPr>
        <w:spacing w:before="120"/>
      </w:pPr>
    </w:p>
    <w:sectPr w:rsidR="001A479A" w:rsidRPr="002C2A7B" w:rsidSect="00AA1B9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65DB4" w14:textId="77777777" w:rsidR="00463E05" w:rsidRDefault="00463E05">
      <w:r>
        <w:separator/>
      </w:r>
    </w:p>
  </w:endnote>
  <w:endnote w:type="continuationSeparator" w:id="0">
    <w:p w14:paraId="42DAA534" w14:textId="77777777" w:rsidR="00463E05" w:rsidRDefault="0046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32A9" w14:textId="77777777" w:rsidR="00702385" w:rsidRDefault="00702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EEDC" w14:textId="5BED6055" w:rsidR="00010FB4" w:rsidRPr="006D1619" w:rsidRDefault="006D1619" w:rsidP="006D1619">
    <w:pPr>
      <w:pStyle w:val="Footer"/>
    </w:pPr>
    <w:r w:rsidRPr="006D1619">
      <w:rPr>
        <w:sz w:val="20"/>
        <w:szCs w:val="20"/>
      </w:rPr>
      <w:t>LManot_VSIAŠampēteranams_dividendes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2FB2" w14:textId="04EEE5AA" w:rsidR="00101C6A" w:rsidRDefault="00010FB4" w:rsidP="001A4F9E">
    <w:pPr>
      <w:spacing w:before="120"/>
      <w:jc w:val="both"/>
      <w:rPr>
        <w:sz w:val="20"/>
        <w:szCs w:val="20"/>
      </w:rPr>
    </w:pPr>
    <w:proofErr w:type="spellStart"/>
    <w:r>
      <w:rPr>
        <w:sz w:val="20"/>
        <w:szCs w:val="20"/>
      </w:rPr>
      <w:t>LManot</w:t>
    </w:r>
    <w:r w:rsidR="007E011C">
      <w:rPr>
        <w:sz w:val="20"/>
        <w:szCs w:val="20"/>
      </w:rPr>
      <w:t>_VSIA</w:t>
    </w:r>
    <w:r w:rsidR="003E1BC0">
      <w:rPr>
        <w:sz w:val="20"/>
        <w:szCs w:val="20"/>
      </w:rPr>
      <w:t>Šampēteranams_dividendes</w:t>
    </w:r>
    <w:proofErr w:type="spellEnd"/>
  </w:p>
  <w:p w14:paraId="0E0A7910" w14:textId="77777777" w:rsidR="00010FB4" w:rsidRPr="004C6A9D" w:rsidRDefault="00010FB4" w:rsidP="001A4F9E">
    <w:pPr>
      <w:spacing w:before="120"/>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DA004" w14:textId="77777777" w:rsidR="00463E05" w:rsidRDefault="00463E05">
      <w:r>
        <w:separator/>
      </w:r>
    </w:p>
  </w:footnote>
  <w:footnote w:type="continuationSeparator" w:id="0">
    <w:p w14:paraId="7ACAE6BF" w14:textId="77777777" w:rsidR="00463E05" w:rsidRDefault="00463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92E7" w14:textId="77777777" w:rsidR="00010FB4" w:rsidRDefault="00010FB4"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55E51" w14:textId="77777777" w:rsidR="00010FB4" w:rsidRDefault="00010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801E9" w14:textId="77777777" w:rsidR="00010FB4" w:rsidRDefault="00010FB4"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771E">
      <w:rPr>
        <w:rStyle w:val="PageNumber"/>
        <w:noProof/>
      </w:rPr>
      <w:t>6</w:t>
    </w:r>
    <w:r>
      <w:rPr>
        <w:rStyle w:val="PageNumber"/>
      </w:rPr>
      <w:fldChar w:fldCharType="end"/>
    </w:r>
  </w:p>
  <w:p w14:paraId="2FCE247B" w14:textId="77777777" w:rsidR="00010FB4" w:rsidRDefault="00010FB4" w:rsidP="001E3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8DA6" w14:textId="77777777" w:rsidR="00702385" w:rsidRDefault="00702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D38"/>
    <w:multiLevelType w:val="multilevel"/>
    <w:tmpl w:val="0D76D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6D53794"/>
    <w:multiLevelType w:val="hybridMultilevel"/>
    <w:tmpl w:val="50AC2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7263D"/>
    <w:multiLevelType w:val="hybridMultilevel"/>
    <w:tmpl w:val="9FDEA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F0281"/>
    <w:multiLevelType w:val="hybridMultilevel"/>
    <w:tmpl w:val="8A602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1600AC"/>
    <w:multiLevelType w:val="hybridMultilevel"/>
    <w:tmpl w:val="A0185C04"/>
    <w:lvl w:ilvl="0" w:tplc="E2985DD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294C1595"/>
    <w:multiLevelType w:val="hybridMultilevel"/>
    <w:tmpl w:val="6F56CB8C"/>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7" w15:restartNumberingAfterBreak="0">
    <w:nsid w:val="29765810"/>
    <w:multiLevelType w:val="hybridMultilevel"/>
    <w:tmpl w:val="5F603B46"/>
    <w:lvl w:ilvl="0" w:tplc="56FA26E4">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2E8571C9"/>
    <w:multiLevelType w:val="hybridMultilevel"/>
    <w:tmpl w:val="1450C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A76FFA"/>
    <w:multiLevelType w:val="hybridMultilevel"/>
    <w:tmpl w:val="A07EA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B06C2"/>
    <w:multiLevelType w:val="hybridMultilevel"/>
    <w:tmpl w:val="047C5338"/>
    <w:lvl w:ilvl="0" w:tplc="0C8E1D5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3F64F35"/>
    <w:multiLevelType w:val="hybridMultilevel"/>
    <w:tmpl w:val="556C9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56140B4A"/>
    <w:multiLevelType w:val="hybridMultilevel"/>
    <w:tmpl w:val="2050DF8E"/>
    <w:lvl w:ilvl="0" w:tplc="DD06C8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9E6B4D"/>
    <w:multiLevelType w:val="hybridMultilevel"/>
    <w:tmpl w:val="C64E5198"/>
    <w:lvl w:ilvl="0" w:tplc="9FBC656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8C47919"/>
    <w:multiLevelType w:val="multilevel"/>
    <w:tmpl w:val="2E24666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6" w15:restartNumberingAfterBreak="0">
    <w:nsid w:val="6C471D3E"/>
    <w:multiLevelType w:val="hybridMultilevel"/>
    <w:tmpl w:val="A2DE90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0F34E9"/>
    <w:multiLevelType w:val="hybridMultilevel"/>
    <w:tmpl w:val="14D20F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1"/>
  </w:num>
  <w:num w:numId="2">
    <w:abstractNumId w:val="12"/>
  </w:num>
  <w:num w:numId="3">
    <w:abstractNumId w:val="18"/>
  </w:num>
  <w:num w:numId="4">
    <w:abstractNumId w:val="5"/>
  </w:num>
  <w:num w:numId="5">
    <w:abstractNumId w:val="7"/>
  </w:num>
  <w:num w:numId="6">
    <w:abstractNumId w:val="8"/>
  </w:num>
  <w:num w:numId="7">
    <w:abstractNumId w:val="17"/>
  </w:num>
  <w:num w:numId="8">
    <w:abstractNumId w:val="15"/>
  </w:num>
  <w:num w:numId="9">
    <w:abstractNumId w:val="6"/>
  </w:num>
  <w:num w:numId="10">
    <w:abstractNumId w:val="4"/>
  </w:num>
  <w:num w:numId="11">
    <w:abstractNumId w:val="10"/>
  </w:num>
  <w:num w:numId="12">
    <w:abstractNumId w:val="2"/>
  </w:num>
  <w:num w:numId="13">
    <w:abstractNumId w:val="11"/>
  </w:num>
  <w:num w:numId="14">
    <w:abstractNumId w:val="3"/>
  </w:num>
  <w:num w:numId="15">
    <w:abstractNumId w:val="13"/>
  </w:num>
  <w:num w:numId="16">
    <w:abstractNumId w:val="9"/>
  </w:num>
  <w:num w:numId="17">
    <w:abstractNumId w:val="14"/>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EB"/>
    <w:rsid w:val="00000E04"/>
    <w:rsid w:val="00002F16"/>
    <w:rsid w:val="0001031C"/>
    <w:rsid w:val="000107F2"/>
    <w:rsid w:val="00010C45"/>
    <w:rsid w:val="00010FB4"/>
    <w:rsid w:val="00013219"/>
    <w:rsid w:val="00015C74"/>
    <w:rsid w:val="00017432"/>
    <w:rsid w:val="00020536"/>
    <w:rsid w:val="00020BD9"/>
    <w:rsid w:val="00021831"/>
    <w:rsid w:val="00023CF8"/>
    <w:rsid w:val="00024629"/>
    <w:rsid w:val="00026F14"/>
    <w:rsid w:val="00027835"/>
    <w:rsid w:val="0003027F"/>
    <w:rsid w:val="000307A2"/>
    <w:rsid w:val="00032134"/>
    <w:rsid w:val="00034527"/>
    <w:rsid w:val="0003587D"/>
    <w:rsid w:val="000377C1"/>
    <w:rsid w:val="00040741"/>
    <w:rsid w:val="000416B7"/>
    <w:rsid w:val="00041B66"/>
    <w:rsid w:val="000426EE"/>
    <w:rsid w:val="000438FA"/>
    <w:rsid w:val="00044678"/>
    <w:rsid w:val="00045327"/>
    <w:rsid w:val="000454E4"/>
    <w:rsid w:val="00050015"/>
    <w:rsid w:val="00051E98"/>
    <w:rsid w:val="0005263B"/>
    <w:rsid w:val="00052667"/>
    <w:rsid w:val="000526C3"/>
    <w:rsid w:val="00053B0A"/>
    <w:rsid w:val="00055FF7"/>
    <w:rsid w:val="000571EF"/>
    <w:rsid w:val="000575CA"/>
    <w:rsid w:val="0006004F"/>
    <w:rsid w:val="000610AF"/>
    <w:rsid w:val="00061409"/>
    <w:rsid w:val="00061B7D"/>
    <w:rsid w:val="00062AAE"/>
    <w:rsid w:val="0006317B"/>
    <w:rsid w:val="00071118"/>
    <w:rsid w:val="00071A6A"/>
    <w:rsid w:val="00075992"/>
    <w:rsid w:val="0007626E"/>
    <w:rsid w:val="00082055"/>
    <w:rsid w:val="0008210E"/>
    <w:rsid w:val="000821E2"/>
    <w:rsid w:val="00082A1E"/>
    <w:rsid w:val="0008370D"/>
    <w:rsid w:val="0008513C"/>
    <w:rsid w:val="000860A6"/>
    <w:rsid w:val="00086EBD"/>
    <w:rsid w:val="00090538"/>
    <w:rsid w:val="00090A02"/>
    <w:rsid w:val="00091203"/>
    <w:rsid w:val="00092FD8"/>
    <w:rsid w:val="00093C51"/>
    <w:rsid w:val="0009552D"/>
    <w:rsid w:val="00095A84"/>
    <w:rsid w:val="00096115"/>
    <w:rsid w:val="000963BA"/>
    <w:rsid w:val="000A00FA"/>
    <w:rsid w:val="000A08C0"/>
    <w:rsid w:val="000A0D55"/>
    <w:rsid w:val="000A1D67"/>
    <w:rsid w:val="000A2365"/>
    <w:rsid w:val="000A3592"/>
    <w:rsid w:val="000A378F"/>
    <w:rsid w:val="000A3D6D"/>
    <w:rsid w:val="000A3E52"/>
    <w:rsid w:val="000A3F02"/>
    <w:rsid w:val="000A487E"/>
    <w:rsid w:val="000A61CD"/>
    <w:rsid w:val="000B0210"/>
    <w:rsid w:val="000B4579"/>
    <w:rsid w:val="000B4AC1"/>
    <w:rsid w:val="000B629C"/>
    <w:rsid w:val="000C0726"/>
    <w:rsid w:val="000C0BD5"/>
    <w:rsid w:val="000C0F07"/>
    <w:rsid w:val="000C1251"/>
    <w:rsid w:val="000C24CF"/>
    <w:rsid w:val="000C40C5"/>
    <w:rsid w:val="000C72F5"/>
    <w:rsid w:val="000C7567"/>
    <w:rsid w:val="000C77DA"/>
    <w:rsid w:val="000D075F"/>
    <w:rsid w:val="000D14CE"/>
    <w:rsid w:val="000D186A"/>
    <w:rsid w:val="000D18CF"/>
    <w:rsid w:val="000D1A22"/>
    <w:rsid w:val="000D21C0"/>
    <w:rsid w:val="000D47D4"/>
    <w:rsid w:val="000D4E1E"/>
    <w:rsid w:val="000D5543"/>
    <w:rsid w:val="000D5D73"/>
    <w:rsid w:val="000D6077"/>
    <w:rsid w:val="000D613F"/>
    <w:rsid w:val="000E01A2"/>
    <w:rsid w:val="000E0BC2"/>
    <w:rsid w:val="000E0FBC"/>
    <w:rsid w:val="000E12F3"/>
    <w:rsid w:val="000E134D"/>
    <w:rsid w:val="000E1A93"/>
    <w:rsid w:val="000E2039"/>
    <w:rsid w:val="000E2DC3"/>
    <w:rsid w:val="000E4AFC"/>
    <w:rsid w:val="000E4EB2"/>
    <w:rsid w:val="000E742F"/>
    <w:rsid w:val="000E7E4C"/>
    <w:rsid w:val="000F2335"/>
    <w:rsid w:val="000F33CB"/>
    <w:rsid w:val="000F3BF6"/>
    <w:rsid w:val="000F49B4"/>
    <w:rsid w:val="000F4D01"/>
    <w:rsid w:val="000F4D4E"/>
    <w:rsid w:val="000F4FF4"/>
    <w:rsid w:val="000F6BBB"/>
    <w:rsid w:val="000F6BD7"/>
    <w:rsid w:val="0010083F"/>
    <w:rsid w:val="00101C6A"/>
    <w:rsid w:val="00102FD5"/>
    <w:rsid w:val="0010317E"/>
    <w:rsid w:val="001042BD"/>
    <w:rsid w:val="00104764"/>
    <w:rsid w:val="00104D2A"/>
    <w:rsid w:val="001069E1"/>
    <w:rsid w:val="00107470"/>
    <w:rsid w:val="00110ACB"/>
    <w:rsid w:val="00112DE1"/>
    <w:rsid w:val="001135BB"/>
    <w:rsid w:val="001136FD"/>
    <w:rsid w:val="001138D3"/>
    <w:rsid w:val="00114337"/>
    <w:rsid w:val="00116847"/>
    <w:rsid w:val="00116A09"/>
    <w:rsid w:val="00120C01"/>
    <w:rsid w:val="001230EB"/>
    <w:rsid w:val="00123224"/>
    <w:rsid w:val="00123790"/>
    <w:rsid w:val="00124661"/>
    <w:rsid w:val="001247F9"/>
    <w:rsid w:val="00125D3D"/>
    <w:rsid w:val="00126469"/>
    <w:rsid w:val="00126B97"/>
    <w:rsid w:val="0012755D"/>
    <w:rsid w:val="00127A34"/>
    <w:rsid w:val="00131138"/>
    <w:rsid w:val="00131A34"/>
    <w:rsid w:val="0013339A"/>
    <w:rsid w:val="001334EA"/>
    <w:rsid w:val="001344DF"/>
    <w:rsid w:val="001354B8"/>
    <w:rsid w:val="00136005"/>
    <w:rsid w:val="00136C4A"/>
    <w:rsid w:val="001411EE"/>
    <w:rsid w:val="001419F7"/>
    <w:rsid w:val="00143CAC"/>
    <w:rsid w:val="00145A49"/>
    <w:rsid w:val="00145CB3"/>
    <w:rsid w:val="00146138"/>
    <w:rsid w:val="0014652A"/>
    <w:rsid w:val="00146BBA"/>
    <w:rsid w:val="00147453"/>
    <w:rsid w:val="00150116"/>
    <w:rsid w:val="00150725"/>
    <w:rsid w:val="00152658"/>
    <w:rsid w:val="00152767"/>
    <w:rsid w:val="00154EF9"/>
    <w:rsid w:val="001550DC"/>
    <w:rsid w:val="00156E1E"/>
    <w:rsid w:val="00161239"/>
    <w:rsid w:val="00164059"/>
    <w:rsid w:val="0016556D"/>
    <w:rsid w:val="00170087"/>
    <w:rsid w:val="0017191A"/>
    <w:rsid w:val="00172AEE"/>
    <w:rsid w:val="00174EA3"/>
    <w:rsid w:val="00175EA1"/>
    <w:rsid w:val="0017609E"/>
    <w:rsid w:val="001806AF"/>
    <w:rsid w:val="001816A9"/>
    <w:rsid w:val="00182923"/>
    <w:rsid w:val="00182C64"/>
    <w:rsid w:val="0018311F"/>
    <w:rsid w:val="001838D4"/>
    <w:rsid w:val="00184DF9"/>
    <w:rsid w:val="00184FA0"/>
    <w:rsid w:val="00187B8A"/>
    <w:rsid w:val="00187CEF"/>
    <w:rsid w:val="0019000D"/>
    <w:rsid w:val="00190576"/>
    <w:rsid w:val="001929F2"/>
    <w:rsid w:val="00193EB8"/>
    <w:rsid w:val="00193FA4"/>
    <w:rsid w:val="00196B11"/>
    <w:rsid w:val="001A0473"/>
    <w:rsid w:val="001A1533"/>
    <w:rsid w:val="001A1AE1"/>
    <w:rsid w:val="001A2A59"/>
    <w:rsid w:val="001A479A"/>
    <w:rsid w:val="001A4818"/>
    <w:rsid w:val="001A4E5B"/>
    <w:rsid w:val="001A4F9E"/>
    <w:rsid w:val="001A511E"/>
    <w:rsid w:val="001A5958"/>
    <w:rsid w:val="001A5CEF"/>
    <w:rsid w:val="001A5DA8"/>
    <w:rsid w:val="001A6D04"/>
    <w:rsid w:val="001A6DB0"/>
    <w:rsid w:val="001B1117"/>
    <w:rsid w:val="001B14DF"/>
    <w:rsid w:val="001B1AF8"/>
    <w:rsid w:val="001B1D6B"/>
    <w:rsid w:val="001B2BDE"/>
    <w:rsid w:val="001B2EE3"/>
    <w:rsid w:val="001B3212"/>
    <w:rsid w:val="001B49FB"/>
    <w:rsid w:val="001B62A1"/>
    <w:rsid w:val="001B6D00"/>
    <w:rsid w:val="001B77E0"/>
    <w:rsid w:val="001C036A"/>
    <w:rsid w:val="001C3693"/>
    <w:rsid w:val="001C5F14"/>
    <w:rsid w:val="001C642C"/>
    <w:rsid w:val="001C6D00"/>
    <w:rsid w:val="001C71A2"/>
    <w:rsid w:val="001D2385"/>
    <w:rsid w:val="001D403E"/>
    <w:rsid w:val="001D5135"/>
    <w:rsid w:val="001D57F8"/>
    <w:rsid w:val="001D5FDD"/>
    <w:rsid w:val="001D6AF3"/>
    <w:rsid w:val="001D74E1"/>
    <w:rsid w:val="001D7B1E"/>
    <w:rsid w:val="001D7BA8"/>
    <w:rsid w:val="001E166B"/>
    <w:rsid w:val="001E2C18"/>
    <w:rsid w:val="001E32EA"/>
    <w:rsid w:val="001E3FDC"/>
    <w:rsid w:val="001E5188"/>
    <w:rsid w:val="001E5EB1"/>
    <w:rsid w:val="001F0BAD"/>
    <w:rsid w:val="001F24B4"/>
    <w:rsid w:val="001F58B8"/>
    <w:rsid w:val="001F5BF9"/>
    <w:rsid w:val="001F7453"/>
    <w:rsid w:val="00200B23"/>
    <w:rsid w:val="00203788"/>
    <w:rsid w:val="00207A0C"/>
    <w:rsid w:val="00207CBE"/>
    <w:rsid w:val="00210E1A"/>
    <w:rsid w:val="00211E14"/>
    <w:rsid w:val="00212972"/>
    <w:rsid w:val="002144C6"/>
    <w:rsid w:val="00214B00"/>
    <w:rsid w:val="00216597"/>
    <w:rsid w:val="0021731E"/>
    <w:rsid w:val="002202DC"/>
    <w:rsid w:val="00220DE4"/>
    <w:rsid w:val="0022210C"/>
    <w:rsid w:val="00222C3C"/>
    <w:rsid w:val="002234A5"/>
    <w:rsid w:val="00223EDD"/>
    <w:rsid w:val="00230DBF"/>
    <w:rsid w:val="00234018"/>
    <w:rsid w:val="0023401C"/>
    <w:rsid w:val="00234A1A"/>
    <w:rsid w:val="00234A8E"/>
    <w:rsid w:val="00235042"/>
    <w:rsid w:val="0023615D"/>
    <w:rsid w:val="00240403"/>
    <w:rsid w:val="00243616"/>
    <w:rsid w:val="002437F9"/>
    <w:rsid w:val="00243960"/>
    <w:rsid w:val="00244B26"/>
    <w:rsid w:val="0024719E"/>
    <w:rsid w:val="00250DD0"/>
    <w:rsid w:val="002525D2"/>
    <w:rsid w:val="00254694"/>
    <w:rsid w:val="00255C81"/>
    <w:rsid w:val="002564F4"/>
    <w:rsid w:val="00260E27"/>
    <w:rsid w:val="002635A5"/>
    <w:rsid w:val="002653B1"/>
    <w:rsid w:val="00265969"/>
    <w:rsid w:val="0026683B"/>
    <w:rsid w:val="00266F6F"/>
    <w:rsid w:val="0026745C"/>
    <w:rsid w:val="002709E0"/>
    <w:rsid w:val="00271C58"/>
    <w:rsid w:val="0027265A"/>
    <w:rsid w:val="002736D2"/>
    <w:rsid w:val="00273A27"/>
    <w:rsid w:val="00276360"/>
    <w:rsid w:val="00276E05"/>
    <w:rsid w:val="0027713B"/>
    <w:rsid w:val="00277527"/>
    <w:rsid w:val="002805C2"/>
    <w:rsid w:val="0028109C"/>
    <w:rsid w:val="002841B2"/>
    <w:rsid w:val="00284254"/>
    <w:rsid w:val="00284EF9"/>
    <w:rsid w:val="00290BF9"/>
    <w:rsid w:val="0029151D"/>
    <w:rsid w:val="002918BC"/>
    <w:rsid w:val="00291FCB"/>
    <w:rsid w:val="002927B1"/>
    <w:rsid w:val="002936EE"/>
    <w:rsid w:val="0029397A"/>
    <w:rsid w:val="00293F7E"/>
    <w:rsid w:val="00295C71"/>
    <w:rsid w:val="00296F26"/>
    <w:rsid w:val="002A06E1"/>
    <w:rsid w:val="002A08BB"/>
    <w:rsid w:val="002A2EC4"/>
    <w:rsid w:val="002A3A73"/>
    <w:rsid w:val="002A3B66"/>
    <w:rsid w:val="002A462D"/>
    <w:rsid w:val="002A6B53"/>
    <w:rsid w:val="002A6B67"/>
    <w:rsid w:val="002A755D"/>
    <w:rsid w:val="002B1AE2"/>
    <w:rsid w:val="002B2A1C"/>
    <w:rsid w:val="002B492E"/>
    <w:rsid w:val="002B5EE6"/>
    <w:rsid w:val="002B603D"/>
    <w:rsid w:val="002B6E63"/>
    <w:rsid w:val="002B7ACC"/>
    <w:rsid w:val="002C0254"/>
    <w:rsid w:val="002C087F"/>
    <w:rsid w:val="002C2A7B"/>
    <w:rsid w:val="002C2D2C"/>
    <w:rsid w:val="002C33C6"/>
    <w:rsid w:val="002C39D0"/>
    <w:rsid w:val="002C40F8"/>
    <w:rsid w:val="002C415B"/>
    <w:rsid w:val="002C48C8"/>
    <w:rsid w:val="002C50EC"/>
    <w:rsid w:val="002C5C6A"/>
    <w:rsid w:val="002C7161"/>
    <w:rsid w:val="002D0733"/>
    <w:rsid w:val="002D2A67"/>
    <w:rsid w:val="002D2ABA"/>
    <w:rsid w:val="002D2E6E"/>
    <w:rsid w:val="002D36F7"/>
    <w:rsid w:val="002D5812"/>
    <w:rsid w:val="002D5F36"/>
    <w:rsid w:val="002D7BB6"/>
    <w:rsid w:val="002E09E1"/>
    <w:rsid w:val="002E1117"/>
    <w:rsid w:val="002E1BC7"/>
    <w:rsid w:val="002E25D5"/>
    <w:rsid w:val="002E361F"/>
    <w:rsid w:val="002E6902"/>
    <w:rsid w:val="002F1263"/>
    <w:rsid w:val="002F314B"/>
    <w:rsid w:val="002F453C"/>
    <w:rsid w:val="002F5055"/>
    <w:rsid w:val="002F586F"/>
    <w:rsid w:val="002F5B7E"/>
    <w:rsid w:val="002F5D38"/>
    <w:rsid w:val="002F7B5E"/>
    <w:rsid w:val="003002FA"/>
    <w:rsid w:val="00300ED0"/>
    <w:rsid w:val="0030112E"/>
    <w:rsid w:val="00301E4F"/>
    <w:rsid w:val="00302238"/>
    <w:rsid w:val="00302730"/>
    <w:rsid w:val="00303A73"/>
    <w:rsid w:val="00304A68"/>
    <w:rsid w:val="00305D5F"/>
    <w:rsid w:val="00305E1E"/>
    <w:rsid w:val="00307AAA"/>
    <w:rsid w:val="00307BA5"/>
    <w:rsid w:val="0031117F"/>
    <w:rsid w:val="003123B6"/>
    <w:rsid w:val="003130FD"/>
    <w:rsid w:val="00313282"/>
    <w:rsid w:val="00314C5D"/>
    <w:rsid w:val="0031732E"/>
    <w:rsid w:val="0031742B"/>
    <w:rsid w:val="003174F9"/>
    <w:rsid w:val="0032178D"/>
    <w:rsid w:val="003227C7"/>
    <w:rsid w:val="0032337D"/>
    <w:rsid w:val="00323DF8"/>
    <w:rsid w:val="00324AF7"/>
    <w:rsid w:val="00325A66"/>
    <w:rsid w:val="00326A53"/>
    <w:rsid w:val="003273AF"/>
    <w:rsid w:val="00327C0A"/>
    <w:rsid w:val="00330D8F"/>
    <w:rsid w:val="00330DFC"/>
    <w:rsid w:val="0033166F"/>
    <w:rsid w:val="0033168B"/>
    <w:rsid w:val="003329F1"/>
    <w:rsid w:val="00333CAB"/>
    <w:rsid w:val="003344FD"/>
    <w:rsid w:val="00340295"/>
    <w:rsid w:val="003408A6"/>
    <w:rsid w:val="00341380"/>
    <w:rsid w:val="0034418E"/>
    <w:rsid w:val="00344461"/>
    <w:rsid w:val="00344B48"/>
    <w:rsid w:val="00344DA0"/>
    <w:rsid w:val="00345906"/>
    <w:rsid w:val="00345E32"/>
    <w:rsid w:val="003503AA"/>
    <w:rsid w:val="00350D7A"/>
    <w:rsid w:val="00350EE0"/>
    <w:rsid w:val="0035178D"/>
    <w:rsid w:val="003529A2"/>
    <w:rsid w:val="00355419"/>
    <w:rsid w:val="003563CE"/>
    <w:rsid w:val="00356462"/>
    <w:rsid w:val="003570CA"/>
    <w:rsid w:val="00357442"/>
    <w:rsid w:val="0035772C"/>
    <w:rsid w:val="00360FA3"/>
    <w:rsid w:val="00361D06"/>
    <w:rsid w:val="00362AB5"/>
    <w:rsid w:val="00362CA2"/>
    <w:rsid w:val="00365E1A"/>
    <w:rsid w:val="003668AB"/>
    <w:rsid w:val="00372FE5"/>
    <w:rsid w:val="003776E3"/>
    <w:rsid w:val="003800E6"/>
    <w:rsid w:val="00386F3F"/>
    <w:rsid w:val="003933A8"/>
    <w:rsid w:val="00394CC7"/>
    <w:rsid w:val="00394D82"/>
    <w:rsid w:val="00394DF1"/>
    <w:rsid w:val="00395975"/>
    <w:rsid w:val="00396FA3"/>
    <w:rsid w:val="00397C1F"/>
    <w:rsid w:val="003A1B57"/>
    <w:rsid w:val="003A1D83"/>
    <w:rsid w:val="003A4EAB"/>
    <w:rsid w:val="003A5048"/>
    <w:rsid w:val="003A50C0"/>
    <w:rsid w:val="003A6B97"/>
    <w:rsid w:val="003B2F51"/>
    <w:rsid w:val="003B4069"/>
    <w:rsid w:val="003B47AF"/>
    <w:rsid w:val="003B55CE"/>
    <w:rsid w:val="003B740C"/>
    <w:rsid w:val="003C1055"/>
    <w:rsid w:val="003C1EF7"/>
    <w:rsid w:val="003C4565"/>
    <w:rsid w:val="003C4764"/>
    <w:rsid w:val="003D07E5"/>
    <w:rsid w:val="003D337F"/>
    <w:rsid w:val="003D3A84"/>
    <w:rsid w:val="003D5653"/>
    <w:rsid w:val="003D5865"/>
    <w:rsid w:val="003D69D9"/>
    <w:rsid w:val="003D7B53"/>
    <w:rsid w:val="003E1259"/>
    <w:rsid w:val="003E18A7"/>
    <w:rsid w:val="003E1BC0"/>
    <w:rsid w:val="003E2051"/>
    <w:rsid w:val="003E3855"/>
    <w:rsid w:val="003E6E2E"/>
    <w:rsid w:val="003F0C04"/>
    <w:rsid w:val="003F1852"/>
    <w:rsid w:val="003F63D3"/>
    <w:rsid w:val="003F7212"/>
    <w:rsid w:val="004004DF"/>
    <w:rsid w:val="00400603"/>
    <w:rsid w:val="00402722"/>
    <w:rsid w:val="00402C22"/>
    <w:rsid w:val="004064E7"/>
    <w:rsid w:val="00410D48"/>
    <w:rsid w:val="0041122D"/>
    <w:rsid w:val="004126C2"/>
    <w:rsid w:val="004134CC"/>
    <w:rsid w:val="004155AF"/>
    <w:rsid w:val="0041582E"/>
    <w:rsid w:val="00417007"/>
    <w:rsid w:val="0042161A"/>
    <w:rsid w:val="0042277A"/>
    <w:rsid w:val="004231C9"/>
    <w:rsid w:val="0042321D"/>
    <w:rsid w:val="00423855"/>
    <w:rsid w:val="00423B37"/>
    <w:rsid w:val="00423F61"/>
    <w:rsid w:val="004252BD"/>
    <w:rsid w:val="0042689E"/>
    <w:rsid w:val="004275BF"/>
    <w:rsid w:val="004279E7"/>
    <w:rsid w:val="0043122D"/>
    <w:rsid w:val="00434A43"/>
    <w:rsid w:val="00435652"/>
    <w:rsid w:val="00435782"/>
    <w:rsid w:val="0043580E"/>
    <w:rsid w:val="00435972"/>
    <w:rsid w:val="0043599D"/>
    <w:rsid w:val="00435E3C"/>
    <w:rsid w:val="0043634D"/>
    <w:rsid w:val="00436F6F"/>
    <w:rsid w:val="00437C28"/>
    <w:rsid w:val="004406F5"/>
    <w:rsid w:val="0044094F"/>
    <w:rsid w:val="0044153C"/>
    <w:rsid w:val="00441565"/>
    <w:rsid w:val="004415D9"/>
    <w:rsid w:val="004436C2"/>
    <w:rsid w:val="004448BD"/>
    <w:rsid w:val="00450AD2"/>
    <w:rsid w:val="00451389"/>
    <w:rsid w:val="00451B7C"/>
    <w:rsid w:val="004522C5"/>
    <w:rsid w:val="00452427"/>
    <w:rsid w:val="00454471"/>
    <w:rsid w:val="00456B47"/>
    <w:rsid w:val="00457BA4"/>
    <w:rsid w:val="0046143A"/>
    <w:rsid w:val="0046192F"/>
    <w:rsid w:val="00463E05"/>
    <w:rsid w:val="004649E2"/>
    <w:rsid w:val="00464A39"/>
    <w:rsid w:val="00464DBE"/>
    <w:rsid w:val="00464DC4"/>
    <w:rsid w:val="00464E73"/>
    <w:rsid w:val="00471216"/>
    <w:rsid w:val="00471490"/>
    <w:rsid w:val="0047213C"/>
    <w:rsid w:val="004723BC"/>
    <w:rsid w:val="00473BBE"/>
    <w:rsid w:val="0047534F"/>
    <w:rsid w:val="00476590"/>
    <w:rsid w:val="004771E1"/>
    <w:rsid w:val="0048053D"/>
    <w:rsid w:val="00480859"/>
    <w:rsid w:val="00481903"/>
    <w:rsid w:val="0048275F"/>
    <w:rsid w:val="004833F0"/>
    <w:rsid w:val="004858B2"/>
    <w:rsid w:val="00490515"/>
    <w:rsid w:val="00490B60"/>
    <w:rsid w:val="004910BC"/>
    <w:rsid w:val="00493295"/>
    <w:rsid w:val="00496AE0"/>
    <w:rsid w:val="00496BF5"/>
    <w:rsid w:val="0049790C"/>
    <w:rsid w:val="00497C60"/>
    <w:rsid w:val="004A0580"/>
    <w:rsid w:val="004A233C"/>
    <w:rsid w:val="004B0AA8"/>
    <w:rsid w:val="004B374D"/>
    <w:rsid w:val="004B3B96"/>
    <w:rsid w:val="004B3C97"/>
    <w:rsid w:val="004B3F2C"/>
    <w:rsid w:val="004B423D"/>
    <w:rsid w:val="004B6EDE"/>
    <w:rsid w:val="004C0046"/>
    <w:rsid w:val="004C0483"/>
    <w:rsid w:val="004C0991"/>
    <w:rsid w:val="004C2F71"/>
    <w:rsid w:val="004C3F12"/>
    <w:rsid w:val="004C4183"/>
    <w:rsid w:val="004C5941"/>
    <w:rsid w:val="004C66B8"/>
    <w:rsid w:val="004C6A9D"/>
    <w:rsid w:val="004C6EE7"/>
    <w:rsid w:val="004D2B14"/>
    <w:rsid w:val="004D39A6"/>
    <w:rsid w:val="004E0271"/>
    <w:rsid w:val="004E0C33"/>
    <w:rsid w:val="004E27E2"/>
    <w:rsid w:val="004E4635"/>
    <w:rsid w:val="004E584A"/>
    <w:rsid w:val="004E7252"/>
    <w:rsid w:val="004E7CAD"/>
    <w:rsid w:val="004F05BF"/>
    <w:rsid w:val="004F0DCE"/>
    <w:rsid w:val="004F0FBD"/>
    <w:rsid w:val="004F1DB9"/>
    <w:rsid w:val="004F476B"/>
    <w:rsid w:val="004F4D4B"/>
    <w:rsid w:val="004F4E17"/>
    <w:rsid w:val="004F4FD2"/>
    <w:rsid w:val="0050155A"/>
    <w:rsid w:val="00503CF7"/>
    <w:rsid w:val="00503E59"/>
    <w:rsid w:val="005040D6"/>
    <w:rsid w:val="005112AF"/>
    <w:rsid w:val="00514499"/>
    <w:rsid w:val="005149DA"/>
    <w:rsid w:val="005158FA"/>
    <w:rsid w:val="005165A0"/>
    <w:rsid w:val="00517614"/>
    <w:rsid w:val="005176F8"/>
    <w:rsid w:val="00517AA3"/>
    <w:rsid w:val="00517B0D"/>
    <w:rsid w:val="00520B55"/>
    <w:rsid w:val="005224C7"/>
    <w:rsid w:val="00523C00"/>
    <w:rsid w:val="00525458"/>
    <w:rsid w:val="0052545B"/>
    <w:rsid w:val="0052620D"/>
    <w:rsid w:val="00526873"/>
    <w:rsid w:val="00527763"/>
    <w:rsid w:val="00530648"/>
    <w:rsid w:val="00531281"/>
    <w:rsid w:val="00532514"/>
    <w:rsid w:val="005334FF"/>
    <w:rsid w:val="00533B8C"/>
    <w:rsid w:val="0053411A"/>
    <w:rsid w:val="00535711"/>
    <w:rsid w:val="00535F5B"/>
    <w:rsid w:val="005365FC"/>
    <w:rsid w:val="00536B1A"/>
    <w:rsid w:val="005376E8"/>
    <w:rsid w:val="005407AA"/>
    <w:rsid w:val="0054202A"/>
    <w:rsid w:val="00544601"/>
    <w:rsid w:val="005455BD"/>
    <w:rsid w:val="005460AF"/>
    <w:rsid w:val="005511D7"/>
    <w:rsid w:val="00553038"/>
    <w:rsid w:val="00553DC2"/>
    <w:rsid w:val="0055474B"/>
    <w:rsid w:val="005559C4"/>
    <w:rsid w:val="00555E82"/>
    <w:rsid w:val="00556B11"/>
    <w:rsid w:val="00556BBD"/>
    <w:rsid w:val="005576B6"/>
    <w:rsid w:val="00562348"/>
    <w:rsid w:val="00564A9A"/>
    <w:rsid w:val="00565743"/>
    <w:rsid w:val="00570E58"/>
    <w:rsid w:val="0057107E"/>
    <w:rsid w:val="00572723"/>
    <w:rsid w:val="005734BE"/>
    <w:rsid w:val="005735E2"/>
    <w:rsid w:val="005737F4"/>
    <w:rsid w:val="00574382"/>
    <w:rsid w:val="005744DD"/>
    <w:rsid w:val="0057600C"/>
    <w:rsid w:val="00576E02"/>
    <w:rsid w:val="005772AE"/>
    <w:rsid w:val="00581B4F"/>
    <w:rsid w:val="00581C4A"/>
    <w:rsid w:val="00583AF9"/>
    <w:rsid w:val="005858D4"/>
    <w:rsid w:val="005867ED"/>
    <w:rsid w:val="00586BF9"/>
    <w:rsid w:val="00587144"/>
    <w:rsid w:val="005879C8"/>
    <w:rsid w:val="00587AB6"/>
    <w:rsid w:val="00587D98"/>
    <w:rsid w:val="00594A06"/>
    <w:rsid w:val="005955C0"/>
    <w:rsid w:val="00596359"/>
    <w:rsid w:val="005966E4"/>
    <w:rsid w:val="005A0804"/>
    <w:rsid w:val="005A14C3"/>
    <w:rsid w:val="005A252D"/>
    <w:rsid w:val="005A3262"/>
    <w:rsid w:val="005A550E"/>
    <w:rsid w:val="005A5A24"/>
    <w:rsid w:val="005A61EC"/>
    <w:rsid w:val="005A6B90"/>
    <w:rsid w:val="005A6EED"/>
    <w:rsid w:val="005A7144"/>
    <w:rsid w:val="005A771E"/>
    <w:rsid w:val="005A7E73"/>
    <w:rsid w:val="005B0F63"/>
    <w:rsid w:val="005B1153"/>
    <w:rsid w:val="005B179C"/>
    <w:rsid w:val="005B2577"/>
    <w:rsid w:val="005B38B8"/>
    <w:rsid w:val="005C0748"/>
    <w:rsid w:val="005C3056"/>
    <w:rsid w:val="005C61BE"/>
    <w:rsid w:val="005C6EE5"/>
    <w:rsid w:val="005C757B"/>
    <w:rsid w:val="005C76E3"/>
    <w:rsid w:val="005C792D"/>
    <w:rsid w:val="005D1402"/>
    <w:rsid w:val="005D192D"/>
    <w:rsid w:val="005D4295"/>
    <w:rsid w:val="005D43BF"/>
    <w:rsid w:val="005D5DC7"/>
    <w:rsid w:val="005D7006"/>
    <w:rsid w:val="005D72B1"/>
    <w:rsid w:val="005D75A2"/>
    <w:rsid w:val="005D766F"/>
    <w:rsid w:val="005D7CA8"/>
    <w:rsid w:val="005D7E75"/>
    <w:rsid w:val="005E1F84"/>
    <w:rsid w:val="005E3B45"/>
    <w:rsid w:val="005E406C"/>
    <w:rsid w:val="005E45EF"/>
    <w:rsid w:val="005E4D6B"/>
    <w:rsid w:val="005E5535"/>
    <w:rsid w:val="005E5FCF"/>
    <w:rsid w:val="005E66BB"/>
    <w:rsid w:val="005E72DA"/>
    <w:rsid w:val="005F053D"/>
    <w:rsid w:val="005F1CEA"/>
    <w:rsid w:val="005F3835"/>
    <w:rsid w:val="005F4547"/>
    <w:rsid w:val="005F54B0"/>
    <w:rsid w:val="005F6630"/>
    <w:rsid w:val="005F7095"/>
    <w:rsid w:val="005F758C"/>
    <w:rsid w:val="0060233E"/>
    <w:rsid w:val="0060289C"/>
    <w:rsid w:val="00604B36"/>
    <w:rsid w:val="00604C50"/>
    <w:rsid w:val="0060577E"/>
    <w:rsid w:val="006078DE"/>
    <w:rsid w:val="00617419"/>
    <w:rsid w:val="00617556"/>
    <w:rsid w:val="00620119"/>
    <w:rsid w:val="00620691"/>
    <w:rsid w:val="0062084B"/>
    <w:rsid w:val="0062208D"/>
    <w:rsid w:val="00622D1E"/>
    <w:rsid w:val="006261AE"/>
    <w:rsid w:val="00627036"/>
    <w:rsid w:val="00627064"/>
    <w:rsid w:val="006302CE"/>
    <w:rsid w:val="00632847"/>
    <w:rsid w:val="00632D73"/>
    <w:rsid w:val="006337B8"/>
    <w:rsid w:val="006352BA"/>
    <w:rsid w:val="00635558"/>
    <w:rsid w:val="00635BC5"/>
    <w:rsid w:val="006366F2"/>
    <w:rsid w:val="00642A29"/>
    <w:rsid w:val="006444EB"/>
    <w:rsid w:val="00644598"/>
    <w:rsid w:val="00644B1D"/>
    <w:rsid w:val="00644B63"/>
    <w:rsid w:val="00644EAA"/>
    <w:rsid w:val="006450AA"/>
    <w:rsid w:val="006466C8"/>
    <w:rsid w:val="00647080"/>
    <w:rsid w:val="0064775B"/>
    <w:rsid w:val="006478C0"/>
    <w:rsid w:val="00650551"/>
    <w:rsid w:val="00650C88"/>
    <w:rsid w:val="00650E37"/>
    <w:rsid w:val="0065475E"/>
    <w:rsid w:val="006549F6"/>
    <w:rsid w:val="0065591C"/>
    <w:rsid w:val="00655B1B"/>
    <w:rsid w:val="00662250"/>
    <w:rsid w:val="006625B2"/>
    <w:rsid w:val="00665D2E"/>
    <w:rsid w:val="006667DC"/>
    <w:rsid w:val="006702DA"/>
    <w:rsid w:val="00670956"/>
    <w:rsid w:val="006716D4"/>
    <w:rsid w:val="006746CD"/>
    <w:rsid w:val="0067484B"/>
    <w:rsid w:val="00674B9E"/>
    <w:rsid w:val="006755BA"/>
    <w:rsid w:val="00675D7A"/>
    <w:rsid w:val="006766AB"/>
    <w:rsid w:val="0068023B"/>
    <w:rsid w:val="0068030E"/>
    <w:rsid w:val="00681A34"/>
    <w:rsid w:val="006820EA"/>
    <w:rsid w:val="0068303F"/>
    <w:rsid w:val="006843CD"/>
    <w:rsid w:val="00686FEF"/>
    <w:rsid w:val="00687537"/>
    <w:rsid w:val="00687C96"/>
    <w:rsid w:val="00693E65"/>
    <w:rsid w:val="0069499C"/>
    <w:rsid w:val="006A06D2"/>
    <w:rsid w:val="006A0812"/>
    <w:rsid w:val="006A2B1A"/>
    <w:rsid w:val="006A323A"/>
    <w:rsid w:val="006A32F0"/>
    <w:rsid w:val="006A460C"/>
    <w:rsid w:val="006A4625"/>
    <w:rsid w:val="006A554A"/>
    <w:rsid w:val="006A69AC"/>
    <w:rsid w:val="006B06AA"/>
    <w:rsid w:val="006B083E"/>
    <w:rsid w:val="006B1096"/>
    <w:rsid w:val="006B1511"/>
    <w:rsid w:val="006B22F4"/>
    <w:rsid w:val="006B359B"/>
    <w:rsid w:val="006B38A8"/>
    <w:rsid w:val="006B5122"/>
    <w:rsid w:val="006B6CBD"/>
    <w:rsid w:val="006B7C76"/>
    <w:rsid w:val="006C02C4"/>
    <w:rsid w:val="006C066A"/>
    <w:rsid w:val="006C07A2"/>
    <w:rsid w:val="006C1634"/>
    <w:rsid w:val="006C2318"/>
    <w:rsid w:val="006C2F8C"/>
    <w:rsid w:val="006C3160"/>
    <w:rsid w:val="006C4E20"/>
    <w:rsid w:val="006C522F"/>
    <w:rsid w:val="006C5DB8"/>
    <w:rsid w:val="006C631D"/>
    <w:rsid w:val="006C756B"/>
    <w:rsid w:val="006D0C11"/>
    <w:rsid w:val="006D0F93"/>
    <w:rsid w:val="006D1619"/>
    <w:rsid w:val="006D25B7"/>
    <w:rsid w:val="006D2A62"/>
    <w:rsid w:val="006D3AB5"/>
    <w:rsid w:val="006D3B93"/>
    <w:rsid w:val="006D409B"/>
    <w:rsid w:val="006D490F"/>
    <w:rsid w:val="006D58BC"/>
    <w:rsid w:val="006E0B3D"/>
    <w:rsid w:val="006E1CDD"/>
    <w:rsid w:val="006E2453"/>
    <w:rsid w:val="006E28DA"/>
    <w:rsid w:val="006E3E98"/>
    <w:rsid w:val="006E422B"/>
    <w:rsid w:val="006E5020"/>
    <w:rsid w:val="006E639B"/>
    <w:rsid w:val="006E786B"/>
    <w:rsid w:val="006E7945"/>
    <w:rsid w:val="006F0DAA"/>
    <w:rsid w:val="006F284A"/>
    <w:rsid w:val="006F2E43"/>
    <w:rsid w:val="006F33A1"/>
    <w:rsid w:val="006F5CC9"/>
    <w:rsid w:val="006F665C"/>
    <w:rsid w:val="006F78E0"/>
    <w:rsid w:val="007012B5"/>
    <w:rsid w:val="00702385"/>
    <w:rsid w:val="007030E6"/>
    <w:rsid w:val="00703127"/>
    <w:rsid w:val="007031FC"/>
    <w:rsid w:val="007033F9"/>
    <w:rsid w:val="007036C0"/>
    <w:rsid w:val="00703C6D"/>
    <w:rsid w:val="0070411E"/>
    <w:rsid w:val="007049EA"/>
    <w:rsid w:val="00705CCC"/>
    <w:rsid w:val="00706C11"/>
    <w:rsid w:val="00706D9A"/>
    <w:rsid w:val="00707012"/>
    <w:rsid w:val="00714174"/>
    <w:rsid w:val="0071468A"/>
    <w:rsid w:val="00715732"/>
    <w:rsid w:val="00716701"/>
    <w:rsid w:val="0072021C"/>
    <w:rsid w:val="007211B7"/>
    <w:rsid w:val="00721F44"/>
    <w:rsid w:val="00721FDA"/>
    <w:rsid w:val="00723B8C"/>
    <w:rsid w:val="00726829"/>
    <w:rsid w:val="00726858"/>
    <w:rsid w:val="00726C7B"/>
    <w:rsid w:val="0072722C"/>
    <w:rsid w:val="0072777E"/>
    <w:rsid w:val="00730952"/>
    <w:rsid w:val="007312B9"/>
    <w:rsid w:val="00731BE2"/>
    <w:rsid w:val="00741723"/>
    <w:rsid w:val="0074270C"/>
    <w:rsid w:val="00747D67"/>
    <w:rsid w:val="00751CB8"/>
    <w:rsid w:val="00752624"/>
    <w:rsid w:val="00753471"/>
    <w:rsid w:val="00754486"/>
    <w:rsid w:val="00755E9C"/>
    <w:rsid w:val="00756450"/>
    <w:rsid w:val="00757B53"/>
    <w:rsid w:val="007622C8"/>
    <w:rsid w:val="00764339"/>
    <w:rsid w:val="00764591"/>
    <w:rsid w:val="00765968"/>
    <w:rsid w:val="00765EBE"/>
    <w:rsid w:val="00766807"/>
    <w:rsid w:val="007677E3"/>
    <w:rsid w:val="00767D37"/>
    <w:rsid w:val="00770EA8"/>
    <w:rsid w:val="00770FB3"/>
    <w:rsid w:val="007723E1"/>
    <w:rsid w:val="00775219"/>
    <w:rsid w:val="0077632D"/>
    <w:rsid w:val="007777BA"/>
    <w:rsid w:val="0078531E"/>
    <w:rsid w:val="00786E51"/>
    <w:rsid w:val="00787B01"/>
    <w:rsid w:val="007918C3"/>
    <w:rsid w:val="0079327F"/>
    <w:rsid w:val="00793451"/>
    <w:rsid w:val="00794445"/>
    <w:rsid w:val="00794818"/>
    <w:rsid w:val="007949A4"/>
    <w:rsid w:val="007950E1"/>
    <w:rsid w:val="0079554C"/>
    <w:rsid w:val="00795A7A"/>
    <w:rsid w:val="007A165C"/>
    <w:rsid w:val="007A193D"/>
    <w:rsid w:val="007A43EB"/>
    <w:rsid w:val="007A573E"/>
    <w:rsid w:val="007A69FC"/>
    <w:rsid w:val="007A7FC7"/>
    <w:rsid w:val="007B094D"/>
    <w:rsid w:val="007B1D6E"/>
    <w:rsid w:val="007B29AC"/>
    <w:rsid w:val="007B3B43"/>
    <w:rsid w:val="007C1845"/>
    <w:rsid w:val="007C1964"/>
    <w:rsid w:val="007C1B98"/>
    <w:rsid w:val="007C25C7"/>
    <w:rsid w:val="007C288D"/>
    <w:rsid w:val="007C2C9B"/>
    <w:rsid w:val="007C7542"/>
    <w:rsid w:val="007D0498"/>
    <w:rsid w:val="007D1362"/>
    <w:rsid w:val="007D31C2"/>
    <w:rsid w:val="007D4C0E"/>
    <w:rsid w:val="007D4C76"/>
    <w:rsid w:val="007D507F"/>
    <w:rsid w:val="007D5308"/>
    <w:rsid w:val="007D6C9E"/>
    <w:rsid w:val="007D70CC"/>
    <w:rsid w:val="007E011C"/>
    <w:rsid w:val="007E1E8E"/>
    <w:rsid w:val="007E2DF6"/>
    <w:rsid w:val="007E53D1"/>
    <w:rsid w:val="007F09B8"/>
    <w:rsid w:val="007F10AA"/>
    <w:rsid w:val="007F2763"/>
    <w:rsid w:val="007F4B3E"/>
    <w:rsid w:val="007F5056"/>
    <w:rsid w:val="007F5BF0"/>
    <w:rsid w:val="007F694A"/>
    <w:rsid w:val="008006BB"/>
    <w:rsid w:val="008012E3"/>
    <w:rsid w:val="008025E7"/>
    <w:rsid w:val="0080399D"/>
    <w:rsid w:val="00805E3B"/>
    <w:rsid w:val="008069FC"/>
    <w:rsid w:val="008070B4"/>
    <w:rsid w:val="00810CAD"/>
    <w:rsid w:val="00811046"/>
    <w:rsid w:val="00812276"/>
    <w:rsid w:val="008127A5"/>
    <w:rsid w:val="00813A26"/>
    <w:rsid w:val="008150E7"/>
    <w:rsid w:val="00815332"/>
    <w:rsid w:val="00817335"/>
    <w:rsid w:val="008204DE"/>
    <w:rsid w:val="00820632"/>
    <w:rsid w:val="0082389F"/>
    <w:rsid w:val="008241AA"/>
    <w:rsid w:val="0082475D"/>
    <w:rsid w:val="00824ECC"/>
    <w:rsid w:val="008252ED"/>
    <w:rsid w:val="00826AA2"/>
    <w:rsid w:val="00826B5B"/>
    <w:rsid w:val="00827893"/>
    <w:rsid w:val="00831CD0"/>
    <w:rsid w:val="008328D9"/>
    <w:rsid w:val="00832CC7"/>
    <w:rsid w:val="008332B2"/>
    <w:rsid w:val="008336B0"/>
    <w:rsid w:val="00834630"/>
    <w:rsid w:val="00834DA9"/>
    <w:rsid w:val="008368D9"/>
    <w:rsid w:val="008377D6"/>
    <w:rsid w:val="008410D9"/>
    <w:rsid w:val="008418F0"/>
    <w:rsid w:val="0084500A"/>
    <w:rsid w:val="00845150"/>
    <w:rsid w:val="008504B5"/>
    <w:rsid w:val="00850CD4"/>
    <w:rsid w:val="00850DBB"/>
    <w:rsid w:val="008511B5"/>
    <w:rsid w:val="00853021"/>
    <w:rsid w:val="0085326D"/>
    <w:rsid w:val="00855EB4"/>
    <w:rsid w:val="008568E8"/>
    <w:rsid w:val="008574EF"/>
    <w:rsid w:val="00857624"/>
    <w:rsid w:val="00863072"/>
    <w:rsid w:val="008661CD"/>
    <w:rsid w:val="008664AC"/>
    <w:rsid w:val="008679FB"/>
    <w:rsid w:val="0087170D"/>
    <w:rsid w:val="0087217B"/>
    <w:rsid w:val="008732D5"/>
    <w:rsid w:val="0087382D"/>
    <w:rsid w:val="00873B5F"/>
    <w:rsid w:val="00874CCE"/>
    <w:rsid w:val="00876B73"/>
    <w:rsid w:val="00876C02"/>
    <w:rsid w:val="00877323"/>
    <w:rsid w:val="00880A11"/>
    <w:rsid w:val="008814AA"/>
    <w:rsid w:val="0088157C"/>
    <w:rsid w:val="00882E8D"/>
    <w:rsid w:val="00883E50"/>
    <w:rsid w:val="008850EF"/>
    <w:rsid w:val="008856D4"/>
    <w:rsid w:val="00886C56"/>
    <w:rsid w:val="00890178"/>
    <w:rsid w:val="00890954"/>
    <w:rsid w:val="00893185"/>
    <w:rsid w:val="00895724"/>
    <w:rsid w:val="008976A9"/>
    <w:rsid w:val="008A1068"/>
    <w:rsid w:val="008A2964"/>
    <w:rsid w:val="008A45D7"/>
    <w:rsid w:val="008A5555"/>
    <w:rsid w:val="008A6C6A"/>
    <w:rsid w:val="008B4176"/>
    <w:rsid w:val="008B4E45"/>
    <w:rsid w:val="008B7EE0"/>
    <w:rsid w:val="008C1011"/>
    <w:rsid w:val="008C1223"/>
    <w:rsid w:val="008C27CB"/>
    <w:rsid w:val="008C33AB"/>
    <w:rsid w:val="008C4024"/>
    <w:rsid w:val="008C42FA"/>
    <w:rsid w:val="008C48B7"/>
    <w:rsid w:val="008C494A"/>
    <w:rsid w:val="008C5256"/>
    <w:rsid w:val="008C7B25"/>
    <w:rsid w:val="008C7F04"/>
    <w:rsid w:val="008D19E6"/>
    <w:rsid w:val="008D3E7B"/>
    <w:rsid w:val="008D66B9"/>
    <w:rsid w:val="008D78A4"/>
    <w:rsid w:val="008E051D"/>
    <w:rsid w:val="008E3A0B"/>
    <w:rsid w:val="008E3E5A"/>
    <w:rsid w:val="008E42F3"/>
    <w:rsid w:val="008E5615"/>
    <w:rsid w:val="008E5688"/>
    <w:rsid w:val="008E63FA"/>
    <w:rsid w:val="008E6AD4"/>
    <w:rsid w:val="008E6E18"/>
    <w:rsid w:val="008E73E5"/>
    <w:rsid w:val="008E78C0"/>
    <w:rsid w:val="008F28B7"/>
    <w:rsid w:val="008F35E0"/>
    <w:rsid w:val="008F3827"/>
    <w:rsid w:val="008F3FA2"/>
    <w:rsid w:val="008F5302"/>
    <w:rsid w:val="008F6578"/>
    <w:rsid w:val="008F65F1"/>
    <w:rsid w:val="008F67B7"/>
    <w:rsid w:val="008F6F9A"/>
    <w:rsid w:val="008F71B4"/>
    <w:rsid w:val="00900E87"/>
    <w:rsid w:val="00902847"/>
    <w:rsid w:val="00902C98"/>
    <w:rsid w:val="00904C6F"/>
    <w:rsid w:val="0090593D"/>
    <w:rsid w:val="00905F08"/>
    <w:rsid w:val="009061CB"/>
    <w:rsid w:val="00906296"/>
    <w:rsid w:val="00907CC6"/>
    <w:rsid w:val="00910716"/>
    <w:rsid w:val="0091176C"/>
    <w:rsid w:val="009118A2"/>
    <w:rsid w:val="0091312A"/>
    <w:rsid w:val="0091358F"/>
    <w:rsid w:val="0091439F"/>
    <w:rsid w:val="00915D97"/>
    <w:rsid w:val="00917B7A"/>
    <w:rsid w:val="0092108B"/>
    <w:rsid w:val="00922130"/>
    <w:rsid w:val="00922CFA"/>
    <w:rsid w:val="00923CD6"/>
    <w:rsid w:val="00923DF5"/>
    <w:rsid w:val="0092644D"/>
    <w:rsid w:val="00926F0A"/>
    <w:rsid w:val="009272DF"/>
    <w:rsid w:val="009274A2"/>
    <w:rsid w:val="0092768B"/>
    <w:rsid w:val="0093279B"/>
    <w:rsid w:val="00935223"/>
    <w:rsid w:val="009354FB"/>
    <w:rsid w:val="00935703"/>
    <w:rsid w:val="0093589A"/>
    <w:rsid w:val="00936E09"/>
    <w:rsid w:val="00937357"/>
    <w:rsid w:val="00937520"/>
    <w:rsid w:val="00937543"/>
    <w:rsid w:val="0093754F"/>
    <w:rsid w:val="009401D3"/>
    <w:rsid w:val="00940E31"/>
    <w:rsid w:val="0094128F"/>
    <w:rsid w:val="00941985"/>
    <w:rsid w:val="00943046"/>
    <w:rsid w:val="0094344C"/>
    <w:rsid w:val="00943920"/>
    <w:rsid w:val="009449C4"/>
    <w:rsid w:val="00945217"/>
    <w:rsid w:val="00945CA4"/>
    <w:rsid w:val="00951AA2"/>
    <w:rsid w:val="00952009"/>
    <w:rsid w:val="00954DEA"/>
    <w:rsid w:val="00955A95"/>
    <w:rsid w:val="009562D1"/>
    <w:rsid w:val="00960638"/>
    <w:rsid w:val="009619A1"/>
    <w:rsid w:val="00965313"/>
    <w:rsid w:val="009653C4"/>
    <w:rsid w:val="009658A3"/>
    <w:rsid w:val="00965B00"/>
    <w:rsid w:val="00965E34"/>
    <w:rsid w:val="0097072A"/>
    <w:rsid w:val="009734B0"/>
    <w:rsid w:val="00974363"/>
    <w:rsid w:val="00974D3B"/>
    <w:rsid w:val="00976F15"/>
    <w:rsid w:val="00977BA2"/>
    <w:rsid w:val="009802DA"/>
    <w:rsid w:val="00982808"/>
    <w:rsid w:val="009856BF"/>
    <w:rsid w:val="00985A8E"/>
    <w:rsid w:val="00985F19"/>
    <w:rsid w:val="0098674F"/>
    <w:rsid w:val="00990182"/>
    <w:rsid w:val="00990CA9"/>
    <w:rsid w:val="0099114A"/>
    <w:rsid w:val="00991187"/>
    <w:rsid w:val="0099289C"/>
    <w:rsid w:val="009930DC"/>
    <w:rsid w:val="00993314"/>
    <w:rsid w:val="00994733"/>
    <w:rsid w:val="009952EA"/>
    <w:rsid w:val="00996A5C"/>
    <w:rsid w:val="009A13FA"/>
    <w:rsid w:val="009A1C96"/>
    <w:rsid w:val="009A22F7"/>
    <w:rsid w:val="009A379C"/>
    <w:rsid w:val="009A7597"/>
    <w:rsid w:val="009A7805"/>
    <w:rsid w:val="009A7F38"/>
    <w:rsid w:val="009B09B7"/>
    <w:rsid w:val="009B13C1"/>
    <w:rsid w:val="009B17D3"/>
    <w:rsid w:val="009B228E"/>
    <w:rsid w:val="009B256F"/>
    <w:rsid w:val="009B441B"/>
    <w:rsid w:val="009B59F7"/>
    <w:rsid w:val="009B666D"/>
    <w:rsid w:val="009B67F2"/>
    <w:rsid w:val="009C1DC8"/>
    <w:rsid w:val="009C20CD"/>
    <w:rsid w:val="009C2A57"/>
    <w:rsid w:val="009C4A4D"/>
    <w:rsid w:val="009C4BBE"/>
    <w:rsid w:val="009C5108"/>
    <w:rsid w:val="009C5CC3"/>
    <w:rsid w:val="009D1502"/>
    <w:rsid w:val="009D2376"/>
    <w:rsid w:val="009D24C8"/>
    <w:rsid w:val="009D287F"/>
    <w:rsid w:val="009D3B0D"/>
    <w:rsid w:val="009D4664"/>
    <w:rsid w:val="009D513F"/>
    <w:rsid w:val="009D52AB"/>
    <w:rsid w:val="009D618B"/>
    <w:rsid w:val="009D79F9"/>
    <w:rsid w:val="009E091B"/>
    <w:rsid w:val="009E15E9"/>
    <w:rsid w:val="009E1812"/>
    <w:rsid w:val="009E2C32"/>
    <w:rsid w:val="009E787E"/>
    <w:rsid w:val="009F02FE"/>
    <w:rsid w:val="009F2B48"/>
    <w:rsid w:val="009F2B9D"/>
    <w:rsid w:val="009F3177"/>
    <w:rsid w:val="009F3278"/>
    <w:rsid w:val="009F4EC7"/>
    <w:rsid w:val="009F575C"/>
    <w:rsid w:val="009F5C4A"/>
    <w:rsid w:val="009F769B"/>
    <w:rsid w:val="00A00B20"/>
    <w:rsid w:val="00A018F9"/>
    <w:rsid w:val="00A01CAE"/>
    <w:rsid w:val="00A02B7D"/>
    <w:rsid w:val="00A0403A"/>
    <w:rsid w:val="00A07857"/>
    <w:rsid w:val="00A106EB"/>
    <w:rsid w:val="00A1091E"/>
    <w:rsid w:val="00A12281"/>
    <w:rsid w:val="00A1302A"/>
    <w:rsid w:val="00A1595A"/>
    <w:rsid w:val="00A16177"/>
    <w:rsid w:val="00A230E0"/>
    <w:rsid w:val="00A23296"/>
    <w:rsid w:val="00A25454"/>
    <w:rsid w:val="00A30231"/>
    <w:rsid w:val="00A361C4"/>
    <w:rsid w:val="00A40D43"/>
    <w:rsid w:val="00A41BE1"/>
    <w:rsid w:val="00A44CFB"/>
    <w:rsid w:val="00A45461"/>
    <w:rsid w:val="00A45E8B"/>
    <w:rsid w:val="00A462E9"/>
    <w:rsid w:val="00A46515"/>
    <w:rsid w:val="00A472AE"/>
    <w:rsid w:val="00A506D2"/>
    <w:rsid w:val="00A51D3A"/>
    <w:rsid w:val="00A5212B"/>
    <w:rsid w:val="00A54499"/>
    <w:rsid w:val="00A546EB"/>
    <w:rsid w:val="00A567A6"/>
    <w:rsid w:val="00A57A49"/>
    <w:rsid w:val="00A618AE"/>
    <w:rsid w:val="00A63896"/>
    <w:rsid w:val="00A638A1"/>
    <w:rsid w:val="00A63BCF"/>
    <w:rsid w:val="00A64714"/>
    <w:rsid w:val="00A64F62"/>
    <w:rsid w:val="00A657C4"/>
    <w:rsid w:val="00A67525"/>
    <w:rsid w:val="00A7007D"/>
    <w:rsid w:val="00A70166"/>
    <w:rsid w:val="00A7284F"/>
    <w:rsid w:val="00A73630"/>
    <w:rsid w:val="00A73AA3"/>
    <w:rsid w:val="00A7457E"/>
    <w:rsid w:val="00A75CBD"/>
    <w:rsid w:val="00A76436"/>
    <w:rsid w:val="00A7702F"/>
    <w:rsid w:val="00A77A29"/>
    <w:rsid w:val="00A82379"/>
    <w:rsid w:val="00A82388"/>
    <w:rsid w:val="00A83171"/>
    <w:rsid w:val="00A838FD"/>
    <w:rsid w:val="00A846C7"/>
    <w:rsid w:val="00A900DD"/>
    <w:rsid w:val="00A911EB"/>
    <w:rsid w:val="00A91ACA"/>
    <w:rsid w:val="00A9268F"/>
    <w:rsid w:val="00A9273F"/>
    <w:rsid w:val="00A929BE"/>
    <w:rsid w:val="00A92BE5"/>
    <w:rsid w:val="00A92D54"/>
    <w:rsid w:val="00A9316F"/>
    <w:rsid w:val="00A9321E"/>
    <w:rsid w:val="00A959C8"/>
    <w:rsid w:val="00AA010E"/>
    <w:rsid w:val="00AA0698"/>
    <w:rsid w:val="00AA0979"/>
    <w:rsid w:val="00AA17B8"/>
    <w:rsid w:val="00AA1B9B"/>
    <w:rsid w:val="00AA2F7E"/>
    <w:rsid w:val="00AA3656"/>
    <w:rsid w:val="00AA4D0C"/>
    <w:rsid w:val="00AB0943"/>
    <w:rsid w:val="00AB0A16"/>
    <w:rsid w:val="00AB0F0C"/>
    <w:rsid w:val="00AB1D76"/>
    <w:rsid w:val="00AB31C1"/>
    <w:rsid w:val="00AB4096"/>
    <w:rsid w:val="00AB4F87"/>
    <w:rsid w:val="00AB4FA5"/>
    <w:rsid w:val="00AB59B0"/>
    <w:rsid w:val="00AB6C7F"/>
    <w:rsid w:val="00AB72D9"/>
    <w:rsid w:val="00AC025C"/>
    <w:rsid w:val="00AC026B"/>
    <w:rsid w:val="00AC2015"/>
    <w:rsid w:val="00AC209F"/>
    <w:rsid w:val="00AC377B"/>
    <w:rsid w:val="00AC40AF"/>
    <w:rsid w:val="00AC4207"/>
    <w:rsid w:val="00AC4605"/>
    <w:rsid w:val="00AC4BBD"/>
    <w:rsid w:val="00AC5483"/>
    <w:rsid w:val="00AC5619"/>
    <w:rsid w:val="00AC5CAE"/>
    <w:rsid w:val="00AC5CC6"/>
    <w:rsid w:val="00AD0B35"/>
    <w:rsid w:val="00AD1A71"/>
    <w:rsid w:val="00AD2500"/>
    <w:rsid w:val="00AD28C5"/>
    <w:rsid w:val="00AD2B73"/>
    <w:rsid w:val="00AD2DA9"/>
    <w:rsid w:val="00AD3588"/>
    <w:rsid w:val="00AD3CE0"/>
    <w:rsid w:val="00AD4CCA"/>
    <w:rsid w:val="00AD5274"/>
    <w:rsid w:val="00AD56FF"/>
    <w:rsid w:val="00AD608E"/>
    <w:rsid w:val="00AD651C"/>
    <w:rsid w:val="00AD7474"/>
    <w:rsid w:val="00AD7E4D"/>
    <w:rsid w:val="00AE0E1F"/>
    <w:rsid w:val="00AE1DF5"/>
    <w:rsid w:val="00AE2AB1"/>
    <w:rsid w:val="00AE2D9F"/>
    <w:rsid w:val="00AE3529"/>
    <w:rsid w:val="00AE4622"/>
    <w:rsid w:val="00AE4906"/>
    <w:rsid w:val="00AE6FC8"/>
    <w:rsid w:val="00AF032B"/>
    <w:rsid w:val="00AF1192"/>
    <w:rsid w:val="00AF27AB"/>
    <w:rsid w:val="00AF50A5"/>
    <w:rsid w:val="00AF5943"/>
    <w:rsid w:val="00AF5F36"/>
    <w:rsid w:val="00AF6365"/>
    <w:rsid w:val="00AF7EB0"/>
    <w:rsid w:val="00B0067F"/>
    <w:rsid w:val="00B0141E"/>
    <w:rsid w:val="00B020F5"/>
    <w:rsid w:val="00B021BC"/>
    <w:rsid w:val="00B03116"/>
    <w:rsid w:val="00B057FE"/>
    <w:rsid w:val="00B067B2"/>
    <w:rsid w:val="00B06F1C"/>
    <w:rsid w:val="00B07547"/>
    <w:rsid w:val="00B07D72"/>
    <w:rsid w:val="00B10919"/>
    <w:rsid w:val="00B12B82"/>
    <w:rsid w:val="00B12D5B"/>
    <w:rsid w:val="00B14EBF"/>
    <w:rsid w:val="00B15E77"/>
    <w:rsid w:val="00B163AF"/>
    <w:rsid w:val="00B211DE"/>
    <w:rsid w:val="00B237CC"/>
    <w:rsid w:val="00B23BB9"/>
    <w:rsid w:val="00B27466"/>
    <w:rsid w:val="00B27923"/>
    <w:rsid w:val="00B27A60"/>
    <w:rsid w:val="00B324C9"/>
    <w:rsid w:val="00B3475D"/>
    <w:rsid w:val="00B34A17"/>
    <w:rsid w:val="00B34D0C"/>
    <w:rsid w:val="00B37C53"/>
    <w:rsid w:val="00B40864"/>
    <w:rsid w:val="00B42F29"/>
    <w:rsid w:val="00B43AB8"/>
    <w:rsid w:val="00B44BC2"/>
    <w:rsid w:val="00B461F2"/>
    <w:rsid w:val="00B4656B"/>
    <w:rsid w:val="00B4694E"/>
    <w:rsid w:val="00B4713A"/>
    <w:rsid w:val="00B4790F"/>
    <w:rsid w:val="00B47C78"/>
    <w:rsid w:val="00B51FE6"/>
    <w:rsid w:val="00B52A73"/>
    <w:rsid w:val="00B535D4"/>
    <w:rsid w:val="00B53990"/>
    <w:rsid w:val="00B53EBE"/>
    <w:rsid w:val="00B54BB1"/>
    <w:rsid w:val="00B55A4E"/>
    <w:rsid w:val="00B569ED"/>
    <w:rsid w:val="00B61A7D"/>
    <w:rsid w:val="00B638CA"/>
    <w:rsid w:val="00B65A9A"/>
    <w:rsid w:val="00B65D99"/>
    <w:rsid w:val="00B661B6"/>
    <w:rsid w:val="00B6688D"/>
    <w:rsid w:val="00B66EA8"/>
    <w:rsid w:val="00B70236"/>
    <w:rsid w:val="00B72389"/>
    <w:rsid w:val="00B75326"/>
    <w:rsid w:val="00B75759"/>
    <w:rsid w:val="00B76EEC"/>
    <w:rsid w:val="00B77D3D"/>
    <w:rsid w:val="00B80357"/>
    <w:rsid w:val="00B80B4B"/>
    <w:rsid w:val="00B80D78"/>
    <w:rsid w:val="00B8464E"/>
    <w:rsid w:val="00B84AEE"/>
    <w:rsid w:val="00B90358"/>
    <w:rsid w:val="00B90E6D"/>
    <w:rsid w:val="00B95EB2"/>
    <w:rsid w:val="00B96678"/>
    <w:rsid w:val="00B96727"/>
    <w:rsid w:val="00B96AB7"/>
    <w:rsid w:val="00B979F1"/>
    <w:rsid w:val="00BA0550"/>
    <w:rsid w:val="00BA2627"/>
    <w:rsid w:val="00BA6323"/>
    <w:rsid w:val="00BB05E1"/>
    <w:rsid w:val="00BB1175"/>
    <w:rsid w:val="00BB1348"/>
    <w:rsid w:val="00BB3AB2"/>
    <w:rsid w:val="00BB3C68"/>
    <w:rsid w:val="00BB4432"/>
    <w:rsid w:val="00BB49DF"/>
    <w:rsid w:val="00BB54CB"/>
    <w:rsid w:val="00BB6B2B"/>
    <w:rsid w:val="00BB75DA"/>
    <w:rsid w:val="00BB7FA9"/>
    <w:rsid w:val="00BC19F4"/>
    <w:rsid w:val="00BC7B09"/>
    <w:rsid w:val="00BD3E16"/>
    <w:rsid w:val="00BD4FFB"/>
    <w:rsid w:val="00BD5A0E"/>
    <w:rsid w:val="00BD654F"/>
    <w:rsid w:val="00BD675C"/>
    <w:rsid w:val="00BD712F"/>
    <w:rsid w:val="00BD7E02"/>
    <w:rsid w:val="00BE0253"/>
    <w:rsid w:val="00BE079E"/>
    <w:rsid w:val="00BE0E8A"/>
    <w:rsid w:val="00BE13C9"/>
    <w:rsid w:val="00BE2F4A"/>
    <w:rsid w:val="00BE2F50"/>
    <w:rsid w:val="00BE30C9"/>
    <w:rsid w:val="00BE3117"/>
    <w:rsid w:val="00BE349F"/>
    <w:rsid w:val="00BE486A"/>
    <w:rsid w:val="00BE5FE0"/>
    <w:rsid w:val="00BF25F7"/>
    <w:rsid w:val="00BF3499"/>
    <w:rsid w:val="00BF55F2"/>
    <w:rsid w:val="00BF5932"/>
    <w:rsid w:val="00BF6C8B"/>
    <w:rsid w:val="00BF7606"/>
    <w:rsid w:val="00C00B12"/>
    <w:rsid w:val="00C011A9"/>
    <w:rsid w:val="00C01304"/>
    <w:rsid w:val="00C01958"/>
    <w:rsid w:val="00C01CC0"/>
    <w:rsid w:val="00C04CF5"/>
    <w:rsid w:val="00C0549C"/>
    <w:rsid w:val="00C0561C"/>
    <w:rsid w:val="00C077FC"/>
    <w:rsid w:val="00C12405"/>
    <w:rsid w:val="00C14176"/>
    <w:rsid w:val="00C14845"/>
    <w:rsid w:val="00C164FF"/>
    <w:rsid w:val="00C16806"/>
    <w:rsid w:val="00C21322"/>
    <w:rsid w:val="00C22965"/>
    <w:rsid w:val="00C23847"/>
    <w:rsid w:val="00C23DA0"/>
    <w:rsid w:val="00C24DFD"/>
    <w:rsid w:val="00C25A74"/>
    <w:rsid w:val="00C315D4"/>
    <w:rsid w:val="00C32E54"/>
    <w:rsid w:val="00C33A2D"/>
    <w:rsid w:val="00C343B8"/>
    <w:rsid w:val="00C3579F"/>
    <w:rsid w:val="00C35B49"/>
    <w:rsid w:val="00C3608D"/>
    <w:rsid w:val="00C36149"/>
    <w:rsid w:val="00C366FF"/>
    <w:rsid w:val="00C368AE"/>
    <w:rsid w:val="00C36B2B"/>
    <w:rsid w:val="00C372DE"/>
    <w:rsid w:val="00C3738E"/>
    <w:rsid w:val="00C40BC9"/>
    <w:rsid w:val="00C412D9"/>
    <w:rsid w:val="00C41A91"/>
    <w:rsid w:val="00C42194"/>
    <w:rsid w:val="00C44FBD"/>
    <w:rsid w:val="00C45476"/>
    <w:rsid w:val="00C45A05"/>
    <w:rsid w:val="00C46033"/>
    <w:rsid w:val="00C46ED7"/>
    <w:rsid w:val="00C47081"/>
    <w:rsid w:val="00C47EAE"/>
    <w:rsid w:val="00C50917"/>
    <w:rsid w:val="00C51231"/>
    <w:rsid w:val="00C515A2"/>
    <w:rsid w:val="00C5213A"/>
    <w:rsid w:val="00C52EDA"/>
    <w:rsid w:val="00C52FCF"/>
    <w:rsid w:val="00C53C1F"/>
    <w:rsid w:val="00C5424B"/>
    <w:rsid w:val="00C56BFE"/>
    <w:rsid w:val="00C60BE4"/>
    <w:rsid w:val="00C61034"/>
    <w:rsid w:val="00C618C3"/>
    <w:rsid w:val="00C61C40"/>
    <w:rsid w:val="00C64D46"/>
    <w:rsid w:val="00C7150B"/>
    <w:rsid w:val="00C7161D"/>
    <w:rsid w:val="00C728C4"/>
    <w:rsid w:val="00C72D72"/>
    <w:rsid w:val="00C74D40"/>
    <w:rsid w:val="00C763D2"/>
    <w:rsid w:val="00C76D1C"/>
    <w:rsid w:val="00C8010B"/>
    <w:rsid w:val="00C801AA"/>
    <w:rsid w:val="00C80203"/>
    <w:rsid w:val="00C8034F"/>
    <w:rsid w:val="00C80B8A"/>
    <w:rsid w:val="00C81C7E"/>
    <w:rsid w:val="00C84B73"/>
    <w:rsid w:val="00C85F86"/>
    <w:rsid w:val="00C875FA"/>
    <w:rsid w:val="00C90459"/>
    <w:rsid w:val="00C90A93"/>
    <w:rsid w:val="00C915BB"/>
    <w:rsid w:val="00C91DC2"/>
    <w:rsid w:val="00C9465E"/>
    <w:rsid w:val="00C9718D"/>
    <w:rsid w:val="00C972BC"/>
    <w:rsid w:val="00CA0CAF"/>
    <w:rsid w:val="00CA1070"/>
    <w:rsid w:val="00CA4D2C"/>
    <w:rsid w:val="00CA641B"/>
    <w:rsid w:val="00CA709A"/>
    <w:rsid w:val="00CB0DE2"/>
    <w:rsid w:val="00CB135F"/>
    <w:rsid w:val="00CB2D8E"/>
    <w:rsid w:val="00CB4118"/>
    <w:rsid w:val="00CB4251"/>
    <w:rsid w:val="00CB639C"/>
    <w:rsid w:val="00CB6AF7"/>
    <w:rsid w:val="00CB7546"/>
    <w:rsid w:val="00CB7904"/>
    <w:rsid w:val="00CC125C"/>
    <w:rsid w:val="00CC1FAB"/>
    <w:rsid w:val="00CC2B31"/>
    <w:rsid w:val="00CC3D65"/>
    <w:rsid w:val="00CC5EC5"/>
    <w:rsid w:val="00CD091D"/>
    <w:rsid w:val="00CD0A9E"/>
    <w:rsid w:val="00CD1649"/>
    <w:rsid w:val="00CD2F35"/>
    <w:rsid w:val="00CD3A13"/>
    <w:rsid w:val="00CD43A9"/>
    <w:rsid w:val="00CD5A97"/>
    <w:rsid w:val="00CD70BC"/>
    <w:rsid w:val="00CD72E7"/>
    <w:rsid w:val="00CE0D73"/>
    <w:rsid w:val="00CE0DE0"/>
    <w:rsid w:val="00CE1E6C"/>
    <w:rsid w:val="00CE3487"/>
    <w:rsid w:val="00CE35C5"/>
    <w:rsid w:val="00CE5329"/>
    <w:rsid w:val="00CE5642"/>
    <w:rsid w:val="00CE7C57"/>
    <w:rsid w:val="00CF0CB7"/>
    <w:rsid w:val="00CF1358"/>
    <w:rsid w:val="00CF256A"/>
    <w:rsid w:val="00CF3AE6"/>
    <w:rsid w:val="00CF3C22"/>
    <w:rsid w:val="00CF45FD"/>
    <w:rsid w:val="00CF61EA"/>
    <w:rsid w:val="00CF6598"/>
    <w:rsid w:val="00CF6640"/>
    <w:rsid w:val="00CF7E38"/>
    <w:rsid w:val="00D01A31"/>
    <w:rsid w:val="00D01B7A"/>
    <w:rsid w:val="00D02DF0"/>
    <w:rsid w:val="00D04C83"/>
    <w:rsid w:val="00D05DA4"/>
    <w:rsid w:val="00D066A2"/>
    <w:rsid w:val="00D06ACA"/>
    <w:rsid w:val="00D0762E"/>
    <w:rsid w:val="00D10B13"/>
    <w:rsid w:val="00D110C3"/>
    <w:rsid w:val="00D151EF"/>
    <w:rsid w:val="00D16734"/>
    <w:rsid w:val="00D2005A"/>
    <w:rsid w:val="00D22995"/>
    <w:rsid w:val="00D22C7A"/>
    <w:rsid w:val="00D23734"/>
    <w:rsid w:val="00D237F7"/>
    <w:rsid w:val="00D24017"/>
    <w:rsid w:val="00D250C6"/>
    <w:rsid w:val="00D26E93"/>
    <w:rsid w:val="00D26F3E"/>
    <w:rsid w:val="00D27B3A"/>
    <w:rsid w:val="00D325F7"/>
    <w:rsid w:val="00D36073"/>
    <w:rsid w:val="00D36BB8"/>
    <w:rsid w:val="00D379D7"/>
    <w:rsid w:val="00D37DC1"/>
    <w:rsid w:val="00D40043"/>
    <w:rsid w:val="00D40796"/>
    <w:rsid w:val="00D410BF"/>
    <w:rsid w:val="00D417AD"/>
    <w:rsid w:val="00D41E68"/>
    <w:rsid w:val="00D41FAA"/>
    <w:rsid w:val="00D42A36"/>
    <w:rsid w:val="00D42F7F"/>
    <w:rsid w:val="00D43B79"/>
    <w:rsid w:val="00D449D1"/>
    <w:rsid w:val="00D46252"/>
    <w:rsid w:val="00D46405"/>
    <w:rsid w:val="00D46A03"/>
    <w:rsid w:val="00D46D11"/>
    <w:rsid w:val="00D50189"/>
    <w:rsid w:val="00D52177"/>
    <w:rsid w:val="00D54FDA"/>
    <w:rsid w:val="00D55579"/>
    <w:rsid w:val="00D56BDF"/>
    <w:rsid w:val="00D619AA"/>
    <w:rsid w:val="00D62241"/>
    <w:rsid w:val="00D6360A"/>
    <w:rsid w:val="00D64869"/>
    <w:rsid w:val="00D67C88"/>
    <w:rsid w:val="00D71562"/>
    <w:rsid w:val="00D74629"/>
    <w:rsid w:val="00D754B4"/>
    <w:rsid w:val="00D775C9"/>
    <w:rsid w:val="00D775EB"/>
    <w:rsid w:val="00D82466"/>
    <w:rsid w:val="00D8432E"/>
    <w:rsid w:val="00D847F9"/>
    <w:rsid w:val="00D84E4B"/>
    <w:rsid w:val="00D85EE0"/>
    <w:rsid w:val="00D85F43"/>
    <w:rsid w:val="00D90273"/>
    <w:rsid w:val="00D91D3A"/>
    <w:rsid w:val="00D91D6D"/>
    <w:rsid w:val="00D9399E"/>
    <w:rsid w:val="00D93F54"/>
    <w:rsid w:val="00D94A4E"/>
    <w:rsid w:val="00D97D49"/>
    <w:rsid w:val="00DA0F18"/>
    <w:rsid w:val="00DA3165"/>
    <w:rsid w:val="00DA44F5"/>
    <w:rsid w:val="00DA6731"/>
    <w:rsid w:val="00DA67B1"/>
    <w:rsid w:val="00DA769A"/>
    <w:rsid w:val="00DB106F"/>
    <w:rsid w:val="00DB3560"/>
    <w:rsid w:val="00DB38DA"/>
    <w:rsid w:val="00DB3D5C"/>
    <w:rsid w:val="00DB4732"/>
    <w:rsid w:val="00DB552F"/>
    <w:rsid w:val="00DC14D6"/>
    <w:rsid w:val="00DC1956"/>
    <w:rsid w:val="00DC5187"/>
    <w:rsid w:val="00DC618B"/>
    <w:rsid w:val="00DC6418"/>
    <w:rsid w:val="00DC79C7"/>
    <w:rsid w:val="00DC7DF4"/>
    <w:rsid w:val="00DD1A1D"/>
    <w:rsid w:val="00DD22DC"/>
    <w:rsid w:val="00DD2948"/>
    <w:rsid w:val="00DE241C"/>
    <w:rsid w:val="00DE35BF"/>
    <w:rsid w:val="00DE5DD9"/>
    <w:rsid w:val="00DE5EA9"/>
    <w:rsid w:val="00DE7E7F"/>
    <w:rsid w:val="00DE7E8B"/>
    <w:rsid w:val="00DF02F4"/>
    <w:rsid w:val="00DF094E"/>
    <w:rsid w:val="00DF1178"/>
    <w:rsid w:val="00DF19B5"/>
    <w:rsid w:val="00DF23DD"/>
    <w:rsid w:val="00DF4528"/>
    <w:rsid w:val="00DF4FD7"/>
    <w:rsid w:val="00DF5F8E"/>
    <w:rsid w:val="00DF69D1"/>
    <w:rsid w:val="00DF7322"/>
    <w:rsid w:val="00DF7B65"/>
    <w:rsid w:val="00E0345B"/>
    <w:rsid w:val="00E0439E"/>
    <w:rsid w:val="00E048BA"/>
    <w:rsid w:val="00E0504C"/>
    <w:rsid w:val="00E07926"/>
    <w:rsid w:val="00E13273"/>
    <w:rsid w:val="00E13430"/>
    <w:rsid w:val="00E13E37"/>
    <w:rsid w:val="00E148B5"/>
    <w:rsid w:val="00E15B5E"/>
    <w:rsid w:val="00E20149"/>
    <w:rsid w:val="00E222B5"/>
    <w:rsid w:val="00E233CB"/>
    <w:rsid w:val="00E23A29"/>
    <w:rsid w:val="00E23BC3"/>
    <w:rsid w:val="00E23E7D"/>
    <w:rsid w:val="00E25001"/>
    <w:rsid w:val="00E264D1"/>
    <w:rsid w:val="00E264F2"/>
    <w:rsid w:val="00E26817"/>
    <w:rsid w:val="00E26E3C"/>
    <w:rsid w:val="00E276C4"/>
    <w:rsid w:val="00E3015F"/>
    <w:rsid w:val="00E30171"/>
    <w:rsid w:val="00E30639"/>
    <w:rsid w:val="00E30E4F"/>
    <w:rsid w:val="00E328A7"/>
    <w:rsid w:val="00E347B7"/>
    <w:rsid w:val="00E35F12"/>
    <w:rsid w:val="00E36896"/>
    <w:rsid w:val="00E44CAE"/>
    <w:rsid w:val="00E45C8C"/>
    <w:rsid w:val="00E47194"/>
    <w:rsid w:val="00E507E2"/>
    <w:rsid w:val="00E53F92"/>
    <w:rsid w:val="00E54F8C"/>
    <w:rsid w:val="00E57D07"/>
    <w:rsid w:val="00E60BF5"/>
    <w:rsid w:val="00E60F6C"/>
    <w:rsid w:val="00E619BB"/>
    <w:rsid w:val="00E62B8A"/>
    <w:rsid w:val="00E64135"/>
    <w:rsid w:val="00E67893"/>
    <w:rsid w:val="00E70276"/>
    <w:rsid w:val="00E7078B"/>
    <w:rsid w:val="00E70A01"/>
    <w:rsid w:val="00E71FF8"/>
    <w:rsid w:val="00E7425C"/>
    <w:rsid w:val="00E74BED"/>
    <w:rsid w:val="00E76D88"/>
    <w:rsid w:val="00E77806"/>
    <w:rsid w:val="00E806D0"/>
    <w:rsid w:val="00E847BA"/>
    <w:rsid w:val="00E84DFD"/>
    <w:rsid w:val="00E85102"/>
    <w:rsid w:val="00E852CC"/>
    <w:rsid w:val="00E85360"/>
    <w:rsid w:val="00E8635F"/>
    <w:rsid w:val="00E867CD"/>
    <w:rsid w:val="00E87DE5"/>
    <w:rsid w:val="00E937DD"/>
    <w:rsid w:val="00E939D5"/>
    <w:rsid w:val="00E94CB8"/>
    <w:rsid w:val="00E97077"/>
    <w:rsid w:val="00E97D9C"/>
    <w:rsid w:val="00EA2574"/>
    <w:rsid w:val="00EA6A2E"/>
    <w:rsid w:val="00EA73C2"/>
    <w:rsid w:val="00EB09DE"/>
    <w:rsid w:val="00EB1DFE"/>
    <w:rsid w:val="00EB23A7"/>
    <w:rsid w:val="00EB2AE0"/>
    <w:rsid w:val="00EB3E94"/>
    <w:rsid w:val="00EB5D70"/>
    <w:rsid w:val="00EB78F0"/>
    <w:rsid w:val="00EB7F59"/>
    <w:rsid w:val="00EC2AA0"/>
    <w:rsid w:val="00EC3287"/>
    <w:rsid w:val="00ED0580"/>
    <w:rsid w:val="00ED0656"/>
    <w:rsid w:val="00ED069A"/>
    <w:rsid w:val="00ED0C5F"/>
    <w:rsid w:val="00ED19E7"/>
    <w:rsid w:val="00ED1F78"/>
    <w:rsid w:val="00ED3085"/>
    <w:rsid w:val="00ED3378"/>
    <w:rsid w:val="00ED3689"/>
    <w:rsid w:val="00ED4471"/>
    <w:rsid w:val="00ED462E"/>
    <w:rsid w:val="00ED46E9"/>
    <w:rsid w:val="00ED499F"/>
    <w:rsid w:val="00ED4FDC"/>
    <w:rsid w:val="00ED53DF"/>
    <w:rsid w:val="00ED5512"/>
    <w:rsid w:val="00ED7F9B"/>
    <w:rsid w:val="00EE35AC"/>
    <w:rsid w:val="00EE62B6"/>
    <w:rsid w:val="00EE6E19"/>
    <w:rsid w:val="00EE7486"/>
    <w:rsid w:val="00EF01F6"/>
    <w:rsid w:val="00EF067F"/>
    <w:rsid w:val="00EF0E4D"/>
    <w:rsid w:val="00EF14D4"/>
    <w:rsid w:val="00EF1FC7"/>
    <w:rsid w:val="00EF201A"/>
    <w:rsid w:val="00EF21EC"/>
    <w:rsid w:val="00EF2214"/>
    <w:rsid w:val="00EF485D"/>
    <w:rsid w:val="00EF54FE"/>
    <w:rsid w:val="00EF7B94"/>
    <w:rsid w:val="00F00CB1"/>
    <w:rsid w:val="00F00FA0"/>
    <w:rsid w:val="00F01220"/>
    <w:rsid w:val="00F01C57"/>
    <w:rsid w:val="00F02259"/>
    <w:rsid w:val="00F022CD"/>
    <w:rsid w:val="00F05EDF"/>
    <w:rsid w:val="00F0626E"/>
    <w:rsid w:val="00F06BC9"/>
    <w:rsid w:val="00F06E1B"/>
    <w:rsid w:val="00F074F3"/>
    <w:rsid w:val="00F07E1E"/>
    <w:rsid w:val="00F10C2D"/>
    <w:rsid w:val="00F121C4"/>
    <w:rsid w:val="00F12406"/>
    <w:rsid w:val="00F13D21"/>
    <w:rsid w:val="00F143E5"/>
    <w:rsid w:val="00F14838"/>
    <w:rsid w:val="00F1592A"/>
    <w:rsid w:val="00F15D90"/>
    <w:rsid w:val="00F15DA4"/>
    <w:rsid w:val="00F165CE"/>
    <w:rsid w:val="00F1785A"/>
    <w:rsid w:val="00F178C2"/>
    <w:rsid w:val="00F20B8F"/>
    <w:rsid w:val="00F22606"/>
    <w:rsid w:val="00F24D3E"/>
    <w:rsid w:val="00F25C36"/>
    <w:rsid w:val="00F27310"/>
    <w:rsid w:val="00F27EC9"/>
    <w:rsid w:val="00F30B4F"/>
    <w:rsid w:val="00F3509D"/>
    <w:rsid w:val="00F351A7"/>
    <w:rsid w:val="00F351BA"/>
    <w:rsid w:val="00F36DA5"/>
    <w:rsid w:val="00F36FBB"/>
    <w:rsid w:val="00F37536"/>
    <w:rsid w:val="00F43432"/>
    <w:rsid w:val="00F456F0"/>
    <w:rsid w:val="00F45F6D"/>
    <w:rsid w:val="00F51788"/>
    <w:rsid w:val="00F53C6F"/>
    <w:rsid w:val="00F54A8E"/>
    <w:rsid w:val="00F556FF"/>
    <w:rsid w:val="00F55D46"/>
    <w:rsid w:val="00F57638"/>
    <w:rsid w:val="00F577CC"/>
    <w:rsid w:val="00F605EA"/>
    <w:rsid w:val="00F6183B"/>
    <w:rsid w:val="00F61BE1"/>
    <w:rsid w:val="00F62842"/>
    <w:rsid w:val="00F6314A"/>
    <w:rsid w:val="00F631B6"/>
    <w:rsid w:val="00F66D55"/>
    <w:rsid w:val="00F6772D"/>
    <w:rsid w:val="00F67D8C"/>
    <w:rsid w:val="00F70ABB"/>
    <w:rsid w:val="00F715DD"/>
    <w:rsid w:val="00F71AAB"/>
    <w:rsid w:val="00F805C8"/>
    <w:rsid w:val="00F818F5"/>
    <w:rsid w:val="00F819DA"/>
    <w:rsid w:val="00F82831"/>
    <w:rsid w:val="00F82EC5"/>
    <w:rsid w:val="00F831A5"/>
    <w:rsid w:val="00F864D1"/>
    <w:rsid w:val="00F87402"/>
    <w:rsid w:val="00F9195C"/>
    <w:rsid w:val="00F92184"/>
    <w:rsid w:val="00F925F0"/>
    <w:rsid w:val="00F9261A"/>
    <w:rsid w:val="00F92886"/>
    <w:rsid w:val="00F954F4"/>
    <w:rsid w:val="00F96096"/>
    <w:rsid w:val="00F96344"/>
    <w:rsid w:val="00F963ED"/>
    <w:rsid w:val="00F96BB2"/>
    <w:rsid w:val="00F97259"/>
    <w:rsid w:val="00F976BF"/>
    <w:rsid w:val="00FA0BD1"/>
    <w:rsid w:val="00FA1ADD"/>
    <w:rsid w:val="00FA1F54"/>
    <w:rsid w:val="00FA22BA"/>
    <w:rsid w:val="00FA3D33"/>
    <w:rsid w:val="00FA3FDB"/>
    <w:rsid w:val="00FA4083"/>
    <w:rsid w:val="00FA4112"/>
    <w:rsid w:val="00FA4750"/>
    <w:rsid w:val="00FA4BF4"/>
    <w:rsid w:val="00FA4D1F"/>
    <w:rsid w:val="00FA4DC7"/>
    <w:rsid w:val="00FA4FA4"/>
    <w:rsid w:val="00FA5CF5"/>
    <w:rsid w:val="00FA5FDD"/>
    <w:rsid w:val="00FA6D9E"/>
    <w:rsid w:val="00FA7004"/>
    <w:rsid w:val="00FB05D5"/>
    <w:rsid w:val="00FB06F3"/>
    <w:rsid w:val="00FB095B"/>
    <w:rsid w:val="00FB185E"/>
    <w:rsid w:val="00FB1B59"/>
    <w:rsid w:val="00FB5A8C"/>
    <w:rsid w:val="00FB7178"/>
    <w:rsid w:val="00FC4800"/>
    <w:rsid w:val="00FC48FE"/>
    <w:rsid w:val="00FC5333"/>
    <w:rsid w:val="00FC7730"/>
    <w:rsid w:val="00FC7C16"/>
    <w:rsid w:val="00FD0218"/>
    <w:rsid w:val="00FD1EC1"/>
    <w:rsid w:val="00FD1F11"/>
    <w:rsid w:val="00FD3957"/>
    <w:rsid w:val="00FD42A8"/>
    <w:rsid w:val="00FD7E1A"/>
    <w:rsid w:val="00FE0B29"/>
    <w:rsid w:val="00FE2D8A"/>
    <w:rsid w:val="00FE3F4A"/>
    <w:rsid w:val="00FE6987"/>
    <w:rsid w:val="00FE70FC"/>
    <w:rsid w:val="00FE7C88"/>
    <w:rsid w:val="00FF0574"/>
    <w:rsid w:val="00FF0CF6"/>
    <w:rsid w:val="00FF11BD"/>
    <w:rsid w:val="00FF4919"/>
    <w:rsid w:val="00FF7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D52413E"/>
  <w15:docId w15:val="{4F705527-CB7C-4F9D-AC82-D34746C1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link w:val="Heading3Char"/>
    <w:semiHidden/>
    <w:unhideWhenUsed/>
    <w:qFormat/>
    <w:rsid w:val="001A479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3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link w:val="CommentTextChar"/>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6E0B3D"/>
    <w:pPr>
      <w:spacing w:before="150" w:after="150"/>
      <w:jc w:val="center"/>
    </w:pPr>
    <w:rPr>
      <w:b/>
      <w:bCs/>
    </w:rPr>
  </w:style>
  <w:style w:type="paragraph" w:styleId="BodyTextIndent2">
    <w:name w:val="Body Text Indent 2"/>
    <w:basedOn w:val="Normal"/>
    <w:link w:val="BodyTextIndent2Char"/>
    <w:rsid w:val="00436F6F"/>
    <w:pPr>
      <w:spacing w:after="120" w:line="480" w:lineRule="auto"/>
      <w:ind w:left="283"/>
    </w:pPr>
    <w:rPr>
      <w:lang w:val="x-none" w:eastAsia="x-none"/>
    </w:rPr>
  </w:style>
  <w:style w:type="character" w:customStyle="1" w:styleId="BodyTextIndent2Char">
    <w:name w:val="Body Text Indent 2 Char"/>
    <w:link w:val="BodyTextIndent2"/>
    <w:rsid w:val="00436F6F"/>
    <w:rPr>
      <w:sz w:val="24"/>
      <w:szCs w:val="24"/>
    </w:rPr>
  </w:style>
  <w:style w:type="character" w:customStyle="1" w:styleId="CommentTextChar">
    <w:name w:val="Comment Text Char"/>
    <w:link w:val="CommentText"/>
    <w:semiHidden/>
    <w:rsid w:val="00DF7B65"/>
    <w:rPr>
      <w:lang w:val="lv-LV" w:eastAsia="lv-LV"/>
    </w:rPr>
  </w:style>
  <w:style w:type="paragraph" w:styleId="Revision">
    <w:name w:val="Revision"/>
    <w:hidden/>
    <w:uiPriority w:val="99"/>
    <w:semiHidden/>
    <w:rsid w:val="00024629"/>
    <w:rPr>
      <w:sz w:val="24"/>
      <w:szCs w:val="24"/>
    </w:rPr>
  </w:style>
  <w:style w:type="paragraph" w:customStyle="1" w:styleId="Stilsparskats">
    <w:name w:val="Stils_parskats"/>
    <w:basedOn w:val="Normal"/>
    <w:autoRedefine/>
    <w:qFormat/>
    <w:rsid w:val="00C40BC9"/>
    <w:pPr>
      <w:spacing w:after="120"/>
      <w:ind w:firstLine="564"/>
      <w:jc w:val="both"/>
    </w:pPr>
    <w:rPr>
      <w:sz w:val="26"/>
      <w:szCs w:val="26"/>
    </w:rPr>
  </w:style>
  <w:style w:type="paragraph" w:customStyle="1" w:styleId="tv2132">
    <w:name w:val="tv2132"/>
    <w:basedOn w:val="Normal"/>
    <w:rsid w:val="002F453C"/>
    <w:pPr>
      <w:spacing w:line="360" w:lineRule="auto"/>
      <w:ind w:firstLine="300"/>
    </w:pPr>
    <w:rPr>
      <w:color w:val="414142"/>
      <w:sz w:val="20"/>
      <w:szCs w:val="20"/>
    </w:rPr>
  </w:style>
  <w:style w:type="paragraph" w:styleId="PlainText">
    <w:name w:val="Plain Text"/>
    <w:basedOn w:val="Normal"/>
    <w:link w:val="PlainTextChar"/>
    <w:uiPriority w:val="99"/>
    <w:unhideWhenUsed/>
    <w:rsid w:val="004406F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406F5"/>
    <w:rPr>
      <w:rFonts w:ascii="Calibri" w:eastAsiaTheme="minorHAnsi" w:hAnsi="Calibri" w:cstheme="minorBidi"/>
      <w:sz w:val="22"/>
      <w:szCs w:val="21"/>
      <w:lang w:eastAsia="en-US"/>
    </w:rPr>
  </w:style>
  <w:style w:type="character" w:customStyle="1" w:styleId="Heading3Char">
    <w:name w:val="Heading 3 Char"/>
    <w:basedOn w:val="DefaultParagraphFont"/>
    <w:link w:val="Heading3"/>
    <w:semiHidden/>
    <w:rsid w:val="001A479A"/>
    <w:rPr>
      <w:rFonts w:asciiTheme="majorHAnsi" w:eastAsiaTheme="majorEastAsia" w:hAnsiTheme="majorHAnsi" w:cstheme="majorBidi"/>
      <w:color w:val="1F4D78" w:themeColor="accent1" w:themeShade="7F"/>
      <w:sz w:val="24"/>
      <w:szCs w:val="24"/>
    </w:rPr>
  </w:style>
  <w:style w:type="character" w:customStyle="1" w:styleId="name">
    <w:name w:val="name"/>
    <w:rsid w:val="001A479A"/>
  </w:style>
  <w:style w:type="paragraph" w:styleId="Title">
    <w:name w:val="Title"/>
    <w:basedOn w:val="Normal"/>
    <w:link w:val="TitleChar"/>
    <w:qFormat/>
    <w:rsid w:val="00B76EEC"/>
    <w:pPr>
      <w:jc w:val="center"/>
    </w:pPr>
    <w:rPr>
      <w:sz w:val="28"/>
      <w:szCs w:val="20"/>
      <w:lang w:eastAsia="en-US"/>
    </w:rPr>
  </w:style>
  <w:style w:type="character" w:customStyle="1" w:styleId="TitleChar">
    <w:name w:val="Title Char"/>
    <w:basedOn w:val="DefaultParagraphFont"/>
    <w:link w:val="Title"/>
    <w:rsid w:val="00B76EEC"/>
    <w:rPr>
      <w:sz w:val="28"/>
      <w:lang w:eastAsia="en-US"/>
    </w:rPr>
  </w:style>
  <w:style w:type="paragraph" w:customStyle="1" w:styleId="tv213">
    <w:name w:val="tv213"/>
    <w:basedOn w:val="Normal"/>
    <w:rsid w:val="00AB40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9144">
      <w:bodyDiv w:val="1"/>
      <w:marLeft w:val="0"/>
      <w:marRight w:val="0"/>
      <w:marTop w:val="0"/>
      <w:marBottom w:val="0"/>
      <w:divBdr>
        <w:top w:val="none" w:sz="0" w:space="0" w:color="auto"/>
        <w:left w:val="none" w:sz="0" w:space="0" w:color="auto"/>
        <w:bottom w:val="none" w:sz="0" w:space="0" w:color="auto"/>
        <w:right w:val="none" w:sz="0" w:space="0" w:color="auto"/>
      </w:divBdr>
      <w:divsChild>
        <w:div w:id="715927986">
          <w:marLeft w:val="0"/>
          <w:marRight w:val="0"/>
          <w:marTop w:val="0"/>
          <w:marBottom w:val="0"/>
          <w:divBdr>
            <w:top w:val="none" w:sz="0" w:space="0" w:color="auto"/>
            <w:left w:val="none" w:sz="0" w:space="0" w:color="auto"/>
            <w:bottom w:val="none" w:sz="0" w:space="0" w:color="auto"/>
            <w:right w:val="none" w:sz="0" w:space="0" w:color="auto"/>
          </w:divBdr>
          <w:divsChild>
            <w:div w:id="39791234">
              <w:marLeft w:val="0"/>
              <w:marRight w:val="0"/>
              <w:marTop w:val="0"/>
              <w:marBottom w:val="0"/>
              <w:divBdr>
                <w:top w:val="none" w:sz="0" w:space="0" w:color="auto"/>
                <w:left w:val="none" w:sz="0" w:space="0" w:color="auto"/>
                <w:bottom w:val="none" w:sz="0" w:space="0" w:color="auto"/>
                <w:right w:val="none" w:sz="0" w:space="0" w:color="auto"/>
              </w:divBdr>
            </w:div>
            <w:div w:id="14078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8140">
      <w:bodyDiv w:val="1"/>
      <w:marLeft w:val="0"/>
      <w:marRight w:val="0"/>
      <w:marTop w:val="0"/>
      <w:marBottom w:val="0"/>
      <w:divBdr>
        <w:top w:val="none" w:sz="0" w:space="0" w:color="auto"/>
        <w:left w:val="none" w:sz="0" w:space="0" w:color="auto"/>
        <w:bottom w:val="none" w:sz="0" w:space="0" w:color="auto"/>
        <w:right w:val="none" w:sz="0" w:space="0" w:color="auto"/>
      </w:divBdr>
    </w:div>
    <w:div w:id="483008958">
      <w:bodyDiv w:val="1"/>
      <w:marLeft w:val="0"/>
      <w:marRight w:val="0"/>
      <w:marTop w:val="0"/>
      <w:marBottom w:val="0"/>
      <w:divBdr>
        <w:top w:val="none" w:sz="0" w:space="0" w:color="auto"/>
        <w:left w:val="none" w:sz="0" w:space="0" w:color="auto"/>
        <w:bottom w:val="none" w:sz="0" w:space="0" w:color="auto"/>
        <w:right w:val="none" w:sz="0" w:space="0" w:color="auto"/>
      </w:divBdr>
    </w:div>
    <w:div w:id="550389767">
      <w:bodyDiv w:val="1"/>
      <w:marLeft w:val="0"/>
      <w:marRight w:val="0"/>
      <w:marTop w:val="0"/>
      <w:marBottom w:val="0"/>
      <w:divBdr>
        <w:top w:val="none" w:sz="0" w:space="0" w:color="auto"/>
        <w:left w:val="none" w:sz="0" w:space="0" w:color="auto"/>
        <w:bottom w:val="none" w:sz="0" w:space="0" w:color="auto"/>
        <w:right w:val="none" w:sz="0" w:space="0" w:color="auto"/>
      </w:divBdr>
      <w:divsChild>
        <w:div w:id="1701778591">
          <w:marLeft w:val="0"/>
          <w:marRight w:val="0"/>
          <w:marTop w:val="0"/>
          <w:marBottom w:val="0"/>
          <w:divBdr>
            <w:top w:val="none" w:sz="0" w:space="0" w:color="auto"/>
            <w:left w:val="none" w:sz="0" w:space="0" w:color="auto"/>
            <w:bottom w:val="none" w:sz="0" w:space="0" w:color="auto"/>
            <w:right w:val="none" w:sz="0" w:space="0" w:color="auto"/>
          </w:divBdr>
          <w:divsChild>
            <w:div w:id="1737315066">
              <w:marLeft w:val="0"/>
              <w:marRight w:val="0"/>
              <w:marTop w:val="0"/>
              <w:marBottom w:val="0"/>
              <w:divBdr>
                <w:top w:val="none" w:sz="0" w:space="0" w:color="auto"/>
                <w:left w:val="none" w:sz="0" w:space="0" w:color="auto"/>
                <w:bottom w:val="none" w:sz="0" w:space="0" w:color="auto"/>
                <w:right w:val="none" w:sz="0" w:space="0" w:color="auto"/>
              </w:divBdr>
              <w:divsChild>
                <w:div w:id="1178036080">
                  <w:marLeft w:val="0"/>
                  <w:marRight w:val="0"/>
                  <w:marTop w:val="0"/>
                  <w:marBottom w:val="0"/>
                  <w:divBdr>
                    <w:top w:val="none" w:sz="0" w:space="0" w:color="auto"/>
                    <w:left w:val="none" w:sz="0" w:space="0" w:color="auto"/>
                    <w:bottom w:val="none" w:sz="0" w:space="0" w:color="auto"/>
                    <w:right w:val="none" w:sz="0" w:space="0" w:color="auto"/>
                  </w:divBdr>
                  <w:divsChild>
                    <w:div w:id="1725637663">
                      <w:marLeft w:val="0"/>
                      <w:marRight w:val="0"/>
                      <w:marTop w:val="0"/>
                      <w:marBottom w:val="0"/>
                      <w:divBdr>
                        <w:top w:val="none" w:sz="0" w:space="0" w:color="auto"/>
                        <w:left w:val="none" w:sz="0" w:space="0" w:color="auto"/>
                        <w:bottom w:val="none" w:sz="0" w:space="0" w:color="auto"/>
                        <w:right w:val="none" w:sz="0" w:space="0" w:color="auto"/>
                      </w:divBdr>
                      <w:divsChild>
                        <w:div w:id="1472868498">
                          <w:marLeft w:val="0"/>
                          <w:marRight w:val="0"/>
                          <w:marTop w:val="0"/>
                          <w:marBottom w:val="0"/>
                          <w:divBdr>
                            <w:top w:val="none" w:sz="0" w:space="0" w:color="auto"/>
                            <w:left w:val="none" w:sz="0" w:space="0" w:color="auto"/>
                            <w:bottom w:val="none" w:sz="0" w:space="0" w:color="auto"/>
                            <w:right w:val="none" w:sz="0" w:space="0" w:color="auto"/>
                          </w:divBdr>
                          <w:divsChild>
                            <w:div w:id="3065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92118">
      <w:bodyDiv w:val="1"/>
      <w:marLeft w:val="0"/>
      <w:marRight w:val="0"/>
      <w:marTop w:val="0"/>
      <w:marBottom w:val="0"/>
      <w:divBdr>
        <w:top w:val="none" w:sz="0" w:space="0" w:color="auto"/>
        <w:left w:val="none" w:sz="0" w:space="0" w:color="auto"/>
        <w:bottom w:val="none" w:sz="0" w:space="0" w:color="auto"/>
        <w:right w:val="none" w:sz="0" w:space="0" w:color="auto"/>
      </w:divBdr>
      <w:divsChild>
        <w:div w:id="2034111730">
          <w:marLeft w:val="0"/>
          <w:marRight w:val="0"/>
          <w:marTop w:val="0"/>
          <w:marBottom w:val="0"/>
          <w:divBdr>
            <w:top w:val="none" w:sz="0" w:space="0" w:color="auto"/>
            <w:left w:val="none" w:sz="0" w:space="0" w:color="auto"/>
            <w:bottom w:val="none" w:sz="0" w:space="0" w:color="auto"/>
            <w:right w:val="none" w:sz="0" w:space="0" w:color="auto"/>
          </w:divBdr>
          <w:divsChild>
            <w:div w:id="671682424">
              <w:marLeft w:val="0"/>
              <w:marRight w:val="0"/>
              <w:marTop w:val="0"/>
              <w:marBottom w:val="0"/>
              <w:divBdr>
                <w:top w:val="none" w:sz="0" w:space="0" w:color="auto"/>
                <w:left w:val="none" w:sz="0" w:space="0" w:color="auto"/>
                <w:bottom w:val="none" w:sz="0" w:space="0" w:color="auto"/>
                <w:right w:val="none" w:sz="0" w:space="0" w:color="auto"/>
              </w:divBdr>
              <w:divsChild>
                <w:div w:id="830025078">
                  <w:marLeft w:val="0"/>
                  <w:marRight w:val="0"/>
                  <w:marTop w:val="0"/>
                  <w:marBottom w:val="0"/>
                  <w:divBdr>
                    <w:top w:val="none" w:sz="0" w:space="0" w:color="auto"/>
                    <w:left w:val="none" w:sz="0" w:space="0" w:color="auto"/>
                    <w:bottom w:val="none" w:sz="0" w:space="0" w:color="auto"/>
                    <w:right w:val="none" w:sz="0" w:space="0" w:color="auto"/>
                  </w:divBdr>
                  <w:divsChild>
                    <w:div w:id="1756704843">
                      <w:marLeft w:val="0"/>
                      <w:marRight w:val="0"/>
                      <w:marTop w:val="0"/>
                      <w:marBottom w:val="0"/>
                      <w:divBdr>
                        <w:top w:val="none" w:sz="0" w:space="0" w:color="auto"/>
                        <w:left w:val="none" w:sz="0" w:space="0" w:color="auto"/>
                        <w:bottom w:val="none" w:sz="0" w:space="0" w:color="auto"/>
                        <w:right w:val="none" w:sz="0" w:space="0" w:color="auto"/>
                      </w:divBdr>
                      <w:divsChild>
                        <w:div w:id="874930729">
                          <w:marLeft w:val="0"/>
                          <w:marRight w:val="0"/>
                          <w:marTop w:val="0"/>
                          <w:marBottom w:val="0"/>
                          <w:divBdr>
                            <w:top w:val="none" w:sz="0" w:space="0" w:color="auto"/>
                            <w:left w:val="none" w:sz="0" w:space="0" w:color="auto"/>
                            <w:bottom w:val="none" w:sz="0" w:space="0" w:color="auto"/>
                            <w:right w:val="none" w:sz="0" w:space="0" w:color="auto"/>
                          </w:divBdr>
                          <w:divsChild>
                            <w:div w:id="1307010303">
                              <w:marLeft w:val="0"/>
                              <w:marRight w:val="0"/>
                              <w:marTop w:val="0"/>
                              <w:marBottom w:val="0"/>
                              <w:divBdr>
                                <w:top w:val="none" w:sz="0" w:space="0" w:color="auto"/>
                                <w:left w:val="none" w:sz="0" w:space="0" w:color="auto"/>
                                <w:bottom w:val="none" w:sz="0" w:space="0" w:color="auto"/>
                                <w:right w:val="none" w:sz="0" w:space="0" w:color="auto"/>
                              </w:divBdr>
                              <w:divsChild>
                                <w:div w:id="125002878">
                                  <w:marLeft w:val="0"/>
                                  <w:marRight w:val="0"/>
                                  <w:marTop w:val="0"/>
                                  <w:marBottom w:val="0"/>
                                  <w:divBdr>
                                    <w:top w:val="none" w:sz="0" w:space="0" w:color="auto"/>
                                    <w:left w:val="none" w:sz="0" w:space="0" w:color="auto"/>
                                    <w:bottom w:val="none" w:sz="0" w:space="0" w:color="auto"/>
                                    <w:right w:val="none" w:sz="0" w:space="0" w:color="auto"/>
                                  </w:divBdr>
                                </w:div>
                                <w:div w:id="19584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9750">
                          <w:marLeft w:val="0"/>
                          <w:marRight w:val="0"/>
                          <w:marTop w:val="0"/>
                          <w:marBottom w:val="0"/>
                          <w:divBdr>
                            <w:top w:val="none" w:sz="0" w:space="0" w:color="auto"/>
                            <w:left w:val="none" w:sz="0" w:space="0" w:color="auto"/>
                            <w:bottom w:val="none" w:sz="0" w:space="0" w:color="auto"/>
                            <w:right w:val="none" w:sz="0" w:space="0" w:color="auto"/>
                          </w:divBdr>
                          <w:divsChild>
                            <w:div w:id="553931260">
                              <w:marLeft w:val="0"/>
                              <w:marRight w:val="0"/>
                              <w:marTop w:val="0"/>
                              <w:marBottom w:val="0"/>
                              <w:divBdr>
                                <w:top w:val="none" w:sz="0" w:space="0" w:color="auto"/>
                                <w:left w:val="none" w:sz="0" w:space="0" w:color="auto"/>
                                <w:bottom w:val="none" w:sz="0" w:space="0" w:color="auto"/>
                                <w:right w:val="none" w:sz="0" w:space="0" w:color="auto"/>
                              </w:divBdr>
                            </w:div>
                            <w:div w:id="998579290">
                              <w:marLeft w:val="0"/>
                              <w:marRight w:val="0"/>
                              <w:marTop w:val="0"/>
                              <w:marBottom w:val="0"/>
                              <w:divBdr>
                                <w:top w:val="none" w:sz="0" w:space="0" w:color="auto"/>
                                <w:left w:val="none" w:sz="0" w:space="0" w:color="auto"/>
                                <w:bottom w:val="none" w:sz="0" w:space="0" w:color="auto"/>
                                <w:right w:val="none" w:sz="0" w:space="0" w:color="auto"/>
                              </w:divBdr>
                              <w:divsChild>
                                <w:div w:id="888221254">
                                  <w:marLeft w:val="0"/>
                                  <w:marRight w:val="0"/>
                                  <w:marTop w:val="0"/>
                                  <w:marBottom w:val="0"/>
                                  <w:divBdr>
                                    <w:top w:val="none" w:sz="0" w:space="0" w:color="auto"/>
                                    <w:left w:val="none" w:sz="0" w:space="0" w:color="auto"/>
                                    <w:bottom w:val="none" w:sz="0" w:space="0" w:color="auto"/>
                                    <w:right w:val="none" w:sz="0" w:space="0" w:color="auto"/>
                                  </w:divBdr>
                                  <w:divsChild>
                                    <w:div w:id="933132678">
                                      <w:marLeft w:val="0"/>
                                      <w:marRight w:val="0"/>
                                      <w:marTop w:val="0"/>
                                      <w:marBottom w:val="0"/>
                                      <w:divBdr>
                                        <w:top w:val="none" w:sz="0" w:space="0" w:color="auto"/>
                                        <w:left w:val="none" w:sz="0" w:space="0" w:color="auto"/>
                                        <w:bottom w:val="none" w:sz="0" w:space="0" w:color="auto"/>
                                        <w:right w:val="none" w:sz="0" w:space="0" w:color="auto"/>
                                      </w:divBdr>
                                      <w:divsChild>
                                        <w:div w:id="1246765897">
                                          <w:marLeft w:val="0"/>
                                          <w:marRight w:val="0"/>
                                          <w:marTop w:val="0"/>
                                          <w:marBottom w:val="0"/>
                                          <w:divBdr>
                                            <w:top w:val="none" w:sz="0" w:space="0" w:color="auto"/>
                                            <w:left w:val="none" w:sz="0" w:space="0" w:color="auto"/>
                                            <w:bottom w:val="none" w:sz="0" w:space="0" w:color="auto"/>
                                            <w:right w:val="none" w:sz="0" w:space="0" w:color="auto"/>
                                          </w:divBdr>
                                          <w:divsChild>
                                            <w:div w:id="3407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4878">
                                      <w:marLeft w:val="0"/>
                                      <w:marRight w:val="0"/>
                                      <w:marTop w:val="0"/>
                                      <w:marBottom w:val="0"/>
                                      <w:divBdr>
                                        <w:top w:val="none" w:sz="0" w:space="0" w:color="auto"/>
                                        <w:left w:val="none" w:sz="0" w:space="0" w:color="auto"/>
                                        <w:bottom w:val="none" w:sz="0" w:space="0" w:color="auto"/>
                                        <w:right w:val="none" w:sz="0" w:space="0" w:color="auto"/>
                                      </w:divBdr>
                                      <w:divsChild>
                                        <w:div w:id="1041322699">
                                          <w:marLeft w:val="0"/>
                                          <w:marRight w:val="0"/>
                                          <w:marTop w:val="63"/>
                                          <w:marBottom w:val="125"/>
                                          <w:divBdr>
                                            <w:top w:val="none" w:sz="0" w:space="0" w:color="auto"/>
                                            <w:left w:val="none" w:sz="0" w:space="0" w:color="auto"/>
                                            <w:bottom w:val="none" w:sz="0" w:space="0" w:color="auto"/>
                                            <w:right w:val="none" w:sz="0" w:space="0" w:color="auto"/>
                                          </w:divBdr>
                                          <w:divsChild>
                                            <w:div w:id="2072775512">
                                              <w:marLeft w:val="38"/>
                                              <w:marRight w:val="0"/>
                                              <w:marTop w:val="0"/>
                                              <w:marBottom w:val="38"/>
                                              <w:divBdr>
                                                <w:top w:val="none" w:sz="0" w:space="0" w:color="auto"/>
                                                <w:left w:val="none" w:sz="0" w:space="0" w:color="auto"/>
                                                <w:bottom w:val="none" w:sz="0" w:space="0" w:color="auto"/>
                                                <w:right w:val="none" w:sz="0" w:space="0" w:color="auto"/>
                                              </w:divBdr>
                                            </w:div>
                                          </w:divsChild>
                                        </w:div>
                                        <w:div w:id="11456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591">
                              <w:marLeft w:val="0"/>
                              <w:marRight w:val="0"/>
                              <w:marTop w:val="0"/>
                              <w:marBottom w:val="0"/>
                              <w:divBdr>
                                <w:top w:val="none" w:sz="0" w:space="0" w:color="auto"/>
                                <w:left w:val="none" w:sz="0" w:space="0" w:color="auto"/>
                                <w:bottom w:val="none" w:sz="0" w:space="0" w:color="auto"/>
                                <w:right w:val="none" w:sz="0" w:space="0" w:color="auto"/>
                              </w:divBdr>
                              <w:divsChild>
                                <w:div w:id="902253409">
                                  <w:marLeft w:val="0"/>
                                  <w:marRight w:val="0"/>
                                  <w:marTop w:val="0"/>
                                  <w:marBottom w:val="0"/>
                                  <w:divBdr>
                                    <w:top w:val="none" w:sz="0" w:space="0" w:color="auto"/>
                                    <w:left w:val="none" w:sz="0" w:space="0" w:color="auto"/>
                                    <w:bottom w:val="none" w:sz="0" w:space="0" w:color="auto"/>
                                    <w:right w:val="none" w:sz="0" w:space="0" w:color="auto"/>
                                  </w:divBdr>
                                  <w:divsChild>
                                    <w:div w:id="29690615">
                                      <w:marLeft w:val="0"/>
                                      <w:marRight w:val="0"/>
                                      <w:marTop w:val="0"/>
                                      <w:marBottom w:val="0"/>
                                      <w:divBdr>
                                        <w:top w:val="none" w:sz="0" w:space="0" w:color="auto"/>
                                        <w:left w:val="none" w:sz="0" w:space="0" w:color="auto"/>
                                        <w:bottom w:val="none" w:sz="0" w:space="0" w:color="auto"/>
                                        <w:right w:val="none" w:sz="0" w:space="0" w:color="auto"/>
                                      </w:divBdr>
                                      <w:divsChild>
                                        <w:div w:id="979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849801">
      <w:bodyDiv w:val="1"/>
      <w:marLeft w:val="0"/>
      <w:marRight w:val="0"/>
      <w:marTop w:val="0"/>
      <w:marBottom w:val="0"/>
      <w:divBdr>
        <w:top w:val="none" w:sz="0" w:space="0" w:color="auto"/>
        <w:left w:val="none" w:sz="0" w:space="0" w:color="auto"/>
        <w:bottom w:val="none" w:sz="0" w:space="0" w:color="auto"/>
        <w:right w:val="none" w:sz="0" w:space="0" w:color="auto"/>
      </w:divBdr>
      <w:divsChild>
        <w:div w:id="1329670985">
          <w:marLeft w:val="0"/>
          <w:marRight w:val="0"/>
          <w:marTop w:val="0"/>
          <w:marBottom w:val="0"/>
          <w:divBdr>
            <w:top w:val="none" w:sz="0" w:space="0" w:color="auto"/>
            <w:left w:val="none" w:sz="0" w:space="0" w:color="auto"/>
            <w:bottom w:val="none" w:sz="0" w:space="0" w:color="auto"/>
            <w:right w:val="none" w:sz="0" w:space="0" w:color="auto"/>
          </w:divBdr>
        </w:div>
      </w:divsChild>
    </w:div>
    <w:div w:id="1003052602">
      <w:bodyDiv w:val="1"/>
      <w:marLeft w:val="0"/>
      <w:marRight w:val="0"/>
      <w:marTop w:val="0"/>
      <w:marBottom w:val="0"/>
      <w:divBdr>
        <w:top w:val="none" w:sz="0" w:space="0" w:color="auto"/>
        <w:left w:val="none" w:sz="0" w:space="0" w:color="auto"/>
        <w:bottom w:val="none" w:sz="0" w:space="0" w:color="auto"/>
        <w:right w:val="none" w:sz="0" w:space="0" w:color="auto"/>
      </w:divBdr>
    </w:div>
    <w:div w:id="1106926490">
      <w:bodyDiv w:val="1"/>
      <w:marLeft w:val="0"/>
      <w:marRight w:val="0"/>
      <w:marTop w:val="0"/>
      <w:marBottom w:val="0"/>
      <w:divBdr>
        <w:top w:val="none" w:sz="0" w:space="0" w:color="auto"/>
        <w:left w:val="none" w:sz="0" w:space="0" w:color="auto"/>
        <w:bottom w:val="none" w:sz="0" w:space="0" w:color="auto"/>
        <w:right w:val="none" w:sz="0" w:space="0" w:color="auto"/>
      </w:divBdr>
    </w:div>
    <w:div w:id="1237203598">
      <w:bodyDiv w:val="1"/>
      <w:marLeft w:val="0"/>
      <w:marRight w:val="0"/>
      <w:marTop w:val="0"/>
      <w:marBottom w:val="0"/>
      <w:divBdr>
        <w:top w:val="none" w:sz="0" w:space="0" w:color="auto"/>
        <w:left w:val="none" w:sz="0" w:space="0" w:color="auto"/>
        <w:bottom w:val="none" w:sz="0" w:space="0" w:color="auto"/>
        <w:right w:val="none" w:sz="0" w:space="0" w:color="auto"/>
      </w:divBdr>
    </w:div>
    <w:div w:id="1785298700">
      <w:bodyDiv w:val="1"/>
      <w:marLeft w:val="0"/>
      <w:marRight w:val="0"/>
      <w:marTop w:val="0"/>
      <w:marBottom w:val="0"/>
      <w:divBdr>
        <w:top w:val="none" w:sz="0" w:space="0" w:color="auto"/>
        <w:left w:val="none" w:sz="0" w:space="0" w:color="auto"/>
        <w:bottom w:val="none" w:sz="0" w:space="0" w:color="auto"/>
        <w:right w:val="none" w:sz="0" w:space="0" w:color="auto"/>
      </w:divBdr>
      <w:divsChild>
        <w:div w:id="1884903456">
          <w:marLeft w:val="0"/>
          <w:marRight w:val="0"/>
          <w:marTop w:val="0"/>
          <w:marBottom w:val="0"/>
          <w:divBdr>
            <w:top w:val="none" w:sz="0" w:space="0" w:color="auto"/>
            <w:left w:val="none" w:sz="0" w:space="0" w:color="auto"/>
            <w:bottom w:val="none" w:sz="0" w:space="0" w:color="auto"/>
            <w:right w:val="none" w:sz="0" w:space="0" w:color="auto"/>
          </w:divBdr>
        </w:div>
      </w:divsChild>
    </w:div>
    <w:div w:id="19547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likumi.lv/ta/id/269907-publiskas-personas-kapitala-dalu-un-kapitalsabiedribu-parvaldibas-likums" TargetMode="External"/><Relationship Id="rId4" Type="http://schemas.openxmlformats.org/officeDocument/2006/relationships/styles" Target="styles.xml"/><Relationship Id="rId9" Type="http://schemas.openxmlformats.org/officeDocument/2006/relationships/hyperlink" Target="http://likumi.lv/ta/id/269907-publiskas-personas-kapitala-dalu-un-kapitalsabiedribu-parvald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AB6C-816C-423B-B8BE-74DD401048BD}">
  <ds:schemaRefs>
    <ds:schemaRef ds:uri="http://schemas.openxmlformats.org/officeDocument/2006/bibliography"/>
  </ds:schemaRefs>
</ds:datastoreItem>
</file>

<file path=customXml/itemProps2.xml><?xml version="1.0" encoding="utf-8"?>
<ds:datastoreItem xmlns:ds="http://schemas.openxmlformats.org/officeDocument/2006/customXml" ds:itemID="{9E0CAA55-C656-4FA3-85F5-6B60B370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10707</Words>
  <Characters>6104</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valstij dividendēs izmaksājamo valsts sabiedrības ar ierobežotu atbildību "Šampētera nams"</vt:lpstr>
      <vt:lpstr>Ministru kabineta rīkojuma projekta “Par atšķirīgu dividendēs izmaksājamo valsts akciju sabiedrības "Latvijas dzelzceļš" peļņas daļu par 2015.gadu” sākotnējās ietekmes novērtējuma ziņojums (anotācija)</vt:lpstr>
    </vt:vector>
  </TitlesOfParts>
  <Company>Labklājības ministrija</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"Šampētera nams"</dc:title>
  <dc:subject>Anotācija</dc:subject>
  <dc:creator>Dace Kļaviņa</dc:creator>
  <dc:description>Dace.Klavina@lm.gov.lv_x000d_
67021603</dc:description>
  <cp:lastModifiedBy>Aivis Lapinskis</cp:lastModifiedBy>
  <cp:revision>31</cp:revision>
  <cp:lastPrinted>2019-04-15T10:48:00Z</cp:lastPrinted>
  <dcterms:created xsi:type="dcterms:W3CDTF">2019-05-17T07:18:00Z</dcterms:created>
  <dcterms:modified xsi:type="dcterms:W3CDTF">2019-06-10T07:29:00Z</dcterms:modified>
</cp:coreProperties>
</file>