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6EBE" w:rsidR="00647FA5" w:rsidP="00647FA5" w:rsidRDefault="00647FA5" w14:paraId="6138A73C" w14:textId="77777777">
      <w:pPr>
        <w:tabs>
          <w:tab w:val="left" w:pos="7440"/>
        </w:tabs>
      </w:pPr>
    </w:p>
    <w:p w:rsidRPr="00052122" w:rsidR="00A26EBE" w:rsidP="00A26EBE" w:rsidRDefault="00647FA5" w14:paraId="238DAFFD" w14:textId="77777777">
      <w:pPr>
        <w:tabs>
          <w:tab w:val="left" w:pos="7440"/>
        </w:tabs>
        <w:jc w:val="center"/>
        <w:rPr>
          <w:b/>
        </w:rPr>
      </w:pPr>
      <w:r w:rsidRPr="00052122">
        <w:rPr>
          <w:b/>
        </w:rPr>
        <w:t xml:space="preserve">Izziņa </w:t>
      </w:r>
    </w:p>
    <w:p w:rsidR="0090765A" w:rsidP="00052122" w:rsidRDefault="00E448C8" w14:paraId="5DBB6220" w14:textId="77777777">
      <w:pPr>
        <w:jc w:val="center"/>
        <w:rPr>
          <w:b/>
          <w:lang w:eastAsia="lv-LV"/>
        </w:rPr>
      </w:pPr>
      <w:r w:rsidRPr="00052122">
        <w:rPr>
          <w:b/>
          <w:lang w:eastAsia="lv-LV"/>
        </w:rPr>
        <w:t>Par</w:t>
      </w:r>
      <w:r w:rsidRPr="00052122" w:rsidR="00052122">
        <w:rPr>
          <w:b/>
          <w:lang w:eastAsia="lv-LV"/>
        </w:rPr>
        <w:t xml:space="preserve"> atzinumos izteiktajiem iebildumiem par Ministru kabineta noteikumu projektu</w:t>
      </w:r>
      <w:bookmarkStart w:name="_Hlk511805966" w:id="0"/>
      <w:r w:rsidRPr="00052122" w:rsidR="00052122">
        <w:rPr>
          <w:b/>
          <w:lang w:eastAsia="lv-LV"/>
        </w:rPr>
        <w:t xml:space="preserve"> “Grozījumi Ministru kabineta </w:t>
      </w:r>
    </w:p>
    <w:p w:rsidRPr="00052122" w:rsidR="00052122" w:rsidP="00052122" w:rsidRDefault="00052122" w14:paraId="7E312CC0" w14:textId="4D982F81">
      <w:pPr>
        <w:jc w:val="center"/>
        <w:rPr>
          <w:lang w:eastAsia="lv-LV"/>
        </w:rPr>
      </w:pPr>
      <w:r w:rsidRPr="00052122">
        <w:rPr>
          <w:b/>
          <w:lang w:eastAsia="lv-LV"/>
        </w:rPr>
        <w:t>2005.</w:t>
      </w:r>
      <w:r w:rsidR="0090765A">
        <w:rPr>
          <w:b/>
          <w:lang w:eastAsia="lv-LV"/>
        </w:rPr>
        <w:t> </w:t>
      </w:r>
      <w:r w:rsidRPr="00052122">
        <w:rPr>
          <w:b/>
          <w:lang w:eastAsia="lv-LV"/>
        </w:rPr>
        <w:t>gada 17.</w:t>
      </w:r>
      <w:r w:rsidR="0090765A">
        <w:rPr>
          <w:b/>
          <w:lang w:eastAsia="lv-LV"/>
        </w:rPr>
        <w:t> </w:t>
      </w:r>
      <w:r w:rsidRPr="00052122">
        <w:rPr>
          <w:b/>
          <w:lang w:eastAsia="lv-LV"/>
        </w:rPr>
        <w:t>maija noteikumos Nr.</w:t>
      </w:r>
      <w:r w:rsidR="0090765A">
        <w:rPr>
          <w:b/>
          <w:lang w:eastAsia="lv-LV"/>
        </w:rPr>
        <w:t> </w:t>
      </w:r>
      <w:r w:rsidRPr="00052122">
        <w:rPr>
          <w:b/>
          <w:lang w:eastAsia="lv-LV"/>
        </w:rPr>
        <w:t>339 “</w:t>
      </w:r>
      <w:r w:rsidRPr="00052122">
        <w:rPr>
          <w:b/>
          <w:bCs/>
          <w:lang w:eastAsia="lv-LV"/>
        </w:rPr>
        <w:t>Kārtība, kādā atļauts veikt pasažieru un kravas komercpārvadājumus ar citu personu īpašumā esošiem autotransporta līdzekļiem”</w:t>
      </w:r>
      <w:r w:rsidRPr="00052122">
        <w:rPr>
          <w:b/>
          <w:lang w:eastAsia="lv-LV"/>
        </w:rPr>
        <w:t xml:space="preserve"> </w:t>
      </w:r>
    </w:p>
    <w:bookmarkEnd w:id="0"/>
    <w:p w:rsidRPr="00052122" w:rsidR="00647FA5" w:rsidP="00647FA5" w:rsidRDefault="00647FA5" w14:paraId="53C36FF2" w14:textId="360A3708">
      <w:pPr>
        <w:rPr>
          <w:b/>
          <w:lang w:eastAsia="lv-LV"/>
        </w:rPr>
      </w:pPr>
    </w:p>
    <w:p w:rsidRPr="003D63C1" w:rsidR="00E448C8" w:rsidP="00647FA5" w:rsidRDefault="00E448C8" w14:paraId="40EDF2FE" w14:textId="77777777">
      <w:pPr>
        <w:rPr>
          <w:b/>
          <w:lang w:eastAsia="lv-LV"/>
        </w:rPr>
      </w:pPr>
    </w:p>
    <w:p w:rsidRPr="003D63C1" w:rsidR="00647FA5" w:rsidP="00647FA5" w:rsidRDefault="00647FA5" w14:paraId="0BAA7AF2" w14:textId="77777777">
      <w:pPr>
        <w:rPr>
          <w:b/>
          <w:lang w:eastAsia="lv-LV"/>
        </w:rPr>
      </w:pPr>
      <w:r w:rsidRPr="003D63C1">
        <w:rPr>
          <w:b/>
          <w:lang w:eastAsia="lv-LV"/>
        </w:rPr>
        <w:t>I. Jautājumi, par kuriem saskaņošanā vienošanās nav panākta</w:t>
      </w:r>
    </w:p>
    <w:p w:rsidRPr="003D63C1" w:rsidR="00647FA5" w:rsidP="00647FA5" w:rsidRDefault="00647FA5" w14:paraId="263B5C33" w14:textId="77777777">
      <w:pPr>
        <w:pStyle w:val="naisnod"/>
        <w:spacing w:before="0" w:beforeAutospacing="0" w:after="0" w:afterAutospacing="0"/>
        <w:rPr>
          <w:b/>
        </w:rPr>
      </w:pPr>
    </w:p>
    <w:tbl>
      <w:tblPr>
        <w:tblW w:w="13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2268"/>
        <w:gridCol w:w="3827"/>
        <w:gridCol w:w="3119"/>
        <w:gridCol w:w="1842"/>
        <w:gridCol w:w="1977"/>
      </w:tblGrid>
      <w:tr w:rsidRPr="003D63C1" w:rsidR="00647FA5" w:rsidTr="00271864" w14:paraId="1A23AA41" w14:textId="77777777">
        <w:trPr>
          <w:trHeight w:val="1549"/>
          <w:jc w:val="center"/>
        </w:trPr>
        <w:tc>
          <w:tcPr>
            <w:tcW w:w="596" w:type="dxa"/>
          </w:tcPr>
          <w:p w:rsidRPr="003D63C1" w:rsidR="00647FA5" w:rsidP="00AC2C17" w:rsidRDefault="00647FA5" w14:paraId="4E4CD28A" w14:textId="77777777">
            <w:pPr>
              <w:jc w:val="both"/>
            </w:pPr>
            <w:r w:rsidRPr="003D63C1">
              <w:t xml:space="preserve">Nr. </w:t>
            </w:r>
            <w:proofErr w:type="spellStart"/>
            <w:r w:rsidRPr="003D63C1">
              <w:t>p.k</w:t>
            </w:r>
            <w:proofErr w:type="spellEnd"/>
          </w:p>
        </w:tc>
        <w:tc>
          <w:tcPr>
            <w:tcW w:w="2268" w:type="dxa"/>
          </w:tcPr>
          <w:p w:rsidRPr="003D63C1" w:rsidR="00647FA5" w:rsidP="00AC2C17" w:rsidRDefault="00647FA5" w14:paraId="7435D2F1" w14:textId="77777777">
            <w:pPr>
              <w:rPr>
                <w:b/>
              </w:rPr>
            </w:pPr>
            <w:r w:rsidRPr="003D63C1">
              <w:t>Saskaņošanai nosūtītā projekta redakcija (konkrēta punkta (panta) redakcija)</w:t>
            </w:r>
          </w:p>
        </w:tc>
        <w:tc>
          <w:tcPr>
            <w:tcW w:w="3827" w:type="dxa"/>
          </w:tcPr>
          <w:p w:rsidRPr="003D63C1" w:rsidR="00647FA5" w:rsidP="00AC2C17" w:rsidRDefault="00647FA5" w14:paraId="4FEA6D72" w14:textId="77777777">
            <w:pPr>
              <w:jc w:val="both"/>
              <w:rPr>
                <w:b/>
              </w:rPr>
            </w:pPr>
            <w:r w:rsidRPr="003D63C1">
              <w:t xml:space="preserve">Atzinumā norādītais ministrijas (citas institūcijas) iebildums </w:t>
            </w:r>
            <w:r w:rsidRPr="003D63C1">
              <w:rPr>
                <w:lang w:eastAsia="lv-LV"/>
              </w:rPr>
              <w:t>kā arī saskaņošanā papildus izteiktais iebildums par projekta konkrēto punktu (pantu)</w:t>
            </w:r>
          </w:p>
        </w:tc>
        <w:tc>
          <w:tcPr>
            <w:tcW w:w="3119" w:type="dxa"/>
          </w:tcPr>
          <w:p w:rsidRPr="003D63C1" w:rsidR="00647FA5" w:rsidP="00AC2C17" w:rsidRDefault="00647FA5" w14:paraId="6F759F07" w14:textId="77777777">
            <w:pPr>
              <w:jc w:val="both"/>
              <w:rPr>
                <w:b/>
              </w:rPr>
            </w:pPr>
            <w:r w:rsidRPr="003D63C1">
              <w:rPr>
                <w:lang w:eastAsia="lv-LV"/>
              </w:rPr>
              <w:t>Atbildīgās ministrijas pamatojums iebilduma noraidījumam</w:t>
            </w:r>
          </w:p>
        </w:tc>
        <w:tc>
          <w:tcPr>
            <w:tcW w:w="1842" w:type="dxa"/>
          </w:tcPr>
          <w:p w:rsidRPr="003D63C1" w:rsidR="00647FA5" w:rsidP="00AC2C17" w:rsidRDefault="00647FA5" w14:paraId="0E62CFF9" w14:textId="77777777">
            <w:r w:rsidRPr="003D63C1">
              <w:rPr>
                <w:lang w:eastAsia="lv-LV"/>
              </w:rPr>
              <w:t>Atzinuma sniedzēja uzturētais iebildums, ja tas atšķiras no atzinumā norādītā iebilduma pamatojuma</w:t>
            </w:r>
          </w:p>
        </w:tc>
        <w:tc>
          <w:tcPr>
            <w:tcW w:w="1977" w:type="dxa"/>
          </w:tcPr>
          <w:p w:rsidRPr="003D63C1" w:rsidR="00647FA5" w:rsidP="00AC2C17" w:rsidRDefault="00647FA5" w14:paraId="7FD143D1" w14:textId="77777777">
            <w:r w:rsidRPr="003D63C1">
              <w:rPr>
                <w:lang w:eastAsia="lv-LV"/>
              </w:rPr>
              <w:t>Projekta attiecīgā punkta (panta) galīgā redakcija</w:t>
            </w:r>
          </w:p>
        </w:tc>
      </w:tr>
      <w:tr w:rsidRPr="003D63C1" w:rsidR="00273922" w:rsidTr="00E76435" w14:paraId="38EF2E79" w14:textId="77777777">
        <w:trPr>
          <w:trHeight w:val="238"/>
          <w:jc w:val="center"/>
        </w:trPr>
        <w:tc>
          <w:tcPr>
            <w:tcW w:w="596"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654746DE" w14:textId="77777777">
            <w:pPr>
              <w:jc w:val="both"/>
            </w:pPr>
          </w:p>
        </w:tc>
        <w:tc>
          <w:tcPr>
            <w:tcW w:w="2268" w:type="dxa"/>
            <w:tcBorders>
              <w:top w:val="single" w:color="auto" w:sz="4" w:space="0"/>
              <w:left w:val="single" w:color="auto" w:sz="4" w:space="0"/>
              <w:bottom w:val="single" w:color="auto" w:sz="4" w:space="0"/>
              <w:right w:val="single" w:color="auto" w:sz="4" w:space="0"/>
            </w:tcBorders>
          </w:tcPr>
          <w:p w:rsidRPr="003D63C1" w:rsidR="00273922" w:rsidP="00273922" w:rsidRDefault="00273922" w14:paraId="7A76A8E2" w14:textId="77777777"/>
        </w:tc>
        <w:tc>
          <w:tcPr>
            <w:tcW w:w="3827" w:type="dxa"/>
            <w:tcBorders>
              <w:top w:val="single" w:color="auto" w:sz="4" w:space="0"/>
              <w:left w:val="single" w:color="auto" w:sz="4" w:space="0"/>
              <w:bottom w:val="single" w:color="auto" w:sz="4" w:space="0"/>
              <w:right w:val="single" w:color="auto" w:sz="4" w:space="0"/>
            </w:tcBorders>
          </w:tcPr>
          <w:p w:rsidRPr="003D63C1" w:rsidR="00273922" w:rsidP="00894AB4" w:rsidRDefault="00273922" w14:paraId="3539D812" w14:textId="77777777">
            <w:pPr>
              <w:jc w:val="both"/>
            </w:pPr>
          </w:p>
        </w:tc>
        <w:tc>
          <w:tcPr>
            <w:tcW w:w="3119" w:type="dxa"/>
            <w:tcBorders>
              <w:top w:val="single" w:color="auto" w:sz="4" w:space="0"/>
              <w:left w:val="single" w:color="auto" w:sz="4" w:space="0"/>
              <w:bottom w:val="single" w:color="auto" w:sz="4" w:space="0"/>
              <w:right w:val="single" w:color="auto" w:sz="4" w:space="0"/>
            </w:tcBorders>
          </w:tcPr>
          <w:p w:rsidRPr="003D63C1" w:rsidR="00273922" w:rsidP="00AC1AD6" w:rsidRDefault="00273922" w14:paraId="0722E8A9" w14:textId="77777777">
            <w:pPr>
              <w:jc w:val="both"/>
              <w:rPr>
                <w:b/>
                <w:lang w:eastAsia="lv-LV"/>
              </w:rPr>
            </w:pPr>
          </w:p>
        </w:tc>
        <w:tc>
          <w:tcPr>
            <w:tcW w:w="1842"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61443EC2" w14:textId="77777777">
            <w:pPr>
              <w:rPr>
                <w:lang w:eastAsia="lv-LV"/>
              </w:rPr>
            </w:pPr>
          </w:p>
        </w:tc>
        <w:tc>
          <w:tcPr>
            <w:tcW w:w="1977"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12288E7E" w14:textId="77777777">
            <w:pPr>
              <w:rPr>
                <w:lang w:eastAsia="lv-LV"/>
              </w:rPr>
            </w:pPr>
          </w:p>
        </w:tc>
      </w:tr>
    </w:tbl>
    <w:p w:rsidRPr="003D63C1" w:rsidR="00273922" w:rsidRDefault="00273922" w14:paraId="4AD6A25C" w14:textId="77777777"/>
    <w:p w:rsidRPr="003D63C1" w:rsidR="00647FA5" w:rsidP="00FC101D" w:rsidRDefault="00647FA5" w14:paraId="271F8B6D" w14:textId="7728DCFE">
      <w:pPr>
        <w:pStyle w:val="naiskr"/>
        <w:spacing w:before="0" w:beforeAutospacing="0" w:after="0" w:afterAutospacing="0"/>
      </w:pPr>
      <w:r w:rsidRPr="003D63C1">
        <w:t xml:space="preserve">Informācija par </w:t>
      </w:r>
      <w:proofErr w:type="spellStart"/>
      <w:r w:rsidRPr="003D63C1">
        <w:t>starpministriju</w:t>
      </w:r>
      <w:proofErr w:type="spellEnd"/>
      <w:r w:rsidRPr="003D63C1">
        <w:t xml:space="preserve"> (starpinstitūciju) sanāksmi vai elektronisko saskaņošanu</w:t>
      </w:r>
      <w:r w:rsidRPr="003D63C1" w:rsidR="00CD6443">
        <w:t xml:space="preserve">: </w:t>
      </w:r>
      <w:r w:rsidRPr="003D63C1" w:rsidR="00E82695">
        <w:t xml:space="preserve"> </w:t>
      </w:r>
      <w:r w:rsidR="006A21B8">
        <w:t>15.07.2019.</w:t>
      </w:r>
    </w:p>
    <w:p w:rsidRPr="003D63C1" w:rsidR="00647FA5" w:rsidP="00647FA5" w:rsidRDefault="00647FA5" w14:paraId="00348C93" w14:textId="77777777">
      <w:pPr>
        <w:jc w:val="right"/>
        <w:rPr>
          <w:b/>
          <w:bCs/>
        </w:rPr>
      </w:pPr>
    </w:p>
    <w:p w:rsidRPr="00A15222" w:rsidR="00A15222" w:rsidP="000E3451" w:rsidRDefault="00647FA5" w14:paraId="58D82C75" w14:textId="0FA78B9B">
      <w:pPr>
        <w:ind w:left="4320" w:hanging="4320"/>
      </w:pPr>
      <w:r w:rsidRPr="00A15222">
        <w:t xml:space="preserve">Saskaņošanas dalībnieki </w:t>
      </w:r>
      <w:r w:rsidRPr="00A15222">
        <w:tab/>
      </w:r>
      <w:r w:rsidR="00A15222">
        <w:t xml:space="preserve"> </w:t>
      </w:r>
      <w:r w:rsidR="00B2310B">
        <w:t xml:space="preserve">Tieslietu ministrija, Finanšu ministrija, Latvijas </w:t>
      </w:r>
      <w:r w:rsidR="00985B0C">
        <w:t>B</w:t>
      </w:r>
      <w:r w:rsidR="00B2310B">
        <w:t xml:space="preserve">rīvo </w:t>
      </w:r>
      <w:proofErr w:type="spellStart"/>
      <w:r w:rsidR="00B2310B">
        <w:t>arodbiedŗību</w:t>
      </w:r>
      <w:proofErr w:type="spellEnd"/>
      <w:r w:rsidR="00B2310B">
        <w:t xml:space="preserve"> savienība.</w:t>
      </w:r>
    </w:p>
    <w:p w:rsidRPr="00A15222" w:rsidR="007C0E3D" w:rsidP="007C0E3D" w:rsidRDefault="007C0E3D" w14:paraId="68BE5FED" w14:textId="39071BAA">
      <w:pPr>
        <w:ind w:left="6096" w:hanging="6096"/>
        <w:jc w:val="both"/>
        <w:rPr>
          <w:bCs/>
        </w:rPr>
      </w:pPr>
    </w:p>
    <w:p w:rsidRPr="00A15222" w:rsidR="00647FA5" w:rsidP="007C3673" w:rsidRDefault="00B41237" w14:paraId="05373C3D" w14:textId="3C9B7AE2">
      <w:pPr>
        <w:ind w:left="6096" w:hanging="6096"/>
        <w:jc w:val="both"/>
      </w:pPr>
      <w:r w:rsidRPr="00A15222">
        <w:t xml:space="preserve">  </w:t>
      </w:r>
    </w:p>
    <w:p w:rsidRPr="00A15222" w:rsidR="00BF5654" w:rsidP="00B41237" w:rsidRDefault="00647FA5" w14:paraId="2411A0E6" w14:textId="77777777">
      <w:pPr>
        <w:tabs>
          <w:tab w:val="left" w:pos="6096"/>
        </w:tabs>
        <w:ind w:left="6096" w:hanging="6096"/>
        <w:jc w:val="both"/>
      </w:pPr>
      <w:r w:rsidRPr="00A15222">
        <w:t>Saskaņošanas dalīb</w:t>
      </w:r>
      <w:r w:rsidRPr="00A15222" w:rsidR="00950516">
        <w:t>nieki izskatīja šādu ministriju</w:t>
      </w:r>
      <w:r w:rsidRPr="00A15222" w:rsidR="00BF5654">
        <w:t xml:space="preserve">(citu institūciju) </w:t>
      </w:r>
    </w:p>
    <w:p w:rsidRPr="00A15222" w:rsidR="00BF5654" w:rsidP="00BF5654" w:rsidRDefault="00BF5654" w14:paraId="13FB2BE4" w14:textId="202A25E3">
      <w:pPr>
        <w:tabs>
          <w:tab w:val="left" w:pos="6096"/>
        </w:tabs>
        <w:ind w:left="6096" w:hanging="6096"/>
        <w:jc w:val="both"/>
      </w:pPr>
      <w:r w:rsidRPr="00A15222">
        <w:t>iebildumus</w:t>
      </w:r>
      <w:r w:rsidRPr="00A15222" w:rsidR="00663F12">
        <w:t xml:space="preserve">: </w:t>
      </w:r>
      <w:r w:rsidRPr="00A15222" w:rsidR="00663F12">
        <w:tab/>
        <w:t xml:space="preserve"> </w:t>
      </w:r>
      <w:r w:rsidR="00B2310B">
        <w:tab/>
      </w:r>
      <w:r w:rsidR="00B2310B">
        <w:tab/>
        <w:t>Tieslietu ministrija</w:t>
      </w:r>
    </w:p>
    <w:p w:rsidRPr="00A15222" w:rsidR="00647FA5" w:rsidP="00BF5654" w:rsidRDefault="00647FA5" w14:paraId="0AC84282" w14:textId="0B073D98">
      <w:pPr>
        <w:jc w:val="both"/>
      </w:pPr>
      <w:r w:rsidRPr="00A15222">
        <w:t xml:space="preserve">Ministrijas (citas institūcijas), kuras nav ieradušās uz </w:t>
      </w:r>
    </w:p>
    <w:p w:rsidRPr="003D63C1" w:rsidR="00647FA5" w:rsidP="00BF5654" w:rsidRDefault="00647FA5" w14:paraId="3FAC1991" w14:textId="77777777">
      <w:pPr>
        <w:rPr>
          <w:color w:val="000000"/>
        </w:rPr>
      </w:pPr>
      <w:r w:rsidRPr="00A15222">
        <w:t>sanāksmi vai kuras nav atbildējušas uz uzaicinājumu</w:t>
      </w:r>
      <w:r w:rsidRPr="003D63C1">
        <w:t xml:space="preserve"> </w:t>
      </w:r>
      <w:r w:rsidRPr="003D63C1">
        <w:tab/>
      </w:r>
    </w:p>
    <w:p w:rsidR="00A15222" w:rsidP="00117FDE" w:rsidRDefault="00647FA5" w14:paraId="390B0445" w14:textId="21B99978">
      <w:pPr>
        <w:ind w:left="6096" w:hanging="6096"/>
        <w:jc w:val="both"/>
      </w:pPr>
      <w:r w:rsidRPr="003D63C1">
        <w:t xml:space="preserve">piedalīties elektroniskajā saskaņošanā </w:t>
      </w:r>
      <w:r w:rsidRPr="003D63C1" w:rsidR="00B41237">
        <w:t xml:space="preserve">                                  </w:t>
      </w:r>
      <w:r w:rsidRPr="003D63C1" w:rsidR="007C3673">
        <w:t xml:space="preserve">  </w:t>
      </w:r>
    </w:p>
    <w:p w:rsidRPr="003D63C1" w:rsidR="00647FA5" w:rsidP="00117FDE" w:rsidRDefault="00FA00DD" w14:paraId="4CC9D84A" w14:textId="02776284">
      <w:pPr>
        <w:ind w:left="6096" w:hanging="6096"/>
        <w:jc w:val="both"/>
        <w:rPr>
          <w:bCs/>
        </w:rPr>
      </w:pPr>
      <w:r w:rsidRPr="003D63C1">
        <w:t xml:space="preserve"> </w:t>
      </w:r>
      <w:r w:rsidRPr="003D63C1" w:rsidR="002A1C06">
        <w:t xml:space="preserve"> </w:t>
      </w:r>
    </w:p>
    <w:p w:rsidRPr="003D63C1" w:rsidR="00647FA5" w:rsidP="00647FA5" w:rsidRDefault="00647FA5" w14:paraId="767B5E27" w14:textId="47FE7BEF">
      <w:pPr>
        <w:jc w:val="both"/>
        <w:rPr>
          <w:bCs/>
        </w:rPr>
      </w:pPr>
      <w:r w:rsidRPr="003D63C1">
        <w:rPr>
          <w:bCs/>
        </w:rPr>
        <w:t>Saskaņošanas dalībnieki izskatīja precizēto Ministru kabineta noteikumu projektu.</w:t>
      </w:r>
    </w:p>
    <w:p w:rsidR="007C3673" w:rsidP="00647FA5" w:rsidRDefault="007C3673" w14:paraId="08E54DCA" w14:textId="4F61E491">
      <w:pPr>
        <w:jc w:val="both"/>
        <w:rPr>
          <w:bCs/>
        </w:rPr>
      </w:pPr>
    </w:p>
    <w:p w:rsidRPr="003D63C1" w:rsidR="00052122" w:rsidP="00647FA5" w:rsidRDefault="00052122" w14:paraId="3BCB3D49" w14:textId="77777777">
      <w:pPr>
        <w:jc w:val="both"/>
        <w:rPr>
          <w:bCs/>
        </w:rPr>
      </w:pPr>
    </w:p>
    <w:p w:rsidRPr="003D63C1" w:rsidR="00647FA5" w:rsidP="00992A69" w:rsidRDefault="00647FA5" w14:paraId="4DBA26B9" w14:textId="4616EBEA">
      <w:pPr>
        <w:tabs>
          <w:tab w:val="left" w:pos="1890"/>
        </w:tabs>
        <w:ind w:firstLine="720"/>
        <w:jc w:val="center"/>
        <w:rPr>
          <w:b/>
        </w:rPr>
      </w:pPr>
      <w:r w:rsidRPr="003D63C1">
        <w:rPr>
          <w:b/>
        </w:rPr>
        <w:t>II. Jautājumi, par kuriem saskaņošanā vienošanās ir panākta</w:t>
      </w:r>
    </w:p>
    <w:p w:rsidRPr="003D63C1" w:rsidR="00992A69" w:rsidP="00992A69" w:rsidRDefault="00992A69" w14:paraId="78654BF1" w14:textId="77777777">
      <w:pPr>
        <w:tabs>
          <w:tab w:val="left" w:pos="1890"/>
        </w:tabs>
        <w:ind w:firstLine="720"/>
        <w:jc w:val="center"/>
        <w:rPr>
          <w:b/>
        </w:rPr>
      </w:pPr>
    </w:p>
    <w:tbl>
      <w:tblP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7"/>
        <w:gridCol w:w="2922"/>
        <w:gridCol w:w="4874"/>
        <w:gridCol w:w="2835"/>
        <w:gridCol w:w="2922"/>
      </w:tblGrid>
      <w:tr w:rsidRPr="003D63C1" w:rsidR="00647FA5" w:rsidTr="00B357D4" w14:paraId="0E0FEF78" w14:textId="77777777">
        <w:trPr>
          <w:trHeight w:val="2455"/>
          <w:jc w:val="center"/>
        </w:trPr>
        <w:tc>
          <w:tcPr>
            <w:tcW w:w="617" w:type="dxa"/>
          </w:tcPr>
          <w:p w:rsidRPr="003D63C1" w:rsidR="00647FA5" w:rsidP="00AC2C17" w:rsidRDefault="00647FA5" w14:paraId="796C768C" w14:textId="77777777">
            <w:pPr>
              <w:jc w:val="center"/>
            </w:pPr>
            <w:r w:rsidRPr="003D63C1">
              <w:t>Nr. p.k.</w:t>
            </w:r>
          </w:p>
        </w:tc>
        <w:tc>
          <w:tcPr>
            <w:tcW w:w="2922" w:type="dxa"/>
            <w:vAlign w:val="center"/>
          </w:tcPr>
          <w:p w:rsidRPr="003D63C1" w:rsidR="00647FA5" w:rsidP="00AC2C17" w:rsidRDefault="00647FA5" w14:paraId="510CD5EA" w14:textId="77777777">
            <w:pPr>
              <w:jc w:val="center"/>
            </w:pPr>
            <w:r w:rsidRPr="003D63C1">
              <w:t>Saskaņošanai nosūtītā projekta redakcija (konkrēta punkta (panta) redakcija)</w:t>
            </w:r>
          </w:p>
        </w:tc>
        <w:tc>
          <w:tcPr>
            <w:tcW w:w="4874" w:type="dxa"/>
            <w:vAlign w:val="center"/>
          </w:tcPr>
          <w:p w:rsidRPr="003D63C1" w:rsidR="00647FA5" w:rsidP="00AC2C17" w:rsidRDefault="00647FA5" w14:paraId="747751FD" w14:textId="77777777">
            <w:pPr>
              <w:jc w:val="center"/>
            </w:pPr>
            <w:r w:rsidRPr="003D63C1">
              <w:t>Atzinumā norādītais ministrijas (citas institūcijas) iebildums par projekta konkrēto punktu (pantu)</w:t>
            </w:r>
          </w:p>
        </w:tc>
        <w:tc>
          <w:tcPr>
            <w:tcW w:w="2835" w:type="dxa"/>
            <w:vAlign w:val="center"/>
          </w:tcPr>
          <w:p w:rsidRPr="003D63C1" w:rsidR="00647FA5" w:rsidP="00AC2C17" w:rsidRDefault="00647FA5" w14:paraId="20914AE7" w14:textId="77777777">
            <w:pPr>
              <w:jc w:val="center"/>
            </w:pPr>
            <w:r w:rsidRPr="003D63C1">
              <w:t>Ministrijas (citas institūcijas) viedoklis par izteikto iebildumu (attiecīgi norādot, vai iebildums ir ņemts vērā, noraidīts vai panākta vienošanās starpinstitūciju sanāksmē)</w:t>
            </w:r>
          </w:p>
        </w:tc>
        <w:tc>
          <w:tcPr>
            <w:tcW w:w="2922" w:type="dxa"/>
            <w:vAlign w:val="center"/>
          </w:tcPr>
          <w:p w:rsidRPr="003D63C1" w:rsidR="00647FA5" w:rsidP="00AC2C17" w:rsidRDefault="00647FA5" w14:paraId="00F33A4B" w14:textId="77777777">
            <w:pPr>
              <w:jc w:val="center"/>
            </w:pPr>
            <w:r w:rsidRPr="003D63C1">
              <w:t>Projekta attiecīgā punkta (panta) galīgā redakcija vai atsauce uz starpinstitūciju sanāksmes protokola punktu, kurā ir formulēta attiecīgā punkta (panta) redakcija vai atšķirīgie viedokļi par konkrēto punktu (pantu)</w:t>
            </w:r>
          </w:p>
        </w:tc>
      </w:tr>
      <w:tr w:rsidRPr="00052122" w:rsidR="009D36BE" w:rsidTr="00B41237" w14:paraId="60DFEE92" w14:textId="77777777">
        <w:trPr>
          <w:trHeight w:val="839"/>
          <w:jc w:val="center"/>
        </w:trPr>
        <w:tc>
          <w:tcPr>
            <w:tcW w:w="617" w:type="dxa"/>
          </w:tcPr>
          <w:p w:rsidRPr="00052122" w:rsidR="009D36BE" w:rsidP="009D36BE" w:rsidRDefault="00052122" w14:paraId="1462861F" w14:textId="5A57EFA8">
            <w:pPr>
              <w:jc w:val="center"/>
            </w:pPr>
            <w:r w:rsidRPr="00052122">
              <w:t>1.</w:t>
            </w:r>
          </w:p>
        </w:tc>
        <w:tc>
          <w:tcPr>
            <w:tcW w:w="2922" w:type="dxa"/>
          </w:tcPr>
          <w:p w:rsidRPr="00052122" w:rsidR="009D36BE" w:rsidP="003D63C1" w:rsidRDefault="000A66FB" w14:paraId="1289AE80" w14:textId="7F54CF20">
            <w:pPr>
              <w:rPr>
                <w:lang w:eastAsia="lv-LV"/>
              </w:rPr>
            </w:pPr>
            <w:r>
              <w:rPr>
                <w:lang w:eastAsia="lv-LV"/>
              </w:rPr>
              <w:t>Noteikumu projek</w:t>
            </w:r>
            <w:bookmarkStart w:name="_GoBack" w:id="1"/>
            <w:bookmarkEnd w:id="1"/>
            <w:r>
              <w:rPr>
                <w:lang w:eastAsia="lv-LV"/>
              </w:rPr>
              <w:t>ts.</w:t>
            </w:r>
          </w:p>
        </w:tc>
        <w:tc>
          <w:tcPr>
            <w:tcW w:w="4874" w:type="dxa"/>
          </w:tcPr>
          <w:p w:rsidRPr="00052122" w:rsidR="007259F9" w:rsidP="007259F9" w:rsidRDefault="007259F9" w14:paraId="1A3A510B" w14:textId="72BF76EC">
            <w:pPr>
              <w:jc w:val="both"/>
              <w:rPr>
                <w:b/>
                <w:bCs/>
              </w:rPr>
            </w:pPr>
            <w:r w:rsidRPr="00052122">
              <w:rPr>
                <w:b/>
                <w:bCs/>
              </w:rPr>
              <w:t>Tieslietu ministrija</w:t>
            </w:r>
          </w:p>
          <w:p w:rsidR="00052122" w:rsidP="00052122" w:rsidRDefault="007259F9" w14:paraId="3604443D" w14:textId="77777777">
            <w:pPr>
              <w:tabs>
                <w:tab w:val="left" w:pos="993"/>
              </w:tabs>
              <w:jc w:val="both"/>
            </w:pPr>
            <w:r w:rsidRPr="00052122">
              <w:t xml:space="preserve">Autopārvadājumu likuma (turpmāk - Likums) 35. panta septītā daļa kā viens no spēkā esošo noteikumu tiesiskās izdošanas pamatiem nosaka: “Speciālā atļauja (licence) dod pārvadātājam tiesības veikt </w:t>
            </w:r>
            <w:r w:rsidRPr="00052122">
              <w:rPr>
                <w:u w:val="single"/>
              </w:rPr>
              <w:t>pasažieru komercpārvadājumus</w:t>
            </w:r>
            <w:r w:rsidRPr="00052122">
              <w:t xml:space="preserve"> ar pārvadātāja īpašumā esošu transportlīdzekli vai — Ministru kabineta noteiktajā kārtībā — ar citu personu īpašumā esošu transportlīdzekli.” Likumprojekts “Grozījumi Autopārvadājumu likumā” (Nr.273/lp13), kas pieņemts Saeimā 2019. gada 13. jūnijā 3. lasījumā, izslēdz Likuma 35. panta septīto daļu.</w:t>
            </w:r>
          </w:p>
          <w:p w:rsidRPr="00052122" w:rsidR="007259F9" w:rsidP="00052122" w:rsidRDefault="00052122" w14:paraId="627069C5" w14:textId="44B42E52">
            <w:pPr>
              <w:tabs>
                <w:tab w:val="left" w:pos="993"/>
              </w:tabs>
              <w:jc w:val="both"/>
            </w:pPr>
            <w:r>
              <w:t xml:space="preserve">    </w:t>
            </w:r>
            <w:r w:rsidRPr="00052122" w:rsidR="007259F9">
              <w:t xml:space="preserve">Ņemot vērā minēto likumprojektu, projekts paredz svītrot norādē uz spēkā esošo noteikumu izdošanas tiesisko pamatu atsauci uz Likuma 35. panta septīto daļu. Likuma 6. panta otrā daļa un 30. panta otrā daļa kā spēkā esošo noteikumu izdošanas tiesiskais pamats ir attiecināms uz kārtību, kādā atļauts veikt pasažieru un kravas </w:t>
            </w:r>
            <w:r w:rsidRPr="00052122" w:rsidR="007259F9">
              <w:rPr>
                <w:u w:val="single"/>
              </w:rPr>
              <w:t>pārvadājumus, nevis komercpārvadājumus</w:t>
            </w:r>
            <w:r w:rsidRPr="00052122" w:rsidR="007259F9">
              <w:t xml:space="preserve"> ar citu personu īpašumā esošiem autotransporta </w:t>
            </w:r>
            <w:r w:rsidRPr="00052122" w:rsidR="007259F9">
              <w:lastRenderedPageBreak/>
              <w:t>līdzekļiem. Lai spēkā esošo noteikumu 1. punktā paredzētais tvērums atbilstu Likuma 6. panta otrajā daļā un 30. panta otrajā daļā paredzētajam pilnvarojumam Ministru kabinetam, lūdzam papildināt projektu ar grozījumiem spēkā esošo noteikumu 1. punktā, aizstājot vārdu “komercpārvadājumus” ar vārdu “pārvadājumus”.</w:t>
            </w:r>
          </w:p>
          <w:p w:rsidRPr="00052122" w:rsidR="007259F9" w:rsidP="007259F9" w:rsidRDefault="007259F9" w14:paraId="0D969B0A" w14:textId="77777777">
            <w:pPr>
              <w:tabs>
                <w:tab w:val="left" w:pos="709"/>
                <w:tab w:val="left" w:pos="993"/>
              </w:tabs>
              <w:ind w:firstLine="709"/>
              <w:jc w:val="both"/>
            </w:pPr>
            <w:r w:rsidRPr="00052122">
              <w:t>Vienlaikus lūdzam precizēt arī spēkā esošo noteikumu nosaukumu, aizstājot tajā vārdu “komercpārvadājumus” ar vārdu “pārvadājumus”.</w:t>
            </w:r>
          </w:p>
          <w:p w:rsidRPr="00052122" w:rsidR="009D36BE" w:rsidP="007259F9" w:rsidRDefault="009D36BE" w14:paraId="4D5167D2" w14:textId="77777777">
            <w:pPr>
              <w:pStyle w:val="ListParagraph"/>
              <w:numPr>
                <w:ilvl w:val="0"/>
                <w:numId w:val="11"/>
              </w:numPr>
              <w:ind w:left="0"/>
              <w:jc w:val="both"/>
              <w:rPr>
                <w:rStyle w:val="FontStyle14"/>
                <w:rFonts w:ascii="Times New Roman" w:hAnsi="Times New Roman" w:cs="Times New Roman"/>
                <w:sz w:val="24"/>
                <w:szCs w:val="24"/>
              </w:rPr>
            </w:pPr>
          </w:p>
        </w:tc>
        <w:tc>
          <w:tcPr>
            <w:tcW w:w="2835" w:type="dxa"/>
          </w:tcPr>
          <w:p w:rsidRPr="00052122" w:rsidR="009D36BE" w:rsidP="00B968E0" w:rsidRDefault="007259F9" w14:paraId="4708CD8A" w14:textId="2275D988">
            <w:r w:rsidRPr="00052122">
              <w:lastRenderedPageBreak/>
              <w:t>Iebildums ņemts vērā</w:t>
            </w:r>
          </w:p>
        </w:tc>
        <w:tc>
          <w:tcPr>
            <w:tcW w:w="2922" w:type="dxa"/>
          </w:tcPr>
          <w:p w:rsidRPr="00052122" w:rsidR="00685310" w:rsidP="00F2775D" w:rsidRDefault="00052122" w14:paraId="5B22CB59" w14:textId="69F46914">
            <w:pPr>
              <w:ind w:right="180"/>
              <w:jc w:val="both"/>
              <w:rPr>
                <w:bCs/>
                <w:lang w:eastAsia="lv-LV"/>
              </w:rPr>
            </w:pPr>
            <w:r>
              <w:rPr>
                <w:bCs/>
                <w:lang w:eastAsia="lv-LV"/>
              </w:rPr>
              <w:t>Skatīt precizēto noteikumu projektu.</w:t>
            </w:r>
          </w:p>
        </w:tc>
      </w:tr>
    </w:tbl>
    <w:p w:rsidRPr="003D63C1" w:rsidR="001F00DF" w:rsidP="001F00DF" w:rsidRDefault="001F00DF" w14:paraId="083B7623" w14:textId="2933E952">
      <w:pPr>
        <w:ind w:firstLine="720"/>
        <w:jc w:val="both"/>
      </w:pPr>
    </w:p>
    <w:p w:rsidRPr="003D63C1" w:rsidR="001F00DF" w:rsidP="001C0E3D" w:rsidRDefault="001F00DF" w14:paraId="6C2FC83F" w14:textId="51AFF527">
      <w:pPr>
        <w:jc w:val="both"/>
      </w:pPr>
      <w:r w:rsidRPr="003D63C1">
        <w:t xml:space="preserve">Atbildīgā amatpersona </w:t>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proofErr w:type="spellStart"/>
      <w:r w:rsidRPr="003D63C1">
        <w:t>T.Vectirāns</w:t>
      </w:r>
      <w:proofErr w:type="spellEnd"/>
    </w:p>
    <w:p w:rsidRPr="003D63C1" w:rsidR="00102529" w:rsidP="00102529" w:rsidRDefault="00102529" w14:paraId="548C5F11" w14:textId="77777777">
      <w:bookmarkStart w:name="_MailAutoSig" w:id="2"/>
      <w:r w:rsidRPr="003D63C1">
        <w:t>Satiksmes ministrijas</w:t>
      </w:r>
    </w:p>
    <w:p w:rsidRPr="003D63C1" w:rsidR="00102529" w:rsidP="00102529" w:rsidRDefault="00102529" w14:paraId="2827DEFA" w14:textId="321745F6">
      <w:r w:rsidRPr="003D63C1">
        <w:t>Autosatiksmes departamenta</w:t>
      </w:r>
      <w:r w:rsidRPr="003D63C1" w:rsidR="005A747D">
        <w:t xml:space="preserve"> direk</w:t>
      </w:r>
      <w:r w:rsidRPr="003D63C1" w:rsidR="001749FC">
        <w:t>tors</w:t>
      </w:r>
    </w:p>
    <w:p w:rsidRPr="003D63C1" w:rsidR="007408A3" w:rsidP="001F00DF" w:rsidRDefault="00102529" w14:paraId="2B0581EA" w14:textId="0C3F8915">
      <w:r w:rsidRPr="003D63C1">
        <w:t>67028</w:t>
      </w:r>
      <w:r w:rsidRPr="003D63C1" w:rsidR="001749FC">
        <w:t>300</w:t>
      </w:r>
      <w:r w:rsidRPr="003D63C1" w:rsidR="00535D84">
        <w:t xml:space="preserve"> </w:t>
      </w:r>
    </w:p>
    <w:p w:rsidRPr="003D63C1" w:rsidR="00102529" w:rsidP="001F00DF" w:rsidRDefault="001749FC" w14:paraId="01F96B86" w14:textId="46C75700">
      <w:r w:rsidRPr="003D63C1">
        <w:t>Talivaldis.Vectirans@sam.gov.lv</w:t>
      </w:r>
      <w:bookmarkEnd w:id="2"/>
    </w:p>
    <w:sectPr w:rsidRPr="003D63C1" w:rsidR="00102529" w:rsidSect="00CA43B9">
      <w:headerReference w:type="default" r:id="rId8"/>
      <w:footerReference w:type="default" r:id="rId9"/>
      <w:footerReference w:type="first" r:id="rId10"/>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547A" w14:textId="77777777" w:rsidR="002F37E0" w:rsidRDefault="002F37E0" w:rsidP="002F37E0">
      <w:r>
        <w:separator/>
      </w:r>
    </w:p>
  </w:endnote>
  <w:endnote w:type="continuationSeparator" w:id="0">
    <w:p w14:paraId="7D275B61" w14:textId="77777777" w:rsidR="002F37E0" w:rsidRDefault="002F37E0"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DD37" w14:textId="294E317F" w:rsidR="00E44A46" w:rsidRPr="00AF3CA2" w:rsidRDefault="00B602F7" w:rsidP="00B602F7">
    <w:pPr>
      <w:tabs>
        <w:tab w:val="left" w:pos="7440"/>
      </w:tabs>
      <w:rPr>
        <w:b/>
        <w:sz w:val="20"/>
        <w:szCs w:val="20"/>
      </w:rPr>
    </w:pPr>
    <w:r w:rsidRPr="00AF3CA2">
      <w:rPr>
        <w:sz w:val="20"/>
        <w:szCs w:val="20"/>
      </w:rPr>
      <w:t>SMIzz</w:t>
    </w:r>
    <w:r w:rsidR="00675AD0" w:rsidRPr="00AF3CA2">
      <w:rPr>
        <w:sz w:val="20"/>
        <w:szCs w:val="20"/>
      </w:rPr>
      <w:t>_</w:t>
    </w:r>
    <w:r w:rsidR="002D0562" w:rsidRPr="00AF3CA2">
      <w:rPr>
        <w:sz w:val="20"/>
        <w:szCs w:val="20"/>
      </w:rPr>
      <w:t>2</w:t>
    </w:r>
    <w:r w:rsidR="00853C75">
      <w:rPr>
        <w:sz w:val="20"/>
        <w:szCs w:val="20"/>
      </w:rPr>
      <w:t>2</w:t>
    </w:r>
    <w:r w:rsidR="00E82695" w:rsidRPr="00AF3CA2">
      <w:rPr>
        <w:sz w:val="20"/>
        <w:szCs w:val="20"/>
      </w:rPr>
      <w:t>0</w:t>
    </w:r>
    <w:r w:rsidR="00B2310B" w:rsidRPr="00AF3CA2">
      <w:rPr>
        <w:sz w:val="20"/>
        <w:szCs w:val="20"/>
      </w:rPr>
      <w:t>7</w:t>
    </w:r>
    <w:r w:rsidR="00675AD0" w:rsidRPr="00AF3CA2">
      <w:rPr>
        <w:sz w:val="20"/>
        <w:szCs w:val="20"/>
      </w:rPr>
      <w:t>1</w:t>
    </w:r>
    <w:r w:rsidR="00B2310B" w:rsidRPr="00AF3CA2">
      <w:rPr>
        <w:sz w:val="20"/>
        <w:szCs w:val="20"/>
      </w:rPr>
      <w:t>9</w:t>
    </w:r>
    <w:r w:rsidRPr="00AF3CA2">
      <w:rPr>
        <w:sz w:val="20"/>
        <w:szCs w:val="20"/>
      </w:rPr>
      <w:t>_</w:t>
    </w:r>
    <w:r w:rsidR="00AF3CA2" w:rsidRPr="00AF3CA2">
      <w:rPr>
        <w:sz w:val="20"/>
        <w:szCs w:val="20"/>
      </w:rPr>
      <w:t>VSS-582</w:t>
    </w:r>
  </w:p>
  <w:p w14:paraId="16456B50" w14:textId="77777777" w:rsidR="002F37E0" w:rsidRPr="00FC101D" w:rsidRDefault="002F37E0"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FBC" w14:textId="596F3612" w:rsidR="004E4A17" w:rsidRPr="00AF3CA2" w:rsidRDefault="004E4A17" w:rsidP="004E4A17">
    <w:pPr>
      <w:tabs>
        <w:tab w:val="left" w:pos="7440"/>
      </w:tabs>
      <w:rPr>
        <w:b/>
        <w:sz w:val="20"/>
        <w:szCs w:val="20"/>
      </w:rPr>
    </w:pPr>
    <w:r w:rsidRPr="00AF3CA2">
      <w:rPr>
        <w:sz w:val="20"/>
        <w:szCs w:val="20"/>
      </w:rPr>
      <w:t>SMIzz</w:t>
    </w:r>
    <w:r w:rsidR="0020098D" w:rsidRPr="00AF3CA2">
      <w:rPr>
        <w:sz w:val="20"/>
        <w:szCs w:val="20"/>
      </w:rPr>
      <w:t>_</w:t>
    </w:r>
    <w:r w:rsidR="002D0562" w:rsidRPr="00AF3CA2">
      <w:rPr>
        <w:sz w:val="20"/>
        <w:szCs w:val="20"/>
      </w:rPr>
      <w:t>2</w:t>
    </w:r>
    <w:r w:rsidR="00853C75">
      <w:rPr>
        <w:sz w:val="20"/>
        <w:szCs w:val="20"/>
      </w:rPr>
      <w:t>2</w:t>
    </w:r>
    <w:r w:rsidR="00992A69" w:rsidRPr="00AF3CA2">
      <w:rPr>
        <w:sz w:val="20"/>
        <w:szCs w:val="20"/>
      </w:rPr>
      <w:t>0</w:t>
    </w:r>
    <w:r w:rsidR="00B2310B" w:rsidRPr="00AF3CA2">
      <w:rPr>
        <w:sz w:val="20"/>
        <w:szCs w:val="20"/>
      </w:rPr>
      <w:t>7</w:t>
    </w:r>
    <w:r w:rsidR="0020098D" w:rsidRPr="00AF3CA2">
      <w:rPr>
        <w:sz w:val="20"/>
        <w:szCs w:val="20"/>
      </w:rPr>
      <w:t>1</w:t>
    </w:r>
    <w:r w:rsidR="00B2310B" w:rsidRPr="00AF3CA2">
      <w:rPr>
        <w:sz w:val="20"/>
        <w:szCs w:val="20"/>
      </w:rPr>
      <w:t>9</w:t>
    </w:r>
    <w:r w:rsidRPr="00AF3CA2">
      <w:rPr>
        <w:sz w:val="20"/>
        <w:szCs w:val="20"/>
      </w:rPr>
      <w:t>_</w:t>
    </w:r>
    <w:r w:rsidR="00AF3CA2" w:rsidRPr="00AF3CA2">
      <w:rPr>
        <w:sz w:val="20"/>
        <w:szCs w:val="20"/>
      </w:rPr>
      <w:t>VSS-582</w:t>
    </w:r>
  </w:p>
  <w:p w14:paraId="6BFE0C17" w14:textId="77777777" w:rsidR="00FC101D" w:rsidRPr="0039637B" w:rsidRDefault="00FC101D" w:rsidP="00FC101D">
    <w:pPr>
      <w:tabs>
        <w:tab w:val="left" w:pos="7440"/>
      </w:tabs>
      <w:jc w:val="center"/>
      <w:rPr>
        <w:b/>
      </w:rPr>
    </w:pPr>
  </w:p>
  <w:p w14:paraId="0C22AE31" w14:textId="77777777" w:rsidR="002F37E0" w:rsidRDefault="002F37E0" w:rsidP="002F37E0">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BAB0" w14:textId="77777777" w:rsidR="002F37E0" w:rsidRDefault="002F37E0" w:rsidP="002F37E0">
      <w:r>
        <w:separator/>
      </w:r>
    </w:p>
  </w:footnote>
  <w:footnote w:type="continuationSeparator" w:id="0">
    <w:p w14:paraId="3231322B" w14:textId="77777777" w:rsidR="002F37E0" w:rsidRDefault="002F37E0"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rsidR="00E76435" w:rsidRDefault="00E76435" w14:paraId="439DC0CC" w14:textId="46887601">
        <w:pPr>
          <w:pStyle w:val="Header"/>
          <w:jc w:val="center"/>
        </w:pPr>
        <w:r>
          <w:fldChar w:fldCharType="begin"/>
        </w:r>
        <w:r>
          <w:instrText xml:space="preserve"> PAGE   \* MERGEFORMAT </w:instrText>
        </w:r>
        <w:r>
          <w:fldChar w:fldCharType="separate"/>
        </w:r>
        <w:r w:rsidR="00CA43B9">
          <w:rPr>
            <w:noProof/>
          </w:rPr>
          <w:t>12</w:t>
        </w:r>
        <w:r>
          <w:rPr>
            <w:noProof/>
          </w:rPr>
          <w:fldChar w:fldCharType="end"/>
        </w:r>
      </w:p>
    </w:sdtContent>
  </w:sdt>
  <w:p w:rsidR="00E76435" w:rsidRDefault="00E76435" w14:paraId="15FA3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3"/>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13AC3"/>
    <w:rsid w:val="000208B1"/>
    <w:rsid w:val="00027FD2"/>
    <w:rsid w:val="000368A4"/>
    <w:rsid w:val="0003794E"/>
    <w:rsid w:val="00052122"/>
    <w:rsid w:val="0006071C"/>
    <w:rsid w:val="000715B5"/>
    <w:rsid w:val="000725FF"/>
    <w:rsid w:val="0008525F"/>
    <w:rsid w:val="000A08C9"/>
    <w:rsid w:val="000A66FB"/>
    <w:rsid w:val="000A70AF"/>
    <w:rsid w:val="000B0757"/>
    <w:rsid w:val="000B099A"/>
    <w:rsid w:val="000B187D"/>
    <w:rsid w:val="000C18C2"/>
    <w:rsid w:val="000C41D1"/>
    <w:rsid w:val="000C4E09"/>
    <w:rsid w:val="000D1B17"/>
    <w:rsid w:val="000E3451"/>
    <w:rsid w:val="000F0DDB"/>
    <w:rsid w:val="000F47CD"/>
    <w:rsid w:val="00101628"/>
    <w:rsid w:val="00102529"/>
    <w:rsid w:val="00102628"/>
    <w:rsid w:val="001075B1"/>
    <w:rsid w:val="001154D1"/>
    <w:rsid w:val="00117FDE"/>
    <w:rsid w:val="00121DBB"/>
    <w:rsid w:val="00124285"/>
    <w:rsid w:val="00126CDB"/>
    <w:rsid w:val="00137FD8"/>
    <w:rsid w:val="001516E1"/>
    <w:rsid w:val="00152EC2"/>
    <w:rsid w:val="0015734E"/>
    <w:rsid w:val="00160937"/>
    <w:rsid w:val="00161FCE"/>
    <w:rsid w:val="00165027"/>
    <w:rsid w:val="001749FC"/>
    <w:rsid w:val="001A2D70"/>
    <w:rsid w:val="001A40C7"/>
    <w:rsid w:val="001A6197"/>
    <w:rsid w:val="001B20B8"/>
    <w:rsid w:val="001B64A5"/>
    <w:rsid w:val="001C0E3D"/>
    <w:rsid w:val="001C736B"/>
    <w:rsid w:val="001D0593"/>
    <w:rsid w:val="001E68C1"/>
    <w:rsid w:val="001E6B41"/>
    <w:rsid w:val="001E71B7"/>
    <w:rsid w:val="001F00DF"/>
    <w:rsid w:val="001F5C29"/>
    <w:rsid w:val="001F6AAF"/>
    <w:rsid w:val="0020098D"/>
    <w:rsid w:val="00213EFD"/>
    <w:rsid w:val="002162CF"/>
    <w:rsid w:val="00216E78"/>
    <w:rsid w:val="002174E5"/>
    <w:rsid w:val="00220DBE"/>
    <w:rsid w:val="0022123D"/>
    <w:rsid w:val="00224673"/>
    <w:rsid w:val="00230738"/>
    <w:rsid w:val="0024280B"/>
    <w:rsid w:val="002567B5"/>
    <w:rsid w:val="00256E56"/>
    <w:rsid w:val="00271864"/>
    <w:rsid w:val="00273922"/>
    <w:rsid w:val="00275C9D"/>
    <w:rsid w:val="00282981"/>
    <w:rsid w:val="002840E8"/>
    <w:rsid w:val="00292D22"/>
    <w:rsid w:val="002A1C06"/>
    <w:rsid w:val="002C1A2E"/>
    <w:rsid w:val="002C1BEF"/>
    <w:rsid w:val="002D0562"/>
    <w:rsid w:val="002D10B8"/>
    <w:rsid w:val="002D1CAE"/>
    <w:rsid w:val="002D1F30"/>
    <w:rsid w:val="002E0BCE"/>
    <w:rsid w:val="002E5098"/>
    <w:rsid w:val="002F12CB"/>
    <w:rsid w:val="002F37E0"/>
    <w:rsid w:val="00305C91"/>
    <w:rsid w:val="003177CE"/>
    <w:rsid w:val="00326D34"/>
    <w:rsid w:val="00331D59"/>
    <w:rsid w:val="00374CB5"/>
    <w:rsid w:val="00386948"/>
    <w:rsid w:val="00387383"/>
    <w:rsid w:val="00392331"/>
    <w:rsid w:val="00394393"/>
    <w:rsid w:val="00395AB4"/>
    <w:rsid w:val="0039637B"/>
    <w:rsid w:val="003A339C"/>
    <w:rsid w:val="003C2C31"/>
    <w:rsid w:val="003D63C1"/>
    <w:rsid w:val="003E6BD0"/>
    <w:rsid w:val="004021AE"/>
    <w:rsid w:val="00405155"/>
    <w:rsid w:val="004072B7"/>
    <w:rsid w:val="0042520C"/>
    <w:rsid w:val="00434CBA"/>
    <w:rsid w:val="00435DA2"/>
    <w:rsid w:val="00443AC1"/>
    <w:rsid w:val="004545CD"/>
    <w:rsid w:val="00457E8E"/>
    <w:rsid w:val="0046417B"/>
    <w:rsid w:val="004729C6"/>
    <w:rsid w:val="00475F29"/>
    <w:rsid w:val="00477BC2"/>
    <w:rsid w:val="00480538"/>
    <w:rsid w:val="004901E1"/>
    <w:rsid w:val="004928DC"/>
    <w:rsid w:val="004934F9"/>
    <w:rsid w:val="004A5D8D"/>
    <w:rsid w:val="004A6E29"/>
    <w:rsid w:val="004C1B50"/>
    <w:rsid w:val="004C1B8C"/>
    <w:rsid w:val="004C380A"/>
    <w:rsid w:val="004D55A4"/>
    <w:rsid w:val="004E4A17"/>
    <w:rsid w:val="004E57C3"/>
    <w:rsid w:val="004F6221"/>
    <w:rsid w:val="004F79AE"/>
    <w:rsid w:val="00511944"/>
    <w:rsid w:val="00514D59"/>
    <w:rsid w:val="005253A5"/>
    <w:rsid w:val="00535D84"/>
    <w:rsid w:val="0053710E"/>
    <w:rsid w:val="005436F5"/>
    <w:rsid w:val="00545B74"/>
    <w:rsid w:val="0056196C"/>
    <w:rsid w:val="005863CD"/>
    <w:rsid w:val="00593A26"/>
    <w:rsid w:val="00597C7E"/>
    <w:rsid w:val="005A2AEC"/>
    <w:rsid w:val="005A747D"/>
    <w:rsid w:val="005B1E01"/>
    <w:rsid w:val="005C1520"/>
    <w:rsid w:val="005E641C"/>
    <w:rsid w:val="00606873"/>
    <w:rsid w:val="0062464E"/>
    <w:rsid w:val="0064108D"/>
    <w:rsid w:val="00643818"/>
    <w:rsid w:val="00647FA5"/>
    <w:rsid w:val="00651383"/>
    <w:rsid w:val="0066385B"/>
    <w:rsid w:val="00663F12"/>
    <w:rsid w:val="006673CC"/>
    <w:rsid w:val="006707AC"/>
    <w:rsid w:val="00672101"/>
    <w:rsid w:val="00674F4A"/>
    <w:rsid w:val="00675AD0"/>
    <w:rsid w:val="006816B9"/>
    <w:rsid w:val="00684AA2"/>
    <w:rsid w:val="00685310"/>
    <w:rsid w:val="006918AE"/>
    <w:rsid w:val="00692478"/>
    <w:rsid w:val="006A067B"/>
    <w:rsid w:val="006A21B8"/>
    <w:rsid w:val="006A5A7A"/>
    <w:rsid w:val="006D180A"/>
    <w:rsid w:val="006D225C"/>
    <w:rsid w:val="006D469E"/>
    <w:rsid w:val="006E268F"/>
    <w:rsid w:val="007054BE"/>
    <w:rsid w:val="007057CA"/>
    <w:rsid w:val="007152FD"/>
    <w:rsid w:val="00723671"/>
    <w:rsid w:val="007259F9"/>
    <w:rsid w:val="00734824"/>
    <w:rsid w:val="007408A3"/>
    <w:rsid w:val="007668F8"/>
    <w:rsid w:val="007806C9"/>
    <w:rsid w:val="0078294A"/>
    <w:rsid w:val="00782C10"/>
    <w:rsid w:val="00782D47"/>
    <w:rsid w:val="00785208"/>
    <w:rsid w:val="007A65B4"/>
    <w:rsid w:val="007B6C14"/>
    <w:rsid w:val="007C070E"/>
    <w:rsid w:val="007C0E31"/>
    <w:rsid w:val="007C0E3D"/>
    <w:rsid w:val="007C3673"/>
    <w:rsid w:val="007D139F"/>
    <w:rsid w:val="007E07A3"/>
    <w:rsid w:val="007E093F"/>
    <w:rsid w:val="007E586F"/>
    <w:rsid w:val="0080078F"/>
    <w:rsid w:val="00810799"/>
    <w:rsid w:val="00810A63"/>
    <w:rsid w:val="008146AB"/>
    <w:rsid w:val="0082669D"/>
    <w:rsid w:val="0083720A"/>
    <w:rsid w:val="00847D02"/>
    <w:rsid w:val="00853C75"/>
    <w:rsid w:val="00854B7F"/>
    <w:rsid w:val="00855FA2"/>
    <w:rsid w:val="00872284"/>
    <w:rsid w:val="00881616"/>
    <w:rsid w:val="00885797"/>
    <w:rsid w:val="00895DB5"/>
    <w:rsid w:val="008A3A92"/>
    <w:rsid w:val="008A49C0"/>
    <w:rsid w:val="008A65C0"/>
    <w:rsid w:val="008B4326"/>
    <w:rsid w:val="008B5A5C"/>
    <w:rsid w:val="008C0944"/>
    <w:rsid w:val="008E1E2B"/>
    <w:rsid w:val="008E5063"/>
    <w:rsid w:val="008F0E07"/>
    <w:rsid w:val="00900B2D"/>
    <w:rsid w:val="00901774"/>
    <w:rsid w:val="0090765A"/>
    <w:rsid w:val="00933A69"/>
    <w:rsid w:val="00950516"/>
    <w:rsid w:val="00957837"/>
    <w:rsid w:val="00967CAE"/>
    <w:rsid w:val="00975EBB"/>
    <w:rsid w:val="00982E8C"/>
    <w:rsid w:val="00985B0C"/>
    <w:rsid w:val="00986773"/>
    <w:rsid w:val="00992A69"/>
    <w:rsid w:val="00995725"/>
    <w:rsid w:val="009964C0"/>
    <w:rsid w:val="009A32F4"/>
    <w:rsid w:val="009A4B53"/>
    <w:rsid w:val="009C2DE3"/>
    <w:rsid w:val="009D36BE"/>
    <w:rsid w:val="009D434F"/>
    <w:rsid w:val="009E3CD9"/>
    <w:rsid w:val="009F069F"/>
    <w:rsid w:val="009F3530"/>
    <w:rsid w:val="00A04004"/>
    <w:rsid w:val="00A15222"/>
    <w:rsid w:val="00A22DC1"/>
    <w:rsid w:val="00A267D2"/>
    <w:rsid w:val="00A26EBE"/>
    <w:rsid w:val="00A35D24"/>
    <w:rsid w:val="00A56723"/>
    <w:rsid w:val="00A7130A"/>
    <w:rsid w:val="00A73D6A"/>
    <w:rsid w:val="00A801DF"/>
    <w:rsid w:val="00A805C9"/>
    <w:rsid w:val="00A92B08"/>
    <w:rsid w:val="00AA0AC2"/>
    <w:rsid w:val="00AC138F"/>
    <w:rsid w:val="00AC1AD6"/>
    <w:rsid w:val="00AC2D05"/>
    <w:rsid w:val="00AC4FCB"/>
    <w:rsid w:val="00AD3908"/>
    <w:rsid w:val="00AE42F8"/>
    <w:rsid w:val="00AF3CA2"/>
    <w:rsid w:val="00AF3EF4"/>
    <w:rsid w:val="00B05083"/>
    <w:rsid w:val="00B1107D"/>
    <w:rsid w:val="00B11C0C"/>
    <w:rsid w:val="00B13B4B"/>
    <w:rsid w:val="00B2310B"/>
    <w:rsid w:val="00B32870"/>
    <w:rsid w:val="00B357D4"/>
    <w:rsid w:val="00B41237"/>
    <w:rsid w:val="00B514E0"/>
    <w:rsid w:val="00B5275B"/>
    <w:rsid w:val="00B602F7"/>
    <w:rsid w:val="00B670AA"/>
    <w:rsid w:val="00B70979"/>
    <w:rsid w:val="00B815DD"/>
    <w:rsid w:val="00B84D36"/>
    <w:rsid w:val="00B961A9"/>
    <w:rsid w:val="00B96566"/>
    <w:rsid w:val="00B968E0"/>
    <w:rsid w:val="00BA0271"/>
    <w:rsid w:val="00BA0ED8"/>
    <w:rsid w:val="00BA16C7"/>
    <w:rsid w:val="00BA19C0"/>
    <w:rsid w:val="00BA43DC"/>
    <w:rsid w:val="00BB5A06"/>
    <w:rsid w:val="00BC2E74"/>
    <w:rsid w:val="00BF1D6D"/>
    <w:rsid w:val="00BF5654"/>
    <w:rsid w:val="00C104FB"/>
    <w:rsid w:val="00C131FE"/>
    <w:rsid w:val="00C17931"/>
    <w:rsid w:val="00C33701"/>
    <w:rsid w:val="00C41DF2"/>
    <w:rsid w:val="00C74651"/>
    <w:rsid w:val="00C8779C"/>
    <w:rsid w:val="00C97D7C"/>
    <w:rsid w:val="00CA1C99"/>
    <w:rsid w:val="00CA43B9"/>
    <w:rsid w:val="00CC1D79"/>
    <w:rsid w:val="00CC22DB"/>
    <w:rsid w:val="00CD6443"/>
    <w:rsid w:val="00CD7885"/>
    <w:rsid w:val="00CE718F"/>
    <w:rsid w:val="00CF75B5"/>
    <w:rsid w:val="00D06D10"/>
    <w:rsid w:val="00D104FE"/>
    <w:rsid w:val="00D10D6F"/>
    <w:rsid w:val="00D13C06"/>
    <w:rsid w:val="00D30F8E"/>
    <w:rsid w:val="00D36FC0"/>
    <w:rsid w:val="00D40A91"/>
    <w:rsid w:val="00D46DF3"/>
    <w:rsid w:val="00D503B9"/>
    <w:rsid w:val="00D625A2"/>
    <w:rsid w:val="00D72E66"/>
    <w:rsid w:val="00D75E92"/>
    <w:rsid w:val="00D81F2A"/>
    <w:rsid w:val="00D927AD"/>
    <w:rsid w:val="00DB0F63"/>
    <w:rsid w:val="00DB18D0"/>
    <w:rsid w:val="00DB2291"/>
    <w:rsid w:val="00DB2DBB"/>
    <w:rsid w:val="00DC43D3"/>
    <w:rsid w:val="00DC60DD"/>
    <w:rsid w:val="00DD40D7"/>
    <w:rsid w:val="00DD5E0F"/>
    <w:rsid w:val="00DE4E96"/>
    <w:rsid w:val="00DF0507"/>
    <w:rsid w:val="00DF6767"/>
    <w:rsid w:val="00E014FE"/>
    <w:rsid w:val="00E152CA"/>
    <w:rsid w:val="00E17BA5"/>
    <w:rsid w:val="00E2340C"/>
    <w:rsid w:val="00E24AD5"/>
    <w:rsid w:val="00E32EAE"/>
    <w:rsid w:val="00E34335"/>
    <w:rsid w:val="00E3436A"/>
    <w:rsid w:val="00E37E5F"/>
    <w:rsid w:val="00E448C8"/>
    <w:rsid w:val="00E44A46"/>
    <w:rsid w:val="00E45D12"/>
    <w:rsid w:val="00E51834"/>
    <w:rsid w:val="00E613C6"/>
    <w:rsid w:val="00E61B98"/>
    <w:rsid w:val="00E6220C"/>
    <w:rsid w:val="00E6492C"/>
    <w:rsid w:val="00E73DE6"/>
    <w:rsid w:val="00E76435"/>
    <w:rsid w:val="00E82695"/>
    <w:rsid w:val="00EB11CC"/>
    <w:rsid w:val="00EB224A"/>
    <w:rsid w:val="00EC262A"/>
    <w:rsid w:val="00EC42D8"/>
    <w:rsid w:val="00EC4DBE"/>
    <w:rsid w:val="00EC5771"/>
    <w:rsid w:val="00EC61D2"/>
    <w:rsid w:val="00EC7101"/>
    <w:rsid w:val="00ED0DF8"/>
    <w:rsid w:val="00ED1CF4"/>
    <w:rsid w:val="00ED26E5"/>
    <w:rsid w:val="00ED71B2"/>
    <w:rsid w:val="00EE176C"/>
    <w:rsid w:val="00EE3EEF"/>
    <w:rsid w:val="00EE57E2"/>
    <w:rsid w:val="00EF0314"/>
    <w:rsid w:val="00F03C89"/>
    <w:rsid w:val="00F10CFE"/>
    <w:rsid w:val="00F11DEA"/>
    <w:rsid w:val="00F23086"/>
    <w:rsid w:val="00F2775D"/>
    <w:rsid w:val="00F40CF1"/>
    <w:rsid w:val="00F44C63"/>
    <w:rsid w:val="00F52921"/>
    <w:rsid w:val="00F57D9A"/>
    <w:rsid w:val="00F63EEA"/>
    <w:rsid w:val="00F7407F"/>
    <w:rsid w:val="00F846AD"/>
    <w:rsid w:val="00FA00DD"/>
    <w:rsid w:val="00FA454F"/>
    <w:rsid w:val="00FC101D"/>
    <w:rsid w:val="00FD4953"/>
    <w:rsid w:val="00FE7D54"/>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F1B5B3D"/>
  <w15:docId w15:val="{80F5B1D6-D3B6-44D4-A391-A448F8E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A5"/>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rsid w:val="003E6BD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2102-9850-4773-90C2-04CECA2F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2338</Words>
  <Characters>1333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2005.gada 17.maija noteikumos Nr.339 “Kārtība, kādā atļauts veikt pasažieru un kravas komercpārvadājumus ar citu personu īpašumā esošiem aut</vt:lpstr>
    </vt:vector>
  </TitlesOfParts>
  <Company>Satiksmes ministrija</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2005.gada 17.maija noteikumos Nr.339 “Kārtība, kādā atļauts veikt pasažieru un kravas komercpārvadājumus ar citu personu īpašumā esošiem autotransporta līdzekļiem”</dc:title>
  <dc:subject>Izziņa</dc:subject>
  <dc:creator>Dana.Ziemele-Adricka@sam.gov.lv</dc:creator>
  <cp:lastModifiedBy>Dana Ziemele Adricka</cp:lastModifiedBy>
  <cp:revision>15</cp:revision>
  <cp:lastPrinted>2018-02-15T07:22:00Z</cp:lastPrinted>
  <dcterms:created xsi:type="dcterms:W3CDTF">2019-07-15T06:08:00Z</dcterms:created>
  <dcterms:modified xsi:type="dcterms:W3CDTF">2019-07-22T06:41:00Z</dcterms:modified>
  <cp:category>Izziņa</cp:category>
</cp:coreProperties>
</file>