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D374" w14:textId="77777777" w:rsidR="001A310E" w:rsidRPr="0043378C" w:rsidRDefault="001A310E" w:rsidP="001A310E">
      <w:pPr>
        <w:ind w:firstLine="0"/>
        <w:jc w:val="center"/>
        <w:rPr>
          <w:rFonts w:cs="Times New Roman"/>
          <w:b/>
          <w:bCs/>
          <w:sz w:val="24"/>
          <w:szCs w:val="24"/>
        </w:rPr>
      </w:pPr>
      <w:r w:rsidRPr="0043378C">
        <w:rPr>
          <w:rFonts w:cs="Times New Roman"/>
          <w:b/>
          <w:bCs/>
          <w:sz w:val="24"/>
          <w:szCs w:val="24"/>
        </w:rPr>
        <w:t xml:space="preserve">Likumprojekta „Grozījumi Autoceļu lietošanas nodevas likumā” </w:t>
      </w:r>
    </w:p>
    <w:p w14:paraId="3D66E23B" w14:textId="77777777" w:rsidR="002D1699" w:rsidRPr="0043378C" w:rsidRDefault="001A310E" w:rsidP="001A310E">
      <w:pPr>
        <w:ind w:firstLine="0"/>
        <w:jc w:val="center"/>
        <w:rPr>
          <w:rFonts w:cs="Times New Roman"/>
          <w:b/>
          <w:bCs/>
          <w:sz w:val="24"/>
          <w:szCs w:val="24"/>
        </w:rPr>
      </w:pPr>
      <w:r w:rsidRPr="0043378C">
        <w:rPr>
          <w:rFonts w:cs="Times New Roman"/>
          <w:b/>
          <w:bCs/>
          <w:sz w:val="24"/>
          <w:szCs w:val="24"/>
        </w:rPr>
        <w:t>sākotnējās ietekmes novērtējuma ziņojums (anotācija)</w:t>
      </w:r>
    </w:p>
    <w:p w14:paraId="2F01CA26" w14:textId="77777777" w:rsidR="00935D9A" w:rsidRDefault="00935D9A" w:rsidP="002D1699">
      <w:pPr>
        <w:ind w:firstLine="0"/>
        <w:jc w:val="center"/>
        <w:rPr>
          <w:rFonts w:cs="Times New Roman"/>
          <w:b/>
          <w:bCs/>
          <w:sz w:val="24"/>
          <w:szCs w:val="24"/>
        </w:rPr>
      </w:pPr>
    </w:p>
    <w:p w14:paraId="72B4F00A" w14:textId="77777777" w:rsidR="0064386E" w:rsidRPr="0064386E" w:rsidRDefault="0064386E" w:rsidP="0064386E">
      <w:pPr>
        <w:shd w:val="clear" w:color="auto" w:fill="FFFFFF"/>
        <w:ind w:firstLine="0"/>
        <w:jc w:val="center"/>
        <w:rPr>
          <w:rFonts w:eastAsia="Times New Roman" w:cs="Times New Roman"/>
          <w:b/>
          <w:b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4386E" w:rsidRPr="0064386E" w14:paraId="493E3113" w14:textId="77777777" w:rsidTr="00C969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69A07A" w14:textId="77777777" w:rsidR="0064386E" w:rsidRPr="0064386E" w:rsidRDefault="0064386E" w:rsidP="0064386E">
            <w:pPr>
              <w:ind w:firstLine="0"/>
              <w:jc w:val="center"/>
              <w:rPr>
                <w:rFonts w:eastAsia="Times New Roman" w:cs="Times New Roman"/>
                <w:b/>
                <w:bCs/>
                <w:iCs/>
                <w:sz w:val="24"/>
                <w:szCs w:val="24"/>
                <w:lang w:eastAsia="lv-LV"/>
              </w:rPr>
            </w:pPr>
            <w:r w:rsidRPr="0064386E">
              <w:rPr>
                <w:rFonts w:eastAsia="Times New Roman" w:cs="Times New Roman"/>
                <w:b/>
                <w:bCs/>
                <w:iCs/>
                <w:sz w:val="24"/>
                <w:szCs w:val="24"/>
                <w:lang w:eastAsia="lv-LV"/>
              </w:rPr>
              <w:t>Tiesību akta projekta anotācijas kopsavilkums</w:t>
            </w:r>
          </w:p>
        </w:tc>
      </w:tr>
      <w:tr w:rsidR="0064386E" w:rsidRPr="0064386E" w14:paraId="6BE8203E" w14:textId="77777777" w:rsidTr="00C969B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1ED8E0D" w14:textId="77777777" w:rsidR="0064386E" w:rsidRPr="0064386E" w:rsidRDefault="0064386E" w:rsidP="0064386E">
            <w:pPr>
              <w:ind w:firstLine="0"/>
              <w:rPr>
                <w:rFonts w:eastAsia="Times New Roman" w:cs="Times New Roman"/>
                <w:iCs/>
                <w:sz w:val="24"/>
                <w:szCs w:val="24"/>
                <w:lang w:eastAsia="lv-LV"/>
              </w:rPr>
            </w:pPr>
            <w:r w:rsidRPr="0064386E">
              <w:rPr>
                <w:rFonts w:eastAsia="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6F74FF" w14:textId="310159BF" w:rsidR="0064386E" w:rsidRPr="0064386E" w:rsidRDefault="0064386E" w:rsidP="0064386E">
            <w:pPr>
              <w:ind w:firstLine="0"/>
              <w:jc w:val="both"/>
              <w:rPr>
                <w:rFonts w:eastAsia="Calibri" w:cs="Times New Roman"/>
                <w:sz w:val="24"/>
                <w:szCs w:val="24"/>
              </w:rPr>
            </w:pPr>
            <w:r w:rsidRPr="00334129">
              <w:rPr>
                <w:sz w:val="24"/>
                <w:szCs w:val="24"/>
              </w:rPr>
              <w:t>Likumprojekta „Grozījumi Autoceļu lietošanas nodevas likumā” (turpmāk – Likumprojekts) mērķis ir  nodrošināt</w:t>
            </w:r>
            <w:r w:rsidR="00F03B34">
              <w:rPr>
                <w:sz w:val="24"/>
                <w:szCs w:val="24"/>
              </w:rPr>
              <w:t xml:space="preserve"> autoceļu lietošanas nodevas iekasēšanu</w:t>
            </w:r>
            <w:r w:rsidRPr="00334129">
              <w:rPr>
                <w:sz w:val="24"/>
                <w:szCs w:val="24"/>
              </w:rPr>
              <w:t>, kā arī atturēt personas no pārkāpumu izdarīšanas šajā jomā. Likumprojekts paredz noteikt administratīvos pārkāpumus autoceļu lietošanā, par tiem piemērojamos sodus un institūcij</w:t>
            </w:r>
            <w:r w:rsidRPr="0064386E">
              <w:rPr>
                <w:sz w:val="24"/>
                <w:szCs w:val="24"/>
              </w:rPr>
              <w:t>as</w:t>
            </w:r>
            <w:r w:rsidRPr="00334129">
              <w:rPr>
                <w:sz w:val="24"/>
                <w:szCs w:val="24"/>
              </w:rPr>
              <w:t xml:space="preserve"> kompetenci </w:t>
            </w:r>
            <w:r w:rsidR="008F2ABE" w:rsidRPr="008F2ABE">
              <w:rPr>
                <w:sz w:val="24"/>
                <w:szCs w:val="24"/>
              </w:rPr>
              <w:t>administratīvo pārkāpumu procesā</w:t>
            </w:r>
            <w:r w:rsidRPr="00334129">
              <w:rPr>
                <w:sz w:val="24"/>
                <w:szCs w:val="24"/>
              </w:rPr>
              <w:t>. Likumprojekts stājas spēkā vienlaikus ar Administratīvās atbildības likumu.</w:t>
            </w:r>
          </w:p>
        </w:tc>
      </w:tr>
    </w:tbl>
    <w:p w14:paraId="4329E0E9" w14:textId="77777777" w:rsidR="0064386E" w:rsidRPr="0043378C" w:rsidRDefault="0064386E" w:rsidP="00334129">
      <w:pPr>
        <w:ind w:firstLine="0"/>
        <w:rPr>
          <w:rFonts w:cs="Times New Roman"/>
          <w:b/>
          <w:bCs/>
          <w:sz w:val="24"/>
          <w:szCs w:val="24"/>
        </w:rPr>
      </w:pPr>
    </w:p>
    <w:p w14:paraId="78A5C02C" w14:textId="77777777" w:rsidR="00935D9A" w:rsidRPr="0043378C" w:rsidRDefault="00935D9A" w:rsidP="00973924">
      <w:pPr>
        <w:ind w:firstLine="0"/>
        <w:rPr>
          <w:rFonts w:cs="Times New Roman"/>
          <w:b/>
          <w:bCs/>
          <w:sz w:val="24"/>
          <w:szCs w:val="24"/>
        </w:rPr>
      </w:pPr>
    </w:p>
    <w:tbl>
      <w:tblPr>
        <w:tblW w:w="5006"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76"/>
        <w:gridCol w:w="2548"/>
        <w:gridCol w:w="5944"/>
      </w:tblGrid>
      <w:tr w:rsidR="002D1699" w:rsidRPr="0043378C" w14:paraId="3294BBF6" w14:textId="77777777" w:rsidTr="00860F49">
        <w:trPr>
          <w:trHeight w:val="405"/>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09CA57BE" w14:textId="77777777" w:rsidR="002D1699" w:rsidRPr="0043378C" w:rsidRDefault="002D1699" w:rsidP="008D361B">
            <w:pPr>
              <w:ind w:firstLine="0"/>
              <w:jc w:val="center"/>
              <w:rPr>
                <w:rFonts w:cs="Times New Roman"/>
                <w:b/>
                <w:bCs/>
                <w:sz w:val="24"/>
                <w:szCs w:val="24"/>
              </w:rPr>
            </w:pPr>
            <w:r w:rsidRPr="0043378C">
              <w:rPr>
                <w:rFonts w:cs="Times New Roman"/>
                <w:b/>
                <w:bCs/>
                <w:sz w:val="24"/>
                <w:szCs w:val="24"/>
              </w:rPr>
              <w:t>I. Tiesību akta projekta izstrādes nepieciešamība</w:t>
            </w:r>
          </w:p>
        </w:tc>
      </w:tr>
      <w:tr w:rsidR="00417277" w:rsidRPr="0043378C" w14:paraId="1976F780" w14:textId="77777777" w:rsidTr="00860F49">
        <w:trPr>
          <w:trHeight w:val="405"/>
          <w:tblCellSpacing w:w="15" w:type="dxa"/>
        </w:trPr>
        <w:tc>
          <w:tcPr>
            <w:tcW w:w="304" w:type="pct"/>
            <w:gridSpan w:val="2"/>
            <w:tcBorders>
              <w:top w:val="outset" w:sz="6" w:space="0" w:color="auto"/>
              <w:left w:val="outset" w:sz="6" w:space="0" w:color="auto"/>
              <w:bottom w:val="outset" w:sz="6" w:space="0" w:color="auto"/>
              <w:right w:val="outset" w:sz="6" w:space="0" w:color="auto"/>
            </w:tcBorders>
            <w:hideMark/>
          </w:tcPr>
          <w:p w14:paraId="0EFB9F17" w14:textId="77777777" w:rsidR="00417277" w:rsidRPr="0043378C" w:rsidRDefault="00417277" w:rsidP="00E109FC">
            <w:pPr>
              <w:ind w:firstLine="0"/>
              <w:rPr>
                <w:rFonts w:cs="Times New Roman"/>
                <w:sz w:val="24"/>
                <w:szCs w:val="24"/>
              </w:rPr>
            </w:pPr>
            <w:r w:rsidRPr="0043378C">
              <w:rPr>
                <w:rFonts w:cs="Times New Roman"/>
                <w:sz w:val="24"/>
                <w:szCs w:val="24"/>
              </w:rPr>
              <w:t>1.</w:t>
            </w:r>
          </w:p>
        </w:tc>
        <w:tc>
          <w:tcPr>
            <w:tcW w:w="1419" w:type="pct"/>
            <w:tcBorders>
              <w:top w:val="outset" w:sz="6" w:space="0" w:color="auto"/>
              <w:left w:val="outset" w:sz="6" w:space="0" w:color="auto"/>
              <w:bottom w:val="outset" w:sz="6" w:space="0" w:color="auto"/>
              <w:right w:val="outset" w:sz="6" w:space="0" w:color="auto"/>
            </w:tcBorders>
            <w:hideMark/>
          </w:tcPr>
          <w:p w14:paraId="6612FD36" w14:textId="77777777" w:rsidR="00417277" w:rsidRPr="0043378C" w:rsidRDefault="00417277" w:rsidP="00E109FC">
            <w:pPr>
              <w:ind w:firstLine="0"/>
              <w:rPr>
                <w:rFonts w:cs="Times New Roman"/>
                <w:sz w:val="24"/>
                <w:szCs w:val="24"/>
              </w:rPr>
            </w:pPr>
            <w:r w:rsidRPr="0043378C">
              <w:rPr>
                <w:rFonts w:cs="Times New Roman"/>
                <w:sz w:val="24"/>
                <w:szCs w:val="24"/>
              </w:rPr>
              <w:t>Pamatojums</w:t>
            </w:r>
          </w:p>
        </w:tc>
        <w:tc>
          <w:tcPr>
            <w:tcW w:w="3211" w:type="pct"/>
            <w:tcBorders>
              <w:top w:val="outset" w:sz="6" w:space="0" w:color="auto"/>
              <w:left w:val="outset" w:sz="6" w:space="0" w:color="auto"/>
              <w:bottom w:val="outset" w:sz="6" w:space="0" w:color="auto"/>
              <w:right w:val="outset" w:sz="6" w:space="0" w:color="auto"/>
            </w:tcBorders>
            <w:hideMark/>
          </w:tcPr>
          <w:p w14:paraId="0188E1E1" w14:textId="77777777" w:rsidR="002174A7" w:rsidRDefault="002174A7" w:rsidP="002174A7">
            <w:pPr>
              <w:autoSpaceDE w:val="0"/>
              <w:autoSpaceDN w:val="0"/>
              <w:adjustRightInd w:val="0"/>
              <w:ind w:firstLine="0"/>
              <w:jc w:val="both"/>
              <w:rPr>
                <w:rFonts w:cs="Times New Roman"/>
                <w:sz w:val="24"/>
                <w:szCs w:val="24"/>
              </w:rPr>
            </w:pPr>
            <w:r>
              <w:rPr>
                <w:rFonts w:cs="Times New Roman"/>
                <w:bCs/>
                <w:sz w:val="24"/>
                <w:szCs w:val="24"/>
              </w:rPr>
              <w:t xml:space="preserve">1) </w:t>
            </w:r>
            <w:r w:rsidR="00417277" w:rsidRPr="0043378C">
              <w:rPr>
                <w:rFonts w:cs="Times New Roman"/>
                <w:bCs/>
                <w:sz w:val="24"/>
                <w:szCs w:val="24"/>
              </w:rPr>
              <w:t xml:space="preserve">Ministru </w:t>
            </w:r>
            <w:r w:rsidR="007D4E9C" w:rsidRPr="0043378C">
              <w:rPr>
                <w:rFonts w:cs="Times New Roman"/>
                <w:bCs/>
                <w:sz w:val="24"/>
                <w:szCs w:val="24"/>
              </w:rPr>
              <w:t>k</w:t>
            </w:r>
            <w:r w:rsidR="00417277" w:rsidRPr="0043378C">
              <w:rPr>
                <w:rFonts w:cs="Times New Roman"/>
                <w:bCs/>
                <w:sz w:val="24"/>
                <w:szCs w:val="24"/>
              </w:rPr>
              <w:t xml:space="preserve">abineta </w:t>
            </w:r>
            <w:r w:rsidR="00417277" w:rsidRPr="0043378C">
              <w:rPr>
                <w:rFonts w:cs="Times New Roman"/>
                <w:sz w:val="24"/>
                <w:szCs w:val="24"/>
              </w:rPr>
              <w:t xml:space="preserve">2014.gada 22.aprīļa </w:t>
            </w:r>
            <w:r w:rsidR="00417277" w:rsidRPr="0043378C">
              <w:rPr>
                <w:rFonts w:cs="Times New Roman"/>
                <w:bCs/>
                <w:sz w:val="24"/>
                <w:szCs w:val="24"/>
              </w:rPr>
              <w:t xml:space="preserve">sēdes </w:t>
            </w:r>
            <w:r w:rsidR="00C226DB" w:rsidRPr="0043378C">
              <w:rPr>
                <w:rFonts w:cs="Times New Roman"/>
                <w:bCs/>
                <w:sz w:val="24"/>
                <w:szCs w:val="24"/>
              </w:rPr>
              <w:t>(</w:t>
            </w:r>
            <w:r w:rsidR="00417277" w:rsidRPr="0043378C">
              <w:rPr>
                <w:rFonts w:cs="Times New Roman"/>
                <w:bCs/>
                <w:sz w:val="24"/>
                <w:szCs w:val="24"/>
              </w:rPr>
              <w:t>prot</w:t>
            </w:r>
            <w:r w:rsidR="00C226DB" w:rsidRPr="0043378C">
              <w:rPr>
                <w:rFonts w:cs="Times New Roman"/>
                <w:bCs/>
                <w:sz w:val="24"/>
                <w:szCs w:val="24"/>
              </w:rPr>
              <w:t>.</w:t>
            </w:r>
            <w:r w:rsidR="00417277" w:rsidRPr="0043378C">
              <w:rPr>
                <w:rFonts w:cs="Times New Roman"/>
                <w:sz w:val="24"/>
                <w:szCs w:val="24"/>
              </w:rPr>
              <w:t xml:space="preserve"> Nr.24</w:t>
            </w:r>
            <w:r>
              <w:rPr>
                <w:rFonts w:cs="Times New Roman"/>
                <w:sz w:val="24"/>
                <w:szCs w:val="24"/>
              </w:rPr>
              <w:t>,</w:t>
            </w:r>
            <w:r w:rsidR="00417277" w:rsidRPr="0043378C">
              <w:rPr>
                <w:rFonts w:cs="Times New Roman"/>
                <w:sz w:val="24"/>
                <w:szCs w:val="24"/>
              </w:rPr>
              <w:t xml:space="preserve"> 26.§</w:t>
            </w:r>
            <w:r w:rsidR="00C226DB" w:rsidRPr="0043378C">
              <w:rPr>
                <w:rFonts w:cs="Times New Roman"/>
                <w:sz w:val="24"/>
                <w:szCs w:val="24"/>
              </w:rPr>
              <w:t>)</w:t>
            </w:r>
            <w:r w:rsidR="00527434" w:rsidRPr="0043378C">
              <w:rPr>
                <w:rFonts w:cs="Times New Roman"/>
                <w:bCs/>
                <w:sz w:val="24"/>
                <w:szCs w:val="24"/>
              </w:rPr>
              <w:t xml:space="preserve"> „</w:t>
            </w:r>
            <w:r w:rsidR="00527434" w:rsidRPr="0043378C">
              <w:rPr>
                <w:rFonts w:cs="Times New Roman"/>
                <w:sz w:val="24"/>
                <w:szCs w:val="24"/>
              </w:rPr>
              <w:t>Informatīvais ziņojums „</w:t>
            </w:r>
            <w:r w:rsidR="00417277" w:rsidRPr="0043378C">
              <w:rPr>
                <w:rFonts w:cs="Times New Roman"/>
                <w:sz w:val="24"/>
                <w:szCs w:val="24"/>
              </w:rPr>
              <w:t>Nozaru administratīvo pārkāpumu kodifi</w:t>
            </w:r>
            <w:r w:rsidR="0070544E" w:rsidRPr="0043378C">
              <w:rPr>
                <w:rFonts w:cs="Times New Roman"/>
                <w:sz w:val="24"/>
                <w:szCs w:val="24"/>
              </w:rPr>
              <w:t>kācijas ieviešanas sistēma”” 2.</w:t>
            </w:r>
            <w:r w:rsidR="00417277" w:rsidRPr="0043378C">
              <w:rPr>
                <w:rFonts w:cs="Times New Roman"/>
                <w:sz w:val="24"/>
                <w:szCs w:val="24"/>
              </w:rPr>
              <w:t>punkt</w:t>
            </w:r>
            <w:r>
              <w:rPr>
                <w:rFonts w:cs="Times New Roman"/>
                <w:sz w:val="24"/>
                <w:szCs w:val="24"/>
              </w:rPr>
              <w:t>s;</w:t>
            </w:r>
          </w:p>
          <w:p w14:paraId="7B4E1F5F" w14:textId="77777777" w:rsidR="002174A7" w:rsidRDefault="002174A7" w:rsidP="002174A7">
            <w:pPr>
              <w:autoSpaceDE w:val="0"/>
              <w:autoSpaceDN w:val="0"/>
              <w:adjustRightInd w:val="0"/>
              <w:ind w:firstLine="0"/>
              <w:jc w:val="both"/>
              <w:rPr>
                <w:rFonts w:cs="Times New Roman"/>
                <w:sz w:val="24"/>
                <w:szCs w:val="24"/>
              </w:rPr>
            </w:pPr>
            <w:r>
              <w:rPr>
                <w:rFonts w:cs="Times New Roman"/>
                <w:sz w:val="24"/>
                <w:szCs w:val="24"/>
              </w:rPr>
              <w:t>2)</w:t>
            </w:r>
            <w:r w:rsidR="00417277" w:rsidRPr="0043378C">
              <w:rPr>
                <w:rFonts w:cs="Times New Roman"/>
                <w:sz w:val="24"/>
                <w:szCs w:val="24"/>
              </w:rPr>
              <w:t xml:space="preserve"> </w:t>
            </w:r>
            <w:r>
              <w:rPr>
                <w:rFonts w:cs="Times New Roman"/>
                <w:sz w:val="24"/>
                <w:szCs w:val="24"/>
              </w:rPr>
              <w:t>Ministru kabineta 2016.gada 13.</w:t>
            </w:r>
            <w:r w:rsidRPr="002174A7">
              <w:rPr>
                <w:rFonts w:cs="Times New Roman"/>
                <w:sz w:val="24"/>
                <w:szCs w:val="24"/>
              </w:rPr>
              <w:t xml:space="preserve">decembra sēdes </w:t>
            </w:r>
            <w:r>
              <w:rPr>
                <w:rFonts w:cs="Times New Roman"/>
                <w:sz w:val="24"/>
                <w:szCs w:val="24"/>
              </w:rPr>
              <w:t>(</w:t>
            </w:r>
            <w:r w:rsidRPr="002174A7">
              <w:rPr>
                <w:rFonts w:cs="Times New Roman"/>
                <w:sz w:val="24"/>
                <w:szCs w:val="24"/>
              </w:rPr>
              <w:t>prot</w:t>
            </w:r>
            <w:r>
              <w:rPr>
                <w:rFonts w:cs="Times New Roman"/>
                <w:sz w:val="24"/>
                <w:szCs w:val="24"/>
              </w:rPr>
              <w:t>. Nr.</w:t>
            </w:r>
            <w:r w:rsidRPr="002174A7">
              <w:rPr>
                <w:rFonts w:cs="Times New Roman"/>
                <w:sz w:val="24"/>
                <w:szCs w:val="24"/>
              </w:rPr>
              <w:t>68</w:t>
            </w:r>
            <w:r>
              <w:rPr>
                <w:rFonts w:cs="Times New Roman"/>
                <w:sz w:val="24"/>
                <w:szCs w:val="24"/>
              </w:rPr>
              <w:t>,</w:t>
            </w:r>
            <w:r w:rsidRPr="002174A7">
              <w:rPr>
                <w:rFonts w:cs="Times New Roman"/>
                <w:sz w:val="24"/>
                <w:szCs w:val="24"/>
              </w:rPr>
              <w:t xml:space="preserve"> 67.§</w:t>
            </w:r>
            <w:r>
              <w:rPr>
                <w:rFonts w:cs="Times New Roman"/>
                <w:sz w:val="24"/>
                <w:szCs w:val="24"/>
              </w:rPr>
              <w:t>)</w:t>
            </w:r>
            <w:r w:rsidRPr="002174A7">
              <w:rPr>
                <w:rFonts w:cs="Times New Roman"/>
                <w:sz w:val="24"/>
                <w:szCs w:val="24"/>
              </w:rPr>
              <w:t xml:space="preserve"> “Informatīvais ziņojums “Nozaru administratīvo pārkāpumu kodifikācijas ieviešanas sistēmas īstenošana”” 2.punkts;</w:t>
            </w:r>
          </w:p>
          <w:p w14:paraId="7F1666E9" w14:textId="2EC99C69" w:rsidR="00704305" w:rsidRPr="0043378C" w:rsidRDefault="002174A7" w:rsidP="002174A7">
            <w:pPr>
              <w:autoSpaceDE w:val="0"/>
              <w:autoSpaceDN w:val="0"/>
              <w:adjustRightInd w:val="0"/>
              <w:ind w:firstLine="0"/>
              <w:jc w:val="both"/>
              <w:rPr>
                <w:rFonts w:cs="Times New Roman"/>
                <w:sz w:val="24"/>
                <w:szCs w:val="24"/>
              </w:rPr>
            </w:pPr>
            <w:r>
              <w:rPr>
                <w:rFonts w:cs="Times New Roman"/>
                <w:sz w:val="24"/>
                <w:szCs w:val="24"/>
              </w:rPr>
              <w:t xml:space="preserve">3) </w:t>
            </w:r>
            <w:r w:rsidR="00B264BC" w:rsidRPr="0043378C">
              <w:rPr>
                <w:rFonts w:cs="Times New Roman"/>
                <w:bCs/>
                <w:sz w:val="24"/>
                <w:szCs w:val="24"/>
              </w:rPr>
              <w:t>Ministru kabineta</w:t>
            </w:r>
            <w:bookmarkStart w:id="0" w:name="_GoBack"/>
            <w:bookmarkEnd w:id="0"/>
            <w:r w:rsidR="00B264BC" w:rsidRPr="0043378C">
              <w:rPr>
                <w:rFonts w:cs="Times New Roman"/>
                <w:bCs/>
                <w:sz w:val="24"/>
                <w:szCs w:val="24"/>
              </w:rPr>
              <w:t xml:space="preserve"> </w:t>
            </w:r>
            <w:r w:rsidR="00B264BC" w:rsidRPr="0043378C">
              <w:rPr>
                <w:rFonts w:cs="Times New Roman"/>
                <w:sz w:val="24"/>
                <w:szCs w:val="24"/>
              </w:rPr>
              <w:t xml:space="preserve">2018.gada 18.decembra </w:t>
            </w:r>
            <w:r w:rsidR="00C226DB" w:rsidRPr="0043378C">
              <w:rPr>
                <w:rFonts w:cs="Times New Roman"/>
                <w:bCs/>
                <w:sz w:val="24"/>
                <w:szCs w:val="24"/>
              </w:rPr>
              <w:t>sēdes (prot.</w:t>
            </w:r>
            <w:r w:rsidR="00B264BC" w:rsidRPr="0043378C">
              <w:rPr>
                <w:rFonts w:cs="Times New Roman"/>
                <w:sz w:val="24"/>
                <w:szCs w:val="24"/>
              </w:rPr>
              <w:t xml:space="preserve"> Nr.60</w:t>
            </w:r>
            <w:r>
              <w:rPr>
                <w:rFonts w:cs="Times New Roman"/>
                <w:sz w:val="24"/>
                <w:szCs w:val="24"/>
              </w:rPr>
              <w:t>,</w:t>
            </w:r>
            <w:r w:rsidR="00B264BC" w:rsidRPr="0043378C">
              <w:rPr>
                <w:rFonts w:cs="Times New Roman"/>
                <w:sz w:val="24"/>
                <w:szCs w:val="24"/>
              </w:rPr>
              <w:t xml:space="preserve"> 98.§</w:t>
            </w:r>
            <w:r w:rsidR="00C226DB" w:rsidRPr="0043378C">
              <w:rPr>
                <w:rFonts w:cs="Times New Roman"/>
                <w:sz w:val="24"/>
                <w:szCs w:val="24"/>
              </w:rPr>
              <w:t>)</w:t>
            </w:r>
            <w:r w:rsidR="00C969B2">
              <w:rPr>
                <w:rFonts w:cs="Times New Roman"/>
                <w:sz w:val="24"/>
                <w:szCs w:val="24"/>
              </w:rPr>
              <w:t xml:space="preserve"> </w:t>
            </w:r>
            <w:r w:rsidR="00B264BC" w:rsidRPr="0043378C">
              <w:rPr>
                <w:rFonts w:cs="Times New Roman"/>
                <w:bCs/>
                <w:sz w:val="24"/>
                <w:szCs w:val="24"/>
              </w:rPr>
              <w:t xml:space="preserve"> „</w:t>
            </w:r>
            <w:r w:rsidR="00B264BC" w:rsidRPr="0043378C">
              <w:rPr>
                <w:rFonts w:cs="Times New Roman"/>
                <w:sz w:val="24"/>
                <w:szCs w:val="24"/>
              </w:rPr>
              <w:t>Informatīvais ziņojums „Nozaru administratīvo pārkāpumu kodifikācijas ieviešanas sistēmas īstenošana”” 2.punkt</w:t>
            </w:r>
            <w:r>
              <w:rPr>
                <w:rFonts w:cs="Times New Roman"/>
                <w:sz w:val="24"/>
                <w:szCs w:val="24"/>
              </w:rPr>
              <w:t>s</w:t>
            </w:r>
            <w:r w:rsidR="00417277" w:rsidRPr="0043378C">
              <w:rPr>
                <w:rFonts w:cs="Times New Roman"/>
                <w:sz w:val="24"/>
                <w:szCs w:val="24"/>
              </w:rPr>
              <w:t>.</w:t>
            </w:r>
          </w:p>
        </w:tc>
      </w:tr>
      <w:tr w:rsidR="00417277" w:rsidRPr="0043378C" w14:paraId="19A130DB" w14:textId="77777777" w:rsidTr="00860F49">
        <w:trPr>
          <w:trHeight w:val="465"/>
          <w:tblCellSpacing w:w="15" w:type="dxa"/>
        </w:trPr>
        <w:tc>
          <w:tcPr>
            <w:tcW w:w="304" w:type="pct"/>
            <w:gridSpan w:val="2"/>
            <w:tcBorders>
              <w:top w:val="outset" w:sz="6" w:space="0" w:color="auto"/>
              <w:left w:val="outset" w:sz="6" w:space="0" w:color="auto"/>
              <w:bottom w:val="outset" w:sz="6" w:space="0" w:color="auto"/>
              <w:right w:val="outset" w:sz="6" w:space="0" w:color="auto"/>
            </w:tcBorders>
            <w:hideMark/>
          </w:tcPr>
          <w:p w14:paraId="0401B0E9" w14:textId="77777777" w:rsidR="00417277" w:rsidRPr="0043378C" w:rsidRDefault="00417277" w:rsidP="00E109FC">
            <w:pPr>
              <w:ind w:firstLine="0"/>
              <w:rPr>
                <w:rFonts w:cs="Times New Roman"/>
                <w:sz w:val="24"/>
                <w:szCs w:val="24"/>
              </w:rPr>
            </w:pPr>
            <w:r w:rsidRPr="0043378C">
              <w:rPr>
                <w:rFonts w:cs="Times New Roman"/>
                <w:sz w:val="24"/>
                <w:szCs w:val="24"/>
              </w:rPr>
              <w:t>2.</w:t>
            </w:r>
          </w:p>
        </w:tc>
        <w:tc>
          <w:tcPr>
            <w:tcW w:w="1419" w:type="pct"/>
            <w:tcBorders>
              <w:top w:val="outset" w:sz="6" w:space="0" w:color="auto"/>
              <w:left w:val="outset" w:sz="6" w:space="0" w:color="auto"/>
              <w:bottom w:val="outset" w:sz="6" w:space="0" w:color="auto"/>
              <w:right w:val="outset" w:sz="6" w:space="0" w:color="auto"/>
            </w:tcBorders>
            <w:hideMark/>
          </w:tcPr>
          <w:p w14:paraId="4FEC9217" w14:textId="77777777" w:rsidR="00417277" w:rsidRPr="0043378C" w:rsidRDefault="00417277" w:rsidP="00E109FC">
            <w:pPr>
              <w:ind w:firstLine="0"/>
              <w:rPr>
                <w:rFonts w:cs="Times New Roman"/>
                <w:sz w:val="24"/>
                <w:szCs w:val="24"/>
              </w:rPr>
            </w:pPr>
            <w:r w:rsidRPr="0043378C">
              <w:rPr>
                <w:rFonts w:cs="Times New Roman"/>
                <w:sz w:val="24"/>
                <w:szCs w:val="24"/>
              </w:rPr>
              <w:t>Pašreizējā situācija un problēmas, kuru risināšanai tiesību akta projekts izstrādāts, tiesiskā regulējuma mērķis un būtība</w:t>
            </w:r>
          </w:p>
        </w:tc>
        <w:tc>
          <w:tcPr>
            <w:tcW w:w="3211" w:type="pct"/>
            <w:tcBorders>
              <w:top w:val="outset" w:sz="6" w:space="0" w:color="auto"/>
              <w:left w:val="outset" w:sz="6" w:space="0" w:color="auto"/>
              <w:bottom w:val="outset" w:sz="6" w:space="0" w:color="auto"/>
              <w:right w:val="outset" w:sz="6" w:space="0" w:color="auto"/>
            </w:tcBorders>
          </w:tcPr>
          <w:p w14:paraId="41AD6614" w14:textId="77777777" w:rsidR="00873D89" w:rsidRPr="00873D89" w:rsidRDefault="00873D89" w:rsidP="00873D89">
            <w:pPr>
              <w:widowControl w:val="0"/>
              <w:ind w:firstLine="0"/>
              <w:jc w:val="both"/>
              <w:outlineLvl w:val="2"/>
              <w:rPr>
                <w:rFonts w:eastAsia="Times New Roman" w:cs="Times New Roman"/>
                <w:sz w:val="24"/>
                <w:szCs w:val="24"/>
              </w:rPr>
            </w:pPr>
            <w:r w:rsidRPr="00873D89">
              <w:rPr>
                <w:rFonts w:eastAsia="Times New Roman" w:cs="Times New Roman"/>
                <w:sz w:val="24"/>
                <w:szCs w:val="24"/>
              </w:rPr>
              <w:t>Saskaņā ar Ministru kabineta 2014.gada 22.aprīļa sēdes protokollēmuma (prot. Nr.24</w:t>
            </w:r>
            <w:r w:rsidR="005E21E7">
              <w:rPr>
                <w:rFonts w:eastAsia="Times New Roman" w:cs="Times New Roman"/>
                <w:sz w:val="24"/>
                <w:szCs w:val="24"/>
              </w:rPr>
              <w:t>,</w:t>
            </w:r>
            <w:r w:rsidRPr="00873D89">
              <w:rPr>
                <w:rFonts w:eastAsia="Times New Roman" w:cs="Times New Roman"/>
                <w:sz w:val="24"/>
                <w:szCs w:val="24"/>
              </w:rPr>
              <w:t xml:space="preserve"> 26.§) „Informatīvais ziņojums „Nozaru administratīvo pārkāpumu kodifikācijas ieviešanas sistēma”” 2.punktu Satiksmes ministrijai, ievērojot informatīvā ziņojuma 2.pielikumā noteikto nozaru administratīvo pārkāpumu kodifikācijas laika grafiku, tika uzdots izstrādāt likumprojektu </w:t>
            </w:r>
            <w:r w:rsidR="00C86BEE">
              <w:rPr>
                <w:rFonts w:eastAsia="Times New Roman" w:cs="Times New Roman"/>
                <w:sz w:val="24"/>
                <w:szCs w:val="24"/>
              </w:rPr>
              <w:t>autoceļu lietošanas</w:t>
            </w:r>
            <w:r w:rsidRPr="00873D89">
              <w:rPr>
                <w:rFonts w:eastAsia="Times New Roman" w:cs="Times New Roman"/>
                <w:sz w:val="24"/>
                <w:szCs w:val="24"/>
              </w:rPr>
              <w:t xml:space="preserve"> jomā. </w:t>
            </w:r>
          </w:p>
          <w:p w14:paraId="3431F26B" w14:textId="798BDFB4" w:rsidR="00417277" w:rsidRDefault="00417277" w:rsidP="00873D89">
            <w:pPr>
              <w:ind w:firstLine="0"/>
              <w:jc w:val="both"/>
              <w:rPr>
                <w:rFonts w:cs="Times New Roman"/>
                <w:sz w:val="24"/>
                <w:szCs w:val="24"/>
              </w:rPr>
            </w:pPr>
            <w:r w:rsidRPr="0043378C">
              <w:rPr>
                <w:rFonts w:cs="Times New Roman"/>
                <w:sz w:val="24"/>
                <w:szCs w:val="24"/>
              </w:rPr>
              <w:t>Lai īstenotu nozaru administratīvo pārkāpumu kodifikāciju</w:t>
            </w:r>
            <w:r w:rsidR="007D4E9C" w:rsidRPr="0043378C">
              <w:rPr>
                <w:rFonts w:cs="Times New Roman"/>
                <w:sz w:val="24"/>
                <w:szCs w:val="24"/>
              </w:rPr>
              <w:t>,</w:t>
            </w:r>
            <w:r w:rsidR="0073196C" w:rsidRPr="0043378C">
              <w:rPr>
                <w:rFonts w:cs="Times New Roman"/>
                <w:sz w:val="24"/>
                <w:szCs w:val="24"/>
              </w:rPr>
              <w:t xml:space="preserve"> izpildot </w:t>
            </w:r>
            <w:r w:rsidR="002174A7">
              <w:rPr>
                <w:rFonts w:cs="Times New Roman"/>
                <w:sz w:val="24"/>
                <w:szCs w:val="24"/>
              </w:rPr>
              <w:t>i</w:t>
            </w:r>
            <w:r w:rsidR="0073196C" w:rsidRPr="0043378C">
              <w:rPr>
                <w:rFonts w:cs="Times New Roman"/>
                <w:sz w:val="24"/>
                <w:szCs w:val="24"/>
              </w:rPr>
              <w:t>nformatīvaj</w:t>
            </w:r>
            <w:r w:rsidR="002C4D25" w:rsidRPr="0043378C">
              <w:rPr>
                <w:rFonts w:cs="Times New Roman"/>
                <w:sz w:val="24"/>
                <w:szCs w:val="24"/>
              </w:rPr>
              <w:t>os</w:t>
            </w:r>
            <w:r w:rsidR="0073196C" w:rsidRPr="0043378C">
              <w:rPr>
                <w:rFonts w:cs="Times New Roman"/>
                <w:sz w:val="24"/>
                <w:szCs w:val="24"/>
              </w:rPr>
              <w:t xml:space="preserve"> ziņojum</w:t>
            </w:r>
            <w:r w:rsidR="002C4D25" w:rsidRPr="0043378C">
              <w:rPr>
                <w:rFonts w:cs="Times New Roman"/>
                <w:sz w:val="24"/>
                <w:szCs w:val="24"/>
              </w:rPr>
              <w:t>os</w:t>
            </w:r>
            <w:r w:rsidR="0073196C" w:rsidRPr="0043378C">
              <w:rPr>
                <w:rFonts w:cs="Times New Roman"/>
                <w:sz w:val="24"/>
                <w:szCs w:val="24"/>
              </w:rPr>
              <w:t xml:space="preserve"> doto</w:t>
            </w:r>
            <w:r w:rsidR="002C4D25" w:rsidRPr="0043378C">
              <w:rPr>
                <w:rFonts w:cs="Times New Roman"/>
                <w:sz w:val="24"/>
                <w:szCs w:val="24"/>
              </w:rPr>
              <w:t>s</w:t>
            </w:r>
            <w:r w:rsidR="0073196C" w:rsidRPr="0043378C">
              <w:rPr>
                <w:rFonts w:cs="Times New Roman"/>
                <w:sz w:val="24"/>
                <w:szCs w:val="24"/>
              </w:rPr>
              <w:t xml:space="preserve"> uzdevumu</w:t>
            </w:r>
            <w:r w:rsidR="002C4D25" w:rsidRPr="0043378C">
              <w:rPr>
                <w:rFonts w:cs="Times New Roman"/>
                <w:sz w:val="24"/>
                <w:szCs w:val="24"/>
              </w:rPr>
              <w:t>s</w:t>
            </w:r>
            <w:r w:rsidR="0073196C" w:rsidRPr="0043378C">
              <w:rPr>
                <w:rFonts w:cs="Times New Roman"/>
                <w:sz w:val="24"/>
                <w:szCs w:val="24"/>
              </w:rPr>
              <w:t>,</w:t>
            </w:r>
            <w:r w:rsidRPr="0043378C">
              <w:rPr>
                <w:rFonts w:cs="Times New Roman"/>
                <w:sz w:val="24"/>
                <w:szCs w:val="24"/>
              </w:rPr>
              <w:t xml:space="preserve"> </w:t>
            </w:r>
            <w:r w:rsidR="00D86D19" w:rsidRPr="0043378C">
              <w:rPr>
                <w:rFonts w:cs="Times New Roman"/>
                <w:sz w:val="24"/>
                <w:szCs w:val="24"/>
              </w:rPr>
              <w:t>Satiksmes</w:t>
            </w:r>
            <w:r w:rsidR="007D4E9C" w:rsidRPr="0043378C">
              <w:rPr>
                <w:rFonts w:cs="Times New Roman"/>
                <w:sz w:val="24"/>
                <w:szCs w:val="24"/>
              </w:rPr>
              <w:t xml:space="preserve"> ministrija </w:t>
            </w:r>
            <w:r w:rsidR="0073196C" w:rsidRPr="0043378C">
              <w:rPr>
                <w:rFonts w:cs="Times New Roman"/>
                <w:sz w:val="24"/>
                <w:szCs w:val="24"/>
              </w:rPr>
              <w:t xml:space="preserve">sadarbībā ar </w:t>
            </w:r>
            <w:r w:rsidR="006F0550">
              <w:rPr>
                <w:rFonts w:cs="Times New Roman"/>
                <w:sz w:val="24"/>
                <w:szCs w:val="24"/>
              </w:rPr>
              <w:t>valsts akciju sabiedrību “</w:t>
            </w:r>
            <w:r w:rsidR="002964D7" w:rsidRPr="0043378C">
              <w:rPr>
                <w:rFonts w:cs="Times New Roman"/>
                <w:sz w:val="24"/>
                <w:szCs w:val="24"/>
              </w:rPr>
              <w:t xml:space="preserve">Latvijas </w:t>
            </w:r>
            <w:r w:rsidR="006F0550">
              <w:rPr>
                <w:rFonts w:cs="Times New Roman"/>
                <w:sz w:val="24"/>
                <w:szCs w:val="24"/>
              </w:rPr>
              <w:t>V</w:t>
            </w:r>
            <w:r w:rsidR="002964D7" w:rsidRPr="0043378C">
              <w:rPr>
                <w:rFonts w:cs="Times New Roman"/>
                <w:sz w:val="24"/>
                <w:szCs w:val="24"/>
              </w:rPr>
              <w:t>alsts ceļi</w:t>
            </w:r>
            <w:r w:rsidR="006F0550">
              <w:rPr>
                <w:rFonts w:cs="Times New Roman"/>
                <w:sz w:val="24"/>
                <w:szCs w:val="24"/>
              </w:rPr>
              <w:t>”</w:t>
            </w:r>
            <w:r w:rsidR="0073196C" w:rsidRPr="0043378C">
              <w:rPr>
                <w:rFonts w:cs="Times New Roman"/>
                <w:sz w:val="24"/>
                <w:szCs w:val="24"/>
              </w:rPr>
              <w:t xml:space="preserve"> </w:t>
            </w:r>
            <w:r w:rsidR="007D4E9C" w:rsidRPr="0043378C">
              <w:rPr>
                <w:rFonts w:cs="Times New Roman"/>
                <w:sz w:val="24"/>
                <w:szCs w:val="24"/>
              </w:rPr>
              <w:t xml:space="preserve">izstrādāja Likumprojektu, papildinot </w:t>
            </w:r>
            <w:r w:rsidR="002174A7" w:rsidRPr="002174A7">
              <w:rPr>
                <w:rFonts w:cs="Times New Roman"/>
                <w:sz w:val="24"/>
                <w:szCs w:val="24"/>
              </w:rPr>
              <w:t xml:space="preserve">Autoceļu lietošanas nodevas </w:t>
            </w:r>
            <w:r w:rsidR="002174A7">
              <w:rPr>
                <w:rFonts w:cs="Times New Roman"/>
                <w:sz w:val="24"/>
                <w:szCs w:val="24"/>
              </w:rPr>
              <w:t>l</w:t>
            </w:r>
            <w:r w:rsidR="002C4D25" w:rsidRPr="0043378C">
              <w:rPr>
                <w:rFonts w:cs="Times New Roman"/>
                <w:sz w:val="24"/>
                <w:szCs w:val="24"/>
              </w:rPr>
              <w:t>ikumu</w:t>
            </w:r>
            <w:r w:rsidR="007D4E9C" w:rsidRPr="0043378C">
              <w:rPr>
                <w:rFonts w:cs="Times New Roman"/>
                <w:sz w:val="24"/>
                <w:szCs w:val="24"/>
              </w:rPr>
              <w:t xml:space="preserve"> </w:t>
            </w:r>
            <w:r w:rsidR="002174A7">
              <w:rPr>
                <w:rFonts w:cs="Times New Roman"/>
                <w:sz w:val="24"/>
                <w:szCs w:val="24"/>
              </w:rPr>
              <w:t xml:space="preserve">(turpmāk - Likums) </w:t>
            </w:r>
            <w:r w:rsidR="007D4E9C" w:rsidRPr="0043378C">
              <w:rPr>
                <w:rFonts w:cs="Times New Roman"/>
                <w:sz w:val="24"/>
                <w:szCs w:val="24"/>
              </w:rPr>
              <w:t>ar regulējumu, kurā iekļauti</w:t>
            </w:r>
            <w:r w:rsidR="002964D7" w:rsidRPr="0043378C">
              <w:rPr>
                <w:rFonts w:cs="Times New Roman"/>
                <w:sz w:val="24"/>
                <w:szCs w:val="24"/>
              </w:rPr>
              <w:t xml:space="preserve"> </w:t>
            </w:r>
            <w:r w:rsidR="009F70B2">
              <w:rPr>
                <w:rFonts w:cs="Times New Roman"/>
                <w:sz w:val="24"/>
                <w:szCs w:val="24"/>
              </w:rPr>
              <w:t xml:space="preserve">ar </w:t>
            </w:r>
            <w:r w:rsidR="002964D7" w:rsidRPr="0043378C">
              <w:rPr>
                <w:rFonts w:cs="Times New Roman"/>
                <w:sz w:val="24"/>
                <w:szCs w:val="24"/>
              </w:rPr>
              <w:t>autoceļu lietošanas nodev</w:t>
            </w:r>
            <w:r w:rsidR="009F70B2">
              <w:rPr>
                <w:rFonts w:cs="Times New Roman"/>
                <w:sz w:val="24"/>
                <w:szCs w:val="24"/>
              </w:rPr>
              <w:t>u</w:t>
            </w:r>
            <w:r w:rsidR="002964D7" w:rsidRPr="0043378C">
              <w:rPr>
                <w:rFonts w:cs="Times New Roman"/>
                <w:sz w:val="24"/>
                <w:szCs w:val="24"/>
              </w:rPr>
              <w:t xml:space="preserve"> </w:t>
            </w:r>
            <w:r w:rsidR="00E94F46" w:rsidRPr="0043378C">
              <w:rPr>
                <w:rFonts w:cs="Times New Roman"/>
                <w:sz w:val="24"/>
                <w:szCs w:val="24"/>
              </w:rPr>
              <w:t>saistīto noteikumu pārkāpšan</w:t>
            </w:r>
            <w:r w:rsidR="009F70B2">
              <w:rPr>
                <w:rFonts w:cs="Times New Roman"/>
                <w:sz w:val="24"/>
                <w:szCs w:val="24"/>
              </w:rPr>
              <w:t>u</w:t>
            </w:r>
            <w:r w:rsidRPr="0043378C">
              <w:rPr>
                <w:rFonts w:cs="Times New Roman"/>
                <w:sz w:val="24"/>
                <w:szCs w:val="24"/>
              </w:rPr>
              <w:t xml:space="preserve"> saglabājamie administratīvie pārkāpumi un noteikta kompetent</w:t>
            </w:r>
            <w:r w:rsidR="005E21E7">
              <w:rPr>
                <w:rFonts w:cs="Times New Roman"/>
                <w:sz w:val="24"/>
                <w:szCs w:val="24"/>
              </w:rPr>
              <w:t>a</w:t>
            </w:r>
            <w:r w:rsidRPr="0043378C">
              <w:rPr>
                <w:rFonts w:cs="Times New Roman"/>
                <w:sz w:val="24"/>
                <w:szCs w:val="24"/>
              </w:rPr>
              <w:t xml:space="preserve"> iestāde</w:t>
            </w:r>
            <w:r w:rsidR="00DC0050" w:rsidRPr="0043378C">
              <w:rPr>
                <w:rFonts w:cs="Times New Roman"/>
                <w:sz w:val="24"/>
                <w:szCs w:val="24"/>
              </w:rPr>
              <w:t>, ku</w:t>
            </w:r>
            <w:r w:rsidR="005E21E7">
              <w:rPr>
                <w:rFonts w:cs="Times New Roman"/>
                <w:sz w:val="24"/>
                <w:szCs w:val="24"/>
              </w:rPr>
              <w:t>rai</w:t>
            </w:r>
            <w:r w:rsidRPr="0043378C">
              <w:rPr>
                <w:rFonts w:cs="Times New Roman"/>
                <w:sz w:val="24"/>
                <w:szCs w:val="24"/>
              </w:rPr>
              <w:t xml:space="preserve"> būs piekritīga soda piemērošana.</w:t>
            </w:r>
          </w:p>
          <w:p w14:paraId="7B2DD4F3" w14:textId="14F02238" w:rsidR="00C86BEE" w:rsidRDefault="00C86BEE" w:rsidP="00873D89">
            <w:pPr>
              <w:ind w:firstLine="0"/>
              <w:jc w:val="both"/>
              <w:rPr>
                <w:rFonts w:cs="Times New Roman"/>
                <w:sz w:val="24"/>
                <w:szCs w:val="24"/>
              </w:rPr>
            </w:pPr>
            <w:r w:rsidRPr="00C86BEE">
              <w:rPr>
                <w:rFonts w:cs="Times New Roman"/>
                <w:sz w:val="24"/>
                <w:szCs w:val="24"/>
              </w:rPr>
              <w:t xml:space="preserve">Likumprojekts </w:t>
            </w:r>
            <w:r w:rsidR="00E90126">
              <w:rPr>
                <w:rFonts w:cs="Times New Roman"/>
                <w:sz w:val="24"/>
                <w:szCs w:val="24"/>
              </w:rPr>
              <w:t>pārņem</w:t>
            </w:r>
            <w:r>
              <w:rPr>
                <w:rFonts w:cs="Times New Roman"/>
                <w:sz w:val="24"/>
                <w:szCs w:val="24"/>
              </w:rPr>
              <w:t xml:space="preserve"> </w:t>
            </w:r>
            <w:r w:rsidRPr="00C86BEE">
              <w:rPr>
                <w:rFonts w:cs="Times New Roman"/>
                <w:sz w:val="24"/>
                <w:szCs w:val="24"/>
              </w:rPr>
              <w:t>Latvijas Administratīvo pārkāpumu kodeksa (turpmāk – LAPK)</w:t>
            </w:r>
            <w:r>
              <w:rPr>
                <w:rFonts w:cs="Times New Roman"/>
                <w:sz w:val="24"/>
                <w:szCs w:val="24"/>
              </w:rPr>
              <w:t xml:space="preserve"> </w:t>
            </w:r>
            <w:r w:rsidRPr="0043378C">
              <w:rPr>
                <w:rFonts w:cs="Times New Roman"/>
                <w:bCs/>
                <w:sz w:val="24"/>
                <w:szCs w:val="24"/>
              </w:rPr>
              <w:t>149.</w:t>
            </w:r>
            <w:r w:rsidRPr="0043378C">
              <w:rPr>
                <w:rFonts w:cs="Times New Roman"/>
                <w:bCs/>
                <w:sz w:val="24"/>
                <w:szCs w:val="24"/>
                <w:vertAlign w:val="superscript"/>
              </w:rPr>
              <w:t xml:space="preserve">40 </w:t>
            </w:r>
            <w:r>
              <w:rPr>
                <w:rFonts w:cs="Times New Roman"/>
                <w:sz w:val="24"/>
                <w:szCs w:val="24"/>
              </w:rPr>
              <w:t xml:space="preserve">pantu, reglamentējot pārkāpumus saistībā ar </w:t>
            </w:r>
            <w:r w:rsidRPr="00C86BEE">
              <w:rPr>
                <w:rFonts w:cs="Times New Roman"/>
                <w:sz w:val="24"/>
                <w:szCs w:val="24"/>
              </w:rPr>
              <w:t>autoceļu lietošanas nodevas samaksas noteikumu neievērošanu</w:t>
            </w:r>
            <w:r>
              <w:rPr>
                <w:rFonts w:cs="Times New Roman"/>
                <w:sz w:val="24"/>
                <w:szCs w:val="24"/>
              </w:rPr>
              <w:t xml:space="preserve"> un sodus par tiem, kā arī </w:t>
            </w:r>
            <w:r w:rsidR="009F70B2">
              <w:rPr>
                <w:rFonts w:cs="Times New Roman"/>
                <w:sz w:val="24"/>
                <w:szCs w:val="24"/>
              </w:rPr>
              <w:t>nosaka</w:t>
            </w:r>
            <w:r>
              <w:rPr>
                <w:rFonts w:cs="Times New Roman"/>
                <w:sz w:val="24"/>
                <w:szCs w:val="24"/>
              </w:rPr>
              <w:t xml:space="preserve"> kompetento iestādi, kas piemēros sodus par attiecīgajiem administratīvajiem pārkāpumiem. </w:t>
            </w:r>
          </w:p>
          <w:p w14:paraId="284F6591" w14:textId="34AE4426" w:rsidR="002D6276" w:rsidRDefault="00D77CE9" w:rsidP="00873D89">
            <w:pPr>
              <w:ind w:firstLine="0"/>
              <w:jc w:val="both"/>
              <w:rPr>
                <w:rFonts w:cs="Times New Roman"/>
                <w:sz w:val="24"/>
                <w:szCs w:val="24"/>
              </w:rPr>
            </w:pPr>
            <w:r w:rsidRPr="00D77CE9">
              <w:rPr>
                <w:rFonts w:cs="Times New Roman"/>
                <w:sz w:val="24"/>
                <w:szCs w:val="24"/>
              </w:rPr>
              <w:lastRenderedPageBreak/>
              <w:t>Ņemot vērā</w:t>
            </w:r>
            <w:r w:rsidR="006F0550">
              <w:rPr>
                <w:rFonts w:cs="Times New Roman"/>
                <w:sz w:val="24"/>
                <w:szCs w:val="24"/>
              </w:rPr>
              <w:t>,</w:t>
            </w:r>
            <w:r w:rsidRPr="00D77CE9">
              <w:rPr>
                <w:rFonts w:cs="Times New Roman"/>
                <w:sz w:val="24"/>
                <w:szCs w:val="24"/>
              </w:rPr>
              <w:t xml:space="preserve"> ka</w:t>
            </w:r>
            <w:r w:rsidR="00C86BEE">
              <w:rPr>
                <w:rFonts w:cs="Times New Roman"/>
                <w:sz w:val="24"/>
                <w:szCs w:val="24"/>
              </w:rPr>
              <w:t xml:space="preserve"> LAPK</w:t>
            </w:r>
            <w:r w:rsidR="002174A7" w:rsidRPr="002174A7">
              <w:rPr>
                <w:rFonts w:cs="Times New Roman"/>
                <w:sz w:val="24"/>
                <w:szCs w:val="24"/>
              </w:rPr>
              <w:t xml:space="preserve"> </w:t>
            </w:r>
            <w:r w:rsidRPr="00D77CE9">
              <w:rPr>
                <w:rFonts w:cs="Times New Roman"/>
                <w:sz w:val="24"/>
                <w:szCs w:val="24"/>
              </w:rPr>
              <w:t>77.pants nosaka lēmuma pieņemšan</w:t>
            </w:r>
            <w:r>
              <w:rPr>
                <w:rFonts w:cs="Times New Roman"/>
                <w:sz w:val="24"/>
                <w:szCs w:val="24"/>
              </w:rPr>
              <w:t>u</w:t>
            </w:r>
            <w:r w:rsidRPr="00D77CE9">
              <w:rPr>
                <w:rFonts w:cs="Times New Roman"/>
                <w:sz w:val="24"/>
                <w:szCs w:val="24"/>
              </w:rPr>
              <w:t xml:space="preserve"> likumā noteiktajos gadījumos, </w:t>
            </w:r>
            <w:r w:rsidR="002174A7">
              <w:rPr>
                <w:rFonts w:cs="Times New Roman"/>
                <w:sz w:val="24"/>
                <w:szCs w:val="24"/>
              </w:rPr>
              <w:t>L</w:t>
            </w:r>
            <w:r w:rsidRPr="00D77CE9">
              <w:rPr>
                <w:rFonts w:cs="Times New Roman"/>
                <w:sz w:val="24"/>
                <w:szCs w:val="24"/>
              </w:rPr>
              <w:t>ikumprojekt</w:t>
            </w:r>
            <w:r w:rsidR="002174A7">
              <w:rPr>
                <w:rFonts w:cs="Times New Roman"/>
                <w:sz w:val="24"/>
                <w:szCs w:val="24"/>
              </w:rPr>
              <w:t>s</w:t>
            </w:r>
            <w:r w:rsidRPr="00D77CE9">
              <w:rPr>
                <w:rFonts w:cs="Times New Roman"/>
                <w:sz w:val="24"/>
                <w:szCs w:val="24"/>
              </w:rPr>
              <w:t xml:space="preserve"> </w:t>
            </w:r>
            <w:r w:rsidR="002174A7">
              <w:rPr>
                <w:rFonts w:cs="Times New Roman"/>
                <w:sz w:val="24"/>
                <w:szCs w:val="24"/>
              </w:rPr>
              <w:t>paredz</w:t>
            </w:r>
            <w:r w:rsidRPr="00D77CE9">
              <w:rPr>
                <w:rFonts w:cs="Times New Roman"/>
                <w:sz w:val="24"/>
                <w:szCs w:val="24"/>
              </w:rPr>
              <w:t xml:space="preserve"> </w:t>
            </w:r>
            <w:r w:rsidR="00EA3A30">
              <w:rPr>
                <w:rFonts w:cs="Times New Roman"/>
                <w:sz w:val="24"/>
                <w:szCs w:val="24"/>
              </w:rPr>
              <w:t>precizēt</w:t>
            </w:r>
            <w:r w:rsidR="00B87040">
              <w:rPr>
                <w:rFonts w:cs="Times New Roman"/>
                <w:sz w:val="24"/>
                <w:szCs w:val="24"/>
              </w:rPr>
              <w:t xml:space="preserve"> </w:t>
            </w:r>
            <w:r w:rsidR="002174A7">
              <w:rPr>
                <w:rFonts w:cs="Times New Roman"/>
                <w:sz w:val="24"/>
                <w:szCs w:val="24"/>
              </w:rPr>
              <w:t xml:space="preserve">Likuma </w:t>
            </w:r>
            <w:r w:rsidRPr="00D77CE9">
              <w:rPr>
                <w:rFonts w:cs="Times New Roman"/>
                <w:sz w:val="24"/>
                <w:szCs w:val="24"/>
              </w:rPr>
              <w:t>8.panta piekt</w:t>
            </w:r>
            <w:r w:rsidR="002174A7">
              <w:rPr>
                <w:rFonts w:cs="Times New Roman"/>
                <w:sz w:val="24"/>
                <w:szCs w:val="24"/>
              </w:rPr>
              <w:t>o</w:t>
            </w:r>
            <w:r w:rsidRPr="00D77CE9">
              <w:rPr>
                <w:rFonts w:cs="Times New Roman"/>
                <w:sz w:val="24"/>
                <w:szCs w:val="24"/>
              </w:rPr>
              <w:t xml:space="preserve"> daļ</w:t>
            </w:r>
            <w:r w:rsidR="002174A7">
              <w:rPr>
                <w:rFonts w:cs="Times New Roman"/>
                <w:sz w:val="24"/>
                <w:szCs w:val="24"/>
              </w:rPr>
              <w:t>u</w:t>
            </w:r>
            <w:r w:rsidR="00601E93">
              <w:rPr>
                <w:rFonts w:cs="Times New Roman"/>
                <w:sz w:val="24"/>
                <w:szCs w:val="24"/>
              </w:rPr>
              <w:t>,</w:t>
            </w:r>
            <w:r w:rsidRPr="00D77CE9">
              <w:rPr>
                <w:rFonts w:cs="Times New Roman"/>
                <w:sz w:val="24"/>
                <w:szCs w:val="24"/>
              </w:rPr>
              <w:t xml:space="preserve"> </w:t>
            </w:r>
            <w:r w:rsidR="00B87040">
              <w:rPr>
                <w:rFonts w:cs="Times New Roman"/>
                <w:sz w:val="24"/>
                <w:szCs w:val="24"/>
              </w:rPr>
              <w:t>nosakot, ka</w:t>
            </w:r>
            <w:r w:rsidR="00601E93" w:rsidRPr="00601E93">
              <w:rPr>
                <w:rFonts w:cs="Times New Roman"/>
                <w:sz w:val="24"/>
                <w:szCs w:val="24"/>
              </w:rPr>
              <w:t xml:space="preserve"> Valsts policija ar </w:t>
            </w:r>
            <w:r w:rsidR="00BD1DB3">
              <w:rPr>
                <w:rFonts w:cs="Times New Roman"/>
                <w:sz w:val="24"/>
                <w:szCs w:val="24"/>
              </w:rPr>
              <w:t>valsts akciju sabiedrību “</w:t>
            </w:r>
            <w:r w:rsidR="00601E93" w:rsidRPr="00601E93">
              <w:rPr>
                <w:rFonts w:cs="Times New Roman"/>
                <w:sz w:val="24"/>
                <w:szCs w:val="24"/>
              </w:rPr>
              <w:t>Ceļu satiksmes drošības direkcij</w:t>
            </w:r>
            <w:r w:rsidR="00BD1DB3">
              <w:rPr>
                <w:rFonts w:cs="Times New Roman"/>
                <w:sz w:val="24"/>
                <w:szCs w:val="24"/>
              </w:rPr>
              <w:t>a”</w:t>
            </w:r>
            <w:r w:rsidR="00601E93" w:rsidRPr="00601E93">
              <w:rPr>
                <w:rFonts w:cs="Times New Roman"/>
                <w:sz w:val="24"/>
                <w:szCs w:val="24"/>
              </w:rPr>
              <w:t xml:space="preserve"> </w:t>
            </w:r>
            <w:r w:rsidR="00E90126">
              <w:rPr>
                <w:rFonts w:cs="Times New Roman"/>
                <w:sz w:val="24"/>
                <w:szCs w:val="24"/>
              </w:rPr>
              <w:t xml:space="preserve">(turpmāk - CSDD) </w:t>
            </w:r>
            <w:r w:rsidR="00601E93" w:rsidRPr="00601E93">
              <w:rPr>
                <w:rFonts w:cs="Times New Roman"/>
                <w:sz w:val="24"/>
                <w:szCs w:val="24"/>
              </w:rPr>
              <w:t xml:space="preserve">var noslēgt deleģēšanas līgumu, kurā paredz, ka </w:t>
            </w:r>
            <w:r w:rsidR="00E90126">
              <w:rPr>
                <w:rFonts w:cs="Times New Roman"/>
                <w:sz w:val="24"/>
                <w:szCs w:val="24"/>
              </w:rPr>
              <w:t>CSDD</w:t>
            </w:r>
            <w:r w:rsidR="00601E93" w:rsidRPr="00601E93">
              <w:rPr>
                <w:rFonts w:cs="Times New Roman"/>
                <w:sz w:val="24"/>
                <w:szCs w:val="24"/>
              </w:rPr>
              <w:t xml:space="preserve"> transportlīdzekļu un to vadītāju valsts reģistrā apstrādā to informāciju, kas par attiecīgo pārkāpumu saņemta no tehniskiem līdzekļiem</w:t>
            </w:r>
            <w:r w:rsidR="00601E93">
              <w:rPr>
                <w:rFonts w:cs="Times New Roman"/>
                <w:sz w:val="24"/>
                <w:szCs w:val="24"/>
              </w:rPr>
              <w:t>.</w:t>
            </w:r>
            <w:r w:rsidR="00601E93" w:rsidRPr="00601E93">
              <w:rPr>
                <w:rFonts w:cs="Times New Roman"/>
                <w:sz w:val="24"/>
                <w:szCs w:val="24"/>
              </w:rPr>
              <w:t xml:space="preserve"> </w:t>
            </w:r>
          </w:p>
          <w:p w14:paraId="61B67085" w14:textId="0B1E0634" w:rsidR="009F70B2" w:rsidRDefault="002174A7" w:rsidP="007E1F41">
            <w:pPr>
              <w:ind w:firstLine="0"/>
              <w:jc w:val="both"/>
              <w:rPr>
                <w:rFonts w:cs="Times New Roman"/>
                <w:sz w:val="24"/>
                <w:szCs w:val="24"/>
              </w:rPr>
            </w:pPr>
            <w:r w:rsidRPr="00CB2EA9">
              <w:rPr>
                <w:rFonts w:cs="Times New Roman"/>
                <w:sz w:val="24"/>
                <w:szCs w:val="24"/>
              </w:rPr>
              <w:t>Likumprojekt</w:t>
            </w:r>
            <w:r w:rsidR="001A7B34" w:rsidRPr="00CB2EA9">
              <w:rPr>
                <w:rFonts w:cs="Times New Roman"/>
                <w:sz w:val="24"/>
                <w:szCs w:val="24"/>
              </w:rPr>
              <w:t xml:space="preserve">ā ietvertais </w:t>
            </w:r>
            <w:r w:rsidR="001A7B34" w:rsidRPr="00CB2EA9">
              <w:rPr>
                <w:sz w:val="24"/>
                <w:szCs w:val="24"/>
              </w:rPr>
              <w:t>Autoceļu lietošanas nodevas likuma</w:t>
            </w:r>
            <w:r w:rsidR="001A7B34" w:rsidRPr="00CB2EA9" w:rsidDel="001A7B34">
              <w:rPr>
                <w:rFonts w:cs="Times New Roman"/>
                <w:sz w:val="24"/>
                <w:szCs w:val="24"/>
              </w:rPr>
              <w:t xml:space="preserve"> </w:t>
            </w:r>
            <w:r w:rsidR="008D6AEA" w:rsidRPr="00CB2EA9">
              <w:rPr>
                <w:rFonts w:cs="Times New Roman"/>
                <w:sz w:val="24"/>
                <w:szCs w:val="24"/>
              </w:rPr>
              <w:t xml:space="preserve"> 11. pants paredz </w:t>
            </w:r>
            <w:r w:rsidRPr="00CB2EA9">
              <w:rPr>
                <w:rFonts w:cs="Times New Roman"/>
                <w:sz w:val="24"/>
                <w:szCs w:val="24"/>
              </w:rPr>
              <w:t xml:space="preserve"> </w:t>
            </w:r>
            <w:r w:rsidR="008D6AEA" w:rsidRPr="008D6AEA">
              <w:rPr>
                <w:rFonts w:cs="Times New Roman"/>
                <w:sz w:val="24"/>
                <w:szCs w:val="24"/>
              </w:rPr>
              <w:t>atbildīb</w:t>
            </w:r>
            <w:r w:rsidR="008D6AEA">
              <w:rPr>
                <w:rFonts w:cs="Times New Roman"/>
                <w:sz w:val="24"/>
                <w:szCs w:val="24"/>
              </w:rPr>
              <w:t>u</w:t>
            </w:r>
            <w:r w:rsidR="008D6AEA" w:rsidRPr="008D6AEA">
              <w:rPr>
                <w:rFonts w:cs="Times New Roman"/>
                <w:sz w:val="24"/>
                <w:szCs w:val="24"/>
              </w:rPr>
              <w:t xml:space="preserve"> par autoceļu lietošanas nodevas samaksas noteikumu neievērošan</w:t>
            </w:r>
            <w:r w:rsidR="008D6AEA" w:rsidRPr="00CB2EA9">
              <w:rPr>
                <w:rFonts w:cs="Times New Roman"/>
                <w:sz w:val="24"/>
                <w:szCs w:val="24"/>
              </w:rPr>
              <w:t>u</w:t>
            </w:r>
            <w:r w:rsidR="00CB2EA9">
              <w:rPr>
                <w:rFonts w:cs="Times New Roman"/>
                <w:sz w:val="24"/>
                <w:szCs w:val="24"/>
              </w:rPr>
              <w:t>.</w:t>
            </w:r>
          </w:p>
          <w:p w14:paraId="32CCE176" w14:textId="27CF95E6" w:rsidR="002174A7" w:rsidRDefault="00F74ACD" w:rsidP="007E1F41">
            <w:pPr>
              <w:ind w:firstLine="0"/>
              <w:jc w:val="both"/>
              <w:rPr>
                <w:rFonts w:cs="Times New Roman"/>
                <w:sz w:val="24"/>
                <w:szCs w:val="24"/>
              </w:rPr>
            </w:pPr>
            <w:r w:rsidRPr="00F74ACD">
              <w:rPr>
                <w:rFonts w:cs="Times New Roman"/>
                <w:sz w:val="24"/>
                <w:szCs w:val="24"/>
              </w:rPr>
              <w:t>Šobrīd administratīvo sodu par pārkāpumu, kas fiksēts ar tehniskajiem līdzekļiem, neapturot transportlīdzekli, piemēro transportlīdzekļu un to vadītāju valsts reģistrā norādītajam transportlīdzekļa turētājam vai, ja turētājs nav norādīts vai transportlīdzeklis noņemts no uzskaites, - transportlīdzekļa īpašniekam (valdītājam). Ja pārkāpums izdarīts ar transportlīdzekli, kas nodots tirdzniecībai (tam uzstādītas tirdzniecības valsts reģistrācijas numura zīmes vai tas reģistrēts tirdzniecības reģistrā), administratīvo sodu piemēro komersantam, kurš nodarbojas ar attiecīgā transportlīdzekļa tirdzniecību.</w:t>
            </w:r>
          </w:p>
          <w:p w14:paraId="7EBCE134" w14:textId="3A4773B0" w:rsidR="00A77B86" w:rsidRDefault="00A64C03" w:rsidP="007E1F41">
            <w:pPr>
              <w:ind w:firstLine="0"/>
              <w:jc w:val="both"/>
              <w:rPr>
                <w:rFonts w:cs="Times New Roman"/>
                <w:sz w:val="24"/>
                <w:szCs w:val="24"/>
              </w:rPr>
            </w:pPr>
            <w:r>
              <w:rPr>
                <w:rFonts w:cs="Times New Roman"/>
                <w:bCs/>
                <w:sz w:val="24"/>
                <w:szCs w:val="24"/>
              </w:rPr>
              <w:t xml:space="preserve">Likumprojekts paredz papildināt </w:t>
            </w:r>
            <w:r w:rsidR="00E90126">
              <w:rPr>
                <w:rFonts w:cs="Times New Roman"/>
                <w:bCs/>
                <w:sz w:val="24"/>
                <w:szCs w:val="24"/>
              </w:rPr>
              <w:t>L</w:t>
            </w:r>
            <w:r>
              <w:rPr>
                <w:rFonts w:cs="Times New Roman"/>
                <w:bCs/>
                <w:sz w:val="24"/>
                <w:szCs w:val="24"/>
              </w:rPr>
              <w:t xml:space="preserve">ikumu </w:t>
            </w:r>
            <w:r w:rsidR="00E90126">
              <w:rPr>
                <w:rFonts w:cs="Times New Roman"/>
                <w:bCs/>
                <w:sz w:val="24"/>
                <w:szCs w:val="24"/>
              </w:rPr>
              <w:t xml:space="preserve">ar </w:t>
            </w:r>
            <w:r>
              <w:rPr>
                <w:rFonts w:cs="Times New Roman"/>
                <w:bCs/>
                <w:sz w:val="24"/>
                <w:szCs w:val="24"/>
              </w:rPr>
              <w:t>12.</w:t>
            </w:r>
            <w:r w:rsidR="00E90126">
              <w:rPr>
                <w:rFonts w:cs="Times New Roman"/>
                <w:bCs/>
                <w:sz w:val="24"/>
                <w:szCs w:val="24"/>
              </w:rPr>
              <w:t>p</w:t>
            </w:r>
            <w:r>
              <w:rPr>
                <w:rFonts w:cs="Times New Roman"/>
                <w:bCs/>
                <w:sz w:val="24"/>
                <w:szCs w:val="24"/>
              </w:rPr>
              <w:t xml:space="preserve">antu, </w:t>
            </w:r>
            <w:r w:rsidR="00FA265D" w:rsidRPr="0043378C">
              <w:rPr>
                <w:rFonts w:cs="Times New Roman"/>
                <w:sz w:val="24"/>
                <w:szCs w:val="24"/>
              </w:rPr>
              <w:t>no</w:t>
            </w:r>
            <w:r w:rsidR="002174A7">
              <w:rPr>
                <w:rFonts w:cs="Times New Roman"/>
                <w:sz w:val="24"/>
                <w:szCs w:val="24"/>
              </w:rPr>
              <w:t>sakot</w:t>
            </w:r>
            <w:r w:rsidR="00FA265D" w:rsidRPr="0043378C">
              <w:rPr>
                <w:rFonts w:cs="Times New Roman"/>
                <w:sz w:val="24"/>
                <w:szCs w:val="24"/>
              </w:rPr>
              <w:t xml:space="preserve"> </w:t>
            </w:r>
            <w:r w:rsidR="009F70B2">
              <w:rPr>
                <w:rFonts w:cs="Times New Roman"/>
                <w:sz w:val="24"/>
                <w:szCs w:val="24"/>
              </w:rPr>
              <w:t xml:space="preserve">Valsts policiju kā </w:t>
            </w:r>
            <w:r w:rsidR="00FA265D" w:rsidRPr="0043378C">
              <w:rPr>
                <w:rFonts w:cs="Times New Roman"/>
                <w:sz w:val="24"/>
                <w:szCs w:val="24"/>
              </w:rPr>
              <w:t>kompetent</w:t>
            </w:r>
            <w:r w:rsidR="002174A7">
              <w:rPr>
                <w:rFonts w:cs="Times New Roman"/>
                <w:sz w:val="24"/>
                <w:szCs w:val="24"/>
              </w:rPr>
              <w:t>o</w:t>
            </w:r>
            <w:r w:rsidR="00FA265D" w:rsidRPr="0043378C">
              <w:rPr>
                <w:rFonts w:cs="Times New Roman"/>
                <w:sz w:val="24"/>
                <w:szCs w:val="24"/>
              </w:rPr>
              <w:t xml:space="preserve"> iestād</w:t>
            </w:r>
            <w:r w:rsidR="002174A7">
              <w:rPr>
                <w:rFonts w:cs="Times New Roman"/>
                <w:sz w:val="24"/>
                <w:szCs w:val="24"/>
              </w:rPr>
              <w:t>i</w:t>
            </w:r>
            <w:r w:rsidR="00417277" w:rsidRPr="0043378C">
              <w:rPr>
                <w:rFonts w:cs="Times New Roman"/>
                <w:sz w:val="24"/>
                <w:szCs w:val="24"/>
              </w:rPr>
              <w:t xml:space="preserve"> sodu piemērošanā par minēto administratīvo pārkāpumu izdarīšanu.</w:t>
            </w:r>
            <w:r w:rsidR="00792D99" w:rsidRPr="0043378C">
              <w:rPr>
                <w:rFonts w:cs="Times New Roman"/>
                <w:sz w:val="24"/>
                <w:szCs w:val="24"/>
              </w:rPr>
              <w:t xml:space="preserve"> </w:t>
            </w:r>
          </w:p>
          <w:p w14:paraId="2421E9BF" w14:textId="4553396D" w:rsidR="00CF4298" w:rsidRDefault="007E1F41" w:rsidP="007E1F41">
            <w:pPr>
              <w:ind w:firstLine="0"/>
              <w:jc w:val="both"/>
              <w:rPr>
                <w:rFonts w:cs="Times New Roman"/>
                <w:bCs/>
                <w:sz w:val="24"/>
                <w:szCs w:val="24"/>
              </w:rPr>
            </w:pPr>
            <w:r w:rsidRPr="0043378C">
              <w:rPr>
                <w:rFonts w:cs="Times New Roman"/>
                <w:sz w:val="24"/>
                <w:szCs w:val="24"/>
              </w:rPr>
              <w:t>Likumprojektā ir iekļaut</w:t>
            </w:r>
            <w:r w:rsidR="006F0550">
              <w:rPr>
                <w:rFonts w:cs="Times New Roman"/>
                <w:sz w:val="24"/>
                <w:szCs w:val="24"/>
              </w:rPr>
              <w:t>s</w:t>
            </w:r>
            <w:r w:rsidRPr="0043378C">
              <w:rPr>
                <w:rFonts w:cs="Times New Roman"/>
                <w:sz w:val="24"/>
                <w:szCs w:val="24"/>
              </w:rPr>
              <w:t xml:space="preserve"> </w:t>
            </w:r>
            <w:r w:rsidR="002174A7">
              <w:rPr>
                <w:rFonts w:cs="Times New Roman"/>
                <w:sz w:val="24"/>
                <w:szCs w:val="24"/>
              </w:rPr>
              <w:t>LAPK</w:t>
            </w:r>
            <w:r w:rsidR="00C222F3" w:rsidRPr="0043378C">
              <w:rPr>
                <w:rFonts w:cs="Times New Roman"/>
                <w:bCs/>
                <w:sz w:val="24"/>
                <w:szCs w:val="24"/>
              </w:rPr>
              <w:t xml:space="preserve"> </w:t>
            </w:r>
            <w:r w:rsidRPr="0043378C">
              <w:rPr>
                <w:rFonts w:cs="Times New Roman"/>
                <w:bCs/>
                <w:sz w:val="24"/>
                <w:szCs w:val="24"/>
              </w:rPr>
              <w:t>149.</w:t>
            </w:r>
            <w:r w:rsidR="005B6AFE" w:rsidRPr="0043378C">
              <w:rPr>
                <w:rFonts w:cs="Times New Roman"/>
                <w:bCs/>
                <w:sz w:val="24"/>
                <w:szCs w:val="24"/>
                <w:vertAlign w:val="superscript"/>
              </w:rPr>
              <w:t xml:space="preserve">40 </w:t>
            </w:r>
            <w:r w:rsidR="003E7E9B" w:rsidRPr="0043378C">
              <w:rPr>
                <w:rFonts w:cs="Times New Roman"/>
                <w:bCs/>
                <w:sz w:val="24"/>
                <w:szCs w:val="24"/>
              </w:rPr>
              <w:t>pantā ietvertais administratīvo pārkāpumu sastāvs.</w:t>
            </w:r>
          </w:p>
          <w:p w14:paraId="7FF60DAF" w14:textId="7820F742" w:rsidR="004F2D5F" w:rsidRDefault="005F145F" w:rsidP="007274FD">
            <w:pPr>
              <w:ind w:firstLine="0"/>
              <w:jc w:val="both"/>
              <w:rPr>
                <w:rFonts w:cs="Times New Roman"/>
                <w:bCs/>
                <w:sz w:val="24"/>
                <w:szCs w:val="24"/>
              </w:rPr>
            </w:pPr>
            <w:r>
              <w:rPr>
                <w:rFonts w:cs="Times New Roman"/>
                <w:bCs/>
                <w:sz w:val="24"/>
                <w:szCs w:val="24"/>
              </w:rPr>
              <w:t>Likumprojektā, salīdzinot ar LAPK, tiek mainīti naudas soda apmēri</w:t>
            </w:r>
            <w:r w:rsidR="007274FD">
              <w:rPr>
                <w:rFonts w:cs="Times New Roman"/>
                <w:bCs/>
                <w:sz w:val="24"/>
                <w:szCs w:val="24"/>
              </w:rPr>
              <w:t xml:space="preserve"> gadījumos, ja pārkāpums fiksēts ar tehniskajiem līdzekļiem</w:t>
            </w:r>
            <w:r w:rsidR="001A7B34">
              <w:rPr>
                <w:rFonts w:cs="Times New Roman"/>
                <w:bCs/>
                <w:sz w:val="24"/>
                <w:szCs w:val="24"/>
              </w:rPr>
              <w:t xml:space="preserve">. </w:t>
            </w:r>
            <w:r w:rsidR="00471BF3" w:rsidRPr="00471BF3">
              <w:rPr>
                <w:rFonts w:cs="Times New Roman"/>
                <w:bCs/>
                <w:sz w:val="24"/>
                <w:szCs w:val="24"/>
              </w:rPr>
              <w:t>Autoceļu lietošanas nodevas likuma 3. pants nosaka, ka nodevu maksā mehāniskā transportlīdzekļa īpašnieks, turētājs vai pārvadātājs Ministru kabineta noteiktajā kārtībā.</w:t>
            </w:r>
            <w:r w:rsidR="00C7494A">
              <w:rPr>
                <w:rFonts w:cs="Times New Roman"/>
                <w:bCs/>
                <w:sz w:val="24"/>
                <w:szCs w:val="24"/>
              </w:rPr>
              <w:t xml:space="preserve"> </w:t>
            </w:r>
            <w:r w:rsidR="007274FD">
              <w:rPr>
                <w:rFonts w:cs="Times New Roman"/>
                <w:bCs/>
                <w:sz w:val="24"/>
                <w:szCs w:val="24"/>
              </w:rPr>
              <w:t>Līdz ar to</w:t>
            </w:r>
            <w:r w:rsidR="00C7494A">
              <w:rPr>
                <w:rFonts w:cs="Times New Roman"/>
                <w:bCs/>
                <w:sz w:val="24"/>
                <w:szCs w:val="24"/>
              </w:rPr>
              <w:t xml:space="preserve"> l</w:t>
            </w:r>
            <w:r w:rsidR="00C7494A" w:rsidRPr="00C7494A">
              <w:rPr>
                <w:rFonts w:cs="Times New Roman"/>
                <w:bCs/>
                <w:sz w:val="24"/>
                <w:szCs w:val="24"/>
              </w:rPr>
              <w:t xml:space="preserve">ikumprojektā, salīdzinot ar LAPK, </w:t>
            </w:r>
            <w:r w:rsidR="00141091">
              <w:rPr>
                <w:rFonts w:cs="Times New Roman"/>
                <w:bCs/>
                <w:sz w:val="24"/>
                <w:szCs w:val="24"/>
              </w:rPr>
              <w:t xml:space="preserve">gadījumos, kad </w:t>
            </w:r>
            <w:r w:rsidR="00141091">
              <w:t xml:space="preserve"> </w:t>
            </w:r>
            <w:r w:rsidR="00141091" w:rsidRPr="00141091">
              <w:rPr>
                <w:rFonts w:cs="Times New Roman"/>
                <w:bCs/>
                <w:sz w:val="24"/>
                <w:szCs w:val="24"/>
              </w:rPr>
              <w:t>autoceļu lietošanas nodevas samaksas noteikumu neievērošan</w:t>
            </w:r>
            <w:r w:rsidR="007274FD">
              <w:rPr>
                <w:rFonts w:cs="Times New Roman"/>
                <w:bCs/>
                <w:sz w:val="24"/>
                <w:szCs w:val="24"/>
              </w:rPr>
              <w:t>a</w:t>
            </w:r>
            <w:r w:rsidR="00141091">
              <w:rPr>
                <w:rFonts w:cs="Times New Roman"/>
                <w:bCs/>
                <w:sz w:val="24"/>
                <w:szCs w:val="24"/>
              </w:rPr>
              <w:t xml:space="preserve"> tiek fiksēta ar tehniskajiem līdzekļiem</w:t>
            </w:r>
            <w:r w:rsidR="007274FD">
              <w:rPr>
                <w:rFonts w:cs="Times New Roman"/>
                <w:bCs/>
                <w:sz w:val="24"/>
                <w:szCs w:val="24"/>
              </w:rPr>
              <w:t>,</w:t>
            </w:r>
            <w:r w:rsidR="008D6AEA">
              <w:rPr>
                <w:rFonts w:cs="Times New Roman"/>
                <w:bCs/>
                <w:sz w:val="24"/>
                <w:szCs w:val="24"/>
              </w:rPr>
              <w:t xml:space="preserve"> paredz</w:t>
            </w:r>
            <w:r w:rsidR="007274FD">
              <w:rPr>
                <w:rFonts w:cs="Times New Roman"/>
                <w:bCs/>
                <w:sz w:val="24"/>
                <w:szCs w:val="24"/>
              </w:rPr>
              <w:t>ēts</w:t>
            </w:r>
            <w:r w:rsidR="008D6AEA">
              <w:rPr>
                <w:rFonts w:cs="Times New Roman"/>
                <w:bCs/>
                <w:sz w:val="24"/>
                <w:szCs w:val="24"/>
              </w:rPr>
              <w:t>, ka par pārkāpumiem autoceļu lietošanas nodevas jomā tiek piemērots minimālais naudas sods, kāds par attiecīgo pārkāpumu paredzēts pārvadātajam LAPK</w:t>
            </w:r>
            <w:r w:rsidR="00471BF3">
              <w:rPr>
                <w:rFonts w:cs="Times New Roman"/>
                <w:bCs/>
                <w:sz w:val="24"/>
                <w:szCs w:val="24"/>
              </w:rPr>
              <w:t>.</w:t>
            </w:r>
          </w:p>
          <w:p w14:paraId="37C5B085" w14:textId="4E75D43C" w:rsidR="00A77B86" w:rsidRDefault="00417277" w:rsidP="00A77B86">
            <w:pPr>
              <w:ind w:firstLine="0"/>
              <w:jc w:val="both"/>
              <w:rPr>
                <w:rFonts w:cs="Times New Roman"/>
                <w:bCs/>
                <w:sz w:val="24"/>
                <w:szCs w:val="24"/>
              </w:rPr>
            </w:pPr>
            <w:r w:rsidRPr="0043378C">
              <w:rPr>
                <w:rFonts w:cs="Times New Roman"/>
                <w:sz w:val="24"/>
                <w:szCs w:val="24"/>
              </w:rPr>
              <w:t xml:space="preserve">Likumprojekts paredz, ka grozījumi stāsies spēkā </w:t>
            </w:r>
            <w:r w:rsidR="00DA0DA7">
              <w:rPr>
                <w:rFonts w:cs="Times New Roman"/>
                <w:sz w:val="24"/>
                <w:szCs w:val="24"/>
              </w:rPr>
              <w:t>vienlaikus</w:t>
            </w:r>
            <w:r w:rsidR="00DA0DA7" w:rsidRPr="0043378C">
              <w:rPr>
                <w:rFonts w:cs="Times New Roman"/>
                <w:sz w:val="24"/>
                <w:szCs w:val="24"/>
              </w:rPr>
              <w:t xml:space="preserve"> </w:t>
            </w:r>
            <w:r w:rsidRPr="0043378C">
              <w:rPr>
                <w:rFonts w:cs="Times New Roman"/>
                <w:sz w:val="24"/>
                <w:szCs w:val="24"/>
              </w:rPr>
              <w:t xml:space="preserve">ar </w:t>
            </w:r>
            <w:r w:rsidRPr="0043378C">
              <w:rPr>
                <w:rFonts w:cs="Times New Roman"/>
                <w:bCs/>
                <w:sz w:val="24"/>
                <w:szCs w:val="24"/>
              </w:rPr>
              <w:t>Administratīv</w:t>
            </w:r>
            <w:r w:rsidR="00A77B86">
              <w:rPr>
                <w:rFonts w:cs="Times New Roman"/>
                <w:bCs/>
                <w:sz w:val="24"/>
                <w:szCs w:val="24"/>
              </w:rPr>
              <w:t>ās</w:t>
            </w:r>
            <w:r w:rsidRPr="0043378C">
              <w:rPr>
                <w:rFonts w:cs="Times New Roman"/>
                <w:bCs/>
                <w:sz w:val="24"/>
                <w:szCs w:val="24"/>
              </w:rPr>
              <w:t xml:space="preserve"> </w:t>
            </w:r>
            <w:r w:rsidR="00A77B86">
              <w:rPr>
                <w:rFonts w:cs="Times New Roman"/>
                <w:bCs/>
                <w:sz w:val="24"/>
                <w:szCs w:val="24"/>
              </w:rPr>
              <w:t>atbildības likumu, tas ir, 2020.gada 1.</w:t>
            </w:r>
            <w:r w:rsidR="00A77B86" w:rsidRPr="00D52747">
              <w:rPr>
                <w:rFonts w:cs="Times New Roman"/>
                <w:bCs/>
                <w:sz w:val="24"/>
                <w:szCs w:val="24"/>
              </w:rPr>
              <w:t>janvārī.</w:t>
            </w:r>
          </w:p>
          <w:p w14:paraId="5D29925D" w14:textId="1C467FAF" w:rsidR="00820846" w:rsidRPr="00820846" w:rsidRDefault="00A77B86" w:rsidP="00334129">
            <w:pPr>
              <w:ind w:firstLine="0"/>
              <w:jc w:val="both"/>
              <w:rPr>
                <w:rFonts w:eastAsia="Calibri" w:cs="Times New Roman"/>
                <w:sz w:val="24"/>
                <w:szCs w:val="24"/>
              </w:rPr>
            </w:pPr>
            <w:r w:rsidRPr="00A77B86">
              <w:rPr>
                <w:rFonts w:eastAsia="Calibri" w:cs="Times New Roman"/>
                <w:sz w:val="24"/>
                <w:szCs w:val="24"/>
              </w:rPr>
              <w:t xml:space="preserve">Atbilstoši Iekšlietu ministrijas Informācijas centra sniegtajai informācijai dati par piemērotās administratīvās atbildības par LAPK </w:t>
            </w:r>
            <w:r w:rsidRPr="0043378C">
              <w:rPr>
                <w:rFonts w:cs="Times New Roman"/>
                <w:bCs/>
                <w:sz w:val="24"/>
                <w:szCs w:val="24"/>
              </w:rPr>
              <w:t>149.</w:t>
            </w:r>
            <w:r w:rsidRPr="0043378C">
              <w:rPr>
                <w:rFonts w:cs="Times New Roman"/>
                <w:bCs/>
                <w:sz w:val="24"/>
                <w:szCs w:val="24"/>
                <w:vertAlign w:val="superscript"/>
              </w:rPr>
              <w:t xml:space="preserve">40 </w:t>
            </w:r>
            <w:r w:rsidRPr="0043378C">
              <w:rPr>
                <w:rFonts w:cs="Times New Roman"/>
                <w:bCs/>
                <w:sz w:val="24"/>
                <w:szCs w:val="24"/>
              </w:rPr>
              <w:t>pantā</w:t>
            </w:r>
            <w:r w:rsidRPr="00A77B86">
              <w:rPr>
                <w:rFonts w:eastAsia="Calibri" w:cs="Times New Roman"/>
                <w:sz w:val="24"/>
                <w:szCs w:val="24"/>
              </w:rPr>
              <w:t xml:space="preserve"> paredzēto pārkāpumu pēdējos trijos gados ir šādi:</w:t>
            </w:r>
          </w:p>
          <w:tbl>
            <w:tblPr>
              <w:tblStyle w:val="TableGrid"/>
              <w:tblW w:w="5799" w:type="dxa"/>
              <w:tblLook w:val="04A0" w:firstRow="1" w:lastRow="0" w:firstColumn="1" w:lastColumn="0" w:noHBand="0" w:noVBand="1"/>
            </w:tblPr>
            <w:tblGrid>
              <w:gridCol w:w="1405"/>
              <w:gridCol w:w="892"/>
              <w:gridCol w:w="900"/>
              <w:gridCol w:w="843"/>
              <w:gridCol w:w="1759"/>
            </w:tblGrid>
            <w:tr w:rsidR="00820846" w:rsidRPr="00820846" w14:paraId="4E117D10" w14:textId="77777777" w:rsidTr="00334129">
              <w:tc>
                <w:tcPr>
                  <w:tcW w:w="1405" w:type="dxa"/>
                </w:tcPr>
                <w:p w14:paraId="1EE0D3ED" w14:textId="77777777" w:rsidR="00820846" w:rsidRPr="00820846" w:rsidRDefault="00820846" w:rsidP="00820846">
                  <w:pPr>
                    <w:spacing w:after="160" w:line="259" w:lineRule="auto"/>
                    <w:ind w:firstLine="0"/>
                    <w:rPr>
                      <w:rFonts w:eastAsia="Calibri" w:cs="Times New Roman"/>
                      <w:sz w:val="24"/>
                      <w:szCs w:val="24"/>
                    </w:rPr>
                  </w:pPr>
                </w:p>
              </w:tc>
              <w:tc>
                <w:tcPr>
                  <w:tcW w:w="4394" w:type="dxa"/>
                  <w:gridSpan w:val="4"/>
                  <w:vAlign w:val="center"/>
                </w:tcPr>
                <w:p w14:paraId="322EF248" w14:textId="77777777" w:rsidR="00820846" w:rsidRPr="00820846" w:rsidRDefault="00820846" w:rsidP="00820846">
                  <w:pPr>
                    <w:spacing w:after="160" w:line="259" w:lineRule="auto"/>
                    <w:ind w:firstLine="0"/>
                    <w:jc w:val="center"/>
                    <w:rPr>
                      <w:rFonts w:eastAsia="Calibri" w:cs="Times New Roman"/>
                      <w:sz w:val="24"/>
                      <w:szCs w:val="24"/>
                    </w:rPr>
                  </w:pPr>
                  <w:r w:rsidRPr="00820846">
                    <w:rPr>
                      <w:rFonts w:eastAsia="Calibri" w:cs="Times New Roman"/>
                      <w:sz w:val="24"/>
                      <w:szCs w:val="24"/>
                    </w:rPr>
                    <w:t>Pieņemto lēmumu skaits par administratīvās atbildības piemērošanu</w:t>
                  </w:r>
                </w:p>
              </w:tc>
            </w:tr>
            <w:tr w:rsidR="00820846" w:rsidRPr="00820846" w14:paraId="712A8EBE" w14:textId="77777777" w:rsidTr="00334129">
              <w:tc>
                <w:tcPr>
                  <w:tcW w:w="1405" w:type="dxa"/>
                </w:tcPr>
                <w:p w14:paraId="0FF79E8A" w14:textId="77777777" w:rsidR="00820846" w:rsidRPr="00820846" w:rsidRDefault="00820846" w:rsidP="00820846">
                  <w:pPr>
                    <w:spacing w:after="160" w:line="259" w:lineRule="auto"/>
                    <w:ind w:firstLine="0"/>
                    <w:rPr>
                      <w:rFonts w:eastAsia="Calibri" w:cs="Times New Roman"/>
                      <w:sz w:val="24"/>
                      <w:szCs w:val="24"/>
                    </w:rPr>
                  </w:pPr>
                </w:p>
              </w:tc>
              <w:tc>
                <w:tcPr>
                  <w:tcW w:w="892" w:type="dxa"/>
                  <w:vAlign w:val="center"/>
                </w:tcPr>
                <w:p w14:paraId="2989D1CD" w14:textId="77777777" w:rsidR="00820846" w:rsidRPr="00820846" w:rsidRDefault="00820846" w:rsidP="005E21E7">
                  <w:pPr>
                    <w:spacing w:after="160" w:line="259" w:lineRule="auto"/>
                    <w:ind w:firstLine="0"/>
                    <w:jc w:val="center"/>
                    <w:rPr>
                      <w:rFonts w:eastAsia="Calibri" w:cs="Times New Roman"/>
                      <w:sz w:val="24"/>
                      <w:szCs w:val="24"/>
                    </w:rPr>
                  </w:pPr>
                  <w:r w:rsidRPr="00820846">
                    <w:rPr>
                      <w:rFonts w:eastAsia="Calibri" w:cs="Times New Roman"/>
                      <w:sz w:val="24"/>
                      <w:szCs w:val="24"/>
                    </w:rPr>
                    <w:t>2016</w:t>
                  </w:r>
                </w:p>
              </w:tc>
              <w:tc>
                <w:tcPr>
                  <w:tcW w:w="900" w:type="dxa"/>
                  <w:vAlign w:val="center"/>
                </w:tcPr>
                <w:p w14:paraId="27426BC2" w14:textId="77777777" w:rsidR="00820846" w:rsidRPr="00820846" w:rsidRDefault="00820846" w:rsidP="005E21E7">
                  <w:pPr>
                    <w:spacing w:after="160" w:line="259" w:lineRule="auto"/>
                    <w:ind w:firstLine="0"/>
                    <w:jc w:val="center"/>
                    <w:rPr>
                      <w:rFonts w:eastAsia="Calibri" w:cs="Times New Roman"/>
                      <w:sz w:val="24"/>
                      <w:szCs w:val="24"/>
                    </w:rPr>
                  </w:pPr>
                  <w:r w:rsidRPr="00820846">
                    <w:rPr>
                      <w:rFonts w:eastAsia="Calibri" w:cs="Times New Roman"/>
                      <w:sz w:val="24"/>
                      <w:szCs w:val="24"/>
                    </w:rPr>
                    <w:t>2017</w:t>
                  </w:r>
                </w:p>
              </w:tc>
              <w:tc>
                <w:tcPr>
                  <w:tcW w:w="843" w:type="dxa"/>
                  <w:vAlign w:val="center"/>
                </w:tcPr>
                <w:p w14:paraId="5FEE9D39" w14:textId="77777777" w:rsidR="00820846" w:rsidRPr="00820846" w:rsidRDefault="00820846" w:rsidP="00334129">
                  <w:pPr>
                    <w:ind w:firstLine="0"/>
                    <w:jc w:val="center"/>
                    <w:rPr>
                      <w:rFonts w:eastAsia="Calibri" w:cs="Times New Roman"/>
                      <w:sz w:val="24"/>
                      <w:szCs w:val="24"/>
                    </w:rPr>
                  </w:pPr>
                  <w:r w:rsidRPr="00820846">
                    <w:rPr>
                      <w:rFonts w:eastAsia="Calibri" w:cs="Times New Roman"/>
                      <w:sz w:val="24"/>
                      <w:szCs w:val="24"/>
                    </w:rPr>
                    <w:t>2018</w:t>
                  </w:r>
                </w:p>
                <w:p w14:paraId="6012733D" w14:textId="77777777" w:rsidR="00820846" w:rsidRPr="00820846" w:rsidRDefault="00820846" w:rsidP="00334129">
                  <w:pPr>
                    <w:ind w:firstLine="0"/>
                    <w:jc w:val="center"/>
                    <w:rPr>
                      <w:rFonts w:eastAsia="Calibri" w:cs="Times New Roman"/>
                      <w:sz w:val="24"/>
                      <w:szCs w:val="24"/>
                    </w:rPr>
                  </w:pPr>
                </w:p>
              </w:tc>
              <w:tc>
                <w:tcPr>
                  <w:tcW w:w="1759" w:type="dxa"/>
                </w:tcPr>
                <w:p w14:paraId="3EDBDBB4" w14:textId="77777777" w:rsidR="00820846" w:rsidRPr="00820846" w:rsidRDefault="00820846" w:rsidP="00820846">
                  <w:pPr>
                    <w:spacing w:after="160" w:line="259" w:lineRule="auto"/>
                    <w:ind w:firstLine="0"/>
                    <w:jc w:val="center"/>
                    <w:rPr>
                      <w:rFonts w:eastAsia="Calibri" w:cs="Times New Roman"/>
                      <w:sz w:val="24"/>
                      <w:szCs w:val="24"/>
                    </w:rPr>
                  </w:pPr>
                  <w:r w:rsidRPr="00820846">
                    <w:rPr>
                      <w:rFonts w:eastAsia="Calibri" w:cs="Times New Roman"/>
                      <w:sz w:val="24"/>
                      <w:szCs w:val="24"/>
                    </w:rPr>
                    <w:t>2019</w:t>
                  </w:r>
                </w:p>
                <w:p w14:paraId="13885B7D" w14:textId="77777777" w:rsidR="00820846" w:rsidRPr="00820846" w:rsidRDefault="00820846" w:rsidP="00820846">
                  <w:pPr>
                    <w:spacing w:after="160" w:line="259" w:lineRule="auto"/>
                    <w:ind w:firstLine="0"/>
                    <w:jc w:val="center"/>
                    <w:rPr>
                      <w:rFonts w:eastAsia="Calibri" w:cs="Times New Roman"/>
                      <w:sz w:val="24"/>
                      <w:szCs w:val="24"/>
                    </w:rPr>
                  </w:pPr>
                  <w:r w:rsidRPr="00820846">
                    <w:rPr>
                      <w:rFonts w:eastAsia="Calibri" w:cs="Times New Roman"/>
                      <w:sz w:val="24"/>
                      <w:szCs w:val="24"/>
                    </w:rPr>
                    <w:lastRenderedPageBreak/>
                    <w:t>(</w:t>
                  </w:r>
                  <w:r w:rsidR="00F60314">
                    <w:rPr>
                      <w:rFonts w:eastAsia="Calibri" w:cs="Times New Roman"/>
                      <w:sz w:val="24"/>
                      <w:szCs w:val="24"/>
                    </w:rPr>
                    <w:t>no 01.01.2019. līdz 06.06.2019.)</w:t>
                  </w:r>
                </w:p>
              </w:tc>
            </w:tr>
            <w:tr w:rsidR="00820846" w:rsidRPr="00820846" w14:paraId="3E0E7D89" w14:textId="77777777" w:rsidTr="00334129">
              <w:tc>
                <w:tcPr>
                  <w:tcW w:w="1405" w:type="dxa"/>
                </w:tcPr>
                <w:p w14:paraId="08B3020B" w14:textId="77777777" w:rsidR="00820846" w:rsidRPr="00820846" w:rsidRDefault="00820846" w:rsidP="00334129">
                  <w:pPr>
                    <w:ind w:firstLine="0"/>
                    <w:rPr>
                      <w:rFonts w:eastAsia="Calibri" w:cs="Times New Roman"/>
                      <w:sz w:val="24"/>
                      <w:szCs w:val="24"/>
                    </w:rPr>
                  </w:pPr>
                  <w:r w:rsidRPr="00820846">
                    <w:rPr>
                      <w:rFonts w:eastAsia="Calibri" w:cs="Times New Roman"/>
                      <w:sz w:val="24"/>
                      <w:szCs w:val="24"/>
                    </w:rPr>
                    <w:lastRenderedPageBreak/>
                    <w:t xml:space="preserve">LAPK </w:t>
                  </w:r>
                  <w:r w:rsidR="00396E38">
                    <w:rPr>
                      <w:rFonts w:eastAsia="Calibri" w:cs="Times New Roman"/>
                      <w:sz w:val="24"/>
                      <w:szCs w:val="24"/>
                    </w:rPr>
                    <w:t>149.</w:t>
                  </w:r>
                  <w:r w:rsidR="00396E38">
                    <w:rPr>
                      <w:rFonts w:eastAsia="Calibri" w:cs="Times New Roman"/>
                      <w:sz w:val="24"/>
                      <w:szCs w:val="24"/>
                      <w:vertAlign w:val="superscript"/>
                    </w:rPr>
                    <w:t xml:space="preserve">40 </w:t>
                  </w:r>
                  <w:r w:rsidRPr="00820846">
                    <w:rPr>
                      <w:rFonts w:eastAsia="Calibri" w:cs="Times New Roman"/>
                      <w:sz w:val="24"/>
                      <w:szCs w:val="24"/>
                    </w:rPr>
                    <w:t>pants</w:t>
                  </w:r>
                </w:p>
              </w:tc>
              <w:tc>
                <w:tcPr>
                  <w:tcW w:w="892" w:type="dxa"/>
                  <w:vAlign w:val="center"/>
                </w:tcPr>
                <w:p w14:paraId="56620C94" w14:textId="77777777" w:rsidR="00820846" w:rsidRPr="00820846" w:rsidRDefault="00F60314" w:rsidP="00334129">
                  <w:pPr>
                    <w:ind w:firstLine="0"/>
                    <w:jc w:val="center"/>
                    <w:rPr>
                      <w:rFonts w:eastAsia="Calibri" w:cs="Times New Roman"/>
                      <w:sz w:val="24"/>
                      <w:szCs w:val="24"/>
                    </w:rPr>
                  </w:pPr>
                  <w:r>
                    <w:rPr>
                      <w:rFonts w:eastAsia="Calibri" w:cs="Times New Roman"/>
                      <w:sz w:val="24"/>
                      <w:szCs w:val="24"/>
                    </w:rPr>
                    <w:t>1 327</w:t>
                  </w:r>
                </w:p>
              </w:tc>
              <w:tc>
                <w:tcPr>
                  <w:tcW w:w="900" w:type="dxa"/>
                  <w:vAlign w:val="center"/>
                </w:tcPr>
                <w:p w14:paraId="0A896688" w14:textId="77777777" w:rsidR="00820846" w:rsidRPr="00820846" w:rsidRDefault="00F60314" w:rsidP="00334129">
                  <w:pPr>
                    <w:ind w:firstLine="0"/>
                    <w:jc w:val="center"/>
                    <w:rPr>
                      <w:rFonts w:eastAsia="Calibri" w:cs="Times New Roman"/>
                      <w:sz w:val="24"/>
                      <w:szCs w:val="24"/>
                    </w:rPr>
                  </w:pPr>
                  <w:r>
                    <w:rPr>
                      <w:rFonts w:eastAsia="Calibri" w:cs="Times New Roman"/>
                      <w:sz w:val="24"/>
                      <w:szCs w:val="24"/>
                    </w:rPr>
                    <w:t>1 769</w:t>
                  </w:r>
                </w:p>
              </w:tc>
              <w:tc>
                <w:tcPr>
                  <w:tcW w:w="843" w:type="dxa"/>
                  <w:vAlign w:val="center"/>
                </w:tcPr>
                <w:p w14:paraId="542F1DF0" w14:textId="579D0ACE" w:rsidR="00820846" w:rsidRPr="00820846" w:rsidRDefault="00F60314" w:rsidP="00334129">
                  <w:pPr>
                    <w:ind w:firstLine="0"/>
                    <w:jc w:val="center"/>
                    <w:rPr>
                      <w:rFonts w:eastAsia="Calibri" w:cs="Times New Roman"/>
                      <w:sz w:val="24"/>
                      <w:szCs w:val="24"/>
                    </w:rPr>
                  </w:pPr>
                  <w:r>
                    <w:rPr>
                      <w:rFonts w:eastAsia="Calibri" w:cs="Times New Roman"/>
                      <w:sz w:val="24"/>
                      <w:szCs w:val="24"/>
                    </w:rPr>
                    <w:t>1</w:t>
                  </w:r>
                  <w:r w:rsidR="00E90126">
                    <w:rPr>
                      <w:rFonts w:eastAsia="Calibri" w:cs="Times New Roman"/>
                      <w:sz w:val="24"/>
                      <w:szCs w:val="24"/>
                    </w:rPr>
                    <w:t> </w:t>
                  </w:r>
                  <w:r>
                    <w:rPr>
                      <w:rFonts w:eastAsia="Calibri" w:cs="Times New Roman"/>
                      <w:sz w:val="24"/>
                      <w:szCs w:val="24"/>
                    </w:rPr>
                    <w:t>814</w:t>
                  </w:r>
                </w:p>
              </w:tc>
              <w:tc>
                <w:tcPr>
                  <w:tcW w:w="1759" w:type="dxa"/>
                </w:tcPr>
                <w:p w14:paraId="2E9C524F" w14:textId="77777777" w:rsidR="00F60314" w:rsidRPr="00820846" w:rsidRDefault="00F60314" w:rsidP="00E90126">
                  <w:pPr>
                    <w:ind w:firstLine="0"/>
                    <w:jc w:val="center"/>
                    <w:rPr>
                      <w:rFonts w:eastAsia="Calibri" w:cs="Times New Roman"/>
                      <w:sz w:val="24"/>
                      <w:szCs w:val="24"/>
                    </w:rPr>
                  </w:pPr>
                  <w:r>
                    <w:rPr>
                      <w:rFonts w:eastAsia="Calibri" w:cs="Times New Roman"/>
                      <w:sz w:val="24"/>
                      <w:szCs w:val="24"/>
                    </w:rPr>
                    <w:t>1 063</w:t>
                  </w:r>
                </w:p>
              </w:tc>
            </w:tr>
          </w:tbl>
          <w:p w14:paraId="4CF2CCA2" w14:textId="77777777" w:rsidR="00417277" w:rsidRPr="008F1FAF" w:rsidRDefault="00417277" w:rsidP="00D31AA5">
            <w:pPr>
              <w:ind w:firstLine="0"/>
              <w:jc w:val="both"/>
              <w:rPr>
                <w:rFonts w:eastAsia="Calibri" w:cs="Times New Roman"/>
                <w:sz w:val="24"/>
                <w:szCs w:val="24"/>
              </w:rPr>
            </w:pPr>
          </w:p>
        </w:tc>
      </w:tr>
      <w:tr w:rsidR="00860F49" w:rsidRPr="0043378C" w14:paraId="0263D5A8" w14:textId="77777777" w:rsidTr="00860F49">
        <w:trPr>
          <w:trHeight w:val="465"/>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7DBF868" w14:textId="77777777" w:rsidR="0059701C" w:rsidRPr="0043378C" w:rsidRDefault="0059701C" w:rsidP="00C969B2">
            <w:pPr>
              <w:ind w:firstLine="0"/>
              <w:rPr>
                <w:rFonts w:cs="Times New Roman"/>
                <w:sz w:val="24"/>
                <w:szCs w:val="24"/>
              </w:rPr>
            </w:pPr>
            <w:r w:rsidRPr="0043378C">
              <w:rPr>
                <w:rFonts w:cs="Times New Roman"/>
                <w:sz w:val="24"/>
                <w:szCs w:val="24"/>
              </w:rPr>
              <w:lastRenderedPageBreak/>
              <w:t>3.</w:t>
            </w:r>
          </w:p>
        </w:tc>
        <w:tc>
          <w:tcPr>
            <w:tcW w:w="1457" w:type="pct"/>
            <w:gridSpan w:val="2"/>
            <w:tcBorders>
              <w:top w:val="outset" w:sz="6" w:space="0" w:color="auto"/>
              <w:left w:val="outset" w:sz="6" w:space="0" w:color="auto"/>
              <w:bottom w:val="outset" w:sz="6" w:space="0" w:color="auto"/>
              <w:right w:val="outset" w:sz="6" w:space="0" w:color="auto"/>
            </w:tcBorders>
            <w:hideMark/>
          </w:tcPr>
          <w:p w14:paraId="2CD58620" w14:textId="77777777" w:rsidR="0059701C" w:rsidRPr="0043378C" w:rsidRDefault="0059701C" w:rsidP="00C969B2">
            <w:pPr>
              <w:ind w:firstLine="0"/>
              <w:rPr>
                <w:rFonts w:cs="Times New Roman"/>
                <w:sz w:val="24"/>
                <w:szCs w:val="24"/>
              </w:rPr>
            </w:pPr>
            <w:r w:rsidRPr="0043378C">
              <w:rPr>
                <w:rFonts w:cs="Times New Roman"/>
                <w:sz w:val="24"/>
                <w:szCs w:val="24"/>
              </w:rPr>
              <w:t>Projekta izstrādē iesaistītās institūcijas</w:t>
            </w:r>
            <w:r w:rsidR="00C86BEE">
              <w:t xml:space="preserve"> </w:t>
            </w:r>
            <w:r w:rsidR="00C86BEE" w:rsidRPr="00C86BEE">
              <w:rPr>
                <w:rFonts w:cs="Times New Roman"/>
                <w:sz w:val="24"/>
                <w:szCs w:val="24"/>
              </w:rPr>
              <w:t>un publiskas personas kapitālsabiedrības</w:t>
            </w:r>
          </w:p>
        </w:tc>
        <w:tc>
          <w:tcPr>
            <w:tcW w:w="3211" w:type="pct"/>
            <w:tcBorders>
              <w:top w:val="outset" w:sz="6" w:space="0" w:color="auto"/>
              <w:left w:val="outset" w:sz="6" w:space="0" w:color="auto"/>
              <w:bottom w:val="outset" w:sz="6" w:space="0" w:color="auto"/>
              <w:right w:val="outset" w:sz="6" w:space="0" w:color="auto"/>
            </w:tcBorders>
            <w:hideMark/>
          </w:tcPr>
          <w:p w14:paraId="16873306" w14:textId="2871CBBC" w:rsidR="0059701C" w:rsidRPr="0043378C" w:rsidRDefault="0059701C" w:rsidP="00C969B2">
            <w:pPr>
              <w:ind w:firstLine="0"/>
              <w:jc w:val="both"/>
              <w:rPr>
                <w:rFonts w:cs="Times New Roman"/>
                <w:sz w:val="24"/>
                <w:szCs w:val="24"/>
              </w:rPr>
            </w:pPr>
            <w:r w:rsidRPr="0043378C">
              <w:rPr>
                <w:rFonts w:cs="Times New Roman"/>
                <w:sz w:val="24"/>
                <w:szCs w:val="24"/>
              </w:rPr>
              <w:t>Satiksmes ministrija un valsts akciju sabiedrība “</w:t>
            </w:r>
            <w:r w:rsidR="0043378C">
              <w:rPr>
                <w:rFonts w:cs="Times New Roman"/>
                <w:sz w:val="24"/>
                <w:szCs w:val="24"/>
              </w:rPr>
              <w:t>Latvijas Valsts ceļi</w:t>
            </w:r>
            <w:r w:rsidRPr="0043378C">
              <w:rPr>
                <w:rFonts w:cs="Times New Roman"/>
                <w:sz w:val="24"/>
                <w:szCs w:val="24"/>
              </w:rPr>
              <w:t xml:space="preserve">”. </w:t>
            </w:r>
          </w:p>
          <w:p w14:paraId="5BBD25E6" w14:textId="77777777" w:rsidR="0059701C" w:rsidRPr="0043378C" w:rsidRDefault="0059701C" w:rsidP="00C969B2">
            <w:pPr>
              <w:ind w:firstLine="0"/>
              <w:jc w:val="both"/>
              <w:rPr>
                <w:rFonts w:cs="Times New Roman"/>
                <w:sz w:val="24"/>
                <w:szCs w:val="24"/>
              </w:rPr>
            </w:pPr>
          </w:p>
        </w:tc>
      </w:tr>
      <w:tr w:rsidR="00860F49" w:rsidRPr="0043378C" w14:paraId="59075448" w14:textId="77777777" w:rsidTr="00860F49">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B082D20" w14:textId="77777777" w:rsidR="0059701C" w:rsidRPr="0043378C" w:rsidRDefault="0059701C" w:rsidP="00C969B2">
            <w:pPr>
              <w:ind w:firstLine="0"/>
              <w:rPr>
                <w:rFonts w:cs="Times New Roman"/>
                <w:sz w:val="24"/>
                <w:szCs w:val="24"/>
              </w:rPr>
            </w:pPr>
            <w:r w:rsidRPr="0043378C">
              <w:rPr>
                <w:rFonts w:cs="Times New Roman"/>
                <w:sz w:val="24"/>
                <w:szCs w:val="24"/>
              </w:rPr>
              <w:t>4.</w:t>
            </w:r>
          </w:p>
        </w:tc>
        <w:tc>
          <w:tcPr>
            <w:tcW w:w="1457" w:type="pct"/>
            <w:gridSpan w:val="2"/>
            <w:tcBorders>
              <w:top w:val="outset" w:sz="6" w:space="0" w:color="auto"/>
              <w:left w:val="outset" w:sz="6" w:space="0" w:color="auto"/>
              <w:bottom w:val="outset" w:sz="6" w:space="0" w:color="auto"/>
              <w:right w:val="outset" w:sz="6" w:space="0" w:color="auto"/>
            </w:tcBorders>
            <w:hideMark/>
          </w:tcPr>
          <w:p w14:paraId="13B80D15" w14:textId="77777777" w:rsidR="0059701C" w:rsidRPr="0043378C" w:rsidRDefault="0059701C" w:rsidP="00C969B2">
            <w:pPr>
              <w:ind w:firstLine="0"/>
              <w:rPr>
                <w:rFonts w:cs="Times New Roman"/>
                <w:sz w:val="24"/>
                <w:szCs w:val="24"/>
              </w:rPr>
            </w:pPr>
            <w:r w:rsidRPr="0043378C">
              <w:rPr>
                <w:rFonts w:cs="Times New Roman"/>
                <w:sz w:val="24"/>
                <w:szCs w:val="24"/>
              </w:rPr>
              <w:t>Cita informācija</w:t>
            </w:r>
          </w:p>
        </w:tc>
        <w:tc>
          <w:tcPr>
            <w:tcW w:w="3211" w:type="pct"/>
            <w:tcBorders>
              <w:top w:val="outset" w:sz="6" w:space="0" w:color="auto"/>
              <w:left w:val="outset" w:sz="6" w:space="0" w:color="auto"/>
              <w:bottom w:val="outset" w:sz="6" w:space="0" w:color="auto"/>
              <w:right w:val="outset" w:sz="6" w:space="0" w:color="auto"/>
            </w:tcBorders>
          </w:tcPr>
          <w:p w14:paraId="16DA8AB1" w14:textId="7695D1E7" w:rsidR="0059701C" w:rsidRPr="0043378C" w:rsidRDefault="006D27B9" w:rsidP="00C969B2">
            <w:pPr>
              <w:ind w:firstLine="0"/>
              <w:jc w:val="both"/>
              <w:rPr>
                <w:rFonts w:cs="Times New Roman"/>
                <w:sz w:val="24"/>
                <w:szCs w:val="24"/>
              </w:rPr>
            </w:pPr>
            <w:r>
              <w:rPr>
                <w:rFonts w:cs="Times New Roman"/>
                <w:sz w:val="24"/>
                <w:szCs w:val="24"/>
              </w:rPr>
              <w:t xml:space="preserve">Likumprojekts 2019.gada 4.jūlijā izskatīts Tieslietu ministrijas Latvijas Administratīvo pārkāpumu kodeksa pastāvīgās darba grupas sēdē. Likumprojekts un anotācija precizēta atbilstoši </w:t>
            </w:r>
            <w:r w:rsidR="002B250F" w:rsidRPr="002B250F">
              <w:rPr>
                <w:rFonts w:cs="Times New Roman"/>
                <w:sz w:val="24"/>
                <w:szCs w:val="24"/>
              </w:rPr>
              <w:t>darba grupas</w:t>
            </w:r>
            <w:r>
              <w:rPr>
                <w:rFonts w:cs="Times New Roman"/>
                <w:sz w:val="24"/>
                <w:szCs w:val="24"/>
              </w:rPr>
              <w:t xml:space="preserve"> sēdē izteiktajiem ieteikumiem.</w:t>
            </w:r>
            <w:r w:rsidR="0059701C" w:rsidRPr="0043378C">
              <w:rPr>
                <w:rFonts w:cs="Times New Roman"/>
                <w:sz w:val="24"/>
                <w:szCs w:val="24"/>
              </w:rPr>
              <w:t xml:space="preserve"> </w:t>
            </w:r>
            <w:r w:rsidR="0059701C" w:rsidRPr="0043378C">
              <w:rPr>
                <w:rFonts w:cs="Times New Roman"/>
                <w:sz w:val="24"/>
                <w:szCs w:val="24"/>
                <w:highlight w:val="yellow"/>
              </w:rPr>
              <w:t xml:space="preserve"> </w:t>
            </w:r>
          </w:p>
        </w:tc>
      </w:tr>
    </w:tbl>
    <w:p w14:paraId="09393FE7" w14:textId="77777777" w:rsidR="0059701C" w:rsidRPr="0043378C" w:rsidRDefault="0059701C" w:rsidP="0059701C">
      <w:pPr>
        <w:ind w:firstLine="0"/>
        <w:rPr>
          <w:rFonts w:cs="Times New Roman"/>
          <w:sz w:val="24"/>
          <w:szCs w:val="24"/>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2709"/>
        <w:gridCol w:w="5864"/>
      </w:tblGrid>
      <w:tr w:rsidR="0059701C" w:rsidRPr="0043378C" w14:paraId="023B2A37" w14:textId="77777777" w:rsidTr="00860F49">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552A0D" w14:textId="77777777" w:rsidR="0059701C" w:rsidRPr="0043378C" w:rsidRDefault="0059701C" w:rsidP="00C969B2">
            <w:pPr>
              <w:ind w:firstLine="0"/>
              <w:jc w:val="center"/>
              <w:rPr>
                <w:rFonts w:cs="Times New Roman"/>
                <w:b/>
                <w:bCs/>
                <w:sz w:val="24"/>
                <w:szCs w:val="24"/>
              </w:rPr>
            </w:pPr>
            <w:r w:rsidRPr="0043378C">
              <w:rPr>
                <w:rFonts w:cs="Times New Roman"/>
                <w:b/>
                <w:bCs/>
                <w:sz w:val="24"/>
                <w:szCs w:val="24"/>
              </w:rPr>
              <w:t>II. Tiesību akta projekta ietekme uz sabiedrību, tautsaimniecības attīstību un administratīvo slogu</w:t>
            </w:r>
          </w:p>
        </w:tc>
      </w:tr>
      <w:tr w:rsidR="0059701C" w:rsidRPr="0043378C" w14:paraId="60B009B7" w14:textId="77777777" w:rsidTr="00235E87">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32CF2C44" w14:textId="77777777" w:rsidR="0059701C" w:rsidRPr="0043378C" w:rsidRDefault="0059701C" w:rsidP="00C969B2">
            <w:pPr>
              <w:ind w:firstLine="0"/>
              <w:rPr>
                <w:rFonts w:cs="Times New Roman"/>
                <w:sz w:val="24"/>
                <w:szCs w:val="24"/>
              </w:rPr>
            </w:pPr>
            <w:r w:rsidRPr="0043378C">
              <w:rPr>
                <w:rFonts w:cs="Times New Roman"/>
                <w:sz w:val="24"/>
                <w:szCs w:val="24"/>
              </w:rPr>
              <w:t>1.</w:t>
            </w:r>
          </w:p>
        </w:tc>
        <w:tc>
          <w:tcPr>
            <w:tcW w:w="1488" w:type="pct"/>
            <w:tcBorders>
              <w:top w:val="outset" w:sz="6" w:space="0" w:color="auto"/>
              <w:left w:val="outset" w:sz="6" w:space="0" w:color="auto"/>
              <w:bottom w:val="outset" w:sz="6" w:space="0" w:color="auto"/>
              <w:right w:val="outset" w:sz="6" w:space="0" w:color="auto"/>
            </w:tcBorders>
            <w:hideMark/>
          </w:tcPr>
          <w:p w14:paraId="50E1ED98" w14:textId="77777777" w:rsidR="0059701C" w:rsidRPr="0043378C" w:rsidRDefault="0059701C" w:rsidP="00C969B2">
            <w:pPr>
              <w:ind w:firstLine="0"/>
              <w:rPr>
                <w:rFonts w:cs="Times New Roman"/>
                <w:sz w:val="24"/>
                <w:szCs w:val="24"/>
              </w:rPr>
            </w:pPr>
            <w:r w:rsidRPr="0043378C">
              <w:rPr>
                <w:rFonts w:cs="Times New Roman"/>
                <w:sz w:val="24"/>
                <w:szCs w:val="24"/>
              </w:rPr>
              <w:t xml:space="preserve">Sabiedrības </w:t>
            </w:r>
            <w:proofErr w:type="spellStart"/>
            <w:r w:rsidRPr="0043378C">
              <w:rPr>
                <w:rFonts w:cs="Times New Roman"/>
                <w:sz w:val="24"/>
                <w:szCs w:val="24"/>
              </w:rPr>
              <w:t>mērķgrupas</w:t>
            </w:r>
            <w:proofErr w:type="spellEnd"/>
            <w:r w:rsidRPr="0043378C">
              <w:rPr>
                <w:rFonts w:cs="Times New Roman"/>
                <w:sz w:val="24"/>
                <w:szCs w:val="24"/>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0664B63E" w14:textId="77777777" w:rsidR="00D2415E" w:rsidRPr="0043378C" w:rsidRDefault="0059701C" w:rsidP="00C969B2">
            <w:pPr>
              <w:ind w:firstLine="0"/>
              <w:jc w:val="both"/>
              <w:rPr>
                <w:rFonts w:cs="Times New Roman"/>
                <w:sz w:val="24"/>
                <w:szCs w:val="24"/>
              </w:rPr>
            </w:pPr>
            <w:r w:rsidRPr="0043378C">
              <w:rPr>
                <w:rFonts w:eastAsia="Times New Roman" w:cs="Times New Roman"/>
                <w:sz w:val="24"/>
                <w:szCs w:val="24"/>
                <w:lang w:eastAsia="lv-LV"/>
              </w:rPr>
              <w:t>Kravas</w:t>
            </w:r>
            <w:r w:rsidR="00887771" w:rsidRPr="00887771">
              <w:rPr>
                <w:rFonts w:eastAsia="Times New Roman" w:cs="Times New Roman"/>
                <w:sz w:val="24"/>
                <w:szCs w:val="24"/>
                <w:lang w:eastAsia="lv-LV"/>
              </w:rPr>
              <w:t xml:space="preserve"> transportlīdzekļi,</w:t>
            </w:r>
            <w:r w:rsidRPr="0043378C">
              <w:rPr>
                <w:rFonts w:eastAsia="Times New Roman" w:cs="Times New Roman"/>
                <w:sz w:val="24"/>
                <w:szCs w:val="24"/>
                <w:lang w:eastAsia="lv-LV"/>
              </w:rPr>
              <w:t xml:space="preserve"> </w:t>
            </w:r>
            <w:r w:rsidRPr="0043378C">
              <w:rPr>
                <w:rFonts w:cs="Times New Roman"/>
                <w:sz w:val="24"/>
                <w:szCs w:val="24"/>
              </w:rPr>
              <w:t>īpašnieki (turētāji, valdītāji), kas izmanto ceļus, par kuru izmantošanu ir noteikta maksa.</w:t>
            </w:r>
          </w:p>
        </w:tc>
      </w:tr>
      <w:tr w:rsidR="00235E87" w:rsidRPr="0043378C" w14:paraId="3B7E1BD5" w14:textId="77777777" w:rsidTr="00235E87">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C719D3A" w14:textId="3B67D1A7" w:rsidR="00235E87" w:rsidRPr="0043378C" w:rsidRDefault="00235E87" w:rsidP="00235E87">
            <w:pPr>
              <w:ind w:firstLine="0"/>
              <w:rPr>
                <w:rFonts w:cs="Times New Roman"/>
                <w:sz w:val="24"/>
                <w:szCs w:val="24"/>
              </w:rPr>
            </w:pPr>
            <w:r w:rsidRPr="002B38E9">
              <w:rPr>
                <w:rFonts w:eastAsia="Times New Roman"/>
                <w:color w:val="000000" w:themeColor="text1"/>
                <w:sz w:val="24"/>
                <w:szCs w:val="24"/>
                <w:lang w:eastAsia="lv-LV"/>
              </w:rPr>
              <w:t>2.</w:t>
            </w:r>
          </w:p>
        </w:tc>
        <w:tc>
          <w:tcPr>
            <w:tcW w:w="1488" w:type="pct"/>
            <w:tcBorders>
              <w:top w:val="outset" w:sz="6" w:space="0" w:color="auto"/>
              <w:left w:val="outset" w:sz="6" w:space="0" w:color="auto"/>
              <w:bottom w:val="outset" w:sz="6" w:space="0" w:color="auto"/>
              <w:right w:val="outset" w:sz="6" w:space="0" w:color="auto"/>
            </w:tcBorders>
            <w:hideMark/>
          </w:tcPr>
          <w:p w14:paraId="0DA99B8E" w14:textId="18E2BA54" w:rsidR="00235E87" w:rsidRPr="0043378C" w:rsidRDefault="00235E87" w:rsidP="00235E87">
            <w:pPr>
              <w:ind w:firstLine="0"/>
              <w:rPr>
                <w:rFonts w:cs="Times New Roman"/>
                <w:sz w:val="24"/>
                <w:szCs w:val="24"/>
              </w:rPr>
            </w:pPr>
            <w:r w:rsidRPr="002B38E9">
              <w:rPr>
                <w:rFonts w:eastAsia="Times New Roman"/>
                <w:color w:val="000000" w:themeColor="text1"/>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1A11E4AA" w14:textId="30FE9B3B" w:rsidR="00235E87" w:rsidRPr="0043378C" w:rsidRDefault="00235E87" w:rsidP="00235E87">
            <w:pPr>
              <w:ind w:firstLine="0"/>
              <w:jc w:val="both"/>
              <w:rPr>
                <w:rFonts w:cs="Times New Roman"/>
                <w:sz w:val="24"/>
                <w:szCs w:val="24"/>
              </w:rPr>
            </w:pPr>
            <w:r w:rsidRPr="003A4F5B">
              <w:rPr>
                <w:color w:val="000000" w:themeColor="text1"/>
                <w:sz w:val="24"/>
                <w:szCs w:val="24"/>
                <w:lang w:eastAsia="lv-LV"/>
              </w:rPr>
              <w:t>Sabiedrības grupām un institūcijām projekta tiesiskais regulējums administratīvo slogu, kā arī veicamās darbības nemaina.</w:t>
            </w:r>
          </w:p>
        </w:tc>
      </w:tr>
      <w:tr w:rsidR="00235E87" w:rsidRPr="0043378C" w14:paraId="7B3D1CAC" w14:textId="77777777" w:rsidTr="00235E87">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FFE9E8E" w14:textId="3296055E" w:rsidR="00235E87" w:rsidRPr="0043378C" w:rsidRDefault="00235E87" w:rsidP="00235E87">
            <w:pPr>
              <w:ind w:firstLine="0"/>
              <w:rPr>
                <w:rFonts w:cs="Times New Roman"/>
                <w:sz w:val="24"/>
                <w:szCs w:val="24"/>
              </w:rPr>
            </w:pPr>
            <w:r w:rsidRPr="002B38E9">
              <w:rPr>
                <w:rFonts w:eastAsia="Times New Roman"/>
                <w:color w:val="000000" w:themeColor="text1"/>
                <w:sz w:val="24"/>
                <w:szCs w:val="24"/>
                <w:lang w:eastAsia="lv-LV"/>
              </w:rPr>
              <w:t>3.</w:t>
            </w:r>
          </w:p>
        </w:tc>
        <w:tc>
          <w:tcPr>
            <w:tcW w:w="1488" w:type="pct"/>
            <w:tcBorders>
              <w:top w:val="outset" w:sz="6" w:space="0" w:color="auto"/>
              <w:left w:val="outset" w:sz="6" w:space="0" w:color="auto"/>
              <w:bottom w:val="outset" w:sz="6" w:space="0" w:color="auto"/>
              <w:right w:val="outset" w:sz="6" w:space="0" w:color="auto"/>
            </w:tcBorders>
            <w:hideMark/>
          </w:tcPr>
          <w:p w14:paraId="1615A82C" w14:textId="4058C64F" w:rsidR="00235E87" w:rsidRPr="0043378C" w:rsidRDefault="00235E87" w:rsidP="00235E87">
            <w:pPr>
              <w:ind w:firstLine="0"/>
              <w:rPr>
                <w:rFonts w:cs="Times New Roman"/>
                <w:sz w:val="24"/>
                <w:szCs w:val="24"/>
              </w:rPr>
            </w:pPr>
            <w:r w:rsidRPr="002B38E9">
              <w:rPr>
                <w:rFonts w:eastAsia="Times New Roman"/>
                <w:color w:val="000000" w:themeColor="text1"/>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57E159C1" w14:textId="28BC9267" w:rsidR="00235E87" w:rsidRPr="0043378C" w:rsidRDefault="00235E87" w:rsidP="00235E87">
            <w:pPr>
              <w:ind w:firstLine="0"/>
              <w:jc w:val="both"/>
              <w:rPr>
                <w:rFonts w:cs="Times New Roman"/>
                <w:sz w:val="24"/>
                <w:szCs w:val="24"/>
              </w:rPr>
            </w:pPr>
            <w:r w:rsidRPr="002B38E9">
              <w:rPr>
                <w:color w:val="000000" w:themeColor="text1"/>
                <w:sz w:val="24"/>
                <w:szCs w:val="24"/>
                <w:lang w:eastAsia="lv-LV"/>
              </w:rPr>
              <w:t>Projekts šo jomu neskar.</w:t>
            </w:r>
          </w:p>
        </w:tc>
      </w:tr>
      <w:tr w:rsidR="00235E87" w:rsidRPr="0043378C" w14:paraId="124C1F3A" w14:textId="77777777" w:rsidTr="00235E87">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281F156" w14:textId="65493AC1" w:rsidR="00235E87" w:rsidRPr="0043378C" w:rsidRDefault="00235E87" w:rsidP="00235E87">
            <w:pPr>
              <w:ind w:firstLine="0"/>
              <w:rPr>
                <w:rFonts w:cs="Times New Roman"/>
                <w:sz w:val="24"/>
                <w:szCs w:val="24"/>
              </w:rPr>
            </w:pPr>
            <w:r w:rsidRPr="002B38E9">
              <w:rPr>
                <w:rFonts w:eastAsia="Times New Roman"/>
                <w:color w:val="000000" w:themeColor="text1"/>
                <w:sz w:val="24"/>
                <w:szCs w:val="24"/>
                <w:lang w:eastAsia="lv-LV"/>
              </w:rPr>
              <w:t>4.</w:t>
            </w:r>
          </w:p>
        </w:tc>
        <w:tc>
          <w:tcPr>
            <w:tcW w:w="1488" w:type="pct"/>
            <w:tcBorders>
              <w:top w:val="outset" w:sz="6" w:space="0" w:color="auto"/>
              <w:left w:val="outset" w:sz="6" w:space="0" w:color="auto"/>
              <w:bottom w:val="outset" w:sz="6" w:space="0" w:color="auto"/>
              <w:right w:val="outset" w:sz="6" w:space="0" w:color="auto"/>
            </w:tcBorders>
            <w:hideMark/>
          </w:tcPr>
          <w:p w14:paraId="7E145E02" w14:textId="455FE6F0" w:rsidR="00235E87" w:rsidRPr="0043378C" w:rsidRDefault="00235E87" w:rsidP="00235E87">
            <w:pPr>
              <w:ind w:firstLine="0"/>
              <w:rPr>
                <w:rFonts w:cs="Times New Roman"/>
                <w:sz w:val="24"/>
                <w:szCs w:val="24"/>
              </w:rPr>
            </w:pPr>
            <w:r w:rsidRPr="002B38E9">
              <w:rPr>
                <w:rFonts w:eastAsia="Times New Roman"/>
                <w:color w:val="000000" w:themeColor="text1"/>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E6776F9" w14:textId="0B2B6373" w:rsidR="00235E87" w:rsidRPr="0043378C" w:rsidRDefault="00235E87" w:rsidP="00235E87">
            <w:pPr>
              <w:ind w:firstLine="0"/>
              <w:rPr>
                <w:rFonts w:cs="Times New Roman"/>
                <w:sz w:val="24"/>
                <w:szCs w:val="24"/>
              </w:rPr>
            </w:pPr>
            <w:r w:rsidRPr="002B38E9">
              <w:rPr>
                <w:color w:val="000000" w:themeColor="text1"/>
                <w:sz w:val="24"/>
                <w:szCs w:val="24"/>
                <w:lang w:eastAsia="lv-LV"/>
              </w:rPr>
              <w:t>Projekts šo jomu neskar.</w:t>
            </w:r>
          </w:p>
        </w:tc>
      </w:tr>
      <w:tr w:rsidR="00235E87" w:rsidRPr="0043378C" w14:paraId="160BEB6C" w14:textId="77777777" w:rsidTr="00235E87">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14:paraId="019EC33E" w14:textId="625356EA" w:rsidR="00235E87" w:rsidRPr="002B38E9" w:rsidRDefault="00235E87" w:rsidP="00235E87">
            <w:pPr>
              <w:ind w:firstLine="0"/>
              <w:rPr>
                <w:rFonts w:eastAsia="Times New Roman"/>
                <w:color w:val="000000" w:themeColor="text1"/>
                <w:sz w:val="24"/>
                <w:szCs w:val="24"/>
                <w:lang w:eastAsia="lv-LV"/>
              </w:rPr>
            </w:pPr>
            <w:r w:rsidRPr="002B38E9">
              <w:rPr>
                <w:rFonts w:eastAsia="Times New Roman"/>
                <w:color w:val="000000" w:themeColor="text1"/>
                <w:sz w:val="24"/>
                <w:szCs w:val="24"/>
                <w:lang w:eastAsia="lv-LV"/>
              </w:rPr>
              <w:t>5.</w:t>
            </w:r>
          </w:p>
        </w:tc>
        <w:tc>
          <w:tcPr>
            <w:tcW w:w="1488" w:type="pct"/>
            <w:tcBorders>
              <w:top w:val="outset" w:sz="6" w:space="0" w:color="auto"/>
              <w:left w:val="outset" w:sz="6" w:space="0" w:color="auto"/>
              <w:bottom w:val="outset" w:sz="6" w:space="0" w:color="auto"/>
              <w:right w:val="outset" w:sz="6" w:space="0" w:color="auto"/>
            </w:tcBorders>
          </w:tcPr>
          <w:p w14:paraId="42B4DD2B" w14:textId="323A3031" w:rsidR="00235E87" w:rsidRPr="002B38E9" w:rsidRDefault="00235E87" w:rsidP="00235E87">
            <w:pPr>
              <w:ind w:firstLine="0"/>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14:paraId="2F958494" w14:textId="7D5791D4" w:rsidR="00235E87" w:rsidRPr="002B38E9" w:rsidRDefault="00235E87" w:rsidP="00235E87">
            <w:pPr>
              <w:ind w:firstLine="0"/>
              <w:rPr>
                <w:color w:val="000000" w:themeColor="text1"/>
                <w:sz w:val="24"/>
                <w:szCs w:val="24"/>
                <w:lang w:eastAsia="lv-LV"/>
              </w:rPr>
            </w:pPr>
            <w:r w:rsidRPr="002B38E9">
              <w:rPr>
                <w:rFonts w:eastAsia="Times New Roman"/>
                <w:color w:val="000000" w:themeColor="text1"/>
                <w:sz w:val="24"/>
                <w:szCs w:val="24"/>
                <w:lang w:eastAsia="lv-LV"/>
              </w:rPr>
              <w:t>Nav.</w:t>
            </w:r>
          </w:p>
        </w:tc>
      </w:tr>
    </w:tbl>
    <w:p w14:paraId="0D56B5C9" w14:textId="77777777" w:rsidR="009C2546" w:rsidRDefault="0059701C" w:rsidP="009C2546">
      <w:pPr>
        <w:tabs>
          <w:tab w:val="left" w:pos="6323"/>
        </w:tabs>
        <w:ind w:firstLine="0"/>
        <w:rPr>
          <w:rFonts w:cs="Times New Roman"/>
          <w:sz w:val="24"/>
          <w:szCs w:val="24"/>
        </w:rPr>
      </w:pPr>
      <w:r w:rsidRPr="0043378C">
        <w:rPr>
          <w:rFonts w:cs="Times New Roman"/>
          <w:sz w:val="24"/>
          <w:szCs w:val="24"/>
        </w:rPr>
        <w:tab/>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C2546" w:rsidRPr="00FC3F3B" w14:paraId="5E470D05" w14:textId="77777777" w:rsidTr="00C969B2">
        <w:trPr>
          <w:trHeight w:val="360"/>
          <w:tblCellSpacing w:w="20" w:type="dxa"/>
        </w:trPr>
        <w:tc>
          <w:tcPr>
            <w:tcW w:w="0" w:type="auto"/>
            <w:shd w:val="clear" w:color="auto" w:fill="FFFFFF"/>
            <w:vAlign w:val="center"/>
            <w:hideMark/>
          </w:tcPr>
          <w:p w14:paraId="52889EF5" w14:textId="77777777" w:rsidR="009C2546" w:rsidRPr="00FC3F3B" w:rsidRDefault="009C2546" w:rsidP="00C969B2">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FC3F3B">
              <w:rPr>
                <w:rFonts w:eastAsia="Times New Roman" w:cs="Times New Roman"/>
                <w:b/>
                <w:bCs/>
                <w:iCs/>
                <w:color w:val="000000" w:themeColor="text1"/>
                <w:sz w:val="24"/>
                <w:szCs w:val="24"/>
                <w:lang w:eastAsia="lv-LV"/>
              </w:rPr>
              <w:t>III. Tiesību akta projekta ietekme uz valsts budžetu un pašvaldību budžetiem</w:t>
            </w:r>
          </w:p>
        </w:tc>
      </w:tr>
      <w:tr w:rsidR="009C2546" w:rsidRPr="00FC3F3B" w14:paraId="245C441B" w14:textId="77777777" w:rsidTr="00C969B2">
        <w:trPr>
          <w:trHeight w:val="300"/>
          <w:tblCellSpacing w:w="20" w:type="dxa"/>
        </w:trPr>
        <w:tc>
          <w:tcPr>
            <w:tcW w:w="0" w:type="auto"/>
            <w:shd w:val="clear" w:color="auto" w:fill="FFFFFF"/>
            <w:vAlign w:val="center"/>
            <w:hideMark/>
          </w:tcPr>
          <w:p w14:paraId="66CB67DC" w14:textId="77777777" w:rsidR="009C2546" w:rsidRPr="00FC3F3B" w:rsidRDefault="009C2546" w:rsidP="00C969B2">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Pr>
                <w:rFonts w:eastAsia="Times New Roman" w:cs="Times New Roman"/>
                <w:iCs/>
                <w:color w:val="000000" w:themeColor="text1"/>
                <w:sz w:val="24"/>
                <w:szCs w:val="24"/>
                <w:lang w:eastAsia="lv-LV"/>
              </w:rPr>
              <w:t>.</w:t>
            </w:r>
          </w:p>
        </w:tc>
      </w:tr>
    </w:tbl>
    <w:p w14:paraId="02AD89D8" w14:textId="77777777" w:rsidR="009C2546" w:rsidRPr="008D361B" w:rsidRDefault="009C2546" w:rsidP="009C2546">
      <w:pPr>
        <w:ind w:firstLine="0"/>
        <w:rPr>
          <w:rFonts w:cs="Times New Roman"/>
          <w:sz w:val="24"/>
          <w:szCs w:val="24"/>
        </w:rPr>
      </w:pPr>
    </w:p>
    <w:tbl>
      <w:tblPr>
        <w:tblW w:w="5000" w:type="pct"/>
        <w:tblCellSpacing w:w="20" w:type="dxa"/>
        <w:tblBorders>
          <w:top w:val="outset" w:sz="6" w:space="0" w:color="D9D9D9"/>
          <w:left w:val="outset" w:sz="6" w:space="0" w:color="D9D9D9"/>
          <w:bottom w:val="outset" w:sz="6" w:space="0" w:color="D9D9D9"/>
          <w:right w:val="outset" w:sz="6" w:space="0" w:color="D9D9D9"/>
          <w:insideH w:val="outset" w:sz="6" w:space="0" w:color="D9D9D9"/>
          <w:insideV w:val="outset" w:sz="6" w:space="0" w:color="D9D9D9"/>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C2546" w:rsidRPr="00F63C61" w14:paraId="17627749" w14:textId="77777777" w:rsidTr="00C969B2">
        <w:trPr>
          <w:tblCellSpacing w:w="20" w:type="dxa"/>
        </w:trPr>
        <w:tc>
          <w:tcPr>
            <w:tcW w:w="0" w:type="auto"/>
            <w:shd w:val="clear" w:color="auto" w:fill="FFFFFF"/>
            <w:vAlign w:val="center"/>
            <w:hideMark/>
          </w:tcPr>
          <w:p w14:paraId="568DC243" w14:textId="77777777" w:rsidR="009C2546" w:rsidRPr="00F63C61" w:rsidRDefault="009C2546" w:rsidP="00C969B2">
            <w:pPr>
              <w:spacing w:before="100" w:beforeAutospacing="1" w:after="100" w:afterAutospacing="1"/>
              <w:ind w:firstLine="0"/>
              <w:jc w:val="center"/>
              <w:rPr>
                <w:rFonts w:eastAsia="Times New Roman" w:cs="Times New Roman"/>
                <w:b/>
                <w:bCs/>
                <w:sz w:val="24"/>
                <w:szCs w:val="24"/>
                <w:lang w:eastAsia="lv-LV"/>
              </w:rPr>
            </w:pPr>
            <w:r w:rsidRPr="00F63C61">
              <w:rPr>
                <w:rFonts w:eastAsia="Times New Roman" w:cs="Times New Roman"/>
                <w:b/>
                <w:bCs/>
                <w:sz w:val="24"/>
                <w:szCs w:val="24"/>
                <w:lang w:eastAsia="lv-LV"/>
              </w:rPr>
              <w:t>IV. Tiesību akta projekta ietekme uz spēkā esošo tiesību normu sistēmu</w:t>
            </w:r>
          </w:p>
        </w:tc>
      </w:tr>
      <w:tr w:rsidR="009C2546" w:rsidRPr="00F63C61" w14:paraId="4D817EA9" w14:textId="77777777" w:rsidTr="00C969B2">
        <w:trPr>
          <w:tblCellSpacing w:w="20" w:type="dxa"/>
        </w:trPr>
        <w:tc>
          <w:tcPr>
            <w:tcW w:w="0" w:type="auto"/>
            <w:shd w:val="clear" w:color="auto" w:fill="FFFFFF"/>
            <w:vAlign w:val="center"/>
          </w:tcPr>
          <w:p w14:paraId="3786E810" w14:textId="77777777" w:rsidR="009C2546" w:rsidRPr="00F63C61" w:rsidRDefault="009C2546" w:rsidP="00C969B2">
            <w:pPr>
              <w:spacing w:before="100" w:beforeAutospacing="1" w:after="100" w:afterAutospacing="1"/>
              <w:ind w:firstLine="0"/>
              <w:jc w:val="center"/>
              <w:rPr>
                <w:rFonts w:eastAsia="Times New Roman" w:cs="Times New Roman"/>
                <w:bCs/>
                <w:sz w:val="24"/>
                <w:szCs w:val="24"/>
                <w:lang w:eastAsia="lv-LV"/>
              </w:rPr>
            </w:pPr>
            <w:r w:rsidRPr="00F63C61">
              <w:rPr>
                <w:rFonts w:eastAsia="Times New Roman" w:cs="Times New Roman"/>
                <w:bCs/>
                <w:sz w:val="24"/>
                <w:szCs w:val="24"/>
                <w:lang w:eastAsia="lv-LV"/>
              </w:rPr>
              <w:t>Projekts šo jomu neskar.</w:t>
            </w:r>
          </w:p>
        </w:tc>
      </w:tr>
    </w:tbl>
    <w:p w14:paraId="7BE4F2DB" w14:textId="77777777" w:rsidR="009C2546" w:rsidRPr="008D361B" w:rsidRDefault="009C2546" w:rsidP="009C2546">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C2546" w:rsidRPr="00FC3F3B" w14:paraId="228EC19B" w14:textId="77777777" w:rsidTr="00C969B2">
        <w:trPr>
          <w:trHeight w:val="360"/>
          <w:tblCellSpacing w:w="20" w:type="dxa"/>
        </w:trPr>
        <w:tc>
          <w:tcPr>
            <w:tcW w:w="0" w:type="auto"/>
            <w:shd w:val="clear" w:color="auto" w:fill="FFFFFF"/>
            <w:vAlign w:val="center"/>
            <w:hideMark/>
          </w:tcPr>
          <w:p w14:paraId="1945B71E" w14:textId="77777777" w:rsidR="009C2546" w:rsidRPr="00FC3F3B" w:rsidRDefault="009C2546" w:rsidP="00C969B2">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042E41">
              <w:rPr>
                <w:rFonts w:eastAsia="Times New Roman" w:cs="Times New Roman"/>
                <w:b/>
                <w:bCs/>
                <w:iCs/>
                <w:color w:val="000000" w:themeColor="text1"/>
                <w:sz w:val="24"/>
                <w:szCs w:val="24"/>
                <w:lang w:eastAsia="lv-LV"/>
              </w:rPr>
              <w:t>V. Tiesību akta projekta atbilstība Latvijas Republikas starptautiskajām saistībām</w:t>
            </w:r>
          </w:p>
        </w:tc>
      </w:tr>
      <w:tr w:rsidR="009C2546" w:rsidRPr="00FC3F3B" w14:paraId="56BE3BBA" w14:textId="77777777" w:rsidTr="00C969B2">
        <w:trPr>
          <w:trHeight w:val="300"/>
          <w:tblCellSpacing w:w="20" w:type="dxa"/>
        </w:trPr>
        <w:tc>
          <w:tcPr>
            <w:tcW w:w="0" w:type="auto"/>
            <w:shd w:val="clear" w:color="auto" w:fill="FFFFFF"/>
            <w:vAlign w:val="center"/>
            <w:hideMark/>
          </w:tcPr>
          <w:p w14:paraId="59A62AA1" w14:textId="77777777" w:rsidR="009C2546" w:rsidRPr="00FC3F3B" w:rsidRDefault="009C2546" w:rsidP="00C969B2">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Pr>
                <w:rFonts w:eastAsia="Times New Roman" w:cs="Times New Roman"/>
                <w:iCs/>
                <w:color w:val="000000" w:themeColor="text1"/>
                <w:sz w:val="24"/>
                <w:szCs w:val="24"/>
                <w:lang w:eastAsia="lv-LV"/>
              </w:rPr>
              <w:t>.</w:t>
            </w:r>
          </w:p>
        </w:tc>
      </w:tr>
    </w:tbl>
    <w:p w14:paraId="5B063539" w14:textId="77777777" w:rsidR="000B3048" w:rsidRPr="000B3048" w:rsidRDefault="000B3048" w:rsidP="000B3048">
      <w:pPr>
        <w:shd w:val="clear" w:color="auto" w:fill="FFFFFF"/>
        <w:ind w:firstLine="0"/>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2858"/>
        <w:gridCol w:w="5654"/>
      </w:tblGrid>
      <w:tr w:rsidR="000B3048" w:rsidRPr="000B3048" w14:paraId="35DF879F" w14:textId="77777777" w:rsidTr="0033412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349FB4" w14:textId="77777777" w:rsidR="000B3048" w:rsidRPr="000B3048" w:rsidRDefault="000B3048" w:rsidP="000B3048">
            <w:pPr>
              <w:spacing w:before="100" w:beforeAutospacing="1" w:after="100" w:afterAutospacing="1" w:line="234" w:lineRule="atLeast"/>
              <w:ind w:firstLine="0"/>
              <w:jc w:val="center"/>
              <w:rPr>
                <w:rFonts w:eastAsia="Times New Roman" w:cs="Times New Roman"/>
                <w:b/>
                <w:bCs/>
                <w:sz w:val="24"/>
                <w:szCs w:val="24"/>
                <w:lang w:eastAsia="lv-LV"/>
              </w:rPr>
            </w:pPr>
            <w:r w:rsidRPr="000B3048">
              <w:rPr>
                <w:rFonts w:eastAsia="Times New Roman" w:cs="Times New Roman"/>
                <w:b/>
                <w:bCs/>
                <w:sz w:val="24"/>
                <w:szCs w:val="24"/>
                <w:lang w:eastAsia="lv-LV"/>
              </w:rPr>
              <w:t>VI. Sabiedrības līdzdalība un komunikācijas aktivitātes</w:t>
            </w:r>
          </w:p>
        </w:tc>
      </w:tr>
      <w:tr w:rsidR="000B3048" w:rsidRPr="000B3048" w14:paraId="71ABA4FC" w14:textId="77777777" w:rsidTr="00334129">
        <w:tc>
          <w:tcPr>
            <w:tcW w:w="300" w:type="pct"/>
            <w:tcBorders>
              <w:top w:val="outset" w:sz="6" w:space="0" w:color="414142"/>
              <w:left w:val="outset" w:sz="6" w:space="0" w:color="414142"/>
              <w:bottom w:val="outset" w:sz="6" w:space="0" w:color="414142"/>
              <w:right w:val="outset" w:sz="6" w:space="0" w:color="414142"/>
            </w:tcBorders>
            <w:hideMark/>
          </w:tcPr>
          <w:p w14:paraId="5B62A053" w14:textId="77777777" w:rsidR="000B3048" w:rsidRPr="000B3048" w:rsidRDefault="000B3048" w:rsidP="000B3048">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lastRenderedPageBreak/>
              <w:t>1.</w:t>
            </w:r>
          </w:p>
        </w:tc>
        <w:tc>
          <w:tcPr>
            <w:tcW w:w="1578" w:type="pct"/>
            <w:tcBorders>
              <w:top w:val="outset" w:sz="6" w:space="0" w:color="414142"/>
              <w:left w:val="outset" w:sz="6" w:space="0" w:color="414142"/>
              <w:bottom w:val="outset" w:sz="6" w:space="0" w:color="414142"/>
              <w:right w:val="outset" w:sz="6" w:space="0" w:color="414142"/>
            </w:tcBorders>
            <w:hideMark/>
          </w:tcPr>
          <w:p w14:paraId="71AD6784" w14:textId="77777777" w:rsidR="000B3048" w:rsidRPr="000B3048" w:rsidRDefault="000B3048" w:rsidP="000B3048">
            <w:pPr>
              <w:ind w:firstLine="0"/>
              <w:rPr>
                <w:rFonts w:eastAsia="Times New Roman" w:cs="Times New Roman"/>
                <w:sz w:val="24"/>
                <w:szCs w:val="24"/>
                <w:lang w:eastAsia="lv-LV"/>
              </w:rPr>
            </w:pPr>
            <w:r w:rsidRPr="000B3048">
              <w:rPr>
                <w:rFonts w:eastAsia="Times New Roman" w:cs="Times New Roman"/>
                <w:sz w:val="24"/>
                <w:szCs w:val="24"/>
                <w:lang w:eastAsia="lv-LV"/>
              </w:rPr>
              <w:t>Plānotās sabiedrības līdzdalības un komunikācijas aktivitātes saistībā ar projektu</w:t>
            </w:r>
          </w:p>
        </w:tc>
        <w:tc>
          <w:tcPr>
            <w:tcW w:w="3122" w:type="pct"/>
            <w:tcBorders>
              <w:top w:val="outset" w:sz="6" w:space="0" w:color="414142"/>
              <w:left w:val="outset" w:sz="6" w:space="0" w:color="414142"/>
              <w:bottom w:val="outset" w:sz="6" w:space="0" w:color="414142"/>
              <w:right w:val="outset" w:sz="6" w:space="0" w:color="414142"/>
            </w:tcBorders>
            <w:hideMark/>
          </w:tcPr>
          <w:p w14:paraId="24692B37" w14:textId="21D0C67C" w:rsidR="000B3048" w:rsidRPr="000B3048" w:rsidRDefault="005E21E7" w:rsidP="000B3048">
            <w:pPr>
              <w:ind w:firstLine="0"/>
              <w:jc w:val="both"/>
              <w:rPr>
                <w:rFonts w:eastAsia="Times New Roman" w:cs="Times New Roman"/>
                <w:sz w:val="24"/>
                <w:szCs w:val="24"/>
                <w:lang w:eastAsia="lv-LV"/>
              </w:rPr>
            </w:pPr>
            <w:bookmarkStart w:id="1" w:name="_Hlk2689689"/>
            <w:r w:rsidRPr="00204112">
              <w:rPr>
                <w:rFonts w:cs="Times New Roman"/>
                <w:sz w:val="24"/>
                <w:szCs w:val="24"/>
              </w:rPr>
              <w:t>Atbilstoši Ministru kabineta 2009.gada 25.augusta noteikumiem Nr.970 „Sabiedrības līdzdalības kārtība attīstības plānošanas procesā” 7.4.</w:t>
            </w:r>
            <w:r w:rsidRPr="00204112">
              <w:rPr>
                <w:rFonts w:cs="Times New Roman"/>
                <w:sz w:val="24"/>
                <w:szCs w:val="24"/>
                <w:vertAlign w:val="superscript"/>
              </w:rPr>
              <w:t>1</w:t>
            </w:r>
            <w:r w:rsidRPr="00204112">
              <w:rPr>
                <w:rFonts w:cs="Times New Roman"/>
                <w:sz w:val="24"/>
                <w:szCs w:val="24"/>
              </w:rPr>
              <w:t xml:space="preserve"> apakšpunkt</w:t>
            </w:r>
            <w:r>
              <w:rPr>
                <w:rFonts w:cs="Times New Roman"/>
                <w:sz w:val="24"/>
                <w:szCs w:val="24"/>
              </w:rPr>
              <w:t>am</w:t>
            </w:r>
            <w:r w:rsidRPr="00204112">
              <w:rPr>
                <w:rFonts w:cs="Times New Roman"/>
                <w:sz w:val="24"/>
                <w:szCs w:val="24"/>
              </w:rPr>
              <w:t xml:space="preserve"> sabiedrībai tik</w:t>
            </w:r>
            <w:r>
              <w:rPr>
                <w:rFonts w:cs="Times New Roman"/>
                <w:sz w:val="24"/>
                <w:szCs w:val="24"/>
              </w:rPr>
              <w:t>a</w:t>
            </w:r>
            <w:r w:rsidRPr="00204112">
              <w:rPr>
                <w:rFonts w:cs="Times New Roman"/>
                <w:sz w:val="24"/>
                <w:szCs w:val="24"/>
              </w:rPr>
              <w:t xml:space="preserve"> dota iespēja rakstiski sniegt viedokli par </w:t>
            </w:r>
            <w:r w:rsidR="00B1126B">
              <w:rPr>
                <w:rFonts w:cs="Times New Roman"/>
                <w:sz w:val="24"/>
                <w:szCs w:val="24"/>
              </w:rPr>
              <w:t>likum</w:t>
            </w:r>
            <w:r w:rsidRPr="00204112">
              <w:rPr>
                <w:rFonts w:cs="Times New Roman"/>
                <w:sz w:val="24"/>
                <w:szCs w:val="24"/>
              </w:rPr>
              <w:t xml:space="preserve">projektu tā izstrādes stadijā. </w:t>
            </w:r>
            <w:bookmarkEnd w:id="1"/>
          </w:p>
        </w:tc>
      </w:tr>
      <w:tr w:rsidR="000B3048" w:rsidRPr="000B3048" w14:paraId="4DCAD452" w14:textId="77777777" w:rsidTr="00334129">
        <w:tc>
          <w:tcPr>
            <w:tcW w:w="300" w:type="pct"/>
            <w:tcBorders>
              <w:top w:val="outset" w:sz="6" w:space="0" w:color="414142"/>
              <w:left w:val="outset" w:sz="6" w:space="0" w:color="414142"/>
              <w:bottom w:val="outset" w:sz="6" w:space="0" w:color="414142"/>
              <w:right w:val="outset" w:sz="6" w:space="0" w:color="414142"/>
            </w:tcBorders>
            <w:hideMark/>
          </w:tcPr>
          <w:p w14:paraId="60E546BD" w14:textId="77777777" w:rsidR="000B3048" w:rsidRPr="000B3048" w:rsidRDefault="000B3048" w:rsidP="000B3048">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14:paraId="56D7AFC7" w14:textId="77777777" w:rsidR="000B3048" w:rsidRPr="000B3048" w:rsidRDefault="000B3048" w:rsidP="000B3048">
            <w:pPr>
              <w:ind w:firstLine="0"/>
              <w:rPr>
                <w:rFonts w:eastAsia="Times New Roman" w:cs="Times New Roman"/>
                <w:sz w:val="24"/>
                <w:szCs w:val="24"/>
                <w:lang w:eastAsia="lv-LV"/>
              </w:rPr>
            </w:pPr>
            <w:r w:rsidRPr="000B3048">
              <w:rPr>
                <w:rFonts w:eastAsia="Times New Roman" w:cs="Times New Roman"/>
                <w:sz w:val="24"/>
                <w:szCs w:val="24"/>
                <w:lang w:eastAsia="lv-LV"/>
              </w:rPr>
              <w:t>Sabiedrības līdzdalība projekta izstrādē</w:t>
            </w:r>
          </w:p>
        </w:tc>
        <w:tc>
          <w:tcPr>
            <w:tcW w:w="3122" w:type="pct"/>
            <w:tcBorders>
              <w:top w:val="outset" w:sz="6" w:space="0" w:color="414142"/>
              <w:left w:val="outset" w:sz="6" w:space="0" w:color="414142"/>
              <w:bottom w:val="outset" w:sz="6" w:space="0" w:color="414142"/>
              <w:right w:val="outset" w:sz="6" w:space="0" w:color="414142"/>
            </w:tcBorders>
          </w:tcPr>
          <w:p w14:paraId="2B7F4D72" w14:textId="24FF3167" w:rsidR="000B3048" w:rsidRPr="000B3048" w:rsidRDefault="005E21E7" w:rsidP="005E21E7">
            <w:pPr>
              <w:ind w:firstLine="0"/>
              <w:jc w:val="both"/>
              <w:rPr>
                <w:rFonts w:eastAsia="Times New Roman" w:cs="Times New Roman"/>
                <w:sz w:val="24"/>
                <w:szCs w:val="24"/>
                <w:lang w:eastAsia="lv-LV"/>
              </w:rPr>
            </w:pPr>
            <w:r w:rsidRPr="005E21E7">
              <w:rPr>
                <w:rFonts w:eastAsia="Times New Roman" w:cs="Times New Roman"/>
                <w:sz w:val="24"/>
                <w:szCs w:val="24"/>
                <w:lang w:eastAsia="lv-LV"/>
              </w:rPr>
              <w:t>Paziņojums par līdzdalības iespējām tiesību akta izstrāde</w:t>
            </w:r>
            <w:r>
              <w:rPr>
                <w:rFonts w:eastAsia="Times New Roman" w:cs="Times New Roman"/>
                <w:sz w:val="24"/>
                <w:szCs w:val="24"/>
                <w:lang w:eastAsia="lv-LV"/>
              </w:rPr>
              <w:t>s procesā ievietots 2019.gada 10</w:t>
            </w:r>
            <w:r w:rsidRPr="005E21E7">
              <w:rPr>
                <w:rFonts w:eastAsia="Times New Roman" w:cs="Times New Roman"/>
                <w:sz w:val="24"/>
                <w:szCs w:val="24"/>
                <w:lang w:eastAsia="lv-LV"/>
              </w:rPr>
              <w:t xml:space="preserve">.maijā tika publicēts Satiksmes ministrijas tīmekļvietnē </w:t>
            </w:r>
            <w:hyperlink r:id="rId8" w:history="1">
              <w:r w:rsidRPr="004A2ED2">
                <w:rPr>
                  <w:rStyle w:val="Hyperlink"/>
                  <w:rFonts w:eastAsia="Times New Roman" w:cs="Times New Roman"/>
                  <w:sz w:val="24"/>
                  <w:szCs w:val="24"/>
                  <w:lang w:eastAsia="lv-LV"/>
                </w:rPr>
                <w:t>http://www.sam.gov.lv/satmin/content/?cat=553</w:t>
              </w:r>
            </w:hyperlink>
            <w:r>
              <w:rPr>
                <w:rFonts w:eastAsia="Times New Roman" w:cs="Times New Roman"/>
                <w:sz w:val="24"/>
                <w:szCs w:val="24"/>
                <w:lang w:eastAsia="lv-LV"/>
              </w:rPr>
              <w:t xml:space="preserve"> </w:t>
            </w:r>
          </w:p>
        </w:tc>
      </w:tr>
      <w:tr w:rsidR="000B3048" w:rsidRPr="000B3048" w14:paraId="23F12A7C" w14:textId="77777777" w:rsidTr="00334129">
        <w:tc>
          <w:tcPr>
            <w:tcW w:w="300" w:type="pct"/>
            <w:tcBorders>
              <w:top w:val="outset" w:sz="6" w:space="0" w:color="414142"/>
              <w:left w:val="outset" w:sz="6" w:space="0" w:color="414142"/>
              <w:bottom w:val="outset" w:sz="6" w:space="0" w:color="414142"/>
              <w:right w:val="outset" w:sz="6" w:space="0" w:color="414142"/>
            </w:tcBorders>
            <w:hideMark/>
          </w:tcPr>
          <w:p w14:paraId="794039AF" w14:textId="77777777" w:rsidR="000B3048" w:rsidRPr="000B3048" w:rsidRDefault="000B3048" w:rsidP="000B3048">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2FF1DDFE" w14:textId="77777777" w:rsidR="000B3048" w:rsidRPr="000B3048" w:rsidRDefault="000B3048" w:rsidP="000B3048">
            <w:pPr>
              <w:ind w:firstLine="0"/>
              <w:rPr>
                <w:rFonts w:eastAsia="Times New Roman" w:cs="Times New Roman"/>
                <w:sz w:val="24"/>
                <w:szCs w:val="24"/>
                <w:lang w:eastAsia="lv-LV"/>
              </w:rPr>
            </w:pPr>
            <w:r w:rsidRPr="000B3048">
              <w:rPr>
                <w:rFonts w:eastAsia="Times New Roman" w:cs="Times New Roman"/>
                <w:sz w:val="24"/>
                <w:szCs w:val="24"/>
                <w:lang w:eastAsia="lv-LV"/>
              </w:rPr>
              <w:t>Sabiedrības līdzdalības rezultāti</w:t>
            </w:r>
          </w:p>
        </w:tc>
        <w:tc>
          <w:tcPr>
            <w:tcW w:w="3122" w:type="pct"/>
            <w:tcBorders>
              <w:top w:val="outset" w:sz="6" w:space="0" w:color="414142"/>
              <w:left w:val="outset" w:sz="6" w:space="0" w:color="414142"/>
              <w:bottom w:val="outset" w:sz="6" w:space="0" w:color="414142"/>
              <w:right w:val="outset" w:sz="6" w:space="0" w:color="414142"/>
            </w:tcBorders>
            <w:hideMark/>
          </w:tcPr>
          <w:p w14:paraId="6CDE3702" w14:textId="265F5A73" w:rsidR="000B3048" w:rsidRPr="000B3048" w:rsidRDefault="007C761B" w:rsidP="000B3048">
            <w:pPr>
              <w:ind w:firstLine="0"/>
              <w:jc w:val="both"/>
              <w:rPr>
                <w:rFonts w:eastAsia="Times New Roman" w:cs="Times New Roman"/>
                <w:sz w:val="24"/>
                <w:szCs w:val="24"/>
                <w:lang w:eastAsia="lv-LV"/>
              </w:rPr>
            </w:pPr>
            <w:r w:rsidRPr="007C761B">
              <w:rPr>
                <w:rFonts w:eastAsia="Times New Roman" w:cs="Times New Roman"/>
                <w:sz w:val="24"/>
                <w:szCs w:val="24"/>
                <w:lang w:eastAsia="lv-LV"/>
              </w:rPr>
              <w:t>Iebildumi netika saņemti.</w:t>
            </w:r>
          </w:p>
        </w:tc>
      </w:tr>
      <w:tr w:rsidR="000B3048" w:rsidRPr="000B3048" w14:paraId="2AB48A23" w14:textId="77777777" w:rsidTr="00334129">
        <w:tc>
          <w:tcPr>
            <w:tcW w:w="300" w:type="pct"/>
            <w:tcBorders>
              <w:top w:val="outset" w:sz="6" w:space="0" w:color="414142"/>
              <w:left w:val="outset" w:sz="6" w:space="0" w:color="414142"/>
              <w:bottom w:val="outset" w:sz="6" w:space="0" w:color="414142"/>
              <w:right w:val="outset" w:sz="6" w:space="0" w:color="414142"/>
            </w:tcBorders>
            <w:hideMark/>
          </w:tcPr>
          <w:p w14:paraId="75F79A1B" w14:textId="77777777" w:rsidR="000B3048" w:rsidRPr="000B3048" w:rsidRDefault="000B3048" w:rsidP="000B3048">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4.</w:t>
            </w:r>
          </w:p>
        </w:tc>
        <w:tc>
          <w:tcPr>
            <w:tcW w:w="1578" w:type="pct"/>
            <w:tcBorders>
              <w:top w:val="outset" w:sz="6" w:space="0" w:color="414142"/>
              <w:left w:val="outset" w:sz="6" w:space="0" w:color="414142"/>
              <w:bottom w:val="outset" w:sz="6" w:space="0" w:color="414142"/>
              <w:right w:val="outset" w:sz="6" w:space="0" w:color="414142"/>
            </w:tcBorders>
            <w:hideMark/>
          </w:tcPr>
          <w:p w14:paraId="36DFED74" w14:textId="77777777" w:rsidR="000B3048" w:rsidRPr="000B3048" w:rsidRDefault="000B3048" w:rsidP="000B3048">
            <w:pPr>
              <w:ind w:firstLine="0"/>
              <w:rPr>
                <w:rFonts w:eastAsia="Times New Roman" w:cs="Times New Roman"/>
                <w:sz w:val="24"/>
                <w:szCs w:val="24"/>
                <w:lang w:eastAsia="lv-LV"/>
              </w:rPr>
            </w:pPr>
            <w:r w:rsidRPr="000B3048">
              <w:rPr>
                <w:rFonts w:eastAsia="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14:paraId="47A5477E" w14:textId="615B4ECC" w:rsidR="000B3048" w:rsidRPr="000B3048" w:rsidRDefault="000B3048" w:rsidP="000B3048">
            <w:pPr>
              <w:ind w:firstLine="0"/>
              <w:jc w:val="both"/>
              <w:rPr>
                <w:rFonts w:eastAsia="Times New Roman" w:cs="Times New Roman"/>
                <w:sz w:val="24"/>
                <w:szCs w:val="24"/>
                <w:lang w:eastAsia="lv-LV"/>
              </w:rPr>
            </w:pPr>
            <w:r w:rsidRPr="000B3048">
              <w:rPr>
                <w:rFonts w:eastAsia="Times New Roman" w:cs="Times New Roman"/>
                <w:sz w:val="24"/>
                <w:szCs w:val="24"/>
                <w:lang w:eastAsia="lv-LV"/>
              </w:rPr>
              <w:t>Nav</w:t>
            </w:r>
            <w:r w:rsidR="00B1126B">
              <w:rPr>
                <w:rFonts w:eastAsia="Times New Roman" w:cs="Times New Roman"/>
                <w:sz w:val="24"/>
                <w:szCs w:val="24"/>
                <w:lang w:eastAsia="lv-LV"/>
              </w:rPr>
              <w:t>.</w:t>
            </w:r>
          </w:p>
        </w:tc>
      </w:tr>
    </w:tbl>
    <w:p w14:paraId="6B2420A0" w14:textId="77777777" w:rsidR="009C2546" w:rsidRPr="00334129" w:rsidRDefault="000B3048" w:rsidP="00334129">
      <w:pPr>
        <w:shd w:val="clear" w:color="auto" w:fill="FFFFFF"/>
        <w:ind w:firstLine="0"/>
        <w:rPr>
          <w:rFonts w:eastAsia="Times New Roman" w:cs="Times New Roman"/>
          <w:sz w:val="24"/>
          <w:szCs w:val="24"/>
          <w:lang w:eastAsia="lv-LV"/>
        </w:rPr>
      </w:pPr>
      <w:r w:rsidRPr="000B3048">
        <w:rPr>
          <w:rFonts w:eastAsia="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9C2546" w:rsidRPr="008D361B" w14:paraId="26CEA82E" w14:textId="77777777" w:rsidTr="00C969B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6E696A" w14:textId="77777777" w:rsidR="009C2546" w:rsidRPr="008D361B" w:rsidRDefault="009C2546" w:rsidP="00C969B2">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009C2546" w:rsidRPr="008D361B" w14:paraId="195A3F19" w14:textId="77777777" w:rsidTr="00C969B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116A7AE" w14:textId="77777777" w:rsidR="009C2546" w:rsidRPr="008D361B" w:rsidRDefault="009C2546" w:rsidP="00C969B2">
            <w:pPr>
              <w:ind w:firstLine="0"/>
              <w:rPr>
                <w:rFonts w:cs="Times New Roman"/>
                <w:sz w:val="24"/>
                <w:szCs w:val="24"/>
              </w:rPr>
            </w:pPr>
            <w:r w:rsidRPr="008D361B">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14:paraId="3D2BA1AE" w14:textId="77777777" w:rsidR="009C2546" w:rsidRPr="008D361B" w:rsidRDefault="009C2546" w:rsidP="00C969B2">
            <w:pPr>
              <w:ind w:firstLine="0"/>
              <w:rPr>
                <w:rFonts w:cs="Times New Roman"/>
                <w:sz w:val="24"/>
                <w:szCs w:val="24"/>
              </w:rPr>
            </w:pPr>
            <w:r w:rsidRPr="008D361B">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4DE65BBD" w14:textId="2D47ABAF" w:rsidR="009C2546" w:rsidRPr="008D361B" w:rsidRDefault="001C3050" w:rsidP="00C969B2">
            <w:pPr>
              <w:ind w:firstLine="0"/>
              <w:jc w:val="both"/>
              <w:rPr>
                <w:rFonts w:cs="Times New Roman"/>
                <w:sz w:val="24"/>
                <w:szCs w:val="24"/>
              </w:rPr>
            </w:pPr>
            <w:r>
              <w:rPr>
                <w:rFonts w:cs="Times New Roman"/>
                <w:sz w:val="24"/>
                <w:szCs w:val="24"/>
              </w:rPr>
              <w:t>V</w:t>
            </w:r>
            <w:r w:rsidR="0062111B" w:rsidRPr="0062111B">
              <w:rPr>
                <w:rFonts w:cs="Times New Roman"/>
                <w:sz w:val="24"/>
                <w:szCs w:val="24"/>
              </w:rPr>
              <w:t>alsts akciju sabiedrība “</w:t>
            </w:r>
            <w:r w:rsidR="0062111B">
              <w:rPr>
                <w:rFonts w:cs="Times New Roman"/>
                <w:sz w:val="24"/>
                <w:szCs w:val="24"/>
              </w:rPr>
              <w:t>Latvijas valsts ceļi</w:t>
            </w:r>
            <w:r w:rsidR="0062111B" w:rsidRPr="0062111B">
              <w:rPr>
                <w:rFonts w:cs="Times New Roman"/>
                <w:sz w:val="24"/>
                <w:szCs w:val="24"/>
              </w:rPr>
              <w:t xml:space="preserve">”, </w:t>
            </w:r>
            <w:r w:rsidR="00B4128C">
              <w:rPr>
                <w:rFonts w:cs="Times New Roman"/>
                <w:sz w:val="24"/>
                <w:szCs w:val="24"/>
              </w:rPr>
              <w:t xml:space="preserve">Valsts akciju sabiedrība “Ceļu satiksmes drošības direkcija” un </w:t>
            </w:r>
            <w:r w:rsidR="0062111B" w:rsidRPr="0062111B">
              <w:rPr>
                <w:rFonts w:cs="Times New Roman"/>
                <w:sz w:val="24"/>
                <w:szCs w:val="24"/>
              </w:rPr>
              <w:t>Valsts policija.</w:t>
            </w:r>
          </w:p>
        </w:tc>
      </w:tr>
      <w:tr w:rsidR="009C2546" w:rsidRPr="008D361B" w14:paraId="1DC39617" w14:textId="77777777" w:rsidTr="00C969B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63368F7" w14:textId="77777777" w:rsidR="009C2546" w:rsidRPr="008D361B" w:rsidRDefault="009C2546" w:rsidP="00C969B2">
            <w:pPr>
              <w:ind w:firstLine="0"/>
              <w:rPr>
                <w:rFonts w:cs="Times New Roman"/>
                <w:sz w:val="24"/>
                <w:szCs w:val="24"/>
              </w:rPr>
            </w:pPr>
            <w:r w:rsidRPr="008D361B">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14:paraId="6D4E9F20" w14:textId="77777777" w:rsidR="009C2546" w:rsidRPr="008D361B" w:rsidRDefault="009C2546" w:rsidP="00C969B2">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14:paraId="7C3B6ED4" w14:textId="77777777" w:rsidR="009C2546" w:rsidRPr="008D361B" w:rsidRDefault="009C2546" w:rsidP="00C969B2">
            <w:pPr>
              <w:ind w:firstLine="0"/>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0F17C3EA" w14:textId="77777777" w:rsidR="009C2546" w:rsidRPr="008D361B" w:rsidRDefault="009C2546" w:rsidP="00C969B2">
            <w:pPr>
              <w:ind w:firstLine="0"/>
              <w:jc w:val="both"/>
              <w:rPr>
                <w:rFonts w:cs="Times New Roman"/>
                <w:sz w:val="24"/>
                <w:szCs w:val="24"/>
              </w:rPr>
            </w:pPr>
            <w:r>
              <w:rPr>
                <w:rFonts w:cs="Times New Roman"/>
                <w:sz w:val="24"/>
                <w:szCs w:val="24"/>
              </w:rPr>
              <w:t>Institūcijām</w:t>
            </w:r>
            <w:r w:rsidRPr="008D361B">
              <w:rPr>
                <w:rFonts w:cs="Times New Roman"/>
                <w:sz w:val="24"/>
                <w:szCs w:val="24"/>
              </w:rPr>
              <w:t xml:space="preserve"> esošais funkciju un uzdevumu apjoms netiek mainīts.</w:t>
            </w:r>
          </w:p>
        </w:tc>
      </w:tr>
      <w:tr w:rsidR="009C2546" w:rsidRPr="008D361B" w14:paraId="10DB703D" w14:textId="77777777" w:rsidTr="00C969B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361BF07" w14:textId="77777777" w:rsidR="009C2546" w:rsidRPr="008D361B" w:rsidRDefault="009C2546" w:rsidP="00C969B2">
            <w:pPr>
              <w:ind w:firstLine="0"/>
              <w:rPr>
                <w:rFonts w:cs="Times New Roman"/>
                <w:sz w:val="24"/>
                <w:szCs w:val="24"/>
              </w:rPr>
            </w:pPr>
            <w:r w:rsidRPr="008D361B">
              <w:rPr>
                <w:rFonts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14:paraId="07EA651C" w14:textId="77777777" w:rsidR="009C2546" w:rsidRPr="008D361B" w:rsidRDefault="009C2546" w:rsidP="00C969B2">
            <w:pPr>
              <w:ind w:firstLine="0"/>
              <w:rPr>
                <w:rFonts w:cs="Times New Roman"/>
                <w:sz w:val="24"/>
                <w:szCs w:val="24"/>
              </w:rPr>
            </w:pPr>
            <w:r w:rsidRPr="008D361B">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4635967F" w14:textId="77777777" w:rsidR="009C2546" w:rsidRPr="008D361B" w:rsidRDefault="009C2546" w:rsidP="00C969B2">
            <w:pPr>
              <w:ind w:firstLine="0"/>
              <w:rPr>
                <w:rFonts w:cs="Times New Roman"/>
                <w:sz w:val="24"/>
                <w:szCs w:val="24"/>
              </w:rPr>
            </w:pPr>
            <w:r w:rsidRPr="008D361B">
              <w:rPr>
                <w:rFonts w:cs="Times New Roman"/>
                <w:sz w:val="24"/>
                <w:szCs w:val="24"/>
              </w:rPr>
              <w:t>Nav</w:t>
            </w:r>
            <w:r>
              <w:rPr>
                <w:rFonts w:cs="Times New Roman"/>
                <w:sz w:val="24"/>
                <w:szCs w:val="24"/>
              </w:rPr>
              <w:t>.</w:t>
            </w:r>
          </w:p>
        </w:tc>
      </w:tr>
    </w:tbl>
    <w:p w14:paraId="4D6D8F6E" w14:textId="77777777" w:rsidR="009C2546" w:rsidRPr="008D361B" w:rsidRDefault="009C2546" w:rsidP="009C2546">
      <w:pPr>
        <w:ind w:firstLine="0"/>
        <w:rPr>
          <w:rFonts w:cs="Times New Roman"/>
          <w:sz w:val="24"/>
          <w:szCs w:val="24"/>
        </w:rPr>
      </w:pPr>
    </w:p>
    <w:p w14:paraId="7F243C6F" w14:textId="77777777" w:rsidR="009C2546" w:rsidRPr="00010041" w:rsidRDefault="009C2546" w:rsidP="009C2546">
      <w:pPr>
        <w:rPr>
          <w:rFonts w:eastAsia="Times New Roman" w:cs="Times New Roman"/>
          <w:bCs/>
          <w:sz w:val="24"/>
          <w:szCs w:val="24"/>
        </w:rPr>
      </w:pPr>
    </w:p>
    <w:p w14:paraId="2C2F677C" w14:textId="77777777" w:rsidR="009C2546" w:rsidRPr="00010041" w:rsidRDefault="009C2546" w:rsidP="009C2546">
      <w:pPr>
        <w:ind w:firstLine="0"/>
        <w:rPr>
          <w:rFonts w:eastAsia="Times New Roman" w:cs="Times New Roman"/>
          <w:bCs/>
          <w:sz w:val="24"/>
          <w:szCs w:val="24"/>
        </w:rPr>
      </w:pPr>
      <w:r w:rsidRPr="00010041">
        <w:rPr>
          <w:rFonts w:eastAsia="Times New Roman" w:cs="Times New Roman"/>
          <w:bCs/>
          <w:sz w:val="24"/>
          <w:szCs w:val="24"/>
        </w:rPr>
        <w:t>Satiksmes ministrs</w:t>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proofErr w:type="spellStart"/>
      <w:r w:rsidRPr="00010041">
        <w:rPr>
          <w:rFonts w:eastAsia="Times New Roman" w:cs="Times New Roman"/>
          <w:bCs/>
          <w:sz w:val="24"/>
          <w:szCs w:val="24"/>
        </w:rPr>
        <w:t>T.Linkaits</w:t>
      </w:r>
      <w:proofErr w:type="spellEnd"/>
    </w:p>
    <w:p w14:paraId="31A1CEF3" w14:textId="77777777" w:rsidR="009C2546" w:rsidRPr="00010041" w:rsidRDefault="009C2546" w:rsidP="009C2546">
      <w:pPr>
        <w:rPr>
          <w:rFonts w:eastAsia="Times New Roman" w:cs="Times New Roman"/>
          <w:bCs/>
          <w:sz w:val="24"/>
          <w:szCs w:val="24"/>
        </w:rPr>
      </w:pPr>
    </w:p>
    <w:p w14:paraId="278CFE05" w14:textId="77777777" w:rsidR="009C2546" w:rsidRPr="00010041" w:rsidRDefault="009C2546" w:rsidP="009C2546">
      <w:pPr>
        <w:rPr>
          <w:rFonts w:eastAsia="Times New Roman" w:cs="Times New Roman"/>
          <w:bCs/>
          <w:sz w:val="24"/>
          <w:szCs w:val="24"/>
        </w:rPr>
      </w:pPr>
    </w:p>
    <w:p w14:paraId="66F9D311" w14:textId="77777777" w:rsidR="009C2546" w:rsidRDefault="009C2546" w:rsidP="009C2546">
      <w:pPr>
        <w:ind w:firstLine="0"/>
        <w:rPr>
          <w:rFonts w:eastAsia="Times New Roman" w:cs="Times New Roman"/>
          <w:bCs/>
          <w:sz w:val="24"/>
          <w:szCs w:val="24"/>
        </w:rPr>
      </w:pPr>
      <w:r w:rsidRPr="00010041">
        <w:rPr>
          <w:rFonts w:eastAsia="Times New Roman" w:cs="Times New Roman"/>
          <w:bCs/>
          <w:sz w:val="24"/>
          <w:szCs w:val="24"/>
        </w:rPr>
        <w:t>Vīza:</w:t>
      </w:r>
    </w:p>
    <w:p w14:paraId="1923176F" w14:textId="77777777" w:rsidR="00A33E85" w:rsidRPr="009C2546" w:rsidRDefault="009C2546" w:rsidP="008227AB">
      <w:pPr>
        <w:ind w:firstLine="0"/>
        <w:rPr>
          <w:rFonts w:eastAsia="Times New Roman" w:cs="Times New Roman"/>
          <w:bCs/>
          <w:sz w:val="24"/>
          <w:szCs w:val="24"/>
        </w:rPr>
      </w:pPr>
      <w:r w:rsidRPr="00010041">
        <w:rPr>
          <w:rFonts w:eastAsia="Times New Roman" w:cs="Times New Roman"/>
          <w:bCs/>
          <w:sz w:val="24"/>
          <w:szCs w:val="24"/>
        </w:rPr>
        <w:t xml:space="preserve">valsts sekretāra </w:t>
      </w:r>
      <w:proofErr w:type="spellStart"/>
      <w:r w:rsidRPr="00010041">
        <w:rPr>
          <w:rFonts w:eastAsia="Times New Roman" w:cs="Times New Roman"/>
          <w:bCs/>
          <w:sz w:val="24"/>
          <w:szCs w:val="24"/>
        </w:rPr>
        <w:t>p.i</w:t>
      </w:r>
      <w:proofErr w:type="spellEnd"/>
      <w:r w:rsidRPr="00010041">
        <w:rPr>
          <w:rFonts w:eastAsia="Times New Roman" w:cs="Times New Roman"/>
          <w:bCs/>
          <w:sz w:val="24"/>
          <w:szCs w:val="24"/>
        </w:rPr>
        <w:t xml:space="preserve">. </w:t>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r w:rsidRPr="00010041">
        <w:rPr>
          <w:rFonts w:eastAsia="Times New Roman" w:cs="Times New Roman"/>
          <w:bCs/>
          <w:sz w:val="24"/>
          <w:szCs w:val="24"/>
        </w:rPr>
        <w:tab/>
      </w:r>
      <w:proofErr w:type="spellStart"/>
      <w:r w:rsidRPr="00010041">
        <w:rPr>
          <w:rFonts w:eastAsia="Times New Roman" w:cs="Times New Roman"/>
          <w:bCs/>
          <w:sz w:val="24"/>
          <w:szCs w:val="24"/>
        </w:rPr>
        <w:t>Dž.Innusa</w:t>
      </w:r>
      <w:proofErr w:type="spellEnd"/>
    </w:p>
    <w:sectPr w:rsidR="00A33E85" w:rsidRPr="009C2546" w:rsidSect="00157FDC">
      <w:headerReference w:type="default" r:id="rId9"/>
      <w:footerReference w:type="default" r:id="rId10"/>
      <w:footerReference w:type="first" r:id="rId11"/>
      <w:pgSz w:w="11906" w:h="16838"/>
      <w:pgMar w:top="709" w:right="1134" w:bottom="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9C322" w14:textId="77777777" w:rsidR="00C845A5" w:rsidRDefault="00C845A5">
      <w:r>
        <w:separator/>
      </w:r>
    </w:p>
  </w:endnote>
  <w:endnote w:type="continuationSeparator" w:id="0">
    <w:p w14:paraId="6C8D2D70" w14:textId="77777777" w:rsidR="00C845A5" w:rsidRDefault="00C845A5">
      <w:r>
        <w:continuationSeparator/>
      </w:r>
    </w:p>
  </w:endnote>
  <w:endnote w:type="continuationNotice" w:id="1">
    <w:p w14:paraId="63BFF341" w14:textId="77777777" w:rsidR="00C845A5" w:rsidRDefault="00C8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9EA3" w14:textId="0FE43316" w:rsidR="00B1126B" w:rsidRPr="00F0340C" w:rsidRDefault="00B1126B" w:rsidP="00F02890">
    <w:pPr>
      <w:pStyle w:val="Footer"/>
      <w:ind w:firstLine="0"/>
    </w:pPr>
    <w:r w:rsidRPr="00F0340C">
      <w:rPr>
        <w:sz w:val="20"/>
        <w:szCs w:val="20"/>
      </w:rPr>
      <w:t>SManot_0</w:t>
    </w:r>
    <w:r>
      <w:rPr>
        <w:sz w:val="20"/>
        <w:szCs w:val="20"/>
      </w:rPr>
      <w:t>407</w:t>
    </w:r>
    <w:r w:rsidRPr="00F0340C">
      <w:rPr>
        <w:sz w:val="20"/>
        <w:szCs w:val="20"/>
      </w:rPr>
      <w:t>19_vinjete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1AD6" w14:textId="4088948E" w:rsidR="00B1126B" w:rsidRPr="008E3E94" w:rsidRDefault="00B1126B" w:rsidP="00E109FC">
    <w:pPr>
      <w:pStyle w:val="Footer"/>
      <w:ind w:firstLine="0"/>
      <w:jc w:val="both"/>
      <w:rPr>
        <w:sz w:val="20"/>
        <w:szCs w:val="20"/>
      </w:rPr>
    </w:pPr>
    <w:bookmarkStart w:id="2" w:name="_Hlk8121653"/>
    <w:bookmarkStart w:id="3" w:name="_Hlk8121654"/>
    <w:bookmarkStart w:id="4" w:name="_Hlk8121655"/>
    <w:bookmarkStart w:id="5" w:name="_Hlk8121656"/>
    <w:bookmarkStart w:id="6" w:name="_Hlk8121657"/>
    <w:bookmarkStart w:id="7" w:name="_Hlk8121658"/>
    <w:r>
      <w:rPr>
        <w:sz w:val="20"/>
        <w:szCs w:val="20"/>
      </w:rPr>
      <w:t>SManot_040719_vinjete</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9EDD2" w14:textId="77777777" w:rsidR="00C845A5" w:rsidRDefault="00C845A5">
      <w:r>
        <w:separator/>
      </w:r>
    </w:p>
  </w:footnote>
  <w:footnote w:type="continuationSeparator" w:id="0">
    <w:p w14:paraId="6E0A73FD" w14:textId="77777777" w:rsidR="00C845A5" w:rsidRDefault="00C845A5">
      <w:r>
        <w:continuationSeparator/>
      </w:r>
    </w:p>
  </w:footnote>
  <w:footnote w:type="continuationNotice" w:id="1">
    <w:p w14:paraId="71DB2025" w14:textId="77777777" w:rsidR="00C845A5" w:rsidRDefault="00C84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50013"/>
      <w:docPartObj>
        <w:docPartGallery w:val="Page Numbers (Top of Page)"/>
        <w:docPartUnique/>
      </w:docPartObj>
    </w:sdtPr>
    <w:sdtEndPr>
      <w:rPr>
        <w:noProof/>
      </w:rPr>
    </w:sdtEndPr>
    <w:sdtContent>
      <w:p w14:paraId="1BC8A808" w14:textId="77777777" w:rsidR="00B1126B" w:rsidRDefault="00B1126B">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BE2FFB0" w14:textId="77777777" w:rsidR="00B1126B" w:rsidRDefault="00B1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6"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99"/>
    <w:rsid w:val="000155A0"/>
    <w:rsid w:val="00017AD9"/>
    <w:rsid w:val="00020DDA"/>
    <w:rsid w:val="00023251"/>
    <w:rsid w:val="00025F6F"/>
    <w:rsid w:val="00027F28"/>
    <w:rsid w:val="00042E41"/>
    <w:rsid w:val="00044B41"/>
    <w:rsid w:val="00045518"/>
    <w:rsid w:val="00051C8B"/>
    <w:rsid w:val="00052BF1"/>
    <w:rsid w:val="00052CBF"/>
    <w:rsid w:val="00064A05"/>
    <w:rsid w:val="00066D08"/>
    <w:rsid w:val="00067625"/>
    <w:rsid w:val="0007136D"/>
    <w:rsid w:val="00072346"/>
    <w:rsid w:val="00072982"/>
    <w:rsid w:val="00073C71"/>
    <w:rsid w:val="0008550F"/>
    <w:rsid w:val="00085A7F"/>
    <w:rsid w:val="0008717E"/>
    <w:rsid w:val="00095ADC"/>
    <w:rsid w:val="000A1375"/>
    <w:rsid w:val="000A27C0"/>
    <w:rsid w:val="000A50F6"/>
    <w:rsid w:val="000B2BF3"/>
    <w:rsid w:val="000B3048"/>
    <w:rsid w:val="000B4FFB"/>
    <w:rsid w:val="000B5D4E"/>
    <w:rsid w:val="000D395D"/>
    <w:rsid w:val="000E1BD5"/>
    <w:rsid w:val="000E2A64"/>
    <w:rsid w:val="000E514D"/>
    <w:rsid w:val="000F43A8"/>
    <w:rsid w:val="000F6CDC"/>
    <w:rsid w:val="00103626"/>
    <w:rsid w:val="00115178"/>
    <w:rsid w:val="00123E97"/>
    <w:rsid w:val="00130F5A"/>
    <w:rsid w:val="00131F99"/>
    <w:rsid w:val="00134A7E"/>
    <w:rsid w:val="00136A1C"/>
    <w:rsid w:val="00141091"/>
    <w:rsid w:val="001422AE"/>
    <w:rsid w:val="001519FD"/>
    <w:rsid w:val="00156067"/>
    <w:rsid w:val="00157FDC"/>
    <w:rsid w:val="00161E99"/>
    <w:rsid w:val="0016244E"/>
    <w:rsid w:val="00162948"/>
    <w:rsid w:val="001760F8"/>
    <w:rsid w:val="00176434"/>
    <w:rsid w:val="00181E6A"/>
    <w:rsid w:val="00194410"/>
    <w:rsid w:val="001A1267"/>
    <w:rsid w:val="001A310E"/>
    <w:rsid w:val="001A322F"/>
    <w:rsid w:val="001A52F5"/>
    <w:rsid w:val="001A56B0"/>
    <w:rsid w:val="001A7B34"/>
    <w:rsid w:val="001B298A"/>
    <w:rsid w:val="001B32E6"/>
    <w:rsid w:val="001B4759"/>
    <w:rsid w:val="001B4DAA"/>
    <w:rsid w:val="001C3050"/>
    <w:rsid w:val="001C3293"/>
    <w:rsid w:val="001C63C1"/>
    <w:rsid w:val="001C7108"/>
    <w:rsid w:val="001D319A"/>
    <w:rsid w:val="001D4645"/>
    <w:rsid w:val="001D4997"/>
    <w:rsid w:val="001E3A18"/>
    <w:rsid w:val="001F6215"/>
    <w:rsid w:val="001F66A0"/>
    <w:rsid w:val="0020083C"/>
    <w:rsid w:val="00200C06"/>
    <w:rsid w:val="0020206F"/>
    <w:rsid w:val="00211B9F"/>
    <w:rsid w:val="00215EC0"/>
    <w:rsid w:val="002174A7"/>
    <w:rsid w:val="00224097"/>
    <w:rsid w:val="002314F6"/>
    <w:rsid w:val="0023328B"/>
    <w:rsid w:val="0023480C"/>
    <w:rsid w:val="00235E87"/>
    <w:rsid w:val="00243C3C"/>
    <w:rsid w:val="00246A04"/>
    <w:rsid w:val="00246FD9"/>
    <w:rsid w:val="00250720"/>
    <w:rsid w:val="00251899"/>
    <w:rsid w:val="00253497"/>
    <w:rsid w:val="002562F3"/>
    <w:rsid w:val="00263DE9"/>
    <w:rsid w:val="00265843"/>
    <w:rsid w:val="0026624E"/>
    <w:rsid w:val="00280243"/>
    <w:rsid w:val="00286329"/>
    <w:rsid w:val="002874EA"/>
    <w:rsid w:val="00295883"/>
    <w:rsid w:val="00296266"/>
    <w:rsid w:val="002964D7"/>
    <w:rsid w:val="00297D46"/>
    <w:rsid w:val="002A0B99"/>
    <w:rsid w:val="002A2144"/>
    <w:rsid w:val="002A4199"/>
    <w:rsid w:val="002A42B8"/>
    <w:rsid w:val="002B250F"/>
    <w:rsid w:val="002B596D"/>
    <w:rsid w:val="002B5EC0"/>
    <w:rsid w:val="002B7A6A"/>
    <w:rsid w:val="002C1463"/>
    <w:rsid w:val="002C4D25"/>
    <w:rsid w:val="002C52F2"/>
    <w:rsid w:val="002D1699"/>
    <w:rsid w:val="002D6276"/>
    <w:rsid w:val="002E335D"/>
    <w:rsid w:val="002F4CA4"/>
    <w:rsid w:val="002F613A"/>
    <w:rsid w:val="00300CEC"/>
    <w:rsid w:val="00310306"/>
    <w:rsid w:val="003115B1"/>
    <w:rsid w:val="00312195"/>
    <w:rsid w:val="00315CFC"/>
    <w:rsid w:val="003161EE"/>
    <w:rsid w:val="003235E9"/>
    <w:rsid w:val="0032460A"/>
    <w:rsid w:val="003259F7"/>
    <w:rsid w:val="00334129"/>
    <w:rsid w:val="00340368"/>
    <w:rsid w:val="00340D74"/>
    <w:rsid w:val="003432ED"/>
    <w:rsid w:val="003565BC"/>
    <w:rsid w:val="00357198"/>
    <w:rsid w:val="003656DD"/>
    <w:rsid w:val="00370048"/>
    <w:rsid w:val="0038320C"/>
    <w:rsid w:val="0038667C"/>
    <w:rsid w:val="0039036E"/>
    <w:rsid w:val="00393FB0"/>
    <w:rsid w:val="00396E38"/>
    <w:rsid w:val="003A4842"/>
    <w:rsid w:val="003A6D0F"/>
    <w:rsid w:val="003B11E2"/>
    <w:rsid w:val="003C64AA"/>
    <w:rsid w:val="003C678B"/>
    <w:rsid w:val="003D61B1"/>
    <w:rsid w:val="003E3621"/>
    <w:rsid w:val="003E7E9B"/>
    <w:rsid w:val="003F180A"/>
    <w:rsid w:val="003F6EB2"/>
    <w:rsid w:val="00410D1E"/>
    <w:rsid w:val="00411362"/>
    <w:rsid w:val="00415CB5"/>
    <w:rsid w:val="00417277"/>
    <w:rsid w:val="00424A28"/>
    <w:rsid w:val="00431AC0"/>
    <w:rsid w:val="00431BD1"/>
    <w:rsid w:val="00433590"/>
    <w:rsid w:val="0043378C"/>
    <w:rsid w:val="004403D8"/>
    <w:rsid w:val="00447004"/>
    <w:rsid w:val="00451762"/>
    <w:rsid w:val="00464053"/>
    <w:rsid w:val="00471BF3"/>
    <w:rsid w:val="0048189D"/>
    <w:rsid w:val="00486883"/>
    <w:rsid w:val="004952DC"/>
    <w:rsid w:val="00496E5D"/>
    <w:rsid w:val="004B4F8E"/>
    <w:rsid w:val="004C0249"/>
    <w:rsid w:val="004C314C"/>
    <w:rsid w:val="004C4E4D"/>
    <w:rsid w:val="004D3FCF"/>
    <w:rsid w:val="004D5259"/>
    <w:rsid w:val="004D5394"/>
    <w:rsid w:val="004E086F"/>
    <w:rsid w:val="004E19B4"/>
    <w:rsid w:val="004E66CE"/>
    <w:rsid w:val="004F2D5F"/>
    <w:rsid w:val="004F7CD4"/>
    <w:rsid w:val="00506975"/>
    <w:rsid w:val="00521528"/>
    <w:rsid w:val="00525112"/>
    <w:rsid w:val="00527434"/>
    <w:rsid w:val="00540F1A"/>
    <w:rsid w:val="00542CAF"/>
    <w:rsid w:val="005430C9"/>
    <w:rsid w:val="00543434"/>
    <w:rsid w:val="00544188"/>
    <w:rsid w:val="005447C0"/>
    <w:rsid w:val="00545F54"/>
    <w:rsid w:val="005571E0"/>
    <w:rsid w:val="0056352F"/>
    <w:rsid w:val="00584C09"/>
    <w:rsid w:val="005936DD"/>
    <w:rsid w:val="0059701C"/>
    <w:rsid w:val="005A4863"/>
    <w:rsid w:val="005B003F"/>
    <w:rsid w:val="005B6AFE"/>
    <w:rsid w:val="005B70BE"/>
    <w:rsid w:val="005D3CD0"/>
    <w:rsid w:val="005D6031"/>
    <w:rsid w:val="005D647E"/>
    <w:rsid w:val="005D64F8"/>
    <w:rsid w:val="005E21E7"/>
    <w:rsid w:val="005E418F"/>
    <w:rsid w:val="005E795C"/>
    <w:rsid w:val="005F145F"/>
    <w:rsid w:val="005F7B49"/>
    <w:rsid w:val="0060076C"/>
    <w:rsid w:val="00601E93"/>
    <w:rsid w:val="006028F1"/>
    <w:rsid w:val="00604E5A"/>
    <w:rsid w:val="00605F42"/>
    <w:rsid w:val="00611141"/>
    <w:rsid w:val="006145B9"/>
    <w:rsid w:val="006169AF"/>
    <w:rsid w:val="0062111B"/>
    <w:rsid w:val="00621566"/>
    <w:rsid w:val="00622F0E"/>
    <w:rsid w:val="00624118"/>
    <w:rsid w:val="00640605"/>
    <w:rsid w:val="00642ADA"/>
    <w:rsid w:val="0064386E"/>
    <w:rsid w:val="00645140"/>
    <w:rsid w:val="0064591F"/>
    <w:rsid w:val="00653D58"/>
    <w:rsid w:val="0065585E"/>
    <w:rsid w:val="00656521"/>
    <w:rsid w:val="00662B3A"/>
    <w:rsid w:val="00676CDE"/>
    <w:rsid w:val="006A014E"/>
    <w:rsid w:val="006A3948"/>
    <w:rsid w:val="006B1C4A"/>
    <w:rsid w:val="006B29A3"/>
    <w:rsid w:val="006C286E"/>
    <w:rsid w:val="006C4B94"/>
    <w:rsid w:val="006D23A8"/>
    <w:rsid w:val="006D27B9"/>
    <w:rsid w:val="006F0550"/>
    <w:rsid w:val="006F7B33"/>
    <w:rsid w:val="00704305"/>
    <w:rsid w:val="0070544E"/>
    <w:rsid w:val="0071495F"/>
    <w:rsid w:val="00720D12"/>
    <w:rsid w:val="00722CB2"/>
    <w:rsid w:val="00723E80"/>
    <w:rsid w:val="00724D9D"/>
    <w:rsid w:val="007270AB"/>
    <w:rsid w:val="007274FD"/>
    <w:rsid w:val="0073196C"/>
    <w:rsid w:val="00733071"/>
    <w:rsid w:val="0073726E"/>
    <w:rsid w:val="007426D6"/>
    <w:rsid w:val="00747290"/>
    <w:rsid w:val="00750EF0"/>
    <w:rsid w:val="00751E39"/>
    <w:rsid w:val="007615B6"/>
    <w:rsid w:val="007622DC"/>
    <w:rsid w:val="00766905"/>
    <w:rsid w:val="0078042A"/>
    <w:rsid w:val="00781758"/>
    <w:rsid w:val="00781950"/>
    <w:rsid w:val="00781A33"/>
    <w:rsid w:val="00792D99"/>
    <w:rsid w:val="007A6619"/>
    <w:rsid w:val="007B0A18"/>
    <w:rsid w:val="007B2A9E"/>
    <w:rsid w:val="007C09D6"/>
    <w:rsid w:val="007C31AA"/>
    <w:rsid w:val="007C56A6"/>
    <w:rsid w:val="007C761B"/>
    <w:rsid w:val="007D3866"/>
    <w:rsid w:val="007D4E9C"/>
    <w:rsid w:val="007D5ABA"/>
    <w:rsid w:val="007E1F41"/>
    <w:rsid w:val="007E4E39"/>
    <w:rsid w:val="007E5AE4"/>
    <w:rsid w:val="007F21C3"/>
    <w:rsid w:val="007F3509"/>
    <w:rsid w:val="007F7512"/>
    <w:rsid w:val="0080393C"/>
    <w:rsid w:val="008065F3"/>
    <w:rsid w:val="008119BB"/>
    <w:rsid w:val="008144CD"/>
    <w:rsid w:val="008147B4"/>
    <w:rsid w:val="00815169"/>
    <w:rsid w:val="00820846"/>
    <w:rsid w:val="008227AB"/>
    <w:rsid w:val="00822A1E"/>
    <w:rsid w:val="008247C3"/>
    <w:rsid w:val="00825E8C"/>
    <w:rsid w:val="008264F5"/>
    <w:rsid w:val="00827E0A"/>
    <w:rsid w:val="008321F6"/>
    <w:rsid w:val="00834C7E"/>
    <w:rsid w:val="008352B8"/>
    <w:rsid w:val="00835B29"/>
    <w:rsid w:val="00845FA2"/>
    <w:rsid w:val="00860F49"/>
    <w:rsid w:val="008619DD"/>
    <w:rsid w:val="00862207"/>
    <w:rsid w:val="00863226"/>
    <w:rsid w:val="00863EB9"/>
    <w:rsid w:val="008655FA"/>
    <w:rsid w:val="00871BF6"/>
    <w:rsid w:val="00873D89"/>
    <w:rsid w:val="008779C7"/>
    <w:rsid w:val="008831AB"/>
    <w:rsid w:val="00885764"/>
    <w:rsid w:val="00887771"/>
    <w:rsid w:val="0089015D"/>
    <w:rsid w:val="00896359"/>
    <w:rsid w:val="008B5105"/>
    <w:rsid w:val="008B5E06"/>
    <w:rsid w:val="008D20CF"/>
    <w:rsid w:val="008D361B"/>
    <w:rsid w:val="008D6AEA"/>
    <w:rsid w:val="008E1AA5"/>
    <w:rsid w:val="008F1FAF"/>
    <w:rsid w:val="008F2ABE"/>
    <w:rsid w:val="00900B63"/>
    <w:rsid w:val="0090291A"/>
    <w:rsid w:val="0090743A"/>
    <w:rsid w:val="009075F4"/>
    <w:rsid w:val="00912F28"/>
    <w:rsid w:val="00921735"/>
    <w:rsid w:val="00927262"/>
    <w:rsid w:val="00927F79"/>
    <w:rsid w:val="009314FC"/>
    <w:rsid w:val="00935D9A"/>
    <w:rsid w:val="0094184E"/>
    <w:rsid w:val="009469D5"/>
    <w:rsid w:val="00955C58"/>
    <w:rsid w:val="00961061"/>
    <w:rsid w:val="0096168C"/>
    <w:rsid w:val="00973260"/>
    <w:rsid w:val="00973924"/>
    <w:rsid w:val="00975067"/>
    <w:rsid w:val="0098407A"/>
    <w:rsid w:val="00984189"/>
    <w:rsid w:val="00995487"/>
    <w:rsid w:val="009961DE"/>
    <w:rsid w:val="00996CC6"/>
    <w:rsid w:val="009A17FE"/>
    <w:rsid w:val="009B24D1"/>
    <w:rsid w:val="009C2546"/>
    <w:rsid w:val="009D10FC"/>
    <w:rsid w:val="009D52D8"/>
    <w:rsid w:val="009D6B54"/>
    <w:rsid w:val="009D7019"/>
    <w:rsid w:val="009E050B"/>
    <w:rsid w:val="009E0B19"/>
    <w:rsid w:val="009F593D"/>
    <w:rsid w:val="009F70B2"/>
    <w:rsid w:val="009F70EF"/>
    <w:rsid w:val="00A023BE"/>
    <w:rsid w:val="00A068BA"/>
    <w:rsid w:val="00A137E8"/>
    <w:rsid w:val="00A25E0D"/>
    <w:rsid w:val="00A33E85"/>
    <w:rsid w:val="00A4234B"/>
    <w:rsid w:val="00A43CF2"/>
    <w:rsid w:val="00A467D0"/>
    <w:rsid w:val="00A47755"/>
    <w:rsid w:val="00A478A6"/>
    <w:rsid w:val="00A50329"/>
    <w:rsid w:val="00A511A2"/>
    <w:rsid w:val="00A52EE0"/>
    <w:rsid w:val="00A55CC8"/>
    <w:rsid w:val="00A56080"/>
    <w:rsid w:val="00A63BBE"/>
    <w:rsid w:val="00A64C03"/>
    <w:rsid w:val="00A67430"/>
    <w:rsid w:val="00A707E1"/>
    <w:rsid w:val="00A70A93"/>
    <w:rsid w:val="00A70AD5"/>
    <w:rsid w:val="00A73A69"/>
    <w:rsid w:val="00A77B86"/>
    <w:rsid w:val="00A9777D"/>
    <w:rsid w:val="00AA3306"/>
    <w:rsid w:val="00AC0B14"/>
    <w:rsid w:val="00AC6949"/>
    <w:rsid w:val="00AD3346"/>
    <w:rsid w:val="00AD3BDC"/>
    <w:rsid w:val="00AD538F"/>
    <w:rsid w:val="00AD68DD"/>
    <w:rsid w:val="00AD7E98"/>
    <w:rsid w:val="00AE0450"/>
    <w:rsid w:val="00B0542F"/>
    <w:rsid w:val="00B1126B"/>
    <w:rsid w:val="00B13B2E"/>
    <w:rsid w:val="00B13DFA"/>
    <w:rsid w:val="00B223FE"/>
    <w:rsid w:val="00B257AB"/>
    <w:rsid w:val="00B264BC"/>
    <w:rsid w:val="00B27282"/>
    <w:rsid w:val="00B30FFA"/>
    <w:rsid w:val="00B31932"/>
    <w:rsid w:val="00B4128C"/>
    <w:rsid w:val="00B439D6"/>
    <w:rsid w:val="00B46B66"/>
    <w:rsid w:val="00B51BE3"/>
    <w:rsid w:val="00B74B51"/>
    <w:rsid w:val="00B77389"/>
    <w:rsid w:val="00B80DB4"/>
    <w:rsid w:val="00B8329C"/>
    <w:rsid w:val="00B86049"/>
    <w:rsid w:val="00B87040"/>
    <w:rsid w:val="00B87BE1"/>
    <w:rsid w:val="00BA246D"/>
    <w:rsid w:val="00BB2223"/>
    <w:rsid w:val="00BB24EE"/>
    <w:rsid w:val="00BB28C5"/>
    <w:rsid w:val="00BB4800"/>
    <w:rsid w:val="00BC6EFB"/>
    <w:rsid w:val="00BD1DB3"/>
    <w:rsid w:val="00BE5385"/>
    <w:rsid w:val="00BF4955"/>
    <w:rsid w:val="00BF58AA"/>
    <w:rsid w:val="00C013C3"/>
    <w:rsid w:val="00C04273"/>
    <w:rsid w:val="00C043AE"/>
    <w:rsid w:val="00C0633E"/>
    <w:rsid w:val="00C0701A"/>
    <w:rsid w:val="00C1279B"/>
    <w:rsid w:val="00C133B8"/>
    <w:rsid w:val="00C20973"/>
    <w:rsid w:val="00C222F3"/>
    <w:rsid w:val="00C226DB"/>
    <w:rsid w:val="00C269AD"/>
    <w:rsid w:val="00C33F54"/>
    <w:rsid w:val="00C36492"/>
    <w:rsid w:val="00C375AD"/>
    <w:rsid w:val="00C476D5"/>
    <w:rsid w:val="00C5092B"/>
    <w:rsid w:val="00C665F3"/>
    <w:rsid w:val="00C70001"/>
    <w:rsid w:val="00C7494A"/>
    <w:rsid w:val="00C753FC"/>
    <w:rsid w:val="00C845A5"/>
    <w:rsid w:val="00C85B82"/>
    <w:rsid w:val="00C866C0"/>
    <w:rsid w:val="00C86BEE"/>
    <w:rsid w:val="00C8782C"/>
    <w:rsid w:val="00C903C3"/>
    <w:rsid w:val="00C969B2"/>
    <w:rsid w:val="00C97C88"/>
    <w:rsid w:val="00CA614A"/>
    <w:rsid w:val="00CA62D7"/>
    <w:rsid w:val="00CA679A"/>
    <w:rsid w:val="00CB2EA9"/>
    <w:rsid w:val="00CB4913"/>
    <w:rsid w:val="00CC1C6B"/>
    <w:rsid w:val="00CD497A"/>
    <w:rsid w:val="00CD73F2"/>
    <w:rsid w:val="00CE0572"/>
    <w:rsid w:val="00CE48C9"/>
    <w:rsid w:val="00CE60D4"/>
    <w:rsid w:val="00CF4298"/>
    <w:rsid w:val="00CF4E9E"/>
    <w:rsid w:val="00D21B5A"/>
    <w:rsid w:val="00D2415E"/>
    <w:rsid w:val="00D25453"/>
    <w:rsid w:val="00D304E5"/>
    <w:rsid w:val="00D31AA5"/>
    <w:rsid w:val="00D31EFD"/>
    <w:rsid w:val="00D4071C"/>
    <w:rsid w:val="00D4444B"/>
    <w:rsid w:val="00D450FE"/>
    <w:rsid w:val="00D45B92"/>
    <w:rsid w:val="00D5395D"/>
    <w:rsid w:val="00D57925"/>
    <w:rsid w:val="00D57F04"/>
    <w:rsid w:val="00D655C9"/>
    <w:rsid w:val="00D72749"/>
    <w:rsid w:val="00D74D6E"/>
    <w:rsid w:val="00D75285"/>
    <w:rsid w:val="00D76103"/>
    <w:rsid w:val="00D77CE9"/>
    <w:rsid w:val="00D80FDA"/>
    <w:rsid w:val="00D86D19"/>
    <w:rsid w:val="00D927D6"/>
    <w:rsid w:val="00D933C3"/>
    <w:rsid w:val="00D9743E"/>
    <w:rsid w:val="00DA025B"/>
    <w:rsid w:val="00DA0781"/>
    <w:rsid w:val="00DA0DA7"/>
    <w:rsid w:val="00DB1D1E"/>
    <w:rsid w:val="00DB3CDA"/>
    <w:rsid w:val="00DB5575"/>
    <w:rsid w:val="00DB5E04"/>
    <w:rsid w:val="00DC0050"/>
    <w:rsid w:val="00DC0110"/>
    <w:rsid w:val="00DC3EB0"/>
    <w:rsid w:val="00DC7C5C"/>
    <w:rsid w:val="00DD670C"/>
    <w:rsid w:val="00DE19F7"/>
    <w:rsid w:val="00DE451C"/>
    <w:rsid w:val="00DE5811"/>
    <w:rsid w:val="00DE62C1"/>
    <w:rsid w:val="00DF0400"/>
    <w:rsid w:val="00DF3B64"/>
    <w:rsid w:val="00DF4970"/>
    <w:rsid w:val="00DF64CE"/>
    <w:rsid w:val="00E00901"/>
    <w:rsid w:val="00E00988"/>
    <w:rsid w:val="00E063CC"/>
    <w:rsid w:val="00E109FC"/>
    <w:rsid w:val="00E12B35"/>
    <w:rsid w:val="00E14B57"/>
    <w:rsid w:val="00E24DC6"/>
    <w:rsid w:val="00E269F4"/>
    <w:rsid w:val="00E306F9"/>
    <w:rsid w:val="00E33EBA"/>
    <w:rsid w:val="00E34660"/>
    <w:rsid w:val="00E36207"/>
    <w:rsid w:val="00E41BF9"/>
    <w:rsid w:val="00E55477"/>
    <w:rsid w:val="00E72542"/>
    <w:rsid w:val="00E7316A"/>
    <w:rsid w:val="00E832E1"/>
    <w:rsid w:val="00E90126"/>
    <w:rsid w:val="00E94F46"/>
    <w:rsid w:val="00EA3A30"/>
    <w:rsid w:val="00EA4929"/>
    <w:rsid w:val="00EA6620"/>
    <w:rsid w:val="00EB5513"/>
    <w:rsid w:val="00EB746E"/>
    <w:rsid w:val="00EB76FA"/>
    <w:rsid w:val="00EC129E"/>
    <w:rsid w:val="00EC1B56"/>
    <w:rsid w:val="00EC262E"/>
    <w:rsid w:val="00EC607B"/>
    <w:rsid w:val="00EC6469"/>
    <w:rsid w:val="00ED04FB"/>
    <w:rsid w:val="00ED2578"/>
    <w:rsid w:val="00ED3E43"/>
    <w:rsid w:val="00EE3838"/>
    <w:rsid w:val="00EF16FC"/>
    <w:rsid w:val="00EF2BA1"/>
    <w:rsid w:val="00EF3448"/>
    <w:rsid w:val="00EF3C5C"/>
    <w:rsid w:val="00F02890"/>
    <w:rsid w:val="00F030A1"/>
    <w:rsid w:val="00F0340C"/>
    <w:rsid w:val="00F03774"/>
    <w:rsid w:val="00F03B34"/>
    <w:rsid w:val="00F1342F"/>
    <w:rsid w:val="00F24B1A"/>
    <w:rsid w:val="00F25DE9"/>
    <w:rsid w:val="00F36E98"/>
    <w:rsid w:val="00F4418E"/>
    <w:rsid w:val="00F47917"/>
    <w:rsid w:val="00F5494D"/>
    <w:rsid w:val="00F60314"/>
    <w:rsid w:val="00F726C0"/>
    <w:rsid w:val="00F73DA7"/>
    <w:rsid w:val="00F74ACD"/>
    <w:rsid w:val="00F86FED"/>
    <w:rsid w:val="00F91241"/>
    <w:rsid w:val="00F922DE"/>
    <w:rsid w:val="00F92BAB"/>
    <w:rsid w:val="00F9676E"/>
    <w:rsid w:val="00FA265D"/>
    <w:rsid w:val="00FA767B"/>
    <w:rsid w:val="00FB43DD"/>
    <w:rsid w:val="00FC03FC"/>
    <w:rsid w:val="00FC1014"/>
    <w:rsid w:val="00FC3F3B"/>
    <w:rsid w:val="00FD4B00"/>
    <w:rsid w:val="00FE4B7C"/>
    <w:rsid w:val="00FE4F4D"/>
    <w:rsid w:val="00FE691E"/>
    <w:rsid w:val="00FF15DB"/>
    <w:rsid w:val="00FF1B48"/>
    <w:rsid w:val="00FF288F"/>
    <w:rsid w:val="00FF39FC"/>
    <w:rsid w:val="00FF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25B62"/>
  <w15:docId w15:val="{C32F158A-3127-46FC-8F30-209CDD3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PlainText">
    <w:name w:val="Plain Text"/>
    <w:basedOn w:val="Normal"/>
    <w:link w:val="PlainTextChar"/>
    <w:uiPriority w:val="99"/>
    <w:semiHidden/>
    <w:unhideWhenUsed/>
    <w:rsid w:val="002B5EC0"/>
    <w:pPr>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2B5EC0"/>
    <w:rPr>
      <w:rFonts w:ascii="Calibri" w:hAnsi="Calibri"/>
      <w:szCs w:val="21"/>
    </w:rPr>
  </w:style>
  <w:style w:type="paragraph" w:styleId="EndnoteText">
    <w:name w:val="endnote text"/>
    <w:basedOn w:val="Normal"/>
    <w:link w:val="EndnoteTextChar"/>
    <w:uiPriority w:val="99"/>
    <w:semiHidden/>
    <w:unhideWhenUsed/>
    <w:rsid w:val="00A068BA"/>
    <w:rPr>
      <w:sz w:val="20"/>
      <w:szCs w:val="20"/>
    </w:rPr>
  </w:style>
  <w:style w:type="character" w:customStyle="1" w:styleId="EndnoteTextChar">
    <w:name w:val="Endnote Text Char"/>
    <w:basedOn w:val="DefaultParagraphFont"/>
    <w:link w:val="EndnoteText"/>
    <w:uiPriority w:val="99"/>
    <w:semiHidden/>
    <w:rsid w:val="00A068BA"/>
    <w:rPr>
      <w:rFonts w:ascii="Times New Roman" w:hAnsi="Times New Roman"/>
      <w:sz w:val="20"/>
      <w:szCs w:val="20"/>
    </w:rPr>
  </w:style>
  <w:style w:type="character" w:styleId="EndnoteReference">
    <w:name w:val="endnote reference"/>
    <w:basedOn w:val="DefaultParagraphFont"/>
    <w:uiPriority w:val="99"/>
    <w:semiHidden/>
    <w:unhideWhenUsed/>
    <w:rsid w:val="00A068BA"/>
    <w:rPr>
      <w:vertAlign w:val="superscript"/>
    </w:rPr>
  </w:style>
  <w:style w:type="character" w:customStyle="1" w:styleId="UnresolvedMention1">
    <w:name w:val="Unresolved Mention1"/>
    <w:basedOn w:val="DefaultParagraphFont"/>
    <w:uiPriority w:val="99"/>
    <w:semiHidden/>
    <w:unhideWhenUsed/>
    <w:rsid w:val="00A068BA"/>
    <w:rPr>
      <w:color w:val="808080"/>
      <w:shd w:val="clear" w:color="auto" w:fill="E6E6E6"/>
    </w:rPr>
  </w:style>
  <w:style w:type="paragraph" w:styleId="Revision">
    <w:name w:val="Revision"/>
    <w:hidden/>
    <w:uiPriority w:val="99"/>
    <w:semiHidden/>
    <w:rsid w:val="00A068BA"/>
    <w:pPr>
      <w:spacing w:after="0" w:line="240" w:lineRule="auto"/>
    </w:pPr>
    <w:rPr>
      <w:rFonts w:ascii="Times New Roman" w:hAnsi="Times New Roman"/>
      <w:sz w:val="28"/>
    </w:rPr>
  </w:style>
  <w:style w:type="character" w:customStyle="1" w:styleId="UnresolvedMention2">
    <w:name w:val="Unresolved Mention2"/>
    <w:basedOn w:val="DefaultParagraphFont"/>
    <w:uiPriority w:val="99"/>
    <w:semiHidden/>
    <w:unhideWhenUsed/>
    <w:rsid w:val="00A33E85"/>
    <w:rPr>
      <w:color w:val="605E5C"/>
      <w:shd w:val="clear" w:color="auto" w:fill="E1DFDD"/>
    </w:rPr>
  </w:style>
  <w:style w:type="table" w:styleId="TableGrid">
    <w:name w:val="Table Grid"/>
    <w:basedOn w:val="TableNormal"/>
    <w:uiPriority w:val="39"/>
    <w:rsid w:val="0008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74D6E"/>
    <w:rPr>
      <w:color w:val="605E5C"/>
      <w:shd w:val="clear" w:color="auto" w:fill="E1DFDD"/>
    </w:rPr>
  </w:style>
  <w:style w:type="paragraph" w:customStyle="1" w:styleId="naiskr">
    <w:name w:val="naiskr"/>
    <w:basedOn w:val="Normal"/>
    <w:rsid w:val="00935D9A"/>
    <w:pPr>
      <w:spacing w:before="100" w:beforeAutospacing="1" w:after="100" w:afterAutospacing="1"/>
      <w:ind w:firstLine="0"/>
    </w:pPr>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0B3048"/>
    <w:pPr>
      <w:spacing w:after="120" w:line="480" w:lineRule="auto"/>
      <w:ind w:left="283"/>
    </w:pPr>
  </w:style>
  <w:style w:type="character" w:customStyle="1" w:styleId="BodyTextIndent2Char">
    <w:name w:val="Body Text Indent 2 Char"/>
    <w:basedOn w:val="DefaultParagraphFont"/>
    <w:link w:val="BodyTextIndent2"/>
    <w:uiPriority w:val="99"/>
    <w:semiHidden/>
    <w:rsid w:val="000B304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10849">
      <w:bodyDiv w:val="1"/>
      <w:marLeft w:val="0"/>
      <w:marRight w:val="0"/>
      <w:marTop w:val="0"/>
      <w:marBottom w:val="0"/>
      <w:divBdr>
        <w:top w:val="none" w:sz="0" w:space="0" w:color="auto"/>
        <w:left w:val="none" w:sz="0" w:space="0" w:color="auto"/>
        <w:bottom w:val="none" w:sz="0" w:space="0" w:color="auto"/>
        <w:right w:val="none" w:sz="0" w:space="0" w:color="auto"/>
      </w:divBdr>
    </w:div>
    <w:div w:id="1252353834">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C6A1-383A-49A9-B9A6-F4E63314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5098</Words>
  <Characters>2907</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Autoceļu lietošanas nodevas likumā”sākotnējās ietekmes novērtējuma ziņojums (anotācija)</vt:lpstr>
      <vt:lpstr>Likumprojekts" Grozījumi Bīstamo kravu aprites likumā"</vt:lpstr>
    </vt:vector>
  </TitlesOfParts>
  <Company>Satiksmes ministrija</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Autoceļu lietošanas nodevas likumā”sākotnējās ietekmes novērtējuma ziņojums (anotācija)</dc:title>
  <dc:subject>Anotācija</dc:subject>
  <dc:creator>Armands.Smilga@sam.gov.lv</dc:creator>
  <dc:description/>
  <cp:lastModifiedBy>Baiba Jirgena</cp:lastModifiedBy>
  <cp:revision>4</cp:revision>
  <cp:lastPrinted>2019-06-07T08:00:00Z</cp:lastPrinted>
  <dcterms:created xsi:type="dcterms:W3CDTF">2019-08-05T12:36:00Z</dcterms:created>
  <dcterms:modified xsi:type="dcterms:W3CDTF">2019-08-05T14:13:00Z</dcterms:modified>
</cp:coreProperties>
</file>