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Pr="009012E8" w:rsidR="00C6250E" w:rsidTr="00F411BF" w14:paraId="0744DAC6" w14:textId="77777777">
        <w:trPr>
          <w:trHeight w:val="423"/>
        </w:trPr>
        <w:tc>
          <w:tcPr>
            <w:tcW w:w="675" w:type="dxa"/>
          </w:tcPr>
          <w:p w:rsidRPr="009012E8" w:rsidR="00C6250E" w:rsidP="00F411BF" w:rsidRDefault="00C6250E" w14:paraId="3D6E2DA6" w14:textId="77777777">
            <w:pPr>
              <w:spacing w:before="20"/>
              <w:ind w:right="-108"/>
            </w:pPr>
            <w:r w:rsidRPr="009012E8">
              <w:t>Rīgā</w:t>
            </w:r>
          </w:p>
        </w:tc>
        <w:tc>
          <w:tcPr>
            <w:tcW w:w="1701" w:type="dxa"/>
          </w:tcPr>
          <w:p w:rsidRPr="009012E8" w:rsidR="00C6250E" w:rsidP="00B874E2" w:rsidRDefault="00C6250E" w14:paraId="46DA0428" w14:textId="77777777">
            <w:pPr>
              <w:pBdr>
                <w:bottom w:val="single" w:color="auto" w:sz="4" w:space="1"/>
              </w:pBdr>
            </w:pPr>
            <w:r>
              <w:t>08.08.2019</w:t>
            </w:r>
            <w:bookmarkEnd w:id="0"/>
          </w:p>
        </w:tc>
        <w:tc>
          <w:tcPr>
            <w:tcW w:w="426" w:type="dxa"/>
          </w:tcPr>
          <w:p w:rsidRPr="009012E8" w:rsidR="00C6250E" w:rsidP="00F411BF" w:rsidRDefault="00C6250E" w14:paraId="34DE5DFB" w14:textId="77777777">
            <w:pPr>
              <w:spacing w:before="20"/>
              <w:ind w:right="-187"/>
            </w:pPr>
            <w:r w:rsidRPr="009012E8">
              <w:t>Nr.</w:t>
            </w:r>
          </w:p>
        </w:tc>
        <w:tc>
          <w:tcPr>
            <w:tcW w:w="2204" w:type="dxa"/>
          </w:tcPr>
          <w:p w:rsidRPr="009012E8" w:rsidR="00C6250E" w:rsidP="00B874E2" w:rsidRDefault="00C6250E" w14:paraId="51C82BCB" w14:textId="77777777">
            <w:pPr>
              <w:pBdr>
                <w:bottom w:val="single" w:color="auto" w:sz="4" w:space="1"/>
              </w:pBdr>
            </w:pPr>
            <w:r>
              <w:t>01-10/98</w:t>
            </w:r>
            <w:bookmarkEnd w:id="1"/>
          </w:p>
        </w:tc>
      </w:tr>
      <w:tr w:rsidRPr="009012E8" w:rsidR="00C6250E" w:rsidTr="00F411BF" w14:paraId="743132C7" w14:textId="77777777">
        <w:trPr>
          <w:trHeight w:val="423"/>
        </w:trPr>
        <w:tc>
          <w:tcPr>
            <w:tcW w:w="675" w:type="dxa"/>
          </w:tcPr>
          <w:p w:rsidRPr="009012E8" w:rsidR="00C6250E" w:rsidP="00F411BF" w:rsidRDefault="00C6250E" w14:paraId="7789911A" w14:textId="77777777">
            <w:pPr>
              <w:spacing w:before="20"/>
              <w:ind w:right="-108"/>
            </w:pPr>
            <w:r w:rsidRPr="009012E8">
              <w:t>uz</w:t>
            </w:r>
          </w:p>
        </w:tc>
        <w:tc>
          <w:tcPr>
            <w:tcW w:w="1701" w:type="dxa"/>
          </w:tcPr>
          <w:p w:rsidRPr="009012E8" w:rsidR="00C6250E" w:rsidP="00B874E2" w:rsidRDefault="00C6250E" w14:paraId="739094F8" w14:textId="77777777">
            <w:pPr>
              <w:pBdr>
                <w:bottom w:val="single" w:color="auto" w:sz="4" w:space="1"/>
              </w:pBdr>
            </w:pPr>
          </w:p>
        </w:tc>
        <w:tc>
          <w:tcPr>
            <w:tcW w:w="426" w:type="dxa"/>
          </w:tcPr>
          <w:p w:rsidRPr="009012E8" w:rsidR="00C6250E" w:rsidP="00F411BF" w:rsidRDefault="00C6250E" w14:paraId="0CAFD81F" w14:textId="77777777">
            <w:pPr>
              <w:spacing w:before="20"/>
              <w:ind w:right="-187"/>
            </w:pPr>
            <w:r w:rsidRPr="009012E8">
              <w:t>Nr.</w:t>
            </w:r>
          </w:p>
        </w:tc>
        <w:tc>
          <w:tcPr>
            <w:tcW w:w="2204" w:type="dxa"/>
          </w:tcPr>
          <w:p w:rsidRPr="009012E8" w:rsidR="00C6250E" w:rsidP="00B874E2" w:rsidRDefault="00C6250E" w14:paraId="5102D1A3" w14:textId="77777777">
            <w:pPr>
              <w:pBdr>
                <w:bottom w:val="single" w:color="auto" w:sz="4" w:space="1"/>
              </w:pBdr>
            </w:pPr>
          </w:p>
        </w:tc>
      </w:tr>
    </w:tbl>
    <w:p w:rsidRPr="009012E8" w:rsidR="00C6250E" w:rsidP="00F85B8C" w:rsidRDefault="00C6250E" w14:paraId="1E75F0F5" w14:textId="77777777">
      <w:pPr>
        <w:pStyle w:val="Header"/>
      </w:pPr>
    </w:p>
    <w:p w:rsidRPr="009012E8" w:rsidR="00632E67" w:rsidP="00632E67" w:rsidRDefault="00632E67" w14:paraId="2DA9B9CD" w14:textId="77777777">
      <w:pPr>
        <w:jc w:val="both"/>
      </w:pPr>
    </w:p>
    <w:p w:rsidR="00A8284A" w:rsidP="00A8284A" w:rsidRDefault="00A8284A" w14:paraId="6349BC4C" w14:textId="77777777">
      <w:pPr>
        <w:tabs>
          <w:tab w:val="left" w:pos="720"/>
          <w:tab w:val="center" w:pos="4320"/>
          <w:tab w:val="right" w:pos="8640"/>
        </w:tabs>
        <w:spacing w:after="0" w:line="240" w:lineRule="auto"/>
        <w:jc w:val="right"/>
        <w:rPr>
          <w:rFonts w:eastAsia="Times New Roman"/>
        </w:rPr>
      </w:pPr>
    </w:p>
    <w:p w:rsidR="00A8284A" w:rsidP="00A8284A" w:rsidRDefault="00A8284A" w14:paraId="1EC98CBF" w14:textId="77777777">
      <w:pPr>
        <w:tabs>
          <w:tab w:val="left" w:pos="720"/>
          <w:tab w:val="center" w:pos="4320"/>
          <w:tab w:val="right" w:pos="8640"/>
        </w:tabs>
        <w:spacing w:after="0" w:line="240" w:lineRule="auto"/>
        <w:jc w:val="right"/>
        <w:rPr>
          <w:rFonts w:eastAsia="Times New Roman"/>
        </w:rPr>
      </w:pPr>
      <w:r>
        <w:rPr>
          <w:rFonts w:eastAsia="Times New Roman"/>
        </w:rPr>
        <w:t>Valsts kancelejai</w:t>
      </w:r>
    </w:p>
    <w:p w:rsidR="00A8284A" w:rsidP="00A8284A" w:rsidRDefault="00A8284A" w14:paraId="35294CC3" w14:textId="77777777">
      <w:pPr>
        <w:tabs>
          <w:tab w:val="left" w:pos="720"/>
          <w:tab w:val="center" w:pos="4320"/>
          <w:tab w:val="right" w:pos="8640"/>
        </w:tabs>
        <w:spacing w:after="0" w:line="240" w:lineRule="auto"/>
        <w:jc w:val="right"/>
        <w:rPr>
          <w:rFonts w:eastAsia="Times New Roman"/>
        </w:rPr>
      </w:pPr>
    </w:p>
    <w:p w:rsidRPr="008E233A" w:rsidR="00A8284A" w:rsidP="00A8284A" w:rsidRDefault="00A8284A" w14:paraId="0C72925C" w14:textId="3AF33855">
      <w:pPr>
        <w:pStyle w:val="NormalWeb"/>
        <w:tabs>
          <w:tab w:val="left" w:pos="851"/>
          <w:tab w:val="left" w:pos="4395"/>
          <w:tab w:val="left" w:pos="4536"/>
        </w:tabs>
        <w:spacing w:before="0" w:beforeAutospacing="0" w:after="0" w:afterAutospacing="0"/>
        <w:ind w:right="4111"/>
        <w:jc w:val="both"/>
        <w:rPr>
          <w:bCs/>
        </w:rPr>
      </w:pPr>
      <w:bookmarkStart w:name="_Hlk535316871" w:id="2"/>
      <w:r w:rsidRPr="008E233A">
        <w:rPr>
          <w:bCs/>
        </w:rPr>
        <w:t xml:space="preserve">Par Ministru kabineta sēdes </w:t>
      </w:r>
      <w:proofErr w:type="spellStart"/>
      <w:r w:rsidRPr="008E233A">
        <w:rPr>
          <w:bCs/>
        </w:rPr>
        <w:t>protokollēmuma</w:t>
      </w:r>
      <w:proofErr w:type="spellEnd"/>
      <w:r w:rsidRPr="008E233A">
        <w:rPr>
          <w:bCs/>
        </w:rPr>
        <w:t xml:space="preserve"> projektu “Par Ministru kabineta 2016.gada 20.decembra sēdes </w:t>
      </w:r>
      <w:proofErr w:type="spellStart"/>
      <w:r w:rsidRPr="008E233A">
        <w:rPr>
          <w:bCs/>
        </w:rPr>
        <w:t>protokollēmuma</w:t>
      </w:r>
      <w:proofErr w:type="spellEnd"/>
      <w:r w:rsidRPr="008E233A">
        <w:rPr>
          <w:bCs/>
        </w:rPr>
        <w:t xml:space="preserve"> (prot. Nr.69, 82.§) “</w:t>
      </w:r>
      <w:r w:rsidRPr="008E233A">
        <w:t>Informatīvais ziņojums par autoceļu finansēšanas modeli un Valsts autoceļu sakārtošanas programmu 2014.-2023. gadam un atbildes vēstule Saeimas Mandātu, ētikas un iesniegumu komisijai” 3.</w:t>
      </w:r>
      <w:r w:rsidRPr="008E233A">
        <w:rPr>
          <w:bCs/>
        </w:rPr>
        <w:t>punktā un 8.punktā dotā uzdevuma atzīšanu par aktualitāti zaudējušu</w:t>
      </w:r>
      <w:r w:rsidR="00541CCE">
        <w:rPr>
          <w:bCs/>
        </w:rPr>
        <w:t>”</w:t>
      </w:r>
    </w:p>
    <w:bookmarkEnd w:id="2"/>
    <w:p w:rsidR="00A8284A" w:rsidP="00A8284A" w:rsidRDefault="00A8284A" w14:paraId="22658BC5" w14:textId="77777777">
      <w:pPr>
        <w:spacing w:after="0" w:line="240" w:lineRule="auto"/>
      </w:pPr>
    </w:p>
    <w:p w:rsidRPr="008E233A" w:rsidR="00A8284A" w:rsidP="00A8284A" w:rsidRDefault="00A8284A" w14:paraId="2CAFCED2" w14:textId="77777777">
      <w:pPr>
        <w:pStyle w:val="NormalWeb"/>
        <w:spacing w:before="0" w:beforeAutospacing="0" w:after="0" w:afterAutospacing="0"/>
        <w:ind w:firstLine="720"/>
        <w:jc w:val="both"/>
        <w:rPr>
          <w:bCs/>
        </w:rPr>
      </w:pPr>
      <w:r w:rsidRPr="009B1E9D">
        <w:t>Pamatojoties uz Ministru kabineta 2009.gada 7.aprīļa noteikumu Nr. 300 ”Ministru kabineta kārtības rullis” 144</w:t>
      </w:r>
      <w:r>
        <w:t>.2</w:t>
      </w:r>
      <w:r w:rsidRPr="009B1E9D">
        <w:t>.</w:t>
      </w:r>
      <w:r>
        <w:t xml:space="preserve"> </w:t>
      </w:r>
      <w:r w:rsidRPr="009B1E9D">
        <w:t>apakšpunktu un ievērojot Ministru prezidenta 2019.</w:t>
      </w:r>
      <w:r>
        <w:t xml:space="preserve"> </w:t>
      </w:r>
      <w:r w:rsidRPr="009B1E9D">
        <w:t>gada 7.</w:t>
      </w:r>
      <w:r>
        <w:t xml:space="preserve"> </w:t>
      </w:r>
      <w:r w:rsidRPr="009B1E9D">
        <w:t xml:space="preserve">maija rezolūciju Nr.2019-1.1.1./16-16, lūdzu iekļaut izskatīšanai Ministru kabineta sēdē </w:t>
      </w:r>
      <w:r w:rsidRPr="008E233A">
        <w:t xml:space="preserve">Ministru kabineta sēdes </w:t>
      </w:r>
      <w:proofErr w:type="spellStart"/>
      <w:r w:rsidRPr="008E233A">
        <w:t>protokollēmuma</w:t>
      </w:r>
      <w:proofErr w:type="spellEnd"/>
      <w:r w:rsidRPr="008E233A">
        <w:t xml:space="preserve"> projektu “Par Ministru kabineta 2016.gada 20.decembra sēdes </w:t>
      </w:r>
      <w:proofErr w:type="spellStart"/>
      <w:r w:rsidRPr="008E233A">
        <w:t>protokollēmuma</w:t>
      </w:r>
      <w:proofErr w:type="spellEnd"/>
      <w:r w:rsidRPr="008E233A">
        <w:t xml:space="preserve"> (prot. Nr.69, 82.§) “Informatīvais ziņojums par autoceļu finansēšanas modeli un Valsts autoceļu sakārtošanas programmu 2014.-2023. gadam un atbildes vēstule Saeimas Mandātu, ētikas un iesniegumu komisijai” 3.punktā un 8.punktā dotā uzdevuma atzīšanu par aktualitāti zaudējušu” (turpmāk – Projekts).</w:t>
      </w:r>
    </w:p>
    <w:p w:rsidRPr="008E233A" w:rsidR="00A8284A" w:rsidP="00A8284A" w:rsidRDefault="00A8284A" w14:paraId="6F9E285A" w14:textId="77777777">
      <w:pPr>
        <w:pStyle w:val="NormalWeb"/>
        <w:spacing w:before="0" w:beforeAutospacing="0" w:after="0" w:afterAutospacing="0"/>
        <w:ind w:firstLine="720"/>
        <w:jc w:val="both"/>
        <w:rPr>
          <w:bCs/>
        </w:rPr>
      </w:pPr>
    </w:p>
    <w:tbl>
      <w:tblPr>
        <w:tblW w:w="949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41"/>
        <w:gridCol w:w="2366"/>
        <w:gridCol w:w="6684"/>
      </w:tblGrid>
      <w:tr w:rsidRPr="008E233A" w:rsidR="00A8284A" w:rsidTr="00A8284A" w14:paraId="116148A4" w14:textId="77777777">
        <w:tc>
          <w:tcPr>
            <w:tcW w:w="441" w:type="dxa"/>
            <w:tcBorders>
              <w:top w:val="single" w:color="auto" w:sz="4" w:space="0"/>
              <w:left w:val="single" w:color="auto" w:sz="4" w:space="0"/>
              <w:bottom w:val="single" w:color="auto" w:sz="4" w:space="0"/>
            </w:tcBorders>
          </w:tcPr>
          <w:p w:rsidRPr="008E233A" w:rsidR="00A8284A" w:rsidP="000C6014" w:rsidRDefault="00A8284A" w14:paraId="217EEB46" w14:textId="77777777">
            <w:pPr>
              <w:widowControl/>
              <w:spacing w:after="0" w:line="240" w:lineRule="auto"/>
              <w:rPr>
                <w:rFonts w:eastAsia="Times New Roman"/>
              </w:rPr>
            </w:pPr>
            <w:r w:rsidRPr="008E233A">
              <w:rPr>
                <w:rFonts w:eastAsia="Times New Roman"/>
              </w:rPr>
              <w:t>1.</w:t>
            </w:r>
          </w:p>
        </w:tc>
        <w:tc>
          <w:tcPr>
            <w:tcW w:w="2366" w:type="dxa"/>
            <w:tcBorders>
              <w:top w:val="single" w:color="auto" w:sz="4" w:space="0"/>
              <w:bottom w:val="single" w:color="auto" w:sz="4" w:space="0"/>
            </w:tcBorders>
          </w:tcPr>
          <w:p w:rsidRPr="008E233A" w:rsidR="00A8284A" w:rsidP="000C6014" w:rsidRDefault="00A8284A" w14:paraId="1D14A989" w14:textId="77777777">
            <w:pPr>
              <w:widowControl/>
              <w:spacing w:after="0" w:line="240" w:lineRule="auto"/>
              <w:rPr>
                <w:rFonts w:eastAsia="Times New Roman"/>
              </w:rPr>
            </w:pPr>
            <w:r w:rsidRPr="008E233A">
              <w:rPr>
                <w:rFonts w:eastAsia="Times New Roman"/>
              </w:rPr>
              <w:t>Iesniegšanas pamatojums</w:t>
            </w:r>
          </w:p>
        </w:tc>
        <w:tc>
          <w:tcPr>
            <w:tcW w:w="6684" w:type="dxa"/>
            <w:tcBorders>
              <w:top w:val="single" w:color="auto" w:sz="4" w:space="0"/>
              <w:bottom w:val="single" w:color="auto" w:sz="4" w:space="0"/>
              <w:right w:val="single" w:color="auto" w:sz="4" w:space="0"/>
            </w:tcBorders>
          </w:tcPr>
          <w:p w:rsidRPr="008E233A" w:rsidR="00A8284A" w:rsidP="000C6014" w:rsidRDefault="00A8284A" w14:paraId="3CB89CB9" w14:textId="77777777">
            <w:pPr>
              <w:spacing w:after="0" w:line="240" w:lineRule="auto"/>
              <w:ind w:right="35"/>
              <w:jc w:val="both"/>
              <w:rPr>
                <w:bCs/>
              </w:rPr>
            </w:pPr>
            <w:r w:rsidRPr="008E233A">
              <w:rPr>
                <w:bCs/>
              </w:rPr>
              <w:t>Ministru kabineta 2016.</w:t>
            </w:r>
            <w:r>
              <w:rPr>
                <w:bCs/>
              </w:rPr>
              <w:t xml:space="preserve"> </w:t>
            </w:r>
            <w:r w:rsidRPr="008E233A">
              <w:rPr>
                <w:bCs/>
              </w:rPr>
              <w:t>gada 20.</w:t>
            </w:r>
            <w:r>
              <w:rPr>
                <w:bCs/>
              </w:rPr>
              <w:t xml:space="preserve"> </w:t>
            </w:r>
            <w:r w:rsidRPr="008E233A">
              <w:rPr>
                <w:bCs/>
              </w:rPr>
              <w:t xml:space="preserve">decembra sēdes </w:t>
            </w:r>
            <w:proofErr w:type="spellStart"/>
            <w:r w:rsidRPr="008E233A">
              <w:rPr>
                <w:bCs/>
              </w:rPr>
              <w:t>protokollēmuma</w:t>
            </w:r>
            <w:proofErr w:type="spellEnd"/>
            <w:r w:rsidRPr="008E233A">
              <w:rPr>
                <w:bCs/>
              </w:rPr>
              <w:t xml:space="preserve"> (prot. Nr.69, 82.§) 3.punkts </w:t>
            </w:r>
            <w:r w:rsidRPr="008E233A">
              <w:t>(Valsts kancelejas uzdevums 2016-REZ-779) un 8.punkts (Valsts kancelejas uzdevums 2016-REZ-783</w:t>
            </w:r>
            <w:r>
              <w:t>).</w:t>
            </w:r>
          </w:p>
        </w:tc>
      </w:tr>
      <w:tr w:rsidRPr="008E233A" w:rsidR="00A8284A" w:rsidTr="00A8284A" w14:paraId="49024ABA" w14:textId="77777777">
        <w:tc>
          <w:tcPr>
            <w:tcW w:w="441" w:type="dxa"/>
            <w:tcBorders>
              <w:top w:val="single" w:color="auto" w:sz="4" w:space="0"/>
            </w:tcBorders>
          </w:tcPr>
          <w:p w:rsidRPr="008E233A" w:rsidR="00A8284A" w:rsidP="000C6014" w:rsidRDefault="00A8284A" w14:paraId="5C2C707A" w14:textId="77777777">
            <w:pPr>
              <w:widowControl/>
              <w:spacing w:after="0" w:line="240" w:lineRule="auto"/>
              <w:rPr>
                <w:rFonts w:eastAsia="Times New Roman"/>
              </w:rPr>
            </w:pPr>
            <w:r w:rsidRPr="008E233A">
              <w:rPr>
                <w:rFonts w:eastAsia="Times New Roman"/>
              </w:rPr>
              <w:t>2.</w:t>
            </w:r>
          </w:p>
        </w:tc>
        <w:tc>
          <w:tcPr>
            <w:tcW w:w="2366" w:type="dxa"/>
            <w:tcBorders>
              <w:top w:val="single" w:color="auto" w:sz="4" w:space="0"/>
            </w:tcBorders>
          </w:tcPr>
          <w:p w:rsidRPr="008E233A" w:rsidR="00A8284A" w:rsidP="000C6014" w:rsidRDefault="00A8284A" w14:paraId="2FE3DB4D" w14:textId="77777777">
            <w:pPr>
              <w:widowControl/>
              <w:spacing w:after="0" w:line="240" w:lineRule="auto"/>
              <w:rPr>
                <w:rFonts w:eastAsia="Times New Roman"/>
              </w:rPr>
            </w:pPr>
            <w:r w:rsidRPr="008E233A">
              <w:rPr>
                <w:rFonts w:eastAsia="Times New Roman"/>
              </w:rPr>
              <w:t>Valsts sekretāru sanāksmes datums un numurs</w:t>
            </w:r>
          </w:p>
        </w:tc>
        <w:tc>
          <w:tcPr>
            <w:tcW w:w="6684" w:type="dxa"/>
            <w:tcBorders>
              <w:top w:val="single" w:color="auto" w:sz="4" w:space="0"/>
            </w:tcBorders>
          </w:tcPr>
          <w:p w:rsidRPr="008E233A" w:rsidR="00A8284A" w:rsidP="000C6014" w:rsidRDefault="00A8284A" w14:paraId="5360F0CA" w14:textId="77777777">
            <w:pPr>
              <w:widowControl/>
              <w:spacing w:after="0" w:line="240" w:lineRule="auto"/>
              <w:jc w:val="both"/>
              <w:rPr>
                <w:rFonts w:eastAsia="Times New Roman"/>
              </w:rPr>
            </w:pPr>
            <w:r w:rsidRPr="008E233A">
              <w:rPr>
                <w:rFonts w:eastAsia="Times New Roman"/>
              </w:rPr>
              <w:t xml:space="preserve">Saskaņā  ar Ministru kabineta 2009.gada 7.aprīļa noteikumu Nr.300 „Ministru kabineta kārtības rullis” 73.1.apakšpunktu Ministru kabineta sēdes </w:t>
            </w:r>
            <w:proofErr w:type="spellStart"/>
            <w:r w:rsidRPr="008E233A">
              <w:rPr>
                <w:rFonts w:eastAsia="Times New Roman"/>
              </w:rPr>
              <w:t>protokollēmuma</w:t>
            </w:r>
            <w:proofErr w:type="spellEnd"/>
            <w:r w:rsidRPr="008E233A">
              <w:rPr>
                <w:rFonts w:eastAsia="Times New Roman"/>
              </w:rPr>
              <w:t xml:space="preserve"> projektu par Ministru kabineta sēdes </w:t>
            </w:r>
            <w:proofErr w:type="spellStart"/>
            <w:r w:rsidRPr="008E233A">
              <w:rPr>
                <w:rFonts w:eastAsia="Times New Roman"/>
              </w:rPr>
              <w:t>protokollēmumā</w:t>
            </w:r>
            <w:proofErr w:type="spellEnd"/>
            <w:r w:rsidRPr="008E233A">
              <w:rPr>
                <w:rFonts w:eastAsia="Times New Roman"/>
              </w:rPr>
              <w:t xml:space="preserve"> ministrijai vai citai institūcijai dotā uzdevuma izpildi izsludināt Valsts sekretāru sanāksmē nav nepieciešams.</w:t>
            </w:r>
          </w:p>
        </w:tc>
      </w:tr>
      <w:tr w:rsidRPr="008E233A" w:rsidR="00A8284A" w:rsidTr="00A8284A" w14:paraId="3A0A7403" w14:textId="77777777">
        <w:tc>
          <w:tcPr>
            <w:tcW w:w="441" w:type="dxa"/>
          </w:tcPr>
          <w:p w:rsidRPr="008E233A" w:rsidR="00A8284A" w:rsidP="000C6014" w:rsidRDefault="00A8284A" w14:paraId="77F99723" w14:textId="77777777">
            <w:pPr>
              <w:widowControl/>
              <w:spacing w:after="0" w:line="240" w:lineRule="auto"/>
              <w:rPr>
                <w:rFonts w:eastAsia="Times New Roman"/>
              </w:rPr>
            </w:pPr>
            <w:r w:rsidRPr="008E233A">
              <w:rPr>
                <w:rFonts w:eastAsia="Times New Roman"/>
              </w:rPr>
              <w:t>3.</w:t>
            </w:r>
          </w:p>
        </w:tc>
        <w:tc>
          <w:tcPr>
            <w:tcW w:w="2366" w:type="dxa"/>
          </w:tcPr>
          <w:p w:rsidR="00A8284A" w:rsidP="000C6014" w:rsidRDefault="00A8284A" w14:paraId="3D280430" w14:textId="77777777">
            <w:pPr>
              <w:widowControl/>
              <w:spacing w:after="0" w:line="240" w:lineRule="auto"/>
              <w:rPr>
                <w:rFonts w:eastAsia="Times New Roman"/>
              </w:rPr>
            </w:pPr>
            <w:r w:rsidRPr="008E233A">
              <w:rPr>
                <w:rFonts w:eastAsia="Times New Roman"/>
              </w:rPr>
              <w:t>Informācija par saskaņojumiem</w:t>
            </w:r>
          </w:p>
          <w:p w:rsidR="00A8284A" w:rsidP="000C6014" w:rsidRDefault="00A8284A" w14:paraId="4335839F" w14:textId="77777777">
            <w:pPr>
              <w:rPr>
                <w:rFonts w:eastAsia="Times New Roman"/>
              </w:rPr>
            </w:pPr>
          </w:p>
          <w:p w:rsidRPr="00BF2CEF" w:rsidR="00A8284A" w:rsidP="000C6014" w:rsidRDefault="00A8284A" w14:paraId="770750F6" w14:textId="77777777">
            <w:pPr>
              <w:rPr>
                <w:rFonts w:eastAsia="Times New Roman"/>
              </w:rPr>
            </w:pPr>
          </w:p>
        </w:tc>
        <w:tc>
          <w:tcPr>
            <w:tcW w:w="6684" w:type="dxa"/>
          </w:tcPr>
          <w:p w:rsidR="00A8284A" w:rsidP="000C6014" w:rsidRDefault="00A8284A" w14:paraId="6EB9E447" w14:textId="77777777">
            <w:pPr>
              <w:spacing w:after="0" w:line="240" w:lineRule="auto"/>
              <w:jc w:val="both"/>
              <w:rPr>
                <w:rFonts w:eastAsia="Times New Roman"/>
              </w:rPr>
            </w:pPr>
            <w:r>
              <w:rPr>
                <w:rFonts w:eastAsia="Times New Roman"/>
              </w:rPr>
              <w:t>Finanšu ministrija, Tieslietu ministrija, Vides aizsardzības un reģionālās attīstības ministrija saskaņoja projektu bez iebildumiem.</w:t>
            </w:r>
          </w:p>
          <w:p w:rsidRPr="008E233A" w:rsidR="00A8284A" w:rsidP="000C6014" w:rsidRDefault="00A8284A" w14:paraId="6C775BD2" w14:textId="77777777">
            <w:pPr>
              <w:spacing w:after="0" w:line="240" w:lineRule="auto"/>
              <w:jc w:val="both"/>
              <w:rPr>
                <w:rFonts w:eastAsia="Times New Roman"/>
              </w:rPr>
            </w:pPr>
            <w:r>
              <w:rPr>
                <w:rFonts w:eastAsia="Times New Roman"/>
              </w:rPr>
              <w:t>Latvijas Pašvaldību savienības iebildumi par Projektu nav ņemti vērā.</w:t>
            </w:r>
          </w:p>
        </w:tc>
      </w:tr>
      <w:tr w:rsidRPr="008E233A" w:rsidR="00A8284A" w:rsidTr="00A8284A" w14:paraId="062232D5" w14:textId="77777777">
        <w:tc>
          <w:tcPr>
            <w:tcW w:w="441" w:type="dxa"/>
          </w:tcPr>
          <w:p w:rsidRPr="008E233A" w:rsidR="00A8284A" w:rsidP="000C6014" w:rsidRDefault="00A8284A" w14:paraId="3E116025" w14:textId="77777777">
            <w:pPr>
              <w:widowControl/>
              <w:spacing w:after="0" w:line="240" w:lineRule="auto"/>
              <w:rPr>
                <w:rFonts w:eastAsia="Times New Roman"/>
              </w:rPr>
            </w:pPr>
            <w:r w:rsidRPr="008E233A">
              <w:rPr>
                <w:rFonts w:eastAsia="Times New Roman"/>
              </w:rPr>
              <w:t>4.</w:t>
            </w:r>
          </w:p>
        </w:tc>
        <w:tc>
          <w:tcPr>
            <w:tcW w:w="2366" w:type="dxa"/>
          </w:tcPr>
          <w:p w:rsidRPr="008E233A" w:rsidR="00A8284A" w:rsidP="000C6014" w:rsidRDefault="00A8284A" w14:paraId="3BA2491A" w14:textId="77777777">
            <w:pPr>
              <w:widowControl/>
              <w:spacing w:after="0" w:line="240" w:lineRule="auto"/>
              <w:contextualSpacing/>
              <w:rPr>
                <w:rFonts w:eastAsia="Times New Roman"/>
              </w:rPr>
            </w:pPr>
            <w:r w:rsidRPr="008E233A">
              <w:rPr>
                <w:rFonts w:eastAsia="Times New Roman"/>
              </w:rPr>
              <w:t xml:space="preserve">Ziņas par saskaņojumu ar </w:t>
            </w:r>
            <w:r w:rsidRPr="008E233A">
              <w:rPr>
                <w:rFonts w:eastAsia="Times New Roman"/>
              </w:rPr>
              <w:lastRenderedPageBreak/>
              <w:t>Eiropas Savienības institūcijām</w:t>
            </w:r>
          </w:p>
        </w:tc>
        <w:tc>
          <w:tcPr>
            <w:tcW w:w="6684" w:type="dxa"/>
          </w:tcPr>
          <w:p w:rsidRPr="008E233A" w:rsidR="00A8284A" w:rsidP="000C6014" w:rsidRDefault="00A8284A" w14:paraId="5BDB463B" w14:textId="77777777">
            <w:pPr>
              <w:widowControl/>
              <w:spacing w:after="0" w:line="240" w:lineRule="auto"/>
              <w:jc w:val="both"/>
              <w:rPr>
                <w:rFonts w:eastAsia="Times New Roman"/>
                <w:i/>
                <w:iCs/>
              </w:rPr>
            </w:pPr>
            <w:r w:rsidRPr="008E233A">
              <w:rPr>
                <w:rFonts w:eastAsia="Times New Roman"/>
              </w:rPr>
              <w:lastRenderedPageBreak/>
              <w:t>Nav attiecināms.</w:t>
            </w:r>
          </w:p>
        </w:tc>
      </w:tr>
      <w:tr w:rsidRPr="008E233A" w:rsidR="00A8284A" w:rsidTr="00A8284A" w14:paraId="3A80943B" w14:textId="77777777">
        <w:tc>
          <w:tcPr>
            <w:tcW w:w="441" w:type="dxa"/>
          </w:tcPr>
          <w:p w:rsidRPr="008E233A" w:rsidR="00A8284A" w:rsidP="000C6014" w:rsidRDefault="00A8284A" w14:paraId="6904D058" w14:textId="77777777">
            <w:pPr>
              <w:widowControl/>
              <w:spacing w:after="0" w:line="240" w:lineRule="auto"/>
              <w:rPr>
                <w:rFonts w:eastAsia="Times New Roman"/>
              </w:rPr>
            </w:pPr>
            <w:r w:rsidRPr="008E233A">
              <w:rPr>
                <w:rFonts w:eastAsia="Times New Roman"/>
              </w:rPr>
              <w:t>5.</w:t>
            </w:r>
          </w:p>
        </w:tc>
        <w:tc>
          <w:tcPr>
            <w:tcW w:w="2366" w:type="dxa"/>
          </w:tcPr>
          <w:p w:rsidRPr="008E233A" w:rsidR="00A8284A" w:rsidP="000C6014" w:rsidRDefault="00A8284A" w14:paraId="78B9BE4B" w14:textId="77777777">
            <w:pPr>
              <w:widowControl/>
              <w:spacing w:after="0" w:line="240" w:lineRule="auto"/>
              <w:rPr>
                <w:rFonts w:eastAsia="Times New Roman"/>
              </w:rPr>
            </w:pPr>
            <w:r w:rsidRPr="008E233A">
              <w:rPr>
                <w:rFonts w:eastAsia="Times New Roman"/>
              </w:rPr>
              <w:t>Politikas joma</w:t>
            </w:r>
          </w:p>
        </w:tc>
        <w:tc>
          <w:tcPr>
            <w:tcW w:w="6684" w:type="dxa"/>
          </w:tcPr>
          <w:p w:rsidRPr="008E233A" w:rsidR="00A8284A" w:rsidP="000C6014" w:rsidRDefault="00A8284A" w14:paraId="08C64CE5" w14:textId="77777777">
            <w:pPr>
              <w:widowControl/>
              <w:spacing w:after="0" w:line="240" w:lineRule="auto"/>
              <w:jc w:val="both"/>
              <w:rPr>
                <w:rFonts w:eastAsia="Times New Roman"/>
                <w:i/>
              </w:rPr>
            </w:pPr>
            <w:r w:rsidRPr="008E233A">
              <w:rPr>
                <w:rFonts w:eastAsia="Times New Roman"/>
              </w:rPr>
              <w:t>Transporta un sakaru politika.</w:t>
            </w:r>
          </w:p>
        </w:tc>
      </w:tr>
      <w:tr w:rsidRPr="008E233A" w:rsidR="00A8284A" w:rsidTr="00A8284A" w14:paraId="4A937FFF" w14:textId="77777777">
        <w:tc>
          <w:tcPr>
            <w:tcW w:w="441" w:type="dxa"/>
          </w:tcPr>
          <w:p w:rsidRPr="008E233A" w:rsidR="00A8284A" w:rsidP="000C6014" w:rsidRDefault="00A8284A" w14:paraId="71C36742" w14:textId="77777777">
            <w:pPr>
              <w:widowControl/>
              <w:spacing w:after="0" w:line="240" w:lineRule="auto"/>
              <w:rPr>
                <w:rFonts w:eastAsia="Times New Roman"/>
              </w:rPr>
            </w:pPr>
            <w:r w:rsidRPr="008E233A">
              <w:rPr>
                <w:rFonts w:eastAsia="Times New Roman"/>
              </w:rPr>
              <w:t>6.</w:t>
            </w:r>
          </w:p>
        </w:tc>
        <w:tc>
          <w:tcPr>
            <w:tcW w:w="2366" w:type="dxa"/>
          </w:tcPr>
          <w:p w:rsidRPr="008E233A" w:rsidR="00A8284A" w:rsidP="000C6014" w:rsidRDefault="00A8284A" w14:paraId="705D4848" w14:textId="77777777">
            <w:pPr>
              <w:widowControl/>
              <w:spacing w:after="0" w:line="240" w:lineRule="auto"/>
              <w:rPr>
                <w:rFonts w:eastAsia="Times New Roman"/>
              </w:rPr>
            </w:pPr>
            <w:r w:rsidRPr="008E233A">
              <w:rPr>
                <w:rFonts w:eastAsia="Times New Roman"/>
              </w:rPr>
              <w:t>Atbildīgā amatpersona</w:t>
            </w:r>
          </w:p>
        </w:tc>
        <w:tc>
          <w:tcPr>
            <w:tcW w:w="6684" w:type="dxa"/>
          </w:tcPr>
          <w:p w:rsidRPr="008E233A" w:rsidR="00A8284A" w:rsidP="000C6014" w:rsidRDefault="00A8284A" w14:paraId="45AAF55B" w14:textId="77777777">
            <w:pPr>
              <w:widowControl/>
              <w:spacing w:after="0" w:line="240" w:lineRule="auto"/>
              <w:jc w:val="both"/>
              <w:rPr>
                <w:rFonts w:eastAsia="Times New Roman"/>
              </w:rPr>
            </w:pPr>
            <w:r w:rsidRPr="008E233A">
              <w:rPr>
                <w:rFonts w:eastAsia="Times New Roman"/>
              </w:rPr>
              <w:t>Satiksmes ministrijas Autosatiksmes departamenta direktors Tālivaldis Vectirāns.</w:t>
            </w:r>
          </w:p>
        </w:tc>
      </w:tr>
      <w:tr w:rsidRPr="008E233A" w:rsidR="00A8284A" w:rsidTr="00A8284A" w14:paraId="53BD2FCD" w14:textId="77777777">
        <w:tc>
          <w:tcPr>
            <w:tcW w:w="441" w:type="dxa"/>
            <w:tcBorders>
              <w:bottom w:val="single" w:color="auto" w:sz="4" w:space="0"/>
            </w:tcBorders>
          </w:tcPr>
          <w:p w:rsidRPr="008E233A" w:rsidR="00A8284A" w:rsidP="000C6014" w:rsidRDefault="00A8284A" w14:paraId="17A22E9C" w14:textId="77777777">
            <w:pPr>
              <w:widowControl/>
              <w:spacing w:after="0" w:line="240" w:lineRule="auto"/>
              <w:rPr>
                <w:rFonts w:eastAsia="Times New Roman"/>
              </w:rPr>
            </w:pPr>
            <w:r w:rsidRPr="008E233A">
              <w:rPr>
                <w:rFonts w:eastAsia="Times New Roman"/>
              </w:rPr>
              <w:t>7.</w:t>
            </w:r>
          </w:p>
        </w:tc>
        <w:tc>
          <w:tcPr>
            <w:tcW w:w="2366" w:type="dxa"/>
            <w:tcBorders>
              <w:bottom w:val="single" w:color="auto" w:sz="4" w:space="0"/>
            </w:tcBorders>
          </w:tcPr>
          <w:p w:rsidRPr="008E233A" w:rsidR="00A8284A" w:rsidP="000C6014" w:rsidRDefault="00A8284A" w14:paraId="43E2C966" w14:textId="77777777">
            <w:pPr>
              <w:widowControl/>
              <w:spacing w:after="0" w:line="240" w:lineRule="auto"/>
              <w:rPr>
                <w:rFonts w:eastAsia="Times New Roman"/>
              </w:rPr>
            </w:pPr>
            <w:r w:rsidRPr="008E233A">
              <w:rPr>
                <w:rFonts w:eastAsia="Times New Roman"/>
              </w:rPr>
              <w:t>Uzaicināmās personas</w:t>
            </w:r>
          </w:p>
        </w:tc>
        <w:tc>
          <w:tcPr>
            <w:tcW w:w="6684" w:type="dxa"/>
            <w:tcBorders>
              <w:bottom w:val="single" w:color="auto" w:sz="4" w:space="0"/>
            </w:tcBorders>
          </w:tcPr>
          <w:p w:rsidRPr="008E233A" w:rsidR="00A8284A" w:rsidP="000C6014" w:rsidRDefault="00A8284A" w14:paraId="6E5526C4" w14:textId="77777777">
            <w:pPr>
              <w:widowControl/>
              <w:spacing w:after="0" w:line="240" w:lineRule="auto"/>
              <w:jc w:val="both"/>
              <w:rPr>
                <w:rFonts w:eastAsia="Times New Roman"/>
              </w:rPr>
            </w:pPr>
            <w:r>
              <w:rPr>
                <w:rFonts w:eastAsia="Times New Roman"/>
              </w:rPr>
              <w:t>Nav.</w:t>
            </w:r>
          </w:p>
        </w:tc>
      </w:tr>
      <w:tr w:rsidRPr="008E233A" w:rsidR="00A8284A" w:rsidTr="00A8284A" w14:paraId="137274B1" w14:textId="77777777">
        <w:tc>
          <w:tcPr>
            <w:tcW w:w="441" w:type="dxa"/>
          </w:tcPr>
          <w:p w:rsidRPr="008E233A" w:rsidR="00A8284A" w:rsidP="000C6014" w:rsidRDefault="00A8284A" w14:paraId="1BDFBC64" w14:textId="77777777">
            <w:pPr>
              <w:widowControl/>
              <w:spacing w:after="0" w:line="240" w:lineRule="auto"/>
              <w:rPr>
                <w:rFonts w:eastAsia="Times New Roman"/>
              </w:rPr>
            </w:pPr>
            <w:r w:rsidRPr="008E233A">
              <w:rPr>
                <w:rFonts w:eastAsia="Times New Roman"/>
              </w:rPr>
              <w:t xml:space="preserve">8. </w:t>
            </w:r>
          </w:p>
        </w:tc>
        <w:tc>
          <w:tcPr>
            <w:tcW w:w="2366" w:type="dxa"/>
          </w:tcPr>
          <w:p w:rsidRPr="008E233A" w:rsidR="00A8284A" w:rsidP="000C6014" w:rsidRDefault="00A8284A" w14:paraId="714B17E6" w14:textId="77777777">
            <w:pPr>
              <w:widowControl/>
              <w:spacing w:after="0" w:line="240" w:lineRule="auto"/>
              <w:rPr>
                <w:rFonts w:eastAsia="Times New Roman"/>
              </w:rPr>
            </w:pPr>
            <w:r w:rsidRPr="008E233A">
              <w:rPr>
                <w:rFonts w:eastAsia="Times New Roman"/>
              </w:rPr>
              <w:t>Projekta ierobežotas pieejamības statuss</w:t>
            </w:r>
          </w:p>
        </w:tc>
        <w:tc>
          <w:tcPr>
            <w:tcW w:w="6684" w:type="dxa"/>
          </w:tcPr>
          <w:p w:rsidRPr="008E233A" w:rsidR="00A8284A" w:rsidP="000C6014" w:rsidRDefault="00A8284A" w14:paraId="68E0CF02" w14:textId="77777777">
            <w:pPr>
              <w:widowControl/>
              <w:spacing w:after="0" w:line="240" w:lineRule="auto"/>
              <w:jc w:val="both"/>
              <w:rPr>
                <w:rFonts w:eastAsia="Times New Roman"/>
              </w:rPr>
            </w:pPr>
            <w:r w:rsidRPr="008E233A">
              <w:rPr>
                <w:rFonts w:eastAsia="Times New Roman"/>
              </w:rPr>
              <w:t>Nav noteikts ierobežotas pieejamības statuss.</w:t>
            </w:r>
          </w:p>
        </w:tc>
      </w:tr>
      <w:tr w:rsidRPr="008E233A" w:rsidR="00A8284A" w:rsidTr="00A8284A" w14:paraId="55E1E7FD" w14:textId="77777777">
        <w:tc>
          <w:tcPr>
            <w:tcW w:w="441" w:type="dxa"/>
          </w:tcPr>
          <w:p w:rsidRPr="008E233A" w:rsidR="00A8284A" w:rsidP="000C6014" w:rsidRDefault="00A8284A" w14:paraId="28F37289" w14:textId="77777777">
            <w:pPr>
              <w:widowControl/>
              <w:spacing w:after="0" w:line="240" w:lineRule="auto"/>
              <w:rPr>
                <w:rFonts w:eastAsia="Times New Roman"/>
              </w:rPr>
            </w:pPr>
            <w:r w:rsidRPr="008E233A">
              <w:rPr>
                <w:rFonts w:eastAsia="Times New Roman"/>
              </w:rPr>
              <w:t xml:space="preserve">9. </w:t>
            </w:r>
          </w:p>
        </w:tc>
        <w:tc>
          <w:tcPr>
            <w:tcW w:w="2366" w:type="dxa"/>
          </w:tcPr>
          <w:p w:rsidRPr="008E233A" w:rsidR="00A8284A" w:rsidP="000C6014" w:rsidRDefault="00A8284A" w14:paraId="1E7DA925" w14:textId="77777777">
            <w:pPr>
              <w:widowControl/>
              <w:spacing w:after="0" w:line="240" w:lineRule="auto"/>
              <w:rPr>
                <w:rFonts w:eastAsia="Times New Roman"/>
              </w:rPr>
            </w:pPr>
            <w:r w:rsidRPr="008E233A">
              <w:rPr>
                <w:rFonts w:eastAsia="Times New Roman"/>
              </w:rPr>
              <w:t>Cita informācija</w:t>
            </w:r>
          </w:p>
        </w:tc>
        <w:tc>
          <w:tcPr>
            <w:tcW w:w="6684" w:type="dxa"/>
          </w:tcPr>
          <w:p w:rsidRPr="001B33AD" w:rsidR="00A8284A" w:rsidP="000C6014" w:rsidRDefault="00A8284A" w14:paraId="55CEACD5" w14:textId="77777777">
            <w:pPr>
              <w:spacing w:after="0" w:line="240" w:lineRule="auto"/>
              <w:jc w:val="both"/>
              <w:rPr>
                <w:iCs/>
              </w:rPr>
            </w:pPr>
            <w:r w:rsidRPr="001B33AD">
              <w:rPr>
                <w:iCs/>
              </w:rPr>
              <w:t xml:space="preserve">1. Saskaņā ar Ministru kabineta 2016.gada 20.decembra sēdes </w:t>
            </w:r>
            <w:proofErr w:type="spellStart"/>
            <w:r w:rsidRPr="001B33AD">
              <w:rPr>
                <w:iCs/>
              </w:rPr>
              <w:t>protokollēmuma</w:t>
            </w:r>
            <w:proofErr w:type="spellEnd"/>
            <w:r w:rsidRPr="001B33AD">
              <w:rPr>
                <w:iCs/>
              </w:rPr>
              <w:t xml:space="preserve"> (prot. Nr.69,82.§) 3.punktu Satiksmes ministrijai bija uzdots līdz 2017.gada 31.decembrim iesniegt Ministru kabinetā informatīvo ziņojumu par valstī esošo ceļu tīkla </w:t>
            </w:r>
            <w:proofErr w:type="spellStart"/>
            <w:r w:rsidRPr="001B33AD">
              <w:rPr>
                <w:iCs/>
              </w:rPr>
              <w:t>izvērtējumu</w:t>
            </w:r>
            <w:proofErr w:type="spellEnd"/>
            <w:r w:rsidRPr="001B33AD">
              <w:rPr>
                <w:iCs/>
              </w:rPr>
              <w:t>, tostarp vērtējot esošā ceļu tīkla efektivitāti.</w:t>
            </w:r>
          </w:p>
          <w:p w:rsidRPr="001B33AD" w:rsidR="00A8284A" w:rsidP="000C6014" w:rsidRDefault="00A8284A" w14:paraId="74C950A6" w14:textId="77777777">
            <w:pPr>
              <w:spacing w:after="0" w:line="240" w:lineRule="auto"/>
              <w:jc w:val="both"/>
              <w:rPr>
                <w:iCs/>
              </w:rPr>
            </w:pPr>
            <w:r w:rsidRPr="001B33AD">
              <w:rPr>
                <w:iCs/>
              </w:rPr>
              <w:t xml:space="preserve">Saskaņā ar Ministru prezidenta 2018.gada 12.marta rezolūciju Nr.90/TA-1601/12789, TA-2506 (2017.) satiksmes ministram uzdots aktualizēt atbildes vēstules projektu Saeimas Tautsaimniecības, agrārās, vides un reģionālās politikas komisijai un informatīvo ziņojumu un iesniegt to izskatīšanai Ministru kabineta sēdē. </w:t>
            </w:r>
          </w:p>
          <w:p w:rsidRPr="001B33AD" w:rsidR="00A8284A" w:rsidP="000C6014" w:rsidRDefault="00A8284A" w14:paraId="6A27F85F" w14:textId="77777777">
            <w:pPr>
              <w:spacing w:after="0" w:line="240" w:lineRule="auto"/>
              <w:jc w:val="both"/>
              <w:rPr>
                <w:iCs/>
              </w:rPr>
            </w:pPr>
            <w:r w:rsidRPr="001B33AD">
              <w:rPr>
                <w:iCs/>
              </w:rPr>
              <w:t xml:space="preserve">Saskaņā ar Ministru prezidenta 2018.gada 23.augusta rezolūciju Nr.18/TA-2772 (2017), TA-2506 (2017),  TA-1601 (2017) satiksmes ministram uzdots aktualizēt informatīvo ziņojumu par esošo ceļu tīkla </w:t>
            </w:r>
            <w:proofErr w:type="spellStart"/>
            <w:r w:rsidRPr="001B33AD">
              <w:rPr>
                <w:iCs/>
              </w:rPr>
              <w:t>izvērtējumu</w:t>
            </w:r>
            <w:proofErr w:type="spellEnd"/>
            <w:r w:rsidRPr="001B33AD">
              <w:rPr>
                <w:iCs/>
              </w:rPr>
              <w:t xml:space="preserve"> (TA-2506 (2017)) un informatīvo ziņojumu par iespējamību piesaistīt papildu finansējumu ceļu uzturēšanai, pārbūvei un atjaunošanai papildus valsts budžetā paredzētajam finansējumam (TA-1601 (2017)).</w:t>
            </w:r>
          </w:p>
          <w:p w:rsidRPr="001B33AD" w:rsidR="00A8284A" w:rsidP="000C6014" w:rsidRDefault="00A8284A" w14:paraId="1A704F52" w14:textId="77777777">
            <w:pPr>
              <w:spacing w:after="0" w:line="240" w:lineRule="auto"/>
              <w:jc w:val="both"/>
              <w:rPr>
                <w:iCs/>
              </w:rPr>
            </w:pPr>
            <w:r w:rsidRPr="001B33AD">
              <w:rPr>
                <w:iCs/>
              </w:rPr>
              <w:t xml:space="preserve">Saskaņā ar Ministru prezidenta 2018.gada 5.novembra rezolūciju Nr.18/TA-1601/8173 (2017), TA-1601/8260 (2017) satiksmes ministram uzdots izvērtēt </w:t>
            </w:r>
            <w:proofErr w:type="spellStart"/>
            <w:r w:rsidRPr="001B33AD">
              <w:rPr>
                <w:iCs/>
              </w:rPr>
              <w:t>Pārresoru</w:t>
            </w:r>
            <w:proofErr w:type="spellEnd"/>
            <w:r w:rsidRPr="001B33AD">
              <w:rPr>
                <w:iCs/>
              </w:rPr>
              <w:t xml:space="preserve"> koordinācijas centra 2018.gada 18.oktobra vēstulē Nr.1.2-5/53 un Finanšu ministrijas 2018.gada 23.oktobra vēstulē Nr.3.2. – 16/2-9/5144 minēto, nepieciešamības gadījumā attiecīgi precizēt informatīvo ziņojumu, precizēto informatīvo ziņojumu saskaņot ar </w:t>
            </w:r>
            <w:proofErr w:type="spellStart"/>
            <w:r w:rsidRPr="001B33AD">
              <w:rPr>
                <w:iCs/>
              </w:rPr>
              <w:t>Pārresoru</w:t>
            </w:r>
            <w:proofErr w:type="spellEnd"/>
            <w:r w:rsidRPr="001B33AD">
              <w:rPr>
                <w:iCs/>
              </w:rPr>
              <w:t xml:space="preserve"> koordinācijas centru un Finanšu ministriju un iesniegt Valsts kancelejā.</w:t>
            </w:r>
          </w:p>
          <w:p w:rsidRPr="001B33AD" w:rsidR="00A8284A" w:rsidP="000C6014" w:rsidRDefault="00A8284A" w14:paraId="619FCB76" w14:textId="77777777">
            <w:pPr>
              <w:spacing w:after="0" w:line="240" w:lineRule="auto"/>
              <w:jc w:val="both"/>
              <w:rPr>
                <w:iCs/>
              </w:rPr>
            </w:pPr>
            <w:r w:rsidRPr="001B33AD">
              <w:rPr>
                <w:iCs/>
              </w:rPr>
              <w:t xml:space="preserve">Satiksmes ministrija ar 2017.gada 10.novembra vēstuli Nr.01-10/195 iesniedza Ministru kabinetā informatīvo ziņojumu par esošo ceļu tīkla </w:t>
            </w:r>
            <w:proofErr w:type="spellStart"/>
            <w:r w:rsidRPr="001B33AD">
              <w:rPr>
                <w:iCs/>
              </w:rPr>
              <w:t>izvērtējumu</w:t>
            </w:r>
            <w:proofErr w:type="spellEnd"/>
            <w:r w:rsidRPr="001B33AD">
              <w:rPr>
                <w:iCs/>
              </w:rPr>
              <w:t xml:space="preserve"> un ar 2018.gada 13.septembra vēstuli Nr.01-10/135 iesniedza Ministru kabinetā precizētu informatīvo ziņojumu par esošo ceļu tīkla </w:t>
            </w:r>
            <w:proofErr w:type="spellStart"/>
            <w:r w:rsidRPr="001B33AD">
              <w:rPr>
                <w:iCs/>
              </w:rPr>
              <w:t>izvērtējumu</w:t>
            </w:r>
            <w:proofErr w:type="spellEnd"/>
            <w:r w:rsidRPr="001B33AD">
              <w:rPr>
                <w:iCs/>
              </w:rPr>
              <w:t xml:space="preserve">, lūdzot to iekļaut izskatīšanai Ministru kabineta sēdē. Informatīvais ziņojums par esošo ceļu tīkla </w:t>
            </w:r>
            <w:proofErr w:type="spellStart"/>
            <w:r w:rsidRPr="001B33AD">
              <w:rPr>
                <w:iCs/>
              </w:rPr>
              <w:t>izvērtējumu</w:t>
            </w:r>
            <w:proofErr w:type="spellEnd"/>
            <w:r w:rsidRPr="001B33AD">
              <w:rPr>
                <w:iCs/>
              </w:rPr>
              <w:t xml:space="preserve"> Ministru kabineta sēdē līdz šim nav izskatīts.                              </w:t>
            </w:r>
          </w:p>
          <w:p w:rsidRPr="001B33AD" w:rsidR="00A8284A" w:rsidP="000C6014" w:rsidRDefault="00A8284A" w14:paraId="4A4D636E" w14:textId="40C0DCAC">
            <w:pPr>
              <w:spacing w:after="0" w:line="240" w:lineRule="auto"/>
              <w:jc w:val="both"/>
              <w:rPr>
                <w:iCs/>
              </w:rPr>
            </w:pPr>
            <w:r w:rsidRPr="001B33AD">
              <w:rPr>
                <w:iCs/>
              </w:rPr>
              <w:t xml:space="preserve">Tā kā Satiksmes ministrijas ar 2017.gada 10.novembra vēstuli Nr.01-10/195 iesniegtais informatīvais ziņojums par esošo ceļu tīkla </w:t>
            </w:r>
            <w:proofErr w:type="spellStart"/>
            <w:r w:rsidRPr="001B33AD">
              <w:rPr>
                <w:iCs/>
              </w:rPr>
              <w:t>izvērtējumu</w:t>
            </w:r>
            <w:proofErr w:type="spellEnd"/>
            <w:r w:rsidRPr="001B33AD">
              <w:rPr>
                <w:iCs/>
              </w:rPr>
              <w:t xml:space="preserve"> Ministru kabineta sēdē netika izskatīts, Satiksmes ministrija ar 2018.gada 12.jūnija vēstuli Nr.01-10/74 iesniedza izskatīšanai Ministru kabineta sēdē Ministru kabineta sēdes </w:t>
            </w:r>
            <w:proofErr w:type="spellStart"/>
            <w:r w:rsidRPr="001B33AD">
              <w:rPr>
                <w:iCs/>
              </w:rPr>
              <w:t>protokollēmuma</w:t>
            </w:r>
            <w:proofErr w:type="spellEnd"/>
            <w:r w:rsidRPr="001B33AD">
              <w:rPr>
                <w:iCs/>
              </w:rPr>
              <w:t xml:space="preserve"> projektu “Par Ministru kabineta 2016.gada 20.decembra sēdes </w:t>
            </w:r>
            <w:proofErr w:type="spellStart"/>
            <w:r w:rsidRPr="001B33AD">
              <w:rPr>
                <w:iCs/>
              </w:rPr>
              <w:t>protokollēmuma</w:t>
            </w:r>
            <w:proofErr w:type="spellEnd"/>
            <w:r w:rsidRPr="001B33AD">
              <w:rPr>
                <w:iCs/>
              </w:rPr>
              <w:t xml:space="preserve"> (prot.Nr.69, 82.§) “Informatīvais ziņojums par autoceļu finansēšanas modeli un Valsts autoceļu sakārtošanas programmu 2014.-2023.gadam un atbildes vēstule Saeimas Mandātu, ētikas un iesniegumu komisijai” 3.punktā dotā uzdevuma termiņa pagarināšanu” līdz 2019. gada 1. janvārim.</w:t>
            </w:r>
          </w:p>
          <w:p w:rsidRPr="001B33AD" w:rsidR="00A8284A" w:rsidP="000C6014" w:rsidRDefault="00A8284A" w14:paraId="15EC4C94" w14:textId="77777777">
            <w:pPr>
              <w:spacing w:after="0" w:line="240" w:lineRule="auto"/>
              <w:jc w:val="both"/>
              <w:rPr>
                <w:iCs/>
              </w:rPr>
            </w:pPr>
            <w:r w:rsidRPr="001B33AD">
              <w:rPr>
                <w:iCs/>
              </w:rPr>
              <w:lastRenderedPageBreak/>
              <w:t xml:space="preserve">Saskaņā ar Ministru prezidenta 2018. gada 26. jūnija  rezolūciju Nr. 18/TA-1132 (2018) Finanšu ministrei un </w:t>
            </w:r>
            <w:proofErr w:type="spellStart"/>
            <w:r w:rsidRPr="001B33AD">
              <w:rPr>
                <w:iCs/>
              </w:rPr>
              <w:t>Pārresoru</w:t>
            </w:r>
            <w:proofErr w:type="spellEnd"/>
            <w:r w:rsidRPr="001B33AD">
              <w:rPr>
                <w:iCs/>
              </w:rPr>
              <w:t xml:space="preserve"> koordinācijas centra vadītājam uzdots sniegt viedokli par Ministru kabineta sēdes </w:t>
            </w:r>
            <w:proofErr w:type="spellStart"/>
            <w:r w:rsidRPr="001B33AD">
              <w:rPr>
                <w:iCs/>
              </w:rPr>
              <w:t>protokollēmuma</w:t>
            </w:r>
            <w:proofErr w:type="spellEnd"/>
            <w:r w:rsidRPr="001B33AD">
              <w:rPr>
                <w:iCs/>
              </w:rPr>
              <w:t xml:space="preserve"> projektu par Ministru kabineta 2016.gada 20.decembra sēdes </w:t>
            </w:r>
            <w:proofErr w:type="spellStart"/>
            <w:r w:rsidRPr="001B33AD">
              <w:rPr>
                <w:iCs/>
              </w:rPr>
              <w:t>protokollēmuma</w:t>
            </w:r>
            <w:proofErr w:type="spellEnd"/>
            <w:r w:rsidRPr="001B33AD">
              <w:rPr>
                <w:iCs/>
              </w:rPr>
              <w:t xml:space="preserve"> (prot.Nr.69,82.§) 3.punktā dotā uzdevuma termiņa pagarināšanu līdz 2019.gada 1.janvārim.</w:t>
            </w:r>
          </w:p>
          <w:p w:rsidRPr="001B33AD" w:rsidR="00A8284A" w:rsidP="000C6014" w:rsidRDefault="00A8284A" w14:paraId="25428689" w14:textId="77777777">
            <w:pPr>
              <w:spacing w:after="0" w:line="240" w:lineRule="auto"/>
              <w:jc w:val="both"/>
              <w:rPr>
                <w:iCs/>
              </w:rPr>
            </w:pPr>
            <w:r w:rsidRPr="001B33AD">
              <w:rPr>
                <w:iCs/>
              </w:rPr>
              <w:t>Saskaņā ar Ministru prezidenta 2019.gada 26.februāra rezolūciju Nr.90/TA-1601/9443 (2017.), TA-2506/7399 (2017.), TA-2772/6524 (2017.), TA-1132 (2018.) satiksmes ministram uzdots izvērtēt un iesniegt Valsts kancelejā informāciju par informatīvo ziņojumu turpmāko virzību. Ja ziņojumi virzāmi izskatīšanai Ministru kabinetā, uzdots tos attiecīgi aktualizēt.</w:t>
            </w:r>
          </w:p>
          <w:p w:rsidRPr="001B33AD" w:rsidR="00A8284A" w:rsidP="000C6014" w:rsidRDefault="00A8284A" w14:paraId="042FF52A" w14:textId="77777777">
            <w:pPr>
              <w:spacing w:after="0" w:line="240" w:lineRule="auto"/>
              <w:jc w:val="both"/>
              <w:rPr>
                <w:iCs/>
              </w:rPr>
            </w:pPr>
            <w:r w:rsidRPr="001B33AD">
              <w:rPr>
                <w:iCs/>
              </w:rPr>
              <w:t xml:space="preserve">Lai veiktu valsts autoceļu pārvaldības formas maiņu, Satiksmes ministrija sadarbībā ar VAS “Latvijas Valsts ceļi” ir izstrādājusi kritērijus, lai identificētu optimālāko turpmāko stratēģiju, nosakot to, vai konkrētais valsts autoceļš ir saglabājams valsts īpašumā un uzturēšanā, vai arī tā īpašumtiesības un/vai uzturēšana ir nākotnē potenciāli nododama pašvaldībai. Autoceļu posmu pārņemšanas atlases kritēriji ir cieši saistīti ar pašvaldību administratīvajām robežām un sociālo iestāžu piederības statusu. </w:t>
            </w:r>
          </w:p>
          <w:p w:rsidRPr="001B33AD" w:rsidR="00A8284A" w:rsidP="000C6014" w:rsidRDefault="00A8284A" w14:paraId="3EDCF2FF" w14:textId="77777777">
            <w:pPr>
              <w:spacing w:after="0" w:line="240" w:lineRule="auto"/>
              <w:jc w:val="both"/>
              <w:rPr>
                <w:iCs/>
              </w:rPr>
            </w:pPr>
            <w:r w:rsidRPr="001B33AD">
              <w:rPr>
                <w:iCs/>
              </w:rPr>
              <w:t xml:space="preserve">Latvijas Republikas Saeima 2019.gada 21.marta sēdē nolēma turpināt 1998.gadā iesākto teritoriālo reformu un līdz 2021.gadam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  Ņemot vērā minēto, Satiksmes ministrijas 2018.gada 13.septembrī iesniegtais precizētais informatīvais ziņojums ir zaudējis aktualitāti. </w:t>
            </w:r>
          </w:p>
          <w:p w:rsidRPr="001B33AD" w:rsidR="00A8284A" w:rsidP="000C6014" w:rsidRDefault="00A8284A" w14:paraId="3D62F6F4" w14:textId="77777777">
            <w:pPr>
              <w:spacing w:after="0" w:line="240" w:lineRule="auto"/>
              <w:jc w:val="both"/>
              <w:rPr>
                <w:iCs/>
              </w:rPr>
            </w:pPr>
            <w:r w:rsidRPr="001B33AD">
              <w:rPr>
                <w:iCs/>
              </w:rPr>
              <w:t xml:space="preserve">Ņemot vērā minēto, Satiksmes ministrija ir sagatavojusi </w:t>
            </w:r>
            <w:proofErr w:type="spellStart"/>
            <w:r w:rsidRPr="001B33AD">
              <w:rPr>
                <w:iCs/>
              </w:rPr>
              <w:t>protokollēmuma</w:t>
            </w:r>
            <w:proofErr w:type="spellEnd"/>
            <w:r w:rsidRPr="001B33AD">
              <w:rPr>
                <w:iCs/>
              </w:rPr>
              <w:t xml:space="preserve"> projektu, kas paredz atzīt Ministru kabineta 2016.gada 20.decembra sēdes </w:t>
            </w:r>
            <w:proofErr w:type="spellStart"/>
            <w:r w:rsidRPr="001B33AD">
              <w:rPr>
                <w:iCs/>
              </w:rPr>
              <w:t>protokollēmuma</w:t>
            </w:r>
            <w:proofErr w:type="spellEnd"/>
            <w:r w:rsidRPr="001B33AD">
              <w:rPr>
                <w:iCs/>
              </w:rPr>
              <w:t xml:space="preserve"> (prot. Nr.69, 82.§) 3.punktā doto uzdevumu par aktualitāti zaudējušu.</w:t>
            </w:r>
          </w:p>
          <w:p w:rsidRPr="001B33AD" w:rsidR="00A8284A" w:rsidP="000C6014" w:rsidRDefault="00A8284A" w14:paraId="18A8D213" w14:textId="77777777">
            <w:pPr>
              <w:spacing w:after="0" w:line="240" w:lineRule="auto"/>
              <w:jc w:val="both"/>
              <w:rPr>
                <w:iCs/>
              </w:rPr>
            </w:pPr>
          </w:p>
          <w:p w:rsidRPr="001B33AD" w:rsidR="00A8284A" w:rsidP="000C6014" w:rsidRDefault="00A8284A" w14:paraId="1F8FD7CE" w14:textId="77777777">
            <w:pPr>
              <w:spacing w:after="0" w:line="240" w:lineRule="auto"/>
              <w:jc w:val="both"/>
              <w:rPr>
                <w:iCs/>
              </w:rPr>
            </w:pPr>
            <w:r w:rsidRPr="001B33AD">
              <w:rPr>
                <w:iCs/>
              </w:rPr>
              <w:t xml:space="preserve">2.  Saskaņā ar Ministru kabineta 2016.gada 20.decembra sēdes  </w:t>
            </w:r>
            <w:proofErr w:type="spellStart"/>
            <w:r w:rsidRPr="001B33AD">
              <w:rPr>
                <w:iCs/>
              </w:rPr>
              <w:t>protokollēmuma</w:t>
            </w:r>
            <w:proofErr w:type="spellEnd"/>
            <w:r w:rsidRPr="001B33AD">
              <w:rPr>
                <w:iCs/>
              </w:rPr>
              <w:t xml:space="preserve"> (prot. Nr.69, 82.§) 8. apakšpunktu Satiksmes ministrijai sadarbībā ar Finanšu ministriju bija uzdots līdz 2017.gada 31.augustam sagatavot un iesniegt izskatīšanai Ministru kabinetā informatīvo ziņojumu par iespējamību piesaistīt papildu finansējumu ceļu uzturēšanai, pārbūvei un atjaunošanai papildus valsts budžetā paredzētajam finansējumam (piemēram, izmantojot publiskās un privātās partnerības finansēšanas modeli), ievērojot fiskālās disciplīnas nosacījumus.</w:t>
            </w:r>
          </w:p>
          <w:p w:rsidRPr="001B33AD" w:rsidR="00A8284A" w:rsidP="000C6014" w:rsidRDefault="00A8284A" w14:paraId="6C56B673" w14:textId="77777777">
            <w:pPr>
              <w:spacing w:after="0" w:line="240" w:lineRule="auto"/>
              <w:jc w:val="both"/>
              <w:rPr>
                <w:iCs/>
              </w:rPr>
            </w:pPr>
            <w:r w:rsidRPr="001B33AD">
              <w:rPr>
                <w:iCs/>
              </w:rPr>
              <w:t>Saskaņā ar Ministru prezidenta 2017.gada 27.jūlija rezolūciju Nr. 90/TA-1601 satiksmes ministram uzdots sagatavot atbildes projektu uz Saeimas Tautsaimniecības, agrārās, vides un reģionālās politikas komisijas 2017.gada 21.jūlija vēstuli Nr.142.9/8-25-12/17, kurā Ministru kabinetam lūgts iesniegt savu redzējumu par Valsts autoceļu fonda kā speciālā budžeta atjaunošanu, paredzot finansējuma iezīmēšanu tā darbības nodrošināšanai.</w:t>
            </w:r>
          </w:p>
          <w:p w:rsidRPr="001B33AD" w:rsidR="00A8284A" w:rsidP="000C6014" w:rsidRDefault="00A8284A" w14:paraId="55A257F5" w14:textId="77777777">
            <w:pPr>
              <w:spacing w:after="0" w:line="240" w:lineRule="auto"/>
              <w:jc w:val="both"/>
              <w:rPr>
                <w:iCs/>
              </w:rPr>
            </w:pPr>
            <w:r w:rsidRPr="001B33AD">
              <w:rPr>
                <w:iCs/>
              </w:rPr>
              <w:t xml:space="preserve">Saskaņā ar Ministru prezidenta 2018. gada 12.marta rezolūciju Nr. 90/TA-1601/12789, TA-2506 (2017.) satiksmes ministram uzdots </w:t>
            </w:r>
            <w:r w:rsidRPr="001B33AD">
              <w:rPr>
                <w:iCs/>
              </w:rPr>
              <w:lastRenderedPageBreak/>
              <w:t>aktualizēt atbildes vēstules projektu Saeimas Tautsaimniecības, agrārās, vides un reģionālās politikas komisijai un informatīvo ziņojumu un iesniegt to izskatīšanai Ministru kabineta sēdē.</w:t>
            </w:r>
          </w:p>
          <w:p w:rsidRPr="001B33AD" w:rsidR="00A8284A" w:rsidP="000C6014" w:rsidRDefault="00A8284A" w14:paraId="50152759" w14:textId="77777777">
            <w:pPr>
              <w:spacing w:after="0" w:line="240" w:lineRule="auto"/>
              <w:jc w:val="both"/>
              <w:rPr>
                <w:iCs/>
              </w:rPr>
            </w:pPr>
            <w:r w:rsidRPr="001B33AD">
              <w:rPr>
                <w:iCs/>
              </w:rPr>
              <w:t xml:space="preserve">Saskaņā ar Ministru prezidenta 2018.gada 23.augusta rezolūciju Nr.18/TA-2506 (2017), TA-2506 (2017), TA-1601 (2017) satiksmes ministram uzdots aktualizēt informatīvo ziņojumu par esošo ceļu tīkla </w:t>
            </w:r>
            <w:proofErr w:type="spellStart"/>
            <w:r w:rsidRPr="001B33AD">
              <w:rPr>
                <w:iCs/>
              </w:rPr>
              <w:t>izvērtējumu</w:t>
            </w:r>
            <w:proofErr w:type="spellEnd"/>
            <w:r w:rsidRPr="001B33AD">
              <w:rPr>
                <w:iCs/>
              </w:rPr>
              <w:t xml:space="preserve"> (TA-2506 (2017)) un informatīvo ziņojumu par iespējamību piesaistīt papildu finansējumu ceļu uzturēšanai, pārbūvei un atjaunošanai papildus valsts budžetā paredzētajam finansējumam (TA-1601 (2017)).</w:t>
            </w:r>
          </w:p>
          <w:p w:rsidRPr="001B33AD" w:rsidR="00A8284A" w:rsidP="000C6014" w:rsidRDefault="00A8284A" w14:paraId="569356E6" w14:textId="77777777">
            <w:pPr>
              <w:spacing w:after="0" w:line="240" w:lineRule="auto"/>
              <w:jc w:val="both"/>
              <w:rPr>
                <w:iCs/>
              </w:rPr>
            </w:pPr>
            <w:r w:rsidRPr="001B33AD">
              <w:rPr>
                <w:iCs/>
              </w:rPr>
              <w:t>Saskaņā ar Ministru prezidenta 2018.gada 23.augusta rezolūciju Nr.12/2017-UZD-13 Satiksmes ministrijai uzdots izstrādāt informatīvo ziņojumu par iespējamību piesaistīt papildu finansējumu ceļu uzturēšanai, pārbūvei un atjaunošanai papildus valsts budžetā paredzētajam finansējumam, ievērojot fiskālās disciplīnas nosacījumus.</w:t>
            </w:r>
          </w:p>
          <w:p w:rsidRPr="001B33AD" w:rsidR="00A8284A" w:rsidP="000C6014" w:rsidRDefault="00A8284A" w14:paraId="6D79A006" w14:textId="41DE90F8">
            <w:pPr>
              <w:spacing w:after="0" w:line="240" w:lineRule="auto"/>
              <w:jc w:val="both"/>
              <w:rPr>
                <w:iCs/>
              </w:rPr>
            </w:pPr>
            <w:r w:rsidRPr="001B33AD">
              <w:rPr>
                <w:iCs/>
              </w:rPr>
              <w:t xml:space="preserve">Saskaņā ar Ministru prezidenta 2018.gada 5.novembra rezolūciju Nr.18/TA-1601/8173 (2017), TA-1601/8260 (2017) satiksmes ministram uzdots izvērtēt </w:t>
            </w:r>
            <w:proofErr w:type="spellStart"/>
            <w:r w:rsidRPr="001B33AD">
              <w:rPr>
                <w:iCs/>
              </w:rPr>
              <w:t>Pārresoru</w:t>
            </w:r>
            <w:proofErr w:type="spellEnd"/>
            <w:r w:rsidRPr="001B33AD">
              <w:rPr>
                <w:iCs/>
              </w:rPr>
              <w:t xml:space="preserve"> koordinācijas centra 2018.gada 18.oktobra vēstulē Nr.1.2-5/53 un Finanšu ministrijas 2018.gada 23.oktobra vēstulē Nr.3.2.–16/2-9/5144 minēto, nepieciešamības gadījumā attiecīgi precizēt informatīvo ziņojumu, precizēto informatīvo ziņojumu saskaņot ar </w:t>
            </w:r>
            <w:proofErr w:type="spellStart"/>
            <w:r w:rsidRPr="001B33AD">
              <w:rPr>
                <w:iCs/>
              </w:rPr>
              <w:t>Pārresoru</w:t>
            </w:r>
            <w:proofErr w:type="spellEnd"/>
            <w:r w:rsidRPr="001B33AD">
              <w:rPr>
                <w:iCs/>
              </w:rPr>
              <w:t xml:space="preserve"> koordinācijas centru un Finanšu ministriju un iesniegt Valsts kancelejā.</w:t>
            </w:r>
          </w:p>
          <w:p w:rsidRPr="001B33AD" w:rsidR="00A8284A" w:rsidP="000C6014" w:rsidRDefault="00A8284A" w14:paraId="6DFD0AA7" w14:textId="77777777">
            <w:pPr>
              <w:spacing w:after="0" w:line="240" w:lineRule="auto"/>
              <w:jc w:val="both"/>
              <w:rPr>
                <w:iCs/>
              </w:rPr>
            </w:pPr>
            <w:r w:rsidRPr="001B33AD">
              <w:rPr>
                <w:iCs/>
              </w:rPr>
              <w:t>Satiksmes ministrija ar 2017.gada 9.novembra vēstuli Nr.01-10/194 iesniedza Ministru kabinetā Informatīvo ziņojumu par iespējamību piesaistīt papildu finansējumu ceļu uzturēšanai, pārbūvei un atjaunošanai papildus valsts budžetā paredzētajam finansējumam un ar 2018.gada 13.decembra vēstuli Nr.01-10/213 iesniedza Ministru kabinetā precizētu Informatīvo ziņojumu.  Informatīvais ziņojums Ministru kabineta sēdē līdz šim nav izskatīts.</w:t>
            </w:r>
          </w:p>
          <w:p w:rsidRPr="001B33AD" w:rsidR="00A8284A" w:rsidP="000C6014" w:rsidRDefault="00A8284A" w14:paraId="1F8E87E7" w14:textId="77777777">
            <w:pPr>
              <w:spacing w:after="0" w:line="240" w:lineRule="auto"/>
              <w:jc w:val="both"/>
              <w:rPr>
                <w:iCs/>
              </w:rPr>
            </w:pPr>
            <w:r w:rsidRPr="001B33AD">
              <w:rPr>
                <w:iCs/>
              </w:rPr>
              <w:t xml:space="preserve">Saskaņā ar Ministru prezidenta 2019.gada 26.februāra rezolūciju Nr.90/TA-1601/9443 (2017.), TA-2506/7399(2017.), TA-2772/6524(2017.), TA-1132 (2018.) satiksmes ministram uzdots izvērtēt un iesniegt Valsts kancelejā informāciju par informatīvo ziņojumu turpmāko virzību. Ja ziņojumi virzāmi izskatīšanai Ministru kabinetā, uzdots tos attiecīgi aktualizēt. </w:t>
            </w:r>
          </w:p>
          <w:p w:rsidR="00A8284A" w:rsidP="000C6014" w:rsidRDefault="00A8284A" w14:paraId="3A007DAA" w14:textId="77777777">
            <w:pPr>
              <w:spacing w:after="0" w:line="240" w:lineRule="auto"/>
              <w:jc w:val="both"/>
              <w:rPr>
                <w:iCs/>
              </w:rPr>
            </w:pPr>
            <w:r w:rsidRPr="001B33AD">
              <w:rPr>
                <w:iCs/>
              </w:rPr>
              <w:t>2019.gada 13.aprīlī stājās spēkā likums “Par valsts budžetu 2019. gadam”. Valsts budžeta programmas 23.00.00 “Valsts autoceļu fonds” finansējums 2019.gadā ir noteikts, provizoriski ir zināma arī 2020.-2022.gada Valsts budžeta programmas 23.00.00 “Valsts autoceļu fonds” ieņēmumu bāze, kas neparedz būtisku finansējuma palielināšanu, kā arī 2020.gadā beidzas autoceļu atjaunošanas Eiropas fondu līdzfinansējums. Līdz ar to papildu finansējuma piešķiršana autoceļu atjaunošanai un uzturēšanai papildus valsts budžeta piešķirtajam finansējumam nav paredzēta.</w:t>
            </w:r>
          </w:p>
          <w:p w:rsidRPr="001B33AD" w:rsidR="00A8284A" w:rsidP="000C6014" w:rsidRDefault="00A8284A" w14:paraId="3FE1A6F1" w14:textId="5D035F33">
            <w:pPr>
              <w:spacing w:after="0" w:line="240" w:lineRule="auto"/>
              <w:jc w:val="both"/>
              <w:rPr>
                <w:iCs/>
              </w:rPr>
            </w:pPr>
            <w:r w:rsidRPr="0048745A">
              <w:rPr>
                <w:iCs/>
              </w:rPr>
              <w:t xml:space="preserve">Pamatojoties uz </w:t>
            </w:r>
            <w:r w:rsidR="00CD253E">
              <w:rPr>
                <w:iCs/>
              </w:rPr>
              <w:t>Ministru prezidenta</w:t>
            </w:r>
            <w:r w:rsidRPr="0048745A">
              <w:rPr>
                <w:iCs/>
              </w:rPr>
              <w:t xml:space="preserve"> 2019. gada 19. jūnija rezolūciju Nr. 90/TA-1601/9443 (2017.),</w:t>
            </w:r>
            <w:r>
              <w:rPr>
                <w:iCs/>
              </w:rPr>
              <w:t xml:space="preserve"> </w:t>
            </w:r>
            <w:r w:rsidRPr="0048745A">
              <w:rPr>
                <w:iCs/>
              </w:rPr>
              <w:t>TA-2506/7399 (2017.),</w:t>
            </w:r>
            <w:r>
              <w:rPr>
                <w:iCs/>
              </w:rPr>
              <w:t xml:space="preserve"> </w:t>
            </w:r>
            <w:r w:rsidRPr="0048745A">
              <w:rPr>
                <w:iCs/>
              </w:rPr>
              <w:t>TA-2772/6524 (2017.),</w:t>
            </w:r>
            <w:r>
              <w:rPr>
                <w:iCs/>
              </w:rPr>
              <w:t xml:space="preserve"> </w:t>
            </w:r>
            <w:r w:rsidRPr="0048745A">
              <w:rPr>
                <w:iCs/>
              </w:rPr>
              <w:t>TA-1132 (2018.)</w:t>
            </w:r>
            <w:r>
              <w:rPr>
                <w:iCs/>
              </w:rPr>
              <w:t>, ņ</w:t>
            </w:r>
            <w:r w:rsidRPr="0048745A">
              <w:rPr>
                <w:iCs/>
              </w:rPr>
              <w:t>emot vērā, ka Satiksmes ministrija nav sniegusi priekšlikumus par j</w:t>
            </w:r>
            <w:r>
              <w:rPr>
                <w:iCs/>
              </w:rPr>
              <w:t xml:space="preserve">autājuma turpmāko virzību, </w:t>
            </w:r>
            <w:r w:rsidR="00CD253E">
              <w:rPr>
                <w:iCs/>
              </w:rPr>
              <w:t xml:space="preserve">Valsts kancelejai uzdots </w:t>
            </w:r>
            <w:r>
              <w:rPr>
                <w:iCs/>
              </w:rPr>
              <w:t xml:space="preserve">noņemt </w:t>
            </w:r>
            <w:r w:rsidRPr="00CD253E">
              <w:rPr>
                <w:iCs/>
              </w:rPr>
              <w:t>projekt</w:t>
            </w:r>
            <w:r w:rsidRPr="00CD253E" w:rsidR="00CD253E">
              <w:rPr>
                <w:iCs/>
              </w:rPr>
              <w:t>us</w:t>
            </w:r>
            <w:r w:rsidRPr="00CD253E">
              <w:rPr>
                <w:iCs/>
              </w:rPr>
              <w:t xml:space="preserve"> TA-1601 (2017.), TA-2506 (2017.), TA-2772 (2017.) un TA-1132 (2018.)  no </w:t>
            </w:r>
            <w:r w:rsidRPr="00CD253E">
              <w:rPr>
                <w:iCs/>
              </w:rPr>
              <w:lastRenderedPageBreak/>
              <w:t>kontroles.</w:t>
            </w:r>
            <w:r>
              <w:rPr>
                <w:iCs/>
              </w:rPr>
              <w:t xml:space="preserve"> </w:t>
            </w:r>
          </w:p>
          <w:p w:rsidRPr="001B33AD" w:rsidR="00A8284A" w:rsidP="000C6014" w:rsidRDefault="00A8284A" w14:paraId="4ECE50A1" w14:textId="77777777">
            <w:pPr>
              <w:spacing w:after="0" w:line="240" w:lineRule="auto"/>
              <w:jc w:val="both"/>
              <w:rPr>
                <w:iCs/>
              </w:rPr>
            </w:pPr>
            <w:r w:rsidRPr="001B33AD">
              <w:rPr>
                <w:iCs/>
              </w:rPr>
              <w:t xml:space="preserve">     Ņemot vērā iepriekš minēto, Satiksmes ministrija ir sagatavojusi </w:t>
            </w:r>
            <w:proofErr w:type="spellStart"/>
            <w:r w:rsidRPr="001B33AD">
              <w:rPr>
                <w:iCs/>
              </w:rPr>
              <w:t>protokollēmuma</w:t>
            </w:r>
            <w:proofErr w:type="spellEnd"/>
            <w:r w:rsidRPr="001B33AD">
              <w:rPr>
                <w:iCs/>
              </w:rPr>
              <w:t xml:space="preserve"> projektu, kas paredz atzīt Ministru kabineta 2016.gada 20.decembra sēdes </w:t>
            </w:r>
            <w:proofErr w:type="spellStart"/>
            <w:r w:rsidRPr="001B33AD">
              <w:rPr>
                <w:iCs/>
              </w:rPr>
              <w:t>protokollēmuma</w:t>
            </w:r>
            <w:proofErr w:type="spellEnd"/>
            <w:r w:rsidRPr="001B33AD">
              <w:rPr>
                <w:iCs/>
              </w:rPr>
              <w:t xml:space="preserve"> (prot. Nr.69, 82.§) 8.apakšpunktā doto uzdevumu par aktualitāti zaudējušu. </w:t>
            </w:r>
          </w:p>
          <w:p w:rsidRPr="008E233A" w:rsidR="00A8284A" w:rsidP="000C6014" w:rsidRDefault="00A8284A" w14:paraId="5BF80B9A" w14:textId="77777777">
            <w:pPr>
              <w:spacing w:after="0" w:line="240" w:lineRule="auto"/>
              <w:jc w:val="both"/>
            </w:pPr>
          </w:p>
        </w:tc>
      </w:tr>
    </w:tbl>
    <w:p w:rsidRPr="008E233A" w:rsidR="00A8284A" w:rsidP="00A8284A" w:rsidRDefault="00A8284A" w14:paraId="568DB4F8" w14:textId="77777777">
      <w:pPr>
        <w:widowControl/>
        <w:spacing w:after="0" w:line="240" w:lineRule="auto"/>
        <w:ind w:firstLine="567"/>
        <w:jc w:val="both"/>
        <w:rPr>
          <w:rFonts w:eastAsia="Times New Roman"/>
          <w:color w:val="0070C0"/>
        </w:rPr>
      </w:pPr>
    </w:p>
    <w:p w:rsidR="00A8284A" w:rsidP="00A8284A" w:rsidRDefault="00A8284A" w14:paraId="156462B1" w14:textId="77777777">
      <w:pPr>
        <w:widowControl/>
        <w:spacing w:before="75" w:after="75" w:line="240" w:lineRule="auto"/>
        <w:ind w:left="1134" w:hanging="1134"/>
        <w:jc w:val="both"/>
        <w:rPr>
          <w:rFonts w:eastAsia="Times New Roman"/>
        </w:rPr>
      </w:pPr>
    </w:p>
    <w:p w:rsidR="00A8284A" w:rsidP="00A8284A" w:rsidRDefault="00A8284A" w14:paraId="472AD68C" w14:textId="77777777">
      <w:pPr>
        <w:widowControl/>
        <w:spacing w:before="75" w:after="75" w:line="240" w:lineRule="auto"/>
        <w:ind w:left="1134" w:hanging="1134"/>
        <w:jc w:val="both"/>
        <w:rPr>
          <w:rFonts w:eastAsia="Times New Roman"/>
        </w:rPr>
      </w:pPr>
      <w:r w:rsidRPr="008E233A">
        <w:rPr>
          <w:rFonts w:eastAsia="Times New Roman"/>
        </w:rPr>
        <w:t xml:space="preserve">Pielikumā:  </w:t>
      </w:r>
    </w:p>
    <w:p w:rsidRPr="00B064DD" w:rsidR="00A8284A" w:rsidP="00A8284A" w:rsidRDefault="00A8284A" w14:paraId="5175A62E" w14:textId="77777777">
      <w:pPr>
        <w:pStyle w:val="ListParagraph"/>
        <w:widowControl/>
        <w:numPr>
          <w:ilvl w:val="0"/>
          <w:numId w:val="12"/>
        </w:numPr>
        <w:spacing w:before="75" w:after="75" w:line="240" w:lineRule="auto"/>
        <w:jc w:val="both"/>
      </w:pPr>
      <w:r w:rsidRPr="00B064DD">
        <w:rPr>
          <w:rFonts w:eastAsia="Times New Roman"/>
        </w:rPr>
        <w:t xml:space="preserve">Ministru kabineta sēdes </w:t>
      </w:r>
      <w:proofErr w:type="spellStart"/>
      <w:r w:rsidRPr="00B064DD">
        <w:rPr>
          <w:rFonts w:eastAsia="Times New Roman"/>
        </w:rPr>
        <w:t>protokollēmuma</w:t>
      </w:r>
      <w:proofErr w:type="spellEnd"/>
      <w:r w:rsidRPr="00B064DD">
        <w:rPr>
          <w:rFonts w:eastAsia="Times New Roman"/>
        </w:rPr>
        <w:t xml:space="preserve"> projekts “Par Ministru kabineta 2016.gada 20.decembra sēdes </w:t>
      </w:r>
      <w:proofErr w:type="spellStart"/>
      <w:r w:rsidRPr="00B064DD">
        <w:rPr>
          <w:rFonts w:eastAsia="Times New Roman"/>
        </w:rPr>
        <w:t>protokollēmuma</w:t>
      </w:r>
      <w:proofErr w:type="spellEnd"/>
      <w:r w:rsidRPr="00B064DD">
        <w:rPr>
          <w:rFonts w:eastAsia="Times New Roman"/>
        </w:rPr>
        <w:t xml:space="preserve"> (prot. Nr.69, 82.§) “Informatīvais ziņojums par autoceļu finansēšanas modeli un Valsts autoceļu sakārtošanas programmu 2014.-2023. gadam un atbildes vēstule Saeimas Mandātu, ētikas un iesniegumu komisijai” 3.punktā un 8.punktā dotā uzdevuma atzīšanu par aktualitāti zaudējušu</w:t>
      </w:r>
      <w:r>
        <w:rPr>
          <w:rFonts w:eastAsia="Times New Roman"/>
        </w:rPr>
        <w:t>” (SMprot_050619_CT) uz 1 lapas;</w:t>
      </w:r>
    </w:p>
    <w:p w:rsidR="00A8284A" w:rsidP="00A8284A" w:rsidRDefault="00A8284A" w14:paraId="29750D13" w14:textId="77777777">
      <w:pPr>
        <w:pStyle w:val="ListParagraph"/>
        <w:widowControl/>
        <w:numPr>
          <w:ilvl w:val="0"/>
          <w:numId w:val="12"/>
        </w:numPr>
        <w:spacing w:before="75" w:after="75" w:line="240" w:lineRule="auto"/>
        <w:jc w:val="both"/>
      </w:pPr>
      <w:r w:rsidRPr="00F14F6C">
        <w:t xml:space="preserve">Izziņa par atzinumos sniegtajiem iebildumiem Par Ministru kabineta 2016.gada 20.decembra sēdes </w:t>
      </w:r>
      <w:proofErr w:type="spellStart"/>
      <w:r w:rsidRPr="00F14F6C">
        <w:t>protokollēmuma</w:t>
      </w:r>
      <w:proofErr w:type="spellEnd"/>
      <w:r w:rsidRPr="00F14F6C">
        <w:t xml:space="preserve"> (prot. Nr.69. 82.§) “Informatīvais ziņojums par autoceļu finansēšanas modeli un Valsts autoceļu sakārtošanas programmu 2014.-2023. gadam un atbildes vēstule Saeimas Mandātu, ētikas un iesniegumu komisijai” 3.punktā un 8.punktā dotā uzdevuma atzīšanu par aktualitāti zaudējušu</w:t>
      </w:r>
      <w:r>
        <w:t>” (SMizzi_050619_CT) uz 6 lapām.</w:t>
      </w:r>
    </w:p>
    <w:p w:rsidR="00A8284A" w:rsidP="00A8284A" w:rsidRDefault="00A8284A" w14:paraId="0A836DFE" w14:textId="77777777">
      <w:pPr>
        <w:pStyle w:val="ListParagraph"/>
        <w:widowControl/>
        <w:numPr>
          <w:ilvl w:val="0"/>
          <w:numId w:val="12"/>
        </w:numPr>
        <w:spacing w:before="75" w:after="75" w:line="240" w:lineRule="auto"/>
        <w:jc w:val="both"/>
      </w:pPr>
      <w:r>
        <w:t xml:space="preserve">Finanšu ministrijas 2019. gada 29. maija atzinums Nr. </w:t>
      </w:r>
      <w:r w:rsidRPr="000433BD">
        <w:t>12/A-2/2468</w:t>
      </w:r>
      <w:r>
        <w:t xml:space="preserve"> (FMatz_290519_CT) uz 1 lapas;</w:t>
      </w:r>
    </w:p>
    <w:p w:rsidR="00A8284A" w:rsidP="00A8284A" w:rsidRDefault="00A8284A" w14:paraId="6F1F65D0" w14:textId="6124A643">
      <w:pPr>
        <w:pStyle w:val="ListParagraph"/>
        <w:widowControl/>
        <w:numPr>
          <w:ilvl w:val="0"/>
          <w:numId w:val="12"/>
        </w:numPr>
        <w:spacing w:before="75" w:after="75" w:line="240" w:lineRule="auto"/>
        <w:jc w:val="both"/>
      </w:pPr>
      <w:r>
        <w:t>Tieslietu ministrijas 2019.gada 29.maija elektroniskā pasta ziņojums (TMatz_290519_CT) uz 1 lapas;</w:t>
      </w:r>
    </w:p>
    <w:p w:rsidRPr="00EA7A91" w:rsidR="00A8284A" w:rsidP="00A8284A" w:rsidRDefault="00A8284A" w14:paraId="2291D3C7" w14:textId="77777777">
      <w:pPr>
        <w:pStyle w:val="ListParagraph"/>
        <w:numPr>
          <w:ilvl w:val="0"/>
          <w:numId w:val="12"/>
        </w:numPr>
        <w:jc w:val="both"/>
      </w:pPr>
      <w:r>
        <w:t>Vides aizsardzības un reģionālās attīstības</w:t>
      </w:r>
      <w:r w:rsidRPr="00EA7A91">
        <w:t xml:space="preserve"> ministrijas 2019. gada </w:t>
      </w:r>
      <w:r>
        <w:t>30</w:t>
      </w:r>
      <w:r w:rsidRPr="00EA7A91">
        <w:t xml:space="preserve">. maija </w:t>
      </w:r>
      <w:r>
        <w:t>elektroniskā pasta ziņojums</w:t>
      </w:r>
      <w:r w:rsidRPr="00EA7A91">
        <w:t xml:space="preserve"> (</w:t>
      </w:r>
      <w:r>
        <w:t>VARAM</w:t>
      </w:r>
      <w:r w:rsidRPr="00EA7A91">
        <w:t>atz_</w:t>
      </w:r>
      <w:r>
        <w:t>30</w:t>
      </w:r>
      <w:r w:rsidRPr="00EA7A91">
        <w:t>0519_CT) uz 1 lapas;</w:t>
      </w:r>
    </w:p>
    <w:p w:rsidR="00A8284A" w:rsidP="00A8284A" w:rsidRDefault="00A8284A" w14:paraId="4F762C78" w14:textId="439F060B">
      <w:pPr>
        <w:pStyle w:val="ListParagraph"/>
        <w:widowControl/>
        <w:numPr>
          <w:ilvl w:val="0"/>
          <w:numId w:val="12"/>
        </w:numPr>
        <w:spacing w:before="75" w:after="75" w:line="240" w:lineRule="auto"/>
        <w:jc w:val="both"/>
      </w:pPr>
      <w:r>
        <w:t xml:space="preserve">Latvijas pašvaldību savienības </w:t>
      </w:r>
      <w:r w:rsidRPr="00B36AD3">
        <w:t>2019.gada 30.maija</w:t>
      </w:r>
      <w:r>
        <w:t xml:space="preserve"> atzinums Nr.</w:t>
      </w:r>
      <w:r w:rsidRPr="00B36AD3">
        <w:t>201905/SAN728/NOS383</w:t>
      </w:r>
      <w:r>
        <w:t xml:space="preserve"> (LPS_300519_CT) uz 2 lapām;</w:t>
      </w:r>
    </w:p>
    <w:p w:rsidRPr="00B36AD3" w:rsidR="00A8284A" w:rsidP="00A8284A" w:rsidRDefault="00A8284A" w14:paraId="0394D3C2" w14:textId="38F851A7">
      <w:pPr>
        <w:pStyle w:val="ListParagraph"/>
        <w:widowControl/>
        <w:numPr>
          <w:ilvl w:val="0"/>
          <w:numId w:val="12"/>
        </w:numPr>
        <w:spacing w:before="75" w:after="75" w:line="240" w:lineRule="auto"/>
        <w:jc w:val="both"/>
      </w:pPr>
      <w:r>
        <w:t>Biedrības “Latvijas ceļu būvēt</w:t>
      </w:r>
      <w:r w:rsidR="00CD253E">
        <w:t>ā</w:t>
      </w:r>
      <w:bookmarkStart w:name="_GoBack" w:id="3"/>
      <w:bookmarkEnd w:id="3"/>
      <w:r>
        <w:t>js” 2019.gada 21.maija vēstule Nr.15/19 (LCB_210519_CT) uz 2 lapām.</w:t>
      </w:r>
    </w:p>
    <w:p w:rsidRPr="008E233A" w:rsidR="00A8284A" w:rsidP="00A8284A" w:rsidRDefault="00A8284A" w14:paraId="7F8C7CFC" w14:textId="77777777">
      <w:pPr>
        <w:widowControl/>
        <w:spacing w:after="0" w:line="240" w:lineRule="auto"/>
        <w:jc w:val="both"/>
      </w:pPr>
    </w:p>
    <w:p w:rsidRPr="008E233A" w:rsidR="00A8284A" w:rsidP="00A8284A" w:rsidRDefault="00A8284A" w14:paraId="4BA3C2A3" w14:textId="77777777">
      <w:pPr>
        <w:widowControl/>
        <w:spacing w:after="0" w:line="240" w:lineRule="auto"/>
        <w:jc w:val="both"/>
      </w:pPr>
    </w:p>
    <w:p w:rsidR="00A8284A" w:rsidP="00A8284A" w:rsidRDefault="00A8284A" w14:paraId="646EC10D" w14:textId="77777777">
      <w:pPr>
        <w:widowControl/>
        <w:spacing w:after="0" w:line="240" w:lineRule="auto"/>
      </w:pPr>
      <w:r w:rsidRPr="009741E2">
        <w:t>Satiksmes ministrs</w:t>
      </w:r>
      <w:r w:rsidRPr="009741E2">
        <w:tab/>
      </w:r>
      <w:r w:rsidRPr="009741E2">
        <w:tab/>
      </w:r>
      <w:r w:rsidRPr="009741E2">
        <w:tab/>
      </w:r>
      <w:r w:rsidRPr="009741E2">
        <w:tab/>
      </w:r>
      <w:r w:rsidRPr="009741E2">
        <w:tab/>
      </w:r>
      <w:r w:rsidRPr="009741E2">
        <w:tab/>
      </w:r>
      <w:r w:rsidRPr="009741E2">
        <w:tab/>
        <w:t xml:space="preserve">                  </w:t>
      </w:r>
      <w:r>
        <w:t xml:space="preserve">T. </w:t>
      </w:r>
      <w:proofErr w:type="spellStart"/>
      <w:r>
        <w:t>Linkaits</w:t>
      </w:r>
      <w:proofErr w:type="spellEnd"/>
      <w:r>
        <w:t xml:space="preserve"> </w:t>
      </w:r>
    </w:p>
    <w:p w:rsidRPr="008E233A" w:rsidR="00A8284A" w:rsidP="00A8284A" w:rsidRDefault="00A8284A" w14:paraId="07F107C3" w14:textId="77777777">
      <w:pPr>
        <w:widowControl/>
        <w:spacing w:after="0" w:line="240" w:lineRule="auto"/>
        <w:rPr>
          <w:color w:val="000000"/>
          <w:sz w:val="20"/>
          <w:szCs w:val="20"/>
        </w:rPr>
      </w:pPr>
    </w:p>
    <w:p w:rsidR="00A8284A" w:rsidP="00A8284A" w:rsidRDefault="00A8284A" w14:paraId="44C376DE" w14:textId="44D53043">
      <w:pPr>
        <w:tabs>
          <w:tab w:val="left" w:pos="720"/>
          <w:tab w:val="center" w:pos="4320"/>
          <w:tab w:val="right" w:pos="8640"/>
        </w:tabs>
        <w:spacing w:after="0" w:line="240" w:lineRule="auto"/>
        <w:rPr>
          <w:color w:val="000000"/>
          <w:sz w:val="20"/>
          <w:szCs w:val="20"/>
        </w:rPr>
      </w:pPr>
    </w:p>
    <w:p w:rsidRPr="008E233A" w:rsidR="00541CCE" w:rsidP="00A8284A" w:rsidRDefault="00541CCE" w14:paraId="41A94618" w14:textId="77777777">
      <w:pPr>
        <w:tabs>
          <w:tab w:val="left" w:pos="720"/>
          <w:tab w:val="center" w:pos="4320"/>
          <w:tab w:val="right" w:pos="8640"/>
        </w:tabs>
        <w:spacing w:after="0" w:line="240" w:lineRule="auto"/>
        <w:rPr>
          <w:color w:val="000000"/>
          <w:sz w:val="20"/>
          <w:szCs w:val="20"/>
        </w:rPr>
      </w:pPr>
    </w:p>
    <w:p w:rsidRPr="008E233A" w:rsidR="00A8284A" w:rsidP="00A8284A" w:rsidRDefault="00A8284A" w14:paraId="19B3F0E0" w14:textId="6B26A6AD">
      <w:pPr>
        <w:tabs>
          <w:tab w:val="left" w:pos="720"/>
          <w:tab w:val="center" w:pos="4320"/>
          <w:tab w:val="right" w:pos="8640"/>
        </w:tabs>
        <w:spacing w:after="0" w:line="240" w:lineRule="auto"/>
        <w:rPr>
          <w:color w:val="000000"/>
          <w:sz w:val="20"/>
          <w:szCs w:val="20"/>
        </w:rPr>
      </w:pPr>
      <w:r w:rsidRPr="008E233A">
        <w:rPr>
          <w:color w:val="000000"/>
          <w:sz w:val="20"/>
          <w:szCs w:val="20"/>
        </w:rPr>
        <w:t>Marinska</w:t>
      </w:r>
      <w:r w:rsidR="00541CCE">
        <w:rPr>
          <w:color w:val="000000"/>
          <w:sz w:val="20"/>
          <w:szCs w:val="20"/>
        </w:rPr>
        <w:t>,</w:t>
      </w:r>
      <w:r w:rsidRPr="008E233A">
        <w:rPr>
          <w:color w:val="000000"/>
          <w:sz w:val="20"/>
          <w:szCs w:val="20"/>
        </w:rPr>
        <w:t xml:space="preserve"> 67028066</w:t>
      </w:r>
    </w:p>
    <w:p w:rsidRPr="008E233A" w:rsidR="00A8284A" w:rsidP="00A8284A" w:rsidRDefault="00A8284A" w14:paraId="272C8D21" w14:textId="77777777">
      <w:pPr>
        <w:tabs>
          <w:tab w:val="left" w:pos="720"/>
          <w:tab w:val="center" w:pos="4320"/>
          <w:tab w:val="right" w:pos="8640"/>
        </w:tabs>
        <w:spacing w:after="0" w:line="240" w:lineRule="auto"/>
        <w:rPr>
          <w:color w:val="000000"/>
          <w:sz w:val="20"/>
          <w:szCs w:val="20"/>
        </w:rPr>
      </w:pPr>
      <w:r w:rsidRPr="008E233A">
        <w:rPr>
          <w:color w:val="000000"/>
          <w:sz w:val="20"/>
          <w:szCs w:val="20"/>
        </w:rPr>
        <w:t>karina.marinska@sam.gov.lv</w:t>
      </w:r>
    </w:p>
    <w:p w:rsidRPr="009012E8" w:rsidR="00B260CE" w:rsidP="00632E67" w:rsidRDefault="00B260CE" w14:paraId="732EF6F6" w14:textId="77777777">
      <w:pPr>
        <w:jc w:val="both"/>
      </w:pPr>
    </w:p>
    <w:p w:rsidRPr="00893625" w:rsidR="00893625" w:rsidP="00893625" w:rsidRDefault="00893625" w14:paraId="6BC5429C" w14:textId="77777777">
      <w:pPr>
        <w:rPr>
          <w:sz w:val="20"/>
          <w:szCs w:val="20"/>
        </w:rPr>
      </w:pPr>
    </w:p>
    <w:p w:rsidRPr="00893625" w:rsidR="00893625" w:rsidP="00F6664B" w:rsidRDefault="00893625" w14:paraId="099955A2" w14:textId="77777777">
      <w:pPr>
        <w:tabs>
          <w:tab w:val="center" w:pos="4320"/>
          <w:tab w:val="right" w:pos="8640"/>
        </w:tabs>
        <w:spacing w:after="0" w:line="240" w:lineRule="auto"/>
        <w:jc w:val="center"/>
        <w:rPr>
          <w:sz w:val="20"/>
          <w:szCs w:val="20"/>
        </w:rPr>
      </w:pPr>
      <w:r w:rsidRPr="00893625">
        <w:rPr>
          <w:sz w:val="20"/>
          <w:szCs w:val="20"/>
        </w:rPr>
        <w:t>DOKUMENTS IR PARAKSTĪTS AR DROŠU ELEKTRONISKO PARAKSTU UN SATUR LAIKA ZĪMOGU</w:t>
      </w:r>
    </w:p>
    <w:p w:rsidRPr="009012E8" w:rsidR="0031779D" w:rsidP="00B00CCD" w:rsidRDefault="0031779D" w14:paraId="5A76DE2C" w14:textId="77777777">
      <w:pPr>
        <w:tabs>
          <w:tab w:val="left" w:pos="720"/>
          <w:tab w:val="center" w:pos="4320"/>
          <w:tab w:val="right" w:pos="8640"/>
        </w:tabs>
        <w:spacing w:after="0" w:line="240" w:lineRule="auto"/>
      </w:pPr>
    </w:p>
    <w:sectPr w:rsidRPr="009012E8" w:rsidR="0031779D" w:rsidSect="00B00CCD">
      <w:footerReference w:type="default" r:id="rId7"/>
      <w:headerReference w:type="first" r:id="rId8"/>
      <w:foot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A038" w14:textId="77777777" w:rsidR="00A8284A" w:rsidRDefault="00A8284A">
      <w:pPr>
        <w:spacing w:after="0" w:line="240" w:lineRule="auto"/>
      </w:pPr>
      <w:r>
        <w:separator/>
      </w:r>
    </w:p>
  </w:endnote>
  <w:endnote w:type="continuationSeparator" w:id="0">
    <w:p w14:paraId="35B2C260" w14:textId="77777777" w:rsidR="00A8284A" w:rsidRDefault="00A8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A6C1" w14:textId="77777777" w:rsidR="000177E5" w:rsidRDefault="000177E5">
    <w:pPr>
      <w:pStyle w:val="Footer"/>
    </w:pPr>
    <w:r>
      <w:t>SMpav_0</w:t>
    </w:r>
    <w:r w:rsidR="0001763D">
      <w:t>5</w:t>
    </w:r>
    <w:r>
      <w:t>0819_CT</w:t>
    </w:r>
  </w:p>
  <w:p w14:paraId="61133285" w14:textId="77777777" w:rsidR="00B00CCD" w:rsidRDefault="00B00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D329" w14:textId="77777777" w:rsidR="0083427F" w:rsidRDefault="0001763D">
    <w:pPr>
      <w:pStyle w:val="Footer"/>
    </w:pPr>
    <w:r>
      <w:t>SMpav_05</w:t>
    </w:r>
    <w:r w:rsidR="0083427F">
      <w:t>0819_CT</w:t>
    </w:r>
  </w:p>
  <w:p w14:paraId="31589241" w14:textId="77777777" w:rsidR="0083427F" w:rsidRDefault="0083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3247" w14:textId="77777777" w:rsidR="00A8284A" w:rsidRDefault="00A8284A">
      <w:pPr>
        <w:spacing w:after="0" w:line="240" w:lineRule="auto"/>
      </w:pPr>
      <w:r>
        <w:separator/>
      </w:r>
    </w:p>
  </w:footnote>
  <w:footnote w:type="continuationSeparator" w:id="0">
    <w:p w14:paraId="29690BF3" w14:textId="77777777" w:rsidR="00A8284A" w:rsidRDefault="00A8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1ED9" w14:textId="77777777" w:rsidR="009D62CD" w:rsidRDefault="009D62CD" w:rsidP="009D62CD">
    <w:pPr>
      <w:pStyle w:val="Header"/>
    </w:pPr>
  </w:p>
  <w:p w14:paraId="46DF1218" w14:textId="77777777" w:rsidR="009D62CD" w:rsidRDefault="009D62CD" w:rsidP="009D62CD">
    <w:pPr>
      <w:pStyle w:val="Header"/>
    </w:pPr>
  </w:p>
  <w:p w14:paraId="76C60373" w14:textId="77777777" w:rsidR="009D62CD" w:rsidRDefault="009D62CD" w:rsidP="009D62CD">
    <w:pPr>
      <w:pStyle w:val="Header"/>
    </w:pPr>
  </w:p>
  <w:p w14:paraId="257F3FBA" w14:textId="77777777" w:rsidR="009D62CD" w:rsidRDefault="009D62CD" w:rsidP="009D62CD">
    <w:pPr>
      <w:pStyle w:val="Header"/>
    </w:pPr>
  </w:p>
  <w:p w14:paraId="1DBC7A3F" w14:textId="77777777" w:rsidR="009D62CD" w:rsidRDefault="009D62CD" w:rsidP="009D62CD">
    <w:pPr>
      <w:pStyle w:val="Header"/>
    </w:pPr>
  </w:p>
  <w:p w14:paraId="62AA74CA" w14:textId="77777777" w:rsidR="009D62CD" w:rsidRDefault="009D62CD" w:rsidP="009D62CD">
    <w:pPr>
      <w:pStyle w:val="Header"/>
    </w:pPr>
  </w:p>
  <w:p w14:paraId="404F422C" w14:textId="77777777" w:rsidR="009D62CD" w:rsidRDefault="009D62CD" w:rsidP="009D62CD">
    <w:pPr>
      <w:pStyle w:val="Header"/>
    </w:pPr>
  </w:p>
  <w:p w14:paraId="3BAA7531" w14:textId="77777777" w:rsidR="009D62CD" w:rsidRDefault="009D62CD" w:rsidP="009D62CD">
    <w:pPr>
      <w:pStyle w:val="Header"/>
    </w:pPr>
  </w:p>
  <w:p w14:paraId="155E9F29" w14:textId="77777777" w:rsidR="009D62CD" w:rsidRDefault="009D62CD" w:rsidP="009D62CD">
    <w:pPr>
      <w:pStyle w:val="Header"/>
    </w:pPr>
  </w:p>
  <w:p w14:paraId="6A0CB0DF" w14:textId="77777777" w:rsidR="009D62CD" w:rsidRDefault="009D62CD" w:rsidP="009D62CD">
    <w:pPr>
      <w:pStyle w:val="Header"/>
    </w:pPr>
  </w:p>
  <w:p w14:paraId="03EA5812" w14:textId="77777777" w:rsidR="009D62CD" w:rsidRPr="00815277" w:rsidRDefault="00F85B8C" w:rsidP="009D62CD">
    <w:pPr>
      <w:pStyle w:val="Header"/>
    </w:pPr>
    <w:r>
      <w:rPr>
        <w:noProof/>
      </w:rPr>
      <w:drawing>
        <wp:anchor distT="0" distB="0" distL="114300" distR="114300" simplePos="0" relativeHeight="251656704" behindDoc="1" locked="0" layoutInCell="1" allowOverlap="1" wp14:anchorId="1ED5E38E" wp14:editId="0E87853F">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000F8062" wp14:editId="6DBCCF72">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1E25"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F8062"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47B81E25"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7F6F29D2" wp14:editId="66A44A02">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1DF7F"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50416415" w14:textId="77777777" w:rsidR="009D62CD" w:rsidRDefault="009D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5335D0"/>
    <w:multiLevelType w:val="hybridMultilevel"/>
    <w:tmpl w:val="A4024D5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4A"/>
    <w:rsid w:val="00006384"/>
    <w:rsid w:val="0001763D"/>
    <w:rsid w:val="000177E5"/>
    <w:rsid w:val="00030349"/>
    <w:rsid w:val="00032083"/>
    <w:rsid w:val="000428F9"/>
    <w:rsid w:val="00061D30"/>
    <w:rsid w:val="000B1AB5"/>
    <w:rsid w:val="001201F9"/>
    <w:rsid w:val="00124173"/>
    <w:rsid w:val="00132CFB"/>
    <w:rsid w:val="00180197"/>
    <w:rsid w:val="001A2125"/>
    <w:rsid w:val="002023F0"/>
    <w:rsid w:val="0020635C"/>
    <w:rsid w:val="00262B83"/>
    <w:rsid w:val="00275B9E"/>
    <w:rsid w:val="0029181E"/>
    <w:rsid w:val="002B3077"/>
    <w:rsid w:val="002C57BC"/>
    <w:rsid w:val="002E1474"/>
    <w:rsid w:val="003146EC"/>
    <w:rsid w:val="0031779D"/>
    <w:rsid w:val="00335032"/>
    <w:rsid w:val="003952A2"/>
    <w:rsid w:val="00396B4C"/>
    <w:rsid w:val="003A090C"/>
    <w:rsid w:val="003F77CE"/>
    <w:rsid w:val="004606E9"/>
    <w:rsid w:val="00493308"/>
    <w:rsid w:val="004D77F7"/>
    <w:rsid w:val="004E49D0"/>
    <w:rsid w:val="00527E96"/>
    <w:rsid w:val="00535564"/>
    <w:rsid w:val="0053651D"/>
    <w:rsid w:val="00541CCE"/>
    <w:rsid w:val="005471EA"/>
    <w:rsid w:val="00582001"/>
    <w:rsid w:val="00585C68"/>
    <w:rsid w:val="005D04F8"/>
    <w:rsid w:val="00632E67"/>
    <w:rsid w:val="00663C3A"/>
    <w:rsid w:val="006738C5"/>
    <w:rsid w:val="006C1639"/>
    <w:rsid w:val="006F0830"/>
    <w:rsid w:val="006F47E8"/>
    <w:rsid w:val="00747CCB"/>
    <w:rsid w:val="00767323"/>
    <w:rsid w:val="007704BD"/>
    <w:rsid w:val="00787B0A"/>
    <w:rsid w:val="007B3BA5"/>
    <w:rsid w:val="007B48EC"/>
    <w:rsid w:val="007D7AF5"/>
    <w:rsid w:val="007E4D1F"/>
    <w:rsid w:val="00815277"/>
    <w:rsid w:val="00831A8F"/>
    <w:rsid w:val="0083427F"/>
    <w:rsid w:val="00850F03"/>
    <w:rsid w:val="00857BCD"/>
    <w:rsid w:val="00876C21"/>
    <w:rsid w:val="00893625"/>
    <w:rsid w:val="008E7BD4"/>
    <w:rsid w:val="008F5D2D"/>
    <w:rsid w:val="009012E8"/>
    <w:rsid w:val="00954D5A"/>
    <w:rsid w:val="00966F0D"/>
    <w:rsid w:val="009839B7"/>
    <w:rsid w:val="009D62CD"/>
    <w:rsid w:val="00A02AF9"/>
    <w:rsid w:val="00A80F98"/>
    <w:rsid w:val="00A8284A"/>
    <w:rsid w:val="00AA6D72"/>
    <w:rsid w:val="00AC3BB9"/>
    <w:rsid w:val="00AF3A6E"/>
    <w:rsid w:val="00B00341"/>
    <w:rsid w:val="00B00CCD"/>
    <w:rsid w:val="00B01E37"/>
    <w:rsid w:val="00B03ABB"/>
    <w:rsid w:val="00B10C18"/>
    <w:rsid w:val="00B260CE"/>
    <w:rsid w:val="00B45105"/>
    <w:rsid w:val="00B874E2"/>
    <w:rsid w:val="00B90F3A"/>
    <w:rsid w:val="00B91116"/>
    <w:rsid w:val="00C1677F"/>
    <w:rsid w:val="00C47F57"/>
    <w:rsid w:val="00C5340B"/>
    <w:rsid w:val="00C6250E"/>
    <w:rsid w:val="00CD253E"/>
    <w:rsid w:val="00CF2083"/>
    <w:rsid w:val="00D21FA6"/>
    <w:rsid w:val="00D2274B"/>
    <w:rsid w:val="00D55B4B"/>
    <w:rsid w:val="00D572EE"/>
    <w:rsid w:val="00D82EE0"/>
    <w:rsid w:val="00D83FCE"/>
    <w:rsid w:val="00DC06F8"/>
    <w:rsid w:val="00E20EED"/>
    <w:rsid w:val="00E365CE"/>
    <w:rsid w:val="00E44FC1"/>
    <w:rsid w:val="00E710CC"/>
    <w:rsid w:val="00E775FB"/>
    <w:rsid w:val="00EA7458"/>
    <w:rsid w:val="00F01842"/>
    <w:rsid w:val="00F07B33"/>
    <w:rsid w:val="00F164AC"/>
    <w:rsid w:val="00F60586"/>
    <w:rsid w:val="00F6664B"/>
    <w:rsid w:val="00F673D1"/>
    <w:rsid w:val="00F730E9"/>
    <w:rsid w:val="00F85B8C"/>
    <w:rsid w:val="00FE0BD3"/>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ACE38"/>
  <w15:docId w15:val="{73634A65-A614-4BD6-B1E5-E6BEF197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rmalWeb">
    <w:name w:val="Normal (Web)"/>
    <w:basedOn w:val="Normal"/>
    <w:rsid w:val="00A8284A"/>
    <w:pPr>
      <w:widowControl/>
      <w:spacing w:before="100" w:beforeAutospacing="1" w:after="100" w:afterAutospacing="1" w:line="240" w:lineRule="auto"/>
    </w:pPr>
    <w:rPr>
      <w:rFonts w:eastAsia="Times New Roman"/>
    </w:rPr>
  </w:style>
  <w:style w:type="paragraph" w:styleId="ListParagraph">
    <w:name w:val="List Paragraph"/>
    <w:basedOn w:val="Normal"/>
    <w:uiPriority w:val="34"/>
    <w:qFormat/>
    <w:rsid w:val="00A8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4886">
      <w:bodyDiv w:val="1"/>
      <w:marLeft w:val="0"/>
      <w:marRight w:val="0"/>
      <w:marTop w:val="0"/>
      <w:marBottom w:val="0"/>
      <w:divBdr>
        <w:top w:val="none" w:sz="0" w:space="0" w:color="auto"/>
        <w:left w:val="none" w:sz="0" w:space="0" w:color="auto"/>
        <w:bottom w:val="none" w:sz="0" w:space="0" w:color="auto"/>
        <w:right w:val="none" w:sz="0" w:space="0" w:color="auto"/>
      </w:divBdr>
    </w:div>
    <w:div w:id="114335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_Veidlapas\Ministrijas\_EDOC_LV%20Ministrijas%20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_EDOC_LV Ministrijas veidlapa</Template>
  <TotalTime>14</TotalTime>
  <Pages>5</Pages>
  <Words>8335</Words>
  <Characters>4751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Par Ministru kabineta sēdes protokollēmuma projektu “Par Ministru kabineta 2016.gada 20.decembra sēdes protokollēmuma (prot. Nr.69, 82.§) “Informatīvais ziņojums par autoceļu finansēšanas modeli un Valsts autoceļu sakārtošanas programmu 2014.-2023. gadam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2016.gada 20.decembra sēdes protokollēmuma (prot. Nr.69, 82.§) “Informatīvais ziņojums par autoceļu finansēšanas modeli un Valsts autoceļu sakārtošanas programmu 2014.-2023. gadam un atbildes vēstule Saeimas Mandātu, ētikas un iesniegumu komisijai” 3.punktā un 8.punktā dotā uzdevuma atzīšanu par aktualitāti zaudējušu</dc:title>
  <dc:subject/>
  <dc:creator>Karina Marinska</dc:creator>
  <cp:keywords/>
  <dc:description>t. 67028066</dc:description>
  <cp:lastModifiedBy>Baiba Jirgena</cp:lastModifiedBy>
  <cp:revision>5</cp:revision>
  <cp:lastPrinted>2016-03-23T07:18:00Z</cp:lastPrinted>
  <dcterms:created xsi:type="dcterms:W3CDTF">2019-08-05T10:51:00Z</dcterms:created>
  <dcterms:modified xsi:type="dcterms:W3CDTF">2019-08-06T12:15:00Z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