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7FC8" w14:textId="6BFA95FB" w:rsidR="00BC6819" w:rsidRDefault="00E46F4D" w:rsidP="00BC6819">
      <w:pPr>
        <w:jc w:val="center"/>
        <w:rPr>
          <w:b/>
        </w:rPr>
      </w:pPr>
      <w:r>
        <w:rPr>
          <w:b/>
        </w:rPr>
        <w:t>Izziņa par atzinumā sniegtajiem i</w:t>
      </w:r>
      <w:r w:rsidR="00A44B87">
        <w:rPr>
          <w:b/>
        </w:rPr>
        <w:t>ebildumiem i</w:t>
      </w:r>
      <w:r w:rsidR="00BC6819">
        <w:rPr>
          <w:b/>
        </w:rPr>
        <w:t>nformatīv</w:t>
      </w:r>
      <w:r w:rsidR="00A44B87">
        <w:rPr>
          <w:b/>
        </w:rPr>
        <w:t>ā</w:t>
      </w:r>
      <w:r w:rsidR="00BC6819">
        <w:rPr>
          <w:b/>
        </w:rPr>
        <w:t xml:space="preserve"> ziņojum</w:t>
      </w:r>
      <w:r w:rsidR="00A44B87">
        <w:rPr>
          <w:b/>
        </w:rPr>
        <w:t>a</w:t>
      </w:r>
      <w:r w:rsidR="00BC6819">
        <w:rPr>
          <w:b/>
        </w:rPr>
        <w:t xml:space="preserve"> par Ministru kabineta 2014. gada 22. novembra sēdes protokollēmuma (protokols Nr. 64, 2. §) "Informatīvais ziņojums "Par valsts akciju sabiedrības "Tiesu namu aģentūra" nekustamā īpašuma Šķūņu ielā 17, Rīgā, atsavināšanu izsolē un jauna tieslietu nozares iestāžu administratīvā centra celtniecību Jēkabpilī"" izpildes gaitu</w:t>
      </w:r>
      <w:r w:rsidR="00A44B87">
        <w:rPr>
          <w:b/>
        </w:rPr>
        <w:t xml:space="preserve"> </w:t>
      </w:r>
      <w:r w:rsidR="00470218">
        <w:rPr>
          <w:b/>
        </w:rPr>
        <w:t xml:space="preserve">pielikumiem un </w:t>
      </w:r>
      <w:r w:rsidR="00A44B87">
        <w:rPr>
          <w:b/>
        </w:rPr>
        <w:t>Ministru kabineta sēdes protokollēmuma projektam</w:t>
      </w:r>
      <w:r w:rsidR="00470218">
        <w:rPr>
          <w:b/>
        </w:rPr>
        <w:t xml:space="preserve"> </w:t>
      </w:r>
      <w:r w:rsidR="00A44B87">
        <w:rPr>
          <w:b/>
        </w:rPr>
        <w:t xml:space="preserve"> </w:t>
      </w:r>
    </w:p>
    <w:p w14:paraId="0DBB7956" w14:textId="5FFB5595" w:rsidR="007116C7" w:rsidRPr="0049528D" w:rsidRDefault="007116C7" w:rsidP="0049528D">
      <w:pPr>
        <w:pStyle w:val="naisnod"/>
        <w:spacing w:before="0" w:after="0"/>
      </w:pPr>
    </w:p>
    <w:p w14:paraId="6C2A86D8" w14:textId="77777777" w:rsidR="007B4C0F" w:rsidRPr="0049528D" w:rsidRDefault="008601B6" w:rsidP="00FF53AB">
      <w:pPr>
        <w:pStyle w:val="naisf"/>
        <w:spacing w:before="0" w:after="0"/>
        <w:ind w:firstLine="0"/>
        <w:jc w:val="center"/>
        <w:rPr>
          <w:b/>
        </w:rPr>
      </w:pPr>
      <w:r w:rsidRPr="0049528D">
        <w:rPr>
          <w:b/>
        </w:rPr>
        <w:t>I. </w:t>
      </w:r>
      <w:r w:rsidR="007B4C0F" w:rsidRPr="0049528D">
        <w:rPr>
          <w:b/>
        </w:rPr>
        <w:t xml:space="preserve">Jautājumi, par kuriem saskaņošanā </w:t>
      </w:r>
      <w:r w:rsidR="00134188" w:rsidRPr="0049528D">
        <w:rPr>
          <w:b/>
        </w:rPr>
        <w:t xml:space="preserve">vienošanās </w:t>
      </w:r>
      <w:r w:rsidR="007B4C0F" w:rsidRPr="0049528D">
        <w:rPr>
          <w:b/>
        </w:rPr>
        <w:t>nav panākta</w:t>
      </w:r>
    </w:p>
    <w:p w14:paraId="36840BEC" w14:textId="77777777" w:rsidR="008601B6" w:rsidRPr="0049528D" w:rsidRDefault="008601B6" w:rsidP="00AE6553">
      <w:pPr>
        <w:pStyle w:val="naisf"/>
        <w:spacing w:before="0" w:after="0"/>
        <w:ind w:left="360" w:firstLine="0"/>
        <w:rPr>
          <w:b/>
        </w:rPr>
      </w:pPr>
    </w:p>
    <w:tbl>
      <w:tblPr>
        <w:tblW w:w="14201"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827"/>
        <w:gridCol w:w="2268"/>
        <w:gridCol w:w="2459"/>
        <w:gridCol w:w="1961"/>
      </w:tblGrid>
      <w:tr w:rsidR="005F4BFD" w:rsidRPr="0049528D" w14:paraId="75AA78AF" w14:textId="77777777" w:rsidTr="00FF53AB">
        <w:tc>
          <w:tcPr>
            <w:tcW w:w="709" w:type="dxa"/>
            <w:tcBorders>
              <w:top w:val="single" w:sz="6" w:space="0" w:color="000000"/>
              <w:left w:val="single" w:sz="6" w:space="0" w:color="000000"/>
              <w:bottom w:val="single" w:sz="4" w:space="0" w:color="auto"/>
              <w:right w:val="single" w:sz="6" w:space="0" w:color="000000"/>
            </w:tcBorders>
            <w:vAlign w:val="center"/>
          </w:tcPr>
          <w:p w14:paraId="02CA3587" w14:textId="77777777" w:rsidR="005F4BFD" w:rsidRPr="00FF53AB" w:rsidRDefault="005F4BFD" w:rsidP="00174F57">
            <w:pPr>
              <w:pStyle w:val="naisc"/>
              <w:spacing w:before="0" w:after="0"/>
            </w:pPr>
            <w:r w:rsidRPr="00FF53AB">
              <w:t>Nr. p.k.</w:t>
            </w:r>
          </w:p>
        </w:tc>
        <w:tc>
          <w:tcPr>
            <w:tcW w:w="2977" w:type="dxa"/>
            <w:tcBorders>
              <w:top w:val="single" w:sz="6" w:space="0" w:color="000000"/>
              <w:left w:val="single" w:sz="6" w:space="0" w:color="000000"/>
              <w:bottom w:val="single" w:sz="4" w:space="0" w:color="auto"/>
              <w:right w:val="single" w:sz="6" w:space="0" w:color="000000"/>
            </w:tcBorders>
            <w:vAlign w:val="center"/>
          </w:tcPr>
          <w:p w14:paraId="227438E3" w14:textId="77777777" w:rsidR="005F4BFD" w:rsidRPr="00FF53AB" w:rsidRDefault="005F4BFD" w:rsidP="00174F57">
            <w:pPr>
              <w:pStyle w:val="naisc"/>
              <w:spacing w:before="0" w:after="0"/>
              <w:ind w:firstLine="12"/>
            </w:pPr>
            <w:r w:rsidRPr="00FF53AB">
              <w:t>Saskaņošanai nosūtītā projekta redakcija (konkrēta punkta (panta) redakcija)</w:t>
            </w:r>
          </w:p>
        </w:tc>
        <w:tc>
          <w:tcPr>
            <w:tcW w:w="3827" w:type="dxa"/>
            <w:tcBorders>
              <w:top w:val="single" w:sz="6" w:space="0" w:color="000000"/>
              <w:left w:val="single" w:sz="6" w:space="0" w:color="000000"/>
              <w:bottom w:val="single" w:sz="4" w:space="0" w:color="auto"/>
              <w:right w:val="single" w:sz="6" w:space="0" w:color="000000"/>
            </w:tcBorders>
            <w:vAlign w:val="center"/>
          </w:tcPr>
          <w:p w14:paraId="5FB722D3" w14:textId="77777777" w:rsidR="005F4BFD" w:rsidRPr="00FF53AB" w:rsidRDefault="005F4BFD" w:rsidP="00174F57">
            <w:pPr>
              <w:pStyle w:val="naisc"/>
              <w:spacing w:before="0" w:after="0"/>
              <w:ind w:right="3"/>
            </w:pPr>
            <w:r w:rsidRPr="00FF53AB">
              <w:t>Atzinumā norādītais ministrijas (citas institūcijas) iebildums</w:t>
            </w:r>
            <w:r w:rsidR="00184479" w:rsidRPr="00FF53AB">
              <w:t>,</w:t>
            </w:r>
            <w:r w:rsidR="000E5509" w:rsidRPr="00FF53AB">
              <w:t xml:space="preserve"> kā arī saskaņošanā papildus izteiktais iebildums</w:t>
            </w:r>
            <w:r w:rsidRPr="00FF53AB">
              <w:t xml:space="preserve"> par projekta konkrēto punktu (pantu)</w:t>
            </w:r>
          </w:p>
        </w:tc>
        <w:tc>
          <w:tcPr>
            <w:tcW w:w="2268" w:type="dxa"/>
            <w:tcBorders>
              <w:top w:val="single" w:sz="6" w:space="0" w:color="000000"/>
              <w:left w:val="single" w:sz="6" w:space="0" w:color="000000"/>
              <w:bottom w:val="single" w:sz="4" w:space="0" w:color="auto"/>
              <w:right w:val="single" w:sz="6" w:space="0" w:color="000000"/>
            </w:tcBorders>
            <w:vAlign w:val="center"/>
          </w:tcPr>
          <w:p w14:paraId="0FBFD8A4" w14:textId="77777777" w:rsidR="005F4BFD" w:rsidRPr="00FF53AB" w:rsidRDefault="005F4BFD" w:rsidP="00174F57">
            <w:pPr>
              <w:pStyle w:val="naisc"/>
              <w:spacing w:before="0" w:after="0"/>
              <w:ind w:firstLine="21"/>
            </w:pPr>
            <w:r w:rsidRPr="00FF53AB">
              <w:t>Atbildīgās ministrijas pamatojums</w:t>
            </w:r>
            <w:r w:rsidR="009307F2" w:rsidRPr="00FF53AB">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DE6B2D7" w14:textId="77777777" w:rsidR="005F4BFD" w:rsidRPr="00FF53AB" w:rsidRDefault="005F4BFD" w:rsidP="00174F57">
            <w:pPr>
              <w:jc w:val="center"/>
            </w:pPr>
            <w:r w:rsidRPr="00FF53AB">
              <w:t>Atzinuma sniedzēja uzturētais iebildums, ja tas atšķiras no atzinumā norādītā iebilduma pamatojuma</w:t>
            </w:r>
          </w:p>
        </w:tc>
        <w:tc>
          <w:tcPr>
            <w:tcW w:w="1961" w:type="dxa"/>
            <w:tcBorders>
              <w:top w:val="single" w:sz="4" w:space="0" w:color="auto"/>
              <w:left w:val="single" w:sz="4" w:space="0" w:color="auto"/>
              <w:bottom w:val="single" w:sz="4" w:space="0" w:color="auto"/>
            </w:tcBorders>
            <w:vAlign w:val="center"/>
          </w:tcPr>
          <w:p w14:paraId="2667C2D7" w14:textId="77777777" w:rsidR="005F4BFD" w:rsidRPr="00FF53AB" w:rsidRDefault="005F4BFD" w:rsidP="00174F57">
            <w:pPr>
              <w:jc w:val="center"/>
            </w:pPr>
            <w:r w:rsidRPr="00FF53AB">
              <w:t>Projekta attiecīgā punkta (panta) galīgā redakcija</w:t>
            </w:r>
          </w:p>
        </w:tc>
      </w:tr>
      <w:tr w:rsidR="006E7969" w:rsidRPr="0049528D" w14:paraId="4AC70000" w14:textId="77777777" w:rsidTr="00FF53AB">
        <w:tc>
          <w:tcPr>
            <w:tcW w:w="709" w:type="dxa"/>
            <w:tcBorders>
              <w:top w:val="single" w:sz="4" w:space="0" w:color="auto"/>
              <w:left w:val="single" w:sz="4" w:space="0" w:color="auto"/>
              <w:bottom w:val="single" w:sz="4" w:space="0" w:color="auto"/>
              <w:right w:val="single" w:sz="4" w:space="0" w:color="auto"/>
            </w:tcBorders>
          </w:tcPr>
          <w:p w14:paraId="27E4D5D3" w14:textId="77777777" w:rsidR="006E7969" w:rsidRPr="0049528D" w:rsidRDefault="006E7969" w:rsidP="00AE6553">
            <w:pPr>
              <w:pStyle w:val="naisc"/>
              <w:spacing w:before="0" w:after="0"/>
              <w:jc w:val="both"/>
            </w:pPr>
          </w:p>
        </w:tc>
        <w:tc>
          <w:tcPr>
            <w:tcW w:w="2977" w:type="dxa"/>
            <w:tcBorders>
              <w:top w:val="single" w:sz="4" w:space="0" w:color="auto"/>
              <w:left w:val="single" w:sz="4" w:space="0" w:color="auto"/>
              <w:bottom w:val="single" w:sz="4" w:space="0" w:color="auto"/>
              <w:right w:val="single" w:sz="4" w:space="0" w:color="auto"/>
            </w:tcBorders>
          </w:tcPr>
          <w:p w14:paraId="10EBCA0F" w14:textId="77777777" w:rsidR="006E7969" w:rsidRPr="0049528D" w:rsidRDefault="006E7969" w:rsidP="00AE6553">
            <w:pPr>
              <w:pStyle w:val="naisc"/>
              <w:spacing w:before="0" w:after="0"/>
              <w:ind w:firstLine="42"/>
              <w:jc w:val="both"/>
            </w:pPr>
          </w:p>
        </w:tc>
        <w:tc>
          <w:tcPr>
            <w:tcW w:w="3827" w:type="dxa"/>
            <w:tcBorders>
              <w:top w:val="single" w:sz="4" w:space="0" w:color="auto"/>
              <w:left w:val="single" w:sz="4" w:space="0" w:color="auto"/>
              <w:bottom w:val="single" w:sz="4" w:space="0" w:color="auto"/>
              <w:right w:val="single" w:sz="4" w:space="0" w:color="auto"/>
            </w:tcBorders>
          </w:tcPr>
          <w:p w14:paraId="40B36316" w14:textId="77777777" w:rsidR="006E7969" w:rsidRPr="0049528D" w:rsidRDefault="006E7969" w:rsidP="00AE6553">
            <w:pPr>
              <w:pStyle w:val="naisc"/>
              <w:spacing w:before="0" w:after="0"/>
              <w:jc w:val="both"/>
            </w:pPr>
          </w:p>
        </w:tc>
        <w:tc>
          <w:tcPr>
            <w:tcW w:w="2268" w:type="dxa"/>
            <w:tcBorders>
              <w:top w:val="single" w:sz="4" w:space="0" w:color="auto"/>
              <w:left w:val="single" w:sz="4" w:space="0" w:color="auto"/>
              <w:bottom w:val="single" w:sz="4" w:space="0" w:color="auto"/>
              <w:right w:val="single" w:sz="4" w:space="0" w:color="auto"/>
            </w:tcBorders>
          </w:tcPr>
          <w:p w14:paraId="3CED2154" w14:textId="77777777" w:rsidR="006E7969" w:rsidRPr="0049528D" w:rsidRDefault="006E7969" w:rsidP="00AE6553">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7024614A" w14:textId="77777777" w:rsidR="006E7969" w:rsidRPr="0049528D" w:rsidRDefault="006E7969" w:rsidP="00AE6553">
            <w:pPr>
              <w:jc w:val="both"/>
            </w:pPr>
          </w:p>
        </w:tc>
        <w:tc>
          <w:tcPr>
            <w:tcW w:w="1961" w:type="dxa"/>
            <w:tcBorders>
              <w:top w:val="single" w:sz="4" w:space="0" w:color="auto"/>
              <w:left w:val="single" w:sz="4" w:space="0" w:color="auto"/>
              <w:bottom w:val="single" w:sz="4" w:space="0" w:color="auto"/>
            </w:tcBorders>
          </w:tcPr>
          <w:p w14:paraId="3EB5428D" w14:textId="77777777" w:rsidR="006E7969" w:rsidRPr="0049528D" w:rsidRDefault="006E7969" w:rsidP="00AE6553">
            <w:pPr>
              <w:jc w:val="both"/>
            </w:pPr>
          </w:p>
        </w:tc>
      </w:tr>
    </w:tbl>
    <w:p w14:paraId="4F57E59A" w14:textId="77777777" w:rsidR="007B4C0F" w:rsidRPr="0049528D" w:rsidRDefault="007B4C0F" w:rsidP="00AE6553">
      <w:pPr>
        <w:pStyle w:val="naisf"/>
        <w:spacing w:before="0" w:after="0"/>
        <w:ind w:firstLine="0"/>
      </w:pPr>
    </w:p>
    <w:p w14:paraId="7A102A78" w14:textId="138C0F62" w:rsidR="005D67F7" w:rsidRPr="0049528D" w:rsidRDefault="005D67F7" w:rsidP="00AE6553">
      <w:pPr>
        <w:pStyle w:val="naisf"/>
        <w:spacing w:before="0" w:after="0"/>
        <w:ind w:firstLine="0"/>
        <w:rPr>
          <w:b/>
        </w:rPr>
      </w:pPr>
      <w:r w:rsidRPr="0049528D">
        <w:rPr>
          <w:b/>
        </w:rPr>
        <w:t>Informācija par starpministriju elektronisko saskaņošanu</w:t>
      </w:r>
    </w:p>
    <w:p w14:paraId="593A4284" w14:textId="77777777" w:rsidR="005D67F7" w:rsidRPr="0049528D" w:rsidRDefault="005D67F7" w:rsidP="00AE6553">
      <w:pPr>
        <w:pStyle w:val="naisf"/>
        <w:spacing w:before="0" w:after="0"/>
        <w:ind w:firstLine="0"/>
        <w:rPr>
          <w:b/>
        </w:rPr>
      </w:pPr>
    </w:p>
    <w:tbl>
      <w:tblPr>
        <w:tblW w:w="12582" w:type="dxa"/>
        <w:tblLook w:val="00A0" w:firstRow="1" w:lastRow="0" w:firstColumn="1" w:lastColumn="0" w:noHBand="0" w:noVBand="0"/>
      </w:tblPr>
      <w:tblGrid>
        <w:gridCol w:w="6213"/>
        <w:gridCol w:w="353"/>
        <w:gridCol w:w="6016"/>
      </w:tblGrid>
      <w:tr w:rsidR="007B4C0F" w:rsidRPr="0049528D" w14:paraId="40106124" w14:textId="77777777" w:rsidTr="0090765F">
        <w:tc>
          <w:tcPr>
            <w:tcW w:w="6213" w:type="dxa"/>
          </w:tcPr>
          <w:p w14:paraId="2B16A4C9" w14:textId="77777777" w:rsidR="007B4C0F" w:rsidRPr="0049528D" w:rsidRDefault="005D67F7" w:rsidP="00AE6553">
            <w:pPr>
              <w:pStyle w:val="naisf"/>
              <w:spacing w:before="0" w:after="0"/>
              <w:ind w:firstLine="0"/>
            </w:pPr>
            <w:r w:rsidRPr="0049528D">
              <w:t>D</w:t>
            </w:r>
            <w:r w:rsidR="007B4C0F" w:rsidRPr="0049528D">
              <w:t>atums</w:t>
            </w:r>
          </w:p>
        </w:tc>
        <w:tc>
          <w:tcPr>
            <w:tcW w:w="6369" w:type="dxa"/>
            <w:gridSpan w:val="2"/>
          </w:tcPr>
          <w:p w14:paraId="1EBC7CE7" w14:textId="343D7995" w:rsidR="007B4C0F" w:rsidRPr="0049528D" w:rsidRDefault="0090765F" w:rsidP="00AE6553">
            <w:pPr>
              <w:pStyle w:val="Paraststmeklis"/>
              <w:spacing w:before="0" w:beforeAutospacing="0" w:after="0" w:afterAutospacing="0"/>
              <w:ind w:firstLine="453"/>
              <w:jc w:val="both"/>
            </w:pPr>
            <w:r w:rsidRPr="00231556">
              <w:t>201</w:t>
            </w:r>
            <w:r w:rsidR="00A3483E" w:rsidRPr="00231556">
              <w:t>9</w:t>
            </w:r>
            <w:r w:rsidRPr="00231556">
              <w:t xml:space="preserve">.gada </w:t>
            </w:r>
            <w:r w:rsidR="006F068F" w:rsidRPr="00231556">
              <w:t xml:space="preserve">12.jūlijs </w:t>
            </w:r>
          </w:p>
        </w:tc>
      </w:tr>
      <w:tr w:rsidR="003C27A2" w:rsidRPr="0049528D" w14:paraId="3A9CA0B6" w14:textId="77777777" w:rsidTr="0090765F">
        <w:tc>
          <w:tcPr>
            <w:tcW w:w="6213" w:type="dxa"/>
          </w:tcPr>
          <w:p w14:paraId="4F6B76E5" w14:textId="77777777" w:rsidR="003C27A2" w:rsidRPr="0049528D" w:rsidRDefault="003C27A2" w:rsidP="00AE6553">
            <w:pPr>
              <w:pStyle w:val="naisf"/>
              <w:spacing w:before="0" w:after="0"/>
              <w:ind w:firstLine="0"/>
            </w:pPr>
          </w:p>
        </w:tc>
        <w:tc>
          <w:tcPr>
            <w:tcW w:w="6369" w:type="dxa"/>
            <w:gridSpan w:val="2"/>
          </w:tcPr>
          <w:p w14:paraId="68BD20B5" w14:textId="77777777" w:rsidR="003C27A2" w:rsidRPr="0049528D" w:rsidRDefault="003C27A2" w:rsidP="00AE6553">
            <w:pPr>
              <w:pStyle w:val="Paraststmeklis"/>
              <w:spacing w:before="0" w:beforeAutospacing="0" w:after="0" w:afterAutospacing="0"/>
              <w:ind w:firstLine="720"/>
              <w:jc w:val="both"/>
            </w:pPr>
          </w:p>
        </w:tc>
      </w:tr>
      <w:tr w:rsidR="007B4C0F" w:rsidRPr="0049528D" w14:paraId="44D4BED5" w14:textId="77777777" w:rsidTr="0090765F">
        <w:tc>
          <w:tcPr>
            <w:tcW w:w="6213" w:type="dxa"/>
          </w:tcPr>
          <w:p w14:paraId="25CE419B" w14:textId="77777777" w:rsidR="007B4C0F" w:rsidRPr="0049528D" w:rsidRDefault="00365CC0" w:rsidP="00AE6553">
            <w:pPr>
              <w:pStyle w:val="naiskr"/>
              <w:spacing w:before="0" w:after="0"/>
              <w:jc w:val="both"/>
            </w:pPr>
            <w:r w:rsidRPr="0049528D">
              <w:t>Saskaņošanas dalībnieki</w:t>
            </w:r>
          </w:p>
        </w:tc>
        <w:tc>
          <w:tcPr>
            <w:tcW w:w="6369" w:type="dxa"/>
            <w:gridSpan w:val="2"/>
          </w:tcPr>
          <w:p w14:paraId="74B7A8D4" w14:textId="08B761D4" w:rsidR="007B4C0F" w:rsidRPr="0049528D" w:rsidRDefault="0090765F" w:rsidP="00AE6553">
            <w:pPr>
              <w:pStyle w:val="Paraststmeklis"/>
              <w:spacing w:before="0" w:beforeAutospacing="0" w:after="0" w:afterAutospacing="0"/>
              <w:jc w:val="both"/>
            </w:pPr>
            <w:r w:rsidRPr="0049528D">
              <w:t xml:space="preserve">       </w:t>
            </w:r>
            <w:r w:rsidR="00C06B5C">
              <w:t xml:space="preserve">Tieslietu ministrija un </w:t>
            </w:r>
            <w:r w:rsidRPr="0049528D">
              <w:t>Finanšu ministrija</w:t>
            </w:r>
          </w:p>
        </w:tc>
      </w:tr>
      <w:tr w:rsidR="0090765F" w:rsidRPr="0049528D" w14:paraId="28DB40A8" w14:textId="77777777" w:rsidTr="0090765F">
        <w:trPr>
          <w:trHeight w:val="285"/>
        </w:trPr>
        <w:tc>
          <w:tcPr>
            <w:tcW w:w="6566" w:type="dxa"/>
            <w:gridSpan w:val="2"/>
          </w:tcPr>
          <w:p w14:paraId="3220DF58" w14:textId="77777777" w:rsidR="00B71FFA" w:rsidRDefault="00B71FFA" w:rsidP="00AE6553">
            <w:pPr>
              <w:pStyle w:val="naiskr"/>
              <w:spacing w:before="0" w:after="0"/>
              <w:jc w:val="both"/>
            </w:pPr>
          </w:p>
          <w:p w14:paraId="30A9C7EC" w14:textId="78BE2867" w:rsidR="0090765F" w:rsidRPr="0049528D" w:rsidRDefault="0090765F" w:rsidP="00AE6553">
            <w:pPr>
              <w:pStyle w:val="naiskr"/>
              <w:spacing w:before="0" w:after="0"/>
              <w:jc w:val="both"/>
            </w:pPr>
            <w:r w:rsidRPr="0049528D">
              <w:t>Saskaņošanas dalībnieki izskatīja šādu ministriju (citu institūciju) iebildumus</w:t>
            </w:r>
          </w:p>
        </w:tc>
        <w:tc>
          <w:tcPr>
            <w:tcW w:w="6016" w:type="dxa"/>
          </w:tcPr>
          <w:p w14:paraId="520D3702" w14:textId="77777777" w:rsidR="00B71FFA" w:rsidRDefault="00B71FFA" w:rsidP="00AE6553">
            <w:pPr>
              <w:pStyle w:val="naiskr"/>
              <w:spacing w:before="0" w:after="0"/>
              <w:ind w:left="93"/>
              <w:jc w:val="both"/>
            </w:pPr>
          </w:p>
          <w:p w14:paraId="7C677AB4" w14:textId="32250A69" w:rsidR="0090765F" w:rsidRPr="0049528D" w:rsidRDefault="0090765F" w:rsidP="00AE6553">
            <w:pPr>
              <w:pStyle w:val="naiskr"/>
              <w:spacing w:before="0" w:after="0"/>
              <w:ind w:left="93"/>
              <w:jc w:val="both"/>
            </w:pPr>
            <w:r w:rsidRPr="0049528D">
              <w:t>Finanšu min</w:t>
            </w:r>
            <w:r w:rsidR="007B1D8E" w:rsidRPr="0049528D">
              <w:t>i</w:t>
            </w:r>
            <w:r w:rsidRPr="0049528D">
              <w:t>strija</w:t>
            </w:r>
          </w:p>
        </w:tc>
      </w:tr>
      <w:tr w:rsidR="0090765F" w:rsidRPr="0049528D" w14:paraId="4B149B0D" w14:textId="77777777" w:rsidTr="0090765F">
        <w:trPr>
          <w:gridAfter w:val="1"/>
          <w:wAfter w:w="6016" w:type="dxa"/>
          <w:trHeight w:val="359"/>
        </w:trPr>
        <w:tc>
          <w:tcPr>
            <w:tcW w:w="6566" w:type="dxa"/>
            <w:gridSpan w:val="2"/>
          </w:tcPr>
          <w:p w14:paraId="7E4C2AD8" w14:textId="77777777" w:rsidR="0090765F" w:rsidRPr="0049528D" w:rsidRDefault="0090765F" w:rsidP="00AE6553">
            <w:pPr>
              <w:pStyle w:val="naiskr"/>
              <w:spacing w:before="0" w:after="0"/>
              <w:ind w:firstLine="720"/>
              <w:jc w:val="both"/>
            </w:pPr>
            <w:r w:rsidRPr="0049528D">
              <w:t>  </w:t>
            </w:r>
          </w:p>
        </w:tc>
      </w:tr>
      <w:tr w:rsidR="007B4C0F" w:rsidRPr="0049528D" w14:paraId="71833FE6" w14:textId="77777777" w:rsidTr="0090765F">
        <w:tc>
          <w:tcPr>
            <w:tcW w:w="6566" w:type="dxa"/>
            <w:gridSpan w:val="2"/>
          </w:tcPr>
          <w:p w14:paraId="708D21DA" w14:textId="77777777" w:rsidR="007B4C0F" w:rsidRPr="0049528D" w:rsidRDefault="007B4C0F" w:rsidP="00AE6553">
            <w:pPr>
              <w:pStyle w:val="naiskr"/>
              <w:spacing w:before="0" w:after="0"/>
              <w:jc w:val="both"/>
            </w:pPr>
            <w:r w:rsidRPr="0049528D">
              <w:t>Ministrijas (citas institūcijas), kuras nav ieradušās uz sanāksmi vai kuras nav atbildējušas uz uzaicinājumu piedalīties elektroniskajā saskaņošanā</w:t>
            </w:r>
          </w:p>
        </w:tc>
        <w:tc>
          <w:tcPr>
            <w:tcW w:w="6016" w:type="dxa"/>
          </w:tcPr>
          <w:p w14:paraId="7158AA1E" w14:textId="77777777" w:rsidR="007B4C0F" w:rsidRPr="0049528D" w:rsidRDefault="0090765F" w:rsidP="00AE6553">
            <w:pPr>
              <w:pStyle w:val="naiskr"/>
              <w:spacing w:before="0" w:after="0"/>
              <w:ind w:firstLine="93"/>
              <w:jc w:val="both"/>
            </w:pPr>
            <w:r w:rsidRPr="0049528D">
              <w:t>-</w:t>
            </w:r>
          </w:p>
        </w:tc>
      </w:tr>
    </w:tbl>
    <w:p w14:paraId="53375643" w14:textId="77777777" w:rsidR="008601B6" w:rsidRPr="0049528D" w:rsidRDefault="008601B6" w:rsidP="00AE6553">
      <w:pPr>
        <w:pStyle w:val="naisf"/>
        <w:spacing w:before="0" w:after="0"/>
        <w:ind w:firstLine="0"/>
        <w:rPr>
          <w:b/>
        </w:rPr>
      </w:pPr>
    </w:p>
    <w:p w14:paraId="47A2957F" w14:textId="77777777" w:rsidR="00B71FFA" w:rsidRDefault="00B71FFA" w:rsidP="00B71FFA">
      <w:pPr>
        <w:pStyle w:val="naisf"/>
        <w:spacing w:before="0" w:after="0"/>
        <w:ind w:firstLine="0"/>
        <w:jc w:val="center"/>
        <w:rPr>
          <w:b/>
        </w:rPr>
      </w:pPr>
    </w:p>
    <w:p w14:paraId="21035772" w14:textId="77777777" w:rsidR="00B71FFA" w:rsidRDefault="00B71FFA" w:rsidP="00B71FFA">
      <w:pPr>
        <w:pStyle w:val="naisf"/>
        <w:spacing w:before="0" w:after="0"/>
        <w:ind w:firstLine="0"/>
        <w:jc w:val="center"/>
        <w:rPr>
          <w:b/>
        </w:rPr>
      </w:pPr>
    </w:p>
    <w:p w14:paraId="2EC9D9A3" w14:textId="77777777" w:rsidR="00B71FFA" w:rsidRDefault="00B71FFA" w:rsidP="00B71FFA">
      <w:pPr>
        <w:pStyle w:val="naisf"/>
        <w:spacing w:before="0" w:after="0"/>
        <w:ind w:firstLine="0"/>
        <w:jc w:val="center"/>
        <w:rPr>
          <w:b/>
        </w:rPr>
      </w:pPr>
    </w:p>
    <w:p w14:paraId="25F9F79C" w14:textId="77777777" w:rsidR="00B71FFA" w:rsidRDefault="00B71FFA" w:rsidP="00B71FFA">
      <w:pPr>
        <w:pStyle w:val="naisf"/>
        <w:spacing w:before="0" w:after="0"/>
        <w:ind w:firstLine="0"/>
        <w:jc w:val="center"/>
        <w:rPr>
          <w:b/>
        </w:rPr>
      </w:pPr>
    </w:p>
    <w:p w14:paraId="7956245E" w14:textId="77777777" w:rsidR="00B71FFA" w:rsidRDefault="00B71FFA" w:rsidP="00B71FFA">
      <w:pPr>
        <w:pStyle w:val="naisf"/>
        <w:spacing w:before="0" w:after="0"/>
        <w:ind w:firstLine="0"/>
        <w:jc w:val="center"/>
        <w:rPr>
          <w:b/>
        </w:rPr>
      </w:pPr>
    </w:p>
    <w:p w14:paraId="0CF51DFC" w14:textId="019CD9A4" w:rsidR="007B4C0F" w:rsidRPr="0049528D" w:rsidRDefault="007B4C0F" w:rsidP="00FF53AB">
      <w:pPr>
        <w:pStyle w:val="naisf"/>
        <w:spacing w:before="0" w:after="0"/>
        <w:ind w:firstLine="0"/>
        <w:jc w:val="center"/>
        <w:rPr>
          <w:b/>
        </w:rPr>
      </w:pPr>
      <w:r w:rsidRPr="0049528D">
        <w:rPr>
          <w:b/>
        </w:rPr>
        <w:t>II. </w:t>
      </w:r>
      <w:r w:rsidR="00134188" w:rsidRPr="0049528D">
        <w:rPr>
          <w:b/>
        </w:rPr>
        <w:t>Jautājumi, par kuriem saskaņošanā vienošan</w:t>
      </w:r>
      <w:r w:rsidR="00144622" w:rsidRPr="0049528D">
        <w:rPr>
          <w:b/>
        </w:rPr>
        <w:t>ā</w:t>
      </w:r>
      <w:r w:rsidR="00134188" w:rsidRPr="0049528D">
        <w:rPr>
          <w:b/>
        </w:rPr>
        <w:t>s ir panākta</w:t>
      </w:r>
    </w:p>
    <w:p w14:paraId="328C17A0" w14:textId="77777777" w:rsidR="008601B6" w:rsidRPr="0049528D" w:rsidRDefault="008601B6" w:rsidP="00AE6553">
      <w:pPr>
        <w:pStyle w:val="naisf"/>
        <w:spacing w:before="0" w:after="0"/>
        <w:ind w:firstLine="0"/>
        <w:rPr>
          <w:b/>
        </w:rPr>
      </w:pPr>
    </w:p>
    <w:tbl>
      <w:tblPr>
        <w:tblW w:w="1402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2149"/>
        <w:gridCol w:w="934"/>
        <w:gridCol w:w="3780"/>
        <w:gridCol w:w="1208"/>
        <w:gridCol w:w="2122"/>
        <w:gridCol w:w="2978"/>
        <w:gridCol w:w="7"/>
      </w:tblGrid>
      <w:tr w:rsidR="00134188" w:rsidRPr="0049528D" w14:paraId="192A5990" w14:textId="77777777" w:rsidTr="00724CDC">
        <w:trPr>
          <w:gridAfter w:val="1"/>
          <w:wAfter w:w="7" w:type="dxa"/>
        </w:trPr>
        <w:tc>
          <w:tcPr>
            <w:tcW w:w="851" w:type="dxa"/>
            <w:tcBorders>
              <w:top w:val="single" w:sz="6" w:space="0" w:color="000000"/>
              <w:left w:val="single" w:sz="6" w:space="0" w:color="000000"/>
              <w:bottom w:val="single" w:sz="6" w:space="0" w:color="000000"/>
              <w:right w:val="single" w:sz="6" w:space="0" w:color="000000"/>
            </w:tcBorders>
            <w:vAlign w:val="center"/>
          </w:tcPr>
          <w:p w14:paraId="19D6E8CC" w14:textId="77777777" w:rsidR="00134188" w:rsidRPr="00FF53AB" w:rsidRDefault="00134188" w:rsidP="00174F57">
            <w:pPr>
              <w:pStyle w:val="naisc"/>
              <w:spacing w:before="0" w:after="0"/>
            </w:pPr>
            <w:r w:rsidRPr="00FF53AB">
              <w:t>Nr. p.k.</w:t>
            </w:r>
          </w:p>
          <w:p w14:paraId="74E079D6" w14:textId="77777777" w:rsidR="00B71FFA" w:rsidRPr="00FF53AB" w:rsidRDefault="00B71FFA" w:rsidP="00B71FFA"/>
          <w:p w14:paraId="43732F1D" w14:textId="64ADA6AF" w:rsidR="00B71FFA" w:rsidRPr="00FF53AB" w:rsidRDefault="00B71FFA" w:rsidP="00FF53AB"/>
        </w:tc>
        <w:tc>
          <w:tcPr>
            <w:tcW w:w="3083" w:type="dxa"/>
            <w:gridSpan w:val="2"/>
            <w:tcBorders>
              <w:top w:val="single" w:sz="6" w:space="0" w:color="000000"/>
              <w:left w:val="single" w:sz="6" w:space="0" w:color="000000"/>
              <w:bottom w:val="single" w:sz="6" w:space="0" w:color="000000"/>
              <w:right w:val="single" w:sz="6" w:space="0" w:color="000000"/>
            </w:tcBorders>
            <w:vAlign w:val="center"/>
          </w:tcPr>
          <w:p w14:paraId="34E34B25" w14:textId="77777777" w:rsidR="00134188" w:rsidRPr="00FF53AB" w:rsidRDefault="00134188" w:rsidP="00174F57">
            <w:pPr>
              <w:pStyle w:val="naisc"/>
              <w:spacing w:before="0" w:after="0"/>
              <w:ind w:firstLine="12"/>
            </w:pPr>
            <w:r w:rsidRPr="00FF53AB">
              <w:t>Saskaņošanai nosūtītā projekta redakcija (konkrēta punkta (panta) redakcija)</w:t>
            </w:r>
          </w:p>
        </w:tc>
        <w:tc>
          <w:tcPr>
            <w:tcW w:w="3780" w:type="dxa"/>
            <w:tcBorders>
              <w:top w:val="single" w:sz="6" w:space="0" w:color="000000"/>
              <w:left w:val="single" w:sz="6" w:space="0" w:color="000000"/>
              <w:bottom w:val="single" w:sz="6" w:space="0" w:color="000000"/>
              <w:right w:val="single" w:sz="6" w:space="0" w:color="000000"/>
            </w:tcBorders>
            <w:vAlign w:val="center"/>
          </w:tcPr>
          <w:p w14:paraId="0EC69B98" w14:textId="77777777" w:rsidR="00134188" w:rsidRPr="00FF53AB" w:rsidRDefault="00134188" w:rsidP="00174F57">
            <w:pPr>
              <w:pStyle w:val="naisc"/>
              <w:spacing w:before="0" w:after="0"/>
              <w:ind w:right="3"/>
            </w:pPr>
            <w:r w:rsidRPr="00FF53AB">
              <w:t>Atzinumā norādītais ministrijas (citas institūcijas) iebildums, kā arī saskaņošanā papildus izteiktais iebildums par projekta konkrēto punktu (pantu)</w:t>
            </w:r>
          </w:p>
        </w:tc>
        <w:tc>
          <w:tcPr>
            <w:tcW w:w="3330" w:type="dxa"/>
            <w:gridSpan w:val="2"/>
            <w:tcBorders>
              <w:top w:val="single" w:sz="6" w:space="0" w:color="000000"/>
              <w:left w:val="single" w:sz="6" w:space="0" w:color="000000"/>
              <w:bottom w:val="single" w:sz="6" w:space="0" w:color="000000"/>
              <w:right w:val="single" w:sz="6" w:space="0" w:color="000000"/>
            </w:tcBorders>
            <w:vAlign w:val="center"/>
          </w:tcPr>
          <w:p w14:paraId="744BBED4" w14:textId="77777777" w:rsidR="00134188" w:rsidRPr="00FF53AB" w:rsidRDefault="00134188" w:rsidP="00174F57">
            <w:pPr>
              <w:pStyle w:val="naisc"/>
              <w:spacing w:before="0" w:after="0"/>
              <w:ind w:firstLine="21"/>
            </w:pPr>
            <w:r w:rsidRPr="00FF53AB">
              <w:t>Atbildīgās ministrijas norāde</w:t>
            </w:r>
            <w:r w:rsidR="006C1C48" w:rsidRPr="00FF53AB">
              <w:t xml:space="preserve"> par to, ka </w:t>
            </w:r>
            <w:r w:rsidRPr="00FF53AB">
              <w:t>iebildums ir ņemts vērā</w:t>
            </w:r>
            <w:r w:rsidR="006455E7" w:rsidRPr="00FF53AB">
              <w:t>,</w:t>
            </w:r>
            <w:r w:rsidRPr="00FF53AB">
              <w:t xml:space="preserve"> vai </w:t>
            </w:r>
            <w:r w:rsidR="006C1C48" w:rsidRPr="00FF53AB">
              <w:t xml:space="preserve">informācija par saskaņošanā </w:t>
            </w:r>
            <w:r w:rsidR="00022B0F" w:rsidRPr="00FF53AB">
              <w:t>panākto alternatīvo risinājumu</w:t>
            </w:r>
          </w:p>
        </w:tc>
        <w:tc>
          <w:tcPr>
            <w:tcW w:w="2978" w:type="dxa"/>
            <w:tcBorders>
              <w:top w:val="single" w:sz="4" w:space="0" w:color="auto"/>
              <w:left w:val="single" w:sz="4" w:space="0" w:color="auto"/>
              <w:bottom w:val="single" w:sz="4" w:space="0" w:color="auto"/>
            </w:tcBorders>
            <w:vAlign w:val="center"/>
          </w:tcPr>
          <w:p w14:paraId="18E4B617" w14:textId="77777777" w:rsidR="00134188" w:rsidRPr="00FF53AB" w:rsidRDefault="00134188" w:rsidP="00174F57">
            <w:pPr>
              <w:jc w:val="center"/>
            </w:pPr>
            <w:r w:rsidRPr="00FF53AB">
              <w:t>Projekta attiecīgā punkta (panta) galīgā redakcija</w:t>
            </w:r>
          </w:p>
        </w:tc>
      </w:tr>
      <w:tr w:rsidR="006E29F1" w:rsidRPr="0049528D" w14:paraId="1AEB2A70" w14:textId="77777777" w:rsidTr="00724CDC">
        <w:trPr>
          <w:gridAfter w:val="1"/>
          <w:wAfter w:w="7" w:type="dxa"/>
        </w:trPr>
        <w:tc>
          <w:tcPr>
            <w:tcW w:w="851" w:type="dxa"/>
            <w:tcBorders>
              <w:top w:val="single" w:sz="6" w:space="0" w:color="000000"/>
              <w:left w:val="single" w:sz="6" w:space="0" w:color="000000"/>
              <w:bottom w:val="single" w:sz="6" w:space="0" w:color="000000"/>
              <w:right w:val="single" w:sz="6" w:space="0" w:color="000000"/>
            </w:tcBorders>
            <w:vAlign w:val="center"/>
          </w:tcPr>
          <w:p w14:paraId="5B969DE1" w14:textId="02D0E7CC" w:rsidR="006E29F1" w:rsidRPr="006E29F1" w:rsidRDefault="006E29F1" w:rsidP="00174F57">
            <w:pPr>
              <w:pStyle w:val="naisc"/>
              <w:spacing w:before="0" w:after="0"/>
            </w:pPr>
            <w:r>
              <w:t>1</w:t>
            </w:r>
          </w:p>
        </w:tc>
        <w:tc>
          <w:tcPr>
            <w:tcW w:w="3083" w:type="dxa"/>
            <w:gridSpan w:val="2"/>
            <w:tcBorders>
              <w:top w:val="single" w:sz="6" w:space="0" w:color="000000"/>
              <w:left w:val="single" w:sz="6" w:space="0" w:color="000000"/>
              <w:bottom w:val="single" w:sz="6" w:space="0" w:color="000000"/>
              <w:right w:val="single" w:sz="6" w:space="0" w:color="000000"/>
            </w:tcBorders>
            <w:vAlign w:val="center"/>
          </w:tcPr>
          <w:p w14:paraId="3C33A37F" w14:textId="23593EC0" w:rsidR="006E29F1" w:rsidRPr="006E29F1" w:rsidRDefault="006E29F1" w:rsidP="00174F57">
            <w:pPr>
              <w:pStyle w:val="naisc"/>
              <w:spacing w:before="0" w:after="0"/>
              <w:ind w:firstLine="12"/>
            </w:pPr>
            <w:r>
              <w:t>2</w:t>
            </w:r>
          </w:p>
        </w:tc>
        <w:tc>
          <w:tcPr>
            <w:tcW w:w="3780" w:type="dxa"/>
            <w:tcBorders>
              <w:top w:val="single" w:sz="6" w:space="0" w:color="000000"/>
              <w:left w:val="single" w:sz="6" w:space="0" w:color="000000"/>
              <w:bottom w:val="single" w:sz="6" w:space="0" w:color="000000"/>
              <w:right w:val="single" w:sz="6" w:space="0" w:color="000000"/>
            </w:tcBorders>
            <w:vAlign w:val="center"/>
          </w:tcPr>
          <w:p w14:paraId="2414020D" w14:textId="31C903BA" w:rsidR="006E29F1" w:rsidRPr="006E29F1" w:rsidRDefault="006E29F1" w:rsidP="00174F57">
            <w:pPr>
              <w:pStyle w:val="naisc"/>
              <w:spacing w:before="0" w:after="0"/>
              <w:ind w:right="3"/>
            </w:pPr>
            <w:r>
              <w:t>3</w:t>
            </w:r>
          </w:p>
        </w:tc>
        <w:tc>
          <w:tcPr>
            <w:tcW w:w="3330" w:type="dxa"/>
            <w:gridSpan w:val="2"/>
            <w:tcBorders>
              <w:top w:val="single" w:sz="6" w:space="0" w:color="000000"/>
              <w:left w:val="single" w:sz="6" w:space="0" w:color="000000"/>
              <w:bottom w:val="single" w:sz="6" w:space="0" w:color="000000"/>
              <w:right w:val="single" w:sz="6" w:space="0" w:color="000000"/>
            </w:tcBorders>
            <w:vAlign w:val="center"/>
          </w:tcPr>
          <w:p w14:paraId="2E9F6811" w14:textId="07A0B4FD" w:rsidR="006E29F1" w:rsidRPr="006E29F1" w:rsidRDefault="006E29F1" w:rsidP="00174F57">
            <w:pPr>
              <w:pStyle w:val="naisc"/>
              <w:spacing w:before="0" w:after="0"/>
              <w:ind w:firstLine="21"/>
            </w:pPr>
            <w:r>
              <w:t>4</w:t>
            </w:r>
          </w:p>
        </w:tc>
        <w:tc>
          <w:tcPr>
            <w:tcW w:w="2978" w:type="dxa"/>
            <w:tcBorders>
              <w:top w:val="single" w:sz="4" w:space="0" w:color="auto"/>
              <w:left w:val="single" w:sz="4" w:space="0" w:color="auto"/>
              <w:bottom w:val="single" w:sz="4" w:space="0" w:color="auto"/>
            </w:tcBorders>
            <w:vAlign w:val="center"/>
          </w:tcPr>
          <w:p w14:paraId="3468289F" w14:textId="3B4C0D26" w:rsidR="006E29F1" w:rsidRPr="006E29F1" w:rsidRDefault="006E29F1" w:rsidP="00174F57">
            <w:pPr>
              <w:jc w:val="center"/>
            </w:pPr>
            <w:r>
              <w:t>5</w:t>
            </w:r>
          </w:p>
        </w:tc>
      </w:tr>
      <w:tr w:rsidR="001C10EE" w:rsidRPr="001C10EE" w14:paraId="47496594" w14:textId="77777777" w:rsidTr="008A08B3">
        <w:tc>
          <w:tcPr>
            <w:tcW w:w="14029" w:type="dxa"/>
            <w:gridSpan w:val="8"/>
            <w:tcBorders>
              <w:top w:val="single" w:sz="6" w:space="0" w:color="000000"/>
              <w:left w:val="single" w:sz="6" w:space="0" w:color="000000"/>
              <w:bottom w:val="single" w:sz="6" w:space="0" w:color="000000"/>
            </w:tcBorders>
            <w:vAlign w:val="center"/>
          </w:tcPr>
          <w:p w14:paraId="02B07A1D" w14:textId="45185A52" w:rsidR="001C10EE" w:rsidRPr="008D2C8A" w:rsidRDefault="001C10EE" w:rsidP="001C10EE">
            <w:pPr>
              <w:rPr>
                <w:b/>
              </w:rPr>
            </w:pPr>
            <w:r w:rsidRPr="008D2C8A">
              <w:rPr>
                <w:b/>
              </w:rPr>
              <w:t xml:space="preserve">Finanšu ministrijas 2019.gada </w:t>
            </w:r>
            <w:r w:rsidR="008D2C8A" w:rsidRPr="008D2C8A">
              <w:rPr>
                <w:b/>
              </w:rPr>
              <w:t>10.jūlija</w:t>
            </w:r>
            <w:r w:rsidRPr="008D2C8A">
              <w:rPr>
                <w:b/>
              </w:rPr>
              <w:t xml:space="preserve"> atzinumā minētie iebildumi </w:t>
            </w:r>
          </w:p>
        </w:tc>
      </w:tr>
      <w:tr w:rsidR="001D0E7B" w:rsidRPr="0049528D" w14:paraId="4C57ACE7" w14:textId="77777777" w:rsidTr="00724CDC">
        <w:trPr>
          <w:gridAfter w:val="1"/>
          <w:wAfter w:w="7" w:type="dxa"/>
        </w:trPr>
        <w:tc>
          <w:tcPr>
            <w:tcW w:w="851" w:type="dxa"/>
            <w:tcBorders>
              <w:left w:val="single" w:sz="6" w:space="0" w:color="000000"/>
              <w:bottom w:val="single" w:sz="4" w:space="0" w:color="auto"/>
              <w:right w:val="single" w:sz="6" w:space="0" w:color="000000"/>
            </w:tcBorders>
          </w:tcPr>
          <w:p w14:paraId="08BAAE8D" w14:textId="77777777" w:rsidR="001D0E7B" w:rsidRPr="0049528D" w:rsidRDefault="001D0E7B" w:rsidP="00471E03">
            <w:pPr>
              <w:pStyle w:val="naisc"/>
              <w:numPr>
                <w:ilvl w:val="0"/>
                <w:numId w:val="9"/>
              </w:numPr>
              <w:spacing w:before="0" w:after="0"/>
              <w:ind w:left="0" w:firstLine="0"/>
              <w:jc w:val="both"/>
            </w:pPr>
            <w:bookmarkStart w:id="0" w:name="_Hlk11248269"/>
          </w:p>
        </w:tc>
        <w:tc>
          <w:tcPr>
            <w:tcW w:w="3083" w:type="dxa"/>
            <w:gridSpan w:val="2"/>
            <w:tcBorders>
              <w:left w:val="single" w:sz="6" w:space="0" w:color="000000"/>
              <w:bottom w:val="single" w:sz="4" w:space="0" w:color="auto"/>
              <w:right w:val="single" w:sz="6" w:space="0" w:color="000000"/>
            </w:tcBorders>
          </w:tcPr>
          <w:p w14:paraId="3C86DF5B" w14:textId="77777777" w:rsidR="00A74B3C" w:rsidRPr="004659D0" w:rsidRDefault="00A74B3C" w:rsidP="00AE60F3">
            <w:pPr>
              <w:pStyle w:val="Sarakstarindkopa"/>
              <w:numPr>
                <w:ilvl w:val="0"/>
                <w:numId w:val="9"/>
              </w:numPr>
              <w:tabs>
                <w:tab w:val="left" w:pos="276"/>
              </w:tabs>
              <w:suppressAutoHyphens w:val="0"/>
              <w:ind w:left="6" w:firstLine="0"/>
              <w:jc w:val="both"/>
            </w:pPr>
            <w:r w:rsidRPr="004659D0">
              <w:t>Jautājumu par papildu nepieciešamā finansējuma piešķiršanu Tieslietu ministrijai 2020. gadam 511 34</w:t>
            </w:r>
            <w:r>
              <w:t>0</w:t>
            </w:r>
            <w:r w:rsidRPr="004659D0">
              <w:t xml:space="preserve"> </w:t>
            </w:r>
            <w:proofErr w:type="spellStart"/>
            <w:r w:rsidRPr="004659D0">
              <w:rPr>
                <w:i/>
                <w:iCs/>
              </w:rPr>
              <w:t>euro</w:t>
            </w:r>
            <w:proofErr w:type="spellEnd"/>
            <w:r w:rsidRPr="004659D0">
              <w:t xml:space="preserve"> apmērā un 2021.gadam un turpmākajiem gadiem 414 347 </w:t>
            </w:r>
            <w:proofErr w:type="spellStart"/>
            <w:r w:rsidRPr="004659D0">
              <w:rPr>
                <w:i/>
                <w:iCs/>
              </w:rPr>
              <w:t>euro</w:t>
            </w:r>
            <w:proofErr w:type="spellEnd"/>
            <w:r w:rsidRPr="004659D0">
              <w:t xml:space="preserve"> apmērā un Latvijas Republikas Prokuratūrai 2020.gadam 104 139 </w:t>
            </w:r>
            <w:proofErr w:type="spellStart"/>
            <w:r w:rsidRPr="004659D0">
              <w:rPr>
                <w:i/>
                <w:iCs/>
              </w:rPr>
              <w:t>euro</w:t>
            </w:r>
            <w:proofErr w:type="spellEnd"/>
            <w:r w:rsidRPr="004659D0">
              <w:t xml:space="preserve"> apmērā un 2021.gadam un turpmākajiem gadiem 49 404 </w:t>
            </w:r>
            <w:proofErr w:type="spellStart"/>
            <w:r w:rsidRPr="004659D0">
              <w:rPr>
                <w:i/>
                <w:iCs/>
              </w:rPr>
              <w:t>euro</w:t>
            </w:r>
            <w:proofErr w:type="spellEnd"/>
            <w:r w:rsidRPr="004659D0">
              <w:t xml:space="preserve"> apmērā izskatīt Ministru kabinetā likumprojekta "Par valsts budžetu 2020. gadam" un likumprojekta "Par vidēja termiņa budžeta ietvaru 2020., 2021. un 2022. gadam" sagatavošanas un izskatīšanas procesā kopā ar visu ministriju un citu centrālo </w:t>
            </w:r>
            <w:r w:rsidRPr="004659D0">
              <w:lastRenderedPageBreak/>
              <w:t xml:space="preserve">valsts iestāžu priekšlikumiem prioritārajiem pasākumiem atbilstoši valsts budžeta finansiālajām iespējām, </w:t>
            </w:r>
            <w:r>
              <w:t xml:space="preserve">paredzot finansējumu </w:t>
            </w:r>
            <w:r w:rsidRPr="004659D0">
              <w:t>šādiem mērķiem:</w:t>
            </w:r>
          </w:p>
          <w:p w14:paraId="1D3383DF" w14:textId="7DF18262" w:rsidR="00A74B3C" w:rsidRDefault="00A74B3C" w:rsidP="00501023">
            <w:pPr>
              <w:pStyle w:val="Sarakstarindkopa"/>
              <w:numPr>
                <w:ilvl w:val="1"/>
                <w:numId w:val="18"/>
              </w:numPr>
              <w:tabs>
                <w:tab w:val="left" w:pos="546"/>
              </w:tabs>
              <w:ind w:left="0" w:firstLine="6"/>
              <w:jc w:val="both"/>
              <w:rPr>
                <w:i/>
                <w:iCs/>
              </w:rPr>
            </w:pPr>
            <w:r w:rsidRPr="004659D0">
              <w:t>Tiesu</w:t>
            </w:r>
            <w:r>
              <w:t xml:space="preserve"> administrācijai</w:t>
            </w:r>
            <w:r w:rsidRPr="004659D0">
              <w:t xml:space="preserve"> 2020.gadam un turpmākajiem gadiem nomas maksas segšanai 250</w:t>
            </w:r>
            <w:r>
              <w:t> </w:t>
            </w:r>
            <w:r w:rsidRPr="004659D0">
              <w:t xml:space="preserve">034 </w:t>
            </w:r>
            <w:proofErr w:type="spellStart"/>
            <w:r w:rsidRPr="00501023">
              <w:rPr>
                <w:i/>
                <w:iCs/>
              </w:rPr>
              <w:t>euro</w:t>
            </w:r>
            <w:proofErr w:type="spellEnd"/>
            <w:r w:rsidRPr="00501023">
              <w:rPr>
                <w:i/>
                <w:iCs/>
              </w:rPr>
              <w:t>,</w:t>
            </w:r>
            <w:r>
              <w:t xml:space="preserve">  </w:t>
            </w:r>
            <w:r w:rsidRPr="004659D0">
              <w:t xml:space="preserve">komunālo pakalpojumu izdevumu segšanai  23 536 </w:t>
            </w:r>
            <w:proofErr w:type="spellStart"/>
            <w:r w:rsidRPr="00501023">
              <w:rPr>
                <w:i/>
                <w:iCs/>
              </w:rPr>
              <w:t>euro</w:t>
            </w:r>
            <w:proofErr w:type="spellEnd"/>
            <w:r w:rsidRPr="00501023">
              <w:rPr>
                <w:i/>
                <w:iCs/>
              </w:rPr>
              <w:t xml:space="preserve"> </w:t>
            </w:r>
            <w:r w:rsidRPr="004659D0">
              <w:t>un</w:t>
            </w:r>
            <w:r>
              <w:t xml:space="preserve"> </w:t>
            </w:r>
            <w:r w:rsidRPr="004659D0">
              <w:t>telpu aprīkošanai</w:t>
            </w:r>
            <w:r>
              <w:t xml:space="preserve"> 2020.gadā</w:t>
            </w:r>
            <w:r w:rsidRPr="00501023">
              <w:rPr>
                <w:i/>
                <w:iCs/>
              </w:rPr>
              <w:t xml:space="preserve"> </w:t>
            </w:r>
            <w:r>
              <w:t xml:space="preserve">66 186 </w:t>
            </w:r>
            <w:proofErr w:type="spellStart"/>
            <w:r w:rsidRPr="00501023">
              <w:rPr>
                <w:i/>
                <w:iCs/>
              </w:rPr>
              <w:t>euro</w:t>
            </w:r>
            <w:proofErr w:type="spellEnd"/>
            <w:r w:rsidRPr="00501023">
              <w:rPr>
                <w:i/>
                <w:iCs/>
              </w:rPr>
              <w:t>.</w:t>
            </w:r>
          </w:p>
          <w:p w14:paraId="5C56C55F" w14:textId="69E5900B" w:rsidR="00A74B3C" w:rsidRDefault="00A74B3C" w:rsidP="008A08B3">
            <w:pPr>
              <w:pStyle w:val="Sarakstarindkopa"/>
              <w:numPr>
                <w:ilvl w:val="1"/>
                <w:numId w:val="18"/>
              </w:numPr>
              <w:tabs>
                <w:tab w:val="left" w:pos="546"/>
              </w:tabs>
              <w:ind w:left="0" w:firstLine="6"/>
              <w:jc w:val="both"/>
              <w:rPr>
                <w:i/>
                <w:iCs/>
              </w:rPr>
            </w:pPr>
            <w:r>
              <w:t xml:space="preserve">Uzņēmumu reģistram  </w:t>
            </w:r>
            <w:r w:rsidRPr="006666A2">
              <w:t>2020.gadam un turpmākajiem gadiem nomas maksas segšanai</w:t>
            </w:r>
            <w:r>
              <w:t xml:space="preserve"> 30 914 </w:t>
            </w:r>
            <w:proofErr w:type="spellStart"/>
            <w:r w:rsidRPr="008A08B3">
              <w:rPr>
                <w:i/>
                <w:iCs/>
              </w:rPr>
              <w:t>euro</w:t>
            </w:r>
            <w:proofErr w:type="spellEnd"/>
            <w:r>
              <w:t xml:space="preserve"> un </w:t>
            </w:r>
            <w:r w:rsidRPr="006666A2">
              <w:t xml:space="preserve">komunālo pakalpojumu izdevumu segšanai  </w:t>
            </w:r>
            <w:r>
              <w:t xml:space="preserve">1 602 </w:t>
            </w:r>
            <w:proofErr w:type="spellStart"/>
            <w:r w:rsidRPr="008A08B3">
              <w:rPr>
                <w:i/>
                <w:iCs/>
              </w:rPr>
              <w:t>euro</w:t>
            </w:r>
            <w:proofErr w:type="spellEnd"/>
            <w:r w:rsidRPr="008A08B3">
              <w:rPr>
                <w:i/>
                <w:iCs/>
              </w:rPr>
              <w:t>.</w:t>
            </w:r>
          </w:p>
          <w:p w14:paraId="07DEB2AB" w14:textId="57BEA8B5" w:rsidR="00A74B3C" w:rsidRPr="008A08B3" w:rsidRDefault="00A74B3C" w:rsidP="008A08B3">
            <w:pPr>
              <w:pStyle w:val="Sarakstarindkopa"/>
              <w:numPr>
                <w:ilvl w:val="1"/>
                <w:numId w:val="18"/>
              </w:numPr>
              <w:tabs>
                <w:tab w:val="left" w:pos="546"/>
              </w:tabs>
              <w:ind w:left="0" w:firstLine="6"/>
              <w:jc w:val="both"/>
              <w:rPr>
                <w:i/>
                <w:iCs/>
              </w:rPr>
            </w:pPr>
            <w:r w:rsidRPr="00B14BD1">
              <w:t>Valsts probācijas dienestam</w:t>
            </w:r>
            <w:r>
              <w:t xml:space="preserve"> </w:t>
            </w:r>
            <w:r w:rsidRPr="006666A2">
              <w:t>2020.gadam un turpmākajiem gadiem nomas maksas segšanai</w:t>
            </w:r>
            <w:r>
              <w:t xml:space="preserve"> 26 592 </w:t>
            </w:r>
            <w:proofErr w:type="spellStart"/>
            <w:r w:rsidRPr="008A08B3">
              <w:rPr>
                <w:i/>
                <w:iCs/>
              </w:rPr>
              <w:t>euro</w:t>
            </w:r>
            <w:proofErr w:type="spellEnd"/>
            <w:r>
              <w:t>.</w:t>
            </w:r>
          </w:p>
          <w:p w14:paraId="057905D8" w14:textId="3729EBC0" w:rsidR="00A74B3C" w:rsidRDefault="00A74B3C" w:rsidP="008A08B3">
            <w:pPr>
              <w:pStyle w:val="Sarakstarindkopa"/>
              <w:numPr>
                <w:ilvl w:val="1"/>
                <w:numId w:val="18"/>
              </w:numPr>
              <w:tabs>
                <w:tab w:val="left" w:pos="546"/>
              </w:tabs>
              <w:ind w:left="0" w:firstLine="6"/>
              <w:jc w:val="both"/>
              <w:rPr>
                <w:i/>
                <w:iCs/>
              </w:rPr>
            </w:pPr>
            <w:r w:rsidRPr="00B14BD1">
              <w:t xml:space="preserve">Valsts valodas centram </w:t>
            </w:r>
            <w:r w:rsidRPr="006666A2">
              <w:t>2020.gadam un turpmākajiem gadiem nomas maksas segšanai</w:t>
            </w:r>
            <w:r>
              <w:t xml:space="preserve"> 1 375 </w:t>
            </w:r>
            <w:proofErr w:type="spellStart"/>
            <w:r w:rsidRPr="008A08B3">
              <w:rPr>
                <w:i/>
                <w:iCs/>
              </w:rPr>
              <w:t>euro</w:t>
            </w:r>
            <w:proofErr w:type="spellEnd"/>
            <w:r w:rsidRPr="008A08B3">
              <w:rPr>
                <w:i/>
                <w:iCs/>
              </w:rPr>
              <w:t xml:space="preserve"> </w:t>
            </w:r>
            <w:r>
              <w:t xml:space="preserve">un </w:t>
            </w:r>
            <w:r w:rsidRPr="006666A2">
              <w:t xml:space="preserve">komunālo pakalpojumu izdevumu segšanai  </w:t>
            </w:r>
            <w:r>
              <w:t xml:space="preserve">250 </w:t>
            </w:r>
            <w:proofErr w:type="spellStart"/>
            <w:r w:rsidRPr="008A08B3">
              <w:rPr>
                <w:i/>
                <w:iCs/>
              </w:rPr>
              <w:t>euro</w:t>
            </w:r>
            <w:proofErr w:type="spellEnd"/>
            <w:r w:rsidRPr="008A08B3">
              <w:rPr>
                <w:i/>
                <w:iCs/>
              </w:rPr>
              <w:t>.</w:t>
            </w:r>
          </w:p>
          <w:p w14:paraId="0EE1DA08" w14:textId="27CA861E" w:rsidR="00A74B3C" w:rsidRDefault="00A74B3C" w:rsidP="008A08B3">
            <w:pPr>
              <w:pStyle w:val="Sarakstarindkopa"/>
              <w:numPr>
                <w:ilvl w:val="1"/>
                <w:numId w:val="18"/>
              </w:numPr>
              <w:tabs>
                <w:tab w:val="left" w:pos="546"/>
              </w:tabs>
              <w:ind w:left="0" w:firstLine="6"/>
              <w:jc w:val="both"/>
              <w:rPr>
                <w:i/>
                <w:iCs/>
              </w:rPr>
            </w:pPr>
            <w:r w:rsidRPr="00B14BD1">
              <w:lastRenderedPageBreak/>
              <w:t>Valsts zemes dienestam</w:t>
            </w:r>
            <w:r>
              <w:t xml:space="preserve"> </w:t>
            </w:r>
            <w:r w:rsidRPr="006666A2">
              <w:t>2020.gadam un turpmākajiem gadiem nomas maksas segšanai</w:t>
            </w:r>
            <w:r>
              <w:t xml:space="preserve"> 80 044 </w:t>
            </w:r>
            <w:proofErr w:type="spellStart"/>
            <w:r w:rsidRPr="008A08B3">
              <w:rPr>
                <w:i/>
                <w:iCs/>
              </w:rPr>
              <w:t>euro</w:t>
            </w:r>
            <w:proofErr w:type="spellEnd"/>
            <w:r w:rsidRPr="008A08B3">
              <w:rPr>
                <w:i/>
                <w:iCs/>
              </w:rPr>
              <w:t xml:space="preserve"> </w:t>
            </w:r>
            <w:r w:rsidRPr="004659D0">
              <w:t>un</w:t>
            </w:r>
            <w:r>
              <w:t xml:space="preserve"> </w:t>
            </w:r>
            <w:r w:rsidRPr="006666A2">
              <w:t>telpu aprīkošanai</w:t>
            </w:r>
            <w:r>
              <w:t xml:space="preserve"> 2020.gadā 30 807 </w:t>
            </w:r>
            <w:proofErr w:type="spellStart"/>
            <w:r w:rsidRPr="008A08B3">
              <w:rPr>
                <w:i/>
                <w:iCs/>
              </w:rPr>
              <w:t>euro</w:t>
            </w:r>
            <w:proofErr w:type="spellEnd"/>
            <w:r w:rsidRPr="008A08B3">
              <w:rPr>
                <w:i/>
                <w:iCs/>
              </w:rPr>
              <w:t>.</w:t>
            </w:r>
          </w:p>
          <w:p w14:paraId="09761EFB" w14:textId="77777777" w:rsidR="00A74B3C" w:rsidRPr="008A08B3" w:rsidRDefault="00A74B3C" w:rsidP="008A08B3">
            <w:pPr>
              <w:pStyle w:val="Sarakstarindkopa"/>
              <w:numPr>
                <w:ilvl w:val="1"/>
                <w:numId w:val="18"/>
              </w:numPr>
              <w:tabs>
                <w:tab w:val="left" w:pos="546"/>
              </w:tabs>
              <w:ind w:left="0" w:firstLine="6"/>
              <w:jc w:val="both"/>
              <w:rPr>
                <w:i/>
                <w:iCs/>
              </w:rPr>
            </w:pPr>
            <w:r w:rsidRPr="006666A2">
              <w:t>Latvijas Republikas Prokuratūrai</w:t>
            </w:r>
            <w:r>
              <w:t xml:space="preserve"> </w:t>
            </w:r>
            <w:r w:rsidRPr="006666A2">
              <w:t>2020.gadam un turpmākajiem gadiem nomas maksas segšanai</w:t>
            </w:r>
            <w:r>
              <w:t xml:space="preserve"> 47 850 </w:t>
            </w:r>
            <w:proofErr w:type="spellStart"/>
            <w:r w:rsidRPr="008A08B3">
              <w:rPr>
                <w:i/>
                <w:iCs/>
              </w:rPr>
              <w:t>euro</w:t>
            </w:r>
            <w:proofErr w:type="spellEnd"/>
            <w:r w:rsidRPr="008A08B3">
              <w:rPr>
                <w:i/>
                <w:iCs/>
              </w:rPr>
              <w:t>,</w:t>
            </w:r>
            <w:r>
              <w:t xml:space="preserve"> </w:t>
            </w:r>
            <w:r w:rsidRPr="006666A2">
              <w:t xml:space="preserve">komunālo pakalpojumu izdevumu segšanai  </w:t>
            </w:r>
            <w:r>
              <w:t xml:space="preserve">1 554 </w:t>
            </w:r>
            <w:proofErr w:type="spellStart"/>
            <w:r w:rsidRPr="008A08B3">
              <w:rPr>
                <w:i/>
                <w:iCs/>
              </w:rPr>
              <w:t>euro</w:t>
            </w:r>
            <w:proofErr w:type="spellEnd"/>
            <w:r w:rsidRPr="008A08B3">
              <w:rPr>
                <w:i/>
                <w:iCs/>
              </w:rPr>
              <w:t xml:space="preserve"> </w:t>
            </w:r>
            <w:r w:rsidRPr="004659D0">
              <w:t>un</w:t>
            </w:r>
            <w:r w:rsidRPr="008A08B3">
              <w:rPr>
                <w:i/>
                <w:iCs/>
              </w:rPr>
              <w:t xml:space="preserve"> </w:t>
            </w:r>
            <w:r w:rsidRPr="006666A2">
              <w:t>telpu aprīkošanai</w:t>
            </w:r>
            <w:r>
              <w:t xml:space="preserve"> 2020.gadā 54 735 </w:t>
            </w:r>
            <w:proofErr w:type="spellStart"/>
            <w:r w:rsidRPr="008A08B3">
              <w:rPr>
                <w:i/>
                <w:iCs/>
              </w:rPr>
              <w:t>euro</w:t>
            </w:r>
            <w:proofErr w:type="spellEnd"/>
            <w:r w:rsidRPr="008A08B3">
              <w:rPr>
                <w:i/>
                <w:iCs/>
              </w:rPr>
              <w:t>.</w:t>
            </w:r>
          </w:p>
          <w:p w14:paraId="7D8EE345" w14:textId="5A277FF4" w:rsidR="001D0E7B" w:rsidRPr="0049528D" w:rsidRDefault="001D0E7B" w:rsidP="00A74B3C">
            <w:pPr>
              <w:pStyle w:val="Sarakstarindkopa"/>
              <w:tabs>
                <w:tab w:val="left" w:pos="0"/>
              </w:tabs>
              <w:ind w:left="0" w:firstLine="6"/>
              <w:jc w:val="both"/>
            </w:pPr>
          </w:p>
        </w:tc>
        <w:tc>
          <w:tcPr>
            <w:tcW w:w="3780" w:type="dxa"/>
            <w:tcBorders>
              <w:top w:val="single" w:sz="4" w:space="0" w:color="auto"/>
              <w:left w:val="single" w:sz="4" w:space="0" w:color="auto"/>
              <w:bottom w:val="single" w:sz="4" w:space="0" w:color="auto"/>
              <w:right w:val="single" w:sz="4" w:space="0" w:color="auto"/>
            </w:tcBorders>
          </w:tcPr>
          <w:p w14:paraId="3BF3FB11" w14:textId="747CB5E3" w:rsidR="0051436C" w:rsidRDefault="0051436C" w:rsidP="00AE60F3">
            <w:pPr>
              <w:tabs>
                <w:tab w:val="left" w:pos="432"/>
              </w:tabs>
              <w:spacing w:line="276" w:lineRule="auto"/>
              <w:ind w:firstLine="20"/>
              <w:jc w:val="both"/>
              <w:rPr>
                <w:color w:val="000000" w:themeColor="text1"/>
              </w:rPr>
            </w:pPr>
            <w:r>
              <w:rPr>
                <w:rFonts w:eastAsiaTheme="minorHAnsi"/>
                <w:color w:val="000000" w:themeColor="text1"/>
              </w:rPr>
              <w:lastRenderedPageBreak/>
              <w:t>1.</w:t>
            </w:r>
            <w:r w:rsidR="00AE60F3">
              <w:rPr>
                <w:rFonts w:eastAsiaTheme="minorHAnsi"/>
                <w:color w:val="000000" w:themeColor="text1"/>
              </w:rPr>
              <w:t xml:space="preserve"> </w:t>
            </w:r>
            <w:r>
              <w:rPr>
                <w:rFonts w:eastAsiaTheme="minorHAnsi"/>
                <w:color w:val="000000" w:themeColor="text1"/>
              </w:rPr>
              <w:t xml:space="preserve">Lūdzam izvērtēt </w:t>
            </w:r>
            <w:r w:rsidRPr="00A71C1B">
              <w:rPr>
                <w:color w:val="000000" w:themeColor="text1"/>
              </w:rPr>
              <w:t>MK protokollēmuma projekta 2.punktā norādītos telpu aprīkošanas vienreizējos izdevumus un</w:t>
            </w:r>
            <w:r>
              <w:rPr>
                <w:color w:val="000000" w:themeColor="text1"/>
              </w:rPr>
              <w:t xml:space="preserve"> tos samazināt</w:t>
            </w:r>
            <w:r w:rsidRPr="00A71C1B">
              <w:rPr>
                <w:color w:val="000000" w:themeColor="text1"/>
              </w:rPr>
              <w:t>, piemēram, Zemgales rajona tiesai (Jēkabpilī) plānotos izdevumus par ozolkoka tiesas sēžu zāles mēbeļu atjaunošanu un citu mēbeļu restaurāciju,  3 virtuvju ierīkošanu, kā arī Latvijas Republikas Prokuratūrai plānotos izdevumus, to vienību cenu un daudzumu, piemēram, 4 dīvāniem, optiskā pieslēguma pārvietošanai, telefona aparātiem, virtuves iekārtai.</w:t>
            </w:r>
          </w:p>
          <w:p w14:paraId="0A0E21E5" w14:textId="0D83A848" w:rsidR="001D0E7B" w:rsidRPr="0049528D" w:rsidRDefault="001D0E7B" w:rsidP="00403B5E">
            <w:pPr>
              <w:ind w:firstLine="313"/>
              <w:jc w:val="both"/>
            </w:pPr>
          </w:p>
        </w:tc>
        <w:tc>
          <w:tcPr>
            <w:tcW w:w="3330" w:type="dxa"/>
            <w:gridSpan w:val="2"/>
            <w:tcBorders>
              <w:left w:val="single" w:sz="6" w:space="0" w:color="000000"/>
              <w:bottom w:val="single" w:sz="4" w:space="0" w:color="auto"/>
              <w:right w:val="single" w:sz="6" w:space="0" w:color="000000"/>
            </w:tcBorders>
          </w:tcPr>
          <w:p w14:paraId="5B36FD52" w14:textId="1CCD7F27" w:rsidR="001D0E7B" w:rsidRPr="0049528D" w:rsidRDefault="00174F57" w:rsidP="001E5C47">
            <w:pPr>
              <w:pStyle w:val="naisc"/>
              <w:spacing w:before="0" w:after="0"/>
              <w:jc w:val="both"/>
              <w:rPr>
                <w:b/>
              </w:rPr>
            </w:pPr>
            <w:r w:rsidRPr="0049528D">
              <w:rPr>
                <w:b/>
              </w:rPr>
              <w:t xml:space="preserve">Ņemts vērā </w:t>
            </w:r>
            <w:r w:rsidR="000437C2">
              <w:rPr>
                <w:b/>
              </w:rPr>
              <w:t xml:space="preserve">daļēji </w:t>
            </w:r>
          </w:p>
          <w:p w14:paraId="7E1CA846" w14:textId="3A43C1B2" w:rsidR="00DD0387" w:rsidRDefault="00DD0387" w:rsidP="001E5C47">
            <w:pPr>
              <w:autoSpaceDE w:val="0"/>
              <w:autoSpaceDN w:val="0"/>
              <w:jc w:val="both"/>
            </w:pPr>
            <w:r>
              <w:t xml:space="preserve">Latvijas Republikas prokuratūra nevar vairāk samazināt izdevumus mēbeļu un atsevišķa aprīkojuma iegādei, un paskaidro, ka Prokuratūrai 44 prokuratūras struktūrvienību materiāltehniskās bāzes nodrošināšanai bāzes izdevumos pamatlīdzekļu iegādei paredzēti 53 559 </w:t>
            </w:r>
            <w:proofErr w:type="spellStart"/>
            <w:r>
              <w:t>euro</w:t>
            </w:r>
            <w:proofErr w:type="spellEnd"/>
            <w:r>
              <w:t xml:space="preserve"> gadā, jeb vidēji 1 217 </w:t>
            </w:r>
            <w:proofErr w:type="spellStart"/>
            <w:r>
              <w:t>euro</w:t>
            </w:r>
            <w:proofErr w:type="spellEnd"/>
            <w:r>
              <w:t xml:space="preserve"> uz 1 struktūrvienību gadā un inventāra iegādei paredzēti 61 000 </w:t>
            </w:r>
            <w:proofErr w:type="spellStart"/>
            <w:r>
              <w:t>euro</w:t>
            </w:r>
            <w:proofErr w:type="spellEnd"/>
            <w:r>
              <w:t xml:space="preserve"> gadā, jeb vidēji 1 386 </w:t>
            </w:r>
            <w:proofErr w:type="spellStart"/>
            <w:r>
              <w:t>euro</w:t>
            </w:r>
            <w:proofErr w:type="spellEnd"/>
            <w:r>
              <w:t xml:space="preserve"> uz 1 struktūrvienību gadā. </w:t>
            </w:r>
          </w:p>
          <w:p w14:paraId="2C707932" w14:textId="77777777" w:rsidR="00DD0387" w:rsidRDefault="00DD0387" w:rsidP="001E5C47">
            <w:pPr>
              <w:autoSpaceDE w:val="0"/>
              <w:autoSpaceDN w:val="0"/>
              <w:jc w:val="both"/>
            </w:pPr>
            <w:r>
              <w:t xml:space="preserve">Sedzot pārcelšanās un nepieciešamā aprīkojuma izdevumus Prokuratūras esošā budžeta ietvaros, nepieprasot papildu finansējumu, visām </w:t>
            </w:r>
            <w:r>
              <w:lastRenderedPageBreak/>
              <w:t>pārējām prokuratūras struktūrvienībām visa gada ietvaros nevarēsim nodrošināt pat šādu, mūsuprāt, pieticīgu atbalstu  materiāltehniskās bāzes atjaunošanai Prokuratūras funkciju nodrošināšanai.</w:t>
            </w:r>
          </w:p>
          <w:p w14:paraId="71E63F10" w14:textId="66AC122D" w:rsidR="00DD0387" w:rsidRDefault="00DD0387" w:rsidP="001E5C47">
            <w:pPr>
              <w:autoSpaceDE w:val="0"/>
              <w:autoSpaceDN w:val="0"/>
              <w:jc w:val="both"/>
            </w:pPr>
            <w:r>
              <w:t xml:space="preserve">Savukārt šobrīd esošo mēbeļu pārcelšana uz jaunām telpām nebūtu pieņemama, jo tā neiederēsies jauno telpu plānojumā. </w:t>
            </w:r>
          </w:p>
          <w:p w14:paraId="67A1164B" w14:textId="287C8E6A" w:rsidR="00174F57" w:rsidRPr="0049528D" w:rsidRDefault="00734D03" w:rsidP="006F63F3">
            <w:pPr>
              <w:autoSpaceDE w:val="0"/>
              <w:autoSpaceDN w:val="0"/>
              <w:jc w:val="both"/>
            </w:pPr>
            <w:r>
              <w:t xml:space="preserve">Attiecībā uz </w:t>
            </w:r>
            <w:r w:rsidR="001E5C47">
              <w:t>vienas tiesas zāles aprīkošanu ar Latvijas laika ozolkoka mēbelēm</w:t>
            </w:r>
            <w:r w:rsidR="006F63F3">
              <w:t xml:space="preserve"> sniedzam šādu pamatojumu.</w:t>
            </w:r>
            <w:r w:rsidR="001E5C47">
              <w:t xml:space="preserve"> Šo tiesas zāli ir iespējams aprīkot arī ar jaunām mēbelēm un to izmaksas būtu aptuveni par 50% zemākas</w:t>
            </w:r>
            <w:r w:rsidR="006F63F3">
              <w:t>,</w:t>
            </w:r>
            <w:r w:rsidR="001E5C47">
              <w:t xml:space="preserve"> taču to pielietojums ilgtermiņā neattaisnos to iegādes izdevumus. Vēsturisko ozolkoka mēbeļu derīgās lietošanas laiks ir būtiski vairāku gadu ilgāks kā mūsdienās izgatavoto mēbeļu derīgās lietošanas laiks. Šīs mēbeles traktējamas kā Latvijas kultūrvēsturiskais mantojums, savulaik speciāli gatavotas tiesas sēžu zāļu aprīkošanai. </w:t>
            </w:r>
            <w:r w:rsidR="001E5C47" w:rsidRPr="006C4CCF">
              <w:t xml:space="preserve">Jauno tiesas zāli ir arī iespējams </w:t>
            </w:r>
            <w:r w:rsidR="0043298E" w:rsidRPr="006C4CCF">
              <w:lastRenderedPageBreak/>
              <w:t xml:space="preserve">aprīkot ar šīm pašām ozolkoka mēbelēm nerestaurējot tās, kuras daudzu desmitu gadu laikā zaudējušas savu vizuāli estētisko izskatu, bet kāds priekšstats šajā gadījumā veidosies tās apmeklētājiem par tiesas iestādes </w:t>
            </w:r>
            <w:proofErr w:type="spellStart"/>
            <w:r w:rsidR="0043298E" w:rsidRPr="006C4CCF">
              <w:t>res</w:t>
            </w:r>
            <w:bookmarkStart w:id="1" w:name="_GoBack"/>
            <w:bookmarkEnd w:id="1"/>
            <w:r w:rsidR="0043298E" w:rsidRPr="006C4CCF">
              <w:t>pektablitāti</w:t>
            </w:r>
            <w:proofErr w:type="spellEnd"/>
            <w:r w:rsidR="0043298E" w:rsidRPr="006C4CCF">
              <w:t>.</w:t>
            </w:r>
          </w:p>
        </w:tc>
        <w:tc>
          <w:tcPr>
            <w:tcW w:w="2978" w:type="dxa"/>
            <w:tcBorders>
              <w:top w:val="single" w:sz="4" w:space="0" w:color="auto"/>
              <w:left w:val="single" w:sz="4" w:space="0" w:color="auto"/>
              <w:bottom w:val="single" w:sz="4" w:space="0" w:color="auto"/>
            </w:tcBorders>
          </w:tcPr>
          <w:p w14:paraId="29E11D7B" w14:textId="52BD5251" w:rsidR="00A3483E" w:rsidRPr="0049528D" w:rsidRDefault="00617BDF" w:rsidP="00AE6553">
            <w:pPr>
              <w:jc w:val="both"/>
            </w:pPr>
            <w:r>
              <w:lastRenderedPageBreak/>
              <w:t>P</w:t>
            </w:r>
            <w:r w:rsidR="00A3483E" w:rsidRPr="0049528D">
              <w:t>recizē</w:t>
            </w:r>
            <w:r>
              <w:t>ts</w:t>
            </w:r>
            <w:r w:rsidR="007C137B" w:rsidRPr="0049528D">
              <w:t xml:space="preserve"> MK protokollēmum</w:t>
            </w:r>
            <w:r w:rsidR="00636040">
              <w:t>a 2.punkt</w:t>
            </w:r>
            <w:r>
              <w:t>s</w:t>
            </w:r>
            <w:r w:rsidR="002E6F48">
              <w:t xml:space="preserve"> un </w:t>
            </w:r>
            <w:r w:rsidR="005E3CBE">
              <w:t>informatīvā ziņojuma pielikum</w:t>
            </w:r>
            <w:r>
              <w:t>s</w:t>
            </w:r>
            <w:r w:rsidR="005E3CBE">
              <w:t xml:space="preserve"> Nr.1. </w:t>
            </w:r>
          </w:p>
          <w:p w14:paraId="3C34B02E" w14:textId="77777777" w:rsidR="001D0E7B" w:rsidRPr="0049528D" w:rsidRDefault="001D0E7B" w:rsidP="00AE6553">
            <w:pPr>
              <w:jc w:val="both"/>
            </w:pPr>
          </w:p>
        </w:tc>
      </w:tr>
      <w:bookmarkEnd w:id="0"/>
      <w:tr w:rsidR="001D0E7B" w:rsidRPr="0049528D" w14:paraId="142625AB" w14:textId="77777777" w:rsidTr="00724CDC">
        <w:trPr>
          <w:gridAfter w:val="1"/>
          <w:wAfter w:w="7" w:type="dxa"/>
        </w:trPr>
        <w:tc>
          <w:tcPr>
            <w:tcW w:w="851" w:type="dxa"/>
            <w:tcBorders>
              <w:left w:val="single" w:sz="6" w:space="0" w:color="000000"/>
              <w:bottom w:val="single" w:sz="4" w:space="0" w:color="auto"/>
              <w:right w:val="single" w:sz="6" w:space="0" w:color="000000"/>
            </w:tcBorders>
          </w:tcPr>
          <w:p w14:paraId="5A90EBBD" w14:textId="4CDA5B36" w:rsidR="001D0E7B" w:rsidRPr="0049528D" w:rsidRDefault="00420FEA" w:rsidP="00420FEA">
            <w:pPr>
              <w:pStyle w:val="naisc"/>
              <w:spacing w:before="0" w:after="0"/>
              <w:jc w:val="both"/>
            </w:pPr>
            <w:r>
              <w:lastRenderedPageBreak/>
              <w:t>2</w:t>
            </w:r>
          </w:p>
        </w:tc>
        <w:tc>
          <w:tcPr>
            <w:tcW w:w="3083" w:type="dxa"/>
            <w:gridSpan w:val="2"/>
            <w:tcBorders>
              <w:left w:val="single" w:sz="6" w:space="0" w:color="000000"/>
              <w:bottom w:val="single" w:sz="4" w:space="0" w:color="auto"/>
              <w:right w:val="single" w:sz="6" w:space="0" w:color="000000"/>
            </w:tcBorders>
          </w:tcPr>
          <w:p w14:paraId="22CF7F79" w14:textId="079BD1FC" w:rsidR="00420FEA" w:rsidRPr="006666A2" w:rsidRDefault="00420FEA" w:rsidP="00420FEA">
            <w:pPr>
              <w:pStyle w:val="Bezatstarpm"/>
              <w:tabs>
                <w:tab w:val="left" w:pos="284"/>
              </w:tabs>
              <w:ind w:left="-84" w:firstLine="180"/>
              <w:jc w:val="both"/>
              <w:rPr>
                <w:szCs w:val="24"/>
                <w:lang w:val="lv-LV"/>
              </w:rPr>
            </w:pPr>
            <w:r>
              <w:rPr>
                <w:lang w:val="lv-LV"/>
              </w:rPr>
              <w:t xml:space="preserve">3. Pēc </w:t>
            </w:r>
            <w:r w:rsidRPr="004659D0">
              <w:rPr>
                <w:szCs w:val="24"/>
                <w:lang w:val="lv-LV"/>
              </w:rPr>
              <w:t>papildu nepieciešamā finansējuma piešķiršan</w:t>
            </w:r>
            <w:r>
              <w:rPr>
                <w:szCs w:val="24"/>
                <w:lang w:val="lv-LV"/>
              </w:rPr>
              <w:t>as,</w:t>
            </w:r>
            <w:r w:rsidRPr="004659D0">
              <w:rPr>
                <w:szCs w:val="24"/>
                <w:lang w:val="lv-LV"/>
              </w:rPr>
              <w:t xml:space="preserve"> </w:t>
            </w:r>
            <w:r w:rsidRPr="006666A2">
              <w:rPr>
                <w:szCs w:val="24"/>
                <w:lang w:val="lv-LV"/>
              </w:rPr>
              <w:t>Tieslietu ministrijai un Latvijas Republikas Prokuratūrai</w:t>
            </w:r>
            <w:r>
              <w:rPr>
                <w:szCs w:val="24"/>
                <w:lang w:val="lv-LV"/>
              </w:rPr>
              <w:t>, sagatavojot priekšlikumus l</w:t>
            </w:r>
            <w:r w:rsidRPr="006666A2">
              <w:rPr>
                <w:szCs w:val="24"/>
                <w:lang w:val="lv-LV"/>
              </w:rPr>
              <w:t>ikumprojekt</w:t>
            </w:r>
            <w:r>
              <w:rPr>
                <w:szCs w:val="24"/>
                <w:lang w:val="lv-LV"/>
              </w:rPr>
              <w:t>am</w:t>
            </w:r>
            <w:r w:rsidRPr="006666A2">
              <w:rPr>
                <w:szCs w:val="24"/>
                <w:lang w:val="lv-LV"/>
              </w:rPr>
              <w:t xml:space="preserve"> "Par valsts budžetu 2020. gadam"</w:t>
            </w:r>
            <w:r>
              <w:rPr>
                <w:szCs w:val="24"/>
                <w:lang w:val="lv-LV"/>
              </w:rPr>
              <w:t>, iekļaut tajā ilgtermiņa saistību pasākumu "</w:t>
            </w:r>
            <w:r w:rsidRPr="006666A2">
              <w:rPr>
                <w:szCs w:val="24"/>
                <w:lang w:val="lv-LV"/>
              </w:rPr>
              <w:t xml:space="preserve">Administratīvā centra </w:t>
            </w:r>
            <w:r w:rsidRPr="00ED1F5E">
              <w:rPr>
                <w:szCs w:val="24"/>
                <w:lang w:val="lv-LV"/>
              </w:rPr>
              <w:t xml:space="preserve">Neretas ielā 29, Jēkabpilī </w:t>
            </w:r>
            <w:r w:rsidRPr="006666A2">
              <w:rPr>
                <w:szCs w:val="24"/>
                <w:lang w:val="lv-LV"/>
              </w:rPr>
              <w:t>nomas maksa</w:t>
            </w:r>
            <w:r>
              <w:rPr>
                <w:szCs w:val="24"/>
                <w:lang w:val="lv-LV"/>
              </w:rPr>
              <w:t>" paredzot tam finansējumu 2020.-</w:t>
            </w:r>
            <w:r w:rsidRPr="00061EE6">
              <w:rPr>
                <w:szCs w:val="24"/>
                <w:lang w:val="lv-LV"/>
              </w:rPr>
              <w:t>20</w:t>
            </w:r>
            <w:r w:rsidRPr="00DF0105">
              <w:rPr>
                <w:szCs w:val="24"/>
                <w:lang w:val="lv-LV"/>
              </w:rPr>
              <w:t>39</w:t>
            </w:r>
            <w:r w:rsidRPr="00061EE6">
              <w:rPr>
                <w:szCs w:val="24"/>
                <w:lang w:val="lv-LV"/>
              </w:rPr>
              <w:t>.gadā:</w:t>
            </w:r>
            <w:r>
              <w:rPr>
                <w:szCs w:val="24"/>
                <w:lang w:val="lv-LV"/>
              </w:rPr>
              <w:t xml:space="preserve">  </w:t>
            </w:r>
          </w:p>
          <w:p w14:paraId="0D5A0B3E" w14:textId="77777777" w:rsidR="00420FEA" w:rsidRDefault="00420FEA" w:rsidP="00420FEA">
            <w:pPr>
              <w:pStyle w:val="Sarakstarindkopa"/>
              <w:tabs>
                <w:tab w:val="left" w:pos="284"/>
              </w:tabs>
              <w:ind w:left="-84" w:firstLine="180"/>
              <w:rPr>
                <w:i/>
                <w:iCs/>
              </w:rPr>
            </w:pPr>
            <w:r>
              <w:t xml:space="preserve">3.1. </w:t>
            </w:r>
            <w:r w:rsidRPr="006666A2">
              <w:t>Tiesu administrācijai</w:t>
            </w:r>
            <w:r>
              <w:t xml:space="preserve"> </w:t>
            </w:r>
            <w:r w:rsidRPr="006666A2">
              <w:t xml:space="preserve">– 356 756 </w:t>
            </w:r>
            <w:proofErr w:type="spellStart"/>
            <w:r w:rsidRPr="006666A2">
              <w:rPr>
                <w:i/>
                <w:iCs/>
              </w:rPr>
              <w:t>euro</w:t>
            </w:r>
            <w:proofErr w:type="spellEnd"/>
            <w:r>
              <w:rPr>
                <w:i/>
                <w:iCs/>
              </w:rPr>
              <w:t xml:space="preserve"> ik gadu;</w:t>
            </w:r>
          </w:p>
          <w:p w14:paraId="62BD6195" w14:textId="394FD204" w:rsidR="00420FEA" w:rsidRPr="00420FEA" w:rsidRDefault="00420FEA" w:rsidP="00420FEA">
            <w:pPr>
              <w:pStyle w:val="Sarakstarindkopa"/>
              <w:tabs>
                <w:tab w:val="left" w:pos="284"/>
              </w:tabs>
              <w:ind w:left="-84" w:firstLine="180"/>
              <w:rPr>
                <w:i/>
                <w:iCs/>
              </w:rPr>
            </w:pPr>
            <w:r>
              <w:lastRenderedPageBreak/>
              <w:t xml:space="preserve">3.2. Uzņēmumu reģistram – 30 914 </w:t>
            </w:r>
            <w:proofErr w:type="spellStart"/>
            <w:r w:rsidRPr="006666A2">
              <w:rPr>
                <w:i/>
                <w:iCs/>
              </w:rPr>
              <w:t>euro</w:t>
            </w:r>
            <w:proofErr w:type="spellEnd"/>
            <w:r>
              <w:rPr>
                <w:i/>
                <w:iCs/>
              </w:rPr>
              <w:t xml:space="preserve"> ik gadu;</w:t>
            </w:r>
          </w:p>
          <w:p w14:paraId="165570AA" w14:textId="77777777" w:rsidR="00420FEA" w:rsidRDefault="00420FEA" w:rsidP="00420FEA">
            <w:pPr>
              <w:pStyle w:val="Sarakstarindkopa"/>
              <w:tabs>
                <w:tab w:val="left" w:pos="284"/>
              </w:tabs>
              <w:ind w:left="-84" w:firstLine="180"/>
              <w:rPr>
                <w:i/>
                <w:iCs/>
              </w:rPr>
            </w:pPr>
            <w:r>
              <w:t xml:space="preserve">3.3. Valsts probācijas dienestam – 44 882 </w:t>
            </w:r>
            <w:proofErr w:type="spellStart"/>
            <w:r w:rsidRPr="006666A2">
              <w:rPr>
                <w:i/>
                <w:iCs/>
              </w:rPr>
              <w:t>euro</w:t>
            </w:r>
            <w:proofErr w:type="spellEnd"/>
            <w:r>
              <w:rPr>
                <w:i/>
                <w:iCs/>
              </w:rPr>
              <w:t xml:space="preserve"> ik gadu;</w:t>
            </w:r>
          </w:p>
          <w:p w14:paraId="66CFF3EF" w14:textId="77777777" w:rsidR="00420FEA" w:rsidRDefault="00420FEA" w:rsidP="00420FEA">
            <w:pPr>
              <w:pStyle w:val="Sarakstarindkopa"/>
              <w:tabs>
                <w:tab w:val="left" w:pos="284"/>
              </w:tabs>
              <w:ind w:left="-84" w:firstLine="180"/>
              <w:rPr>
                <w:i/>
                <w:iCs/>
              </w:rPr>
            </w:pPr>
            <w:r>
              <w:t xml:space="preserve">3.4. </w:t>
            </w:r>
            <w:r w:rsidRPr="006666A2">
              <w:t>Valsts valodas centram</w:t>
            </w:r>
            <w:r>
              <w:t xml:space="preserve"> – 1 884 </w:t>
            </w:r>
            <w:proofErr w:type="spellStart"/>
            <w:r w:rsidRPr="006666A2">
              <w:rPr>
                <w:i/>
                <w:iCs/>
              </w:rPr>
              <w:t>euro</w:t>
            </w:r>
            <w:proofErr w:type="spellEnd"/>
            <w:r>
              <w:rPr>
                <w:i/>
                <w:iCs/>
              </w:rPr>
              <w:t xml:space="preserve"> ik gadu;</w:t>
            </w:r>
          </w:p>
          <w:p w14:paraId="52CE1148" w14:textId="77777777" w:rsidR="00420FEA" w:rsidRDefault="00420FEA" w:rsidP="00420FEA">
            <w:pPr>
              <w:pStyle w:val="Sarakstarindkopa"/>
              <w:tabs>
                <w:tab w:val="left" w:pos="284"/>
              </w:tabs>
              <w:ind w:left="-84" w:firstLine="180"/>
              <w:rPr>
                <w:i/>
                <w:iCs/>
              </w:rPr>
            </w:pPr>
            <w:r>
              <w:t xml:space="preserve">3.5. </w:t>
            </w:r>
            <w:r w:rsidRPr="006666A2">
              <w:t>Valsts zemes dienestam</w:t>
            </w:r>
            <w:r>
              <w:t xml:space="preserve"> – 87 784 </w:t>
            </w:r>
            <w:proofErr w:type="spellStart"/>
            <w:r w:rsidRPr="006666A2">
              <w:rPr>
                <w:i/>
                <w:iCs/>
              </w:rPr>
              <w:t>euro</w:t>
            </w:r>
            <w:proofErr w:type="spellEnd"/>
            <w:r>
              <w:rPr>
                <w:i/>
                <w:iCs/>
              </w:rPr>
              <w:t xml:space="preserve"> ik gadu;</w:t>
            </w:r>
          </w:p>
          <w:p w14:paraId="4679E1DB" w14:textId="77777777" w:rsidR="00420FEA" w:rsidRPr="006666A2" w:rsidRDefault="00420FEA" w:rsidP="00420FEA">
            <w:pPr>
              <w:pStyle w:val="Sarakstarindkopa"/>
              <w:tabs>
                <w:tab w:val="left" w:pos="284"/>
              </w:tabs>
              <w:ind w:left="-84" w:firstLine="180"/>
            </w:pPr>
            <w:r>
              <w:t xml:space="preserve">3.6. </w:t>
            </w:r>
            <w:r w:rsidRPr="006666A2">
              <w:t>Latvijas Republikas Prokuratūrai</w:t>
            </w:r>
            <w:r>
              <w:t xml:space="preserve"> – 55 266 </w:t>
            </w:r>
            <w:proofErr w:type="spellStart"/>
            <w:r w:rsidRPr="006666A2">
              <w:rPr>
                <w:i/>
                <w:iCs/>
              </w:rPr>
              <w:t>euro</w:t>
            </w:r>
            <w:proofErr w:type="spellEnd"/>
            <w:r>
              <w:rPr>
                <w:i/>
                <w:iCs/>
              </w:rPr>
              <w:t xml:space="preserve"> ik gadu.</w:t>
            </w:r>
          </w:p>
          <w:p w14:paraId="04B098FD" w14:textId="77777777" w:rsidR="001D0E7B" w:rsidRPr="0049528D" w:rsidRDefault="001D0E7B" w:rsidP="00AE6553">
            <w:pPr>
              <w:pStyle w:val="naisc"/>
              <w:spacing w:before="0" w:after="0"/>
              <w:jc w:val="both"/>
            </w:pPr>
          </w:p>
        </w:tc>
        <w:tc>
          <w:tcPr>
            <w:tcW w:w="3780" w:type="dxa"/>
            <w:tcBorders>
              <w:top w:val="single" w:sz="4" w:space="0" w:color="auto"/>
              <w:left w:val="single" w:sz="4" w:space="0" w:color="auto"/>
              <w:bottom w:val="single" w:sz="4" w:space="0" w:color="auto"/>
              <w:right w:val="single" w:sz="4" w:space="0" w:color="auto"/>
            </w:tcBorders>
          </w:tcPr>
          <w:p w14:paraId="4BB0E941" w14:textId="77777777" w:rsidR="00B92BE0" w:rsidRPr="00A71C1B" w:rsidRDefault="00B92BE0" w:rsidP="00B92BE0">
            <w:pPr>
              <w:spacing w:line="276" w:lineRule="auto"/>
              <w:ind w:firstLine="72"/>
              <w:jc w:val="both"/>
              <w:rPr>
                <w:color w:val="000000" w:themeColor="text1"/>
              </w:rPr>
            </w:pPr>
            <w:r>
              <w:rPr>
                <w:color w:val="000000" w:themeColor="text1"/>
              </w:rPr>
              <w:lastRenderedPageBreak/>
              <w:t>2. Lūdzam</w:t>
            </w:r>
            <w:r w:rsidRPr="00A71C1B">
              <w:rPr>
                <w:color w:val="000000" w:themeColor="text1"/>
              </w:rPr>
              <w:t xml:space="preserve"> MK protokollēmuma projektā iekļauj </w:t>
            </w:r>
            <w:r>
              <w:rPr>
                <w:color w:val="000000" w:themeColor="text1"/>
              </w:rPr>
              <w:t>3.</w:t>
            </w:r>
            <w:r w:rsidRPr="00A71C1B">
              <w:rPr>
                <w:color w:val="000000" w:themeColor="text1"/>
              </w:rPr>
              <w:t>punkt</w:t>
            </w:r>
            <w:r>
              <w:rPr>
                <w:color w:val="000000" w:themeColor="text1"/>
              </w:rPr>
              <w:t>u šādā redakcijā</w:t>
            </w:r>
            <w:r w:rsidRPr="00A71C1B">
              <w:rPr>
                <w:color w:val="000000" w:themeColor="text1"/>
              </w:rPr>
              <w:t xml:space="preserve">: </w:t>
            </w:r>
            <w:r>
              <w:rPr>
                <w:color w:val="000000" w:themeColor="text1"/>
              </w:rPr>
              <w:br/>
            </w:r>
            <w:r w:rsidRPr="00A71C1B">
              <w:rPr>
                <w:color w:val="000000" w:themeColor="text1"/>
              </w:rPr>
              <w:t xml:space="preserve">“3. Tieslietu ministrijai normatīvos aktos noteiktā kārtībā sagatavot un iesniegt Finanšu ministrijai un </w:t>
            </w:r>
            <w:proofErr w:type="spellStart"/>
            <w:r w:rsidRPr="00A71C1B">
              <w:rPr>
                <w:color w:val="000000" w:themeColor="text1"/>
              </w:rPr>
              <w:t>Pārresoru</w:t>
            </w:r>
            <w:proofErr w:type="spellEnd"/>
            <w:r w:rsidRPr="00A71C1B">
              <w:rPr>
                <w:color w:val="000000" w:themeColor="text1"/>
              </w:rPr>
              <w:t xml:space="preserve"> koordinācijas centrā attiecīgu starpnozaru prioritārā pasākuma pieteikumu”.</w:t>
            </w:r>
          </w:p>
          <w:p w14:paraId="5CF14D62" w14:textId="77777777" w:rsidR="00B92BE0" w:rsidRPr="00A71C1B" w:rsidRDefault="00B92BE0" w:rsidP="00B92BE0">
            <w:pPr>
              <w:spacing w:line="276" w:lineRule="auto"/>
              <w:ind w:firstLine="72"/>
              <w:jc w:val="both"/>
              <w:rPr>
                <w:color w:val="000000" w:themeColor="text1"/>
              </w:rPr>
            </w:pPr>
            <w:r>
              <w:rPr>
                <w:color w:val="000000" w:themeColor="text1"/>
              </w:rPr>
              <w:t>3.</w:t>
            </w:r>
            <w:r w:rsidRPr="00A71C1B">
              <w:rPr>
                <w:color w:val="000000" w:themeColor="text1"/>
              </w:rPr>
              <w:t> Ministru kabineta 2012.gada 31.jūlija Nr.523 “Noteikumi par budžeta pieprasījumu izstrādāšanas un iesniegš</w:t>
            </w:r>
            <w:r>
              <w:rPr>
                <w:color w:val="000000" w:themeColor="text1"/>
              </w:rPr>
              <w:t>anas pamatprincipiem” 34.punkts nosaka</w:t>
            </w:r>
            <w:r w:rsidRPr="00A71C1B">
              <w:rPr>
                <w:color w:val="000000" w:themeColor="text1"/>
              </w:rPr>
              <w:t>,</w:t>
            </w:r>
            <w:r>
              <w:rPr>
                <w:color w:val="000000" w:themeColor="text1"/>
              </w:rPr>
              <w:t xml:space="preserve"> ka</w:t>
            </w:r>
            <w:r w:rsidRPr="00A71C1B">
              <w:rPr>
                <w:color w:val="000000" w:themeColor="text1"/>
              </w:rPr>
              <w:t xml:space="preserve"> ministrijas var </w:t>
            </w:r>
            <w:r w:rsidRPr="00A71C1B">
              <w:rPr>
                <w:color w:val="000000" w:themeColor="text1"/>
              </w:rPr>
              <w:lastRenderedPageBreak/>
              <w:t xml:space="preserve">plānot jaunas valsts ilgtermiņa saistības atbilstoši Ministru kabineta rīkojumā noteiktajam. Līdz ar to, lai ministrija varētu uzņemties ilgtermiņa saistības tālākam laika posmam, ir nepieciešams atbilstošs Ministru kabineta rīkojums. Uzskatām, ka MK protokollēmuma projekta 3.punkts ir izsakāms šādā redakcijā: </w:t>
            </w:r>
          </w:p>
          <w:p w14:paraId="3032A296" w14:textId="77777777" w:rsidR="00B92BE0" w:rsidRDefault="00B92BE0" w:rsidP="00B92BE0">
            <w:pPr>
              <w:spacing w:line="276" w:lineRule="auto"/>
              <w:jc w:val="both"/>
              <w:rPr>
                <w:color w:val="000000" w:themeColor="text1"/>
              </w:rPr>
            </w:pPr>
            <w:r w:rsidRPr="00A71C1B">
              <w:rPr>
                <w:color w:val="000000" w:themeColor="text1"/>
              </w:rPr>
              <w:t>“4. Ja šī protokollēmuma 2.punktā norādītais prioritārā pasākuma pieteikums tiek atbalstīts Ministru kabinetā, Tieslietu ministrijai sadarbībā ar Prokuratūru līdz 2019.</w:t>
            </w:r>
            <w:r>
              <w:rPr>
                <w:color w:val="000000" w:themeColor="text1"/>
              </w:rPr>
              <w:t>gada 5.septembrim sagatavot un T</w:t>
            </w:r>
            <w:r w:rsidRPr="00A71C1B">
              <w:rPr>
                <w:color w:val="000000" w:themeColor="text1"/>
              </w:rPr>
              <w:t>ieslietu ministram normatīvos aktos noteiktā kārtībā iesniegt Ministra kabinetā rīkojuma projektu par  ilgtermiņa saistībām pasākumam “Administratīvā centra Neretas ielā 29, Jēkabpilī nomas maksa” .</w:t>
            </w:r>
          </w:p>
          <w:p w14:paraId="05E9E7E6" w14:textId="62FE4306" w:rsidR="001D0E7B" w:rsidRPr="0049528D" w:rsidRDefault="001D0E7B" w:rsidP="00B92BE0">
            <w:pPr>
              <w:jc w:val="both"/>
            </w:pPr>
          </w:p>
        </w:tc>
        <w:tc>
          <w:tcPr>
            <w:tcW w:w="3330" w:type="dxa"/>
            <w:gridSpan w:val="2"/>
            <w:tcBorders>
              <w:left w:val="single" w:sz="6" w:space="0" w:color="000000"/>
              <w:bottom w:val="single" w:sz="4" w:space="0" w:color="auto"/>
              <w:right w:val="single" w:sz="6" w:space="0" w:color="000000"/>
            </w:tcBorders>
          </w:tcPr>
          <w:p w14:paraId="797208B1" w14:textId="68A95BF8" w:rsidR="001D0E7B" w:rsidRPr="0049528D" w:rsidRDefault="000172A0" w:rsidP="000172A0">
            <w:pPr>
              <w:pStyle w:val="naisc"/>
              <w:spacing w:before="0" w:after="0"/>
              <w:ind w:firstLine="313"/>
              <w:jc w:val="both"/>
              <w:rPr>
                <w:b/>
              </w:rPr>
            </w:pPr>
            <w:r w:rsidRPr="0049528D">
              <w:rPr>
                <w:b/>
              </w:rPr>
              <w:lastRenderedPageBreak/>
              <w:t xml:space="preserve">Ņemts vērā </w:t>
            </w:r>
          </w:p>
        </w:tc>
        <w:tc>
          <w:tcPr>
            <w:tcW w:w="2978" w:type="dxa"/>
            <w:tcBorders>
              <w:top w:val="single" w:sz="4" w:space="0" w:color="auto"/>
              <w:left w:val="single" w:sz="4" w:space="0" w:color="auto"/>
              <w:bottom w:val="single" w:sz="4" w:space="0" w:color="auto"/>
            </w:tcBorders>
          </w:tcPr>
          <w:p w14:paraId="55AE209E" w14:textId="604ACE62" w:rsidR="00A23C23" w:rsidRPr="0049528D" w:rsidRDefault="00736EB3" w:rsidP="00A5132A">
            <w:pPr>
              <w:ind w:firstLine="78"/>
              <w:jc w:val="both"/>
            </w:pPr>
            <w:r w:rsidRPr="0049528D">
              <w:t>Skat</w:t>
            </w:r>
            <w:r>
              <w:t>.</w:t>
            </w:r>
            <w:r w:rsidRPr="0049528D">
              <w:t xml:space="preserve"> </w:t>
            </w:r>
            <w:r w:rsidR="00A5132A">
              <w:t xml:space="preserve">MK protokollēmuma projekta 3. un 4.punktu redakcijas. </w:t>
            </w:r>
          </w:p>
        </w:tc>
      </w:tr>
      <w:tr w:rsidR="00AA3BD0" w:rsidRPr="0049528D" w14:paraId="5EF0DCCE" w14:textId="77777777" w:rsidTr="00724CDC">
        <w:trPr>
          <w:gridAfter w:val="1"/>
          <w:wAfter w:w="7" w:type="dxa"/>
        </w:trPr>
        <w:tc>
          <w:tcPr>
            <w:tcW w:w="851" w:type="dxa"/>
            <w:tcBorders>
              <w:left w:val="single" w:sz="6" w:space="0" w:color="000000"/>
              <w:bottom w:val="single" w:sz="4" w:space="0" w:color="auto"/>
              <w:right w:val="single" w:sz="6" w:space="0" w:color="000000"/>
            </w:tcBorders>
          </w:tcPr>
          <w:p w14:paraId="167FC38D" w14:textId="77777777" w:rsidR="00AA3BD0" w:rsidRPr="0049528D" w:rsidRDefault="00AA3BD0" w:rsidP="00AA3BD0">
            <w:pPr>
              <w:pStyle w:val="naisc"/>
              <w:numPr>
                <w:ilvl w:val="0"/>
                <w:numId w:val="9"/>
              </w:numPr>
              <w:spacing w:before="0" w:after="0"/>
              <w:ind w:left="0" w:firstLine="0"/>
              <w:jc w:val="both"/>
            </w:pPr>
          </w:p>
        </w:tc>
        <w:tc>
          <w:tcPr>
            <w:tcW w:w="3083" w:type="dxa"/>
            <w:gridSpan w:val="2"/>
            <w:tcBorders>
              <w:left w:val="single" w:sz="6" w:space="0" w:color="000000"/>
              <w:bottom w:val="single" w:sz="4" w:space="0" w:color="auto"/>
              <w:right w:val="single" w:sz="6" w:space="0" w:color="000000"/>
            </w:tcBorders>
          </w:tcPr>
          <w:p w14:paraId="3E7DB511" w14:textId="511F393E" w:rsidR="00AA3BD0" w:rsidRPr="0049528D" w:rsidRDefault="00AA3BD0" w:rsidP="00AA3BD0">
            <w:pPr>
              <w:pStyle w:val="naisc"/>
              <w:spacing w:before="0" w:after="0"/>
              <w:jc w:val="both"/>
            </w:pPr>
          </w:p>
        </w:tc>
        <w:tc>
          <w:tcPr>
            <w:tcW w:w="3780" w:type="dxa"/>
            <w:tcBorders>
              <w:left w:val="single" w:sz="6" w:space="0" w:color="000000"/>
              <w:bottom w:val="single" w:sz="4" w:space="0" w:color="auto"/>
              <w:right w:val="single" w:sz="6" w:space="0" w:color="000000"/>
            </w:tcBorders>
          </w:tcPr>
          <w:p w14:paraId="5E8E47B3" w14:textId="77777777" w:rsidR="008D4B60" w:rsidRPr="00A71C1B" w:rsidRDefault="008D4B60" w:rsidP="008D4B60">
            <w:pPr>
              <w:spacing w:line="276" w:lineRule="auto"/>
              <w:jc w:val="both"/>
              <w:rPr>
                <w:color w:val="000000" w:themeColor="text1"/>
              </w:rPr>
            </w:pPr>
            <w:r>
              <w:rPr>
                <w:color w:val="000000" w:themeColor="text1"/>
              </w:rPr>
              <w:t xml:space="preserve">4. </w:t>
            </w:r>
            <w:r w:rsidRPr="00A71C1B">
              <w:rPr>
                <w:color w:val="000000" w:themeColor="text1"/>
              </w:rPr>
              <w:t xml:space="preserve">Lai būtu skaidri redzams, ka 85% nomas maksas palielinājums ir saistīts tieši ar kredīta pamatsummas un procentu maksājumiem, </w:t>
            </w:r>
            <w:r>
              <w:rPr>
                <w:color w:val="000000" w:themeColor="text1"/>
              </w:rPr>
              <w:t xml:space="preserve">lūdzam 2. </w:t>
            </w:r>
            <w:r>
              <w:rPr>
                <w:color w:val="000000" w:themeColor="text1"/>
              </w:rPr>
              <w:lastRenderedPageBreak/>
              <w:t xml:space="preserve">pielikumā </w:t>
            </w:r>
            <w:r w:rsidRPr="00A71C1B">
              <w:rPr>
                <w:color w:val="000000" w:themeColor="text1"/>
              </w:rPr>
              <w:t>izveidot p</w:t>
            </w:r>
            <w:r>
              <w:rPr>
                <w:color w:val="000000" w:themeColor="text1"/>
              </w:rPr>
              <w:t xml:space="preserve">apildus kolonnu (EUR gadā), kurā atspoguļota </w:t>
            </w:r>
            <w:r w:rsidRPr="00A71C1B">
              <w:rPr>
                <w:color w:val="000000" w:themeColor="text1"/>
              </w:rPr>
              <w:t>nomas maksa pa komponentēm gada ietvaros, kas norāda, ka nomas maksas ir jāpārskata pēc 20 gadiem, kad beidzas kredītmaksājumi (K+F komponentes) un valsts budžetā netiek vairs uzskaitītas ilgtermiņa saistības.</w:t>
            </w:r>
          </w:p>
          <w:p w14:paraId="77981388" w14:textId="01C96248" w:rsidR="00AA3BD0" w:rsidRPr="0049528D" w:rsidRDefault="00AA3BD0" w:rsidP="00AA3BD0">
            <w:pPr>
              <w:ind w:firstLine="313"/>
              <w:jc w:val="both"/>
              <w:rPr>
                <w:i/>
              </w:rPr>
            </w:pPr>
          </w:p>
        </w:tc>
        <w:tc>
          <w:tcPr>
            <w:tcW w:w="3330" w:type="dxa"/>
            <w:gridSpan w:val="2"/>
            <w:tcBorders>
              <w:left w:val="single" w:sz="6" w:space="0" w:color="000000"/>
              <w:bottom w:val="single" w:sz="4" w:space="0" w:color="auto"/>
              <w:right w:val="single" w:sz="6" w:space="0" w:color="000000"/>
            </w:tcBorders>
          </w:tcPr>
          <w:p w14:paraId="203237C1" w14:textId="77777777" w:rsidR="00AA3BD0" w:rsidRPr="0049528D" w:rsidRDefault="00AA3BD0" w:rsidP="00AA3BD0">
            <w:pPr>
              <w:pStyle w:val="naisc"/>
              <w:spacing w:before="0" w:after="0"/>
              <w:jc w:val="both"/>
              <w:rPr>
                <w:b/>
              </w:rPr>
            </w:pPr>
            <w:r w:rsidRPr="0049528D">
              <w:rPr>
                <w:b/>
              </w:rPr>
              <w:lastRenderedPageBreak/>
              <w:t xml:space="preserve">Ņemts vērā </w:t>
            </w:r>
          </w:p>
          <w:p w14:paraId="41919798" w14:textId="4A2E9D89" w:rsidR="00AA3BD0" w:rsidRPr="0049528D" w:rsidRDefault="00AA3BD0" w:rsidP="00AA3BD0">
            <w:pPr>
              <w:pStyle w:val="naisc"/>
              <w:spacing w:before="0" w:after="0"/>
              <w:jc w:val="both"/>
            </w:pPr>
            <w:r w:rsidRPr="0049528D">
              <w:t xml:space="preserve"> </w:t>
            </w:r>
          </w:p>
        </w:tc>
        <w:tc>
          <w:tcPr>
            <w:tcW w:w="2978" w:type="dxa"/>
            <w:tcBorders>
              <w:top w:val="single" w:sz="4" w:space="0" w:color="auto"/>
              <w:left w:val="single" w:sz="4" w:space="0" w:color="auto"/>
              <w:bottom w:val="single" w:sz="4" w:space="0" w:color="auto"/>
            </w:tcBorders>
          </w:tcPr>
          <w:p w14:paraId="2EC2AAEE" w14:textId="608DD32B" w:rsidR="00617BDF" w:rsidRPr="0049528D" w:rsidRDefault="00617BDF" w:rsidP="00617BDF">
            <w:pPr>
              <w:jc w:val="both"/>
            </w:pPr>
            <w:r>
              <w:t>P</w:t>
            </w:r>
            <w:r w:rsidRPr="0049528D">
              <w:t>recizē</w:t>
            </w:r>
            <w:r>
              <w:t>ts</w:t>
            </w:r>
            <w:r w:rsidRPr="0049528D">
              <w:t xml:space="preserve"> </w:t>
            </w:r>
            <w:r>
              <w:t xml:space="preserve">informatīvā ziņojuma pielikums Nr.2. </w:t>
            </w:r>
          </w:p>
          <w:p w14:paraId="097169B4" w14:textId="423CBA44" w:rsidR="00AA3BD0" w:rsidRPr="0049528D" w:rsidRDefault="00AA3BD0" w:rsidP="00442E1A">
            <w:pPr>
              <w:jc w:val="both"/>
            </w:pPr>
          </w:p>
        </w:tc>
      </w:tr>
      <w:tr w:rsidR="00AA3BD0" w:rsidRPr="0049528D" w14:paraId="69A92F9C" w14:textId="77777777" w:rsidTr="008A08B3">
        <w:tblPrEx>
          <w:tblBorders>
            <w:top w:val="none" w:sz="0" w:space="0" w:color="auto"/>
            <w:left w:val="none" w:sz="0" w:space="0" w:color="auto"/>
            <w:bottom w:val="none" w:sz="0" w:space="0" w:color="auto"/>
            <w:right w:val="none" w:sz="0" w:space="0" w:color="auto"/>
          </w:tblBorders>
        </w:tblPrEx>
        <w:trPr>
          <w:gridAfter w:val="3"/>
          <w:wAfter w:w="5107" w:type="dxa"/>
        </w:trPr>
        <w:tc>
          <w:tcPr>
            <w:tcW w:w="3000" w:type="dxa"/>
            <w:gridSpan w:val="2"/>
          </w:tcPr>
          <w:p w14:paraId="5953B070" w14:textId="77777777" w:rsidR="00AA3BD0" w:rsidRPr="0049528D" w:rsidRDefault="00AA3BD0" w:rsidP="00AA3BD0">
            <w:pPr>
              <w:pStyle w:val="naiskr"/>
              <w:spacing w:before="0" w:after="0"/>
              <w:jc w:val="both"/>
            </w:pPr>
          </w:p>
          <w:p w14:paraId="7AA49E36" w14:textId="77777777" w:rsidR="00AA3BD0" w:rsidRPr="0049528D" w:rsidRDefault="00AA3BD0" w:rsidP="00AA3BD0">
            <w:pPr>
              <w:pStyle w:val="naiskr"/>
              <w:spacing w:before="0" w:after="0"/>
              <w:jc w:val="both"/>
            </w:pPr>
          </w:p>
          <w:p w14:paraId="1856828B" w14:textId="77777777" w:rsidR="00AA3BD0" w:rsidRPr="0049528D" w:rsidRDefault="00AA3BD0" w:rsidP="00AA3BD0">
            <w:pPr>
              <w:pStyle w:val="naiskr"/>
              <w:spacing w:before="0" w:after="0"/>
              <w:jc w:val="both"/>
            </w:pPr>
            <w:r w:rsidRPr="0049528D">
              <w:t>Atbildīgā amatpersona</w:t>
            </w:r>
          </w:p>
        </w:tc>
        <w:tc>
          <w:tcPr>
            <w:tcW w:w="5922" w:type="dxa"/>
            <w:gridSpan w:val="3"/>
          </w:tcPr>
          <w:p w14:paraId="49DACAF7" w14:textId="77777777" w:rsidR="00AA3BD0" w:rsidRPr="0049528D" w:rsidRDefault="00AA3BD0" w:rsidP="00AA3BD0">
            <w:pPr>
              <w:pStyle w:val="naiskr"/>
              <w:spacing w:before="0" w:after="0"/>
              <w:ind w:firstLine="720"/>
              <w:jc w:val="both"/>
            </w:pPr>
          </w:p>
        </w:tc>
      </w:tr>
      <w:tr w:rsidR="00AA3BD0" w:rsidRPr="0049528D" w14:paraId="1EFCCE44" w14:textId="77777777" w:rsidTr="008A08B3">
        <w:tblPrEx>
          <w:tblBorders>
            <w:top w:val="none" w:sz="0" w:space="0" w:color="auto"/>
            <w:left w:val="none" w:sz="0" w:space="0" w:color="auto"/>
            <w:bottom w:val="none" w:sz="0" w:space="0" w:color="auto"/>
            <w:right w:val="none" w:sz="0" w:space="0" w:color="auto"/>
          </w:tblBorders>
        </w:tblPrEx>
        <w:trPr>
          <w:gridAfter w:val="3"/>
          <w:wAfter w:w="5107" w:type="dxa"/>
        </w:trPr>
        <w:tc>
          <w:tcPr>
            <w:tcW w:w="3000" w:type="dxa"/>
            <w:gridSpan w:val="2"/>
          </w:tcPr>
          <w:p w14:paraId="1A945143" w14:textId="77777777" w:rsidR="00AA3BD0" w:rsidRPr="0049528D" w:rsidRDefault="00AA3BD0" w:rsidP="00AA3BD0">
            <w:pPr>
              <w:pStyle w:val="naiskr"/>
              <w:spacing w:before="0" w:after="0"/>
              <w:ind w:firstLine="720"/>
              <w:jc w:val="both"/>
            </w:pPr>
          </w:p>
        </w:tc>
        <w:tc>
          <w:tcPr>
            <w:tcW w:w="5922" w:type="dxa"/>
            <w:gridSpan w:val="3"/>
            <w:tcBorders>
              <w:top w:val="single" w:sz="6" w:space="0" w:color="000000"/>
            </w:tcBorders>
          </w:tcPr>
          <w:p w14:paraId="46FE25CC" w14:textId="77777777" w:rsidR="00AA3BD0" w:rsidRPr="0049528D" w:rsidRDefault="00AA3BD0" w:rsidP="00AA3BD0">
            <w:pPr>
              <w:pStyle w:val="naisc"/>
              <w:spacing w:before="0" w:after="0"/>
              <w:ind w:firstLine="720"/>
              <w:jc w:val="both"/>
            </w:pPr>
            <w:r w:rsidRPr="0049528D">
              <w:t xml:space="preserve">                                (paraksts)</w:t>
            </w:r>
          </w:p>
        </w:tc>
      </w:tr>
    </w:tbl>
    <w:p w14:paraId="6381C14C" w14:textId="77777777" w:rsidR="003B71E0" w:rsidRPr="0049528D" w:rsidRDefault="003B71E0" w:rsidP="00AE6553">
      <w:pPr>
        <w:pStyle w:val="naisf"/>
        <w:spacing w:before="0" w:after="0"/>
        <w:ind w:firstLine="720"/>
      </w:pPr>
    </w:p>
    <w:p w14:paraId="4867BADD" w14:textId="42E999BB" w:rsidR="00546426" w:rsidRDefault="00CA33E5" w:rsidP="00AE6553">
      <w:pPr>
        <w:pStyle w:val="naisf"/>
        <w:spacing w:before="0" w:after="0"/>
        <w:ind w:firstLine="0"/>
      </w:pPr>
      <w:r>
        <w:t xml:space="preserve">Gunārs Elksnis </w:t>
      </w:r>
      <w:r w:rsidR="00546426">
        <w:t xml:space="preserve"> </w:t>
      </w:r>
    </w:p>
    <w:p w14:paraId="21A83E16" w14:textId="1D84BAC9" w:rsidR="00546426" w:rsidRDefault="00546426" w:rsidP="00AE6553">
      <w:pPr>
        <w:pStyle w:val="naisf"/>
        <w:spacing w:before="0" w:after="0"/>
        <w:ind w:firstLine="0"/>
      </w:pPr>
      <w:r>
        <w:t>VAS “Tiesu namu aģentūra</w:t>
      </w:r>
      <w:r w:rsidR="00CA33E5">
        <w:t>”</w:t>
      </w:r>
    </w:p>
    <w:p w14:paraId="3195BC62" w14:textId="4D94D667" w:rsidR="0090765F" w:rsidRPr="0049528D" w:rsidRDefault="0090765F" w:rsidP="00AE6553">
      <w:pPr>
        <w:pStyle w:val="naisf"/>
        <w:spacing w:before="0" w:after="0"/>
        <w:ind w:firstLine="0"/>
      </w:pPr>
      <w:r w:rsidRPr="0049528D">
        <w:t>67</w:t>
      </w:r>
      <w:r w:rsidR="00CA33E5">
        <w:t>804737</w:t>
      </w:r>
    </w:p>
    <w:p w14:paraId="5868CDA6" w14:textId="1C59F19B" w:rsidR="0090765F" w:rsidRDefault="006C4CCF" w:rsidP="00AE6553">
      <w:pPr>
        <w:pStyle w:val="naisf"/>
        <w:spacing w:before="0" w:after="0"/>
        <w:ind w:firstLine="0"/>
      </w:pPr>
      <w:hyperlink r:id="rId8" w:history="1">
        <w:r w:rsidR="00CA33E5" w:rsidRPr="00EF3A1A">
          <w:rPr>
            <w:rStyle w:val="Hipersaite"/>
          </w:rPr>
          <w:t>Gunars.Elksnis@tna.lv</w:t>
        </w:r>
      </w:hyperlink>
      <w:r w:rsidR="00CA33E5">
        <w:t xml:space="preserve"> </w:t>
      </w:r>
      <w:r w:rsidR="0090765F" w:rsidRPr="0049528D">
        <w:t xml:space="preserve"> </w:t>
      </w:r>
    </w:p>
    <w:p w14:paraId="0B5B7289" w14:textId="77777777" w:rsidR="002B0858" w:rsidRPr="002B0858" w:rsidRDefault="002B0858" w:rsidP="002B0858"/>
    <w:p w14:paraId="3115CA8C" w14:textId="77777777" w:rsidR="002B0858" w:rsidRPr="002B0858" w:rsidRDefault="002B0858" w:rsidP="002B0858"/>
    <w:p w14:paraId="32F52C1A" w14:textId="77777777" w:rsidR="002B0858" w:rsidRPr="002B0858" w:rsidRDefault="002B0858" w:rsidP="002B0858"/>
    <w:p w14:paraId="0F190C89" w14:textId="77777777" w:rsidR="002B0858" w:rsidRPr="002B0858" w:rsidRDefault="002B0858" w:rsidP="002B0858"/>
    <w:p w14:paraId="66E57658" w14:textId="77777777" w:rsidR="002B0858" w:rsidRPr="002B0858" w:rsidRDefault="002B0858" w:rsidP="002B0858"/>
    <w:p w14:paraId="7FAFDC94" w14:textId="77777777" w:rsidR="002B0858" w:rsidRPr="002B0858" w:rsidRDefault="002B0858" w:rsidP="002B0858"/>
    <w:p w14:paraId="6505EF32" w14:textId="77777777" w:rsidR="002B0858" w:rsidRPr="002B0858" w:rsidRDefault="002B0858" w:rsidP="002B0858"/>
    <w:p w14:paraId="435B7C1B" w14:textId="77777777" w:rsidR="002B0858" w:rsidRPr="002B0858" w:rsidRDefault="002B0858" w:rsidP="002B0858"/>
    <w:p w14:paraId="47A62F2C" w14:textId="77777777" w:rsidR="007116C7" w:rsidRPr="0049528D" w:rsidRDefault="007116C7" w:rsidP="00AE6553">
      <w:pPr>
        <w:pStyle w:val="naisf"/>
        <w:spacing w:before="0" w:after="0"/>
        <w:ind w:firstLine="0"/>
      </w:pPr>
    </w:p>
    <w:sectPr w:rsidR="007116C7" w:rsidRPr="0049528D" w:rsidSect="00FF53AB">
      <w:headerReference w:type="even" r:id="rId9"/>
      <w:headerReference w:type="default" r:id="rId10"/>
      <w:footerReference w:type="default" r:id="rId11"/>
      <w:headerReference w:type="firs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42D0E" w14:textId="77777777" w:rsidR="00CE10A2" w:rsidRDefault="00CE10A2">
      <w:r>
        <w:separator/>
      </w:r>
    </w:p>
  </w:endnote>
  <w:endnote w:type="continuationSeparator" w:id="0">
    <w:p w14:paraId="2FBF4B47" w14:textId="77777777" w:rsidR="00CE10A2" w:rsidRDefault="00CE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C8EC" w14:textId="77777777" w:rsidR="00B71FFA" w:rsidRDefault="00B71FFA" w:rsidP="0090765F">
    <w:pPr>
      <w:rPr>
        <w:sz w:val="20"/>
        <w:szCs w:val="20"/>
      </w:rPr>
    </w:pPr>
  </w:p>
  <w:p w14:paraId="7A4EACB6" w14:textId="485C4AEA" w:rsidR="00AB3D34" w:rsidRDefault="0090765F" w:rsidP="0090765F">
    <w:pPr>
      <w:rPr>
        <w:sz w:val="20"/>
        <w:szCs w:val="20"/>
      </w:rPr>
    </w:pPr>
    <w:r>
      <w:rPr>
        <w:sz w:val="20"/>
        <w:szCs w:val="20"/>
      </w:rPr>
      <w:t>TMIzz_</w:t>
    </w:r>
    <w:r w:rsidR="002B0858">
      <w:rPr>
        <w:sz w:val="20"/>
        <w:szCs w:val="20"/>
      </w:rPr>
      <w:t>1</w:t>
    </w:r>
    <w:r w:rsidR="00E079AF">
      <w:rPr>
        <w:sz w:val="20"/>
        <w:szCs w:val="20"/>
      </w:rPr>
      <w:t>2</w:t>
    </w:r>
    <w:r w:rsidR="002B0858">
      <w:rPr>
        <w:sz w:val="20"/>
        <w:szCs w:val="20"/>
      </w:rPr>
      <w:t>07</w:t>
    </w:r>
    <w:r w:rsidR="002D6F4F">
      <w:rPr>
        <w:sz w:val="20"/>
        <w:szCs w:val="20"/>
      </w:rPr>
      <w:t>19_</w:t>
    </w:r>
    <w:r w:rsidR="00E079AF">
      <w:rPr>
        <w:sz w:val="20"/>
        <w:szCs w:val="20"/>
      </w:rPr>
      <w:t>Jekabpils</w:t>
    </w:r>
  </w:p>
  <w:p w14:paraId="3744C1DF" w14:textId="78CE1779" w:rsidR="008A5E1A" w:rsidRPr="008A5E1A" w:rsidRDefault="008A5E1A" w:rsidP="008A5E1A">
    <w:pPr>
      <w:pStyle w:val="Galven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EF61" w14:textId="77777777" w:rsidR="00B71FFA" w:rsidRDefault="00B71FFA" w:rsidP="00AB3D34">
    <w:pPr>
      <w:rPr>
        <w:sz w:val="20"/>
        <w:szCs w:val="20"/>
      </w:rPr>
    </w:pPr>
  </w:p>
  <w:p w14:paraId="686D35B4" w14:textId="1B835606" w:rsidR="00AB3D34" w:rsidRDefault="0090765F" w:rsidP="00AB3D34">
    <w:pPr>
      <w:rPr>
        <w:sz w:val="20"/>
        <w:szCs w:val="20"/>
      </w:rPr>
    </w:pPr>
    <w:r>
      <w:rPr>
        <w:sz w:val="20"/>
        <w:szCs w:val="20"/>
      </w:rPr>
      <w:t>TMIzz_</w:t>
    </w:r>
    <w:r w:rsidR="00A44B87">
      <w:rPr>
        <w:sz w:val="20"/>
        <w:szCs w:val="20"/>
      </w:rPr>
      <w:t>12</w:t>
    </w:r>
    <w:r w:rsidR="002B0858">
      <w:rPr>
        <w:sz w:val="20"/>
        <w:szCs w:val="20"/>
      </w:rPr>
      <w:t>07</w:t>
    </w:r>
    <w:r w:rsidR="002D6F4F">
      <w:rPr>
        <w:sz w:val="20"/>
        <w:szCs w:val="20"/>
      </w:rPr>
      <w:t>1</w:t>
    </w:r>
    <w:r w:rsidR="00E079AF">
      <w:rPr>
        <w:sz w:val="20"/>
        <w:szCs w:val="20"/>
      </w:rPr>
      <w:t>9</w:t>
    </w:r>
    <w:r w:rsidR="002D6F4F">
      <w:rPr>
        <w:sz w:val="20"/>
        <w:szCs w:val="20"/>
      </w:rPr>
      <w:t>_</w:t>
    </w:r>
    <w:r w:rsidR="00E079AF">
      <w:rPr>
        <w:sz w:val="20"/>
        <w:szCs w:val="20"/>
      </w:rPr>
      <w:t>Jekabpils</w:t>
    </w:r>
  </w:p>
  <w:p w14:paraId="40B238CC" w14:textId="3FB1EEC6" w:rsidR="008A5E1A" w:rsidRPr="008A5E1A" w:rsidRDefault="008A5E1A" w:rsidP="008A5E1A">
    <w:pPr>
      <w:pStyle w:val="Galv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FA87" w14:textId="77777777" w:rsidR="00CE10A2" w:rsidRDefault="00CE10A2">
      <w:r>
        <w:separator/>
      </w:r>
    </w:p>
  </w:footnote>
  <w:footnote w:type="continuationSeparator" w:id="0">
    <w:p w14:paraId="25C6A882" w14:textId="77777777" w:rsidR="00CE10A2" w:rsidRDefault="00CE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7821" w14:textId="77777777" w:rsidR="00AB3D34" w:rsidRDefault="00AB3D34"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B7A37B2" w14:textId="77777777" w:rsidR="00AB3D34" w:rsidRDefault="00AB3D3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D0BA" w14:textId="77777777" w:rsidR="008A5E1A" w:rsidRDefault="008A5E1A">
    <w:pPr>
      <w:pStyle w:val="Galvene"/>
      <w:jc w:val="center"/>
    </w:pPr>
    <w:r>
      <w:fldChar w:fldCharType="begin"/>
    </w:r>
    <w:r>
      <w:instrText>PAGE   \* MERGEFORMAT</w:instrText>
    </w:r>
    <w:r>
      <w:fldChar w:fldCharType="separate"/>
    </w:r>
    <w:r>
      <w:rPr>
        <w:noProof/>
      </w:rPr>
      <w:t>2</w:t>
    </w:r>
    <w:r>
      <w:fldChar w:fldCharType="end"/>
    </w:r>
  </w:p>
  <w:p w14:paraId="61DA9670" w14:textId="77777777" w:rsidR="00AB3D34" w:rsidRDefault="00AB3D3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0DC8" w14:textId="156786FA" w:rsidR="008A5E1A" w:rsidRPr="008A5E1A" w:rsidRDefault="008A5E1A" w:rsidP="008A5E1A">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123"/>
    <w:multiLevelType w:val="hybridMultilevel"/>
    <w:tmpl w:val="6EB2419A"/>
    <w:lvl w:ilvl="0" w:tplc="40C8AA5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54231BD"/>
    <w:multiLevelType w:val="hybridMultilevel"/>
    <w:tmpl w:val="A5F664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D8E11AD"/>
    <w:multiLevelType w:val="hybridMultilevel"/>
    <w:tmpl w:val="6EF4FE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065D9"/>
    <w:multiLevelType w:val="hybridMultilevel"/>
    <w:tmpl w:val="26EC91F8"/>
    <w:lvl w:ilvl="0" w:tplc="E3EA3A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5392C12"/>
    <w:multiLevelType w:val="hybridMultilevel"/>
    <w:tmpl w:val="993AF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D083E"/>
    <w:multiLevelType w:val="hybridMultilevel"/>
    <w:tmpl w:val="D1124A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1D4563B"/>
    <w:multiLevelType w:val="hybridMultilevel"/>
    <w:tmpl w:val="8DFA2588"/>
    <w:lvl w:ilvl="0" w:tplc="8752DDB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473CB8"/>
    <w:multiLevelType w:val="multilevel"/>
    <w:tmpl w:val="BDCEF840"/>
    <w:lvl w:ilvl="0">
      <w:start w:val="1"/>
      <w:numFmt w:val="decimal"/>
      <w:lvlText w:val="%1."/>
      <w:lvlJc w:val="left"/>
      <w:pPr>
        <w:ind w:left="1080" w:hanging="360"/>
      </w:pPr>
      <w:rPr>
        <w:rFonts w:hint="default"/>
      </w:rPr>
    </w:lvl>
    <w:lvl w:ilvl="1">
      <w:start w:val="1"/>
      <w:numFmt w:val="decimal"/>
      <w:isLgl/>
      <w:lvlText w:val="%1.%2."/>
      <w:lvlJc w:val="left"/>
      <w:pPr>
        <w:ind w:left="502" w:hanging="360"/>
      </w:pPr>
      <w:rPr>
        <w:rFonts w:hint="default"/>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B2D4A2F"/>
    <w:multiLevelType w:val="hybridMultilevel"/>
    <w:tmpl w:val="E4AEA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5A11D7"/>
    <w:multiLevelType w:val="hybridMultilevel"/>
    <w:tmpl w:val="A5F664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F77675"/>
    <w:multiLevelType w:val="multilevel"/>
    <w:tmpl w:val="8CDE9E6C"/>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2"/>
  </w:num>
  <w:num w:numId="4">
    <w:abstractNumId w:val="11"/>
  </w:num>
  <w:num w:numId="5">
    <w:abstractNumId w:val="10"/>
  </w:num>
  <w:num w:numId="6">
    <w:abstractNumId w:val="14"/>
  </w:num>
  <w:num w:numId="7">
    <w:abstractNumId w:val="0"/>
  </w:num>
  <w:num w:numId="8">
    <w:abstractNumId w:val="8"/>
  </w:num>
  <w:num w:numId="9">
    <w:abstractNumId w:val="2"/>
  </w:num>
  <w:num w:numId="10">
    <w:abstractNumId w:val="4"/>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4277"/>
    <w:rsid w:val="0001550F"/>
    <w:rsid w:val="0001554C"/>
    <w:rsid w:val="00015B94"/>
    <w:rsid w:val="00015DE5"/>
    <w:rsid w:val="000172A0"/>
    <w:rsid w:val="000172E2"/>
    <w:rsid w:val="00017449"/>
    <w:rsid w:val="00020249"/>
    <w:rsid w:val="00022338"/>
    <w:rsid w:val="0002296A"/>
    <w:rsid w:val="00022B0F"/>
    <w:rsid w:val="00022B9A"/>
    <w:rsid w:val="00022D01"/>
    <w:rsid w:val="00023FD6"/>
    <w:rsid w:val="0002416A"/>
    <w:rsid w:val="00024CCD"/>
    <w:rsid w:val="00024D20"/>
    <w:rsid w:val="000253DB"/>
    <w:rsid w:val="00025E34"/>
    <w:rsid w:val="000278E7"/>
    <w:rsid w:val="00027A63"/>
    <w:rsid w:val="00027F9D"/>
    <w:rsid w:val="000307B5"/>
    <w:rsid w:val="00032457"/>
    <w:rsid w:val="0003413A"/>
    <w:rsid w:val="000349CA"/>
    <w:rsid w:val="0003557A"/>
    <w:rsid w:val="00035C06"/>
    <w:rsid w:val="000366DF"/>
    <w:rsid w:val="000367B8"/>
    <w:rsid w:val="000376CD"/>
    <w:rsid w:val="00040A5C"/>
    <w:rsid w:val="00043005"/>
    <w:rsid w:val="0004345F"/>
    <w:rsid w:val="000437C2"/>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7A3"/>
    <w:rsid w:val="00084B11"/>
    <w:rsid w:val="00085322"/>
    <w:rsid w:val="00086125"/>
    <w:rsid w:val="0008656F"/>
    <w:rsid w:val="00086AB9"/>
    <w:rsid w:val="00086BCE"/>
    <w:rsid w:val="00086F36"/>
    <w:rsid w:val="00090168"/>
    <w:rsid w:val="00090C76"/>
    <w:rsid w:val="00090D91"/>
    <w:rsid w:val="00091033"/>
    <w:rsid w:val="00091F10"/>
    <w:rsid w:val="0009302B"/>
    <w:rsid w:val="00093EC2"/>
    <w:rsid w:val="00093FE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608"/>
    <w:rsid w:val="000B1D96"/>
    <w:rsid w:val="000B2382"/>
    <w:rsid w:val="000B2754"/>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D4F"/>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4F57"/>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6002"/>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0EE"/>
    <w:rsid w:val="001C1510"/>
    <w:rsid w:val="001C1989"/>
    <w:rsid w:val="001C2848"/>
    <w:rsid w:val="001C28FD"/>
    <w:rsid w:val="001C3349"/>
    <w:rsid w:val="001C4ABA"/>
    <w:rsid w:val="001C546B"/>
    <w:rsid w:val="001C5EA2"/>
    <w:rsid w:val="001C6608"/>
    <w:rsid w:val="001C6C7D"/>
    <w:rsid w:val="001D0E7B"/>
    <w:rsid w:val="001D1CB1"/>
    <w:rsid w:val="001D2980"/>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5C47"/>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3E"/>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556"/>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5E8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858"/>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7EC"/>
    <w:rsid w:val="002D4969"/>
    <w:rsid w:val="002D4EE1"/>
    <w:rsid w:val="002D4F49"/>
    <w:rsid w:val="002D6F4F"/>
    <w:rsid w:val="002D778E"/>
    <w:rsid w:val="002E04D7"/>
    <w:rsid w:val="002E06DD"/>
    <w:rsid w:val="002E171A"/>
    <w:rsid w:val="002E2A24"/>
    <w:rsid w:val="002E3D66"/>
    <w:rsid w:val="002E3F11"/>
    <w:rsid w:val="002E4B11"/>
    <w:rsid w:val="002E4F70"/>
    <w:rsid w:val="002E5886"/>
    <w:rsid w:val="002E5AD3"/>
    <w:rsid w:val="002E635D"/>
    <w:rsid w:val="002E6F4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6C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B5E"/>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0FEA"/>
    <w:rsid w:val="00422B23"/>
    <w:rsid w:val="00423A60"/>
    <w:rsid w:val="0042651C"/>
    <w:rsid w:val="00426E9B"/>
    <w:rsid w:val="004279EB"/>
    <w:rsid w:val="00427D55"/>
    <w:rsid w:val="0043233C"/>
    <w:rsid w:val="0043298E"/>
    <w:rsid w:val="004345A6"/>
    <w:rsid w:val="00435B2F"/>
    <w:rsid w:val="00435E03"/>
    <w:rsid w:val="004373E1"/>
    <w:rsid w:val="004374A3"/>
    <w:rsid w:val="00437A7E"/>
    <w:rsid w:val="00437B6C"/>
    <w:rsid w:val="00440144"/>
    <w:rsid w:val="0044064E"/>
    <w:rsid w:val="00440805"/>
    <w:rsid w:val="004412E1"/>
    <w:rsid w:val="00441554"/>
    <w:rsid w:val="00442E1A"/>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10A"/>
    <w:rsid w:val="00454EC3"/>
    <w:rsid w:val="0045530A"/>
    <w:rsid w:val="004554AE"/>
    <w:rsid w:val="004554C3"/>
    <w:rsid w:val="00455FB6"/>
    <w:rsid w:val="00457197"/>
    <w:rsid w:val="00457555"/>
    <w:rsid w:val="00457971"/>
    <w:rsid w:val="00457DD8"/>
    <w:rsid w:val="004603D0"/>
    <w:rsid w:val="0046118A"/>
    <w:rsid w:val="004624AE"/>
    <w:rsid w:val="0046250E"/>
    <w:rsid w:val="00462E9C"/>
    <w:rsid w:val="00464B48"/>
    <w:rsid w:val="00465231"/>
    <w:rsid w:val="004662AD"/>
    <w:rsid w:val="00466516"/>
    <w:rsid w:val="00467B65"/>
    <w:rsid w:val="00470218"/>
    <w:rsid w:val="00471E03"/>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626"/>
    <w:rsid w:val="00494CC8"/>
    <w:rsid w:val="0049528D"/>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4B2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023"/>
    <w:rsid w:val="0050147C"/>
    <w:rsid w:val="0050182B"/>
    <w:rsid w:val="00502579"/>
    <w:rsid w:val="005029F7"/>
    <w:rsid w:val="00503D4C"/>
    <w:rsid w:val="00504C0C"/>
    <w:rsid w:val="00504E48"/>
    <w:rsid w:val="005070FF"/>
    <w:rsid w:val="00512BBC"/>
    <w:rsid w:val="005134FB"/>
    <w:rsid w:val="005135FD"/>
    <w:rsid w:val="0051366C"/>
    <w:rsid w:val="0051436C"/>
    <w:rsid w:val="0051684F"/>
    <w:rsid w:val="00516A92"/>
    <w:rsid w:val="00516B9F"/>
    <w:rsid w:val="00517693"/>
    <w:rsid w:val="005205AB"/>
    <w:rsid w:val="00523378"/>
    <w:rsid w:val="0052550F"/>
    <w:rsid w:val="0052610F"/>
    <w:rsid w:val="00526C0F"/>
    <w:rsid w:val="0052702A"/>
    <w:rsid w:val="00530397"/>
    <w:rsid w:val="00530F73"/>
    <w:rsid w:val="00533B8E"/>
    <w:rsid w:val="00535417"/>
    <w:rsid w:val="00535833"/>
    <w:rsid w:val="00536D28"/>
    <w:rsid w:val="005372C5"/>
    <w:rsid w:val="00537A26"/>
    <w:rsid w:val="00540E47"/>
    <w:rsid w:val="00543283"/>
    <w:rsid w:val="0054364C"/>
    <w:rsid w:val="00544A49"/>
    <w:rsid w:val="00546426"/>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268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71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3CBE"/>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1129"/>
    <w:rsid w:val="006123C6"/>
    <w:rsid w:val="00612C02"/>
    <w:rsid w:val="00612CDD"/>
    <w:rsid w:val="0061562E"/>
    <w:rsid w:val="00616D41"/>
    <w:rsid w:val="00617292"/>
    <w:rsid w:val="00617BDF"/>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040"/>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484"/>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34C"/>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4CCF"/>
    <w:rsid w:val="006C5145"/>
    <w:rsid w:val="006C65A8"/>
    <w:rsid w:val="006D05AD"/>
    <w:rsid w:val="006D0EC1"/>
    <w:rsid w:val="006D16F8"/>
    <w:rsid w:val="006D1813"/>
    <w:rsid w:val="006D24A9"/>
    <w:rsid w:val="006D2AF3"/>
    <w:rsid w:val="006D3ED0"/>
    <w:rsid w:val="006D4D79"/>
    <w:rsid w:val="006D4FBD"/>
    <w:rsid w:val="006D5879"/>
    <w:rsid w:val="006D63FD"/>
    <w:rsid w:val="006D65B4"/>
    <w:rsid w:val="006D754A"/>
    <w:rsid w:val="006D7B9C"/>
    <w:rsid w:val="006E04C6"/>
    <w:rsid w:val="006E0A65"/>
    <w:rsid w:val="006E1B01"/>
    <w:rsid w:val="006E29F1"/>
    <w:rsid w:val="006E3E3D"/>
    <w:rsid w:val="006E4836"/>
    <w:rsid w:val="006E5DDD"/>
    <w:rsid w:val="006E7811"/>
    <w:rsid w:val="006E7969"/>
    <w:rsid w:val="006F04DA"/>
    <w:rsid w:val="006F0557"/>
    <w:rsid w:val="006F068F"/>
    <w:rsid w:val="006F0EA3"/>
    <w:rsid w:val="006F1B5D"/>
    <w:rsid w:val="006F212B"/>
    <w:rsid w:val="006F37F7"/>
    <w:rsid w:val="006F4A61"/>
    <w:rsid w:val="006F4ADC"/>
    <w:rsid w:val="006F63F3"/>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B44"/>
    <w:rsid w:val="00716B3C"/>
    <w:rsid w:val="007170C2"/>
    <w:rsid w:val="00717EE4"/>
    <w:rsid w:val="00717F2D"/>
    <w:rsid w:val="00720453"/>
    <w:rsid w:val="00720853"/>
    <w:rsid w:val="00722129"/>
    <w:rsid w:val="00724173"/>
    <w:rsid w:val="00724CDC"/>
    <w:rsid w:val="00726730"/>
    <w:rsid w:val="00730598"/>
    <w:rsid w:val="00731C24"/>
    <w:rsid w:val="0073257E"/>
    <w:rsid w:val="00732A32"/>
    <w:rsid w:val="00733066"/>
    <w:rsid w:val="00733469"/>
    <w:rsid w:val="00733539"/>
    <w:rsid w:val="00734D03"/>
    <w:rsid w:val="00735557"/>
    <w:rsid w:val="00736EB3"/>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03D"/>
    <w:rsid w:val="00763AE2"/>
    <w:rsid w:val="0076467D"/>
    <w:rsid w:val="00766D90"/>
    <w:rsid w:val="00767C19"/>
    <w:rsid w:val="00767D4E"/>
    <w:rsid w:val="00771067"/>
    <w:rsid w:val="007722ED"/>
    <w:rsid w:val="0077408B"/>
    <w:rsid w:val="00774AF6"/>
    <w:rsid w:val="00774EC8"/>
    <w:rsid w:val="00776781"/>
    <w:rsid w:val="00776FFC"/>
    <w:rsid w:val="007776CC"/>
    <w:rsid w:val="007779E5"/>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1D8E"/>
    <w:rsid w:val="007B26E1"/>
    <w:rsid w:val="007B3045"/>
    <w:rsid w:val="007B4C0F"/>
    <w:rsid w:val="007B5E25"/>
    <w:rsid w:val="007B6E0E"/>
    <w:rsid w:val="007C137B"/>
    <w:rsid w:val="007C27FB"/>
    <w:rsid w:val="007C2CBB"/>
    <w:rsid w:val="007C309C"/>
    <w:rsid w:val="007C4209"/>
    <w:rsid w:val="007C5EB9"/>
    <w:rsid w:val="007C7449"/>
    <w:rsid w:val="007C7EA5"/>
    <w:rsid w:val="007D0AF6"/>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6A99"/>
    <w:rsid w:val="007F7022"/>
    <w:rsid w:val="007F7690"/>
    <w:rsid w:val="008011CC"/>
    <w:rsid w:val="00801404"/>
    <w:rsid w:val="008017AA"/>
    <w:rsid w:val="00801CBA"/>
    <w:rsid w:val="00801D92"/>
    <w:rsid w:val="008024E7"/>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138"/>
    <w:rsid w:val="00851605"/>
    <w:rsid w:val="00852CA0"/>
    <w:rsid w:val="00852D85"/>
    <w:rsid w:val="00852F6C"/>
    <w:rsid w:val="0085465C"/>
    <w:rsid w:val="00854967"/>
    <w:rsid w:val="0085540B"/>
    <w:rsid w:val="00855511"/>
    <w:rsid w:val="0085582C"/>
    <w:rsid w:val="00855876"/>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08B3"/>
    <w:rsid w:val="008A1218"/>
    <w:rsid w:val="008A15B6"/>
    <w:rsid w:val="008A1A6E"/>
    <w:rsid w:val="008A202A"/>
    <w:rsid w:val="008A36C9"/>
    <w:rsid w:val="008A5AF9"/>
    <w:rsid w:val="008A5E1A"/>
    <w:rsid w:val="008B14B5"/>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2C8A"/>
    <w:rsid w:val="008D3235"/>
    <w:rsid w:val="008D33C8"/>
    <w:rsid w:val="008D3893"/>
    <w:rsid w:val="008D45CD"/>
    <w:rsid w:val="008D4B60"/>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8F7E86"/>
    <w:rsid w:val="00900F4D"/>
    <w:rsid w:val="0090167B"/>
    <w:rsid w:val="00902DEC"/>
    <w:rsid w:val="0090342E"/>
    <w:rsid w:val="00903D3A"/>
    <w:rsid w:val="009044B9"/>
    <w:rsid w:val="009047B1"/>
    <w:rsid w:val="00904C86"/>
    <w:rsid w:val="00905D18"/>
    <w:rsid w:val="0090680D"/>
    <w:rsid w:val="0090765F"/>
    <w:rsid w:val="0091045D"/>
    <w:rsid w:val="00912739"/>
    <w:rsid w:val="0091281A"/>
    <w:rsid w:val="00912B24"/>
    <w:rsid w:val="009139B5"/>
    <w:rsid w:val="00914514"/>
    <w:rsid w:val="00914549"/>
    <w:rsid w:val="00914C08"/>
    <w:rsid w:val="00914F2F"/>
    <w:rsid w:val="00915B43"/>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6C30"/>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C23"/>
    <w:rsid w:val="00A23ECC"/>
    <w:rsid w:val="00A24CD3"/>
    <w:rsid w:val="00A25461"/>
    <w:rsid w:val="00A26367"/>
    <w:rsid w:val="00A2678A"/>
    <w:rsid w:val="00A269E1"/>
    <w:rsid w:val="00A27C1C"/>
    <w:rsid w:val="00A30F6A"/>
    <w:rsid w:val="00A32AEA"/>
    <w:rsid w:val="00A32F32"/>
    <w:rsid w:val="00A33E80"/>
    <w:rsid w:val="00A33EFE"/>
    <w:rsid w:val="00A3483E"/>
    <w:rsid w:val="00A4148D"/>
    <w:rsid w:val="00A44B87"/>
    <w:rsid w:val="00A44D0E"/>
    <w:rsid w:val="00A4621D"/>
    <w:rsid w:val="00A509FB"/>
    <w:rsid w:val="00A5132A"/>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180"/>
    <w:rsid w:val="00A66517"/>
    <w:rsid w:val="00A67B0E"/>
    <w:rsid w:val="00A718EF"/>
    <w:rsid w:val="00A72134"/>
    <w:rsid w:val="00A726A8"/>
    <w:rsid w:val="00A72951"/>
    <w:rsid w:val="00A73505"/>
    <w:rsid w:val="00A74B3C"/>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3BD0"/>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0F3"/>
    <w:rsid w:val="00AE6553"/>
    <w:rsid w:val="00AE68E2"/>
    <w:rsid w:val="00AF0157"/>
    <w:rsid w:val="00AF2EC7"/>
    <w:rsid w:val="00AF3220"/>
    <w:rsid w:val="00AF3AC0"/>
    <w:rsid w:val="00AF4F4A"/>
    <w:rsid w:val="00AF6B7C"/>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0E0B"/>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67B7"/>
    <w:rsid w:val="00B670D3"/>
    <w:rsid w:val="00B67958"/>
    <w:rsid w:val="00B67EB1"/>
    <w:rsid w:val="00B701D1"/>
    <w:rsid w:val="00B716BB"/>
    <w:rsid w:val="00B716FD"/>
    <w:rsid w:val="00B71FFA"/>
    <w:rsid w:val="00B729D6"/>
    <w:rsid w:val="00B72F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2BE0"/>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4E6"/>
    <w:rsid w:val="00BB2E51"/>
    <w:rsid w:val="00BB4BEA"/>
    <w:rsid w:val="00BB4C1A"/>
    <w:rsid w:val="00BB50AB"/>
    <w:rsid w:val="00BB6664"/>
    <w:rsid w:val="00BC01FC"/>
    <w:rsid w:val="00BC1F79"/>
    <w:rsid w:val="00BC2201"/>
    <w:rsid w:val="00BC3C7A"/>
    <w:rsid w:val="00BC5116"/>
    <w:rsid w:val="00BC6819"/>
    <w:rsid w:val="00BC7DC6"/>
    <w:rsid w:val="00BD1039"/>
    <w:rsid w:val="00BD13B5"/>
    <w:rsid w:val="00BD2EFC"/>
    <w:rsid w:val="00BD340E"/>
    <w:rsid w:val="00BD41CC"/>
    <w:rsid w:val="00BD4C8F"/>
    <w:rsid w:val="00BD60AD"/>
    <w:rsid w:val="00BD6C02"/>
    <w:rsid w:val="00BE1244"/>
    <w:rsid w:val="00BE165D"/>
    <w:rsid w:val="00BE2394"/>
    <w:rsid w:val="00BE2702"/>
    <w:rsid w:val="00BE4326"/>
    <w:rsid w:val="00BE57ED"/>
    <w:rsid w:val="00BE5F4F"/>
    <w:rsid w:val="00BE60DB"/>
    <w:rsid w:val="00BF0191"/>
    <w:rsid w:val="00BF030A"/>
    <w:rsid w:val="00BF13EC"/>
    <w:rsid w:val="00BF1C07"/>
    <w:rsid w:val="00BF3DEE"/>
    <w:rsid w:val="00BF54AC"/>
    <w:rsid w:val="00BF54BD"/>
    <w:rsid w:val="00BF6B8E"/>
    <w:rsid w:val="00C025A5"/>
    <w:rsid w:val="00C03C78"/>
    <w:rsid w:val="00C04FD3"/>
    <w:rsid w:val="00C063E0"/>
    <w:rsid w:val="00C065A2"/>
    <w:rsid w:val="00C06B5C"/>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3FBC"/>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A50"/>
    <w:rsid w:val="00C55F5E"/>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7F5E"/>
    <w:rsid w:val="00C91C88"/>
    <w:rsid w:val="00C9227D"/>
    <w:rsid w:val="00C939C3"/>
    <w:rsid w:val="00C94228"/>
    <w:rsid w:val="00C9621D"/>
    <w:rsid w:val="00C96D56"/>
    <w:rsid w:val="00C977E6"/>
    <w:rsid w:val="00CA0020"/>
    <w:rsid w:val="00CA0B2E"/>
    <w:rsid w:val="00CA18CA"/>
    <w:rsid w:val="00CA2557"/>
    <w:rsid w:val="00CA33E5"/>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498"/>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10A2"/>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176A7"/>
    <w:rsid w:val="00D20265"/>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87EC0"/>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387"/>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9AF"/>
    <w:rsid w:val="00E07DD9"/>
    <w:rsid w:val="00E102F8"/>
    <w:rsid w:val="00E12FCF"/>
    <w:rsid w:val="00E13273"/>
    <w:rsid w:val="00E13379"/>
    <w:rsid w:val="00E139EE"/>
    <w:rsid w:val="00E14D83"/>
    <w:rsid w:val="00E14FA6"/>
    <w:rsid w:val="00E15A0D"/>
    <w:rsid w:val="00E16640"/>
    <w:rsid w:val="00E1740F"/>
    <w:rsid w:val="00E200CF"/>
    <w:rsid w:val="00E20EE8"/>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6F4D"/>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2FC"/>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5BD"/>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40"/>
    <w:rsid w:val="00EA6F47"/>
    <w:rsid w:val="00EB02DE"/>
    <w:rsid w:val="00EB0A07"/>
    <w:rsid w:val="00EB1B69"/>
    <w:rsid w:val="00EB1C78"/>
    <w:rsid w:val="00EB3B46"/>
    <w:rsid w:val="00EB4F08"/>
    <w:rsid w:val="00EC1A8B"/>
    <w:rsid w:val="00EC2E07"/>
    <w:rsid w:val="00EC43C7"/>
    <w:rsid w:val="00EC465D"/>
    <w:rsid w:val="00EC5C89"/>
    <w:rsid w:val="00EC66D2"/>
    <w:rsid w:val="00EC67E7"/>
    <w:rsid w:val="00EC6DEE"/>
    <w:rsid w:val="00ED0A1B"/>
    <w:rsid w:val="00ED0DB5"/>
    <w:rsid w:val="00ED21BC"/>
    <w:rsid w:val="00ED2FEC"/>
    <w:rsid w:val="00ED3F67"/>
    <w:rsid w:val="00ED440A"/>
    <w:rsid w:val="00ED73E2"/>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2754C"/>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396"/>
    <w:rsid w:val="00F530E6"/>
    <w:rsid w:val="00F532C7"/>
    <w:rsid w:val="00F54AAB"/>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6BA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4BF"/>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1E64"/>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6B78"/>
    <w:rsid w:val="00FE7575"/>
    <w:rsid w:val="00FF1070"/>
    <w:rsid w:val="00FF13E2"/>
    <w:rsid w:val="00FF2237"/>
    <w:rsid w:val="00FF41F2"/>
    <w:rsid w:val="00FF4953"/>
    <w:rsid w:val="00FF53AB"/>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100A314"/>
  <w15:chartTrackingRefBased/>
  <w15:docId w15:val="{DE2A2890-C4B0-41BD-8FF7-D0306FD7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character" w:styleId="Neatrisintapieminana">
    <w:name w:val="Unresolved Mention"/>
    <w:uiPriority w:val="99"/>
    <w:semiHidden/>
    <w:unhideWhenUsed/>
    <w:rsid w:val="0090765F"/>
    <w:rPr>
      <w:color w:val="808080"/>
      <w:shd w:val="clear" w:color="auto" w:fill="E6E6E6"/>
    </w:rPr>
  </w:style>
  <w:style w:type="paragraph" w:styleId="Sarakstarindkopa">
    <w:name w:val="List Paragraph"/>
    <w:basedOn w:val="Parasts"/>
    <w:uiPriority w:val="34"/>
    <w:qFormat/>
    <w:rsid w:val="00855876"/>
    <w:pPr>
      <w:suppressAutoHyphens/>
      <w:ind w:left="720"/>
      <w:contextualSpacing/>
    </w:pPr>
    <w:rPr>
      <w:lang w:eastAsia="ar-SA"/>
    </w:rPr>
  </w:style>
  <w:style w:type="paragraph" w:styleId="Bezatstarpm">
    <w:name w:val="No Spacing"/>
    <w:qFormat/>
    <w:rsid w:val="00420FEA"/>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5567">
      <w:bodyDiv w:val="1"/>
      <w:marLeft w:val="0"/>
      <w:marRight w:val="0"/>
      <w:marTop w:val="0"/>
      <w:marBottom w:val="0"/>
      <w:divBdr>
        <w:top w:val="none" w:sz="0" w:space="0" w:color="auto"/>
        <w:left w:val="none" w:sz="0" w:space="0" w:color="auto"/>
        <w:bottom w:val="none" w:sz="0" w:space="0" w:color="auto"/>
        <w:right w:val="none" w:sz="0" w:space="0" w:color="auto"/>
      </w:divBdr>
    </w:div>
    <w:div w:id="189028150">
      <w:bodyDiv w:val="1"/>
      <w:marLeft w:val="0"/>
      <w:marRight w:val="0"/>
      <w:marTop w:val="0"/>
      <w:marBottom w:val="0"/>
      <w:divBdr>
        <w:top w:val="none" w:sz="0" w:space="0" w:color="auto"/>
        <w:left w:val="none" w:sz="0" w:space="0" w:color="auto"/>
        <w:bottom w:val="none" w:sz="0" w:space="0" w:color="auto"/>
        <w:right w:val="none" w:sz="0" w:space="0" w:color="auto"/>
      </w:divBdr>
    </w:div>
    <w:div w:id="42769824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402692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909495">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rs.Elksnis@tn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F193-2580-4444-AFC5-B82E5A0C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1043</Words>
  <Characters>7290</Characters>
  <Application>Microsoft Office Word</Application>
  <DocSecurity>0</DocSecurity>
  <Lines>60</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atzinumā sniegtajiem iebildumiem informatīvā ziņojuma par Ministru kabineta 2014. gada 22. novembra sēdes protokollēmuma (protokols Nr. 64, 2. §) "Informatīvais ziņojums "Par valsts akciju sabiedrības "Tiesu namu aģentūra" nekustamā īpašuma Šķū</vt:lpstr>
      <vt:lpstr>Pilns nosaukums</vt:lpstr>
    </vt:vector>
  </TitlesOfParts>
  <Company>Tieslietu ministrija</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atzinumā sniegtajiem iebildumiem informatīvā ziņojuma par Ministru kabineta 2014. gada 22. novembra sēdes protokollēmuma (protokols Nr. 64, 2. §) "Informatīvais ziņojums "Par valsts akciju sabiedrības "Tiesu namu aģentūra" nekustamā īpašuma Šķūņu ielā 17, Rīgā, atsavināšanu izsolē un jauna tieslietu nozares iestāžu administratīvā centra celtniecību Jēkabpilī"" izpildes gaitu pielikumiem un Ministru kabineta sēdes protokollēmuma projektam</dc:title>
  <dc:subject>Izziņa par atzinumos sniegtajiem iebildumiem</dc:subject>
  <dc:creator>Gunars.Elksnis@tna.lv</dc:creator>
  <cp:keywords/>
  <dc:description>kristine.kipena@tm.gov.lv _x000d_
67046124</dc:description>
  <cp:lastModifiedBy>Gunārs Elksnis</cp:lastModifiedBy>
  <cp:revision>4</cp:revision>
  <cp:lastPrinted>2018-01-25T16:14:00Z</cp:lastPrinted>
  <dcterms:created xsi:type="dcterms:W3CDTF">2019-07-12T10:45:00Z</dcterms:created>
  <dcterms:modified xsi:type="dcterms:W3CDTF">2019-07-23T09:24:00Z</dcterms:modified>
</cp:coreProperties>
</file>